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57B56" w14:textId="77777777" w:rsidR="00CB5276" w:rsidRDefault="006B02DE" w:rsidP="006B02DE">
      <w:pPr>
        <w:pStyle w:val="OrderHeading"/>
      </w:pPr>
      <w:r>
        <w:t>BEFORE THE FLORIDA PUBLIC SERVICE COMMISSION</w:t>
      </w:r>
    </w:p>
    <w:p w14:paraId="355970E1" w14:textId="77777777" w:rsidR="006B02DE" w:rsidRDefault="006B02DE" w:rsidP="006B02DE">
      <w:pPr>
        <w:pStyle w:val="OrderBody"/>
      </w:pPr>
    </w:p>
    <w:p w14:paraId="434C2B06" w14:textId="77777777" w:rsidR="006B02DE" w:rsidRDefault="006B02DE" w:rsidP="006B02D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B02DE" w:rsidRPr="00C63FCF" w14:paraId="3178B02F" w14:textId="77777777" w:rsidTr="006827FF">
        <w:trPr>
          <w:trHeight w:val="828"/>
        </w:trPr>
        <w:tc>
          <w:tcPr>
            <w:tcW w:w="4788" w:type="dxa"/>
            <w:tcBorders>
              <w:bottom w:val="single" w:sz="8" w:space="0" w:color="auto"/>
              <w:right w:val="double" w:sz="6" w:space="0" w:color="auto"/>
            </w:tcBorders>
            <w:shd w:val="clear" w:color="auto" w:fill="auto"/>
          </w:tcPr>
          <w:p w14:paraId="5C1B635D" w14:textId="77777777" w:rsidR="006B02DE" w:rsidRDefault="006B02DE" w:rsidP="006827FF">
            <w:pPr>
              <w:pStyle w:val="OrderBody"/>
              <w:tabs>
                <w:tab w:val="center" w:pos="4320"/>
                <w:tab w:val="right" w:pos="8640"/>
              </w:tabs>
              <w:jc w:val="left"/>
            </w:pPr>
            <w:r>
              <w:t xml:space="preserve">In re: </w:t>
            </w:r>
            <w:bookmarkStart w:id="0" w:name="SSInRe"/>
            <w:bookmarkEnd w:id="0"/>
            <w:r>
              <w:t>Application for staff-assisted rate case in Brevard County, and request for interim rate increase by Merritt Island Utility Company.</w:t>
            </w:r>
          </w:p>
        </w:tc>
        <w:tc>
          <w:tcPr>
            <w:tcW w:w="4788" w:type="dxa"/>
            <w:tcBorders>
              <w:left w:val="double" w:sz="6" w:space="0" w:color="auto"/>
            </w:tcBorders>
            <w:shd w:val="clear" w:color="auto" w:fill="auto"/>
          </w:tcPr>
          <w:p w14:paraId="21BFCCFD" w14:textId="77777777" w:rsidR="006B02DE" w:rsidRDefault="006B02DE" w:rsidP="006B02DE">
            <w:pPr>
              <w:pStyle w:val="OrderBody"/>
            </w:pPr>
            <w:r>
              <w:t xml:space="preserve">DOCKET NO. </w:t>
            </w:r>
            <w:bookmarkStart w:id="1" w:name="SSDocketNo"/>
            <w:bookmarkEnd w:id="1"/>
            <w:r>
              <w:t>20190116-SU</w:t>
            </w:r>
          </w:p>
          <w:p w14:paraId="5627D675" w14:textId="6EC4E6FE" w:rsidR="006B02DE" w:rsidRDefault="006B02DE" w:rsidP="006827FF">
            <w:pPr>
              <w:pStyle w:val="OrderBody"/>
              <w:tabs>
                <w:tab w:val="center" w:pos="4320"/>
                <w:tab w:val="right" w:pos="8640"/>
              </w:tabs>
              <w:jc w:val="left"/>
            </w:pPr>
            <w:r>
              <w:t xml:space="preserve">ORDER NO. </w:t>
            </w:r>
            <w:bookmarkStart w:id="2" w:name="OrderNo0088"/>
            <w:r w:rsidR="00CB57FE">
              <w:t>PSC-2020-0088-PAA-SU</w:t>
            </w:r>
            <w:bookmarkEnd w:id="2"/>
          </w:p>
          <w:p w14:paraId="515B2A75" w14:textId="12DE8BD2" w:rsidR="006B02DE" w:rsidRDefault="006B02DE" w:rsidP="006827FF">
            <w:pPr>
              <w:pStyle w:val="OrderBody"/>
              <w:tabs>
                <w:tab w:val="center" w:pos="4320"/>
                <w:tab w:val="right" w:pos="8640"/>
              </w:tabs>
              <w:jc w:val="left"/>
            </w:pPr>
            <w:r>
              <w:t xml:space="preserve">ISSUED: </w:t>
            </w:r>
            <w:r w:rsidR="00CB57FE">
              <w:t>March 25, 2020</w:t>
            </w:r>
          </w:p>
        </w:tc>
      </w:tr>
    </w:tbl>
    <w:p w14:paraId="7E0BC134" w14:textId="77777777" w:rsidR="006B02DE" w:rsidRDefault="006B02DE" w:rsidP="006B02DE"/>
    <w:p w14:paraId="23FFE8B2" w14:textId="77777777" w:rsidR="006B02DE" w:rsidRDefault="006B02DE" w:rsidP="006B02DE"/>
    <w:p w14:paraId="2B8EB16F" w14:textId="77777777" w:rsidR="006B02DE" w:rsidRDefault="006B02DE" w:rsidP="00B67A43">
      <w:pPr>
        <w:ind w:firstLine="720"/>
        <w:jc w:val="both"/>
      </w:pPr>
      <w:bookmarkStart w:id="3" w:name="Commissioners"/>
      <w:bookmarkEnd w:id="3"/>
      <w:r>
        <w:t>The following Commissioners participated in the disposition of this matter:</w:t>
      </w:r>
    </w:p>
    <w:p w14:paraId="1C39AEB7" w14:textId="77777777" w:rsidR="006B02DE" w:rsidRDefault="006B02DE" w:rsidP="00B67A43"/>
    <w:p w14:paraId="6BF06F94" w14:textId="77777777" w:rsidR="006B02DE" w:rsidRDefault="006B02DE" w:rsidP="00B67A43">
      <w:pPr>
        <w:jc w:val="center"/>
      </w:pPr>
      <w:r>
        <w:t>GARY F. CLARK, Chairman</w:t>
      </w:r>
    </w:p>
    <w:p w14:paraId="01F57D73" w14:textId="77777777" w:rsidR="006B02DE" w:rsidRDefault="006B02DE" w:rsidP="00B67A43">
      <w:pPr>
        <w:jc w:val="center"/>
      </w:pPr>
      <w:r>
        <w:t>ART GRAHAM</w:t>
      </w:r>
    </w:p>
    <w:p w14:paraId="41DA61D8" w14:textId="77777777" w:rsidR="006B02DE" w:rsidRDefault="006B02DE" w:rsidP="00B67A43">
      <w:pPr>
        <w:jc w:val="center"/>
      </w:pPr>
      <w:r>
        <w:t>JULIE I. BROWN</w:t>
      </w:r>
    </w:p>
    <w:p w14:paraId="71E876BB" w14:textId="77777777" w:rsidR="006B02DE" w:rsidRDefault="006B02DE" w:rsidP="00B67A43">
      <w:pPr>
        <w:jc w:val="center"/>
      </w:pPr>
      <w:r>
        <w:t>DONALD J. POLMANN</w:t>
      </w:r>
    </w:p>
    <w:p w14:paraId="7E1FDDEA" w14:textId="77777777" w:rsidR="006B02DE" w:rsidRDefault="006B02DE" w:rsidP="00B67A43">
      <w:pPr>
        <w:jc w:val="center"/>
      </w:pPr>
      <w:r>
        <w:t>ANDREW GILES FAY</w:t>
      </w:r>
    </w:p>
    <w:p w14:paraId="27914F1F" w14:textId="77777777" w:rsidR="006B02DE" w:rsidRDefault="006B02DE" w:rsidP="00B67A43"/>
    <w:p w14:paraId="0C952E82" w14:textId="77777777" w:rsidR="006B02DE" w:rsidRDefault="006B02DE" w:rsidP="006B02DE">
      <w:pPr>
        <w:pStyle w:val="OrderBody"/>
      </w:pPr>
    </w:p>
    <w:bookmarkStart w:id="4" w:name="OrderText"/>
    <w:bookmarkEnd w:id="4"/>
    <w:p w14:paraId="5225E753" w14:textId="4B3033AC" w:rsidR="006B02DE" w:rsidRPr="003E4B2D" w:rsidRDefault="006B02DE">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13283A8A" w14:textId="77777777" w:rsidR="00892C3C" w:rsidRDefault="006B02DE">
      <w:pPr>
        <w:pStyle w:val="OrderBody"/>
        <w:jc w:val="center"/>
        <w:rPr>
          <w:u w:val="single"/>
        </w:rPr>
      </w:pPr>
      <w:r w:rsidRPr="003E4B2D">
        <w:rPr>
          <w:u w:val="single"/>
        </w:rPr>
        <w:t>ORDER</w:t>
      </w:r>
      <w:bookmarkStart w:id="5" w:name="OrderTitle"/>
      <w:r>
        <w:rPr>
          <w:u w:val="single"/>
        </w:rPr>
        <w:t xml:space="preserve"> </w:t>
      </w:r>
      <w:r w:rsidR="00892C3C">
        <w:rPr>
          <w:u w:val="single"/>
        </w:rPr>
        <w:t>APPROVING RATE INCREASE FOR MERRITT ISLAND UTILITY COMPANY</w:t>
      </w:r>
      <w:r w:rsidR="00EE65B4">
        <w:rPr>
          <w:u w:val="single"/>
        </w:rPr>
        <w:t>, INC.</w:t>
      </w:r>
      <w:r w:rsidR="00892C3C">
        <w:rPr>
          <w:u w:val="single"/>
        </w:rPr>
        <w:t xml:space="preserve"> AND ORDER ON RECOVERY OF RATE CASE EXPENSES, TEMPORARY RATES, </w:t>
      </w:r>
    </w:p>
    <w:p w14:paraId="095A7C61" w14:textId="77777777" w:rsidR="006B02DE" w:rsidRPr="003E4B2D" w:rsidRDefault="00892C3C">
      <w:pPr>
        <w:pStyle w:val="OrderBody"/>
        <w:jc w:val="center"/>
        <w:rPr>
          <w:u w:val="single"/>
        </w:rPr>
      </w:pPr>
      <w:r>
        <w:rPr>
          <w:u w:val="single"/>
        </w:rPr>
        <w:t>AND ACCOUNTING ADJUSTMENTS</w:t>
      </w:r>
      <w:bookmarkEnd w:id="5"/>
    </w:p>
    <w:p w14:paraId="6F624A36" w14:textId="77777777" w:rsidR="006B02DE" w:rsidRDefault="006B02DE">
      <w:pPr>
        <w:pStyle w:val="OrderBody"/>
      </w:pPr>
    </w:p>
    <w:p w14:paraId="28C5E391" w14:textId="77777777" w:rsidR="00114F0A" w:rsidRPr="003E4B2D" w:rsidRDefault="00114F0A">
      <w:pPr>
        <w:pStyle w:val="OrderBody"/>
      </w:pPr>
    </w:p>
    <w:p w14:paraId="4AB80585" w14:textId="77777777" w:rsidR="006B02DE" w:rsidRPr="003E4B2D" w:rsidRDefault="006B02DE">
      <w:pPr>
        <w:pStyle w:val="OrderBody"/>
      </w:pPr>
      <w:r w:rsidRPr="003E4B2D">
        <w:t>BY THE COMMISSION:</w:t>
      </w:r>
    </w:p>
    <w:p w14:paraId="10B8A2F9" w14:textId="77777777" w:rsidR="006B02DE" w:rsidRPr="003E4B2D" w:rsidRDefault="006B02DE">
      <w:pPr>
        <w:pStyle w:val="OrderBody"/>
      </w:pPr>
    </w:p>
    <w:p w14:paraId="1650F444" w14:textId="77777777" w:rsidR="006B02DE" w:rsidRDefault="006B02DE">
      <w:pPr>
        <w:pStyle w:val="OrderBody"/>
      </w:pPr>
      <w:r w:rsidRPr="003E4B2D">
        <w:tab/>
      </w:r>
      <w:r w:rsidR="005954B3" w:rsidRPr="003E4B2D">
        <w:t>NOTICE is hereby given by the Florida Public Service Commission</w:t>
      </w:r>
      <w:r w:rsidR="005954B3">
        <w:t xml:space="preserve"> (Commission)</w:t>
      </w:r>
      <w:r w:rsidR="005954B3" w:rsidRPr="003E4B2D">
        <w:t xml:space="preserve"> that the action</w:t>
      </w:r>
      <w:r w:rsidR="005954B3">
        <w:t>s</w:t>
      </w:r>
      <w:r w:rsidR="005954B3" w:rsidRPr="003E4B2D">
        <w:t xml:space="preserve"> discussed herein</w:t>
      </w:r>
      <w:r w:rsidR="005954B3">
        <w:t xml:space="preserve">, </w:t>
      </w:r>
      <w:r w:rsidR="005954B3" w:rsidRPr="00351E1C">
        <w:t>except for (1) the reduction of rates after four years based upon the recovery of rate case expense, (2) the granting of temporary rates in the event of protest, and (3) the requirement for proof of adjustment of books and records</w:t>
      </w:r>
      <w:r w:rsidR="005954B3">
        <w:t>,</w:t>
      </w:r>
      <w:r w:rsidR="005954B3" w:rsidRPr="003E4B2D">
        <w:t xml:space="preserve"> </w:t>
      </w:r>
      <w:r w:rsidR="005954B3">
        <w:t>are</w:t>
      </w:r>
      <w:r w:rsidR="005954B3" w:rsidRPr="003E4B2D">
        <w:t xml:space="preserve"> preliminary in nature and will become final unless a person whose interests are substantially affected files a petition for a formal proceeding, pursuant to Rule 25-22.029, Flo</w:t>
      </w:r>
      <w:r w:rsidR="005954B3" w:rsidRPr="00B04683">
        <w:t>rida Administrative Code (F.A.C.).</w:t>
      </w:r>
      <w:r w:rsidR="005954B3">
        <w:t xml:space="preserve"> </w:t>
      </w:r>
      <w:r w:rsidR="005954B3" w:rsidRPr="00351E1C">
        <w:t>The reduction of rates after four years, the granting of temporary rates in the event of protest, and the requirement for proof of adjustment of books and recor</w:t>
      </w:r>
      <w:r w:rsidR="005954B3" w:rsidRPr="007B5118">
        <w:t>ds are procedural a</w:t>
      </w:r>
      <w:r w:rsidR="005954B3" w:rsidRPr="00351E1C">
        <w:t>gency actions and subject to reconsideration and appeal as described below under the heading, “NOTICE OF FURTHER PROCEEDINGS OR JUDICIAL REVIEW</w:t>
      </w:r>
      <w:r w:rsidR="005954B3">
        <w:t>.”</w:t>
      </w:r>
    </w:p>
    <w:p w14:paraId="3AB784F5" w14:textId="77777777" w:rsidR="00CB5276" w:rsidRPr="000C4B6E" w:rsidRDefault="00CB5276" w:rsidP="006B02DE"/>
    <w:p w14:paraId="2D7483F2" w14:textId="77777777" w:rsidR="006B02DE" w:rsidRPr="000C4B6E" w:rsidRDefault="006B02DE" w:rsidP="006B02DE">
      <w:pPr>
        <w:tabs>
          <w:tab w:val="left" w:pos="864"/>
          <w:tab w:val="right" w:pos="9360"/>
        </w:tabs>
        <w:jc w:val="center"/>
        <w:rPr>
          <w:b/>
        </w:rPr>
      </w:pPr>
      <w:r w:rsidRPr="000C4B6E">
        <w:rPr>
          <w:b/>
        </w:rPr>
        <w:t>Case Background</w:t>
      </w:r>
    </w:p>
    <w:p w14:paraId="69F6A5B1" w14:textId="77777777" w:rsidR="006B02DE" w:rsidRPr="006B02DE" w:rsidRDefault="006B02DE" w:rsidP="006B02DE">
      <w:pPr>
        <w:tabs>
          <w:tab w:val="left" w:pos="864"/>
          <w:tab w:val="right" w:pos="9360"/>
        </w:tabs>
        <w:jc w:val="center"/>
        <w:rPr>
          <w:rFonts w:ascii="Arial" w:hAnsi="Arial"/>
          <w:b/>
        </w:rPr>
      </w:pPr>
    </w:p>
    <w:p w14:paraId="363F5BC8" w14:textId="77777777" w:rsidR="006B02DE" w:rsidRPr="006B02DE" w:rsidRDefault="006B02DE" w:rsidP="006B02DE">
      <w:pPr>
        <w:spacing w:after="240"/>
        <w:jc w:val="both"/>
        <w:rPr>
          <w:rFonts w:cstheme="minorHAnsi"/>
        </w:rPr>
      </w:pPr>
      <w:r>
        <w:rPr>
          <w:rFonts w:cstheme="minorHAnsi"/>
        </w:rPr>
        <w:tab/>
      </w:r>
      <w:r w:rsidRPr="006B02DE">
        <w:rPr>
          <w:rFonts w:cstheme="minorHAnsi"/>
        </w:rPr>
        <w:t>Merritt Island Utility Company, Inc. (Merritt Island or Utility) is a Class C wastewater system serving approximately 141 residential customers and 1 general service bulk customer in Brevard County. Water service is provided by the City of Cocoa. According to the Utility’s 2018 Annual Report, total gross revenues were $65,442 and total operating expenses were $73,250, resulting in a net operating loss of $7,808.</w:t>
      </w:r>
    </w:p>
    <w:p w14:paraId="37B0D163" w14:textId="77777777" w:rsidR="006B02DE" w:rsidRPr="006B02DE" w:rsidRDefault="006B02DE" w:rsidP="006B02DE">
      <w:pPr>
        <w:spacing w:after="240"/>
        <w:jc w:val="both"/>
        <w:rPr>
          <w:rFonts w:cstheme="minorHAnsi"/>
        </w:rPr>
      </w:pPr>
      <w:r>
        <w:rPr>
          <w:rFonts w:cstheme="minorHAnsi"/>
        </w:rPr>
        <w:lastRenderedPageBreak/>
        <w:tab/>
      </w:r>
      <w:r w:rsidRPr="006B02DE">
        <w:rPr>
          <w:rFonts w:cstheme="minorHAnsi"/>
        </w:rPr>
        <w:t>Mobile Home Investors, Inc. was initially granted a certificate to operate a wastewater system in existence in 1974.</w:t>
      </w:r>
      <w:r w:rsidRPr="006B02DE">
        <w:rPr>
          <w:rFonts w:cstheme="minorHAnsi"/>
          <w:vertAlign w:val="superscript"/>
        </w:rPr>
        <w:footnoteReference w:id="1"/>
      </w:r>
      <w:r w:rsidRPr="006B02DE">
        <w:rPr>
          <w:rFonts w:cstheme="minorHAnsi"/>
        </w:rPr>
        <w:t xml:space="preserve"> The wastewater system was subsequently transferred several times.</w:t>
      </w:r>
      <w:r w:rsidRPr="006B02DE">
        <w:rPr>
          <w:rFonts w:cstheme="minorHAnsi"/>
          <w:vertAlign w:val="superscript"/>
        </w:rPr>
        <w:footnoteReference w:id="2"/>
      </w:r>
      <w:r w:rsidRPr="006B02DE">
        <w:rPr>
          <w:rFonts w:cstheme="minorHAnsi"/>
        </w:rPr>
        <w:t xml:space="preserve"> The most recent transfer to Merritt Island was approved in 2017.</w:t>
      </w:r>
      <w:r w:rsidRPr="006B02DE">
        <w:rPr>
          <w:rFonts w:cstheme="minorHAnsi"/>
          <w:vertAlign w:val="superscript"/>
        </w:rPr>
        <w:footnoteReference w:id="3"/>
      </w:r>
      <w:r w:rsidRPr="006B02DE">
        <w:rPr>
          <w:rFonts w:cstheme="minorHAnsi"/>
        </w:rPr>
        <w:t xml:space="preserve"> During the pendency of the transfer docket, it was discovered that the Utility was serving customers outside of its certificated territory. Consequently, Merritt Is</w:t>
      </w:r>
      <w:r w:rsidR="00034417">
        <w:rPr>
          <w:rFonts w:cstheme="minorHAnsi"/>
        </w:rPr>
        <w:t>land filed an application with</w:t>
      </w:r>
      <w:r w:rsidR="00EB73BF">
        <w:rPr>
          <w:rFonts w:cstheme="minorHAnsi"/>
        </w:rPr>
        <w:t xml:space="preserve"> us to </w:t>
      </w:r>
      <w:r w:rsidRPr="006B02DE">
        <w:rPr>
          <w:rFonts w:cstheme="minorHAnsi"/>
        </w:rPr>
        <w:t>amend its certificate to add territory in Brevard County, which was approved in Order No. PSC-2018-0243-FOF-SU.</w:t>
      </w:r>
      <w:r w:rsidRPr="006B02DE">
        <w:rPr>
          <w:rFonts w:cstheme="minorHAnsi"/>
          <w:vertAlign w:val="superscript"/>
        </w:rPr>
        <w:footnoteReference w:id="4"/>
      </w:r>
    </w:p>
    <w:p w14:paraId="155D929E" w14:textId="77777777" w:rsidR="006B02DE" w:rsidRPr="006B02DE" w:rsidRDefault="006B02DE" w:rsidP="006B02DE">
      <w:pPr>
        <w:spacing w:after="240"/>
        <w:jc w:val="both"/>
        <w:rPr>
          <w:rFonts w:cstheme="minorHAnsi"/>
        </w:rPr>
      </w:pPr>
      <w:r>
        <w:rPr>
          <w:rFonts w:cstheme="minorHAnsi"/>
        </w:rPr>
        <w:tab/>
      </w:r>
      <w:r w:rsidRPr="006B02DE">
        <w:rPr>
          <w:rFonts w:cstheme="minorHAnsi"/>
        </w:rPr>
        <w:t>Rate base was last established for the Utility in a 2008 staff-assisted rate case (SARC).</w:t>
      </w:r>
      <w:r w:rsidRPr="006B02DE">
        <w:rPr>
          <w:rFonts w:cstheme="minorHAnsi"/>
          <w:vertAlign w:val="superscript"/>
        </w:rPr>
        <w:footnoteReference w:id="5"/>
      </w:r>
      <w:r w:rsidRPr="006B02DE">
        <w:rPr>
          <w:rFonts w:cstheme="minorHAnsi"/>
        </w:rPr>
        <w:t xml:space="preserve"> In addition, net book value for transfer purposes was updated to reflect balances as of December 22, 2016, when the system was transferred to Merritt Island. The Utility’s test year rates became effective on June 13, 2018, following approval of a 2018 price index rate adjustment.</w:t>
      </w:r>
    </w:p>
    <w:p w14:paraId="41CE6E19" w14:textId="77777777" w:rsidR="006B02DE" w:rsidRPr="006B02DE" w:rsidRDefault="006B02DE" w:rsidP="00087B92">
      <w:pPr>
        <w:spacing w:after="240"/>
        <w:jc w:val="both"/>
      </w:pPr>
      <w:r>
        <w:rPr>
          <w:rFonts w:cstheme="minorHAnsi"/>
        </w:rPr>
        <w:tab/>
      </w:r>
      <w:r w:rsidRPr="006B02DE">
        <w:rPr>
          <w:rFonts w:cstheme="minorHAnsi"/>
        </w:rPr>
        <w:t xml:space="preserve">On May 16, 2019, Merritt Island filed an application for a SARC. The Utility requested the 12-month period ended March 31, 2019, as the test year for purposes of both interim and final rates. </w:t>
      </w:r>
      <w:r w:rsidR="00034417">
        <w:rPr>
          <w:rFonts w:cstheme="minorHAnsi"/>
        </w:rPr>
        <w:t>We</w:t>
      </w:r>
      <w:r w:rsidRPr="006B02DE">
        <w:rPr>
          <w:rFonts w:cstheme="minorHAnsi"/>
        </w:rPr>
        <w:t xml:space="preserve"> approved a 5.38 percent interim increase in Order No. PSC-2019-0309-PCO-SU.</w:t>
      </w:r>
      <w:r w:rsidRPr="006B02DE">
        <w:rPr>
          <w:rFonts w:cstheme="minorHAnsi"/>
          <w:vertAlign w:val="superscript"/>
        </w:rPr>
        <w:footnoteReference w:id="6"/>
      </w:r>
      <w:r w:rsidRPr="006B02DE">
        <w:rPr>
          <w:rFonts w:cstheme="minorHAnsi"/>
        </w:rPr>
        <w:t xml:space="preserve"> </w:t>
      </w:r>
      <w:r w:rsidRPr="006B02DE">
        <w:t xml:space="preserve">A customer meeting was held in Merritt Island, Florida on November 4, 2019. </w:t>
      </w:r>
    </w:p>
    <w:p w14:paraId="27627F7D" w14:textId="77777777" w:rsidR="00D57E57" w:rsidRDefault="006B02DE" w:rsidP="00087B92">
      <w:pPr>
        <w:jc w:val="both"/>
        <w:rPr>
          <w:rFonts w:cstheme="minorHAnsi"/>
        </w:rPr>
      </w:pPr>
      <w:r>
        <w:rPr>
          <w:rFonts w:cstheme="minorHAnsi"/>
        </w:rPr>
        <w:tab/>
      </w:r>
      <w:r w:rsidR="00034417">
        <w:rPr>
          <w:rFonts w:cstheme="minorHAnsi"/>
        </w:rPr>
        <w:t>We have</w:t>
      </w:r>
      <w:r w:rsidRPr="006B02DE">
        <w:rPr>
          <w:rFonts w:cstheme="minorHAnsi"/>
        </w:rPr>
        <w:t xml:space="preserve"> jurisdiction in this case pursuant to Sections 367.011, 367.081, 367.0812, 367.0814, and 367.121, Florida Statutes (F.S.)</w:t>
      </w:r>
    </w:p>
    <w:p w14:paraId="08C1A00D" w14:textId="77777777" w:rsidR="006B02DE" w:rsidRDefault="006B02DE" w:rsidP="006B02DE">
      <w:pPr>
        <w:rPr>
          <w:rFonts w:cstheme="minorHAnsi"/>
        </w:rPr>
      </w:pPr>
    </w:p>
    <w:p w14:paraId="0725CAB3" w14:textId="77777777" w:rsidR="00034417" w:rsidRDefault="00034417" w:rsidP="006B02DE">
      <w:pPr>
        <w:rPr>
          <w:rFonts w:cstheme="minorHAnsi"/>
        </w:rPr>
      </w:pPr>
    </w:p>
    <w:p w14:paraId="4FDDDC70" w14:textId="77777777" w:rsidR="00034417" w:rsidRDefault="00034417" w:rsidP="006B02DE">
      <w:pPr>
        <w:rPr>
          <w:rFonts w:cstheme="minorHAnsi"/>
        </w:rPr>
      </w:pPr>
    </w:p>
    <w:p w14:paraId="0D5EA35C" w14:textId="77777777" w:rsidR="00F32C4B" w:rsidRDefault="00F32C4B" w:rsidP="006B02DE">
      <w:pPr>
        <w:rPr>
          <w:rFonts w:cstheme="minorHAnsi"/>
        </w:rPr>
      </w:pPr>
    </w:p>
    <w:p w14:paraId="02ADBEC4" w14:textId="77777777" w:rsidR="00F32C4B" w:rsidRDefault="00034417" w:rsidP="00F32C4B">
      <w:pPr>
        <w:keepNext/>
        <w:contextualSpacing/>
        <w:jc w:val="center"/>
        <w:outlineLvl w:val="0"/>
        <w:rPr>
          <w:b/>
          <w:bCs/>
          <w:kern w:val="32"/>
        </w:rPr>
      </w:pPr>
      <w:bookmarkStart w:id="6" w:name="DiscussionOfIssues"/>
      <w:r w:rsidRPr="00EB73BF">
        <w:rPr>
          <w:b/>
          <w:bCs/>
          <w:kern w:val="32"/>
        </w:rPr>
        <w:t>Review and Decision</w:t>
      </w:r>
    </w:p>
    <w:p w14:paraId="5E7C1D79" w14:textId="77777777" w:rsidR="00F32C4B" w:rsidRPr="00EB73BF" w:rsidRDefault="00F32C4B" w:rsidP="00EB73BF">
      <w:pPr>
        <w:keepNext/>
        <w:contextualSpacing/>
        <w:jc w:val="both"/>
        <w:outlineLvl w:val="0"/>
        <w:rPr>
          <w:b/>
          <w:bCs/>
          <w:kern w:val="32"/>
        </w:rPr>
      </w:pPr>
    </w:p>
    <w:bookmarkEnd w:id="6"/>
    <w:p w14:paraId="5A83949B" w14:textId="77777777" w:rsidR="00034417" w:rsidRDefault="00034417" w:rsidP="00EB73BF">
      <w:pPr>
        <w:contextualSpacing/>
        <w:jc w:val="both"/>
      </w:pPr>
      <w:r w:rsidRPr="00EB73BF">
        <w:rPr>
          <w:u w:val="single"/>
        </w:rPr>
        <w:t>1. Quality of Service</w:t>
      </w:r>
      <w:r w:rsidR="006B02DE" w:rsidRPr="00EB73BF">
        <w:tab/>
      </w:r>
    </w:p>
    <w:p w14:paraId="04E8F380" w14:textId="77777777" w:rsidR="00F32C4B" w:rsidRPr="00EB73BF" w:rsidRDefault="00F32C4B" w:rsidP="00EB73BF">
      <w:pPr>
        <w:contextualSpacing/>
        <w:jc w:val="both"/>
      </w:pPr>
    </w:p>
    <w:p w14:paraId="77D22C45" w14:textId="77777777" w:rsidR="006B02DE" w:rsidRDefault="006B02DE" w:rsidP="00EB73BF">
      <w:pPr>
        <w:ind w:firstLine="720"/>
        <w:contextualSpacing/>
        <w:jc w:val="both"/>
      </w:pPr>
      <w:r w:rsidRPr="00EB73BF">
        <w:t xml:space="preserve">Pursuant to Rule 25-30.433(1), Florida Administrative Code (F.A.C.), in every rate case, </w:t>
      </w:r>
      <w:r w:rsidR="00EB73BF" w:rsidRPr="00EB73BF">
        <w:t xml:space="preserve"> we </w:t>
      </w:r>
      <w:r w:rsidRPr="00EB73BF">
        <w:t>shall make a determination of the quality of service provided by the utility by evaluating the quality of the utility’s product (water) and the utility’s attempt to address customer satisfaction (water and wastewater). As a wastewater only utility, this evaluation was limited to the utility’s attempt to address customer satisfaction. The Rule further states that the most recent chemical analyses, outstanding citations, violations, and consent orders on file with the Florida Department of Environmental Protection (DEP) and the county health department, along with any DEP and county health department officials’ testimony concerning quality of service shall be considered. In addition, any customer testimony, comments, or complaints shall also be considered.</w:t>
      </w:r>
    </w:p>
    <w:p w14:paraId="54F94ACD" w14:textId="77777777" w:rsidR="00F32C4B" w:rsidRPr="00EB73BF" w:rsidRDefault="00F32C4B" w:rsidP="00EB73BF">
      <w:pPr>
        <w:ind w:firstLine="720"/>
        <w:contextualSpacing/>
        <w:jc w:val="both"/>
      </w:pPr>
    </w:p>
    <w:p w14:paraId="7AB77E80" w14:textId="77777777" w:rsidR="006B02DE" w:rsidRDefault="00034417" w:rsidP="00EB73BF">
      <w:pPr>
        <w:contextualSpacing/>
        <w:jc w:val="both"/>
        <w:rPr>
          <w:i/>
        </w:rPr>
      </w:pPr>
      <w:r w:rsidRPr="00EB73BF">
        <w:rPr>
          <w:i/>
        </w:rPr>
        <w:t xml:space="preserve">A. The Utility’s Attempt to Address Customer Satisfaction </w:t>
      </w:r>
    </w:p>
    <w:p w14:paraId="6C7CE125" w14:textId="77777777" w:rsidR="00F32C4B" w:rsidRPr="00EB73BF" w:rsidRDefault="00F32C4B" w:rsidP="00EB73BF">
      <w:pPr>
        <w:contextualSpacing/>
        <w:jc w:val="both"/>
        <w:rPr>
          <w:i/>
        </w:rPr>
      </w:pPr>
    </w:p>
    <w:p w14:paraId="0DD630F8" w14:textId="77777777" w:rsidR="006B02DE" w:rsidRDefault="006B02DE" w:rsidP="00EB73BF">
      <w:pPr>
        <w:contextualSpacing/>
        <w:jc w:val="both"/>
      </w:pPr>
      <w:r w:rsidRPr="00EB73BF">
        <w:tab/>
        <w:t xml:space="preserve">On November 4, 2019, a customer meeting was held at the Merritt Island Public Library to receive customer comments concerning quality of service. No customers attended the meeting. A review of </w:t>
      </w:r>
      <w:r w:rsidR="00962DE3" w:rsidRPr="00EB73BF">
        <w:t xml:space="preserve">our </w:t>
      </w:r>
      <w:r w:rsidRPr="00EB73BF">
        <w:t>complaint tracking system revealed two customer complaints against the Utility during the previous five-year period. Both complaints were filed by the same customer, and both concerned the condition of a road and issues with the collection system. The Utility has not received any customer complaints aside from the two previously discussed. No complaints were received by the DEP.</w:t>
      </w:r>
    </w:p>
    <w:p w14:paraId="6D215C8D" w14:textId="77777777" w:rsidR="00F32C4B" w:rsidRPr="00EB73BF" w:rsidRDefault="00F32C4B" w:rsidP="00EB73BF">
      <w:pPr>
        <w:contextualSpacing/>
        <w:jc w:val="both"/>
      </w:pPr>
    </w:p>
    <w:p w14:paraId="33E891D9" w14:textId="77777777" w:rsidR="006B02DE" w:rsidRDefault="006B02DE" w:rsidP="00EB73BF">
      <w:pPr>
        <w:contextualSpacing/>
        <w:jc w:val="both"/>
      </w:pPr>
      <w:r w:rsidRPr="00EB73BF">
        <w:tab/>
        <w:t>In response to the first complaint dated June 6, 2017, the Utility had an employee evaluate the situation, apply a patch to the road, and explain to the customer what further repairs may be needed. The customer raised the same concern approximately 11 months after the initial complaint. The Utility responded to the customer, and explained that it is continuing to evaluate a long-term solution to the issue. Merritt Island did note that it examined the patch and determined it to be stable. Merritt Island is aware that under this road, along with a few other streets, the wastewater collection mains will eventually need to be replaced. However, the Utility does not plan to begin construction at this time.</w:t>
      </w:r>
    </w:p>
    <w:p w14:paraId="7C2FF8C9" w14:textId="77777777" w:rsidR="00F32C4B" w:rsidRPr="00EB73BF" w:rsidRDefault="00F32C4B" w:rsidP="00EB73BF">
      <w:pPr>
        <w:contextualSpacing/>
        <w:jc w:val="both"/>
      </w:pPr>
    </w:p>
    <w:p w14:paraId="576837BF" w14:textId="77777777" w:rsidR="006B02DE" w:rsidRPr="00EB73BF" w:rsidRDefault="00962DE3" w:rsidP="00EB73BF">
      <w:pPr>
        <w:contextualSpacing/>
        <w:jc w:val="both"/>
        <w:rPr>
          <w:i/>
        </w:rPr>
      </w:pPr>
      <w:r w:rsidRPr="00EB73BF">
        <w:rPr>
          <w:i/>
        </w:rPr>
        <w:t>B. Conclusion</w:t>
      </w:r>
    </w:p>
    <w:p w14:paraId="542F769F" w14:textId="77777777" w:rsidR="006B02DE" w:rsidRPr="00EB73BF" w:rsidRDefault="006B02DE" w:rsidP="00EB73BF">
      <w:pPr>
        <w:contextualSpacing/>
        <w:jc w:val="both"/>
        <w:rPr>
          <w:b/>
        </w:rPr>
      </w:pPr>
    </w:p>
    <w:p w14:paraId="3BE6A29B" w14:textId="77777777" w:rsidR="006B02DE" w:rsidRPr="00EB73BF" w:rsidRDefault="006B02DE" w:rsidP="00EB73BF">
      <w:pPr>
        <w:contextualSpacing/>
        <w:jc w:val="both"/>
      </w:pPr>
      <w:r w:rsidRPr="00EB73BF">
        <w:tab/>
        <w:t xml:space="preserve">Merritt Island has been responsive to its customer complaints; therefore, </w:t>
      </w:r>
      <w:r w:rsidR="00962DE3" w:rsidRPr="00EB73BF">
        <w:t xml:space="preserve">we find </w:t>
      </w:r>
      <w:r w:rsidRPr="00EB73BF">
        <w:t>that the quality of service be considered satisfactory.</w:t>
      </w:r>
    </w:p>
    <w:p w14:paraId="19F8DCEB" w14:textId="77777777" w:rsidR="00962DE3" w:rsidRPr="00EB73BF" w:rsidRDefault="00962DE3" w:rsidP="00EB73BF">
      <w:pPr>
        <w:contextualSpacing/>
        <w:jc w:val="both"/>
      </w:pPr>
    </w:p>
    <w:p w14:paraId="7B3FD738" w14:textId="77777777" w:rsidR="00962DE3" w:rsidRPr="00EB73BF" w:rsidRDefault="00962DE3" w:rsidP="00EB73BF">
      <w:pPr>
        <w:contextualSpacing/>
        <w:jc w:val="both"/>
        <w:rPr>
          <w:u w:val="single"/>
        </w:rPr>
      </w:pPr>
      <w:r w:rsidRPr="00EB73BF">
        <w:rPr>
          <w:u w:val="single"/>
        </w:rPr>
        <w:t>2. Infrastructure and Operational Conditions</w:t>
      </w:r>
    </w:p>
    <w:p w14:paraId="5B3073DB" w14:textId="77777777" w:rsidR="006B02DE" w:rsidRPr="00EB73BF" w:rsidRDefault="006B02DE" w:rsidP="00EB73BF">
      <w:pPr>
        <w:contextualSpacing/>
        <w:jc w:val="both"/>
      </w:pPr>
    </w:p>
    <w:p w14:paraId="6CD983C7" w14:textId="77777777" w:rsidR="006B02DE" w:rsidRDefault="006B02DE" w:rsidP="00EB73BF">
      <w:pPr>
        <w:contextualSpacing/>
        <w:jc w:val="both"/>
      </w:pPr>
      <w:r w:rsidRPr="00EB73BF">
        <w:tab/>
        <w:t xml:space="preserve">Rule 25-30.225(2), F.A.C., requires each wastewater utility to maintain and operate its plant and facilities by employing qualified operators in accordance with the rules of the DEP. Rule 25-30.433(2), F.A.C., requires consideration of whether the infrastructure and operating conditions of the plant and facilities are in compliance with Rule 25-30.225, F.A.C. ln making this determination, </w:t>
      </w:r>
      <w:r w:rsidR="00962DE3" w:rsidRPr="00EB73BF">
        <w:t>we</w:t>
      </w:r>
      <w:r w:rsidRPr="00EB73BF">
        <w:t xml:space="preserve"> must consider testimony of the DEP and county health department officials, compliance evaluation inspections, citations, violations, and consent orders issued to the utility, customer testimony, comments, and complaints, and utility testimony and responses to the aforementioned items.</w:t>
      </w:r>
    </w:p>
    <w:p w14:paraId="6FA166B8" w14:textId="77777777" w:rsidR="00F32C4B" w:rsidRPr="00EB73BF" w:rsidRDefault="00F32C4B" w:rsidP="00EB73BF">
      <w:pPr>
        <w:contextualSpacing/>
        <w:jc w:val="both"/>
      </w:pPr>
    </w:p>
    <w:p w14:paraId="1DEEA3BF" w14:textId="77777777" w:rsidR="006B02DE" w:rsidRDefault="006B02DE" w:rsidP="00EB73BF">
      <w:pPr>
        <w:contextualSpacing/>
        <w:jc w:val="both"/>
      </w:pPr>
      <w:r w:rsidRPr="00EB73BF">
        <w:tab/>
        <w:t>Merritt Island's wastewater treatment plant (WWTP) is a 0.070 million gallon per day (MGD) annual average daily flow (AADF) extended aeration domestic WWTP consisting of aeration, secondary clarification, chlorination, and aerobic digestion of biosolids. Since acquiring the wastewater treatment system, the Utility has made several improvements to bring the system into compliance with the DEP requirements. In response to a November 14, 2019 warning letter issued by the DEP, Merritt Island is working to address vegetation growth in the three rapid infiltration basins (RIB).</w:t>
      </w:r>
      <w:r w:rsidRPr="00EB73BF">
        <w:rPr>
          <w:color w:val="00B050"/>
        </w:rPr>
        <w:t xml:space="preserve"> </w:t>
      </w:r>
      <w:r w:rsidRPr="00EB73BF">
        <w:t>Merritt Island met with DEP personnel on January 9, 2020, to address the matter. The Utility discussed the improvements to the WWTP that it made, the improvements currently underway, and the planned improvements to the plant. To date, the Utility has:</w:t>
      </w:r>
    </w:p>
    <w:p w14:paraId="670C9673" w14:textId="77777777" w:rsidR="00F32C4B" w:rsidRPr="00EB73BF" w:rsidRDefault="00F32C4B" w:rsidP="00EB73BF">
      <w:pPr>
        <w:contextualSpacing/>
        <w:jc w:val="both"/>
      </w:pPr>
    </w:p>
    <w:p w14:paraId="68F49F3A" w14:textId="77777777" w:rsidR="006B02DE" w:rsidRPr="00EB73BF" w:rsidRDefault="006B02DE" w:rsidP="00EB73BF">
      <w:pPr>
        <w:numPr>
          <w:ilvl w:val="0"/>
          <w:numId w:val="1"/>
        </w:numPr>
        <w:contextualSpacing/>
        <w:jc w:val="both"/>
      </w:pPr>
      <w:r w:rsidRPr="00EB73BF">
        <w:t>Removed four truckloads of grit, sand, old piping, and debris from aeration bays.</w:t>
      </w:r>
    </w:p>
    <w:p w14:paraId="0B8D7207" w14:textId="77777777" w:rsidR="006B02DE" w:rsidRPr="00EB73BF" w:rsidRDefault="006B02DE" w:rsidP="00EB73BF">
      <w:pPr>
        <w:numPr>
          <w:ilvl w:val="0"/>
          <w:numId w:val="1"/>
        </w:numPr>
        <w:contextualSpacing/>
        <w:jc w:val="both"/>
      </w:pPr>
      <w:r w:rsidRPr="00EB73BF">
        <w:t>Installed all new fine bubble diffusers.</w:t>
      </w:r>
    </w:p>
    <w:p w14:paraId="4C5C36FB" w14:textId="77777777" w:rsidR="006B02DE" w:rsidRPr="00EB73BF" w:rsidRDefault="006B02DE" w:rsidP="00EB73BF">
      <w:pPr>
        <w:numPr>
          <w:ilvl w:val="0"/>
          <w:numId w:val="1"/>
        </w:numPr>
        <w:contextualSpacing/>
        <w:jc w:val="both"/>
      </w:pPr>
      <w:r w:rsidRPr="00EB73BF">
        <w:t>Installed a new bar screen and headworks piping.</w:t>
      </w:r>
    </w:p>
    <w:p w14:paraId="08B61D1E" w14:textId="77777777" w:rsidR="006B02DE" w:rsidRPr="00EB73BF" w:rsidRDefault="006B02DE" w:rsidP="00EB73BF">
      <w:pPr>
        <w:numPr>
          <w:ilvl w:val="0"/>
          <w:numId w:val="1"/>
        </w:numPr>
        <w:contextualSpacing/>
        <w:jc w:val="both"/>
      </w:pPr>
      <w:r w:rsidRPr="00EB73BF">
        <w:t>Installed two new blowers and air header.</w:t>
      </w:r>
    </w:p>
    <w:p w14:paraId="4D87CAE2" w14:textId="77777777" w:rsidR="006B02DE" w:rsidRPr="00EB73BF" w:rsidRDefault="006B02DE" w:rsidP="00EB73BF">
      <w:pPr>
        <w:numPr>
          <w:ilvl w:val="0"/>
          <w:numId w:val="1"/>
        </w:numPr>
        <w:contextualSpacing/>
        <w:jc w:val="both"/>
      </w:pPr>
      <w:r w:rsidRPr="00EB73BF">
        <w:t>Installed a new panel box, controls, conduit and outlet plugs.</w:t>
      </w:r>
    </w:p>
    <w:p w14:paraId="6D7F28C6" w14:textId="77777777" w:rsidR="006B02DE" w:rsidRDefault="006B02DE" w:rsidP="00EB73BF">
      <w:pPr>
        <w:numPr>
          <w:ilvl w:val="0"/>
          <w:numId w:val="1"/>
        </w:numPr>
        <w:contextualSpacing/>
        <w:jc w:val="both"/>
      </w:pPr>
      <w:r w:rsidRPr="00EB73BF">
        <w:t>Cleaned out two of the three RIBs.</w:t>
      </w:r>
    </w:p>
    <w:p w14:paraId="424C2A9E" w14:textId="77777777" w:rsidR="00F32C4B" w:rsidRPr="00EB73BF" w:rsidRDefault="00F32C4B" w:rsidP="00F32C4B">
      <w:pPr>
        <w:ind w:left="720"/>
        <w:contextualSpacing/>
        <w:jc w:val="both"/>
      </w:pPr>
    </w:p>
    <w:p w14:paraId="7F0BBE72" w14:textId="77777777" w:rsidR="006B02DE" w:rsidRDefault="006B02DE" w:rsidP="00EB73BF">
      <w:pPr>
        <w:contextualSpacing/>
        <w:jc w:val="both"/>
      </w:pPr>
      <w:r w:rsidRPr="00EB73BF">
        <w:tab/>
        <w:t>The third RIB is still drying out from the area’s rainy season. When dry, the vegetation and sludge will be removed. During its meeting with the DEP, the Utility discussed entering into a Consent Order in which the Utility would propose additional improvements to the plant in lieu of a direct fine. The Utility is otherwise in compliance with the DEP requirements.</w:t>
      </w:r>
    </w:p>
    <w:p w14:paraId="00960D76" w14:textId="77777777" w:rsidR="00F32C4B" w:rsidRPr="00EB73BF" w:rsidRDefault="00F32C4B" w:rsidP="00EB73BF">
      <w:pPr>
        <w:contextualSpacing/>
        <w:jc w:val="both"/>
      </w:pPr>
    </w:p>
    <w:p w14:paraId="178F06AA" w14:textId="77777777" w:rsidR="006B02DE" w:rsidRPr="00EB73BF" w:rsidRDefault="006B02DE" w:rsidP="00EB73BF">
      <w:pPr>
        <w:contextualSpacing/>
        <w:jc w:val="both"/>
      </w:pPr>
      <w:r w:rsidRPr="00EB73BF">
        <w:tab/>
        <w:t>Merritt Island's wastewater system is not currently in compliance with the DEP, but the Utility is working to address the issues noted by the DEP.</w:t>
      </w:r>
    </w:p>
    <w:p w14:paraId="64FF7455" w14:textId="77777777" w:rsidR="006B02DE" w:rsidRPr="00EB73BF" w:rsidRDefault="006B02DE" w:rsidP="00EB73BF">
      <w:pPr>
        <w:contextualSpacing/>
        <w:jc w:val="both"/>
      </w:pPr>
    </w:p>
    <w:p w14:paraId="371EDEA6" w14:textId="77777777" w:rsidR="006B02DE" w:rsidRDefault="00EF560C" w:rsidP="00EB73BF">
      <w:pPr>
        <w:contextualSpacing/>
        <w:jc w:val="both"/>
        <w:outlineLvl w:val="0"/>
        <w:rPr>
          <w:bCs/>
          <w:kern w:val="32"/>
          <w:u w:val="single"/>
        </w:rPr>
      </w:pPr>
      <w:r w:rsidRPr="00EB73BF">
        <w:rPr>
          <w:bCs/>
          <w:kern w:val="32"/>
          <w:u w:val="single"/>
        </w:rPr>
        <w:t>3. Used and Useful (U&amp;U)</w:t>
      </w:r>
    </w:p>
    <w:p w14:paraId="3650488B" w14:textId="77777777" w:rsidR="00B82C80" w:rsidRDefault="00B82C80" w:rsidP="00EB73BF">
      <w:pPr>
        <w:contextualSpacing/>
        <w:jc w:val="both"/>
        <w:outlineLvl w:val="0"/>
        <w:rPr>
          <w:bCs/>
          <w:kern w:val="32"/>
          <w:u w:val="single"/>
        </w:rPr>
      </w:pPr>
    </w:p>
    <w:p w14:paraId="15E20F5E" w14:textId="77777777" w:rsidR="006B02DE" w:rsidRDefault="006B02DE" w:rsidP="00EB73BF">
      <w:pPr>
        <w:contextualSpacing/>
        <w:jc w:val="both"/>
      </w:pPr>
      <w:r w:rsidRPr="00EB73BF">
        <w:tab/>
        <w:t>Pursuant to Rule 25-30.432, F.A.C., the U&amp;U percentage of a WWTP is based on the plant flows, growth allowance, I&amp;I and the plant permitted capacity. Other factors, such as whether the service area is built out and whether the plant flows have decreased due to conservation may also be considered. The DEP permitted capacity is currently at 70,000 gallons per day (gpd) based on the annual average daily flow. The collection system is composed of clay and polyvinyl chloride pipes, and two lift stations.</w:t>
      </w:r>
    </w:p>
    <w:p w14:paraId="1C745474" w14:textId="77777777" w:rsidR="00F32C4B" w:rsidRPr="00EB73BF" w:rsidRDefault="00F32C4B" w:rsidP="00EB73BF">
      <w:pPr>
        <w:contextualSpacing/>
        <w:jc w:val="both"/>
      </w:pPr>
    </w:p>
    <w:p w14:paraId="35D8AEAC" w14:textId="77777777" w:rsidR="006B02DE" w:rsidRPr="00EB73BF" w:rsidRDefault="006B02DE" w:rsidP="00EB73BF">
      <w:pPr>
        <w:pStyle w:val="ListParagraph"/>
        <w:numPr>
          <w:ilvl w:val="0"/>
          <w:numId w:val="14"/>
        </w:numPr>
        <w:jc w:val="both"/>
        <w:outlineLvl w:val="2"/>
        <w:rPr>
          <w:bCs/>
          <w:i/>
          <w:iCs/>
        </w:rPr>
      </w:pPr>
      <w:r w:rsidRPr="00EB73BF">
        <w:rPr>
          <w:bCs/>
          <w:i/>
          <w:iCs/>
        </w:rPr>
        <w:t>WWTP and Collection System U&amp;U</w:t>
      </w:r>
    </w:p>
    <w:p w14:paraId="54B1CFBB" w14:textId="77777777" w:rsidR="006B02DE" w:rsidRPr="00EB73BF" w:rsidRDefault="006B02DE" w:rsidP="00EB73BF">
      <w:pPr>
        <w:contextualSpacing/>
        <w:jc w:val="both"/>
        <w:outlineLvl w:val="2"/>
        <w:rPr>
          <w:b/>
          <w:bCs/>
          <w:iCs/>
        </w:rPr>
      </w:pPr>
    </w:p>
    <w:p w14:paraId="447B0B34" w14:textId="77777777" w:rsidR="006B02DE" w:rsidRDefault="006B02DE" w:rsidP="00EB73BF">
      <w:pPr>
        <w:contextualSpacing/>
        <w:jc w:val="both"/>
      </w:pPr>
      <w:r w:rsidRPr="00EB73BF">
        <w:tab/>
        <w:t xml:space="preserve">The Utility indicated in its application that it has 141 mobile home connections in its service area, with no vacant lots. The Utility has one bulk customer that serves 120 equivalent residential connections. During the previous SARC, </w:t>
      </w:r>
      <w:r w:rsidR="00F32C4B">
        <w:t xml:space="preserve">our </w:t>
      </w:r>
      <w:r w:rsidRPr="00EB73BF">
        <w:t>staff conducted a field inspection and confirmed that the service area is built out.</w:t>
      </w:r>
      <w:r w:rsidRPr="00EB73BF">
        <w:rPr>
          <w:vertAlign w:val="superscript"/>
        </w:rPr>
        <w:footnoteReference w:id="7"/>
      </w:r>
      <w:r w:rsidR="00F32C4B">
        <w:t xml:space="preserve"> In that same rate case, we</w:t>
      </w:r>
      <w:r w:rsidRPr="00EB73BF">
        <w:t xml:space="preserve"> found the WWTP and collection system to be 100 percent U&amp;U. Since that time there have been no changes to the collection system and there are no plans for expansion. Because the service area is built out and there are no plans for expansion, </w:t>
      </w:r>
      <w:r w:rsidR="00BE02F1" w:rsidRPr="00EB73BF">
        <w:t>we find</w:t>
      </w:r>
      <w:r w:rsidRPr="00EB73BF">
        <w:t xml:space="preserve"> that the WWTP and collection system s</w:t>
      </w:r>
      <w:r w:rsidR="00BE02F1" w:rsidRPr="00EB73BF">
        <w:t>hall</w:t>
      </w:r>
      <w:r w:rsidRPr="00EB73BF">
        <w:t xml:space="preserve"> be considered 100 percent U&amp;U.</w:t>
      </w:r>
    </w:p>
    <w:p w14:paraId="3F69B4AA" w14:textId="77777777" w:rsidR="00F32C4B" w:rsidRPr="00EB73BF" w:rsidRDefault="00F32C4B" w:rsidP="00EB73BF">
      <w:pPr>
        <w:contextualSpacing/>
        <w:jc w:val="both"/>
      </w:pPr>
    </w:p>
    <w:p w14:paraId="5544B160" w14:textId="77777777" w:rsidR="006B02DE" w:rsidRPr="00EB73BF" w:rsidRDefault="006B02DE" w:rsidP="00EB73BF">
      <w:pPr>
        <w:pStyle w:val="ListParagraph"/>
        <w:numPr>
          <w:ilvl w:val="0"/>
          <w:numId w:val="14"/>
        </w:numPr>
        <w:jc w:val="both"/>
        <w:outlineLvl w:val="2"/>
        <w:rPr>
          <w:bCs/>
          <w:i/>
          <w:iCs/>
        </w:rPr>
      </w:pPr>
      <w:r w:rsidRPr="00EB73BF">
        <w:rPr>
          <w:bCs/>
          <w:i/>
          <w:iCs/>
        </w:rPr>
        <w:t>Infiltration and Inflow</w:t>
      </w:r>
    </w:p>
    <w:p w14:paraId="4755A4FD" w14:textId="77777777" w:rsidR="006B02DE" w:rsidRPr="00EB73BF" w:rsidRDefault="006B02DE" w:rsidP="00EB73BF">
      <w:pPr>
        <w:contextualSpacing/>
        <w:jc w:val="both"/>
        <w:outlineLvl w:val="2"/>
        <w:rPr>
          <w:b/>
          <w:bCs/>
          <w:iCs/>
        </w:rPr>
      </w:pPr>
    </w:p>
    <w:p w14:paraId="3BA75414" w14:textId="77777777" w:rsidR="006B02DE" w:rsidRDefault="006B02DE" w:rsidP="00EB73BF">
      <w:pPr>
        <w:contextualSpacing/>
        <w:jc w:val="both"/>
      </w:pPr>
      <w:r w:rsidRPr="00EB73BF">
        <w:tab/>
        <w:t xml:space="preserve">Rule 25-30.432, F.A.C., provides that in determining the amount of U&amp;U plant, </w:t>
      </w:r>
      <w:r w:rsidR="00EF560C" w:rsidRPr="00EB73BF">
        <w:t>we</w:t>
      </w:r>
      <w:r w:rsidRPr="00EB73BF">
        <w:t xml:space="preserve"> will consider I&amp;I. </w:t>
      </w:r>
      <w:r w:rsidR="00EF560C" w:rsidRPr="00EB73BF">
        <w:t>We calculate</w:t>
      </w:r>
      <w:r w:rsidRPr="00EB73BF">
        <w:t xml:space="preserve"> the allowable infiltration based on s</w:t>
      </w:r>
      <w:r w:rsidR="00EF560C" w:rsidRPr="00EB73BF">
        <w:t>ystem parameters, and calculate</w:t>
      </w:r>
      <w:r w:rsidRPr="00EB73BF">
        <w:t xml:space="preserve"> the allowable inflow based on water sold to customers. The sum of these amounts is the allowable I&amp;I. </w:t>
      </w:r>
      <w:r w:rsidR="00EF560C" w:rsidRPr="00EB73BF">
        <w:t>We next calculate</w:t>
      </w:r>
      <w:r w:rsidRPr="00EB73BF">
        <w:t xml:space="preserve"> the estimated amount of wastewater returned from customers. The estimated return is determined by summing 80 percent of the water sold to residential customers with 90 percent of the water sold to non-residential customers. Adding the estimated return to the allowable I&amp;I yields the maximum amount of wastewater that should be treated by the wastewater system without incurring adjustments to operating expenses. If this amount exceeds the actual amount treated, no adjustment is made. If it is less than the gallons treated, then the difference is the excessive amount of I&amp;I.</w:t>
      </w:r>
    </w:p>
    <w:p w14:paraId="1D5158C3" w14:textId="77777777" w:rsidR="00F32C4B" w:rsidRPr="00EB73BF" w:rsidRDefault="00F32C4B" w:rsidP="00EB73BF">
      <w:pPr>
        <w:contextualSpacing/>
        <w:jc w:val="both"/>
      </w:pPr>
    </w:p>
    <w:p w14:paraId="54C6EDFB" w14:textId="77777777" w:rsidR="006B02DE" w:rsidRDefault="006B02DE" w:rsidP="00EB73BF">
      <w:pPr>
        <w:contextualSpacing/>
        <w:jc w:val="both"/>
      </w:pPr>
      <w:r w:rsidRPr="00EB73BF">
        <w:tab/>
        <w:t>For the first seven months of the test year, the amount of wastewater was not accurately measured because of an inoperable flow meter. The situation was rectifie</w:t>
      </w:r>
      <w:r w:rsidR="00EF560C" w:rsidRPr="00EB73BF">
        <w:t>d by November 1, 2018, leaving us</w:t>
      </w:r>
      <w:r w:rsidRPr="00EB73BF">
        <w:t xml:space="preserve"> with five months, November 2018 through March 2019, of valid wastewater treatment data. Therefore,</w:t>
      </w:r>
      <w:r w:rsidR="00EF560C" w:rsidRPr="00EB73BF">
        <w:t xml:space="preserve"> we</w:t>
      </w:r>
      <w:r w:rsidRPr="00EB73BF">
        <w:t xml:space="preserve"> chose the period November 2018 through October 2019 to perform </w:t>
      </w:r>
      <w:r w:rsidR="00EF560C" w:rsidRPr="00EB73BF">
        <w:t>our</w:t>
      </w:r>
      <w:r w:rsidRPr="00EB73BF">
        <w:t xml:space="preserve"> I&amp;I evaluation. To do this, </w:t>
      </w:r>
      <w:r w:rsidR="00EF560C" w:rsidRPr="00EB73BF">
        <w:t xml:space="preserve">we </w:t>
      </w:r>
      <w:r w:rsidRPr="00EB73BF">
        <w:t>obtained water sold data from the audit work papers for the period November 2018 through March 2019, and from the City of Cocoa for the period April 2019 through October 2019.</w:t>
      </w:r>
      <w:r w:rsidR="00EF560C" w:rsidRPr="00EB73BF">
        <w:t xml:space="preserve"> We</w:t>
      </w:r>
      <w:r w:rsidRPr="00EB73BF">
        <w:t xml:space="preserve"> obtained the amount of wastewater treated for the same period from the Discharge Monitoring Reports submitted to the DEP by the Utility.</w:t>
      </w:r>
    </w:p>
    <w:p w14:paraId="6EA49869" w14:textId="77777777" w:rsidR="00F32C4B" w:rsidRPr="00EB73BF" w:rsidRDefault="00F32C4B" w:rsidP="00EB73BF">
      <w:pPr>
        <w:contextualSpacing/>
        <w:jc w:val="both"/>
      </w:pPr>
    </w:p>
    <w:p w14:paraId="3B77F95E" w14:textId="77777777" w:rsidR="006B02DE" w:rsidRDefault="006B02DE" w:rsidP="00EB73BF">
      <w:pPr>
        <w:contextualSpacing/>
        <w:jc w:val="both"/>
      </w:pPr>
      <w:r w:rsidRPr="00EB73BF">
        <w:tab/>
        <w:t>Using the pipe lengths of the Utility’s collection system, the infiltration allowance is calculated to be</w:t>
      </w:r>
      <w:r w:rsidRPr="00EB73BF">
        <w:rPr>
          <w:color w:val="00B050"/>
        </w:rPr>
        <w:t xml:space="preserve"> </w:t>
      </w:r>
      <w:r w:rsidRPr="00EB73BF">
        <w:t xml:space="preserve">2,314,847  gallons per year. Ten percent of the total gallons sold to customers is allowed for inflow, which totals 1,245,600 gallons. The sum of these amounts is the </w:t>
      </w:r>
      <w:r w:rsidRPr="00EB73BF">
        <w:rPr>
          <w:bCs/>
          <w:iCs/>
        </w:rPr>
        <w:t>total allowable</w:t>
      </w:r>
      <w:r w:rsidRPr="00EB73BF">
        <w:t xml:space="preserve"> I&amp;I which is</w:t>
      </w:r>
      <w:r w:rsidRPr="00EB73BF">
        <w:rPr>
          <w:b/>
          <w:bCs/>
        </w:rPr>
        <w:t xml:space="preserve"> </w:t>
      </w:r>
      <w:r w:rsidR="00CE1B94" w:rsidRPr="00EF1246">
        <w:rPr>
          <w:bCs/>
        </w:rPr>
        <w:t>3,560,447</w:t>
      </w:r>
      <w:r w:rsidR="00CE1B94">
        <w:rPr>
          <w:bCs/>
        </w:rPr>
        <w:t xml:space="preserve"> </w:t>
      </w:r>
      <w:r w:rsidRPr="00EB73BF">
        <w:t xml:space="preserve"> gallons per year.</w:t>
      </w:r>
      <w:r w:rsidRPr="00EB73BF">
        <w:rPr>
          <w:bCs/>
          <w:iCs/>
        </w:rPr>
        <w:t xml:space="preserve"> </w:t>
      </w:r>
      <w:r w:rsidRPr="00EB73BF">
        <w:t xml:space="preserve">The amount calculated for </w:t>
      </w:r>
      <w:r w:rsidRPr="00EB73BF">
        <w:rPr>
          <w:bCs/>
          <w:iCs/>
        </w:rPr>
        <w:t>estimated</w:t>
      </w:r>
      <w:r w:rsidRPr="00EB73BF">
        <w:t xml:space="preserve"> return is</w:t>
      </w:r>
      <w:r w:rsidRPr="00EB73BF">
        <w:rPr>
          <w:b/>
          <w:bCs/>
        </w:rPr>
        <w:t xml:space="preserve"> </w:t>
      </w:r>
      <w:r w:rsidRPr="00EB73BF">
        <w:rPr>
          <w:bCs/>
        </w:rPr>
        <w:t xml:space="preserve">10,446,400 </w:t>
      </w:r>
      <w:r w:rsidRPr="00EB73BF">
        <w:t>gallons per year.</w:t>
      </w:r>
      <w:r w:rsidRPr="00EB73BF">
        <w:rPr>
          <w:color w:val="00B050"/>
        </w:rPr>
        <w:t xml:space="preserve"> </w:t>
      </w:r>
      <w:r w:rsidRPr="00EB73BF">
        <w:t>The estimated I&amp;I is calculated by subtracting the total allowable I&amp;I from the amount of wastewater actually treated during the 12-month period being evaluated, which is</w:t>
      </w:r>
      <w:r w:rsidRPr="00EB73BF">
        <w:rPr>
          <w:bCs/>
        </w:rPr>
        <w:t xml:space="preserve"> 4,321,500 </w:t>
      </w:r>
      <w:r w:rsidRPr="00EB73BF">
        <w:t xml:space="preserve">gallons. The actual amount exceeds the allowable amount with an excess I&amp;I of </w:t>
      </w:r>
      <w:r w:rsidR="00CE1B94">
        <w:t xml:space="preserve">761,053 </w:t>
      </w:r>
      <w:r w:rsidRPr="00EB73BF">
        <w:t xml:space="preserve"> gallons and, therefore, there is 5 percent excessive I&amp;I. As such, </w:t>
      </w:r>
      <w:r w:rsidR="00EF560C" w:rsidRPr="00EB73BF">
        <w:t xml:space="preserve">we find </w:t>
      </w:r>
      <w:r w:rsidRPr="00EB73BF">
        <w:t>that a 5 percent adjustment to purchased power and chemical expenses be made for excessive I&amp;I.</w:t>
      </w:r>
    </w:p>
    <w:p w14:paraId="04A6637E" w14:textId="77777777" w:rsidR="00F32C4B" w:rsidRDefault="00F32C4B" w:rsidP="00EB73BF">
      <w:pPr>
        <w:contextualSpacing/>
        <w:jc w:val="both"/>
      </w:pPr>
    </w:p>
    <w:p w14:paraId="7E43922A" w14:textId="77777777" w:rsidR="00F32C4B" w:rsidRDefault="00F32C4B" w:rsidP="00EB73BF">
      <w:pPr>
        <w:contextualSpacing/>
        <w:jc w:val="both"/>
      </w:pPr>
    </w:p>
    <w:p w14:paraId="014B5AB6" w14:textId="77777777" w:rsidR="00F32C4B" w:rsidRDefault="00F32C4B" w:rsidP="00EB73BF">
      <w:pPr>
        <w:contextualSpacing/>
        <w:jc w:val="both"/>
      </w:pPr>
    </w:p>
    <w:p w14:paraId="42E39890" w14:textId="77777777" w:rsidR="00F32C4B" w:rsidRDefault="00F32C4B" w:rsidP="00EB73BF">
      <w:pPr>
        <w:contextualSpacing/>
        <w:jc w:val="both"/>
      </w:pPr>
    </w:p>
    <w:p w14:paraId="306098BE" w14:textId="77777777" w:rsidR="00F32C4B" w:rsidRPr="00EB73BF" w:rsidRDefault="00F32C4B" w:rsidP="00EB73BF">
      <w:pPr>
        <w:contextualSpacing/>
        <w:jc w:val="both"/>
      </w:pPr>
    </w:p>
    <w:p w14:paraId="04D07A75" w14:textId="77777777" w:rsidR="006B02DE" w:rsidRPr="00EB73BF" w:rsidRDefault="006B02DE" w:rsidP="00EB73BF">
      <w:pPr>
        <w:pStyle w:val="ListParagraph"/>
        <w:numPr>
          <w:ilvl w:val="0"/>
          <w:numId w:val="14"/>
        </w:numPr>
        <w:jc w:val="both"/>
        <w:outlineLvl w:val="2"/>
        <w:rPr>
          <w:bCs/>
          <w:i/>
          <w:iCs/>
        </w:rPr>
      </w:pPr>
      <w:r w:rsidRPr="00EB73BF">
        <w:rPr>
          <w:bCs/>
          <w:i/>
          <w:iCs/>
        </w:rPr>
        <w:t>Conclusion</w:t>
      </w:r>
    </w:p>
    <w:p w14:paraId="4CF68E47" w14:textId="77777777" w:rsidR="006B02DE" w:rsidRPr="00EB73BF" w:rsidRDefault="006B02DE" w:rsidP="00EB73BF">
      <w:pPr>
        <w:contextualSpacing/>
        <w:jc w:val="both"/>
        <w:outlineLvl w:val="2"/>
        <w:rPr>
          <w:b/>
          <w:bCs/>
          <w:iCs/>
        </w:rPr>
      </w:pPr>
    </w:p>
    <w:p w14:paraId="29BD2757" w14:textId="77777777" w:rsidR="006B02DE" w:rsidRDefault="006B02DE" w:rsidP="00EB73BF">
      <w:pPr>
        <w:contextualSpacing/>
        <w:jc w:val="both"/>
      </w:pPr>
      <w:r w:rsidRPr="00EB73BF">
        <w:tab/>
      </w:r>
      <w:r w:rsidR="00EF560C" w:rsidRPr="00EB73BF">
        <w:t xml:space="preserve">We find </w:t>
      </w:r>
      <w:r w:rsidRPr="00EB73BF">
        <w:t xml:space="preserve">that Merritt Island’s WWTP and collection system </w:t>
      </w:r>
      <w:r w:rsidR="00F32C4B">
        <w:t>shall</w:t>
      </w:r>
      <w:r w:rsidRPr="00EB73BF">
        <w:t xml:space="preserve"> be considered 100 percent U&amp;U. Also, </w:t>
      </w:r>
      <w:r w:rsidR="00EF560C" w:rsidRPr="00EB73BF">
        <w:t>we find</w:t>
      </w:r>
      <w:r w:rsidRPr="00EB73BF">
        <w:t xml:space="preserve"> that a 5 percent adjustment to purchased power and chemical expenses </w:t>
      </w:r>
      <w:r w:rsidR="00EF560C" w:rsidRPr="00EB73BF">
        <w:t xml:space="preserve">shall </w:t>
      </w:r>
      <w:r w:rsidRPr="00EB73BF">
        <w:t>be made for excessive I&amp;I.</w:t>
      </w:r>
    </w:p>
    <w:p w14:paraId="589AFD82" w14:textId="77777777" w:rsidR="00F32C4B" w:rsidRPr="00EB73BF" w:rsidRDefault="00F32C4B" w:rsidP="00EB73BF">
      <w:pPr>
        <w:contextualSpacing/>
        <w:jc w:val="both"/>
      </w:pPr>
    </w:p>
    <w:p w14:paraId="4CFC5A50" w14:textId="77777777" w:rsidR="006B02DE" w:rsidRDefault="00EF560C" w:rsidP="00EB73BF">
      <w:pPr>
        <w:contextualSpacing/>
        <w:jc w:val="both"/>
        <w:outlineLvl w:val="0"/>
        <w:rPr>
          <w:u w:val="single"/>
        </w:rPr>
      </w:pPr>
      <w:r w:rsidRPr="00EB73BF">
        <w:rPr>
          <w:u w:val="single"/>
        </w:rPr>
        <w:t>4. Rate Base</w:t>
      </w:r>
    </w:p>
    <w:p w14:paraId="08219318" w14:textId="77777777" w:rsidR="00A15ECF" w:rsidRDefault="00A15ECF" w:rsidP="00EB73BF">
      <w:pPr>
        <w:contextualSpacing/>
        <w:jc w:val="both"/>
        <w:outlineLvl w:val="0"/>
        <w:rPr>
          <w:u w:val="single"/>
        </w:rPr>
      </w:pPr>
    </w:p>
    <w:p w14:paraId="36FCD660" w14:textId="77777777" w:rsidR="006B02DE" w:rsidRDefault="006B02DE" w:rsidP="00EB73BF">
      <w:pPr>
        <w:contextualSpacing/>
        <w:jc w:val="both"/>
      </w:pPr>
      <w:r w:rsidRPr="00EB73BF">
        <w:tab/>
        <w:t>The appropriate components of a Utility’s rate base include utility plant in service, contributions-in-aid-of-construction (CIAC), accumulated depreciation, amortization of CIAC, and working capital. The Utility's rates and charges were approved in a 2008 SARC.</w:t>
      </w:r>
      <w:r w:rsidRPr="00EB73BF">
        <w:rPr>
          <w:vertAlign w:val="superscript"/>
        </w:rPr>
        <w:footnoteReference w:id="8"/>
      </w:r>
      <w:r w:rsidRPr="00EB73BF">
        <w:t xml:space="preserve"> The rates were subsequently amended through t</w:t>
      </w:r>
      <w:r w:rsidR="00F32C4B">
        <w:t>wo price index increases. This U</w:t>
      </w:r>
      <w:r w:rsidRPr="00EB73BF">
        <w:t xml:space="preserve">tility has historically operated at a loss. The Utility requested the test year ended March 31, 2019, for the instant case. </w:t>
      </w:r>
      <w:r w:rsidR="00EF560C" w:rsidRPr="00EB73BF">
        <w:t>We d</w:t>
      </w:r>
      <w:r w:rsidRPr="00EB73BF">
        <w:t xml:space="preserve">etermined that the Utility’s books and records are in compliance with the National Association of Regulatory Utility Commissioners’ Uniform System of Accounts (NARUC USOA). A summary of each component of rate base and </w:t>
      </w:r>
      <w:r w:rsidR="00EF560C" w:rsidRPr="00EB73BF">
        <w:t>our</w:t>
      </w:r>
      <w:r w:rsidRPr="00EB73BF">
        <w:t xml:space="preserve"> adjustments are discussed below.</w:t>
      </w:r>
    </w:p>
    <w:p w14:paraId="1CB8FBB1" w14:textId="77777777" w:rsidR="00F32C4B" w:rsidRPr="00EB73BF" w:rsidRDefault="00F32C4B" w:rsidP="00EB73BF">
      <w:pPr>
        <w:contextualSpacing/>
        <w:jc w:val="both"/>
      </w:pPr>
    </w:p>
    <w:p w14:paraId="7F9C6E78" w14:textId="77777777" w:rsidR="006B02DE" w:rsidRPr="00EB73BF" w:rsidRDefault="00EF560C" w:rsidP="00EB73BF">
      <w:pPr>
        <w:autoSpaceDE w:val="0"/>
        <w:autoSpaceDN w:val="0"/>
        <w:adjustRightInd w:val="0"/>
        <w:contextualSpacing/>
        <w:jc w:val="both"/>
        <w:rPr>
          <w:bCs/>
          <w:i/>
        </w:rPr>
      </w:pPr>
      <w:r w:rsidRPr="00EB73BF">
        <w:rPr>
          <w:bCs/>
          <w:i/>
        </w:rPr>
        <w:t xml:space="preserve">A. </w:t>
      </w:r>
      <w:r w:rsidR="006B02DE" w:rsidRPr="00EB73BF">
        <w:rPr>
          <w:bCs/>
          <w:i/>
        </w:rPr>
        <w:t>Year-End Rate Base</w:t>
      </w:r>
    </w:p>
    <w:p w14:paraId="2F46E223" w14:textId="77777777" w:rsidR="006B02DE" w:rsidRPr="00EB73BF" w:rsidRDefault="006B02DE" w:rsidP="00EB73BF">
      <w:pPr>
        <w:autoSpaceDE w:val="0"/>
        <w:autoSpaceDN w:val="0"/>
        <w:adjustRightInd w:val="0"/>
        <w:contextualSpacing/>
        <w:jc w:val="both"/>
        <w:rPr>
          <w:b/>
          <w:bCs/>
        </w:rPr>
      </w:pPr>
    </w:p>
    <w:p w14:paraId="4D5E2BF6" w14:textId="77777777" w:rsidR="006B02DE" w:rsidRDefault="006B02DE" w:rsidP="00EB73BF">
      <w:pPr>
        <w:contextualSpacing/>
        <w:jc w:val="both"/>
      </w:pPr>
      <w:r w:rsidRPr="00EB73BF">
        <w:tab/>
        <w:t>In its application, the Utility requested a year-end rate base for its wastewater system in order to have an opportunity to recover its allowed rate of return on the significant capital improvements that were made after the acquisition. These improvements represent a significant portion of the wastewater plant in service. In the transfer order,</w:t>
      </w:r>
      <w:r w:rsidR="007449F8" w:rsidRPr="00EB73BF">
        <w:t xml:space="preserve"> we </w:t>
      </w:r>
      <w:r w:rsidRPr="00EB73BF">
        <w:t>approved a net book value for wastewater plant in service of $166,766.</w:t>
      </w:r>
      <w:r w:rsidRPr="00EB73BF">
        <w:rPr>
          <w:vertAlign w:val="superscript"/>
        </w:rPr>
        <w:footnoteReference w:id="9"/>
      </w:r>
      <w:r w:rsidRPr="00EB73BF">
        <w:t xml:space="preserve"> During the requested test year, Merritt Island made more than $95,000 of plant investments. If an average rate base is used, the Utility will not be afforded the opportunity to recover its allowed rate of return on the new investment and will be put in the position of needing to request a subsequent SARC at a later date.</w:t>
      </w:r>
    </w:p>
    <w:p w14:paraId="30C94EA4" w14:textId="77777777" w:rsidR="00F32C4B" w:rsidRPr="00EB73BF" w:rsidRDefault="00F32C4B" w:rsidP="00EB73BF">
      <w:pPr>
        <w:contextualSpacing/>
        <w:jc w:val="both"/>
      </w:pPr>
    </w:p>
    <w:p w14:paraId="35DAADFD" w14:textId="77777777" w:rsidR="00F32C4B" w:rsidRPr="00EB73BF" w:rsidRDefault="006B02DE" w:rsidP="00EB73BF">
      <w:pPr>
        <w:contextualSpacing/>
        <w:jc w:val="both"/>
      </w:pPr>
      <w:r w:rsidRPr="00EB73BF">
        <w:tab/>
      </w:r>
      <w:r w:rsidR="007449F8" w:rsidRPr="00EB73BF">
        <w:t xml:space="preserve">We have </w:t>
      </w:r>
      <w:r w:rsidRPr="00EB73BF">
        <w:t>the authority to apply a year-end rate base, but should only apply a year-end rate base in extraordinary circumstances.</w:t>
      </w:r>
      <w:r w:rsidRPr="00EB73BF">
        <w:rPr>
          <w:vertAlign w:val="superscript"/>
        </w:rPr>
        <w:footnoteReference w:id="10"/>
      </w:r>
      <w:r w:rsidRPr="00EB73BF">
        <w:t xml:space="preserve"> </w:t>
      </w:r>
      <w:r w:rsidR="007449F8" w:rsidRPr="00EB73BF">
        <w:t xml:space="preserve">We find that </w:t>
      </w:r>
      <w:r w:rsidRPr="00EB73BF">
        <w:t>extraordinary circumstances exist in the instant case. Subsequent to the acquisition, the Utility made significant improvements to the wastewater system, which were required by the DEP. The year-end rate base will provide the Utility with an opportunity to recover the investment made to improve service quality and to provide for compensatory rates for this Utility in this rate case.</w:t>
      </w:r>
      <w:r w:rsidR="007449F8" w:rsidRPr="00EB73BF">
        <w:t xml:space="preserve"> We have</w:t>
      </w:r>
      <w:r w:rsidRPr="00EB73BF">
        <w:t xml:space="preserve"> previously authorized the use of a year-end rate base in other cases involving significant test year improvements.</w:t>
      </w:r>
      <w:r w:rsidRPr="00EB73BF">
        <w:rPr>
          <w:vertAlign w:val="superscript"/>
        </w:rPr>
        <w:footnoteReference w:id="11"/>
      </w:r>
      <w:r w:rsidRPr="00EB73BF">
        <w:t xml:space="preserve"> </w:t>
      </w:r>
      <w:r w:rsidR="007449F8" w:rsidRPr="00EB73BF">
        <w:t xml:space="preserve">Therefore, we hereby approve </w:t>
      </w:r>
      <w:r w:rsidRPr="00EB73BF">
        <w:t>a year-end rate base for Merritt Island.</w:t>
      </w:r>
    </w:p>
    <w:p w14:paraId="21519688" w14:textId="77777777" w:rsidR="006B02DE" w:rsidRPr="00EB73BF" w:rsidRDefault="007449F8" w:rsidP="00EB73BF">
      <w:pPr>
        <w:contextualSpacing/>
        <w:jc w:val="both"/>
        <w:outlineLvl w:val="2"/>
        <w:rPr>
          <w:bCs/>
          <w:i/>
          <w:iCs/>
        </w:rPr>
      </w:pPr>
      <w:r w:rsidRPr="00EB73BF">
        <w:rPr>
          <w:bCs/>
          <w:i/>
          <w:iCs/>
        </w:rPr>
        <w:t xml:space="preserve">B. </w:t>
      </w:r>
      <w:r w:rsidR="006B02DE" w:rsidRPr="00EB73BF">
        <w:rPr>
          <w:bCs/>
          <w:i/>
          <w:iCs/>
        </w:rPr>
        <w:t>Utility Plant in Service (UPIS)</w:t>
      </w:r>
    </w:p>
    <w:p w14:paraId="5208AE28" w14:textId="77777777" w:rsidR="006B02DE" w:rsidRPr="00EB73BF" w:rsidRDefault="006B02DE" w:rsidP="00EB73BF">
      <w:pPr>
        <w:contextualSpacing/>
        <w:jc w:val="both"/>
        <w:outlineLvl w:val="2"/>
        <w:rPr>
          <w:b/>
          <w:bCs/>
          <w:iCs/>
        </w:rPr>
      </w:pPr>
    </w:p>
    <w:p w14:paraId="320E0AB3" w14:textId="77777777" w:rsidR="006B02DE" w:rsidRDefault="006B02DE" w:rsidP="00EB73BF">
      <w:pPr>
        <w:contextualSpacing/>
        <w:jc w:val="both"/>
      </w:pPr>
      <w:r w:rsidRPr="00EB73BF">
        <w:tab/>
        <w:t>The Utility recorded a test year UPIS balance of $266,370. In addition to numerous plant additions that have been made by the Utility since the transfer, Merritt Island also requested pro forma consideration of an emergency pump replacement and the installation of piping to divert effluent between its RIB</w:t>
      </w:r>
      <w:r w:rsidR="001F4A11">
        <w:t>s</w:t>
      </w:r>
      <w:r w:rsidRPr="00EB73BF">
        <w:t xml:space="preserve">. Based on support documentation, the pump replacement was included as part of test year plant. As such, </w:t>
      </w:r>
      <w:r w:rsidR="00656691" w:rsidRPr="00EB73BF">
        <w:t>we</w:t>
      </w:r>
      <w:r w:rsidRPr="00EB73BF">
        <w:t xml:space="preserve"> did not include the pump replacement in</w:t>
      </w:r>
      <w:r w:rsidR="00B052C1" w:rsidRPr="00EB73BF">
        <w:t xml:space="preserve"> our</w:t>
      </w:r>
      <w:r w:rsidRPr="00EB73BF">
        <w:t xml:space="preserve"> pro forma plant calculations to avoid inclusion of duplicative costs.  </w:t>
      </w:r>
    </w:p>
    <w:p w14:paraId="5FBD4A85" w14:textId="77777777" w:rsidR="00F32C4B" w:rsidRPr="00EB73BF" w:rsidRDefault="00F32C4B" w:rsidP="00EB73BF">
      <w:pPr>
        <w:contextualSpacing/>
        <w:jc w:val="both"/>
      </w:pPr>
    </w:p>
    <w:p w14:paraId="7BE0B3D1" w14:textId="77777777" w:rsidR="006B02DE" w:rsidRDefault="006B02DE" w:rsidP="00EB73BF">
      <w:pPr>
        <w:contextualSpacing/>
        <w:jc w:val="both"/>
      </w:pPr>
      <w:r w:rsidRPr="00EB73BF">
        <w:tab/>
        <w:t>As discussed in</w:t>
      </w:r>
      <w:r w:rsidR="00B052C1" w:rsidRPr="00EB73BF">
        <w:t xml:space="preserve"> Section </w:t>
      </w:r>
      <w:r w:rsidRPr="00EB73BF">
        <w:t>2, the Utility is currently working with the DEP to address vegetation growth in its three rapid RIBs. Two of the three RIBs have been cleared of vegetation. The third RIB has dense growth that needs to be cleared.</w:t>
      </w:r>
      <w:r w:rsidRPr="00EB73BF">
        <w:rPr>
          <w:vertAlign w:val="superscript"/>
        </w:rPr>
        <w:footnoteReference w:id="12"/>
      </w:r>
      <w:r w:rsidRPr="00EB73BF">
        <w:t xml:space="preserve"> Prior to bringing in the heavy equipment required to clear the vegetation, the soil in the RIB must first be dried out. Therefore, new piping was installed to divert flows from this RIB to the other two, and is included in the Utility’s pro forma request. As this work is being done pursuant to a warning letter issued by the DEP, </w:t>
      </w:r>
      <w:r w:rsidR="00B052C1" w:rsidRPr="00EB73BF">
        <w:t>we find that</w:t>
      </w:r>
      <w:r w:rsidRPr="00EB73BF">
        <w:t xml:space="preserve"> this pro forma request is prudent. As such,</w:t>
      </w:r>
      <w:r w:rsidR="00B052C1" w:rsidRPr="00EB73BF">
        <w:t xml:space="preserve"> we</w:t>
      </w:r>
      <w:r w:rsidRPr="00EB73BF">
        <w:t xml:space="preserve"> increased UPIS by $5,813 to reflect the pro forma piping. There were no retirements associated with the piping since it did not previously exist at the ponds. </w:t>
      </w:r>
      <w:r w:rsidR="00B052C1" w:rsidRPr="00EB73BF">
        <w:t>We</w:t>
      </w:r>
      <w:r w:rsidRPr="00EB73BF">
        <w:t xml:space="preserve"> also made corresponding adjustments to accumulated depreciation (discussed below), while depreciation expense and taxes other than income  adjustments for taxes related to pro forma plant are discussed in </w:t>
      </w:r>
      <w:r w:rsidR="00B052C1" w:rsidRPr="00EB73BF">
        <w:t>Section</w:t>
      </w:r>
      <w:r w:rsidRPr="00EB73BF">
        <w:t xml:space="preserve"> 7. Consistent with </w:t>
      </w:r>
      <w:r w:rsidR="00B052C1" w:rsidRPr="00EB73BF">
        <w:t xml:space="preserve">our </w:t>
      </w:r>
      <w:r w:rsidR="00F32C4B">
        <w:t xml:space="preserve">prior </w:t>
      </w:r>
      <w:r w:rsidRPr="00EB73BF">
        <w:t xml:space="preserve">practice, no averaging adjustments are applied to pro forma additions. Therefore, </w:t>
      </w:r>
      <w:r w:rsidR="00B052C1" w:rsidRPr="00EB73BF">
        <w:t xml:space="preserve">we find </w:t>
      </w:r>
      <w:r w:rsidRPr="00EB73BF">
        <w:t>that the appropriate UPIS balance is $272,183 ($266,370 + $5,813).</w:t>
      </w:r>
    </w:p>
    <w:p w14:paraId="765F6184" w14:textId="77777777" w:rsidR="00F32C4B" w:rsidRPr="00EB73BF" w:rsidRDefault="00F32C4B" w:rsidP="00EB73BF">
      <w:pPr>
        <w:contextualSpacing/>
        <w:jc w:val="both"/>
      </w:pPr>
    </w:p>
    <w:p w14:paraId="442D0A40" w14:textId="77777777" w:rsidR="006B02DE" w:rsidRPr="00EB73BF" w:rsidRDefault="006B02DE" w:rsidP="00EB73BF">
      <w:pPr>
        <w:pStyle w:val="ListParagraph"/>
        <w:numPr>
          <w:ilvl w:val="0"/>
          <w:numId w:val="16"/>
        </w:numPr>
        <w:jc w:val="both"/>
        <w:outlineLvl w:val="2"/>
        <w:rPr>
          <w:bCs/>
          <w:i/>
          <w:iCs/>
        </w:rPr>
      </w:pPr>
      <w:r w:rsidRPr="00EB73BF">
        <w:rPr>
          <w:bCs/>
          <w:i/>
          <w:iCs/>
        </w:rPr>
        <w:t>Land &amp; Land Rights</w:t>
      </w:r>
    </w:p>
    <w:p w14:paraId="0EEF187D" w14:textId="77777777" w:rsidR="006B02DE" w:rsidRPr="00EB73BF" w:rsidRDefault="006B02DE" w:rsidP="00EB73BF">
      <w:pPr>
        <w:contextualSpacing/>
        <w:jc w:val="both"/>
        <w:outlineLvl w:val="2"/>
        <w:rPr>
          <w:b/>
          <w:bCs/>
          <w:iCs/>
        </w:rPr>
      </w:pPr>
    </w:p>
    <w:p w14:paraId="058B21B8" w14:textId="77777777" w:rsidR="006B02DE" w:rsidRDefault="006B02DE" w:rsidP="00EB73BF">
      <w:pPr>
        <w:contextualSpacing/>
        <w:jc w:val="both"/>
      </w:pPr>
      <w:r w:rsidRPr="00EB73BF">
        <w:tab/>
        <w:t>The Utility recorded a test</w:t>
      </w:r>
      <w:r w:rsidR="00B052C1" w:rsidRPr="00EB73BF">
        <w:t xml:space="preserve"> year land balance of $30,479. We</w:t>
      </w:r>
      <w:r w:rsidRPr="00EB73BF">
        <w:t xml:space="preserve"> approved a land balance of $30,479 in the Utility's 2017 transfer docket.</w:t>
      </w:r>
      <w:r w:rsidRPr="00EB73BF">
        <w:rPr>
          <w:vertAlign w:val="superscript"/>
        </w:rPr>
        <w:footnoteReference w:id="13"/>
      </w:r>
      <w:r w:rsidRPr="00EB73BF">
        <w:t xml:space="preserve"> There have been no additions to land since the transfer; therefore, no adjustments are necessary. </w:t>
      </w:r>
      <w:r w:rsidR="00B052C1" w:rsidRPr="00EB73BF">
        <w:t>We hereby approve</w:t>
      </w:r>
      <w:r w:rsidRPr="00EB73BF">
        <w:t xml:space="preserve"> a land and land rights balance of $30,479.</w:t>
      </w:r>
    </w:p>
    <w:p w14:paraId="45994D0F" w14:textId="77777777" w:rsidR="00F32C4B" w:rsidRPr="00EB73BF" w:rsidRDefault="00F32C4B" w:rsidP="00EB73BF">
      <w:pPr>
        <w:contextualSpacing/>
        <w:jc w:val="both"/>
      </w:pPr>
    </w:p>
    <w:p w14:paraId="252E21A7" w14:textId="77777777" w:rsidR="006B02DE" w:rsidRPr="00EB73BF" w:rsidRDefault="006B02DE" w:rsidP="00EB73BF">
      <w:pPr>
        <w:pStyle w:val="ListParagraph"/>
        <w:numPr>
          <w:ilvl w:val="0"/>
          <w:numId w:val="16"/>
        </w:numPr>
        <w:jc w:val="both"/>
        <w:outlineLvl w:val="2"/>
        <w:rPr>
          <w:bCs/>
          <w:i/>
          <w:iCs/>
        </w:rPr>
      </w:pPr>
      <w:r w:rsidRPr="00EB73BF">
        <w:rPr>
          <w:bCs/>
          <w:i/>
          <w:iCs/>
        </w:rPr>
        <w:t>Used &amp; Useful</w:t>
      </w:r>
    </w:p>
    <w:p w14:paraId="75CDB80A" w14:textId="77777777" w:rsidR="006B02DE" w:rsidRPr="00EB73BF" w:rsidRDefault="006B02DE" w:rsidP="00EB73BF">
      <w:pPr>
        <w:contextualSpacing/>
        <w:jc w:val="both"/>
        <w:outlineLvl w:val="2"/>
        <w:rPr>
          <w:b/>
          <w:bCs/>
          <w:iCs/>
        </w:rPr>
      </w:pPr>
    </w:p>
    <w:p w14:paraId="701A568F" w14:textId="77777777" w:rsidR="00F32C4B" w:rsidRPr="00EB73BF" w:rsidRDefault="006B02DE" w:rsidP="00EB73BF">
      <w:pPr>
        <w:contextualSpacing/>
        <w:jc w:val="both"/>
      </w:pPr>
      <w:r w:rsidRPr="00EB73BF">
        <w:tab/>
        <w:t xml:space="preserve">As discussed in </w:t>
      </w:r>
      <w:r w:rsidR="00B052C1" w:rsidRPr="00EB73BF">
        <w:t xml:space="preserve">Section </w:t>
      </w:r>
      <w:r w:rsidRPr="00EB73BF">
        <w:t>3, Merritt Island’s WWTP and collection system are considered 100 percent U&amp;U. Therefore, no U&amp;U adjustments are necessary.</w:t>
      </w:r>
    </w:p>
    <w:p w14:paraId="3D77A0C3" w14:textId="77777777" w:rsidR="006B02DE" w:rsidRPr="00EB73BF" w:rsidRDefault="006B02DE" w:rsidP="00EB73BF">
      <w:pPr>
        <w:pStyle w:val="ListParagraph"/>
        <w:numPr>
          <w:ilvl w:val="0"/>
          <w:numId w:val="16"/>
        </w:numPr>
        <w:jc w:val="both"/>
        <w:outlineLvl w:val="2"/>
        <w:rPr>
          <w:bCs/>
          <w:i/>
          <w:iCs/>
        </w:rPr>
      </w:pPr>
      <w:r w:rsidRPr="00EB73BF">
        <w:rPr>
          <w:bCs/>
          <w:i/>
          <w:iCs/>
        </w:rPr>
        <w:t>Accumulated Depreciation</w:t>
      </w:r>
    </w:p>
    <w:p w14:paraId="315F3993" w14:textId="77777777" w:rsidR="006B02DE" w:rsidRPr="00EB73BF" w:rsidRDefault="006B02DE" w:rsidP="00EB73BF">
      <w:pPr>
        <w:contextualSpacing/>
        <w:jc w:val="both"/>
        <w:outlineLvl w:val="2"/>
        <w:rPr>
          <w:bCs/>
          <w:iCs/>
        </w:rPr>
      </w:pPr>
    </w:p>
    <w:p w14:paraId="2D3082FC" w14:textId="77777777" w:rsidR="006B02DE" w:rsidRDefault="006B02DE" w:rsidP="00EB73BF">
      <w:pPr>
        <w:contextualSpacing/>
        <w:jc w:val="both"/>
      </w:pPr>
      <w:r w:rsidRPr="00EB73BF">
        <w:tab/>
        <w:t>Merritt Island recorded a test year accumulated depreciation balance of $161,473.</w:t>
      </w:r>
      <w:r w:rsidR="00B052C1" w:rsidRPr="00EB73BF">
        <w:t xml:space="preserve"> We </w:t>
      </w:r>
      <w:r w:rsidRPr="00EB73BF">
        <w:t xml:space="preserve">decreased accumulated depreciation by $460 to reflect appropriate test year depreciation balances pursuant to Rule 25-30.140, F.A.C. In addition, </w:t>
      </w:r>
      <w:r w:rsidR="00B052C1" w:rsidRPr="00EB73BF">
        <w:t xml:space="preserve">we made </w:t>
      </w:r>
      <w:r w:rsidRPr="00EB73BF">
        <w:t>an adjustment associated with the pro forma plant project discussed above.</w:t>
      </w:r>
      <w:r w:rsidR="00B052C1" w:rsidRPr="00EB73BF">
        <w:t xml:space="preserve"> Our</w:t>
      </w:r>
      <w:r w:rsidRPr="00EB73BF">
        <w:t xml:space="preserve"> adjustment to accumulated depreciation for pro forma plant r</w:t>
      </w:r>
      <w:r w:rsidR="00B052C1" w:rsidRPr="00EB73BF">
        <w:t xml:space="preserve">esults in an increase of $182. Our </w:t>
      </w:r>
      <w:r w:rsidRPr="00EB73BF">
        <w:t xml:space="preserve">adjustments to this account result in a decrease of $278 ($460 - $182). Therefore, </w:t>
      </w:r>
      <w:r w:rsidR="00B052C1" w:rsidRPr="00EB73BF">
        <w:t>we hereby approve</w:t>
      </w:r>
      <w:r w:rsidRPr="00EB73BF">
        <w:t xml:space="preserve"> an accumulated depreciation balance of $161,195 ($161,473 - $278).</w:t>
      </w:r>
    </w:p>
    <w:p w14:paraId="391DDB6F" w14:textId="77777777" w:rsidR="00F32C4B" w:rsidRPr="00EB73BF" w:rsidRDefault="00F32C4B" w:rsidP="00EB73BF">
      <w:pPr>
        <w:contextualSpacing/>
        <w:jc w:val="both"/>
      </w:pPr>
    </w:p>
    <w:p w14:paraId="4977FBA7" w14:textId="77777777" w:rsidR="006B02DE" w:rsidRPr="00EB73BF" w:rsidRDefault="006B02DE" w:rsidP="00EB73BF">
      <w:pPr>
        <w:pStyle w:val="ListParagraph"/>
        <w:numPr>
          <w:ilvl w:val="0"/>
          <w:numId w:val="16"/>
        </w:numPr>
        <w:jc w:val="both"/>
        <w:outlineLvl w:val="2"/>
        <w:rPr>
          <w:bCs/>
          <w:i/>
          <w:iCs/>
        </w:rPr>
      </w:pPr>
      <w:r w:rsidRPr="00EB73BF">
        <w:rPr>
          <w:bCs/>
          <w:i/>
          <w:iCs/>
        </w:rPr>
        <w:t>Contributions in Aid of Construction (CIAC)</w:t>
      </w:r>
    </w:p>
    <w:p w14:paraId="1AFE16B4" w14:textId="77777777" w:rsidR="006B02DE" w:rsidRPr="00EB73BF" w:rsidRDefault="006B02DE" w:rsidP="00EB73BF">
      <w:pPr>
        <w:contextualSpacing/>
        <w:jc w:val="both"/>
        <w:outlineLvl w:val="2"/>
        <w:rPr>
          <w:bCs/>
          <w:iCs/>
        </w:rPr>
      </w:pPr>
    </w:p>
    <w:p w14:paraId="20B9B37C" w14:textId="77777777" w:rsidR="006B02DE" w:rsidRDefault="006B02DE" w:rsidP="00EB73BF">
      <w:pPr>
        <w:contextualSpacing/>
        <w:jc w:val="both"/>
      </w:pPr>
      <w:r w:rsidRPr="00EB73BF">
        <w:tab/>
        <w:t>The Utility recorded a test year CIAC balance of $23,500. Based on</w:t>
      </w:r>
      <w:r w:rsidR="00B052C1" w:rsidRPr="00EB73BF">
        <w:t xml:space="preserve"> our </w:t>
      </w:r>
      <w:r w:rsidRPr="00EB73BF">
        <w:t>review, no adjustment is necessary. Based on Order No. PSC-2017-0366-PAA-SU, CIAC is fully amortized. Therefore,</w:t>
      </w:r>
      <w:r w:rsidR="00B052C1" w:rsidRPr="00EB73BF">
        <w:t xml:space="preserve"> we find</w:t>
      </w:r>
      <w:r w:rsidRPr="00EB73BF">
        <w:t xml:space="preserve"> that the appropriate balance is $23,500.</w:t>
      </w:r>
      <w:r w:rsidRPr="00EB73BF">
        <w:rPr>
          <w:vertAlign w:val="superscript"/>
        </w:rPr>
        <w:footnoteReference w:id="14"/>
      </w:r>
    </w:p>
    <w:p w14:paraId="0F276973" w14:textId="77777777" w:rsidR="00F32C4B" w:rsidRPr="00EB73BF" w:rsidRDefault="00F32C4B" w:rsidP="00EB73BF">
      <w:pPr>
        <w:contextualSpacing/>
        <w:jc w:val="both"/>
      </w:pPr>
    </w:p>
    <w:p w14:paraId="76052C9A" w14:textId="77777777" w:rsidR="006B02DE" w:rsidRPr="00EB73BF" w:rsidRDefault="006B02DE" w:rsidP="00EB73BF">
      <w:pPr>
        <w:pStyle w:val="ListParagraph"/>
        <w:numPr>
          <w:ilvl w:val="0"/>
          <w:numId w:val="16"/>
        </w:numPr>
        <w:jc w:val="both"/>
        <w:outlineLvl w:val="2"/>
        <w:rPr>
          <w:bCs/>
          <w:i/>
          <w:iCs/>
        </w:rPr>
      </w:pPr>
      <w:r w:rsidRPr="00EB73BF">
        <w:rPr>
          <w:bCs/>
          <w:i/>
          <w:iCs/>
        </w:rPr>
        <w:t>Accumulated Amortization of CIAC</w:t>
      </w:r>
    </w:p>
    <w:p w14:paraId="3F8D0941" w14:textId="77777777" w:rsidR="006B02DE" w:rsidRPr="00EB73BF" w:rsidRDefault="006B02DE" w:rsidP="00EB73BF">
      <w:pPr>
        <w:contextualSpacing/>
        <w:jc w:val="both"/>
        <w:outlineLvl w:val="2"/>
        <w:rPr>
          <w:bCs/>
          <w:iCs/>
        </w:rPr>
      </w:pPr>
    </w:p>
    <w:p w14:paraId="20A8DF74" w14:textId="77777777" w:rsidR="006B02DE" w:rsidRDefault="006B02DE" w:rsidP="00EB73BF">
      <w:pPr>
        <w:contextualSpacing/>
        <w:jc w:val="both"/>
      </w:pPr>
      <w:r w:rsidRPr="00EB73BF">
        <w:tab/>
        <w:t>The Utility recorded a test year accumulated amortization of CIAC balance of $23,500. Based on</w:t>
      </w:r>
      <w:r w:rsidR="002E1141" w:rsidRPr="00EB73BF">
        <w:t xml:space="preserve"> our </w:t>
      </w:r>
      <w:r w:rsidRPr="00EB73BF">
        <w:t xml:space="preserve">review, no adjustment is necessary since CIAC is fully amortized. Therefore, </w:t>
      </w:r>
      <w:r w:rsidR="002E1141" w:rsidRPr="00EB73BF">
        <w:t xml:space="preserve">we find </w:t>
      </w:r>
      <w:r w:rsidRPr="00EB73BF">
        <w:t>that the appropriate balance is $23,500.</w:t>
      </w:r>
    </w:p>
    <w:p w14:paraId="09911AA5" w14:textId="77777777" w:rsidR="00F32C4B" w:rsidRPr="00EB73BF" w:rsidRDefault="00F32C4B" w:rsidP="00EB73BF">
      <w:pPr>
        <w:contextualSpacing/>
        <w:jc w:val="both"/>
      </w:pPr>
    </w:p>
    <w:p w14:paraId="1EB7D395" w14:textId="77777777" w:rsidR="006B02DE" w:rsidRPr="00EB73BF" w:rsidRDefault="006B02DE" w:rsidP="00EB73BF">
      <w:pPr>
        <w:pStyle w:val="ListParagraph"/>
        <w:numPr>
          <w:ilvl w:val="0"/>
          <w:numId w:val="16"/>
        </w:numPr>
        <w:autoSpaceDE w:val="0"/>
        <w:autoSpaceDN w:val="0"/>
        <w:adjustRightInd w:val="0"/>
        <w:jc w:val="both"/>
        <w:rPr>
          <w:i/>
        </w:rPr>
      </w:pPr>
      <w:r w:rsidRPr="00EB73BF">
        <w:rPr>
          <w:i/>
        </w:rPr>
        <w:t>Acquisition Adjustment and Accumulated Amortization of Acquisition Adjustment</w:t>
      </w:r>
    </w:p>
    <w:p w14:paraId="0D3CB1FB" w14:textId="77777777" w:rsidR="006B02DE" w:rsidRPr="00EB73BF" w:rsidRDefault="006B02DE" w:rsidP="00EB73BF">
      <w:pPr>
        <w:autoSpaceDE w:val="0"/>
        <w:autoSpaceDN w:val="0"/>
        <w:adjustRightInd w:val="0"/>
        <w:contextualSpacing/>
        <w:jc w:val="both"/>
      </w:pPr>
    </w:p>
    <w:p w14:paraId="6C849C29" w14:textId="77777777" w:rsidR="006B02DE" w:rsidRDefault="006B02DE" w:rsidP="00EB73BF">
      <w:pPr>
        <w:contextualSpacing/>
        <w:jc w:val="both"/>
      </w:pPr>
      <w:r w:rsidRPr="00EB73BF">
        <w:tab/>
        <w:t xml:space="preserve">The Utility recorded test year balances of $175 and $40 for an acquisition adjustment and the associated accumulated amortization, respectively. An acquisition adjustment results when the purchase price differs from the original cost of the assets (net book value) adjusted to the time of the acquisition. Pursuant </w:t>
      </w:r>
      <w:r w:rsidR="002E1141" w:rsidRPr="00EB73BF">
        <w:t>to Rule 25-30.0371(3), F.A.C., we</w:t>
      </w:r>
      <w:r w:rsidRPr="00EB73BF">
        <w:t xml:space="preserve"> determined in Docket No. 20170018-SU that a negative acquisition adjustment of $175 shall be recognized for ratemaking purposes.</w:t>
      </w:r>
      <w:r w:rsidRPr="00EB73BF">
        <w:rPr>
          <w:vertAlign w:val="superscript"/>
        </w:rPr>
        <w:footnoteReference w:id="15"/>
      </w:r>
      <w:r w:rsidR="002E1141" w:rsidRPr="00EB73BF">
        <w:t xml:space="preserve"> Based on our </w:t>
      </w:r>
      <w:r w:rsidRPr="00EB73BF">
        <w:t>decision in that docket, the negative acquisition adjustment shall be amortized over a seven-year period from</w:t>
      </w:r>
      <w:r w:rsidR="002E1141" w:rsidRPr="00EB73BF">
        <w:t xml:space="preserve"> the date of issuance o</w:t>
      </w:r>
      <w:r w:rsidR="00C84829" w:rsidRPr="00EB73BF">
        <w:t>f an</w:t>
      </w:r>
      <w:r w:rsidR="002E1141" w:rsidRPr="00EB73BF">
        <w:t xml:space="preserve"> </w:t>
      </w:r>
      <w:r w:rsidRPr="00EB73BF">
        <w:t>order approving the transfer of assets. Therefore,</w:t>
      </w:r>
      <w:r w:rsidR="002E1141" w:rsidRPr="00EB73BF">
        <w:t xml:space="preserve"> we hereby approve as </w:t>
      </w:r>
      <w:r w:rsidRPr="00EB73BF">
        <w:t>appropriate</w:t>
      </w:r>
      <w:r w:rsidR="002E1141" w:rsidRPr="00EB73BF">
        <w:t xml:space="preserve"> the</w:t>
      </w:r>
      <w:r w:rsidRPr="00EB73BF">
        <w:t xml:space="preserve"> balances of $175 and $40 for an acquisition adjustment and the associated accumulated amortization, respectively.</w:t>
      </w:r>
    </w:p>
    <w:p w14:paraId="3667B0A7" w14:textId="77777777" w:rsidR="00F32C4B" w:rsidRPr="00EB73BF" w:rsidRDefault="00F32C4B" w:rsidP="00EB73BF">
      <w:pPr>
        <w:contextualSpacing/>
        <w:jc w:val="both"/>
      </w:pPr>
    </w:p>
    <w:p w14:paraId="42F0D5E7" w14:textId="77777777" w:rsidR="006B02DE" w:rsidRPr="00EB73BF" w:rsidRDefault="006B02DE" w:rsidP="00EB73BF">
      <w:pPr>
        <w:pStyle w:val="ListParagraph"/>
        <w:numPr>
          <w:ilvl w:val="0"/>
          <w:numId w:val="16"/>
        </w:numPr>
        <w:jc w:val="both"/>
        <w:outlineLvl w:val="2"/>
        <w:rPr>
          <w:bCs/>
          <w:i/>
          <w:iCs/>
        </w:rPr>
      </w:pPr>
      <w:r w:rsidRPr="00EB73BF">
        <w:rPr>
          <w:bCs/>
          <w:i/>
          <w:iCs/>
        </w:rPr>
        <w:t>Working Capital Allowance</w:t>
      </w:r>
    </w:p>
    <w:p w14:paraId="2C4AD397" w14:textId="77777777" w:rsidR="006B02DE" w:rsidRPr="00EB73BF" w:rsidRDefault="006B02DE" w:rsidP="00EB73BF">
      <w:pPr>
        <w:contextualSpacing/>
        <w:jc w:val="both"/>
        <w:outlineLvl w:val="2"/>
        <w:rPr>
          <w:b/>
          <w:bCs/>
          <w:iCs/>
        </w:rPr>
      </w:pPr>
    </w:p>
    <w:p w14:paraId="4DA40512" w14:textId="77777777" w:rsidR="005954B3" w:rsidRDefault="006B02DE" w:rsidP="00EB73BF">
      <w:pPr>
        <w:contextualSpacing/>
        <w:jc w:val="both"/>
      </w:pPr>
      <w:r w:rsidRPr="00EB73BF">
        <w:tab/>
        <w:t xml:space="preserve">Working capital is defined as the short-term investor-supplied funds that are necessary to meet operating expenses. Consistent with Rule 25-30.433(3), F.A.C., </w:t>
      </w:r>
      <w:r w:rsidR="002E1141" w:rsidRPr="00EB73BF">
        <w:t xml:space="preserve">we </w:t>
      </w:r>
      <w:r w:rsidRPr="00EB73BF">
        <w:t xml:space="preserve">used the one-eighth of the operation and maintenance (O&amp;M) expense formula approach for calculating the working capital allowance. Section 367.081(9), F.S., prohibits a utility from earning a return on the unamortized balance of rate case expense. As such, </w:t>
      </w:r>
      <w:r w:rsidR="002E1141" w:rsidRPr="00EB73BF">
        <w:t>we</w:t>
      </w:r>
      <w:r w:rsidRPr="00EB73BF">
        <w:t xml:space="preserve"> removed the rate case expense balance of $512 for this calculation, resulting in an adjusted O&amp;M expense balance of $72,729 ($73,241 - $512). Applying this formula approach to the adjusted O&amp;M expense balance,</w:t>
      </w:r>
      <w:r w:rsidR="002E1141" w:rsidRPr="00EB73BF">
        <w:t xml:space="preserve"> we hereby approve </w:t>
      </w:r>
      <w:r w:rsidRPr="00EB73BF">
        <w:t>a working capital allowance of $9,091 ($72,729 ÷ 8).</w:t>
      </w:r>
    </w:p>
    <w:p w14:paraId="28636CBD" w14:textId="77777777" w:rsidR="00F32C4B" w:rsidRPr="00EB73BF" w:rsidRDefault="00F32C4B" w:rsidP="00EB73BF">
      <w:pPr>
        <w:contextualSpacing/>
        <w:jc w:val="both"/>
      </w:pPr>
    </w:p>
    <w:p w14:paraId="094F6967" w14:textId="77777777" w:rsidR="006B02DE" w:rsidRPr="00EB73BF" w:rsidRDefault="006B02DE" w:rsidP="00EB73BF">
      <w:pPr>
        <w:pStyle w:val="ListParagraph"/>
        <w:keepNext/>
        <w:numPr>
          <w:ilvl w:val="0"/>
          <w:numId w:val="16"/>
        </w:numPr>
        <w:jc w:val="both"/>
        <w:outlineLvl w:val="2"/>
        <w:rPr>
          <w:bCs/>
          <w:i/>
          <w:iCs/>
        </w:rPr>
      </w:pPr>
      <w:r w:rsidRPr="00EB73BF">
        <w:rPr>
          <w:bCs/>
          <w:i/>
          <w:iCs/>
        </w:rPr>
        <w:t>Rate Base Summary</w:t>
      </w:r>
    </w:p>
    <w:p w14:paraId="468B469F" w14:textId="77777777" w:rsidR="006B02DE" w:rsidRPr="00EB73BF" w:rsidRDefault="006B02DE" w:rsidP="00EB73BF">
      <w:pPr>
        <w:keepNext/>
        <w:contextualSpacing/>
        <w:jc w:val="both"/>
        <w:outlineLvl w:val="2"/>
        <w:rPr>
          <w:b/>
          <w:bCs/>
          <w:iCs/>
        </w:rPr>
      </w:pPr>
    </w:p>
    <w:p w14:paraId="6821100F" w14:textId="77777777" w:rsidR="00B052C1" w:rsidRPr="00EB73BF" w:rsidRDefault="006B02DE" w:rsidP="00EB73BF">
      <w:pPr>
        <w:contextualSpacing/>
        <w:jc w:val="both"/>
      </w:pPr>
      <w:r w:rsidRPr="00EB73BF">
        <w:tab/>
        <w:t>Based on the forgoing,</w:t>
      </w:r>
      <w:r w:rsidR="002E1141" w:rsidRPr="00EB73BF">
        <w:t xml:space="preserve"> we find </w:t>
      </w:r>
      <w:r w:rsidRPr="00EB73BF">
        <w:t>that the appropriate year-end test year rate base is $150,423. Rate base is shown on Schedule No. 1-A. The related adjustments are shown on Schedule No. 1-B.</w:t>
      </w:r>
    </w:p>
    <w:p w14:paraId="57720888" w14:textId="77777777" w:rsidR="002E1141" w:rsidRPr="00EB73BF" w:rsidRDefault="002E1141" w:rsidP="00EB73BF">
      <w:pPr>
        <w:contextualSpacing/>
        <w:jc w:val="both"/>
      </w:pPr>
    </w:p>
    <w:p w14:paraId="4CBE37A0" w14:textId="77777777" w:rsidR="00B052C1" w:rsidRDefault="00B052C1" w:rsidP="00EB73BF">
      <w:pPr>
        <w:contextualSpacing/>
        <w:jc w:val="both"/>
        <w:outlineLvl w:val="1"/>
        <w:rPr>
          <w:bCs/>
          <w:kern w:val="32"/>
          <w:u w:val="single"/>
        </w:rPr>
      </w:pPr>
      <w:r w:rsidRPr="00EB73BF">
        <w:rPr>
          <w:bCs/>
          <w:kern w:val="32"/>
          <w:u w:val="single"/>
        </w:rPr>
        <w:t>5. Return on Equity</w:t>
      </w:r>
      <w:r w:rsidR="001B29A0" w:rsidRPr="00EB73BF">
        <w:rPr>
          <w:bCs/>
          <w:kern w:val="32"/>
          <w:u w:val="single"/>
        </w:rPr>
        <w:t xml:space="preserve"> (ROE)</w:t>
      </w:r>
    </w:p>
    <w:p w14:paraId="3868D662" w14:textId="77777777" w:rsidR="00F32C4B" w:rsidRPr="00EB73BF" w:rsidRDefault="00F32C4B" w:rsidP="00EB73BF">
      <w:pPr>
        <w:contextualSpacing/>
        <w:jc w:val="both"/>
        <w:outlineLvl w:val="1"/>
        <w:rPr>
          <w:bCs/>
          <w:kern w:val="32"/>
          <w:u w:val="single"/>
        </w:rPr>
      </w:pPr>
    </w:p>
    <w:p w14:paraId="28F53E9A" w14:textId="77777777" w:rsidR="006B02DE" w:rsidRPr="00EB73BF" w:rsidRDefault="00AA58C9" w:rsidP="00EB73BF">
      <w:pPr>
        <w:contextualSpacing/>
        <w:jc w:val="both"/>
      </w:pPr>
      <w:r w:rsidRPr="00EB73BF">
        <w:tab/>
        <w:t xml:space="preserve">Merritt Island’s capital structure consists of $150,000 in common equity. The Utility has no customer deposits. </w:t>
      </w:r>
      <w:r w:rsidR="00D62A1E" w:rsidRPr="00EB73BF">
        <w:t xml:space="preserve">We </w:t>
      </w:r>
      <w:r w:rsidRPr="00EB73BF">
        <w:t xml:space="preserve">determined that no test year adjustments were necessary. The Utility’s capital structure has been reconciled with </w:t>
      </w:r>
      <w:r w:rsidR="00D62A1E" w:rsidRPr="00EB73BF">
        <w:t xml:space="preserve">the Commission-approved </w:t>
      </w:r>
      <w:r w:rsidRPr="00EB73BF">
        <w:t>rate base. The appropriate ROE is 7.85 percent based upon the Commission-approved leverage formula currently in effect.</w:t>
      </w:r>
      <w:r w:rsidRPr="00EB73BF">
        <w:rPr>
          <w:vertAlign w:val="superscript"/>
        </w:rPr>
        <w:footnoteReference w:id="16"/>
      </w:r>
      <w:r w:rsidRPr="00EB73BF">
        <w:t xml:space="preserve"> </w:t>
      </w:r>
      <w:r w:rsidR="00D62A1E" w:rsidRPr="00EB73BF">
        <w:t>We hereby approve</w:t>
      </w:r>
      <w:r w:rsidRPr="00EB73BF">
        <w:t xml:space="preserve"> an ROE of 7.85 percent, with a range of 6.85 percent to 8.85 percent, and an overall rate of return of 7.85 percent. The ROE and overall rate of return are shown on Schedule No. 2</w:t>
      </w:r>
    </w:p>
    <w:p w14:paraId="636F5AFB" w14:textId="77777777" w:rsidR="00D62A1E" w:rsidRPr="00EB73BF" w:rsidRDefault="00D62A1E" w:rsidP="00EB73BF">
      <w:pPr>
        <w:contextualSpacing/>
        <w:jc w:val="both"/>
      </w:pPr>
    </w:p>
    <w:p w14:paraId="42024280" w14:textId="77777777" w:rsidR="00D62A1E" w:rsidRPr="00EB73BF" w:rsidRDefault="00D62A1E" w:rsidP="00EB73BF">
      <w:pPr>
        <w:contextualSpacing/>
        <w:jc w:val="both"/>
        <w:rPr>
          <w:u w:val="single"/>
        </w:rPr>
      </w:pPr>
      <w:r w:rsidRPr="00EB73BF">
        <w:rPr>
          <w:u w:val="single"/>
        </w:rPr>
        <w:t>6. Test Year Revenues</w:t>
      </w:r>
    </w:p>
    <w:p w14:paraId="6BBDF0E1" w14:textId="77777777" w:rsidR="00AA58C9" w:rsidRPr="00EB73BF" w:rsidRDefault="00AA58C9" w:rsidP="00EB73BF">
      <w:pPr>
        <w:contextualSpacing/>
        <w:jc w:val="both"/>
      </w:pPr>
    </w:p>
    <w:p w14:paraId="70CED368" w14:textId="77777777" w:rsidR="00AA58C9" w:rsidRDefault="00AA58C9" w:rsidP="00EB73BF">
      <w:pPr>
        <w:contextualSpacing/>
        <w:jc w:val="both"/>
      </w:pPr>
      <w:r w:rsidRPr="00EB73BF">
        <w:tab/>
        <w:t>Merritt Island recorded in its general ledger $66,595 in test year revenues, which consists of $66,595 in service revenues and no miscellaneous revenues. The City of Cocoa provides the billing and collection of the monthly wastewater charges for Merritt Island. The City of Cocoa submits the monthly collections to Merritt Island no later than the 15</w:t>
      </w:r>
      <w:r w:rsidRPr="00EB73BF">
        <w:rPr>
          <w:vertAlign w:val="superscript"/>
        </w:rPr>
        <w:t>th</w:t>
      </w:r>
      <w:r w:rsidRPr="00EB73BF">
        <w:t xml:space="preserve"> of the following month.</w:t>
      </w:r>
    </w:p>
    <w:p w14:paraId="49913DBC" w14:textId="77777777" w:rsidR="00F32C4B" w:rsidRPr="00EB73BF" w:rsidRDefault="00F32C4B" w:rsidP="00EB73BF">
      <w:pPr>
        <w:contextualSpacing/>
        <w:jc w:val="both"/>
      </w:pPr>
    </w:p>
    <w:p w14:paraId="63FA2000" w14:textId="77777777" w:rsidR="00AA58C9" w:rsidRPr="00EB73BF" w:rsidRDefault="00AA58C9" w:rsidP="00EB73BF">
      <w:pPr>
        <w:contextualSpacing/>
        <w:jc w:val="both"/>
      </w:pPr>
      <w:r w:rsidRPr="00EB73BF">
        <w:tab/>
        <w:t xml:space="preserve">The Utility had a rate increase subsequent to the test year as a result of a price index adjustment.  In order to determine the appropriate test year service revenues, </w:t>
      </w:r>
      <w:r w:rsidR="00D62A1E" w:rsidRPr="00EB73BF">
        <w:t>we</w:t>
      </w:r>
      <w:r w:rsidRPr="00EB73BF">
        <w:t xml:space="preserve"> applied the number of billing determinants by the rates in effect as of June 9, 2019.  As a result, </w:t>
      </w:r>
      <w:r w:rsidR="00D62A1E" w:rsidRPr="00EB73BF">
        <w:t xml:space="preserve">we </w:t>
      </w:r>
      <w:r w:rsidRPr="00EB73BF">
        <w:t xml:space="preserve">determined that service revenues should be $65,658, which is a $937 ($66,595-$65,658) decrease to test year service revenues. This adjustment to service revenues is due to a timing difference between the billing register provided by the City of Cocoa and the general ledger maintained by Merritt Island. </w:t>
      </w:r>
      <w:r w:rsidR="00D62A1E" w:rsidRPr="00EB73BF">
        <w:t>We made</w:t>
      </w:r>
      <w:r w:rsidRPr="00EB73BF">
        <w:t xml:space="preserve"> no adjustment to miscellaneous revenues. </w:t>
      </w:r>
      <w:r w:rsidR="00D62A1E" w:rsidRPr="00EB73BF">
        <w:t>We find t</w:t>
      </w:r>
      <w:r w:rsidRPr="00EB73BF">
        <w:t>hat the appropriate test year revenues are $65,658.</w:t>
      </w:r>
    </w:p>
    <w:p w14:paraId="0DAA7D84" w14:textId="77777777" w:rsidR="00D62A1E" w:rsidRPr="00EB73BF" w:rsidRDefault="00D62A1E" w:rsidP="00EB73BF">
      <w:pPr>
        <w:contextualSpacing/>
        <w:jc w:val="both"/>
      </w:pPr>
    </w:p>
    <w:p w14:paraId="609DD870" w14:textId="77777777" w:rsidR="00D62A1E" w:rsidRPr="00EB73BF" w:rsidRDefault="00D62A1E" w:rsidP="00EB73BF">
      <w:pPr>
        <w:contextualSpacing/>
        <w:jc w:val="both"/>
        <w:rPr>
          <w:u w:val="single"/>
        </w:rPr>
      </w:pPr>
      <w:r w:rsidRPr="00EB73BF">
        <w:rPr>
          <w:u w:val="single"/>
        </w:rPr>
        <w:t>7. Operating Expenses</w:t>
      </w:r>
    </w:p>
    <w:p w14:paraId="22853654" w14:textId="77777777" w:rsidR="005954B3" w:rsidRPr="00EB73BF" w:rsidRDefault="005954B3" w:rsidP="00EB73BF">
      <w:pPr>
        <w:contextualSpacing/>
        <w:jc w:val="both"/>
      </w:pPr>
    </w:p>
    <w:p w14:paraId="6B81EEBC" w14:textId="77777777" w:rsidR="00114F0A" w:rsidRPr="00EB73BF" w:rsidRDefault="00AA58C9" w:rsidP="00EB73BF">
      <w:pPr>
        <w:contextualSpacing/>
        <w:jc w:val="both"/>
      </w:pPr>
      <w:r w:rsidRPr="00EB73BF">
        <w:tab/>
        <w:t xml:space="preserve">Merritt Island recorded operating expense of $80,736 for the test year ended March 31, 2019. The test year operation &amp; maintenance (O&amp;M) expenses have been reviewed, including invoices, canceled checks, and other supporting documentation. </w:t>
      </w:r>
      <w:r w:rsidR="00D62A1E" w:rsidRPr="00EB73BF">
        <w:t>We</w:t>
      </w:r>
      <w:r w:rsidRPr="00EB73BF">
        <w:t xml:space="preserve"> made a few adjustments to the Utility's operating expenses as summarized below.</w:t>
      </w:r>
    </w:p>
    <w:p w14:paraId="72B0814E" w14:textId="77777777" w:rsidR="00AA58C9" w:rsidRPr="00EB73BF" w:rsidRDefault="00D62A1E" w:rsidP="00EB73BF">
      <w:pPr>
        <w:contextualSpacing/>
        <w:jc w:val="both"/>
        <w:outlineLvl w:val="2"/>
        <w:rPr>
          <w:bCs/>
          <w:i/>
          <w:iCs/>
        </w:rPr>
      </w:pPr>
      <w:r w:rsidRPr="00EB73BF">
        <w:rPr>
          <w:bCs/>
          <w:i/>
          <w:iCs/>
        </w:rPr>
        <w:t xml:space="preserve">A. </w:t>
      </w:r>
      <w:r w:rsidR="00AA58C9" w:rsidRPr="00EB73BF">
        <w:rPr>
          <w:bCs/>
          <w:i/>
          <w:iCs/>
        </w:rPr>
        <w:t>Operation &amp; Maintenance Expense</w:t>
      </w:r>
    </w:p>
    <w:p w14:paraId="785D7376" w14:textId="77777777" w:rsidR="00AA58C9" w:rsidRPr="00EB73BF" w:rsidRDefault="00AA58C9" w:rsidP="00EB73BF">
      <w:pPr>
        <w:contextualSpacing/>
        <w:jc w:val="both"/>
        <w:outlineLvl w:val="2"/>
        <w:rPr>
          <w:b/>
          <w:bCs/>
          <w:iCs/>
        </w:rPr>
      </w:pPr>
    </w:p>
    <w:p w14:paraId="342365E3" w14:textId="77777777" w:rsidR="00AA58C9" w:rsidRPr="00EB73BF" w:rsidRDefault="00AA58C9" w:rsidP="00EB73BF">
      <w:pPr>
        <w:contextualSpacing/>
        <w:jc w:val="both"/>
        <w:outlineLvl w:val="3"/>
        <w:rPr>
          <w:b/>
          <w:bCs/>
          <w:iCs/>
        </w:rPr>
      </w:pPr>
      <w:r w:rsidRPr="00EB73BF">
        <w:rPr>
          <w:b/>
          <w:bCs/>
          <w:iCs/>
        </w:rPr>
        <w:t>Salaries and Wages – Officers (703)</w:t>
      </w:r>
    </w:p>
    <w:p w14:paraId="4D087E38" w14:textId="77777777" w:rsidR="00D62A1E" w:rsidRPr="00EB73BF" w:rsidRDefault="00D62A1E" w:rsidP="00EB73BF">
      <w:pPr>
        <w:contextualSpacing/>
        <w:jc w:val="both"/>
        <w:outlineLvl w:val="3"/>
        <w:rPr>
          <w:b/>
          <w:bCs/>
          <w:iCs/>
        </w:rPr>
      </w:pPr>
    </w:p>
    <w:p w14:paraId="59DF127E" w14:textId="77777777" w:rsidR="00AA58C9" w:rsidRDefault="00AA58C9" w:rsidP="00EB73BF">
      <w:pPr>
        <w:contextualSpacing/>
        <w:jc w:val="both"/>
      </w:pPr>
      <w:r w:rsidRPr="00EB73BF">
        <w:tab/>
        <w:t xml:space="preserve">The Utility recorded salaries and wages – officers expense of $5,000 in the test year to reflect the president's monthly salary of $417. According to the Utility's 2018 Annual Report, Merritt Island's officers also include an accounting manager who does not receive a salary included in this amount. In addition, the Utility indicated in audit work papers that the president only receives compensation through distribution of retained earnings if there are any net operating profits from operations that are not used for continuing operations or capital </w:t>
      </w:r>
      <w:r w:rsidR="00D62A1E" w:rsidRPr="00EB73BF">
        <w:t>improvements. As such, we hereby approve</w:t>
      </w:r>
      <w:r w:rsidRPr="00EB73BF">
        <w:t xml:space="preserve"> salaries and wages - officers expense </w:t>
      </w:r>
      <w:r w:rsidR="00D62A1E" w:rsidRPr="00EB73BF">
        <w:t xml:space="preserve">of $5,000 </w:t>
      </w:r>
      <w:r w:rsidRPr="00EB73BF">
        <w:t>for the test year.</w:t>
      </w:r>
    </w:p>
    <w:p w14:paraId="5DD5580B" w14:textId="77777777" w:rsidR="00F32C4B" w:rsidRPr="00EB73BF" w:rsidRDefault="00F32C4B" w:rsidP="00EB73BF">
      <w:pPr>
        <w:contextualSpacing/>
        <w:jc w:val="both"/>
      </w:pPr>
    </w:p>
    <w:p w14:paraId="5C9F89E4" w14:textId="77777777" w:rsidR="00AA58C9" w:rsidRPr="00EB73BF" w:rsidRDefault="00AA58C9" w:rsidP="00EB73BF">
      <w:pPr>
        <w:contextualSpacing/>
        <w:jc w:val="both"/>
        <w:outlineLvl w:val="3"/>
        <w:rPr>
          <w:b/>
          <w:bCs/>
          <w:iCs/>
        </w:rPr>
      </w:pPr>
      <w:r w:rsidRPr="00EB73BF">
        <w:rPr>
          <w:b/>
          <w:bCs/>
          <w:iCs/>
        </w:rPr>
        <w:t>Sludge Removal Expense (711)</w:t>
      </w:r>
    </w:p>
    <w:p w14:paraId="6F79DF3E" w14:textId="77777777" w:rsidR="00AA58C9" w:rsidRPr="00EB73BF" w:rsidRDefault="00AA58C9" w:rsidP="00EB73BF">
      <w:pPr>
        <w:ind w:firstLine="720"/>
        <w:contextualSpacing/>
        <w:jc w:val="both"/>
        <w:outlineLvl w:val="3"/>
        <w:rPr>
          <w:b/>
          <w:bCs/>
          <w:i/>
          <w:iCs/>
        </w:rPr>
      </w:pPr>
    </w:p>
    <w:p w14:paraId="3176518C" w14:textId="77777777" w:rsidR="00AA58C9" w:rsidRDefault="00AA58C9" w:rsidP="00EB73BF">
      <w:pPr>
        <w:contextualSpacing/>
        <w:jc w:val="both"/>
      </w:pPr>
      <w:r w:rsidRPr="00EB73BF">
        <w:tab/>
        <w:t xml:space="preserve">The Utility recorded sludge removal expense of $4,000 in the test year. Supporting documentation confirming the sludge removal expense was provided. </w:t>
      </w:r>
      <w:r w:rsidR="00520D89" w:rsidRPr="00EB73BF">
        <w:t>We</w:t>
      </w:r>
      <w:r w:rsidRPr="00EB73BF">
        <w:t xml:space="preserve"> made no adjustments to sludge removal expense. Therefore, </w:t>
      </w:r>
      <w:r w:rsidR="00520D89" w:rsidRPr="00EB73BF">
        <w:t xml:space="preserve">we hereby approve </w:t>
      </w:r>
      <w:r w:rsidRPr="00EB73BF">
        <w:t>sludge removal expense of $4,000</w:t>
      </w:r>
      <w:r w:rsidR="00520D89" w:rsidRPr="00EB73BF">
        <w:t xml:space="preserve"> for the test year</w:t>
      </w:r>
      <w:r w:rsidRPr="00EB73BF">
        <w:t xml:space="preserve">. </w:t>
      </w:r>
    </w:p>
    <w:p w14:paraId="232343CC" w14:textId="77777777" w:rsidR="00F32C4B" w:rsidRPr="00EB73BF" w:rsidRDefault="00F32C4B" w:rsidP="00EB73BF">
      <w:pPr>
        <w:contextualSpacing/>
        <w:jc w:val="both"/>
      </w:pPr>
    </w:p>
    <w:p w14:paraId="1AECBE15" w14:textId="77777777" w:rsidR="00AA58C9" w:rsidRPr="00EB73BF" w:rsidRDefault="00AA58C9" w:rsidP="00EB73BF">
      <w:pPr>
        <w:keepNext/>
        <w:contextualSpacing/>
        <w:jc w:val="both"/>
        <w:outlineLvl w:val="3"/>
        <w:rPr>
          <w:b/>
          <w:bCs/>
          <w:iCs/>
        </w:rPr>
      </w:pPr>
      <w:r w:rsidRPr="00EB73BF">
        <w:rPr>
          <w:b/>
          <w:bCs/>
          <w:iCs/>
        </w:rPr>
        <w:t>Purchased Power (715)</w:t>
      </w:r>
    </w:p>
    <w:p w14:paraId="0744DE5C" w14:textId="77777777" w:rsidR="00AA58C9" w:rsidRPr="00EB73BF" w:rsidRDefault="00AA58C9" w:rsidP="00EB73BF">
      <w:pPr>
        <w:keepNext/>
        <w:ind w:firstLine="720"/>
        <w:contextualSpacing/>
        <w:jc w:val="both"/>
        <w:outlineLvl w:val="3"/>
        <w:rPr>
          <w:b/>
          <w:bCs/>
          <w:i/>
          <w:iCs/>
        </w:rPr>
      </w:pPr>
    </w:p>
    <w:p w14:paraId="781321C5" w14:textId="77777777" w:rsidR="00AA58C9" w:rsidRDefault="00AA58C9" w:rsidP="00EB73BF">
      <w:pPr>
        <w:contextualSpacing/>
        <w:jc w:val="both"/>
        <w:rPr>
          <w:rFonts w:eastAsia="Calibri"/>
        </w:rPr>
      </w:pPr>
      <w:r w:rsidRPr="00EB73BF">
        <w:tab/>
        <w:t xml:space="preserve">The Utility recorded purchased power expense of $5,764 in the test year. Supporting documentation confirming the purchased power expense was provided. As discussed in </w:t>
      </w:r>
      <w:r w:rsidR="00520D89" w:rsidRPr="00EB73BF">
        <w:t>Section</w:t>
      </w:r>
      <w:r w:rsidRPr="00EB73BF">
        <w:t xml:space="preserve"> 3, </w:t>
      </w:r>
      <w:r w:rsidR="00520D89" w:rsidRPr="00EB73BF">
        <w:t>we made</w:t>
      </w:r>
      <w:r w:rsidRPr="00EB73BF">
        <w:t xml:space="preserve"> an I&amp;I adjustment of 5 percent. </w:t>
      </w:r>
      <w:r w:rsidR="00E940A5" w:rsidRPr="00EB73BF">
        <w:t>Accordingly</w:t>
      </w:r>
      <w:r w:rsidRPr="00EB73BF">
        <w:t xml:space="preserve">, we decreased this account by $288 ($5,764 x .05 = $288) to reflect a 5 percent excessive I&amp;I adjustment. </w:t>
      </w:r>
      <w:r w:rsidRPr="00EB73BF">
        <w:rPr>
          <w:rFonts w:eastAsia="Calibri"/>
        </w:rPr>
        <w:t xml:space="preserve">Therefore, </w:t>
      </w:r>
      <w:r w:rsidR="00520D89" w:rsidRPr="00EB73BF">
        <w:rPr>
          <w:rFonts w:eastAsia="Calibri"/>
        </w:rPr>
        <w:t>we hereby approve a p</w:t>
      </w:r>
      <w:r w:rsidRPr="00EB73BF">
        <w:rPr>
          <w:rFonts w:eastAsia="Calibri"/>
        </w:rPr>
        <w:t>urchased power expense of $5,476 ($5,764 - $288)</w:t>
      </w:r>
      <w:r w:rsidR="00520D89" w:rsidRPr="00EB73BF">
        <w:rPr>
          <w:rFonts w:eastAsia="Calibri"/>
        </w:rPr>
        <w:t xml:space="preserve"> </w:t>
      </w:r>
      <w:r w:rsidR="00520D89" w:rsidRPr="00EB73BF">
        <w:t>for the test year</w:t>
      </w:r>
      <w:r w:rsidRPr="00EB73BF">
        <w:rPr>
          <w:rFonts w:eastAsia="Calibri"/>
        </w:rPr>
        <w:t>.</w:t>
      </w:r>
    </w:p>
    <w:p w14:paraId="1103852B" w14:textId="77777777" w:rsidR="00F32C4B" w:rsidRPr="00EB73BF" w:rsidRDefault="00F32C4B" w:rsidP="00EB73BF">
      <w:pPr>
        <w:contextualSpacing/>
        <w:jc w:val="both"/>
        <w:rPr>
          <w:rFonts w:eastAsia="Calibri"/>
        </w:rPr>
      </w:pPr>
    </w:p>
    <w:p w14:paraId="4F188D2D" w14:textId="77777777" w:rsidR="00AA58C9" w:rsidRPr="00EB73BF" w:rsidRDefault="00AA58C9" w:rsidP="00EB73BF">
      <w:pPr>
        <w:contextualSpacing/>
        <w:jc w:val="both"/>
        <w:outlineLvl w:val="3"/>
        <w:rPr>
          <w:b/>
          <w:bCs/>
          <w:iCs/>
        </w:rPr>
      </w:pPr>
      <w:r w:rsidRPr="00EB73BF">
        <w:rPr>
          <w:b/>
          <w:bCs/>
          <w:iCs/>
        </w:rPr>
        <w:t>Chemicals Expense (718)</w:t>
      </w:r>
    </w:p>
    <w:p w14:paraId="7BECC6EB" w14:textId="77777777" w:rsidR="00AA58C9" w:rsidRPr="00EB73BF" w:rsidRDefault="00AA58C9" w:rsidP="00EB73BF">
      <w:pPr>
        <w:ind w:left="720"/>
        <w:contextualSpacing/>
        <w:jc w:val="both"/>
        <w:outlineLvl w:val="3"/>
        <w:rPr>
          <w:bCs/>
          <w:i/>
          <w:iCs/>
        </w:rPr>
      </w:pPr>
    </w:p>
    <w:p w14:paraId="459821D4" w14:textId="77777777" w:rsidR="00AA58C9" w:rsidRDefault="00AA58C9" w:rsidP="00EB73BF">
      <w:pPr>
        <w:contextualSpacing/>
        <w:jc w:val="both"/>
        <w:rPr>
          <w:rFonts w:eastAsia="Calibri"/>
        </w:rPr>
      </w:pPr>
      <w:r w:rsidRPr="00EB73BF">
        <w:tab/>
        <w:t xml:space="preserve">The Utility recorded chemicals expense of $2,425 in the test year. Supporting documentation confirming the chemicals expense was provided. As discussed in </w:t>
      </w:r>
      <w:r w:rsidR="00E940A5" w:rsidRPr="00EB73BF">
        <w:t>Section 3, we made</w:t>
      </w:r>
      <w:r w:rsidRPr="00EB73BF">
        <w:t xml:space="preserve"> an I&amp;I adjustment of 5 percent. </w:t>
      </w:r>
      <w:r w:rsidR="00E940A5" w:rsidRPr="00EB73BF">
        <w:t>Accordingly</w:t>
      </w:r>
      <w:r w:rsidRPr="00EB73BF">
        <w:t xml:space="preserve">, we decreased this account by $121 ($2,425 x .05 = $121) to reflect a 5 percent excessive I&amp;I adjustment. </w:t>
      </w:r>
      <w:r w:rsidR="00E940A5" w:rsidRPr="00EB73BF">
        <w:rPr>
          <w:rFonts w:eastAsia="Calibri"/>
        </w:rPr>
        <w:t>Therefore, we hereby approve a</w:t>
      </w:r>
      <w:r w:rsidRPr="00EB73BF">
        <w:rPr>
          <w:rFonts w:eastAsia="Calibri"/>
        </w:rPr>
        <w:t xml:space="preserve"> chemicals expense of $2,304 ($2,425 - $121)</w:t>
      </w:r>
      <w:r w:rsidR="00E940A5" w:rsidRPr="00EB73BF">
        <w:rPr>
          <w:rFonts w:eastAsia="Calibri"/>
        </w:rPr>
        <w:t xml:space="preserve"> </w:t>
      </w:r>
      <w:r w:rsidR="00E940A5" w:rsidRPr="00EB73BF">
        <w:t>for the test year</w:t>
      </w:r>
      <w:r w:rsidRPr="00EB73BF">
        <w:rPr>
          <w:rFonts w:eastAsia="Calibri"/>
        </w:rPr>
        <w:t>.</w:t>
      </w:r>
    </w:p>
    <w:p w14:paraId="7856909D" w14:textId="77777777" w:rsidR="00F32C4B" w:rsidRPr="00EB73BF" w:rsidRDefault="00F32C4B" w:rsidP="00EB73BF">
      <w:pPr>
        <w:contextualSpacing/>
        <w:jc w:val="both"/>
      </w:pPr>
    </w:p>
    <w:p w14:paraId="2BF6C5A2" w14:textId="77777777" w:rsidR="00AA58C9" w:rsidRPr="00EB73BF" w:rsidRDefault="00AA58C9" w:rsidP="00EB73BF">
      <w:pPr>
        <w:contextualSpacing/>
        <w:jc w:val="both"/>
        <w:outlineLvl w:val="3"/>
        <w:rPr>
          <w:b/>
          <w:bCs/>
          <w:iCs/>
        </w:rPr>
      </w:pPr>
      <w:r w:rsidRPr="00EB73BF">
        <w:rPr>
          <w:b/>
          <w:bCs/>
          <w:iCs/>
        </w:rPr>
        <w:t>Contractual Services – Engineering (731)</w:t>
      </w:r>
    </w:p>
    <w:p w14:paraId="35088F39" w14:textId="77777777" w:rsidR="00AA58C9" w:rsidRPr="00EB73BF" w:rsidRDefault="00AA58C9" w:rsidP="00EB73BF">
      <w:pPr>
        <w:ind w:left="720"/>
        <w:contextualSpacing/>
        <w:jc w:val="both"/>
        <w:outlineLvl w:val="3"/>
        <w:rPr>
          <w:b/>
          <w:bCs/>
          <w:i/>
          <w:iCs/>
        </w:rPr>
      </w:pPr>
    </w:p>
    <w:p w14:paraId="246B6077" w14:textId="77777777" w:rsidR="00F32C4B" w:rsidRPr="00EB73BF" w:rsidRDefault="00AA58C9" w:rsidP="00EB73BF">
      <w:pPr>
        <w:contextualSpacing/>
        <w:jc w:val="both"/>
      </w:pPr>
      <w:r w:rsidRPr="00EB73BF">
        <w:tab/>
        <w:t xml:space="preserve">The Utility recorded contractual services – engineering expense of $1,200. Supporting documentation confirming the expense was related to engineering work associated with the permit transfer was provided. As such, </w:t>
      </w:r>
      <w:r w:rsidR="007617D2" w:rsidRPr="00EB73BF">
        <w:t>we find t</w:t>
      </w:r>
      <w:r w:rsidRPr="00EB73BF">
        <w:t xml:space="preserve">hat the one-time expense should be amortized over five years, or $240 ($1,200 ÷ 5 years) per year. </w:t>
      </w:r>
      <w:r w:rsidR="007617D2" w:rsidRPr="00EB73BF">
        <w:t>We</w:t>
      </w:r>
      <w:r w:rsidRPr="00EB73BF">
        <w:t xml:space="preserve"> removed $960 ($240 x 4) from this account to reflect the expense being amortized over a five-year period, and included only one year’s amortization in the test year. </w:t>
      </w:r>
    </w:p>
    <w:p w14:paraId="46607824" w14:textId="77777777" w:rsidR="00AA58C9" w:rsidRDefault="00AA58C9" w:rsidP="00EB73BF">
      <w:pPr>
        <w:contextualSpacing/>
        <w:jc w:val="both"/>
        <w:rPr>
          <w:rFonts w:eastAsia="Calibri"/>
        </w:rPr>
      </w:pPr>
      <w:r w:rsidRPr="00EB73BF">
        <w:tab/>
        <w:t>The Utility incurred two non-recurring expense items during the test year that were not included in O&amp;M expenses. The first expense was a non-recurring expense of $6,221 for engineering work on service territory maps and legal description for the Utility’s new service area, which were required as part of the Utility’s certificate amendment in Docket No. 20170142-SU.</w:t>
      </w:r>
      <w:r w:rsidRPr="00EB73BF">
        <w:rPr>
          <w:vertAlign w:val="superscript"/>
        </w:rPr>
        <w:footnoteReference w:id="17"/>
      </w:r>
      <w:r w:rsidRPr="00EB73BF">
        <w:t xml:space="preserve"> The expense was incurred in July 2018. </w:t>
      </w:r>
      <w:r w:rsidR="007617D2" w:rsidRPr="00EB73BF">
        <w:t xml:space="preserve">We find that </w:t>
      </w:r>
      <w:r w:rsidRPr="00EB73BF">
        <w:t>the expense sh</w:t>
      </w:r>
      <w:r w:rsidR="007617D2" w:rsidRPr="00EB73BF">
        <w:t>all</w:t>
      </w:r>
      <w:r w:rsidRPr="00EB73BF">
        <w:t xml:space="preserve"> be included in O&amp;M and amortized over five years, or $1,244 ($6,221 ÷ 5) per year. The second expense, for DEP required pond clearing, is discussed in “Miscellaneous Expense” below. </w:t>
      </w:r>
      <w:r w:rsidRPr="00EB73BF">
        <w:rPr>
          <w:rFonts w:eastAsia="Calibri"/>
        </w:rPr>
        <w:t xml:space="preserve">Therefore, </w:t>
      </w:r>
      <w:r w:rsidR="007617D2" w:rsidRPr="00EB73BF">
        <w:rPr>
          <w:rFonts w:eastAsia="Calibri"/>
        </w:rPr>
        <w:t xml:space="preserve">we hereby approve a </w:t>
      </w:r>
      <w:r w:rsidRPr="00EB73BF">
        <w:t>contractual services - engineering</w:t>
      </w:r>
      <w:r w:rsidRPr="00EB73BF">
        <w:rPr>
          <w:rFonts w:eastAsia="Calibri"/>
        </w:rPr>
        <w:t xml:space="preserve"> expense of $1,484 ($1,200 - $960 + $1,244)</w:t>
      </w:r>
      <w:r w:rsidR="007617D2" w:rsidRPr="00EB73BF">
        <w:rPr>
          <w:rFonts w:eastAsia="Calibri"/>
        </w:rPr>
        <w:t xml:space="preserve"> </w:t>
      </w:r>
      <w:r w:rsidR="007617D2" w:rsidRPr="00EB73BF">
        <w:t>for the test year</w:t>
      </w:r>
      <w:r w:rsidRPr="00EB73BF">
        <w:rPr>
          <w:rFonts w:eastAsia="Calibri"/>
        </w:rPr>
        <w:t>.</w:t>
      </w:r>
    </w:p>
    <w:p w14:paraId="7DEDDEC8" w14:textId="77777777" w:rsidR="00F32C4B" w:rsidRPr="00EB73BF" w:rsidRDefault="00F32C4B" w:rsidP="00EB73BF">
      <w:pPr>
        <w:contextualSpacing/>
        <w:jc w:val="both"/>
      </w:pPr>
    </w:p>
    <w:p w14:paraId="29889977" w14:textId="77777777" w:rsidR="00AA58C9" w:rsidRPr="00EB73BF" w:rsidRDefault="00AA58C9" w:rsidP="00EB73BF">
      <w:pPr>
        <w:contextualSpacing/>
        <w:jc w:val="both"/>
        <w:outlineLvl w:val="3"/>
        <w:rPr>
          <w:b/>
          <w:bCs/>
          <w:iCs/>
        </w:rPr>
      </w:pPr>
      <w:r w:rsidRPr="00EB73BF">
        <w:rPr>
          <w:b/>
          <w:bCs/>
          <w:iCs/>
        </w:rPr>
        <w:t>Contractual Services – Accounting (732)</w:t>
      </w:r>
    </w:p>
    <w:p w14:paraId="787438FA" w14:textId="77777777" w:rsidR="00AA58C9" w:rsidRPr="00EB73BF" w:rsidRDefault="00AA58C9" w:rsidP="00EB73BF">
      <w:pPr>
        <w:ind w:left="720"/>
        <w:contextualSpacing/>
        <w:jc w:val="both"/>
        <w:outlineLvl w:val="3"/>
        <w:rPr>
          <w:b/>
          <w:bCs/>
          <w:i/>
          <w:iCs/>
        </w:rPr>
      </w:pPr>
    </w:p>
    <w:p w14:paraId="1DBACB5B" w14:textId="77777777" w:rsidR="00AA58C9" w:rsidRDefault="00AA58C9" w:rsidP="00EB73BF">
      <w:pPr>
        <w:contextualSpacing/>
        <w:jc w:val="both"/>
      </w:pPr>
      <w:r w:rsidRPr="00EB73BF">
        <w:tab/>
        <w:t>The Utility recorded contractual services – accounting expense of $400. Supporting documentation confirming the accounting expense was used for preparing and filing the corporate tax preparation was provided.</w:t>
      </w:r>
      <w:r w:rsidR="007617D2" w:rsidRPr="00EB73BF">
        <w:t xml:space="preserve"> We</w:t>
      </w:r>
      <w:r w:rsidRPr="00EB73BF">
        <w:t xml:space="preserve"> made no adjustments to accounting expense. Therefore, </w:t>
      </w:r>
      <w:r w:rsidR="007617D2" w:rsidRPr="00EB73BF">
        <w:t>we hereby approve a</w:t>
      </w:r>
      <w:r w:rsidRPr="00EB73BF">
        <w:t xml:space="preserve"> contractual services - accounting expense of $400</w:t>
      </w:r>
      <w:r w:rsidR="007617D2" w:rsidRPr="00EB73BF">
        <w:t xml:space="preserve"> for the test year</w:t>
      </w:r>
      <w:r w:rsidRPr="00EB73BF">
        <w:t>.</w:t>
      </w:r>
    </w:p>
    <w:p w14:paraId="22181157" w14:textId="77777777" w:rsidR="00CE1B94" w:rsidRPr="00EB73BF" w:rsidRDefault="00CE1B94" w:rsidP="00EB73BF">
      <w:pPr>
        <w:contextualSpacing/>
        <w:jc w:val="both"/>
      </w:pPr>
    </w:p>
    <w:p w14:paraId="105E01B0" w14:textId="77777777" w:rsidR="00AA58C9" w:rsidRPr="00EB73BF" w:rsidRDefault="00AA58C9" w:rsidP="00EB73BF">
      <w:pPr>
        <w:keepNext/>
        <w:contextualSpacing/>
        <w:jc w:val="both"/>
        <w:outlineLvl w:val="3"/>
        <w:rPr>
          <w:b/>
          <w:bCs/>
          <w:iCs/>
        </w:rPr>
      </w:pPr>
      <w:r w:rsidRPr="00EB73BF">
        <w:rPr>
          <w:b/>
          <w:bCs/>
          <w:iCs/>
        </w:rPr>
        <w:t>Contractual Services – Legal (733)</w:t>
      </w:r>
    </w:p>
    <w:p w14:paraId="01737091" w14:textId="77777777" w:rsidR="00AA58C9" w:rsidRPr="00EB73BF" w:rsidRDefault="00AA58C9" w:rsidP="00EB73BF">
      <w:pPr>
        <w:keepNext/>
        <w:ind w:left="720"/>
        <w:contextualSpacing/>
        <w:jc w:val="both"/>
        <w:outlineLvl w:val="3"/>
        <w:rPr>
          <w:b/>
          <w:bCs/>
          <w:i/>
          <w:iCs/>
        </w:rPr>
      </w:pPr>
    </w:p>
    <w:p w14:paraId="44B223EC" w14:textId="77777777" w:rsidR="00AA58C9" w:rsidRDefault="00AA58C9" w:rsidP="00EB73BF">
      <w:pPr>
        <w:contextualSpacing/>
        <w:jc w:val="both"/>
      </w:pPr>
      <w:r w:rsidRPr="00EB73BF">
        <w:tab/>
        <w:t xml:space="preserve">The Utility recorded contractual services – legal expense of $366 in the test year. Supporting documentation confirming the legal expense was provided. </w:t>
      </w:r>
      <w:r w:rsidR="007617D2" w:rsidRPr="00EB73BF">
        <w:t>We</w:t>
      </w:r>
      <w:r w:rsidRPr="00EB73BF">
        <w:t xml:space="preserve"> made no adjustm</w:t>
      </w:r>
      <w:r w:rsidR="007617D2" w:rsidRPr="00EB73BF">
        <w:t xml:space="preserve">ents to this account. As such, we hereby approve a </w:t>
      </w:r>
      <w:r w:rsidRPr="00EB73BF">
        <w:t>contractual services – legal expense of $366</w:t>
      </w:r>
      <w:r w:rsidR="007617D2" w:rsidRPr="00EB73BF">
        <w:t xml:space="preserve"> for the test year</w:t>
      </w:r>
      <w:r w:rsidRPr="00EB73BF">
        <w:t>.</w:t>
      </w:r>
    </w:p>
    <w:p w14:paraId="0118E5E3" w14:textId="77777777" w:rsidR="00F32C4B" w:rsidRPr="00EB73BF" w:rsidRDefault="00F32C4B" w:rsidP="00EB73BF">
      <w:pPr>
        <w:contextualSpacing/>
        <w:jc w:val="both"/>
      </w:pPr>
    </w:p>
    <w:p w14:paraId="3337E98B" w14:textId="77777777" w:rsidR="00AA58C9" w:rsidRPr="00EB73BF" w:rsidRDefault="00AA58C9" w:rsidP="00EB73BF">
      <w:pPr>
        <w:autoSpaceDE w:val="0"/>
        <w:autoSpaceDN w:val="0"/>
        <w:adjustRightInd w:val="0"/>
        <w:contextualSpacing/>
        <w:jc w:val="both"/>
        <w:rPr>
          <w:rFonts w:eastAsia="Calibri"/>
          <w:b/>
          <w:bCs/>
          <w:iCs/>
        </w:rPr>
      </w:pPr>
      <w:r w:rsidRPr="00EB73BF">
        <w:rPr>
          <w:rFonts w:eastAsia="Calibri"/>
          <w:b/>
          <w:bCs/>
          <w:iCs/>
        </w:rPr>
        <w:t xml:space="preserve">Contractual Services </w:t>
      </w:r>
      <w:r w:rsidRPr="00EB73BF">
        <w:rPr>
          <w:rFonts w:eastAsia="Calibri"/>
          <w:b/>
          <w:bCs/>
        </w:rPr>
        <w:t xml:space="preserve">- </w:t>
      </w:r>
      <w:r w:rsidRPr="00EB73BF">
        <w:rPr>
          <w:rFonts w:eastAsia="Calibri"/>
          <w:b/>
          <w:bCs/>
          <w:iCs/>
        </w:rPr>
        <w:t>Other Expense (736)</w:t>
      </w:r>
    </w:p>
    <w:p w14:paraId="03073631" w14:textId="77777777" w:rsidR="00AA58C9" w:rsidRPr="00EB73BF" w:rsidRDefault="00AA58C9" w:rsidP="00EB73BF">
      <w:pPr>
        <w:autoSpaceDE w:val="0"/>
        <w:autoSpaceDN w:val="0"/>
        <w:adjustRightInd w:val="0"/>
        <w:ind w:firstLine="720"/>
        <w:contextualSpacing/>
        <w:jc w:val="both"/>
        <w:rPr>
          <w:rFonts w:eastAsia="Calibri"/>
          <w:b/>
          <w:bCs/>
          <w:i/>
          <w:iCs/>
        </w:rPr>
      </w:pPr>
    </w:p>
    <w:p w14:paraId="46B6B9B9" w14:textId="77777777" w:rsidR="00AA58C9" w:rsidRPr="00EB73BF" w:rsidRDefault="00AA58C9" w:rsidP="00EB73BF">
      <w:pPr>
        <w:autoSpaceDE w:val="0"/>
        <w:autoSpaceDN w:val="0"/>
        <w:adjustRightInd w:val="0"/>
        <w:contextualSpacing/>
        <w:jc w:val="both"/>
        <w:rPr>
          <w:rFonts w:eastAsia="Calibri"/>
        </w:rPr>
      </w:pPr>
      <w:r w:rsidRPr="00EB73BF">
        <w:rPr>
          <w:rFonts w:eastAsia="Calibri"/>
        </w:rPr>
        <w:tab/>
        <w:t>During the test year, the Utility recorded contractual services - other expense of $46,123. Merritt Island receives all of its operational and administrative services under a contract with an affiliated company, U.S. Water Services Corporation (USWSC or U.S. Water). Pursuant to the contract, Merritt Island employed the services of USWSC to perform various functions: administrative management, operations, maintenance, and billing/collection for the Utility. These include management and financial oversight, wastewater system operations, and maintenance. The USWSC contract dated October 1, 2017, was originally in the amount of $45,277. According to the Utility, this contract amount has increased to $47,211 as a result of annual index increases over time.</w:t>
      </w:r>
      <w:r w:rsidRPr="00EB73BF">
        <w:rPr>
          <w:rFonts w:eastAsia="Calibri"/>
          <w:vertAlign w:val="superscript"/>
        </w:rPr>
        <w:footnoteReference w:id="18"/>
      </w:r>
      <w:r w:rsidRPr="00EB73BF">
        <w:rPr>
          <w:rFonts w:eastAsia="Calibri"/>
        </w:rPr>
        <w:t xml:space="preserve"> This represents a known and measurable increase of $1,088 ($47,211 - $46,123) over the amount included in the test year. </w:t>
      </w:r>
    </w:p>
    <w:p w14:paraId="6AFFCE14" w14:textId="77777777" w:rsidR="00AA58C9" w:rsidRPr="00EB73BF" w:rsidRDefault="00AA58C9" w:rsidP="00EB73BF">
      <w:pPr>
        <w:autoSpaceDE w:val="0"/>
        <w:autoSpaceDN w:val="0"/>
        <w:adjustRightInd w:val="0"/>
        <w:contextualSpacing/>
        <w:jc w:val="both"/>
        <w:rPr>
          <w:rFonts w:eastAsia="Calibri"/>
        </w:rPr>
      </w:pPr>
    </w:p>
    <w:p w14:paraId="7291C295" w14:textId="77777777" w:rsidR="00AA58C9" w:rsidRDefault="00AA58C9" w:rsidP="00EB73BF">
      <w:pPr>
        <w:contextualSpacing/>
        <w:jc w:val="both"/>
        <w:rPr>
          <w:rFonts w:eastAsia="Calibri"/>
        </w:rPr>
      </w:pPr>
      <w:r w:rsidRPr="00EB73BF">
        <w:rPr>
          <w:rFonts w:eastAsia="Calibri"/>
        </w:rPr>
        <w:tab/>
        <w:t>On August 9, 2019, Merritt Island submitted documentation containing additional information related to its outside contractual services agreement with USWSC.</w:t>
      </w:r>
      <w:r w:rsidRPr="00EB73BF">
        <w:rPr>
          <w:rFonts w:eastAsia="Calibri"/>
          <w:vertAlign w:val="superscript"/>
        </w:rPr>
        <w:footnoteReference w:id="19"/>
      </w:r>
      <w:r w:rsidRPr="00EB73BF">
        <w:rPr>
          <w:rFonts w:eastAsia="Calibri"/>
        </w:rPr>
        <w:t xml:space="preserve"> According to Merritt Island, USWSC currently operates in 60 of Florida’s 67 counties, providing service to over 1,000 utility systems, and services to over 1,000,000 customers daily. USWSC’s president and majority shareholder has been in the water and wastewater utility management and operations industry for over 30 years. Merritt Island contracts with USWSC for the following services:</w:t>
      </w:r>
    </w:p>
    <w:p w14:paraId="5CE2CEEE" w14:textId="77777777" w:rsidR="00F32C4B" w:rsidRPr="00EB73BF" w:rsidRDefault="00F32C4B" w:rsidP="00EB73BF">
      <w:pPr>
        <w:contextualSpacing/>
        <w:jc w:val="both"/>
        <w:rPr>
          <w:rFonts w:eastAsia="Calibri"/>
        </w:rPr>
      </w:pPr>
    </w:p>
    <w:p w14:paraId="04296398" w14:textId="77777777" w:rsidR="00AA58C9" w:rsidRPr="00EB73BF" w:rsidRDefault="00AA58C9" w:rsidP="00EB73BF">
      <w:pPr>
        <w:numPr>
          <w:ilvl w:val="0"/>
          <w:numId w:val="2"/>
        </w:numPr>
        <w:contextualSpacing/>
        <w:jc w:val="both"/>
        <w:rPr>
          <w:rFonts w:eastAsia="Calibri"/>
        </w:rPr>
      </w:pPr>
      <w:r w:rsidRPr="00EB73BF">
        <w:rPr>
          <w:rFonts w:eastAsia="Calibri"/>
        </w:rPr>
        <w:t>Wastewater Operations</w:t>
      </w:r>
    </w:p>
    <w:p w14:paraId="42DE7D9C" w14:textId="77777777" w:rsidR="00AA58C9" w:rsidRPr="00EB73BF" w:rsidRDefault="00AA58C9" w:rsidP="00EB73BF">
      <w:pPr>
        <w:numPr>
          <w:ilvl w:val="0"/>
          <w:numId w:val="2"/>
        </w:numPr>
        <w:contextualSpacing/>
        <w:jc w:val="both"/>
        <w:rPr>
          <w:rFonts w:eastAsia="Calibri"/>
        </w:rPr>
      </w:pPr>
      <w:r w:rsidRPr="00EB73BF">
        <w:rPr>
          <w:rFonts w:eastAsia="Calibri"/>
        </w:rPr>
        <w:t>System Maintenance and Repairs</w:t>
      </w:r>
    </w:p>
    <w:p w14:paraId="6C8596C5" w14:textId="77777777" w:rsidR="00AA58C9" w:rsidRPr="00EB73BF" w:rsidRDefault="00AA58C9" w:rsidP="00EB73BF">
      <w:pPr>
        <w:numPr>
          <w:ilvl w:val="0"/>
          <w:numId w:val="2"/>
        </w:numPr>
        <w:contextualSpacing/>
        <w:jc w:val="both"/>
        <w:rPr>
          <w:rFonts w:eastAsia="Calibri"/>
        </w:rPr>
      </w:pPr>
      <w:r w:rsidRPr="00EB73BF">
        <w:rPr>
          <w:rFonts w:eastAsia="Calibri"/>
        </w:rPr>
        <w:t>Regulatory Affairs</w:t>
      </w:r>
    </w:p>
    <w:p w14:paraId="5BF6003F" w14:textId="77777777" w:rsidR="00AA58C9" w:rsidRPr="00EB73BF" w:rsidRDefault="00AA58C9" w:rsidP="00EB73BF">
      <w:pPr>
        <w:numPr>
          <w:ilvl w:val="0"/>
          <w:numId w:val="2"/>
        </w:numPr>
        <w:contextualSpacing/>
        <w:jc w:val="both"/>
        <w:rPr>
          <w:rFonts w:eastAsia="Calibri"/>
        </w:rPr>
      </w:pPr>
      <w:r w:rsidRPr="00EB73BF">
        <w:rPr>
          <w:rFonts w:eastAsia="Calibri"/>
        </w:rPr>
        <w:t>Testing</w:t>
      </w:r>
    </w:p>
    <w:p w14:paraId="07745452" w14:textId="77777777" w:rsidR="00AA58C9" w:rsidRPr="00EB73BF" w:rsidRDefault="00AA58C9" w:rsidP="00EB73BF">
      <w:pPr>
        <w:numPr>
          <w:ilvl w:val="0"/>
          <w:numId w:val="2"/>
        </w:numPr>
        <w:contextualSpacing/>
        <w:jc w:val="both"/>
        <w:rPr>
          <w:rFonts w:eastAsia="Calibri"/>
        </w:rPr>
      </w:pPr>
      <w:r w:rsidRPr="00EB73BF">
        <w:rPr>
          <w:rFonts w:eastAsia="Calibri"/>
        </w:rPr>
        <w:t>Accounting</w:t>
      </w:r>
    </w:p>
    <w:p w14:paraId="14D382B1" w14:textId="77777777" w:rsidR="00AA58C9" w:rsidRPr="00EB73BF" w:rsidRDefault="00AA58C9" w:rsidP="00EB73BF">
      <w:pPr>
        <w:numPr>
          <w:ilvl w:val="0"/>
          <w:numId w:val="2"/>
        </w:numPr>
        <w:contextualSpacing/>
        <w:jc w:val="both"/>
        <w:rPr>
          <w:rFonts w:eastAsia="Calibri"/>
        </w:rPr>
      </w:pPr>
      <w:r w:rsidRPr="00EB73BF">
        <w:rPr>
          <w:rFonts w:eastAsia="Calibri"/>
        </w:rPr>
        <w:t>Personnel</w:t>
      </w:r>
    </w:p>
    <w:p w14:paraId="11497CEC" w14:textId="77777777" w:rsidR="00AA58C9" w:rsidRPr="00EB73BF" w:rsidRDefault="00AA58C9" w:rsidP="00EB73BF">
      <w:pPr>
        <w:numPr>
          <w:ilvl w:val="0"/>
          <w:numId w:val="2"/>
        </w:numPr>
        <w:contextualSpacing/>
        <w:jc w:val="both"/>
        <w:rPr>
          <w:rFonts w:eastAsia="Calibri"/>
        </w:rPr>
      </w:pPr>
      <w:r w:rsidRPr="00EB73BF">
        <w:rPr>
          <w:rFonts w:eastAsia="Calibri"/>
        </w:rPr>
        <w:t>Office Space and Equipment</w:t>
      </w:r>
    </w:p>
    <w:p w14:paraId="4B4A1B30" w14:textId="77777777" w:rsidR="00AA58C9" w:rsidRPr="00EB73BF" w:rsidRDefault="00AA58C9" w:rsidP="00EB73BF">
      <w:pPr>
        <w:ind w:left="720"/>
        <w:contextualSpacing/>
        <w:jc w:val="both"/>
        <w:rPr>
          <w:rFonts w:eastAsia="Calibri"/>
        </w:rPr>
      </w:pPr>
    </w:p>
    <w:p w14:paraId="7501D5C7" w14:textId="77777777" w:rsidR="00AA58C9" w:rsidRDefault="00AA58C9" w:rsidP="00EB73BF">
      <w:pPr>
        <w:contextualSpacing/>
        <w:jc w:val="both"/>
        <w:rPr>
          <w:rFonts w:eastAsia="Calibri"/>
        </w:rPr>
      </w:pPr>
      <w:r w:rsidRPr="00EB73BF">
        <w:rPr>
          <w:rFonts w:eastAsia="Calibri"/>
        </w:rPr>
        <w:tab/>
        <w:t>According to Merritt Island, each of the service contracts that USWSC enters into with a utility “are different and are priced differently depending on numerous factors.”</w:t>
      </w:r>
      <w:r w:rsidRPr="00EB73BF">
        <w:rPr>
          <w:rFonts w:eastAsia="Calibri"/>
          <w:vertAlign w:val="superscript"/>
        </w:rPr>
        <w:footnoteReference w:id="20"/>
      </w:r>
      <w:r w:rsidRPr="00EB73BF">
        <w:rPr>
          <w:rFonts w:eastAsia="Calibri"/>
        </w:rPr>
        <w:t xml:space="preserve"> These factors include the number of employees needed and the number of hours required per system for successful operation. Additional considerations include whether USWSC provides sludge hauling, chemicals, power, offices, vehicles, etc., or if these items are provided by the utility.</w:t>
      </w:r>
    </w:p>
    <w:p w14:paraId="62732F39" w14:textId="77777777" w:rsidR="00F32C4B" w:rsidRPr="00EB73BF" w:rsidRDefault="00F32C4B" w:rsidP="00EB73BF">
      <w:pPr>
        <w:contextualSpacing/>
        <w:jc w:val="both"/>
        <w:rPr>
          <w:rFonts w:eastAsia="Calibri"/>
        </w:rPr>
      </w:pPr>
    </w:p>
    <w:p w14:paraId="77E78854" w14:textId="77777777" w:rsidR="00AA58C9" w:rsidRDefault="00AA58C9" w:rsidP="00EB73BF">
      <w:pPr>
        <w:contextualSpacing/>
        <w:jc w:val="both"/>
        <w:rPr>
          <w:rFonts w:eastAsia="Calibri"/>
        </w:rPr>
      </w:pPr>
      <w:r w:rsidRPr="00EB73BF">
        <w:rPr>
          <w:rFonts w:eastAsia="Calibri"/>
        </w:rPr>
        <w:tab/>
      </w:r>
      <w:r w:rsidR="007617D2" w:rsidRPr="00EB73BF">
        <w:rPr>
          <w:rFonts w:eastAsia="Calibri"/>
        </w:rPr>
        <w:t>We note</w:t>
      </w:r>
      <w:r w:rsidRPr="00EB73BF">
        <w:rPr>
          <w:rFonts w:eastAsia="Calibri"/>
        </w:rPr>
        <w:t xml:space="preserve"> that similar relationships currently exist for three other regulated utilities in Marion County; Tradewinds Utilities, Inc. (Tradewinds), C.F.A.T. H2O, Inc. (CFAT), and BFF Corp. (BFF). All have contractual service agreements with MIRA International, Inc. (MIRA). Their respective agreements cover similar services to those included in the agreement between Merritt Island and USWSC. In addition to a relationship established by their contractual service agreements, the same individuals own the three utilities listed above and MIRA. As such, the relationship is similar to that of Merritt Island and USWSC. </w:t>
      </w:r>
    </w:p>
    <w:p w14:paraId="0865EA91" w14:textId="77777777" w:rsidR="00F32C4B" w:rsidRPr="00EB73BF" w:rsidRDefault="00F32C4B" w:rsidP="00EB73BF">
      <w:pPr>
        <w:contextualSpacing/>
        <w:jc w:val="both"/>
        <w:rPr>
          <w:rFonts w:eastAsia="Calibri"/>
        </w:rPr>
      </w:pPr>
    </w:p>
    <w:p w14:paraId="48E46D74" w14:textId="77777777" w:rsidR="00AA58C9" w:rsidRDefault="00AA58C9" w:rsidP="00EB73BF">
      <w:pPr>
        <w:contextualSpacing/>
        <w:jc w:val="both"/>
        <w:rPr>
          <w:rFonts w:eastAsia="Calibri"/>
        </w:rPr>
      </w:pPr>
      <w:r w:rsidRPr="00EB73BF">
        <w:rPr>
          <w:rFonts w:eastAsia="Calibri"/>
        </w:rPr>
        <w:tab/>
        <w:t xml:space="preserve">As detailed in Table </w:t>
      </w:r>
      <w:r w:rsidR="00D62A1E" w:rsidRPr="00EB73BF">
        <w:rPr>
          <w:rFonts w:eastAsia="Calibri"/>
        </w:rPr>
        <w:t>1</w:t>
      </w:r>
      <w:r w:rsidRPr="00EB73BF">
        <w:rPr>
          <w:rFonts w:eastAsia="Calibri"/>
        </w:rPr>
        <w:t xml:space="preserve"> below, based on the three most recent Annual Reports, BFF had average operation and maintenance (O&amp;M) expense of $617.86 per Equivalent Residential Connection (ERC), CFAT had average O&amp;M expense of $426.77 per ERC, and Tradewinds had average O&amp;M expense of $501.24 per ERC. </w:t>
      </w:r>
    </w:p>
    <w:p w14:paraId="7E47DE7E" w14:textId="77777777" w:rsidR="00F32C4B" w:rsidRPr="00EB73BF" w:rsidRDefault="00F32C4B" w:rsidP="00EB73BF">
      <w:pPr>
        <w:contextualSpacing/>
        <w:jc w:val="both"/>
        <w:rPr>
          <w:rFonts w:eastAsia="Calibri"/>
        </w:rPr>
      </w:pPr>
    </w:p>
    <w:p w14:paraId="262F826F" w14:textId="77777777" w:rsidR="00AA58C9" w:rsidRPr="00EB73BF" w:rsidRDefault="00AA58C9" w:rsidP="00F32C4B">
      <w:pPr>
        <w:contextualSpacing/>
        <w:jc w:val="center"/>
        <w:rPr>
          <w:rFonts w:eastAsia="Calibri"/>
          <w:b/>
        </w:rPr>
      </w:pPr>
      <w:r w:rsidRPr="00EB73BF">
        <w:rPr>
          <w:rFonts w:eastAsia="Calibri"/>
          <w:b/>
        </w:rPr>
        <w:t xml:space="preserve">Table </w:t>
      </w:r>
      <w:r w:rsidR="00D62A1E" w:rsidRPr="00EB73BF">
        <w:rPr>
          <w:rFonts w:eastAsia="Calibri"/>
          <w:b/>
        </w:rPr>
        <w:t>1</w:t>
      </w:r>
    </w:p>
    <w:p w14:paraId="07AB9D24" w14:textId="77777777" w:rsidR="00AA58C9" w:rsidRPr="00EB73BF" w:rsidRDefault="00AA58C9" w:rsidP="00F32C4B">
      <w:pPr>
        <w:contextualSpacing/>
        <w:jc w:val="center"/>
        <w:rPr>
          <w:rFonts w:eastAsia="Calibri"/>
          <w:b/>
        </w:rPr>
      </w:pPr>
      <w:r w:rsidRPr="00EB73BF">
        <w:rPr>
          <w:rFonts w:eastAsia="Calibri"/>
          <w:b/>
        </w:rPr>
        <w:t>Comparable Wastewater O&amp;M Expense Per ERC</w:t>
      </w:r>
    </w:p>
    <w:tbl>
      <w:tblPr>
        <w:tblStyle w:val="TableGrid1"/>
        <w:tblW w:w="4910" w:type="pct"/>
        <w:jc w:val="center"/>
        <w:tblLook w:val="04A0" w:firstRow="1" w:lastRow="0" w:firstColumn="1" w:lastColumn="0" w:noHBand="0" w:noVBand="1"/>
      </w:tblPr>
      <w:tblGrid>
        <w:gridCol w:w="2294"/>
        <w:gridCol w:w="2390"/>
        <w:gridCol w:w="2390"/>
        <w:gridCol w:w="2330"/>
      </w:tblGrid>
      <w:tr w:rsidR="00AA58C9" w:rsidRPr="00EB73BF" w14:paraId="7D15CD93" w14:textId="77777777" w:rsidTr="006827FF">
        <w:trPr>
          <w:jc w:val="center"/>
        </w:trPr>
        <w:tc>
          <w:tcPr>
            <w:tcW w:w="1219" w:type="pct"/>
          </w:tcPr>
          <w:p w14:paraId="5DB8261F" w14:textId="77777777" w:rsidR="00AA58C9" w:rsidRPr="00EB73BF" w:rsidRDefault="00AA58C9" w:rsidP="00EB73BF">
            <w:pPr>
              <w:contextualSpacing/>
              <w:rPr>
                <w:rFonts w:ascii="Times New Roman" w:hAnsi="Times New Roman"/>
                <w:b/>
              </w:rPr>
            </w:pPr>
            <w:r w:rsidRPr="00EB73BF">
              <w:rPr>
                <w:rFonts w:ascii="Times New Roman" w:hAnsi="Times New Roman"/>
                <w:b/>
              </w:rPr>
              <w:t xml:space="preserve">Annual Report </w:t>
            </w:r>
          </w:p>
          <w:p w14:paraId="7C9B6E5E" w14:textId="77777777" w:rsidR="00AA58C9" w:rsidRPr="00EB73BF" w:rsidRDefault="00AA58C9" w:rsidP="00EB73BF">
            <w:pPr>
              <w:contextualSpacing/>
              <w:rPr>
                <w:rFonts w:ascii="Times New Roman" w:hAnsi="Times New Roman"/>
                <w:b/>
                <w:u w:val="single"/>
              </w:rPr>
            </w:pPr>
            <w:r w:rsidRPr="00EB73BF">
              <w:rPr>
                <w:rFonts w:ascii="Times New Roman" w:hAnsi="Times New Roman"/>
                <w:b/>
                <w:u w:val="single"/>
              </w:rPr>
              <w:t>Year</w:t>
            </w:r>
          </w:p>
        </w:tc>
        <w:tc>
          <w:tcPr>
            <w:tcW w:w="1271" w:type="pct"/>
          </w:tcPr>
          <w:p w14:paraId="71E5F6B2" w14:textId="77777777" w:rsidR="00AA58C9" w:rsidRPr="00EB73BF" w:rsidRDefault="00AA58C9" w:rsidP="00EB73BF">
            <w:pPr>
              <w:contextualSpacing/>
              <w:rPr>
                <w:rFonts w:ascii="Times New Roman" w:hAnsi="Times New Roman"/>
                <w:b/>
              </w:rPr>
            </w:pPr>
            <w:r w:rsidRPr="00EB73BF">
              <w:rPr>
                <w:rFonts w:ascii="Times New Roman" w:hAnsi="Times New Roman"/>
                <w:b/>
              </w:rPr>
              <w:t>BFF</w:t>
            </w:r>
          </w:p>
          <w:p w14:paraId="1E35EFE5" w14:textId="77777777" w:rsidR="00AA58C9" w:rsidRPr="00EB73BF" w:rsidRDefault="00AA58C9" w:rsidP="00EB73BF">
            <w:pPr>
              <w:contextualSpacing/>
              <w:rPr>
                <w:rFonts w:ascii="Times New Roman" w:hAnsi="Times New Roman"/>
                <w:b/>
                <w:u w:val="single"/>
              </w:rPr>
            </w:pPr>
            <w:r w:rsidRPr="00EB73BF">
              <w:rPr>
                <w:rFonts w:ascii="Times New Roman" w:hAnsi="Times New Roman"/>
                <w:b/>
                <w:u w:val="single"/>
              </w:rPr>
              <w:t>(112 ERCs)</w:t>
            </w:r>
          </w:p>
        </w:tc>
        <w:tc>
          <w:tcPr>
            <w:tcW w:w="1271" w:type="pct"/>
          </w:tcPr>
          <w:p w14:paraId="1640E6F5" w14:textId="77777777" w:rsidR="00AA58C9" w:rsidRPr="00EB73BF" w:rsidRDefault="00AA58C9" w:rsidP="00EB73BF">
            <w:pPr>
              <w:contextualSpacing/>
              <w:rPr>
                <w:rFonts w:ascii="Times New Roman" w:hAnsi="Times New Roman"/>
                <w:b/>
              </w:rPr>
            </w:pPr>
            <w:r w:rsidRPr="00EB73BF">
              <w:rPr>
                <w:rFonts w:ascii="Times New Roman" w:hAnsi="Times New Roman"/>
                <w:b/>
              </w:rPr>
              <w:t>CFAT</w:t>
            </w:r>
          </w:p>
          <w:p w14:paraId="52E8F269" w14:textId="77777777" w:rsidR="00AA58C9" w:rsidRPr="00EB73BF" w:rsidRDefault="00AA58C9" w:rsidP="00EB73BF">
            <w:pPr>
              <w:contextualSpacing/>
              <w:rPr>
                <w:rFonts w:ascii="Times New Roman" w:hAnsi="Times New Roman"/>
                <w:b/>
                <w:u w:val="single"/>
              </w:rPr>
            </w:pPr>
            <w:r w:rsidRPr="00EB73BF">
              <w:rPr>
                <w:rFonts w:ascii="Times New Roman" w:hAnsi="Times New Roman"/>
                <w:b/>
                <w:u w:val="single"/>
              </w:rPr>
              <w:t>(227 ERCs)</w:t>
            </w:r>
          </w:p>
        </w:tc>
        <w:tc>
          <w:tcPr>
            <w:tcW w:w="1239" w:type="pct"/>
          </w:tcPr>
          <w:p w14:paraId="4DA882D5" w14:textId="77777777" w:rsidR="00AA58C9" w:rsidRPr="00EB73BF" w:rsidRDefault="00AA58C9" w:rsidP="00EB73BF">
            <w:pPr>
              <w:contextualSpacing/>
              <w:rPr>
                <w:rFonts w:ascii="Times New Roman" w:hAnsi="Times New Roman"/>
                <w:b/>
              </w:rPr>
            </w:pPr>
            <w:r w:rsidRPr="00EB73BF">
              <w:rPr>
                <w:rFonts w:ascii="Times New Roman" w:hAnsi="Times New Roman"/>
                <w:b/>
              </w:rPr>
              <w:t>Tradewinds</w:t>
            </w:r>
            <w:r w:rsidRPr="00EB73BF">
              <w:rPr>
                <w:rFonts w:ascii="Times New Roman" w:hAnsi="Times New Roman"/>
                <w:b/>
                <w:vertAlign w:val="superscript"/>
              </w:rPr>
              <w:footnoteReference w:id="21"/>
            </w:r>
          </w:p>
          <w:p w14:paraId="54AFF34E" w14:textId="77777777" w:rsidR="00AA58C9" w:rsidRPr="00EB73BF" w:rsidRDefault="00AA58C9" w:rsidP="00EB73BF">
            <w:pPr>
              <w:contextualSpacing/>
              <w:rPr>
                <w:rFonts w:ascii="Times New Roman" w:hAnsi="Times New Roman"/>
                <w:b/>
                <w:u w:val="single"/>
              </w:rPr>
            </w:pPr>
            <w:r w:rsidRPr="00EB73BF">
              <w:rPr>
                <w:rFonts w:ascii="Times New Roman" w:hAnsi="Times New Roman"/>
                <w:b/>
                <w:u w:val="single"/>
              </w:rPr>
              <w:t>(368 ERCs)</w:t>
            </w:r>
          </w:p>
        </w:tc>
      </w:tr>
      <w:tr w:rsidR="00AA58C9" w:rsidRPr="00EB73BF" w14:paraId="3D337C4E" w14:textId="77777777" w:rsidTr="006827FF">
        <w:trPr>
          <w:jc w:val="center"/>
        </w:trPr>
        <w:tc>
          <w:tcPr>
            <w:tcW w:w="1219" w:type="pct"/>
          </w:tcPr>
          <w:p w14:paraId="487C833A" w14:textId="77777777" w:rsidR="00AA58C9" w:rsidRPr="00EB73BF" w:rsidRDefault="00AA58C9" w:rsidP="00EB73BF">
            <w:pPr>
              <w:contextualSpacing/>
              <w:rPr>
                <w:rFonts w:ascii="Times New Roman" w:hAnsi="Times New Roman"/>
              </w:rPr>
            </w:pPr>
            <w:r w:rsidRPr="00EB73BF">
              <w:rPr>
                <w:rFonts w:ascii="Times New Roman" w:hAnsi="Times New Roman"/>
              </w:rPr>
              <w:t>2016</w:t>
            </w:r>
          </w:p>
        </w:tc>
        <w:tc>
          <w:tcPr>
            <w:tcW w:w="1271" w:type="pct"/>
          </w:tcPr>
          <w:p w14:paraId="6BC3279A" w14:textId="77777777" w:rsidR="00AA58C9" w:rsidRPr="00EB73BF" w:rsidRDefault="00AA58C9" w:rsidP="00EB73BF">
            <w:pPr>
              <w:contextualSpacing/>
              <w:rPr>
                <w:rFonts w:ascii="Times New Roman" w:hAnsi="Times New Roman"/>
              </w:rPr>
            </w:pPr>
            <w:r w:rsidRPr="00EB73BF">
              <w:rPr>
                <w:rFonts w:ascii="Times New Roman" w:hAnsi="Times New Roman"/>
              </w:rPr>
              <w:t>$533.13</w:t>
            </w:r>
          </w:p>
        </w:tc>
        <w:tc>
          <w:tcPr>
            <w:tcW w:w="1271" w:type="pct"/>
          </w:tcPr>
          <w:p w14:paraId="38D32F7D" w14:textId="77777777" w:rsidR="00AA58C9" w:rsidRPr="00EB73BF" w:rsidRDefault="00AA58C9" w:rsidP="00EB73BF">
            <w:pPr>
              <w:contextualSpacing/>
              <w:rPr>
                <w:rFonts w:ascii="Times New Roman" w:hAnsi="Times New Roman"/>
              </w:rPr>
            </w:pPr>
            <w:r w:rsidRPr="00EB73BF">
              <w:rPr>
                <w:rFonts w:ascii="Times New Roman" w:hAnsi="Times New Roman"/>
              </w:rPr>
              <w:t>$404.88</w:t>
            </w:r>
          </w:p>
        </w:tc>
        <w:tc>
          <w:tcPr>
            <w:tcW w:w="1239" w:type="pct"/>
          </w:tcPr>
          <w:p w14:paraId="18D1A1A9" w14:textId="77777777" w:rsidR="00AA58C9" w:rsidRPr="00EB73BF" w:rsidRDefault="00AA58C9" w:rsidP="00EB73BF">
            <w:pPr>
              <w:contextualSpacing/>
              <w:rPr>
                <w:rFonts w:ascii="Times New Roman" w:hAnsi="Times New Roman"/>
              </w:rPr>
            </w:pPr>
            <w:r w:rsidRPr="00EB73BF">
              <w:rPr>
                <w:rFonts w:ascii="Times New Roman" w:hAnsi="Times New Roman"/>
              </w:rPr>
              <w:t>$479.71</w:t>
            </w:r>
          </w:p>
        </w:tc>
      </w:tr>
      <w:tr w:rsidR="00AA58C9" w:rsidRPr="00EB73BF" w14:paraId="0B1E68E8" w14:textId="77777777" w:rsidTr="006827FF">
        <w:trPr>
          <w:jc w:val="center"/>
        </w:trPr>
        <w:tc>
          <w:tcPr>
            <w:tcW w:w="1219" w:type="pct"/>
          </w:tcPr>
          <w:p w14:paraId="7B3480BE" w14:textId="77777777" w:rsidR="00AA58C9" w:rsidRPr="00EB73BF" w:rsidRDefault="00AA58C9" w:rsidP="00EB73BF">
            <w:pPr>
              <w:contextualSpacing/>
              <w:rPr>
                <w:rFonts w:ascii="Times New Roman" w:hAnsi="Times New Roman"/>
              </w:rPr>
            </w:pPr>
            <w:r w:rsidRPr="00EB73BF">
              <w:rPr>
                <w:rFonts w:ascii="Times New Roman" w:hAnsi="Times New Roman"/>
              </w:rPr>
              <w:t>2017</w:t>
            </w:r>
          </w:p>
        </w:tc>
        <w:tc>
          <w:tcPr>
            <w:tcW w:w="1271" w:type="pct"/>
          </w:tcPr>
          <w:p w14:paraId="283BF302" w14:textId="77777777" w:rsidR="00AA58C9" w:rsidRPr="00EB73BF" w:rsidRDefault="00AA58C9" w:rsidP="00EB73BF">
            <w:pPr>
              <w:contextualSpacing/>
              <w:rPr>
                <w:rFonts w:ascii="Times New Roman" w:hAnsi="Times New Roman"/>
              </w:rPr>
            </w:pPr>
            <w:r w:rsidRPr="00EB73BF">
              <w:rPr>
                <w:rFonts w:ascii="Times New Roman" w:hAnsi="Times New Roman"/>
              </w:rPr>
              <w:t>$694.34</w:t>
            </w:r>
          </w:p>
        </w:tc>
        <w:tc>
          <w:tcPr>
            <w:tcW w:w="1271" w:type="pct"/>
          </w:tcPr>
          <w:p w14:paraId="1EE6627B" w14:textId="77777777" w:rsidR="00AA58C9" w:rsidRPr="00EB73BF" w:rsidRDefault="00AA58C9" w:rsidP="00EB73BF">
            <w:pPr>
              <w:contextualSpacing/>
              <w:rPr>
                <w:rFonts w:ascii="Times New Roman" w:hAnsi="Times New Roman"/>
              </w:rPr>
            </w:pPr>
            <w:r w:rsidRPr="00EB73BF">
              <w:rPr>
                <w:rFonts w:ascii="Times New Roman" w:hAnsi="Times New Roman"/>
              </w:rPr>
              <w:t>$401.54</w:t>
            </w:r>
          </w:p>
        </w:tc>
        <w:tc>
          <w:tcPr>
            <w:tcW w:w="1239" w:type="pct"/>
          </w:tcPr>
          <w:p w14:paraId="075CB87E" w14:textId="77777777" w:rsidR="00AA58C9" w:rsidRPr="00EB73BF" w:rsidRDefault="00AA58C9" w:rsidP="00EB73BF">
            <w:pPr>
              <w:contextualSpacing/>
              <w:rPr>
                <w:rFonts w:ascii="Times New Roman" w:hAnsi="Times New Roman"/>
              </w:rPr>
            </w:pPr>
            <w:r w:rsidRPr="00EB73BF">
              <w:rPr>
                <w:rFonts w:ascii="Times New Roman" w:hAnsi="Times New Roman"/>
              </w:rPr>
              <w:t>$512.87</w:t>
            </w:r>
          </w:p>
        </w:tc>
      </w:tr>
      <w:tr w:rsidR="00AA58C9" w:rsidRPr="00EB73BF" w14:paraId="1B16F0AF" w14:textId="77777777" w:rsidTr="006827FF">
        <w:trPr>
          <w:jc w:val="center"/>
        </w:trPr>
        <w:tc>
          <w:tcPr>
            <w:tcW w:w="1219" w:type="pct"/>
          </w:tcPr>
          <w:p w14:paraId="28AB496D" w14:textId="77777777" w:rsidR="00AA58C9" w:rsidRPr="00EB73BF" w:rsidRDefault="00AA58C9" w:rsidP="00EB73BF">
            <w:pPr>
              <w:contextualSpacing/>
              <w:rPr>
                <w:rFonts w:ascii="Times New Roman" w:hAnsi="Times New Roman"/>
              </w:rPr>
            </w:pPr>
            <w:r w:rsidRPr="00EB73BF">
              <w:rPr>
                <w:rFonts w:ascii="Times New Roman" w:hAnsi="Times New Roman"/>
              </w:rPr>
              <w:t>2018</w:t>
            </w:r>
          </w:p>
        </w:tc>
        <w:tc>
          <w:tcPr>
            <w:tcW w:w="1271" w:type="pct"/>
          </w:tcPr>
          <w:p w14:paraId="4E2C9677" w14:textId="77777777" w:rsidR="00AA58C9" w:rsidRPr="00EB73BF" w:rsidRDefault="00AA58C9" w:rsidP="00EB73BF">
            <w:pPr>
              <w:contextualSpacing/>
              <w:rPr>
                <w:rFonts w:ascii="Times New Roman" w:hAnsi="Times New Roman"/>
                <w:u w:val="single"/>
              </w:rPr>
            </w:pPr>
            <w:r w:rsidRPr="00EB73BF">
              <w:rPr>
                <w:rFonts w:ascii="Times New Roman" w:hAnsi="Times New Roman"/>
                <w:u w:val="single"/>
              </w:rPr>
              <w:t>$626.09</w:t>
            </w:r>
          </w:p>
        </w:tc>
        <w:tc>
          <w:tcPr>
            <w:tcW w:w="1271" w:type="pct"/>
          </w:tcPr>
          <w:p w14:paraId="1F953218" w14:textId="77777777" w:rsidR="00AA58C9" w:rsidRPr="00EB73BF" w:rsidRDefault="00AA58C9" w:rsidP="00EB73BF">
            <w:pPr>
              <w:contextualSpacing/>
              <w:rPr>
                <w:rFonts w:ascii="Times New Roman" w:hAnsi="Times New Roman"/>
                <w:u w:val="single"/>
              </w:rPr>
            </w:pPr>
            <w:r w:rsidRPr="00EB73BF">
              <w:rPr>
                <w:rFonts w:ascii="Times New Roman" w:hAnsi="Times New Roman"/>
                <w:u w:val="single"/>
              </w:rPr>
              <w:t>$473.89</w:t>
            </w:r>
          </w:p>
        </w:tc>
        <w:tc>
          <w:tcPr>
            <w:tcW w:w="1239" w:type="pct"/>
          </w:tcPr>
          <w:p w14:paraId="39AF748C" w14:textId="77777777" w:rsidR="00AA58C9" w:rsidRPr="00EB73BF" w:rsidRDefault="00AA58C9" w:rsidP="00EB73BF">
            <w:pPr>
              <w:contextualSpacing/>
              <w:rPr>
                <w:rFonts w:ascii="Times New Roman" w:hAnsi="Times New Roman"/>
                <w:u w:val="single"/>
              </w:rPr>
            </w:pPr>
            <w:r w:rsidRPr="00EB73BF">
              <w:rPr>
                <w:rFonts w:ascii="Times New Roman" w:hAnsi="Times New Roman"/>
                <w:u w:val="single"/>
              </w:rPr>
              <w:t>$511.14</w:t>
            </w:r>
          </w:p>
        </w:tc>
      </w:tr>
      <w:tr w:rsidR="00AA58C9" w:rsidRPr="00EB73BF" w14:paraId="0A2FAFBC" w14:textId="77777777" w:rsidTr="006827FF">
        <w:trPr>
          <w:jc w:val="center"/>
        </w:trPr>
        <w:tc>
          <w:tcPr>
            <w:tcW w:w="1219" w:type="pct"/>
          </w:tcPr>
          <w:p w14:paraId="5A1C2A89" w14:textId="77777777" w:rsidR="00AA58C9" w:rsidRPr="00EB73BF" w:rsidRDefault="00AA58C9" w:rsidP="00EB73BF">
            <w:pPr>
              <w:contextualSpacing/>
              <w:rPr>
                <w:rFonts w:ascii="Times New Roman" w:hAnsi="Times New Roman"/>
              </w:rPr>
            </w:pPr>
            <w:r w:rsidRPr="00EB73BF">
              <w:rPr>
                <w:rFonts w:ascii="Times New Roman" w:hAnsi="Times New Roman"/>
              </w:rPr>
              <w:t>3-Year Average</w:t>
            </w:r>
          </w:p>
        </w:tc>
        <w:tc>
          <w:tcPr>
            <w:tcW w:w="1271" w:type="pct"/>
          </w:tcPr>
          <w:p w14:paraId="0598B61F" w14:textId="77777777" w:rsidR="00AA58C9" w:rsidRPr="00EB73BF" w:rsidRDefault="00AA58C9" w:rsidP="00EB73BF">
            <w:pPr>
              <w:contextualSpacing/>
              <w:rPr>
                <w:rFonts w:ascii="Times New Roman" w:hAnsi="Times New Roman"/>
                <w:u w:val="double"/>
              </w:rPr>
            </w:pPr>
            <w:r w:rsidRPr="00EB73BF">
              <w:rPr>
                <w:rFonts w:ascii="Times New Roman" w:hAnsi="Times New Roman"/>
                <w:u w:val="double"/>
              </w:rPr>
              <w:t>$617.86</w:t>
            </w:r>
          </w:p>
        </w:tc>
        <w:tc>
          <w:tcPr>
            <w:tcW w:w="1271" w:type="pct"/>
          </w:tcPr>
          <w:p w14:paraId="4E8F6966" w14:textId="77777777" w:rsidR="00AA58C9" w:rsidRPr="00EB73BF" w:rsidRDefault="00AA58C9" w:rsidP="00EB73BF">
            <w:pPr>
              <w:contextualSpacing/>
              <w:rPr>
                <w:rFonts w:ascii="Times New Roman" w:hAnsi="Times New Roman"/>
                <w:u w:val="double"/>
              </w:rPr>
            </w:pPr>
            <w:r w:rsidRPr="00EB73BF">
              <w:rPr>
                <w:rFonts w:ascii="Times New Roman" w:hAnsi="Times New Roman"/>
                <w:u w:val="double"/>
              </w:rPr>
              <w:t>$426.77</w:t>
            </w:r>
          </w:p>
        </w:tc>
        <w:tc>
          <w:tcPr>
            <w:tcW w:w="1239" w:type="pct"/>
          </w:tcPr>
          <w:p w14:paraId="6ECB5959" w14:textId="77777777" w:rsidR="00AA58C9" w:rsidRPr="00EB73BF" w:rsidRDefault="00AA58C9" w:rsidP="00EB73BF">
            <w:pPr>
              <w:contextualSpacing/>
              <w:rPr>
                <w:rFonts w:ascii="Times New Roman" w:hAnsi="Times New Roman"/>
                <w:u w:val="double"/>
              </w:rPr>
            </w:pPr>
            <w:r w:rsidRPr="00EB73BF">
              <w:rPr>
                <w:rFonts w:ascii="Times New Roman" w:hAnsi="Times New Roman"/>
                <w:u w:val="double"/>
              </w:rPr>
              <w:t>$501.24</w:t>
            </w:r>
          </w:p>
        </w:tc>
      </w:tr>
    </w:tbl>
    <w:p w14:paraId="62757146" w14:textId="77777777" w:rsidR="00AA58C9" w:rsidRPr="00EB73BF" w:rsidRDefault="00AA58C9" w:rsidP="00EF1246">
      <w:pPr>
        <w:contextualSpacing/>
        <w:rPr>
          <w:rFonts w:eastAsia="Calibri"/>
        </w:rPr>
      </w:pPr>
      <w:r w:rsidRPr="00EB73BF">
        <w:rPr>
          <w:rFonts w:eastAsia="Calibri"/>
        </w:rPr>
        <w:t>Source: BFF, CFAT, and Tradewinds 2016-2018 Annual Reports; and staff calculations.</w:t>
      </w:r>
    </w:p>
    <w:p w14:paraId="4E876A30" w14:textId="77777777" w:rsidR="00AA58C9" w:rsidRPr="00EB73BF" w:rsidRDefault="00AA58C9" w:rsidP="00EB73BF">
      <w:pPr>
        <w:contextualSpacing/>
        <w:jc w:val="both"/>
        <w:rPr>
          <w:rFonts w:eastAsia="Calibri"/>
        </w:rPr>
      </w:pPr>
    </w:p>
    <w:p w14:paraId="3C019286" w14:textId="77777777" w:rsidR="00AA58C9" w:rsidRDefault="007617D2" w:rsidP="00EB73BF">
      <w:pPr>
        <w:contextualSpacing/>
        <w:jc w:val="both"/>
        <w:rPr>
          <w:rFonts w:eastAsia="Calibri"/>
        </w:rPr>
      </w:pPr>
      <w:r w:rsidRPr="00EB73BF">
        <w:rPr>
          <w:rFonts w:eastAsia="Calibri"/>
        </w:rPr>
        <w:t>Under the approved</w:t>
      </w:r>
      <w:r w:rsidR="00AA58C9" w:rsidRPr="00EB73BF">
        <w:rPr>
          <w:rFonts w:eastAsia="Calibri"/>
        </w:rPr>
        <w:t xml:space="preserve"> revenue requirement, Merritt Island’s O&amp;M expense is $280.62 per ERC. This proposed expense is 54.58 percent less than BFF, 34.25 percent less than CFAT, and 44.01 percent less than Tradewinds.</w:t>
      </w:r>
    </w:p>
    <w:p w14:paraId="235EE56A" w14:textId="77777777" w:rsidR="00F32C4B" w:rsidRPr="00EB73BF" w:rsidRDefault="00F32C4B" w:rsidP="00EB73BF">
      <w:pPr>
        <w:contextualSpacing/>
        <w:jc w:val="both"/>
        <w:rPr>
          <w:rFonts w:eastAsia="Calibri"/>
        </w:rPr>
      </w:pPr>
    </w:p>
    <w:p w14:paraId="0A93D8F8" w14:textId="77777777" w:rsidR="00AA58C9" w:rsidRDefault="00AA58C9" w:rsidP="00EB73BF">
      <w:pPr>
        <w:contextualSpacing/>
        <w:jc w:val="both"/>
        <w:rPr>
          <w:rFonts w:eastAsia="Calibri"/>
        </w:rPr>
      </w:pPr>
      <w:r w:rsidRPr="00EB73BF">
        <w:rPr>
          <w:rFonts w:eastAsia="Calibri"/>
        </w:rPr>
        <w:tab/>
        <w:t>Additional support offered by Merritt Island included the “2016 American Water Works Association Benchmarking Performance Indicators for Water and Wastewater” (AWWA Benchmark) and an independent third-party contract and benchmarking review commissioned by the Florida Governmental Utility Authority (FGUA), which was issued in 2013. According to the AWWA Benchmark, the median O&amp;M expense per account of the 8 wastewater companies surveyed is $367.91, including customer service costs. This figure is 31.11 percent higher than the O&amp;M expense per ERC ($280.62) staff is recommending for Merritt Island.</w:t>
      </w:r>
    </w:p>
    <w:p w14:paraId="64F7642E" w14:textId="77777777" w:rsidR="00F32C4B" w:rsidRPr="00EB73BF" w:rsidRDefault="00F32C4B" w:rsidP="00EB73BF">
      <w:pPr>
        <w:contextualSpacing/>
        <w:jc w:val="both"/>
        <w:rPr>
          <w:rFonts w:eastAsia="Calibri"/>
        </w:rPr>
      </w:pPr>
    </w:p>
    <w:p w14:paraId="01CB1A7F" w14:textId="77777777" w:rsidR="00AA58C9" w:rsidRDefault="00AA58C9" w:rsidP="00EB73BF">
      <w:pPr>
        <w:contextualSpacing/>
        <w:jc w:val="both"/>
        <w:rPr>
          <w:rFonts w:eastAsia="Calibri"/>
        </w:rPr>
      </w:pPr>
      <w:r w:rsidRPr="00EB73BF">
        <w:rPr>
          <w:rFonts w:eastAsia="Calibri"/>
          <w:color w:val="121212"/>
        </w:rPr>
        <w:tab/>
        <w:t xml:space="preserve">The contract and benchmarking review </w:t>
      </w:r>
      <w:r w:rsidRPr="00EB73BF">
        <w:rPr>
          <w:rFonts w:eastAsia="Calibri"/>
        </w:rPr>
        <w:t xml:space="preserve">commissioned by FGUA was undertaken </w:t>
      </w:r>
      <w:r w:rsidRPr="00EB73BF">
        <w:rPr>
          <w:rFonts w:eastAsia="Calibri"/>
          <w:color w:val="121212"/>
        </w:rPr>
        <w:t xml:space="preserve">to review charges by USWSC in </w:t>
      </w:r>
      <w:r w:rsidRPr="00EB73BF">
        <w:rPr>
          <w:rFonts w:eastAsia="Calibri"/>
          <w:color w:val="232323"/>
        </w:rPr>
        <w:t xml:space="preserve">comparison </w:t>
      </w:r>
      <w:r w:rsidRPr="00EB73BF">
        <w:rPr>
          <w:rFonts w:eastAsia="Calibri"/>
          <w:color w:val="121212"/>
        </w:rPr>
        <w:t xml:space="preserve">to </w:t>
      </w:r>
      <w:r w:rsidRPr="00EB73BF">
        <w:rPr>
          <w:rFonts w:eastAsia="Calibri"/>
          <w:color w:val="232323"/>
        </w:rPr>
        <w:t xml:space="preserve">similar water and wastewater </w:t>
      </w:r>
      <w:r w:rsidRPr="00EB73BF">
        <w:rPr>
          <w:rFonts w:eastAsia="Calibri"/>
          <w:color w:val="121212"/>
        </w:rPr>
        <w:t xml:space="preserve">utilities throughout the United States. </w:t>
      </w:r>
      <w:r w:rsidRPr="00EB73BF">
        <w:rPr>
          <w:rFonts w:eastAsia="Calibri"/>
          <w:color w:val="1D1D1D"/>
        </w:rPr>
        <w:t xml:space="preserve">The </w:t>
      </w:r>
      <w:r w:rsidRPr="00EB73BF">
        <w:rPr>
          <w:rFonts w:eastAsia="Calibri"/>
          <w:color w:val="303030"/>
        </w:rPr>
        <w:t xml:space="preserve">FGUA study concluded </w:t>
      </w:r>
      <w:r w:rsidRPr="00EB73BF">
        <w:rPr>
          <w:rFonts w:eastAsia="Calibri"/>
          <w:color w:val="1D1D1D"/>
        </w:rPr>
        <w:t xml:space="preserve">that the USWSC </w:t>
      </w:r>
      <w:r w:rsidRPr="00EB73BF">
        <w:rPr>
          <w:rFonts w:eastAsia="Calibri"/>
          <w:color w:val="303030"/>
        </w:rPr>
        <w:t xml:space="preserve">costs </w:t>
      </w:r>
      <w:r w:rsidRPr="00EB73BF">
        <w:rPr>
          <w:rFonts w:eastAsia="Calibri"/>
          <w:color w:val="1D1D1D"/>
        </w:rPr>
        <w:t xml:space="preserve">on </w:t>
      </w:r>
      <w:r w:rsidRPr="00EB73BF">
        <w:rPr>
          <w:rFonts w:eastAsia="Calibri"/>
          <w:color w:val="303030"/>
        </w:rPr>
        <w:t xml:space="preserve">a </w:t>
      </w:r>
      <w:r w:rsidRPr="00EB73BF">
        <w:rPr>
          <w:rFonts w:eastAsia="Calibri"/>
          <w:color w:val="1D1D1D"/>
        </w:rPr>
        <w:t xml:space="preserve">per account basis fell </w:t>
      </w:r>
      <w:r w:rsidRPr="00EB73BF">
        <w:rPr>
          <w:rFonts w:eastAsia="Calibri"/>
          <w:color w:val="303030"/>
        </w:rPr>
        <w:t xml:space="preserve">within </w:t>
      </w:r>
      <w:r w:rsidRPr="00EB73BF">
        <w:rPr>
          <w:rFonts w:eastAsia="Calibri"/>
          <w:color w:val="1D1D1D"/>
        </w:rPr>
        <w:t xml:space="preserve">the </w:t>
      </w:r>
      <w:r w:rsidRPr="00EB73BF">
        <w:rPr>
          <w:rFonts w:eastAsia="Calibri"/>
          <w:color w:val="303030"/>
        </w:rPr>
        <w:t xml:space="preserve">top </w:t>
      </w:r>
      <w:r w:rsidRPr="00EB73BF">
        <w:rPr>
          <w:rFonts w:eastAsia="Calibri"/>
          <w:color w:val="1D1D1D"/>
        </w:rPr>
        <w:t xml:space="preserve">quartile (lower cost) </w:t>
      </w:r>
      <w:r w:rsidRPr="00EB73BF">
        <w:rPr>
          <w:rFonts w:eastAsia="Calibri"/>
          <w:color w:val="303030"/>
        </w:rPr>
        <w:t xml:space="preserve">of </w:t>
      </w:r>
      <w:r w:rsidRPr="00EB73BF">
        <w:rPr>
          <w:rFonts w:eastAsia="Calibri"/>
          <w:color w:val="1D1D1D"/>
        </w:rPr>
        <w:t xml:space="preserve">other </w:t>
      </w:r>
      <w:r w:rsidRPr="00EB73BF">
        <w:rPr>
          <w:rFonts w:eastAsia="Calibri"/>
          <w:color w:val="303030"/>
        </w:rPr>
        <w:t>utilities.</w:t>
      </w:r>
      <w:r w:rsidRPr="00EB73BF">
        <w:rPr>
          <w:rFonts w:eastAsia="Calibri"/>
          <w:color w:val="303030"/>
          <w:vertAlign w:val="superscript"/>
        </w:rPr>
        <w:footnoteReference w:id="22"/>
      </w:r>
      <w:r w:rsidRPr="00EB73BF">
        <w:rPr>
          <w:rFonts w:eastAsia="Calibri"/>
          <w:color w:val="303030"/>
        </w:rPr>
        <w:t xml:space="preserve"> </w:t>
      </w:r>
      <w:r w:rsidRPr="00EB73BF">
        <w:rPr>
          <w:rFonts w:eastAsia="Calibri"/>
          <w:color w:val="121212"/>
        </w:rPr>
        <w:t>While t</w:t>
      </w:r>
      <w:r w:rsidRPr="00EB73BF">
        <w:rPr>
          <w:rFonts w:eastAsia="Calibri"/>
        </w:rPr>
        <w:t xml:space="preserve">he Utility has represented that there was a flaw in the data presented in the 2013 study, </w:t>
      </w:r>
      <w:r w:rsidR="007617D2" w:rsidRPr="00EB73BF">
        <w:rPr>
          <w:rFonts w:eastAsia="Calibri"/>
        </w:rPr>
        <w:t xml:space="preserve">our </w:t>
      </w:r>
      <w:r w:rsidRPr="00EB73BF">
        <w:rPr>
          <w:rFonts w:eastAsia="Calibri"/>
        </w:rPr>
        <w:t xml:space="preserve">greater concern is the age of some of the underlying data, which can be tied to </w:t>
      </w:r>
      <w:r w:rsidRPr="00EB73BF">
        <w:rPr>
          <w:rFonts w:eastAsia="Calibri"/>
          <w:color w:val="121212"/>
        </w:rPr>
        <w:t xml:space="preserve">AWWA’s </w:t>
      </w:r>
      <w:r w:rsidRPr="00EB73BF">
        <w:rPr>
          <w:rFonts w:eastAsia="Calibri"/>
          <w:color w:val="232323"/>
        </w:rPr>
        <w:t xml:space="preserve">2011 </w:t>
      </w:r>
      <w:r w:rsidRPr="00EB73BF">
        <w:rPr>
          <w:rFonts w:eastAsia="Calibri"/>
          <w:color w:val="121212"/>
        </w:rPr>
        <w:t>Benchmarking Performance Indicators</w:t>
      </w:r>
      <w:r w:rsidRPr="00EB73BF">
        <w:rPr>
          <w:rFonts w:eastAsia="Calibri"/>
          <w:color w:val="383838"/>
        </w:rPr>
        <w:t>.</w:t>
      </w:r>
      <w:r w:rsidRPr="00EB73BF">
        <w:rPr>
          <w:rFonts w:eastAsia="Calibri"/>
        </w:rPr>
        <w:t xml:space="preserve"> As such, </w:t>
      </w:r>
      <w:r w:rsidR="007617D2" w:rsidRPr="00EB73BF">
        <w:rPr>
          <w:rFonts w:eastAsia="Calibri"/>
        </w:rPr>
        <w:t>we find</w:t>
      </w:r>
      <w:r w:rsidRPr="00EB73BF">
        <w:rPr>
          <w:rFonts w:eastAsia="Calibri"/>
        </w:rPr>
        <w:t xml:space="preserve"> that the 2016 Benchmarking Performance Indicators are a more appropriate reference point. </w:t>
      </w:r>
    </w:p>
    <w:p w14:paraId="67C42F2F" w14:textId="77777777" w:rsidR="00F32C4B" w:rsidRPr="00EB73BF" w:rsidRDefault="00F32C4B" w:rsidP="00EB73BF">
      <w:pPr>
        <w:contextualSpacing/>
        <w:jc w:val="both"/>
        <w:rPr>
          <w:rFonts w:eastAsia="Calibri"/>
          <w:color w:val="121212"/>
        </w:rPr>
      </w:pPr>
    </w:p>
    <w:p w14:paraId="6C530EFE" w14:textId="77777777" w:rsidR="00AA58C9" w:rsidRDefault="00AA58C9" w:rsidP="00EB73BF">
      <w:pPr>
        <w:contextualSpacing/>
        <w:jc w:val="both"/>
        <w:rPr>
          <w:rFonts w:eastAsia="Calibri"/>
        </w:rPr>
      </w:pPr>
      <w:r w:rsidRPr="00EB73BF">
        <w:rPr>
          <w:rFonts w:eastAsia="Calibri"/>
        </w:rPr>
        <w:tab/>
        <w:t xml:space="preserve">In its filing, Merritt Island asserted that if it was required to establish a stand-alone utility with personnel for maintenance, customer service, accounting, regulatory compliance, etc., then the cost would exceed that of the current USWSC contract. As the Utility noted in its supplemental filing, O&amp;M expenses would be incurred regardless of the size of the customer base. In regard to the appropriateness of utility contracts with affiliated companies, the Utility cited </w:t>
      </w:r>
      <w:r w:rsidRPr="00EB73BF">
        <w:rPr>
          <w:rFonts w:eastAsia="Calibri"/>
          <w:i/>
        </w:rPr>
        <w:t>GTE v. Deason</w:t>
      </w:r>
      <w:r w:rsidRPr="00EB73BF">
        <w:rPr>
          <w:rFonts w:eastAsia="Calibri"/>
        </w:rPr>
        <w:t>, 642 So. 2d 545 (Fla. 1994), in which the Florida Supreme Court stated:</w:t>
      </w:r>
    </w:p>
    <w:p w14:paraId="49730CDA" w14:textId="77777777" w:rsidR="00F32C4B" w:rsidRPr="00EB73BF" w:rsidRDefault="00F32C4B" w:rsidP="00EB73BF">
      <w:pPr>
        <w:contextualSpacing/>
        <w:jc w:val="both"/>
        <w:rPr>
          <w:rFonts w:eastAsia="Calibri"/>
        </w:rPr>
      </w:pPr>
    </w:p>
    <w:p w14:paraId="5DC0D44C" w14:textId="77777777" w:rsidR="00AA58C9" w:rsidRDefault="00AA58C9" w:rsidP="00EB73BF">
      <w:pPr>
        <w:ind w:left="720" w:right="720"/>
        <w:contextualSpacing/>
        <w:jc w:val="both"/>
        <w:rPr>
          <w:rFonts w:eastAsia="Calibri"/>
        </w:rPr>
      </w:pPr>
      <w:r w:rsidRPr="00EB73BF">
        <w:rPr>
          <w:rFonts w:eastAsia="Calibri"/>
        </w:rPr>
        <w:t xml:space="preserve">The mere fact that a utility is doing business with an affiliate does not mean that unfair or excess profits are being generated, without more. Charles F. Phillips, Jr. </w:t>
      </w:r>
      <w:r w:rsidRPr="00EB73BF">
        <w:rPr>
          <w:rFonts w:eastAsia="Calibri"/>
          <w:i/>
        </w:rPr>
        <w:t>The Regulation of Public Utilities</w:t>
      </w:r>
      <w:r w:rsidRPr="00EB73BF">
        <w:rPr>
          <w:rFonts w:eastAsia="Calibri"/>
        </w:rPr>
        <w:t xml:space="preserve"> 254-255 (1988). We believe the standard must be whether the transactions exceed the going market rate or otherwise inherently unfair . . . [i]f the answer is “no,” then the PSC may not reject the utility’s position.</w:t>
      </w:r>
    </w:p>
    <w:p w14:paraId="499D3DED" w14:textId="77777777" w:rsidR="00F32C4B" w:rsidRPr="00EB73BF" w:rsidRDefault="00F32C4B" w:rsidP="00EB73BF">
      <w:pPr>
        <w:ind w:left="720" w:right="720"/>
        <w:contextualSpacing/>
        <w:jc w:val="both"/>
        <w:rPr>
          <w:rFonts w:eastAsia="Calibri"/>
        </w:rPr>
      </w:pPr>
    </w:p>
    <w:p w14:paraId="305D9087" w14:textId="77777777" w:rsidR="00AA58C9" w:rsidRDefault="00AA58C9" w:rsidP="00EB73BF">
      <w:pPr>
        <w:contextualSpacing/>
        <w:jc w:val="both"/>
        <w:rPr>
          <w:rFonts w:eastAsia="Calibri"/>
        </w:rPr>
      </w:pPr>
      <w:r w:rsidRPr="00EB73BF">
        <w:rPr>
          <w:rFonts w:eastAsia="Calibri"/>
        </w:rPr>
        <w:tab/>
      </w:r>
      <w:r w:rsidR="007617D2" w:rsidRPr="00EB73BF">
        <w:rPr>
          <w:rFonts w:eastAsia="Calibri"/>
        </w:rPr>
        <w:t xml:space="preserve">We </w:t>
      </w:r>
      <w:r w:rsidRPr="00EB73BF">
        <w:rPr>
          <w:rFonts w:eastAsia="Calibri"/>
        </w:rPr>
        <w:t xml:space="preserve">compared Merritt Island to three “sister” wastewater utilities that had rate cases approved in the last five years by calculating a three-year average O&amp;M expense per ERC using information contained in each utility’s 2016, 2017, and 2018 Annual Reports. </w:t>
      </w:r>
      <w:r w:rsidR="007617D2" w:rsidRPr="00EB73BF">
        <w:rPr>
          <w:rFonts w:eastAsia="Calibri"/>
        </w:rPr>
        <w:t xml:space="preserve">We </w:t>
      </w:r>
      <w:r w:rsidRPr="00EB73BF">
        <w:rPr>
          <w:rFonts w:eastAsia="Calibri"/>
        </w:rPr>
        <w:t>then compared Merritt Island to five non-U.S. Water affiliated wastewater utilities using the same criteria.</w:t>
      </w:r>
      <w:r w:rsidRPr="00EB73BF">
        <w:rPr>
          <w:rFonts w:eastAsia="Calibri"/>
          <w:vertAlign w:val="superscript"/>
        </w:rPr>
        <w:footnoteReference w:id="23"/>
      </w:r>
      <w:r w:rsidRPr="00EB73BF">
        <w:rPr>
          <w:rFonts w:eastAsia="Calibri"/>
        </w:rPr>
        <w:t xml:space="preserve"> Based on that criteria, the average O&amp;M expense per ERC of the sister utilities was $359.45. The average O&amp;M expense per ERC for the non-U.S. Water wastewater utilities was $314.15. Merritt Island’s O&amp;M expense is $280.62 per ERC under </w:t>
      </w:r>
      <w:r w:rsidR="007617D2" w:rsidRPr="00EB73BF">
        <w:rPr>
          <w:rFonts w:eastAsia="Calibri"/>
        </w:rPr>
        <w:t xml:space="preserve">the approved revenue requirement. Table 2 </w:t>
      </w:r>
      <w:r w:rsidRPr="00EB73BF">
        <w:rPr>
          <w:rFonts w:eastAsia="Calibri"/>
        </w:rPr>
        <w:t>reflects the average O&amp;M expense per ERC for Merritt Island, and the average O&amp;M expense per ERC for the U.S. Water sister utilities and non-U.S. Water utilities.</w:t>
      </w:r>
    </w:p>
    <w:p w14:paraId="107E664F" w14:textId="77777777" w:rsidR="00F32C4B" w:rsidRPr="00EB73BF" w:rsidRDefault="00F32C4B" w:rsidP="00EB73BF">
      <w:pPr>
        <w:contextualSpacing/>
        <w:jc w:val="both"/>
        <w:rPr>
          <w:rFonts w:eastAsia="Calibri"/>
        </w:rPr>
      </w:pPr>
    </w:p>
    <w:p w14:paraId="5C27A151" w14:textId="77777777" w:rsidR="00AA58C9" w:rsidRPr="00EB73BF" w:rsidRDefault="007617D2" w:rsidP="00F32C4B">
      <w:pPr>
        <w:contextualSpacing/>
        <w:jc w:val="center"/>
        <w:rPr>
          <w:rFonts w:eastAsia="Calibri"/>
          <w:b/>
        </w:rPr>
      </w:pPr>
      <w:r w:rsidRPr="00EB73BF">
        <w:rPr>
          <w:rFonts w:eastAsia="Calibri"/>
          <w:b/>
        </w:rPr>
        <w:t xml:space="preserve">Table </w:t>
      </w:r>
      <w:r w:rsidR="00AA58C9" w:rsidRPr="00EB73BF">
        <w:rPr>
          <w:rFonts w:eastAsia="Calibri"/>
          <w:b/>
        </w:rPr>
        <w:t>2</w:t>
      </w:r>
    </w:p>
    <w:p w14:paraId="7764783D" w14:textId="77777777" w:rsidR="00AA58C9" w:rsidRPr="00EB73BF" w:rsidRDefault="00AA58C9" w:rsidP="00F32C4B">
      <w:pPr>
        <w:contextualSpacing/>
        <w:jc w:val="center"/>
        <w:rPr>
          <w:rFonts w:eastAsia="Calibri"/>
          <w:b/>
        </w:rPr>
      </w:pPr>
      <w:r w:rsidRPr="00EB73BF">
        <w:rPr>
          <w:rFonts w:eastAsia="Calibri"/>
          <w:b/>
        </w:rPr>
        <w:t>Wastewater O&amp;M Expense Per ERC</w:t>
      </w:r>
    </w:p>
    <w:tbl>
      <w:tblPr>
        <w:tblStyle w:val="TableGrid1"/>
        <w:tblW w:w="0" w:type="auto"/>
        <w:jc w:val="center"/>
        <w:tblLook w:val="04A0" w:firstRow="1" w:lastRow="0" w:firstColumn="1" w:lastColumn="0" w:noHBand="0" w:noVBand="1"/>
      </w:tblPr>
      <w:tblGrid>
        <w:gridCol w:w="4050"/>
        <w:gridCol w:w="1980"/>
      </w:tblGrid>
      <w:tr w:rsidR="00AA58C9" w:rsidRPr="00EB73BF" w14:paraId="47AB2953" w14:textId="77777777" w:rsidTr="006827FF">
        <w:trPr>
          <w:jc w:val="center"/>
        </w:trPr>
        <w:tc>
          <w:tcPr>
            <w:tcW w:w="4050" w:type="dxa"/>
          </w:tcPr>
          <w:p w14:paraId="6465B7DD" w14:textId="77777777" w:rsidR="00AA58C9" w:rsidRPr="00EB73BF" w:rsidRDefault="00AA58C9" w:rsidP="00EB73BF">
            <w:pPr>
              <w:contextualSpacing/>
              <w:rPr>
                <w:rFonts w:ascii="Times New Roman" w:hAnsi="Times New Roman"/>
                <w:b/>
                <w:u w:val="single"/>
              </w:rPr>
            </w:pPr>
            <w:r w:rsidRPr="00EB73BF">
              <w:rPr>
                <w:rFonts w:ascii="Times New Roman" w:hAnsi="Times New Roman"/>
                <w:b/>
                <w:u w:val="single"/>
              </w:rPr>
              <w:t>Utility</w:t>
            </w:r>
          </w:p>
        </w:tc>
        <w:tc>
          <w:tcPr>
            <w:tcW w:w="1980" w:type="dxa"/>
          </w:tcPr>
          <w:p w14:paraId="2D4B954B" w14:textId="77777777" w:rsidR="00AA58C9" w:rsidRPr="00EB73BF" w:rsidRDefault="00AA58C9" w:rsidP="00EB73BF">
            <w:pPr>
              <w:contextualSpacing/>
              <w:rPr>
                <w:rFonts w:ascii="Times New Roman" w:hAnsi="Times New Roman"/>
                <w:b/>
                <w:u w:val="single"/>
              </w:rPr>
            </w:pPr>
            <w:r w:rsidRPr="00EB73BF">
              <w:rPr>
                <w:rFonts w:ascii="Times New Roman" w:hAnsi="Times New Roman"/>
                <w:b/>
                <w:u w:val="single"/>
              </w:rPr>
              <w:t>O&amp;M Exp./ERC</w:t>
            </w:r>
          </w:p>
        </w:tc>
      </w:tr>
      <w:tr w:rsidR="00AA58C9" w:rsidRPr="00EB73BF" w14:paraId="38BECC16" w14:textId="77777777" w:rsidTr="006827FF">
        <w:trPr>
          <w:jc w:val="center"/>
        </w:trPr>
        <w:tc>
          <w:tcPr>
            <w:tcW w:w="4050" w:type="dxa"/>
          </w:tcPr>
          <w:p w14:paraId="0C5D2F25" w14:textId="77777777" w:rsidR="00AA58C9" w:rsidRPr="00EB73BF" w:rsidRDefault="00AA58C9" w:rsidP="00EB73BF">
            <w:pPr>
              <w:contextualSpacing/>
              <w:rPr>
                <w:rFonts w:ascii="Times New Roman" w:hAnsi="Times New Roman"/>
              </w:rPr>
            </w:pPr>
            <w:r w:rsidRPr="00EB73BF">
              <w:rPr>
                <w:rFonts w:ascii="Times New Roman" w:hAnsi="Times New Roman"/>
              </w:rPr>
              <w:t>U.S. Water Sister Utilities (3-Yr. Avg.)</w:t>
            </w:r>
          </w:p>
        </w:tc>
        <w:tc>
          <w:tcPr>
            <w:tcW w:w="1980" w:type="dxa"/>
          </w:tcPr>
          <w:p w14:paraId="6DE657AF" w14:textId="77777777" w:rsidR="00AA58C9" w:rsidRPr="00EB73BF" w:rsidRDefault="00AA58C9" w:rsidP="00EB73BF">
            <w:pPr>
              <w:contextualSpacing/>
              <w:rPr>
                <w:rFonts w:ascii="Times New Roman" w:hAnsi="Times New Roman"/>
              </w:rPr>
            </w:pPr>
            <w:r w:rsidRPr="00EB73BF">
              <w:rPr>
                <w:rFonts w:ascii="Times New Roman" w:hAnsi="Times New Roman"/>
              </w:rPr>
              <w:t>$359.45</w:t>
            </w:r>
          </w:p>
        </w:tc>
      </w:tr>
      <w:tr w:rsidR="00AA58C9" w:rsidRPr="00EB73BF" w14:paraId="2BD9EDDC" w14:textId="77777777" w:rsidTr="006827FF">
        <w:trPr>
          <w:jc w:val="center"/>
        </w:trPr>
        <w:tc>
          <w:tcPr>
            <w:tcW w:w="4050" w:type="dxa"/>
          </w:tcPr>
          <w:p w14:paraId="0AA8370C" w14:textId="77777777" w:rsidR="00AA58C9" w:rsidRPr="00EB73BF" w:rsidRDefault="00AA58C9" w:rsidP="00EB73BF">
            <w:pPr>
              <w:contextualSpacing/>
              <w:rPr>
                <w:rFonts w:ascii="Times New Roman" w:hAnsi="Times New Roman"/>
              </w:rPr>
            </w:pPr>
            <w:r w:rsidRPr="00EB73BF">
              <w:rPr>
                <w:rFonts w:ascii="Times New Roman" w:hAnsi="Times New Roman"/>
              </w:rPr>
              <w:t>Non-U.S. Water Utilities  (3-Yr. Avg.)</w:t>
            </w:r>
          </w:p>
        </w:tc>
        <w:tc>
          <w:tcPr>
            <w:tcW w:w="1980" w:type="dxa"/>
          </w:tcPr>
          <w:p w14:paraId="72546CAC" w14:textId="77777777" w:rsidR="00AA58C9" w:rsidRPr="00EB73BF" w:rsidRDefault="00AA58C9" w:rsidP="00EB73BF">
            <w:pPr>
              <w:contextualSpacing/>
              <w:rPr>
                <w:rFonts w:ascii="Times New Roman" w:hAnsi="Times New Roman"/>
              </w:rPr>
            </w:pPr>
            <w:r w:rsidRPr="00EB73BF">
              <w:rPr>
                <w:rFonts w:ascii="Times New Roman" w:hAnsi="Times New Roman"/>
              </w:rPr>
              <w:t>$314.15</w:t>
            </w:r>
          </w:p>
        </w:tc>
      </w:tr>
      <w:tr w:rsidR="00AA58C9" w:rsidRPr="00EB73BF" w14:paraId="54001A8F" w14:textId="77777777" w:rsidTr="006827FF">
        <w:trPr>
          <w:jc w:val="center"/>
        </w:trPr>
        <w:tc>
          <w:tcPr>
            <w:tcW w:w="4050" w:type="dxa"/>
          </w:tcPr>
          <w:p w14:paraId="6286CFA3" w14:textId="77777777" w:rsidR="00AA58C9" w:rsidRPr="00EB73BF" w:rsidRDefault="00AA58C9" w:rsidP="00EB73BF">
            <w:pPr>
              <w:contextualSpacing/>
              <w:rPr>
                <w:rFonts w:ascii="Times New Roman" w:hAnsi="Times New Roman"/>
              </w:rPr>
            </w:pPr>
            <w:r w:rsidRPr="00EB73BF">
              <w:rPr>
                <w:rFonts w:ascii="Times New Roman" w:hAnsi="Times New Roman"/>
              </w:rPr>
              <w:t xml:space="preserve">Merritt Island (Staff Recommended) </w:t>
            </w:r>
          </w:p>
        </w:tc>
        <w:tc>
          <w:tcPr>
            <w:tcW w:w="1980" w:type="dxa"/>
          </w:tcPr>
          <w:p w14:paraId="68D87B53" w14:textId="77777777" w:rsidR="00AA58C9" w:rsidRPr="00EB73BF" w:rsidRDefault="00AA58C9" w:rsidP="00EB73BF">
            <w:pPr>
              <w:contextualSpacing/>
              <w:rPr>
                <w:rFonts w:ascii="Times New Roman" w:hAnsi="Times New Roman"/>
              </w:rPr>
            </w:pPr>
            <w:r w:rsidRPr="00EB73BF">
              <w:rPr>
                <w:rFonts w:ascii="Times New Roman" w:hAnsi="Times New Roman"/>
              </w:rPr>
              <w:t>$280.62</w:t>
            </w:r>
          </w:p>
        </w:tc>
      </w:tr>
    </w:tbl>
    <w:p w14:paraId="2307C002" w14:textId="77777777" w:rsidR="00AA58C9" w:rsidRPr="00EB73BF" w:rsidRDefault="00AA58C9" w:rsidP="00F32C4B">
      <w:pPr>
        <w:contextualSpacing/>
        <w:jc w:val="center"/>
        <w:rPr>
          <w:rFonts w:eastAsia="Calibri"/>
        </w:rPr>
      </w:pPr>
      <w:r w:rsidRPr="00EB73BF">
        <w:rPr>
          <w:rFonts w:eastAsia="Calibri"/>
        </w:rPr>
        <w:t>Source: 2016-2018 Annual Reports and staff calculations.</w:t>
      </w:r>
    </w:p>
    <w:p w14:paraId="7B5DE151" w14:textId="77777777" w:rsidR="00F32C4B" w:rsidRDefault="00AA58C9" w:rsidP="00EB73BF">
      <w:pPr>
        <w:contextualSpacing/>
        <w:jc w:val="both"/>
        <w:rPr>
          <w:rFonts w:eastAsia="Calibri"/>
        </w:rPr>
      </w:pPr>
      <w:r w:rsidRPr="00EB73BF">
        <w:rPr>
          <w:rFonts w:eastAsia="Calibri"/>
        </w:rPr>
        <w:tab/>
      </w:r>
    </w:p>
    <w:p w14:paraId="5B99E366" w14:textId="77777777" w:rsidR="00AA58C9" w:rsidRDefault="00AA58C9" w:rsidP="00F32C4B">
      <w:pPr>
        <w:ind w:firstLine="720"/>
        <w:contextualSpacing/>
        <w:jc w:val="both"/>
        <w:rPr>
          <w:rFonts w:eastAsia="Calibri"/>
        </w:rPr>
      </w:pPr>
      <w:r w:rsidRPr="00EB73BF">
        <w:rPr>
          <w:rFonts w:eastAsia="Calibri"/>
        </w:rPr>
        <w:t xml:space="preserve">Based on </w:t>
      </w:r>
      <w:r w:rsidR="007617D2" w:rsidRPr="00EB73BF">
        <w:rPr>
          <w:rFonts w:eastAsia="Calibri"/>
        </w:rPr>
        <w:t>our</w:t>
      </w:r>
      <w:r w:rsidRPr="00EB73BF">
        <w:rPr>
          <w:rFonts w:eastAsia="Calibri"/>
        </w:rPr>
        <w:t xml:space="preserve"> review, Merritt Island’s proposed expense is 21.93 percent less than that of the sister utilities, and 10.67 percent less than that of the non-U.S. Water utilities.</w:t>
      </w:r>
    </w:p>
    <w:p w14:paraId="39B5AD60" w14:textId="77777777" w:rsidR="00F32C4B" w:rsidRPr="00EB73BF" w:rsidRDefault="00F32C4B" w:rsidP="00EB73BF">
      <w:pPr>
        <w:contextualSpacing/>
        <w:jc w:val="both"/>
        <w:rPr>
          <w:rFonts w:eastAsia="Calibri"/>
        </w:rPr>
      </w:pPr>
    </w:p>
    <w:p w14:paraId="09C9163E" w14:textId="77777777" w:rsidR="00AA58C9" w:rsidRDefault="00AA58C9" w:rsidP="00EB73BF">
      <w:pPr>
        <w:contextualSpacing/>
        <w:jc w:val="both"/>
        <w:rPr>
          <w:rFonts w:eastAsia="Calibri"/>
        </w:rPr>
      </w:pPr>
      <w:r w:rsidRPr="00EB73BF">
        <w:rPr>
          <w:rFonts w:eastAsia="Calibri"/>
        </w:rPr>
        <w:tab/>
      </w:r>
      <w:r w:rsidR="007617D2" w:rsidRPr="00EB73BF">
        <w:rPr>
          <w:rFonts w:eastAsia="Calibri"/>
        </w:rPr>
        <w:t>We further note that we have</w:t>
      </w:r>
      <w:r w:rsidRPr="00EB73BF">
        <w:rPr>
          <w:rFonts w:eastAsia="Calibri"/>
        </w:rPr>
        <w:t xml:space="preserve"> previously approved similar USWSC agreements and related costs in prior cases involving nine of Merritt Island’s sister utilities during eleven rate case proceedings.</w:t>
      </w:r>
      <w:r w:rsidRPr="00EB73BF">
        <w:rPr>
          <w:rFonts w:eastAsia="Calibri"/>
          <w:vertAlign w:val="superscript"/>
        </w:rPr>
        <w:footnoteReference w:id="24"/>
      </w:r>
      <w:r w:rsidRPr="00EB73BF">
        <w:rPr>
          <w:rFonts w:eastAsia="Calibri"/>
        </w:rPr>
        <w:t xml:space="preserve"> Two sister utilities, LP Waterworks, Inc. and Lakeside Waterworks, Inc., each had two SARCs in w</w:t>
      </w:r>
      <w:r w:rsidR="007617D2" w:rsidRPr="00EB73BF">
        <w:rPr>
          <w:rFonts w:eastAsia="Calibri"/>
        </w:rPr>
        <w:t>hich we</w:t>
      </w:r>
      <w:r w:rsidRPr="00EB73BF">
        <w:rPr>
          <w:rFonts w:eastAsia="Calibri"/>
        </w:rPr>
        <w:t xml:space="preserve"> reviewed and approved expenses related to USWSC management services contracts. In addition to this SARC, two additional sister utilities with similar contracts have SARCs pending at this time,</w:t>
      </w:r>
      <w:r w:rsidRPr="00EB73BF">
        <w:rPr>
          <w:rFonts w:eastAsia="Calibri"/>
          <w:vertAlign w:val="superscript"/>
        </w:rPr>
        <w:footnoteReference w:id="25"/>
      </w:r>
      <w:r w:rsidRPr="00EB73BF">
        <w:rPr>
          <w:rFonts w:eastAsia="Calibri"/>
        </w:rPr>
        <w:t xml:space="preserve"> and a third has a file and suspend rate case pending.</w:t>
      </w:r>
      <w:r w:rsidRPr="00EB73BF">
        <w:rPr>
          <w:rFonts w:eastAsia="Calibri"/>
          <w:vertAlign w:val="superscript"/>
        </w:rPr>
        <w:footnoteReference w:id="26"/>
      </w:r>
    </w:p>
    <w:p w14:paraId="0266FE40" w14:textId="77777777" w:rsidR="00F32C4B" w:rsidRPr="00EB73BF" w:rsidRDefault="00F32C4B" w:rsidP="00EB73BF">
      <w:pPr>
        <w:contextualSpacing/>
        <w:jc w:val="both"/>
        <w:rPr>
          <w:rFonts w:eastAsia="Calibri"/>
        </w:rPr>
      </w:pPr>
    </w:p>
    <w:p w14:paraId="443499CB" w14:textId="77777777" w:rsidR="00AA58C9" w:rsidRDefault="00AA58C9" w:rsidP="00EB73BF">
      <w:pPr>
        <w:contextualSpacing/>
        <w:jc w:val="both"/>
        <w:rPr>
          <w:rFonts w:eastAsia="Calibri"/>
        </w:rPr>
      </w:pPr>
      <w:r w:rsidRPr="00EB73BF">
        <w:rPr>
          <w:rFonts w:eastAsia="Calibri"/>
        </w:rPr>
        <w:tab/>
      </w:r>
      <w:r w:rsidR="007617D2" w:rsidRPr="00EB73BF">
        <w:rPr>
          <w:rFonts w:eastAsia="Calibri"/>
        </w:rPr>
        <w:t>We also find</w:t>
      </w:r>
      <w:r w:rsidRPr="00EB73BF">
        <w:rPr>
          <w:rFonts w:eastAsia="Calibri"/>
        </w:rPr>
        <w:t xml:space="preserve"> that USWSC and its employees bring considerable management and operational experience and expertise at a comparably reasonable cost. As a result, </w:t>
      </w:r>
      <w:r w:rsidR="007617D2" w:rsidRPr="00EB73BF">
        <w:rPr>
          <w:rFonts w:eastAsia="Calibri"/>
        </w:rPr>
        <w:t>we find</w:t>
      </w:r>
      <w:r w:rsidRPr="00EB73BF">
        <w:rPr>
          <w:rFonts w:eastAsia="Calibri"/>
        </w:rPr>
        <w:t xml:space="preserve"> that Merritt Island’s customers are realizing operational and cost benefits that might not be realized if the Utility operated on a stand-alone basis. </w:t>
      </w:r>
      <w:r w:rsidR="007617D2" w:rsidRPr="00EB73BF">
        <w:rPr>
          <w:rFonts w:eastAsia="Calibri"/>
        </w:rPr>
        <w:t xml:space="preserve">We note </w:t>
      </w:r>
      <w:r w:rsidRPr="00EB73BF">
        <w:rPr>
          <w:rFonts w:eastAsia="Calibri"/>
        </w:rPr>
        <w:t>that the Utility, through its contract with USWSC, has made significant plant improvements that should result in improved quality of service.</w:t>
      </w:r>
    </w:p>
    <w:p w14:paraId="30FCD199" w14:textId="77777777" w:rsidR="00F32C4B" w:rsidRPr="00EB73BF" w:rsidRDefault="00F32C4B" w:rsidP="00EB73BF">
      <w:pPr>
        <w:contextualSpacing/>
        <w:jc w:val="both"/>
        <w:rPr>
          <w:rFonts w:eastAsia="Calibri"/>
        </w:rPr>
      </w:pPr>
    </w:p>
    <w:p w14:paraId="6E01A4AF" w14:textId="77777777" w:rsidR="00AA58C9" w:rsidRDefault="00AA58C9" w:rsidP="00EB73BF">
      <w:pPr>
        <w:contextualSpacing/>
        <w:jc w:val="both"/>
        <w:rPr>
          <w:rFonts w:eastAsia="Calibri"/>
        </w:rPr>
      </w:pPr>
      <w:r w:rsidRPr="00EB73BF">
        <w:rPr>
          <w:rFonts w:eastAsia="Calibri"/>
        </w:rPr>
        <w:tab/>
        <w:t xml:space="preserve">Based on the discussion above, </w:t>
      </w:r>
      <w:r w:rsidR="007617D2" w:rsidRPr="00EB73BF">
        <w:rPr>
          <w:rFonts w:eastAsia="Calibri"/>
        </w:rPr>
        <w:t xml:space="preserve">we find that </w:t>
      </w:r>
      <w:r w:rsidRPr="00EB73BF">
        <w:rPr>
          <w:rFonts w:eastAsia="Calibri"/>
        </w:rPr>
        <w:t>Merritt Island’s contractual servi</w:t>
      </w:r>
      <w:r w:rsidR="007617D2" w:rsidRPr="00EB73BF">
        <w:rPr>
          <w:rFonts w:eastAsia="Calibri"/>
        </w:rPr>
        <w:t>ces agreement with USWSC are</w:t>
      </w:r>
      <w:r w:rsidRPr="00EB73BF">
        <w:rPr>
          <w:rFonts w:eastAsia="Calibri"/>
        </w:rPr>
        <w:t xml:space="preserve"> reasonable when compared to other utilities with similar agreements. The agreement also appears reasonable when compared to O&amp;M expenses of industry peers as reflected in the AWWA Benchmark. </w:t>
      </w:r>
      <w:r w:rsidR="007617D2" w:rsidRPr="00EB73BF">
        <w:rPr>
          <w:rFonts w:eastAsia="Calibri"/>
        </w:rPr>
        <w:t>We find</w:t>
      </w:r>
      <w:r w:rsidRPr="00EB73BF">
        <w:rPr>
          <w:rFonts w:eastAsia="Calibri"/>
        </w:rPr>
        <w:t xml:space="preserve"> that Merritt Island’s USWSC contract is appropriate, the adjusted cost is reasonable, and s</w:t>
      </w:r>
      <w:r w:rsidR="00F32C4B">
        <w:rPr>
          <w:rFonts w:eastAsia="Calibri"/>
        </w:rPr>
        <w:t>hall</w:t>
      </w:r>
      <w:r w:rsidRPr="00EB73BF">
        <w:rPr>
          <w:rFonts w:eastAsia="Calibri"/>
        </w:rPr>
        <w:t xml:space="preserve"> be included in the Utility’s proposed rates because it is known, measurable, and already in effect. Theref</w:t>
      </w:r>
      <w:r w:rsidR="007617D2" w:rsidRPr="00EB73BF">
        <w:rPr>
          <w:rFonts w:eastAsia="Calibri"/>
        </w:rPr>
        <w:t>ore, we hereby approve a</w:t>
      </w:r>
      <w:r w:rsidRPr="00EB73BF">
        <w:rPr>
          <w:rFonts w:eastAsia="Calibri"/>
        </w:rPr>
        <w:t xml:space="preserve"> contractual services - other expense </w:t>
      </w:r>
      <w:r w:rsidR="007617D2" w:rsidRPr="00EB73BF">
        <w:rPr>
          <w:rFonts w:eastAsia="Calibri"/>
        </w:rPr>
        <w:t xml:space="preserve">of </w:t>
      </w:r>
      <w:r w:rsidRPr="00EB73BF">
        <w:rPr>
          <w:rFonts w:eastAsia="Calibri"/>
        </w:rPr>
        <w:t>$47,211</w:t>
      </w:r>
      <w:r w:rsidR="007617D2" w:rsidRPr="00EB73BF">
        <w:rPr>
          <w:rFonts w:eastAsia="Calibri"/>
        </w:rPr>
        <w:t xml:space="preserve"> for the test year</w:t>
      </w:r>
      <w:r w:rsidRPr="00EB73BF">
        <w:rPr>
          <w:rFonts w:eastAsia="Calibri"/>
        </w:rPr>
        <w:t>.</w:t>
      </w:r>
    </w:p>
    <w:p w14:paraId="5017C010" w14:textId="77777777" w:rsidR="00F32C4B" w:rsidRPr="00EB73BF" w:rsidRDefault="00F32C4B" w:rsidP="00EB73BF">
      <w:pPr>
        <w:contextualSpacing/>
        <w:jc w:val="both"/>
        <w:rPr>
          <w:rFonts w:eastAsia="Calibri"/>
        </w:rPr>
      </w:pPr>
    </w:p>
    <w:p w14:paraId="3A3014A2" w14:textId="77777777" w:rsidR="00AA58C9" w:rsidRPr="00EB73BF" w:rsidRDefault="00AA58C9" w:rsidP="00EB73BF">
      <w:pPr>
        <w:autoSpaceDE w:val="0"/>
        <w:autoSpaceDN w:val="0"/>
        <w:adjustRightInd w:val="0"/>
        <w:contextualSpacing/>
        <w:jc w:val="both"/>
        <w:rPr>
          <w:b/>
        </w:rPr>
      </w:pPr>
      <w:r w:rsidRPr="00EB73BF">
        <w:rPr>
          <w:b/>
        </w:rPr>
        <w:t>Insurance Expense (755)</w:t>
      </w:r>
    </w:p>
    <w:p w14:paraId="61945720" w14:textId="77777777" w:rsidR="00AA58C9" w:rsidRPr="00EB73BF" w:rsidRDefault="00AA58C9" w:rsidP="00EB73BF">
      <w:pPr>
        <w:autoSpaceDE w:val="0"/>
        <w:autoSpaceDN w:val="0"/>
        <w:adjustRightInd w:val="0"/>
        <w:ind w:firstLine="720"/>
        <w:contextualSpacing/>
        <w:jc w:val="both"/>
        <w:rPr>
          <w:b/>
          <w:i/>
        </w:rPr>
      </w:pPr>
    </w:p>
    <w:p w14:paraId="12DF6362" w14:textId="77777777" w:rsidR="00AA58C9" w:rsidRDefault="00AA58C9" w:rsidP="00EB73BF">
      <w:pPr>
        <w:contextualSpacing/>
        <w:jc w:val="both"/>
      </w:pPr>
      <w:r w:rsidRPr="00EB73BF">
        <w:tab/>
        <w:t xml:space="preserve">The Utility recorded insurance  expense of $1,528 in the test year. </w:t>
      </w:r>
      <w:r w:rsidR="00270E0C" w:rsidRPr="00EB73BF">
        <w:t>We</w:t>
      </w:r>
      <w:r w:rsidRPr="00EB73BF">
        <w:t xml:space="preserve"> decreased this amount by $204 based on supporting documentation provided</w:t>
      </w:r>
      <w:r w:rsidR="00270E0C" w:rsidRPr="00EB73BF">
        <w:t xml:space="preserve"> by Merritt Island. Therefore, we hereby approve an</w:t>
      </w:r>
      <w:r w:rsidRPr="00EB73BF">
        <w:t xml:space="preserve"> insurance expense of $1,324 ($1,528 - $204)</w:t>
      </w:r>
      <w:r w:rsidR="00270E0C" w:rsidRPr="00EB73BF">
        <w:t xml:space="preserve"> for the test year</w:t>
      </w:r>
      <w:r w:rsidRPr="00EB73BF">
        <w:t>.</w:t>
      </w:r>
    </w:p>
    <w:p w14:paraId="1EF46AA4" w14:textId="77777777" w:rsidR="00F32C4B" w:rsidRPr="00EB73BF" w:rsidRDefault="00F32C4B" w:rsidP="00EB73BF">
      <w:pPr>
        <w:contextualSpacing/>
        <w:jc w:val="both"/>
      </w:pPr>
    </w:p>
    <w:p w14:paraId="21ABC65C" w14:textId="77777777" w:rsidR="00AA58C9" w:rsidRPr="00EB73BF" w:rsidRDefault="00AA58C9" w:rsidP="00EB73BF">
      <w:pPr>
        <w:keepNext/>
        <w:contextualSpacing/>
        <w:jc w:val="both"/>
        <w:outlineLvl w:val="3"/>
        <w:rPr>
          <w:b/>
          <w:bCs/>
          <w:iCs/>
        </w:rPr>
      </w:pPr>
      <w:r w:rsidRPr="00EB73BF">
        <w:rPr>
          <w:b/>
          <w:bCs/>
          <w:iCs/>
        </w:rPr>
        <w:t>Regulatory Commission Expense (765)</w:t>
      </w:r>
    </w:p>
    <w:p w14:paraId="55E5746A" w14:textId="77777777" w:rsidR="00AA58C9" w:rsidRPr="00EB73BF" w:rsidRDefault="00AA58C9" w:rsidP="00EB73BF">
      <w:pPr>
        <w:keepNext/>
        <w:ind w:left="720"/>
        <w:contextualSpacing/>
        <w:jc w:val="both"/>
        <w:outlineLvl w:val="3"/>
        <w:rPr>
          <w:b/>
          <w:bCs/>
          <w:i/>
          <w:iCs/>
        </w:rPr>
      </w:pPr>
    </w:p>
    <w:p w14:paraId="5EAFDACD" w14:textId="77777777" w:rsidR="00AA58C9" w:rsidRDefault="00AA58C9" w:rsidP="00EB73BF">
      <w:pPr>
        <w:contextualSpacing/>
        <w:jc w:val="both"/>
      </w:pPr>
      <w:r w:rsidRPr="00EB73BF">
        <w:tab/>
        <w:t xml:space="preserve">The Utility did not record any regulatory commission expense in this account. Rule 25-30.433(9), F.A.C., requires that non-recurring expenses be amortized over a five-year period unless a shorter or longer period of time can be justified. Accordingly, </w:t>
      </w:r>
      <w:r w:rsidR="00DC070F" w:rsidRPr="00EB73BF">
        <w:t>we</w:t>
      </w:r>
      <w:r w:rsidRPr="00EB73BF">
        <w:t xml:space="preserve"> increased this account by $150 ($750 ÷ 5) to reflect the five-year amortization of the 2017 certificate transfer application filing fee.</w:t>
      </w:r>
      <w:r w:rsidRPr="00EB73BF">
        <w:rPr>
          <w:vertAlign w:val="superscript"/>
        </w:rPr>
        <w:footnoteReference w:id="27"/>
      </w:r>
      <w:r w:rsidRPr="00EB73BF">
        <w:t xml:space="preserve"> </w:t>
      </w:r>
    </w:p>
    <w:p w14:paraId="1B69D194" w14:textId="77777777" w:rsidR="00F32C4B" w:rsidRPr="00EB73BF" w:rsidRDefault="00F32C4B" w:rsidP="00EB73BF">
      <w:pPr>
        <w:contextualSpacing/>
        <w:jc w:val="both"/>
      </w:pPr>
    </w:p>
    <w:p w14:paraId="4599CBD8" w14:textId="77777777" w:rsidR="00AA58C9" w:rsidRDefault="00AA58C9" w:rsidP="00EB73BF">
      <w:pPr>
        <w:contextualSpacing/>
        <w:jc w:val="both"/>
      </w:pPr>
      <w:r w:rsidRPr="00EB73BF">
        <w:tab/>
        <w:t xml:space="preserve">Regarding the instant case, the Utility is required by Rule 25-22.0407, F.A.C., to provide notices of the customer meeting and notices of final rates in this case to its customers. For noticing, </w:t>
      </w:r>
      <w:r w:rsidR="00DC070F" w:rsidRPr="00EB73BF">
        <w:t>we</w:t>
      </w:r>
      <w:r w:rsidRPr="00EB73BF">
        <w:t xml:space="preserve"> estimated $312 for postage expense, $142 for printing expense, and $28 for envelopes. This results in $482 ($312 + $142 + $28) for the noticing requirement. The Utility paid a $1,000 rate case filing fee. The Utility requested travel and lodging expense of $250 to attend the custo</w:t>
      </w:r>
      <w:r w:rsidR="00DC070F" w:rsidRPr="00EB73BF">
        <w:t>mer meeting and $250 to attend our</w:t>
      </w:r>
      <w:r w:rsidRPr="00EB73BF">
        <w:t xml:space="preserve"> Commission Conference. </w:t>
      </w:r>
      <w:r w:rsidR="00DC070F" w:rsidRPr="00EB73BF">
        <w:t>We</w:t>
      </w:r>
      <w:r w:rsidRPr="00EB73BF">
        <w:t xml:space="preserve"> increased the Utility’s customer meeting travel expense by $183 to reflect mileage and actual lodging cost for two Utility employees to attend. This results in travel expense of $433 ($250 + $183) for the customer meeting. </w:t>
      </w:r>
      <w:r w:rsidR="00DC070F" w:rsidRPr="00EB73BF">
        <w:t xml:space="preserve">We </w:t>
      </w:r>
      <w:r w:rsidRPr="00EB73BF">
        <w:t>also reduced the cost of travel to attend the Commission Conference in order to reflect the actual cost of lodging for one employee and appropriate mileage.</w:t>
      </w:r>
      <w:r w:rsidRPr="00EB73BF">
        <w:rPr>
          <w:vertAlign w:val="superscript"/>
        </w:rPr>
        <w:footnoteReference w:id="28"/>
      </w:r>
      <w:r w:rsidRPr="00EB73BF">
        <w:t xml:space="preserve"> </w:t>
      </w:r>
      <w:r w:rsidR="00DC070F" w:rsidRPr="00EB73BF">
        <w:t xml:space="preserve">We find </w:t>
      </w:r>
      <w:r w:rsidRPr="00EB73BF">
        <w:t>that the travel for the Commission Conference sh</w:t>
      </w:r>
      <w:r w:rsidR="00F32C4B">
        <w:t>all</w:t>
      </w:r>
      <w:r w:rsidRPr="00EB73BF">
        <w:t xml:space="preserve"> be shared with Gator Waterworks, Inc. and The Woods Utility Company. The utilities are sister utilities of Merritt Island which have SARCs scheduled for the same Commission Conference. As such, </w:t>
      </w:r>
      <w:r w:rsidR="00DC070F" w:rsidRPr="00EB73BF">
        <w:t>we find that</w:t>
      </w:r>
      <w:r w:rsidRPr="00EB73BF">
        <w:t xml:space="preserve"> it is appropriate to split travel costs to the Commission Conference equally between the three utilities, or $130 ($389 ÷ 3) per utility. This results in a reduction of $120 ($130 - $250) for Merritt Island’s travel expense to the Commission Conference. As such, </w:t>
      </w:r>
      <w:r w:rsidR="00DC070F" w:rsidRPr="00EB73BF">
        <w:t>we hereby approve a</w:t>
      </w:r>
      <w:r w:rsidRPr="00EB73BF">
        <w:t xml:space="preserve"> travel expense of $563 ($433 + $130). </w:t>
      </w:r>
      <w:r w:rsidR="00DC070F" w:rsidRPr="00EB73BF">
        <w:t>We note that we</w:t>
      </w:r>
      <w:r w:rsidRPr="00EB73BF">
        <w:t xml:space="preserve"> previously approved rate case related travel expenses ranging from $413 to $1,570 in the nine most recent dockets for Merritt Island’s sister utilities. Based on</w:t>
      </w:r>
      <w:r w:rsidR="00DC070F" w:rsidRPr="00EB73BF">
        <w:t xml:space="preserve"> our </w:t>
      </w:r>
      <w:r w:rsidRPr="00EB73BF">
        <w:t>review, the requested travel expense appears reasonable.</w:t>
      </w:r>
    </w:p>
    <w:p w14:paraId="382DF656" w14:textId="77777777" w:rsidR="00F32C4B" w:rsidRPr="00EB73BF" w:rsidRDefault="00F32C4B" w:rsidP="00EB73BF">
      <w:pPr>
        <w:contextualSpacing/>
        <w:jc w:val="both"/>
      </w:pPr>
    </w:p>
    <w:p w14:paraId="5650050D" w14:textId="77777777" w:rsidR="00AA58C9" w:rsidRDefault="00AA58C9" w:rsidP="00EB73BF">
      <w:pPr>
        <w:contextualSpacing/>
        <w:jc w:val="both"/>
      </w:pPr>
      <w:r w:rsidRPr="00EB73BF">
        <w:tab/>
        <w:t xml:space="preserve">Based on the discussion above, </w:t>
      </w:r>
      <w:r w:rsidR="00DC070F" w:rsidRPr="00EB73BF">
        <w:t xml:space="preserve">we hereby approve a </w:t>
      </w:r>
      <w:r w:rsidRPr="00EB73BF">
        <w:t xml:space="preserve">total rate case expense of $2,046 ($482 + $1,000 + $563), which amortized over four years is $512. </w:t>
      </w:r>
      <w:r w:rsidR="00DC070F" w:rsidRPr="00EB73BF">
        <w:t>Our t</w:t>
      </w:r>
      <w:r w:rsidRPr="00EB73BF">
        <w:t xml:space="preserve">otal adjustment to this account is an increase of $662 ($150 + $512). As such, </w:t>
      </w:r>
      <w:r w:rsidR="00DC070F" w:rsidRPr="00EB73BF">
        <w:t>we hereby approve a</w:t>
      </w:r>
      <w:r w:rsidRPr="00EB73BF">
        <w:t xml:space="preserve"> </w:t>
      </w:r>
      <w:r w:rsidR="00DC070F" w:rsidRPr="00EB73BF">
        <w:t>regulatory commission expense of</w:t>
      </w:r>
      <w:r w:rsidRPr="00EB73BF">
        <w:t xml:space="preserve"> $662.</w:t>
      </w:r>
    </w:p>
    <w:p w14:paraId="56DEAC52" w14:textId="77777777" w:rsidR="00F32C4B" w:rsidRPr="00EB73BF" w:rsidRDefault="00F32C4B" w:rsidP="00EB73BF">
      <w:pPr>
        <w:contextualSpacing/>
        <w:jc w:val="both"/>
      </w:pPr>
    </w:p>
    <w:p w14:paraId="3785B582" w14:textId="77777777" w:rsidR="00AA58C9" w:rsidRPr="00EB73BF" w:rsidRDefault="00AA58C9" w:rsidP="00EB73BF">
      <w:pPr>
        <w:autoSpaceDE w:val="0"/>
        <w:autoSpaceDN w:val="0"/>
        <w:adjustRightInd w:val="0"/>
        <w:contextualSpacing/>
        <w:jc w:val="both"/>
        <w:rPr>
          <w:b/>
        </w:rPr>
      </w:pPr>
      <w:r w:rsidRPr="00EB73BF">
        <w:rPr>
          <w:b/>
        </w:rPr>
        <w:t>Miscellaneous Expense (775)</w:t>
      </w:r>
    </w:p>
    <w:p w14:paraId="1F910F66" w14:textId="77777777" w:rsidR="00AA58C9" w:rsidRPr="00EB73BF" w:rsidRDefault="00AA58C9" w:rsidP="00EB73BF">
      <w:pPr>
        <w:autoSpaceDE w:val="0"/>
        <w:autoSpaceDN w:val="0"/>
        <w:adjustRightInd w:val="0"/>
        <w:ind w:firstLine="720"/>
        <w:contextualSpacing/>
        <w:jc w:val="both"/>
        <w:rPr>
          <w:b/>
          <w:i/>
        </w:rPr>
      </w:pPr>
    </w:p>
    <w:p w14:paraId="1B08875C" w14:textId="77777777" w:rsidR="00AA58C9" w:rsidRDefault="00AA58C9" w:rsidP="00EB73BF">
      <w:pPr>
        <w:contextualSpacing/>
        <w:jc w:val="both"/>
      </w:pPr>
      <w:r w:rsidRPr="00EB73BF">
        <w:tab/>
        <w:t xml:space="preserve">The Utility recorded miscellaneous expense of $3,595. This account consists of billing fees, services performed on road repairs, transfer and permit fees, and Annual Report fees. </w:t>
      </w:r>
      <w:r w:rsidR="00DC070F" w:rsidRPr="00EB73BF">
        <w:t xml:space="preserve">We </w:t>
      </w:r>
      <w:r w:rsidRPr="00EB73BF">
        <w:t>increased this account by $46, to correct City of Cocoa billing charges which were originally recorded incorrectly. The Utility also requested that</w:t>
      </w:r>
      <w:r w:rsidR="00DC070F" w:rsidRPr="00EB73BF">
        <w:t xml:space="preserve"> we c</w:t>
      </w:r>
      <w:r w:rsidRPr="00EB73BF">
        <w:t>onsider an increase in the monthly charges that Merritt Island incurs for the billing and collection of account receivables by City of Cocoa. According to support documentation, the 1.79 percent increase went into effect on October 1, 2019.</w:t>
      </w:r>
      <w:r w:rsidRPr="00EB73BF">
        <w:rPr>
          <w:vertAlign w:val="superscript"/>
        </w:rPr>
        <w:footnoteReference w:id="29"/>
      </w:r>
      <w:r w:rsidR="00DC070F" w:rsidRPr="00EB73BF">
        <w:t xml:space="preserve"> We find that</w:t>
      </w:r>
      <w:r w:rsidRPr="00EB73BF">
        <w:t xml:space="preserve"> it is appropriate to include the increase, which equates to $88 on a yearly basis, in the current proceeding because it is known, measurable, and already in effect.</w:t>
      </w:r>
    </w:p>
    <w:p w14:paraId="313D9CF4" w14:textId="77777777" w:rsidR="00F32C4B" w:rsidRPr="00EB73BF" w:rsidRDefault="00F32C4B" w:rsidP="00EB73BF">
      <w:pPr>
        <w:contextualSpacing/>
        <w:jc w:val="both"/>
      </w:pPr>
    </w:p>
    <w:p w14:paraId="23BB0FE3" w14:textId="77777777" w:rsidR="00AA58C9" w:rsidRDefault="00AA58C9" w:rsidP="00EB73BF">
      <w:pPr>
        <w:contextualSpacing/>
        <w:jc w:val="both"/>
      </w:pPr>
      <w:r w:rsidRPr="00EB73BF">
        <w:tab/>
        <w:t>The road repairs were related to pothole repairs resulting from a cracked sewer line on LaFitte Court. The repair totaled $943, and was a one-time occurrence. The appropriate annual amortization amount and adjustment is shown in Table</w:t>
      </w:r>
      <w:r w:rsidR="00DC070F" w:rsidRPr="00EB73BF">
        <w:t xml:space="preserve"> 3</w:t>
      </w:r>
      <w:r w:rsidRPr="00EB73BF">
        <w:t>.</w:t>
      </w:r>
    </w:p>
    <w:p w14:paraId="5A5D49BC" w14:textId="77777777" w:rsidR="00F32C4B" w:rsidRPr="00EB73BF" w:rsidRDefault="00F32C4B" w:rsidP="00EB73BF">
      <w:pPr>
        <w:contextualSpacing/>
        <w:jc w:val="both"/>
      </w:pPr>
    </w:p>
    <w:p w14:paraId="47E29C12" w14:textId="77777777" w:rsidR="00AA58C9" w:rsidRDefault="00AA58C9" w:rsidP="00EB73BF">
      <w:pPr>
        <w:contextualSpacing/>
        <w:jc w:val="both"/>
      </w:pPr>
      <w:r w:rsidRPr="00EB73BF">
        <w:tab/>
        <w:t>In addition,</w:t>
      </w:r>
      <w:r w:rsidR="00DC070F" w:rsidRPr="00EB73BF">
        <w:t xml:space="preserve"> we find</w:t>
      </w:r>
      <w:r w:rsidRPr="00EB73BF">
        <w:t xml:space="preserve"> that several adjustments need to be made to several other transfer related expenses. The $562 expense related to the legal ad for the certificate transfer, as well as a $100 expense for a DEP fee related to the wastewater permit transfer, s</w:t>
      </w:r>
      <w:r w:rsidR="00DC070F" w:rsidRPr="00EB73BF">
        <w:t xml:space="preserve">hall </w:t>
      </w:r>
      <w:r w:rsidRPr="00EB73BF">
        <w:t>be amortized over a five-year period because they are one-time occurrences. The appropriate annual amortization amounts and adjustments a</w:t>
      </w:r>
      <w:r w:rsidR="00DC070F" w:rsidRPr="00EB73BF">
        <w:t xml:space="preserve">re shown in Table </w:t>
      </w:r>
      <w:r w:rsidRPr="00EB73BF">
        <w:t xml:space="preserve">3. </w:t>
      </w:r>
    </w:p>
    <w:p w14:paraId="5B8A3228" w14:textId="77777777" w:rsidR="00EB73BF" w:rsidRPr="00EB73BF" w:rsidRDefault="00EB73BF" w:rsidP="00EB73BF">
      <w:pPr>
        <w:contextualSpacing/>
        <w:jc w:val="both"/>
      </w:pPr>
    </w:p>
    <w:p w14:paraId="5FB31DA4" w14:textId="77777777" w:rsidR="00114F0A" w:rsidRDefault="00AA58C9" w:rsidP="00EB73BF">
      <w:pPr>
        <w:contextualSpacing/>
        <w:jc w:val="both"/>
      </w:pPr>
      <w:r w:rsidRPr="00EB73BF">
        <w:tab/>
        <w:t>A second non-recurring expense item was incurred during the test year that was not included in O&amp;M expenses. This $7,800 expense was incurred in February 2019 for DEP-required pond cleaning for two of the Utility’s three RIBs. The Utility classified the expense as Amortization Expense – Other, but</w:t>
      </w:r>
      <w:r w:rsidR="00F32C4B">
        <w:t xml:space="preserve"> we find that</w:t>
      </w:r>
      <w:r w:rsidRPr="00EB73BF">
        <w:t xml:space="preserve"> the amount sh</w:t>
      </w:r>
      <w:r w:rsidR="00F32C4B">
        <w:t>all</w:t>
      </w:r>
      <w:r w:rsidRPr="00EB73BF">
        <w:t xml:space="preserve"> be included in O&amp;M expense and amortized over five years. The Utility also indicated that an additional $5,050 will be needed to remove vegetation from the remaining RIB.</w:t>
      </w:r>
      <w:r w:rsidRPr="00EB73BF">
        <w:rPr>
          <w:vertAlign w:val="superscript"/>
        </w:rPr>
        <w:footnoteReference w:id="30"/>
      </w:r>
      <w:r w:rsidRPr="00EB73BF">
        <w:t xml:space="preserve"> The RIB clearing is a DEP requirement as well. The amount s</w:t>
      </w:r>
      <w:r w:rsidR="00F32C4B">
        <w:t xml:space="preserve">hall </w:t>
      </w:r>
      <w:r w:rsidRPr="00EB73BF">
        <w:t>be amortized over five years. The appropriate annual amortization amounts for pon</w:t>
      </w:r>
      <w:r w:rsidR="00DC070F" w:rsidRPr="00EB73BF">
        <w:t xml:space="preserve">d cleaning are shown in Table </w:t>
      </w:r>
      <w:r w:rsidRPr="00EB73BF">
        <w:t>3.</w:t>
      </w:r>
    </w:p>
    <w:p w14:paraId="7585191B" w14:textId="77777777" w:rsidR="00A15ECF" w:rsidRDefault="00A15ECF" w:rsidP="00EB73BF">
      <w:pPr>
        <w:contextualSpacing/>
        <w:jc w:val="both"/>
      </w:pPr>
    </w:p>
    <w:p w14:paraId="0E211CAB" w14:textId="77777777" w:rsidR="00A15ECF" w:rsidRPr="00EB73BF" w:rsidRDefault="00A15ECF" w:rsidP="00EB73BF">
      <w:pPr>
        <w:contextualSpacing/>
        <w:jc w:val="both"/>
      </w:pPr>
    </w:p>
    <w:p w14:paraId="27558957" w14:textId="77777777" w:rsidR="00114F0A" w:rsidRPr="00EB73BF" w:rsidRDefault="00114F0A" w:rsidP="00EB73BF">
      <w:pPr>
        <w:contextualSpacing/>
        <w:jc w:val="both"/>
      </w:pPr>
    </w:p>
    <w:tbl>
      <w:tblPr>
        <w:tblW w:w="7409" w:type="dxa"/>
        <w:jc w:val="center"/>
        <w:tblLook w:val="04A0" w:firstRow="1" w:lastRow="0" w:firstColumn="1" w:lastColumn="0" w:noHBand="0" w:noVBand="1"/>
      </w:tblPr>
      <w:tblGrid>
        <w:gridCol w:w="3341"/>
        <w:gridCol w:w="1116"/>
        <w:gridCol w:w="1616"/>
        <w:gridCol w:w="1430"/>
      </w:tblGrid>
      <w:tr w:rsidR="00AA58C9" w:rsidRPr="00EB73BF" w14:paraId="071276CB" w14:textId="77777777" w:rsidTr="006827FF">
        <w:trPr>
          <w:trHeight w:val="264"/>
          <w:jc w:val="center"/>
        </w:trPr>
        <w:tc>
          <w:tcPr>
            <w:tcW w:w="7409" w:type="dxa"/>
            <w:gridSpan w:val="4"/>
            <w:tcBorders>
              <w:top w:val="nil"/>
              <w:left w:val="nil"/>
              <w:bottom w:val="nil"/>
              <w:right w:val="nil"/>
            </w:tcBorders>
            <w:shd w:val="clear" w:color="auto" w:fill="auto"/>
            <w:noWrap/>
            <w:vAlign w:val="bottom"/>
            <w:hideMark/>
          </w:tcPr>
          <w:p w14:paraId="17829172" w14:textId="77777777" w:rsidR="00AA58C9" w:rsidRPr="00EB73BF" w:rsidRDefault="00DC070F" w:rsidP="00EB73BF">
            <w:pPr>
              <w:contextualSpacing/>
              <w:jc w:val="center"/>
              <w:rPr>
                <w:b/>
              </w:rPr>
            </w:pPr>
            <w:r w:rsidRPr="00EB73BF">
              <w:rPr>
                <w:b/>
              </w:rPr>
              <w:t xml:space="preserve">Table </w:t>
            </w:r>
            <w:r w:rsidR="00AA58C9" w:rsidRPr="00EB73BF">
              <w:rPr>
                <w:b/>
              </w:rPr>
              <w:t>3</w:t>
            </w:r>
          </w:p>
        </w:tc>
      </w:tr>
      <w:tr w:rsidR="00AA58C9" w:rsidRPr="00EB73BF" w14:paraId="18C56795" w14:textId="77777777" w:rsidTr="006827FF">
        <w:trPr>
          <w:trHeight w:val="264"/>
          <w:jc w:val="center"/>
        </w:trPr>
        <w:tc>
          <w:tcPr>
            <w:tcW w:w="7409" w:type="dxa"/>
            <w:gridSpan w:val="4"/>
            <w:tcBorders>
              <w:top w:val="nil"/>
              <w:left w:val="nil"/>
              <w:bottom w:val="single" w:sz="4" w:space="0" w:color="auto"/>
              <w:right w:val="nil"/>
            </w:tcBorders>
            <w:shd w:val="clear" w:color="auto" w:fill="auto"/>
            <w:noWrap/>
            <w:vAlign w:val="bottom"/>
            <w:hideMark/>
          </w:tcPr>
          <w:p w14:paraId="6A63FBF2" w14:textId="77777777" w:rsidR="00AA58C9" w:rsidRPr="00EB73BF" w:rsidRDefault="00AA58C9" w:rsidP="00EB73BF">
            <w:pPr>
              <w:contextualSpacing/>
              <w:jc w:val="center"/>
              <w:rPr>
                <w:b/>
              </w:rPr>
            </w:pPr>
            <w:r w:rsidRPr="00EB73BF">
              <w:rPr>
                <w:b/>
              </w:rPr>
              <w:t>Amortization of Misc. Expenses</w:t>
            </w:r>
          </w:p>
        </w:tc>
      </w:tr>
      <w:tr w:rsidR="00AA58C9" w:rsidRPr="00EB73BF" w14:paraId="1B915030" w14:textId="77777777" w:rsidTr="006827FF">
        <w:trPr>
          <w:trHeight w:val="264"/>
          <w:jc w:val="center"/>
        </w:trPr>
        <w:tc>
          <w:tcPr>
            <w:tcW w:w="3341" w:type="dxa"/>
            <w:tcBorders>
              <w:top w:val="nil"/>
              <w:left w:val="single" w:sz="4" w:space="0" w:color="auto"/>
              <w:bottom w:val="nil"/>
              <w:right w:val="nil"/>
            </w:tcBorders>
            <w:shd w:val="clear" w:color="auto" w:fill="auto"/>
            <w:noWrap/>
            <w:vAlign w:val="bottom"/>
            <w:hideMark/>
          </w:tcPr>
          <w:p w14:paraId="68236B7C" w14:textId="77777777" w:rsidR="00AA58C9" w:rsidRPr="00EB73BF" w:rsidRDefault="00AA58C9" w:rsidP="00EB73BF">
            <w:pPr>
              <w:contextualSpacing/>
              <w:jc w:val="both"/>
            </w:pPr>
            <w:r w:rsidRPr="00EB73BF">
              <w:t> </w:t>
            </w:r>
          </w:p>
        </w:tc>
        <w:tc>
          <w:tcPr>
            <w:tcW w:w="1116" w:type="dxa"/>
            <w:tcBorders>
              <w:top w:val="nil"/>
              <w:left w:val="single" w:sz="4" w:space="0" w:color="auto"/>
              <w:bottom w:val="nil"/>
              <w:right w:val="single" w:sz="4" w:space="0" w:color="auto"/>
            </w:tcBorders>
            <w:shd w:val="clear" w:color="auto" w:fill="auto"/>
            <w:noWrap/>
            <w:vAlign w:val="bottom"/>
            <w:hideMark/>
          </w:tcPr>
          <w:p w14:paraId="31DF6245" w14:textId="77777777" w:rsidR="00AA58C9" w:rsidRPr="00EB73BF" w:rsidRDefault="00AA58C9" w:rsidP="00EB73BF">
            <w:pPr>
              <w:contextualSpacing/>
              <w:jc w:val="both"/>
            </w:pPr>
            <w:r w:rsidRPr="00EB73BF">
              <w:t> Invoiced</w:t>
            </w:r>
          </w:p>
        </w:tc>
        <w:tc>
          <w:tcPr>
            <w:tcW w:w="1616" w:type="dxa"/>
            <w:tcBorders>
              <w:top w:val="nil"/>
              <w:left w:val="nil"/>
              <w:bottom w:val="nil"/>
              <w:right w:val="single" w:sz="4" w:space="0" w:color="auto"/>
            </w:tcBorders>
            <w:shd w:val="clear" w:color="auto" w:fill="auto"/>
            <w:noWrap/>
            <w:vAlign w:val="bottom"/>
            <w:hideMark/>
          </w:tcPr>
          <w:p w14:paraId="61C9ABF5" w14:textId="77777777" w:rsidR="00AA58C9" w:rsidRPr="00EB73BF" w:rsidRDefault="00AA58C9" w:rsidP="00EB73BF">
            <w:pPr>
              <w:contextualSpacing/>
              <w:jc w:val="both"/>
            </w:pPr>
            <w:r w:rsidRPr="00EB73BF">
              <w:t>Annual</w:t>
            </w:r>
          </w:p>
        </w:tc>
        <w:tc>
          <w:tcPr>
            <w:tcW w:w="1336" w:type="dxa"/>
            <w:tcBorders>
              <w:top w:val="nil"/>
              <w:left w:val="nil"/>
              <w:bottom w:val="nil"/>
              <w:right w:val="single" w:sz="4" w:space="0" w:color="auto"/>
            </w:tcBorders>
            <w:shd w:val="clear" w:color="auto" w:fill="auto"/>
            <w:noWrap/>
            <w:vAlign w:val="bottom"/>
            <w:hideMark/>
          </w:tcPr>
          <w:p w14:paraId="10D6CD5E" w14:textId="77777777" w:rsidR="00AA58C9" w:rsidRPr="00EB73BF" w:rsidRDefault="00F32C4B" w:rsidP="00EB73BF">
            <w:pPr>
              <w:contextualSpacing/>
              <w:jc w:val="both"/>
            </w:pPr>
            <w:r>
              <w:t>Commission</w:t>
            </w:r>
            <w:r w:rsidR="00AA58C9" w:rsidRPr="00EB73BF">
              <w:t xml:space="preserve"> </w:t>
            </w:r>
          </w:p>
        </w:tc>
      </w:tr>
      <w:tr w:rsidR="00AA58C9" w:rsidRPr="00EB73BF" w14:paraId="28D17132" w14:textId="77777777" w:rsidTr="006827FF">
        <w:trPr>
          <w:trHeight w:val="264"/>
          <w:jc w:val="center"/>
        </w:trPr>
        <w:tc>
          <w:tcPr>
            <w:tcW w:w="3341" w:type="dxa"/>
            <w:tcBorders>
              <w:top w:val="nil"/>
              <w:left w:val="single" w:sz="4" w:space="0" w:color="auto"/>
              <w:bottom w:val="single" w:sz="4" w:space="0" w:color="auto"/>
              <w:right w:val="nil"/>
            </w:tcBorders>
            <w:shd w:val="clear" w:color="auto" w:fill="auto"/>
            <w:noWrap/>
            <w:vAlign w:val="bottom"/>
            <w:hideMark/>
          </w:tcPr>
          <w:p w14:paraId="30BE0E64" w14:textId="77777777" w:rsidR="00AA58C9" w:rsidRPr="00EB73BF" w:rsidRDefault="00AA58C9" w:rsidP="00EB73BF">
            <w:pPr>
              <w:contextualSpacing/>
              <w:jc w:val="both"/>
            </w:pPr>
            <w:r w:rsidRPr="00EB73BF">
              <w:t>Description</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14:paraId="063ADAB6" w14:textId="77777777" w:rsidR="00AA58C9" w:rsidRPr="00EB73BF" w:rsidRDefault="00AA58C9" w:rsidP="00EB73BF">
            <w:pPr>
              <w:contextualSpacing/>
              <w:jc w:val="both"/>
            </w:pPr>
            <w:r w:rsidRPr="00EB73BF">
              <w:t xml:space="preserve">Amount </w:t>
            </w:r>
          </w:p>
        </w:tc>
        <w:tc>
          <w:tcPr>
            <w:tcW w:w="1616" w:type="dxa"/>
            <w:tcBorders>
              <w:top w:val="nil"/>
              <w:left w:val="nil"/>
              <w:bottom w:val="single" w:sz="4" w:space="0" w:color="auto"/>
              <w:right w:val="single" w:sz="4" w:space="0" w:color="auto"/>
            </w:tcBorders>
            <w:shd w:val="clear" w:color="auto" w:fill="auto"/>
            <w:noWrap/>
            <w:vAlign w:val="bottom"/>
            <w:hideMark/>
          </w:tcPr>
          <w:p w14:paraId="1AE53D6E" w14:textId="77777777" w:rsidR="00AA58C9" w:rsidRPr="00EB73BF" w:rsidRDefault="00AA58C9" w:rsidP="00EB73BF">
            <w:pPr>
              <w:contextualSpacing/>
              <w:jc w:val="both"/>
            </w:pPr>
            <w:r w:rsidRPr="00EB73BF">
              <w:t>Amortization*</w:t>
            </w:r>
          </w:p>
        </w:tc>
        <w:tc>
          <w:tcPr>
            <w:tcW w:w="1336" w:type="dxa"/>
            <w:tcBorders>
              <w:top w:val="nil"/>
              <w:left w:val="nil"/>
              <w:bottom w:val="single" w:sz="4" w:space="0" w:color="auto"/>
              <w:right w:val="single" w:sz="4" w:space="0" w:color="auto"/>
            </w:tcBorders>
            <w:shd w:val="clear" w:color="auto" w:fill="auto"/>
            <w:noWrap/>
            <w:vAlign w:val="bottom"/>
            <w:hideMark/>
          </w:tcPr>
          <w:p w14:paraId="6772591C" w14:textId="77777777" w:rsidR="00AA58C9" w:rsidRPr="00EB73BF" w:rsidRDefault="00AA58C9" w:rsidP="00EB73BF">
            <w:pPr>
              <w:contextualSpacing/>
              <w:jc w:val="both"/>
            </w:pPr>
            <w:r w:rsidRPr="00EB73BF">
              <w:t>Adjustment</w:t>
            </w:r>
          </w:p>
        </w:tc>
      </w:tr>
      <w:tr w:rsidR="00AA58C9" w:rsidRPr="00EB73BF" w14:paraId="33C36C93" w14:textId="77777777" w:rsidTr="006827FF">
        <w:trPr>
          <w:trHeight w:val="264"/>
          <w:jc w:val="center"/>
        </w:trPr>
        <w:tc>
          <w:tcPr>
            <w:tcW w:w="3341" w:type="dxa"/>
            <w:tcBorders>
              <w:top w:val="nil"/>
              <w:left w:val="single" w:sz="4" w:space="0" w:color="auto"/>
              <w:bottom w:val="nil"/>
              <w:right w:val="nil"/>
            </w:tcBorders>
            <w:shd w:val="clear" w:color="auto" w:fill="auto"/>
            <w:noWrap/>
            <w:vAlign w:val="bottom"/>
            <w:hideMark/>
          </w:tcPr>
          <w:p w14:paraId="05F065D5" w14:textId="77777777" w:rsidR="00AA58C9" w:rsidRPr="00EB73BF" w:rsidRDefault="00AA58C9" w:rsidP="00EB73BF">
            <w:pPr>
              <w:contextualSpacing/>
              <w:jc w:val="both"/>
              <w:rPr>
                <w:u w:val="single"/>
              </w:rPr>
            </w:pPr>
            <w:r w:rsidRPr="00EB73BF">
              <w:rPr>
                <w:u w:val="single"/>
              </w:rPr>
              <w:t>Included in TY Misc. Expense</w:t>
            </w:r>
            <w:r w:rsidRPr="00EB73BF">
              <w:t>:</w:t>
            </w:r>
          </w:p>
        </w:tc>
        <w:tc>
          <w:tcPr>
            <w:tcW w:w="1116" w:type="dxa"/>
            <w:tcBorders>
              <w:top w:val="nil"/>
              <w:left w:val="single" w:sz="4" w:space="0" w:color="auto"/>
              <w:bottom w:val="nil"/>
              <w:right w:val="single" w:sz="4" w:space="0" w:color="auto"/>
            </w:tcBorders>
            <w:shd w:val="clear" w:color="auto" w:fill="auto"/>
            <w:noWrap/>
            <w:vAlign w:val="bottom"/>
            <w:hideMark/>
          </w:tcPr>
          <w:p w14:paraId="727F479C" w14:textId="77777777" w:rsidR="00AA58C9" w:rsidRPr="00EB73BF" w:rsidRDefault="00AA58C9" w:rsidP="00EB73BF">
            <w:pPr>
              <w:contextualSpacing/>
              <w:jc w:val="both"/>
            </w:pPr>
            <w:r w:rsidRPr="00EB73BF">
              <w:t> </w:t>
            </w:r>
          </w:p>
        </w:tc>
        <w:tc>
          <w:tcPr>
            <w:tcW w:w="1616" w:type="dxa"/>
            <w:tcBorders>
              <w:top w:val="nil"/>
              <w:left w:val="nil"/>
              <w:bottom w:val="nil"/>
              <w:right w:val="single" w:sz="4" w:space="0" w:color="auto"/>
            </w:tcBorders>
            <w:shd w:val="clear" w:color="auto" w:fill="auto"/>
            <w:noWrap/>
            <w:vAlign w:val="bottom"/>
            <w:hideMark/>
          </w:tcPr>
          <w:p w14:paraId="17EB2476" w14:textId="77777777" w:rsidR="00AA58C9" w:rsidRPr="00EB73BF" w:rsidRDefault="00AA58C9" w:rsidP="00EB73BF">
            <w:pPr>
              <w:contextualSpacing/>
              <w:jc w:val="both"/>
            </w:pPr>
            <w:r w:rsidRPr="00EB73BF">
              <w:t> </w:t>
            </w:r>
          </w:p>
        </w:tc>
        <w:tc>
          <w:tcPr>
            <w:tcW w:w="1336" w:type="dxa"/>
            <w:tcBorders>
              <w:top w:val="nil"/>
              <w:left w:val="nil"/>
              <w:bottom w:val="nil"/>
              <w:right w:val="single" w:sz="4" w:space="0" w:color="auto"/>
            </w:tcBorders>
            <w:shd w:val="clear" w:color="auto" w:fill="auto"/>
            <w:noWrap/>
            <w:vAlign w:val="bottom"/>
            <w:hideMark/>
          </w:tcPr>
          <w:p w14:paraId="32E26EDA" w14:textId="77777777" w:rsidR="00AA58C9" w:rsidRPr="00EB73BF" w:rsidRDefault="00AA58C9" w:rsidP="00EB73BF">
            <w:pPr>
              <w:contextualSpacing/>
              <w:jc w:val="both"/>
            </w:pPr>
            <w:r w:rsidRPr="00EB73BF">
              <w:t> </w:t>
            </w:r>
          </w:p>
        </w:tc>
      </w:tr>
      <w:tr w:rsidR="00AA58C9" w:rsidRPr="00EB73BF" w14:paraId="2BB50765" w14:textId="77777777" w:rsidTr="006827FF">
        <w:trPr>
          <w:trHeight w:val="264"/>
          <w:jc w:val="center"/>
        </w:trPr>
        <w:tc>
          <w:tcPr>
            <w:tcW w:w="3341" w:type="dxa"/>
            <w:tcBorders>
              <w:top w:val="nil"/>
              <w:left w:val="single" w:sz="4" w:space="0" w:color="auto"/>
              <w:bottom w:val="nil"/>
              <w:right w:val="nil"/>
            </w:tcBorders>
            <w:shd w:val="clear" w:color="auto" w:fill="auto"/>
            <w:noWrap/>
            <w:vAlign w:val="bottom"/>
            <w:hideMark/>
          </w:tcPr>
          <w:p w14:paraId="6B2912E6" w14:textId="77777777" w:rsidR="00AA58C9" w:rsidRPr="00EB73BF" w:rsidRDefault="00AA58C9" w:rsidP="00EB73BF">
            <w:pPr>
              <w:contextualSpacing/>
              <w:jc w:val="both"/>
            </w:pPr>
            <w:r w:rsidRPr="00EB73BF">
              <w:t xml:space="preserve">    Pothole Repair</w:t>
            </w:r>
          </w:p>
        </w:tc>
        <w:tc>
          <w:tcPr>
            <w:tcW w:w="1116" w:type="dxa"/>
            <w:tcBorders>
              <w:top w:val="nil"/>
              <w:left w:val="single" w:sz="4" w:space="0" w:color="auto"/>
              <w:bottom w:val="nil"/>
              <w:right w:val="single" w:sz="4" w:space="0" w:color="auto"/>
            </w:tcBorders>
            <w:shd w:val="clear" w:color="auto" w:fill="auto"/>
            <w:noWrap/>
            <w:vAlign w:val="bottom"/>
            <w:hideMark/>
          </w:tcPr>
          <w:p w14:paraId="21C6F70B" w14:textId="77777777" w:rsidR="00AA58C9" w:rsidRPr="00EB73BF" w:rsidRDefault="00AA58C9" w:rsidP="00EB73BF">
            <w:pPr>
              <w:contextualSpacing/>
              <w:jc w:val="both"/>
            </w:pPr>
            <w:r w:rsidRPr="00EB73BF">
              <w:t xml:space="preserve">$943 </w:t>
            </w:r>
          </w:p>
        </w:tc>
        <w:tc>
          <w:tcPr>
            <w:tcW w:w="1616" w:type="dxa"/>
            <w:tcBorders>
              <w:top w:val="nil"/>
              <w:left w:val="nil"/>
              <w:bottom w:val="nil"/>
              <w:right w:val="single" w:sz="4" w:space="0" w:color="auto"/>
            </w:tcBorders>
            <w:shd w:val="clear" w:color="auto" w:fill="auto"/>
            <w:noWrap/>
            <w:vAlign w:val="bottom"/>
            <w:hideMark/>
          </w:tcPr>
          <w:p w14:paraId="690033A4" w14:textId="77777777" w:rsidR="00AA58C9" w:rsidRPr="00EB73BF" w:rsidRDefault="00AA58C9" w:rsidP="00EB73BF">
            <w:pPr>
              <w:contextualSpacing/>
              <w:jc w:val="both"/>
            </w:pPr>
            <w:r w:rsidRPr="00EB73BF">
              <w:t xml:space="preserve">$189 </w:t>
            </w:r>
          </w:p>
        </w:tc>
        <w:tc>
          <w:tcPr>
            <w:tcW w:w="1336" w:type="dxa"/>
            <w:tcBorders>
              <w:top w:val="nil"/>
              <w:left w:val="nil"/>
              <w:bottom w:val="nil"/>
              <w:right w:val="single" w:sz="4" w:space="0" w:color="auto"/>
            </w:tcBorders>
            <w:shd w:val="clear" w:color="auto" w:fill="auto"/>
            <w:noWrap/>
            <w:vAlign w:val="bottom"/>
            <w:hideMark/>
          </w:tcPr>
          <w:p w14:paraId="47CA01D4" w14:textId="77777777" w:rsidR="00AA58C9" w:rsidRPr="00EB73BF" w:rsidRDefault="00AA58C9" w:rsidP="00EB73BF">
            <w:pPr>
              <w:contextualSpacing/>
              <w:jc w:val="both"/>
            </w:pPr>
            <w:r w:rsidRPr="00EB73BF">
              <w:t>($754)</w:t>
            </w:r>
          </w:p>
        </w:tc>
      </w:tr>
      <w:tr w:rsidR="00AA58C9" w:rsidRPr="00EB73BF" w14:paraId="143C326C" w14:textId="77777777" w:rsidTr="006827FF">
        <w:trPr>
          <w:trHeight w:val="264"/>
          <w:jc w:val="center"/>
        </w:trPr>
        <w:tc>
          <w:tcPr>
            <w:tcW w:w="3341" w:type="dxa"/>
            <w:tcBorders>
              <w:top w:val="nil"/>
              <w:left w:val="single" w:sz="4" w:space="0" w:color="auto"/>
              <w:bottom w:val="nil"/>
              <w:right w:val="nil"/>
            </w:tcBorders>
            <w:shd w:val="clear" w:color="auto" w:fill="auto"/>
            <w:noWrap/>
            <w:vAlign w:val="bottom"/>
            <w:hideMark/>
          </w:tcPr>
          <w:p w14:paraId="5AE97E50" w14:textId="77777777" w:rsidR="00AA58C9" w:rsidRPr="00EB73BF" w:rsidRDefault="00AA58C9" w:rsidP="00EB73BF">
            <w:pPr>
              <w:contextualSpacing/>
              <w:jc w:val="both"/>
            </w:pPr>
            <w:r w:rsidRPr="00EB73BF">
              <w:t xml:space="preserve">    Cert. Transfer Legal Ad</w:t>
            </w:r>
          </w:p>
        </w:tc>
        <w:tc>
          <w:tcPr>
            <w:tcW w:w="1116" w:type="dxa"/>
            <w:tcBorders>
              <w:top w:val="nil"/>
              <w:left w:val="single" w:sz="4" w:space="0" w:color="auto"/>
              <w:bottom w:val="nil"/>
              <w:right w:val="single" w:sz="4" w:space="0" w:color="auto"/>
            </w:tcBorders>
            <w:shd w:val="clear" w:color="auto" w:fill="auto"/>
            <w:noWrap/>
            <w:vAlign w:val="bottom"/>
            <w:hideMark/>
          </w:tcPr>
          <w:p w14:paraId="4A9FADFC" w14:textId="77777777" w:rsidR="00AA58C9" w:rsidRPr="00EB73BF" w:rsidRDefault="00AA58C9" w:rsidP="00EB73BF">
            <w:pPr>
              <w:contextualSpacing/>
              <w:jc w:val="both"/>
            </w:pPr>
            <w:r w:rsidRPr="00EB73BF">
              <w:t xml:space="preserve">562 </w:t>
            </w:r>
          </w:p>
        </w:tc>
        <w:tc>
          <w:tcPr>
            <w:tcW w:w="1616" w:type="dxa"/>
            <w:tcBorders>
              <w:top w:val="nil"/>
              <w:left w:val="nil"/>
              <w:bottom w:val="nil"/>
              <w:right w:val="single" w:sz="4" w:space="0" w:color="auto"/>
            </w:tcBorders>
            <w:shd w:val="clear" w:color="auto" w:fill="auto"/>
            <w:noWrap/>
            <w:vAlign w:val="bottom"/>
            <w:hideMark/>
          </w:tcPr>
          <w:p w14:paraId="6AE27E1A" w14:textId="77777777" w:rsidR="00AA58C9" w:rsidRPr="00EB73BF" w:rsidRDefault="00AA58C9" w:rsidP="00EB73BF">
            <w:pPr>
              <w:contextualSpacing/>
              <w:jc w:val="both"/>
            </w:pPr>
            <w:r w:rsidRPr="00EB73BF">
              <w:t xml:space="preserve">112 </w:t>
            </w:r>
          </w:p>
        </w:tc>
        <w:tc>
          <w:tcPr>
            <w:tcW w:w="1336" w:type="dxa"/>
            <w:tcBorders>
              <w:top w:val="nil"/>
              <w:left w:val="nil"/>
              <w:bottom w:val="nil"/>
              <w:right w:val="single" w:sz="4" w:space="0" w:color="auto"/>
            </w:tcBorders>
            <w:shd w:val="clear" w:color="auto" w:fill="auto"/>
            <w:noWrap/>
            <w:vAlign w:val="bottom"/>
            <w:hideMark/>
          </w:tcPr>
          <w:p w14:paraId="0E0C9852" w14:textId="77777777" w:rsidR="00AA58C9" w:rsidRPr="00EB73BF" w:rsidRDefault="00AA58C9" w:rsidP="00EB73BF">
            <w:pPr>
              <w:contextualSpacing/>
              <w:jc w:val="both"/>
            </w:pPr>
            <w:r w:rsidRPr="00EB73BF">
              <w:t>(450)</w:t>
            </w:r>
          </w:p>
        </w:tc>
      </w:tr>
      <w:tr w:rsidR="00AA58C9" w:rsidRPr="00EB73BF" w14:paraId="09414684" w14:textId="77777777" w:rsidTr="006827FF">
        <w:trPr>
          <w:trHeight w:val="264"/>
          <w:jc w:val="center"/>
        </w:trPr>
        <w:tc>
          <w:tcPr>
            <w:tcW w:w="3341" w:type="dxa"/>
            <w:tcBorders>
              <w:top w:val="nil"/>
              <w:left w:val="single" w:sz="4" w:space="0" w:color="auto"/>
              <w:bottom w:val="nil"/>
              <w:right w:val="nil"/>
            </w:tcBorders>
            <w:shd w:val="clear" w:color="auto" w:fill="auto"/>
            <w:noWrap/>
            <w:vAlign w:val="bottom"/>
            <w:hideMark/>
          </w:tcPr>
          <w:p w14:paraId="6467084A" w14:textId="77777777" w:rsidR="00AA58C9" w:rsidRPr="00EB73BF" w:rsidRDefault="00AA58C9" w:rsidP="00EB73BF">
            <w:pPr>
              <w:contextualSpacing/>
              <w:jc w:val="both"/>
            </w:pPr>
            <w:r w:rsidRPr="00EB73BF">
              <w:t xml:space="preserve">    DEP Permit Transfer Fee</w:t>
            </w:r>
          </w:p>
        </w:tc>
        <w:tc>
          <w:tcPr>
            <w:tcW w:w="1116" w:type="dxa"/>
            <w:tcBorders>
              <w:top w:val="nil"/>
              <w:left w:val="single" w:sz="4" w:space="0" w:color="auto"/>
              <w:bottom w:val="nil"/>
              <w:right w:val="single" w:sz="4" w:space="0" w:color="auto"/>
            </w:tcBorders>
            <w:shd w:val="clear" w:color="auto" w:fill="auto"/>
            <w:noWrap/>
            <w:vAlign w:val="bottom"/>
            <w:hideMark/>
          </w:tcPr>
          <w:p w14:paraId="5FB5DB6B" w14:textId="77777777" w:rsidR="00AA58C9" w:rsidRPr="00EB73BF" w:rsidRDefault="00AA58C9" w:rsidP="00EB73BF">
            <w:pPr>
              <w:contextualSpacing/>
              <w:jc w:val="both"/>
              <w:rPr>
                <w:u w:val="single"/>
              </w:rPr>
            </w:pPr>
            <w:r w:rsidRPr="00EB73BF">
              <w:rPr>
                <w:u w:val="single"/>
              </w:rPr>
              <w:t xml:space="preserve">100 </w:t>
            </w:r>
          </w:p>
        </w:tc>
        <w:tc>
          <w:tcPr>
            <w:tcW w:w="1616" w:type="dxa"/>
            <w:tcBorders>
              <w:top w:val="nil"/>
              <w:left w:val="nil"/>
              <w:bottom w:val="nil"/>
              <w:right w:val="single" w:sz="4" w:space="0" w:color="auto"/>
            </w:tcBorders>
            <w:shd w:val="clear" w:color="auto" w:fill="auto"/>
            <w:noWrap/>
            <w:vAlign w:val="bottom"/>
            <w:hideMark/>
          </w:tcPr>
          <w:p w14:paraId="5EAF7E39" w14:textId="77777777" w:rsidR="00AA58C9" w:rsidRPr="00EB73BF" w:rsidRDefault="00AA58C9" w:rsidP="00EB73BF">
            <w:pPr>
              <w:contextualSpacing/>
              <w:jc w:val="both"/>
              <w:rPr>
                <w:u w:val="single"/>
              </w:rPr>
            </w:pPr>
            <w:r w:rsidRPr="00EB73BF">
              <w:rPr>
                <w:u w:val="single"/>
              </w:rPr>
              <w:t xml:space="preserve">20 </w:t>
            </w:r>
          </w:p>
        </w:tc>
        <w:tc>
          <w:tcPr>
            <w:tcW w:w="1336" w:type="dxa"/>
            <w:tcBorders>
              <w:top w:val="nil"/>
              <w:left w:val="nil"/>
              <w:bottom w:val="nil"/>
              <w:right w:val="single" w:sz="4" w:space="0" w:color="auto"/>
            </w:tcBorders>
            <w:shd w:val="clear" w:color="auto" w:fill="auto"/>
            <w:noWrap/>
            <w:vAlign w:val="bottom"/>
            <w:hideMark/>
          </w:tcPr>
          <w:p w14:paraId="0D8A2F32" w14:textId="77777777" w:rsidR="00AA58C9" w:rsidRPr="00EB73BF" w:rsidRDefault="00AA58C9" w:rsidP="00EB73BF">
            <w:pPr>
              <w:contextualSpacing/>
              <w:jc w:val="both"/>
              <w:rPr>
                <w:u w:val="single"/>
              </w:rPr>
            </w:pPr>
            <w:r w:rsidRPr="00EB73BF">
              <w:rPr>
                <w:u w:val="single"/>
              </w:rPr>
              <w:t>(80)</w:t>
            </w:r>
          </w:p>
        </w:tc>
      </w:tr>
      <w:tr w:rsidR="00AA58C9" w:rsidRPr="00EB73BF" w14:paraId="3AA8595D" w14:textId="77777777" w:rsidTr="006827FF">
        <w:trPr>
          <w:trHeight w:val="264"/>
          <w:jc w:val="center"/>
        </w:trPr>
        <w:tc>
          <w:tcPr>
            <w:tcW w:w="3341" w:type="dxa"/>
            <w:tcBorders>
              <w:top w:val="nil"/>
              <w:left w:val="single" w:sz="4" w:space="0" w:color="auto"/>
              <w:bottom w:val="nil"/>
              <w:right w:val="nil"/>
            </w:tcBorders>
            <w:shd w:val="clear" w:color="auto" w:fill="auto"/>
            <w:noWrap/>
            <w:vAlign w:val="bottom"/>
            <w:hideMark/>
          </w:tcPr>
          <w:p w14:paraId="283AF605" w14:textId="77777777" w:rsidR="00AA58C9" w:rsidRPr="00EB73BF" w:rsidRDefault="00AA58C9" w:rsidP="00EB73BF">
            <w:pPr>
              <w:contextualSpacing/>
              <w:jc w:val="both"/>
            </w:pPr>
            <w:r w:rsidRPr="00EB73BF">
              <w:t>Total</w:t>
            </w:r>
          </w:p>
        </w:tc>
        <w:tc>
          <w:tcPr>
            <w:tcW w:w="1116" w:type="dxa"/>
            <w:tcBorders>
              <w:top w:val="nil"/>
              <w:left w:val="single" w:sz="4" w:space="0" w:color="auto"/>
              <w:bottom w:val="nil"/>
              <w:right w:val="single" w:sz="4" w:space="0" w:color="auto"/>
            </w:tcBorders>
            <w:shd w:val="clear" w:color="auto" w:fill="auto"/>
            <w:noWrap/>
            <w:vAlign w:val="bottom"/>
            <w:hideMark/>
          </w:tcPr>
          <w:p w14:paraId="78FCDCE7" w14:textId="77777777" w:rsidR="00AA58C9" w:rsidRPr="00EB73BF" w:rsidRDefault="00AA58C9" w:rsidP="00EB73BF">
            <w:pPr>
              <w:contextualSpacing/>
              <w:jc w:val="both"/>
              <w:rPr>
                <w:u w:val="double"/>
              </w:rPr>
            </w:pPr>
            <w:r w:rsidRPr="00EB73BF">
              <w:rPr>
                <w:u w:val="double"/>
              </w:rPr>
              <w:t xml:space="preserve">$1,605 </w:t>
            </w:r>
          </w:p>
        </w:tc>
        <w:tc>
          <w:tcPr>
            <w:tcW w:w="1616" w:type="dxa"/>
            <w:tcBorders>
              <w:top w:val="nil"/>
              <w:left w:val="nil"/>
              <w:bottom w:val="nil"/>
              <w:right w:val="single" w:sz="4" w:space="0" w:color="auto"/>
            </w:tcBorders>
            <w:shd w:val="clear" w:color="auto" w:fill="auto"/>
            <w:noWrap/>
            <w:vAlign w:val="bottom"/>
            <w:hideMark/>
          </w:tcPr>
          <w:p w14:paraId="17B387E0" w14:textId="77777777" w:rsidR="00AA58C9" w:rsidRPr="00EB73BF" w:rsidRDefault="00AA58C9" w:rsidP="00EB73BF">
            <w:pPr>
              <w:contextualSpacing/>
              <w:jc w:val="both"/>
              <w:rPr>
                <w:u w:val="double"/>
              </w:rPr>
            </w:pPr>
            <w:r w:rsidRPr="00EB73BF">
              <w:rPr>
                <w:u w:val="double"/>
              </w:rPr>
              <w:t xml:space="preserve">$321 </w:t>
            </w:r>
          </w:p>
        </w:tc>
        <w:tc>
          <w:tcPr>
            <w:tcW w:w="1336" w:type="dxa"/>
            <w:tcBorders>
              <w:top w:val="nil"/>
              <w:left w:val="nil"/>
              <w:bottom w:val="nil"/>
              <w:right w:val="single" w:sz="4" w:space="0" w:color="auto"/>
            </w:tcBorders>
            <w:shd w:val="clear" w:color="auto" w:fill="auto"/>
            <w:noWrap/>
            <w:vAlign w:val="bottom"/>
            <w:hideMark/>
          </w:tcPr>
          <w:p w14:paraId="5D705CE3" w14:textId="77777777" w:rsidR="00AA58C9" w:rsidRPr="00EB73BF" w:rsidRDefault="00AA58C9" w:rsidP="00EB73BF">
            <w:pPr>
              <w:contextualSpacing/>
              <w:jc w:val="both"/>
              <w:rPr>
                <w:u w:val="double"/>
              </w:rPr>
            </w:pPr>
            <w:r w:rsidRPr="00EB73BF">
              <w:rPr>
                <w:u w:val="double"/>
              </w:rPr>
              <w:t>($1,284)</w:t>
            </w:r>
          </w:p>
        </w:tc>
      </w:tr>
      <w:tr w:rsidR="00AA58C9" w:rsidRPr="00EB73BF" w14:paraId="69088F68" w14:textId="77777777" w:rsidTr="006827FF">
        <w:trPr>
          <w:trHeight w:val="264"/>
          <w:jc w:val="center"/>
        </w:trPr>
        <w:tc>
          <w:tcPr>
            <w:tcW w:w="3341" w:type="dxa"/>
            <w:tcBorders>
              <w:top w:val="nil"/>
              <w:left w:val="single" w:sz="4" w:space="0" w:color="auto"/>
              <w:bottom w:val="nil"/>
              <w:right w:val="nil"/>
            </w:tcBorders>
            <w:shd w:val="clear" w:color="auto" w:fill="auto"/>
            <w:noWrap/>
            <w:vAlign w:val="bottom"/>
            <w:hideMark/>
          </w:tcPr>
          <w:p w14:paraId="67792A03" w14:textId="77777777" w:rsidR="00AA58C9" w:rsidRPr="00EB73BF" w:rsidRDefault="00AA58C9" w:rsidP="00EB73BF">
            <w:pPr>
              <w:contextualSpacing/>
              <w:jc w:val="both"/>
            </w:pPr>
            <w:r w:rsidRPr="00EB73BF">
              <w:t> </w:t>
            </w:r>
          </w:p>
        </w:tc>
        <w:tc>
          <w:tcPr>
            <w:tcW w:w="1116" w:type="dxa"/>
            <w:tcBorders>
              <w:top w:val="nil"/>
              <w:left w:val="single" w:sz="4" w:space="0" w:color="auto"/>
              <w:bottom w:val="nil"/>
              <w:right w:val="single" w:sz="4" w:space="0" w:color="auto"/>
            </w:tcBorders>
            <w:shd w:val="clear" w:color="auto" w:fill="auto"/>
            <w:noWrap/>
            <w:vAlign w:val="bottom"/>
            <w:hideMark/>
          </w:tcPr>
          <w:p w14:paraId="2E4D9E24" w14:textId="77777777" w:rsidR="00AA58C9" w:rsidRPr="00EB73BF" w:rsidRDefault="00AA58C9" w:rsidP="00EB73BF">
            <w:pPr>
              <w:contextualSpacing/>
              <w:jc w:val="both"/>
            </w:pPr>
            <w:r w:rsidRPr="00EB73BF">
              <w:t> </w:t>
            </w:r>
          </w:p>
        </w:tc>
        <w:tc>
          <w:tcPr>
            <w:tcW w:w="1616" w:type="dxa"/>
            <w:tcBorders>
              <w:top w:val="nil"/>
              <w:left w:val="nil"/>
              <w:bottom w:val="nil"/>
              <w:right w:val="single" w:sz="4" w:space="0" w:color="auto"/>
            </w:tcBorders>
            <w:shd w:val="clear" w:color="auto" w:fill="auto"/>
            <w:noWrap/>
            <w:vAlign w:val="bottom"/>
          </w:tcPr>
          <w:p w14:paraId="72B897E0" w14:textId="77777777" w:rsidR="00AA58C9" w:rsidRPr="00EB73BF" w:rsidRDefault="00AA58C9" w:rsidP="00EB73BF">
            <w:pPr>
              <w:contextualSpacing/>
              <w:jc w:val="both"/>
              <w:rPr>
                <w:u w:val="double"/>
              </w:rPr>
            </w:pPr>
          </w:p>
        </w:tc>
        <w:tc>
          <w:tcPr>
            <w:tcW w:w="1336" w:type="dxa"/>
            <w:tcBorders>
              <w:top w:val="nil"/>
              <w:left w:val="nil"/>
              <w:bottom w:val="nil"/>
              <w:right w:val="single" w:sz="4" w:space="0" w:color="auto"/>
            </w:tcBorders>
            <w:shd w:val="clear" w:color="auto" w:fill="auto"/>
            <w:noWrap/>
            <w:vAlign w:val="bottom"/>
          </w:tcPr>
          <w:p w14:paraId="2EA7738C" w14:textId="77777777" w:rsidR="00AA58C9" w:rsidRPr="00EB73BF" w:rsidRDefault="00AA58C9" w:rsidP="00EB73BF">
            <w:pPr>
              <w:contextualSpacing/>
              <w:jc w:val="both"/>
              <w:rPr>
                <w:u w:val="double"/>
              </w:rPr>
            </w:pPr>
          </w:p>
        </w:tc>
      </w:tr>
      <w:tr w:rsidR="00AA58C9" w:rsidRPr="00EB73BF" w14:paraId="51D2B110" w14:textId="77777777" w:rsidTr="006827FF">
        <w:trPr>
          <w:trHeight w:val="264"/>
          <w:jc w:val="center"/>
        </w:trPr>
        <w:tc>
          <w:tcPr>
            <w:tcW w:w="3341" w:type="dxa"/>
            <w:tcBorders>
              <w:top w:val="nil"/>
              <w:left w:val="single" w:sz="4" w:space="0" w:color="auto"/>
              <w:bottom w:val="nil"/>
              <w:right w:val="nil"/>
            </w:tcBorders>
            <w:shd w:val="clear" w:color="auto" w:fill="auto"/>
            <w:noWrap/>
            <w:vAlign w:val="bottom"/>
            <w:hideMark/>
          </w:tcPr>
          <w:p w14:paraId="087288EA" w14:textId="77777777" w:rsidR="00AA58C9" w:rsidRPr="00EB73BF" w:rsidRDefault="00AA58C9" w:rsidP="00EB73BF">
            <w:pPr>
              <w:contextualSpacing/>
              <w:jc w:val="both"/>
            </w:pPr>
            <w:r w:rsidRPr="00EB73BF">
              <w:rPr>
                <w:u w:val="single"/>
              </w:rPr>
              <w:t>New Misc. Expense</w:t>
            </w:r>
            <w:r w:rsidRPr="00EB73BF">
              <w:t>:</w:t>
            </w:r>
          </w:p>
        </w:tc>
        <w:tc>
          <w:tcPr>
            <w:tcW w:w="1116" w:type="dxa"/>
            <w:tcBorders>
              <w:top w:val="nil"/>
              <w:left w:val="single" w:sz="4" w:space="0" w:color="auto"/>
              <w:bottom w:val="nil"/>
              <w:right w:val="single" w:sz="4" w:space="0" w:color="auto"/>
            </w:tcBorders>
            <w:shd w:val="clear" w:color="auto" w:fill="auto"/>
            <w:noWrap/>
            <w:vAlign w:val="bottom"/>
            <w:hideMark/>
          </w:tcPr>
          <w:p w14:paraId="2CFB1D59" w14:textId="77777777" w:rsidR="00AA58C9" w:rsidRPr="00EB73BF" w:rsidRDefault="00AA58C9" w:rsidP="00EB73BF">
            <w:pPr>
              <w:contextualSpacing/>
              <w:jc w:val="both"/>
            </w:pPr>
            <w:r w:rsidRPr="00EB73BF">
              <w:t> </w:t>
            </w:r>
          </w:p>
        </w:tc>
        <w:tc>
          <w:tcPr>
            <w:tcW w:w="1616" w:type="dxa"/>
            <w:tcBorders>
              <w:top w:val="nil"/>
              <w:left w:val="nil"/>
              <w:bottom w:val="nil"/>
              <w:right w:val="single" w:sz="4" w:space="0" w:color="auto"/>
            </w:tcBorders>
            <w:shd w:val="clear" w:color="auto" w:fill="auto"/>
            <w:noWrap/>
            <w:vAlign w:val="bottom"/>
          </w:tcPr>
          <w:p w14:paraId="38A1BCD8" w14:textId="77777777" w:rsidR="00AA58C9" w:rsidRPr="00EB73BF" w:rsidRDefault="00AA58C9" w:rsidP="00EB73BF">
            <w:pPr>
              <w:contextualSpacing/>
              <w:jc w:val="both"/>
            </w:pPr>
          </w:p>
        </w:tc>
        <w:tc>
          <w:tcPr>
            <w:tcW w:w="1336" w:type="dxa"/>
            <w:tcBorders>
              <w:top w:val="nil"/>
              <w:left w:val="nil"/>
              <w:bottom w:val="nil"/>
              <w:right w:val="single" w:sz="4" w:space="0" w:color="auto"/>
            </w:tcBorders>
            <w:shd w:val="clear" w:color="auto" w:fill="auto"/>
            <w:noWrap/>
            <w:vAlign w:val="bottom"/>
          </w:tcPr>
          <w:p w14:paraId="2FD67852" w14:textId="77777777" w:rsidR="00AA58C9" w:rsidRPr="00EB73BF" w:rsidRDefault="00AA58C9" w:rsidP="00EB73BF">
            <w:pPr>
              <w:contextualSpacing/>
              <w:jc w:val="both"/>
            </w:pPr>
          </w:p>
        </w:tc>
      </w:tr>
      <w:tr w:rsidR="00AA58C9" w:rsidRPr="00EB73BF" w14:paraId="67590B65" w14:textId="77777777" w:rsidTr="006827FF">
        <w:trPr>
          <w:trHeight w:val="264"/>
          <w:jc w:val="center"/>
        </w:trPr>
        <w:tc>
          <w:tcPr>
            <w:tcW w:w="3341" w:type="dxa"/>
            <w:tcBorders>
              <w:top w:val="nil"/>
              <w:left w:val="single" w:sz="4" w:space="0" w:color="auto"/>
              <w:bottom w:val="nil"/>
              <w:right w:val="nil"/>
            </w:tcBorders>
            <w:shd w:val="clear" w:color="auto" w:fill="auto"/>
            <w:noWrap/>
            <w:vAlign w:val="bottom"/>
            <w:hideMark/>
          </w:tcPr>
          <w:p w14:paraId="1ADF9366" w14:textId="77777777" w:rsidR="00AA58C9" w:rsidRPr="00EB73BF" w:rsidRDefault="00AA58C9" w:rsidP="00EB73BF">
            <w:pPr>
              <w:contextualSpacing/>
              <w:jc w:val="both"/>
            </w:pPr>
            <w:r w:rsidRPr="00EB73BF">
              <w:t xml:space="preserve">    Completed RIB Clearing </w:t>
            </w:r>
          </w:p>
        </w:tc>
        <w:tc>
          <w:tcPr>
            <w:tcW w:w="1116" w:type="dxa"/>
            <w:tcBorders>
              <w:top w:val="nil"/>
              <w:left w:val="single" w:sz="4" w:space="0" w:color="auto"/>
              <w:bottom w:val="nil"/>
              <w:right w:val="single" w:sz="4" w:space="0" w:color="auto"/>
            </w:tcBorders>
            <w:shd w:val="clear" w:color="auto" w:fill="auto"/>
            <w:noWrap/>
            <w:vAlign w:val="bottom"/>
            <w:hideMark/>
          </w:tcPr>
          <w:p w14:paraId="0E2668B4" w14:textId="77777777" w:rsidR="00AA58C9" w:rsidRPr="00EB73BF" w:rsidRDefault="00AA58C9" w:rsidP="00EB73BF">
            <w:pPr>
              <w:contextualSpacing/>
              <w:jc w:val="both"/>
            </w:pPr>
            <w:r w:rsidRPr="00EB73BF">
              <w:t xml:space="preserve">$7,800 </w:t>
            </w:r>
          </w:p>
        </w:tc>
        <w:tc>
          <w:tcPr>
            <w:tcW w:w="1616" w:type="dxa"/>
            <w:tcBorders>
              <w:top w:val="nil"/>
              <w:left w:val="nil"/>
              <w:bottom w:val="nil"/>
              <w:right w:val="single" w:sz="4" w:space="0" w:color="auto"/>
            </w:tcBorders>
            <w:shd w:val="clear" w:color="auto" w:fill="auto"/>
            <w:noWrap/>
            <w:vAlign w:val="bottom"/>
            <w:hideMark/>
          </w:tcPr>
          <w:p w14:paraId="728B8127" w14:textId="77777777" w:rsidR="00AA58C9" w:rsidRPr="00EB73BF" w:rsidRDefault="00AA58C9" w:rsidP="00EB73BF">
            <w:pPr>
              <w:contextualSpacing/>
              <w:jc w:val="both"/>
            </w:pPr>
            <w:r w:rsidRPr="00EB73BF">
              <w:t xml:space="preserve">$1,560 </w:t>
            </w:r>
          </w:p>
        </w:tc>
        <w:tc>
          <w:tcPr>
            <w:tcW w:w="1336" w:type="dxa"/>
            <w:tcBorders>
              <w:top w:val="nil"/>
              <w:left w:val="nil"/>
              <w:bottom w:val="nil"/>
              <w:right w:val="single" w:sz="4" w:space="0" w:color="auto"/>
            </w:tcBorders>
            <w:shd w:val="clear" w:color="auto" w:fill="auto"/>
            <w:noWrap/>
            <w:vAlign w:val="bottom"/>
            <w:hideMark/>
          </w:tcPr>
          <w:p w14:paraId="6CE6A51C" w14:textId="77777777" w:rsidR="00AA58C9" w:rsidRPr="00EB73BF" w:rsidRDefault="00AA58C9" w:rsidP="00EB73BF">
            <w:pPr>
              <w:contextualSpacing/>
              <w:jc w:val="both"/>
            </w:pPr>
            <w:r w:rsidRPr="00EB73BF">
              <w:t xml:space="preserve">$1,560 </w:t>
            </w:r>
          </w:p>
        </w:tc>
      </w:tr>
      <w:tr w:rsidR="00AA58C9" w:rsidRPr="00EB73BF" w14:paraId="72E96A2F" w14:textId="77777777" w:rsidTr="006827FF">
        <w:trPr>
          <w:trHeight w:val="264"/>
          <w:jc w:val="center"/>
        </w:trPr>
        <w:tc>
          <w:tcPr>
            <w:tcW w:w="3341" w:type="dxa"/>
            <w:tcBorders>
              <w:top w:val="nil"/>
              <w:left w:val="single" w:sz="4" w:space="0" w:color="auto"/>
              <w:bottom w:val="nil"/>
              <w:right w:val="nil"/>
            </w:tcBorders>
            <w:shd w:val="clear" w:color="auto" w:fill="auto"/>
            <w:noWrap/>
            <w:vAlign w:val="bottom"/>
            <w:hideMark/>
          </w:tcPr>
          <w:p w14:paraId="5E171501" w14:textId="77777777" w:rsidR="00AA58C9" w:rsidRPr="00EB73BF" w:rsidRDefault="00AA58C9" w:rsidP="00EB73BF">
            <w:pPr>
              <w:contextualSpacing/>
              <w:jc w:val="both"/>
            </w:pPr>
            <w:r w:rsidRPr="00EB73BF">
              <w:t xml:space="preserve">    Pro Forma RIB Clearing</w:t>
            </w:r>
          </w:p>
        </w:tc>
        <w:tc>
          <w:tcPr>
            <w:tcW w:w="1116" w:type="dxa"/>
            <w:tcBorders>
              <w:top w:val="nil"/>
              <w:left w:val="single" w:sz="4" w:space="0" w:color="auto"/>
              <w:bottom w:val="nil"/>
              <w:right w:val="single" w:sz="4" w:space="0" w:color="auto"/>
            </w:tcBorders>
            <w:shd w:val="clear" w:color="auto" w:fill="auto"/>
            <w:noWrap/>
            <w:vAlign w:val="bottom"/>
            <w:hideMark/>
          </w:tcPr>
          <w:p w14:paraId="368DB61C" w14:textId="77777777" w:rsidR="00AA58C9" w:rsidRPr="00EB73BF" w:rsidRDefault="00AA58C9" w:rsidP="00EB73BF">
            <w:pPr>
              <w:contextualSpacing/>
              <w:jc w:val="both"/>
              <w:rPr>
                <w:u w:val="single"/>
              </w:rPr>
            </w:pPr>
            <w:r w:rsidRPr="00EB73BF">
              <w:rPr>
                <w:u w:val="single"/>
              </w:rPr>
              <w:t xml:space="preserve">5,050 </w:t>
            </w:r>
          </w:p>
        </w:tc>
        <w:tc>
          <w:tcPr>
            <w:tcW w:w="1616" w:type="dxa"/>
            <w:tcBorders>
              <w:top w:val="nil"/>
              <w:left w:val="nil"/>
              <w:bottom w:val="nil"/>
              <w:right w:val="single" w:sz="4" w:space="0" w:color="auto"/>
            </w:tcBorders>
            <w:shd w:val="clear" w:color="auto" w:fill="auto"/>
            <w:noWrap/>
            <w:vAlign w:val="bottom"/>
            <w:hideMark/>
          </w:tcPr>
          <w:p w14:paraId="7590157A" w14:textId="77777777" w:rsidR="00AA58C9" w:rsidRPr="00EB73BF" w:rsidRDefault="00AA58C9" w:rsidP="00EB73BF">
            <w:pPr>
              <w:contextualSpacing/>
              <w:jc w:val="both"/>
              <w:rPr>
                <w:u w:val="single"/>
              </w:rPr>
            </w:pPr>
            <w:r w:rsidRPr="00EB73BF">
              <w:rPr>
                <w:u w:val="single"/>
              </w:rPr>
              <w:t xml:space="preserve">1,010 </w:t>
            </w:r>
          </w:p>
        </w:tc>
        <w:tc>
          <w:tcPr>
            <w:tcW w:w="1336" w:type="dxa"/>
            <w:tcBorders>
              <w:top w:val="nil"/>
              <w:left w:val="nil"/>
              <w:bottom w:val="nil"/>
              <w:right w:val="single" w:sz="4" w:space="0" w:color="auto"/>
            </w:tcBorders>
            <w:shd w:val="clear" w:color="auto" w:fill="auto"/>
            <w:noWrap/>
            <w:vAlign w:val="bottom"/>
            <w:hideMark/>
          </w:tcPr>
          <w:p w14:paraId="3394EA33" w14:textId="77777777" w:rsidR="00AA58C9" w:rsidRPr="00EB73BF" w:rsidRDefault="00AA58C9" w:rsidP="00EB73BF">
            <w:pPr>
              <w:contextualSpacing/>
              <w:jc w:val="both"/>
              <w:rPr>
                <w:u w:val="single"/>
              </w:rPr>
            </w:pPr>
            <w:r w:rsidRPr="00EB73BF">
              <w:rPr>
                <w:u w:val="single"/>
              </w:rPr>
              <w:t xml:space="preserve">1,010 </w:t>
            </w:r>
          </w:p>
        </w:tc>
      </w:tr>
      <w:tr w:rsidR="00AA58C9" w:rsidRPr="00EB73BF" w14:paraId="16528205" w14:textId="77777777" w:rsidTr="006827FF">
        <w:trPr>
          <w:trHeight w:val="264"/>
          <w:jc w:val="center"/>
        </w:trPr>
        <w:tc>
          <w:tcPr>
            <w:tcW w:w="3341" w:type="dxa"/>
            <w:tcBorders>
              <w:top w:val="nil"/>
              <w:left w:val="single" w:sz="4" w:space="0" w:color="auto"/>
              <w:bottom w:val="nil"/>
              <w:right w:val="nil"/>
            </w:tcBorders>
            <w:shd w:val="clear" w:color="auto" w:fill="auto"/>
            <w:noWrap/>
            <w:vAlign w:val="bottom"/>
            <w:hideMark/>
          </w:tcPr>
          <w:p w14:paraId="7F9B8E19" w14:textId="77777777" w:rsidR="00AA58C9" w:rsidRPr="00EB73BF" w:rsidRDefault="00AA58C9" w:rsidP="00EB73BF">
            <w:pPr>
              <w:contextualSpacing/>
              <w:jc w:val="both"/>
            </w:pPr>
            <w:r w:rsidRPr="00EB73BF">
              <w:t>Total</w:t>
            </w:r>
          </w:p>
        </w:tc>
        <w:tc>
          <w:tcPr>
            <w:tcW w:w="1116" w:type="dxa"/>
            <w:tcBorders>
              <w:top w:val="nil"/>
              <w:left w:val="single" w:sz="4" w:space="0" w:color="auto"/>
              <w:bottom w:val="nil"/>
              <w:right w:val="single" w:sz="4" w:space="0" w:color="auto"/>
            </w:tcBorders>
            <w:shd w:val="clear" w:color="auto" w:fill="auto"/>
            <w:noWrap/>
            <w:vAlign w:val="bottom"/>
            <w:hideMark/>
          </w:tcPr>
          <w:p w14:paraId="0DA74D32" w14:textId="77777777" w:rsidR="00AA58C9" w:rsidRPr="00EB73BF" w:rsidRDefault="00AA58C9" w:rsidP="00EB73BF">
            <w:pPr>
              <w:contextualSpacing/>
              <w:jc w:val="both"/>
              <w:rPr>
                <w:u w:val="double"/>
              </w:rPr>
            </w:pPr>
            <w:r w:rsidRPr="00EB73BF">
              <w:rPr>
                <w:u w:val="double"/>
              </w:rPr>
              <w:t xml:space="preserve">$12,850 </w:t>
            </w:r>
          </w:p>
        </w:tc>
        <w:tc>
          <w:tcPr>
            <w:tcW w:w="1616" w:type="dxa"/>
            <w:tcBorders>
              <w:top w:val="nil"/>
              <w:left w:val="nil"/>
              <w:bottom w:val="nil"/>
              <w:right w:val="single" w:sz="4" w:space="0" w:color="auto"/>
            </w:tcBorders>
            <w:shd w:val="clear" w:color="auto" w:fill="auto"/>
            <w:noWrap/>
            <w:vAlign w:val="bottom"/>
            <w:hideMark/>
          </w:tcPr>
          <w:p w14:paraId="6649313B" w14:textId="77777777" w:rsidR="00AA58C9" w:rsidRPr="00EB73BF" w:rsidRDefault="00AA58C9" w:rsidP="00EB73BF">
            <w:pPr>
              <w:contextualSpacing/>
              <w:jc w:val="both"/>
              <w:rPr>
                <w:u w:val="double"/>
              </w:rPr>
            </w:pPr>
            <w:r w:rsidRPr="00EB73BF">
              <w:rPr>
                <w:u w:val="double"/>
              </w:rPr>
              <w:t xml:space="preserve">$2,570 </w:t>
            </w:r>
          </w:p>
        </w:tc>
        <w:tc>
          <w:tcPr>
            <w:tcW w:w="1336" w:type="dxa"/>
            <w:tcBorders>
              <w:top w:val="nil"/>
              <w:left w:val="nil"/>
              <w:bottom w:val="nil"/>
              <w:right w:val="single" w:sz="4" w:space="0" w:color="auto"/>
            </w:tcBorders>
            <w:shd w:val="clear" w:color="auto" w:fill="auto"/>
            <w:noWrap/>
            <w:vAlign w:val="bottom"/>
            <w:hideMark/>
          </w:tcPr>
          <w:p w14:paraId="20F29BDF" w14:textId="77777777" w:rsidR="00AA58C9" w:rsidRPr="00EB73BF" w:rsidRDefault="00AA58C9" w:rsidP="00EB73BF">
            <w:pPr>
              <w:contextualSpacing/>
              <w:jc w:val="both"/>
              <w:rPr>
                <w:u w:val="double"/>
              </w:rPr>
            </w:pPr>
            <w:r w:rsidRPr="00EB73BF">
              <w:rPr>
                <w:u w:val="double"/>
              </w:rPr>
              <w:t xml:space="preserve">$2,570 </w:t>
            </w:r>
          </w:p>
        </w:tc>
      </w:tr>
      <w:tr w:rsidR="00AA58C9" w:rsidRPr="00EB73BF" w14:paraId="23C323FC" w14:textId="77777777" w:rsidTr="006827FF">
        <w:trPr>
          <w:trHeight w:val="264"/>
          <w:jc w:val="center"/>
        </w:trPr>
        <w:tc>
          <w:tcPr>
            <w:tcW w:w="3341" w:type="dxa"/>
            <w:tcBorders>
              <w:top w:val="nil"/>
              <w:left w:val="single" w:sz="4" w:space="0" w:color="auto"/>
              <w:bottom w:val="nil"/>
              <w:right w:val="nil"/>
            </w:tcBorders>
            <w:shd w:val="clear" w:color="auto" w:fill="auto"/>
            <w:noWrap/>
            <w:vAlign w:val="bottom"/>
            <w:hideMark/>
          </w:tcPr>
          <w:p w14:paraId="7652C2A5" w14:textId="77777777" w:rsidR="00AA58C9" w:rsidRPr="00EB73BF" w:rsidRDefault="00AA58C9" w:rsidP="00EB73BF">
            <w:pPr>
              <w:contextualSpacing/>
              <w:jc w:val="both"/>
            </w:pPr>
            <w:r w:rsidRPr="00EB73BF">
              <w:t> </w:t>
            </w:r>
          </w:p>
        </w:tc>
        <w:tc>
          <w:tcPr>
            <w:tcW w:w="1116" w:type="dxa"/>
            <w:tcBorders>
              <w:top w:val="nil"/>
              <w:left w:val="single" w:sz="4" w:space="0" w:color="auto"/>
              <w:bottom w:val="nil"/>
              <w:right w:val="single" w:sz="4" w:space="0" w:color="auto"/>
            </w:tcBorders>
            <w:shd w:val="clear" w:color="auto" w:fill="auto"/>
            <w:noWrap/>
            <w:vAlign w:val="bottom"/>
          </w:tcPr>
          <w:p w14:paraId="6002230F" w14:textId="77777777" w:rsidR="00AA58C9" w:rsidRPr="00EB73BF" w:rsidRDefault="00AA58C9" w:rsidP="00EB73BF">
            <w:pPr>
              <w:contextualSpacing/>
              <w:jc w:val="both"/>
              <w:rPr>
                <w:u w:val="double"/>
              </w:rPr>
            </w:pPr>
          </w:p>
        </w:tc>
        <w:tc>
          <w:tcPr>
            <w:tcW w:w="1616" w:type="dxa"/>
            <w:tcBorders>
              <w:top w:val="nil"/>
              <w:left w:val="nil"/>
              <w:bottom w:val="nil"/>
              <w:right w:val="single" w:sz="4" w:space="0" w:color="auto"/>
            </w:tcBorders>
            <w:shd w:val="clear" w:color="auto" w:fill="auto"/>
            <w:noWrap/>
            <w:vAlign w:val="bottom"/>
          </w:tcPr>
          <w:p w14:paraId="4D07DEAD" w14:textId="77777777" w:rsidR="00AA58C9" w:rsidRPr="00EB73BF" w:rsidRDefault="00AA58C9" w:rsidP="00EB73BF">
            <w:pPr>
              <w:contextualSpacing/>
              <w:jc w:val="both"/>
              <w:rPr>
                <w:u w:val="double"/>
              </w:rPr>
            </w:pPr>
          </w:p>
        </w:tc>
        <w:tc>
          <w:tcPr>
            <w:tcW w:w="1336" w:type="dxa"/>
            <w:tcBorders>
              <w:top w:val="nil"/>
              <w:left w:val="nil"/>
              <w:bottom w:val="nil"/>
              <w:right w:val="single" w:sz="4" w:space="0" w:color="auto"/>
            </w:tcBorders>
            <w:shd w:val="clear" w:color="auto" w:fill="auto"/>
            <w:noWrap/>
            <w:vAlign w:val="bottom"/>
          </w:tcPr>
          <w:p w14:paraId="41F65FB9" w14:textId="77777777" w:rsidR="00AA58C9" w:rsidRPr="00EB73BF" w:rsidRDefault="00AA58C9" w:rsidP="00EB73BF">
            <w:pPr>
              <w:contextualSpacing/>
              <w:jc w:val="both"/>
              <w:rPr>
                <w:u w:val="double"/>
              </w:rPr>
            </w:pPr>
          </w:p>
        </w:tc>
      </w:tr>
      <w:tr w:rsidR="00AA58C9" w:rsidRPr="00EB73BF" w14:paraId="5F9CCAB6" w14:textId="77777777" w:rsidTr="006827FF">
        <w:trPr>
          <w:trHeight w:val="264"/>
          <w:jc w:val="center"/>
        </w:trPr>
        <w:tc>
          <w:tcPr>
            <w:tcW w:w="3341" w:type="dxa"/>
            <w:tcBorders>
              <w:top w:val="nil"/>
              <w:left w:val="single" w:sz="4" w:space="0" w:color="auto"/>
              <w:bottom w:val="single" w:sz="4" w:space="0" w:color="auto"/>
              <w:right w:val="nil"/>
            </w:tcBorders>
            <w:shd w:val="clear" w:color="auto" w:fill="auto"/>
            <w:noWrap/>
            <w:vAlign w:val="bottom"/>
            <w:hideMark/>
          </w:tcPr>
          <w:p w14:paraId="104843FB" w14:textId="77777777" w:rsidR="00AA58C9" w:rsidRPr="00EB73BF" w:rsidRDefault="00AA58C9" w:rsidP="00EB73BF">
            <w:pPr>
              <w:contextualSpacing/>
              <w:jc w:val="both"/>
            </w:pPr>
            <w:r w:rsidRPr="00EB73BF">
              <w:t>*Per Rule 25-30.433(9), F.A.C.</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14:paraId="3F64A7F6" w14:textId="77777777" w:rsidR="00AA58C9" w:rsidRPr="00EB73BF" w:rsidRDefault="00AA58C9" w:rsidP="00EB73BF">
            <w:pPr>
              <w:contextualSpacing/>
              <w:jc w:val="both"/>
            </w:pPr>
            <w:r w:rsidRPr="00EB73BF">
              <w:t> </w:t>
            </w:r>
          </w:p>
        </w:tc>
        <w:tc>
          <w:tcPr>
            <w:tcW w:w="1616" w:type="dxa"/>
            <w:tcBorders>
              <w:top w:val="nil"/>
              <w:left w:val="nil"/>
              <w:bottom w:val="single" w:sz="4" w:space="0" w:color="auto"/>
              <w:right w:val="single" w:sz="4" w:space="0" w:color="auto"/>
            </w:tcBorders>
            <w:shd w:val="clear" w:color="auto" w:fill="auto"/>
            <w:noWrap/>
            <w:vAlign w:val="bottom"/>
            <w:hideMark/>
          </w:tcPr>
          <w:p w14:paraId="138C4F8D" w14:textId="77777777" w:rsidR="00AA58C9" w:rsidRPr="00EB73BF" w:rsidRDefault="00AA58C9" w:rsidP="00EB73BF">
            <w:pPr>
              <w:contextualSpacing/>
              <w:jc w:val="both"/>
            </w:pPr>
            <w:r w:rsidRPr="00EB73BF">
              <w:t> </w:t>
            </w:r>
          </w:p>
        </w:tc>
        <w:tc>
          <w:tcPr>
            <w:tcW w:w="1336" w:type="dxa"/>
            <w:tcBorders>
              <w:top w:val="nil"/>
              <w:left w:val="nil"/>
              <w:bottom w:val="single" w:sz="4" w:space="0" w:color="auto"/>
              <w:right w:val="single" w:sz="4" w:space="0" w:color="auto"/>
            </w:tcBorders>
            <w:shd w:val="clear" w:color="auto" w:fill="auto"/>
            <w:noWrap/>
            <w:vAlign w:val="bottom"/>
            <w:hideMark/>
          </w:tcPr>
          <w:p w14:paraId="08D49D22" w14:textId="77777777" w:rsidR="00AA58C9" w:rsidRPr="00EB73BF" w:rsidRDefault="00AA58C9" w:rsidP="00EB73BF">
            <w:pPr>
              <w:contextualSpacing/>
              <w:jc w:val="both"/>
            </w:pPr>
            <w:r w:rsidRPr="00EB73BF">
              <w:t> </w:t>
            </w:r>
          </w:p>
        </w:tc>
      </w:tr>
      <w:tr w:rsidR="00AA58C9" w:rsidRPr="00EB73BF" w14:paraId="5800B85E" w14:textId="77777777" w:rsidTr="006827FF">
        <w:trPr>
          <w:trHeight w:val="264"/>
          <w:jc w:val="center"/>
        </w:trPr>
        <w:tc>
          <w:tcPr>
            <w:tcW w:w="6073" w:type="dxa"/>
            <w:gridSpan w:val="3"/>
            <w:tcBorders>
              <w:top w:val="nil"/>
              <w:left w:val="nil"/>
              <w:bottom w:val="nil"/>
              <w:right w:val="nil"/>
            </w:tcBorders>
            <w:shd w:val="clear" w:color="auto" w:fill="auto"/>
            <w:noWrap/>
            <w:vAlign w:val="bottom"/>
            <w:hideMark/>
          </w:tcPr>
          <w:p w14:paraId="1D198C26" w14:textId="77777777" w:rsidR="00AA58C9" w:rsidRPr="00EB73BF" w:rsidRDefault="00AA58C9" w:rsidP="00F32C4B">
            <w:pPr>
              <w:contextualSpacing/>
              <w:jc w:val="center"/>
            </w:pPr>
            <w:r w:rsidRPr="00EB73BF">
              <w:t>Source: Audit Report, Utility filings, and staff calculations.</w:t>
            </w:r>
          </w:p>
        </w:tc>
        <w:tc>
          <w:tcPr>
            <w:tcW w:w="1336" w:type="dxa"/>
            <w:tcBorders>
              <w:top w:val="nil"/>
              <w:left w:val="nil"/>
              <w:bottom w:val="nil"/>
              <w:right w:val="nil"/>
            </w:tcBorders>
            <w:shd w:val="clear" w:color="auto" w:fill="auto"/>
            <w:noWrap/>
            <w:vAlign w:val="bottom"/>
            <w:hideMark/>
          </w:tcPr>
          <w:p w14:paraId="78225416" w14:textId="77777777" w:rsidR="00AA58C9" w:rsidRPr="00EB73BF" w:rsidRDefault="00AA58C9" w:rsidP="00EB73BF">
            <w:pPr>
              <w:contextualSpacing/>
              <w:jc w:val="both"/>
            </w:pPr>
          </w:p>
        </w:tc>
      </w:tr>
    </w:tbl>
    <w:p w14:paraId="2EADC90A" w14:textId="77777777" w:rsidR="00AA58C9" w:rsidRPr="00EB73BF" w:rsidRDefault="00AA58C9" w:rsidP="00EB73BF">
      <w:pPr>
        <w:contextualSpacing/>
        <w:jc w:val="both"/>
        <w:rPr>
          <w:b/>
        </w:rPr>
      </w:pPr>
    </w:p>
    <w:p w14:paraId="5C0644C5" w14:textId="77777777" w:rsidR="005954B3" w:rsidRDefault="00AA58C9" w:rsidP="00EB73BF">
      <w:pPr>
        <w:contextualSpacing/>
        <w:jc w:val="both"/>
      </w:pPr>
      <w:r w:rsidRPr="00EB73BF">
        <w:tab/>
        <w:t xml:space="preserve">Based on the information above, </w:t>
      </w:r>
      <w:r w:rsidR="00BC09C8" w:rsidRPr="00EB73BF">
        <w:t>we hereby approve</w:t>
      </w:r>
      <w:r w:rsidRPr="00EB73BF">
        <w:t xml:space="preserve"> an increase of $1,420 ($46 + $88 - $1,284 + $2,570) to miscellaneous expense. As such, </w:t>
      </w:r>
      <w:r w:rsidR="00BC09C8" w:rsidRPr="00EB73BF">
        <w:t>we hereby approve a</w:t>
      </w:r>
      <w:r w:rsidRPr="00EB73BF">
        <w:t xml:space="preserve"> miscellaneous expense of $5,015 ($3,595 + $1,420).</w:t>
      </w:r>
    </w:p>
    <w:p w14:paraId="778925FC" w14:textId="77777777" w:rsidR="00EB73BF" w:rsidRPr="00EB73BF" w:rsidRDefault="00EB73BF" w:rsidP="00EB73BF">
      <w:pPr>
        <w:contextualSpacing/>
        <w:jc w:val="both"/>
      </w:pPr>
    </w:p>
    <w:p w14:paraId="63832E61" w14:textId="77777777" w:rsidR="00AA58C9" w:rsidRPr="00EB73BF" w:rsidRDefault="00BC09C8" w:rsidP="00EB73BF">
      <w:pPr>
        <w:keepNext/>
        <w:contextualSpacing/>
        <w:jc w:val="both"/>
        <w:outlineLvl w:val="2"/>
        <w:rPr>
          <w:bCs/>
          <w:i/>
          <w:iCs/>
        </w:rPr>
      </w:pPr>
      <w:r w:rsidRPr="00EB73BF">
        <w:rPr>
          <w:bCs/>
          <w:i/>
          <w:iCs/>
        </w:rPr>
        <w:t xml:space="preserve">B. </w:t>
      </w:r>
      <w:r w:rsidR="00AA58C9" w:rsidRPr="00EB73BF">
        <w:rPr>
          <w:bCs/>
          <w:i/>
          <w:iCs/>
        </w:rPr>
        <w:t>Operation &amp; Maintenance Expense Summary</w:t>
      </w:r>
    </w:p>
    <w:p w14:paraId="3A972691" w14:textId="77777777" w:rsidR="00AA58C9" w:rsidRPr="00EB73BF" w:rsidRDefault="00AA58C9" w:rsidP="00EB73BF">
      <w:pPr>
        <w:contextualSpacing/>
        <w:jc w:val="both"/>
        <w:outlineLvl w:val="2"/>
        <w:rPr>
          <w:b/>
          <w:bCs/>
          <w:iCs/>
        </w:rPr>
      </w:pPr>
    </w:p>
    <w:p w14:paraId="53AF4EA8" w14:textId="77777777" w:rsidR="00AA58C9" w:rsidRDefault="00AA58C9" w:rsidP="00EB73BF">
      <w:pPr>
        <w:contextualSpacing/>
        <w:jc w:val="both"/>
      </w:pPr>
      <w:r w:rsidRPr="00EB73BF">
        <w:tab/>
        <w:t xml:space="preserve">Based on the above adjustments, </w:t>
      </w:r>
      <w:r w:rsidR="00D6213E" w:rsidRPr="00EB73BF">
        <w:t>we find</w:t>
      </w:r>
      <w:r w:rsidRPr="00EB73BF">
        <w:t xml:space="preserve"> that O&amp;M expense </w:t>
      </w:r>
      <w:r w:rsidR="00D6213E" w:rsidRPr="00EB73BF">
        <w:t xml:space="preserve">shall </w:t>
      </w:r>
      <w:r w:rsidRPr="00EB73BF">
        <w:t xml:space="preserve">be increased by $2,840, resulting in total O&amp;M expense of $73,241. </w:t>
      </w:r>
      <w:r w:rsidR="00D6213E" w:rsidRPr="00EB73BF">
        <w:t>Our</w:t>
      </w:r>
      <w:r w:rsidRPr="00EB73BF">
        <w:t xml:space="preserve"> adjustments to O&amp;M expense are shown on Schedule No. 3-C.</w:t>
      </w:r>
    </w:p>
    <w:p w14:paraId="076975E6" w14:textId="77777777" w:rsidR="00EB73BF" w:rsidRPr="00EB73BF" w:rsidRDefault="00EB73BF" w:rsidP="00EB73BF">
      <w:pPr>
        <w:contextualSpacing/>
        <w:jc w:val="both"/>
      </w:pPr>
    </w:p>
    <w:p w14:paraId="73DCBD7C" w14:textId="77777777" w:rsidR="00AA58C9" w:rsidRPr="00EB73BF" w:rsidRDefault="00AA58C9" w:rsidP="00EB73BF">
      <w:pPr>
        <w:pStyle w:val="ListParagraph"/>
        <w:numPr>
          <w:ilvl w:val="0"/>
          <w:numId w:val="18"/>
        </w:numPr>
        <w:jc w:val="both"/>
        <w:outlineLvl w:val="2"/>
        <w:rPr>
          <w:bCs/>
          <w:i/>
          <w:iCs/>
        </w:rPr>
      </w:pPr>
      <w:r w:rsidRPr="00EB73BF">
        <w:rPr>
          <w:bCs/>
          <w:i/>
          <w:iCs/>
        </w:rPr>
        <w:t>Depreciation Expense (Net of Amortization of CIAC)</w:t>
      </w:r>
    </w:p>
    <w:p w14:paraId="765E4271" w14:textId="77777777" w:rsidR="00AA58C9" w:rsidRPr="00EB73BF" w:rsidRDefault="00AA58C9" w:rsidP="00EB73BF">
      <w:pPr>
        <w:contextualSpacing/>
        <w:jc w:val="both"/>
        <w:outlineLvl w:val="2"/>
        <w:rPr>
          <w:b/>
          <w:bCs/>
          <w:iCs/>
        </w:rPr>
      </w:pPr>
    </w:p>
    <w:p w14:paraId="1927E7C2" w14:textId="77777777" w:rsidR="00AA58C9" w:rsidRDefault="00AA58C9" w:rsidP="00EB73BF">
      <w:pPr>
        <w:contextualSpacing/>
        <w:jc w:val="both"/>
      </w:pPr>
      <w:r w:rsidRPr="00EB73BF">
        <w:tab/>
        <w:t xml:space="preserve">Merritt Island recorded depreciation expense of $6,274 during the test year. </w:t>
      </w:r>
      <w:r w:rsidR="00D6213E" w:rsidRPr="00EB73BF">
        <w:t xml:space="preserve">We </w:t>
      </w:r>
      <w:r w:rsidRPr="00EB73BF">
        <w:t xml:space="preserve">calculated depreciation expense using the prescribed rates set forth in Rule 25-30.140, F.A.C., and determined test year depreciation expense to be $7,000, resulting in an increase to this account of $722. </w:t>
      </w:r>
      <w:r w:rsidR="00D6213E" w:rsidRPr="00EB73BF">
        <w:t>We</w:t>
      </w:r>
      <w:r w:rsidRPr="00EB73BF">
        <w:t xml:space="preserve"> also increased this account by $182 to reflect the incremental increase in depreciation expense for the pro forma plant item previously discussed in </w:t>
      </w:r>
      <w:r w:rsidR="00D6213E" w:rsidRPr="00EB73BF">
        <w:t>Section</w:t>
      </w:r>
      <w:r w:rsidRPr="00EB73BF">
        <w:t xml:space="preserve"> 4. </w:t>
      </w:r>
      <w:r w:rsidR="00D6213E" w:rsidRPr="00EB73BF">
        <w:t>Our</w:t>
      </w:r>
      <w:r w:rsidRPr="00EB73BF">
        <w:t xml:space="preserve"> total adjustment to depreciation expense is an increase of $904 ($722 + $182). In addition, </w:t>
      </w:r>
      <w:r w:rsidR="00C84829" w:rsidRPr="00EB73BF">
        <w:t xml:space="preserve">we note </w:t>
      </w:r>
      <w:r w:rsidRPr="00EB73BF">
        <w:t>that CIAC is fully amortized</w:t>
      </w:r>
      <w:r w:rsidR="00C84829" w:rsidRPr="00EB73BF">
        <w:t>,</w:t>
      </w:r>
      <w:r w:rsidRPr="00EB73BF">
        <w:t xml:space="preserve"> and there is no am</w:t>
      </w:r>
      <w:r w:rsidR="00C84829" w:rsidRPr="00EB73BF">
        <w:t>ortization of CIAC. Therefore, we hereby approve a</w:t>
      </w:r>
      <w:r w:rsidRPr="00EB73BF">
        <w:t xml:space="preserve"> depreciation expense of $7,178 ($6,274 + $904).</w:t>
      </w:r>
    </w:p>
    <w:p w14:paraId="2AF2B6F3" w14:textId="77777777" w:rsidR="00EB73BF" w:rsidRPr="00EB73BF" w:rsidRDefault="00EB73BF" w:rsidP="00EB73BF">
      <w:pPr>
        <w:contextualSpacing/>
        <w:jc w:val="both"/>
      </w:pPr>
    </w:p>
    <w:p w14:paraId="3C6147F8" w14:textId="77777777" w:rsidR="00AA58C9" w:rsidRPr="00EB73BF" w:rsidRDefault="00AA58C9" w:rsidP="00EB73BF">
      <w:pPr>
        <w:pStyle w:val="ListParagraph"/>
        <w:numPr>
          <w:ilvl w:val="0"/>
          <w:numId w:val="18"/>
        </w:numPr>
        <w:jc w:val="both"/>
        <w:outlineLvl w:val="2"/>
        <w:rPr>
          <w:bCs/>
          <w:i/>
          <w:iCs/>
        </w:rPr>
      </w:pPr>
      <w:r w:rsidRPr="00EB73BF">
        <w:rPr>
          <w:bCs/>
          <w:i/>
          <w:iCs/>
        </w:rPr>
        <w:t>Amortization Expense – Other</w:t>
      </w:r>
    </w:p>
    <w:p w14:paraId="7B12B7B4" w14:textId="77777777" w:rsidR="00AA58C9" w:rsidRPr="00EB73BF" w:rsidRDefault="00AA58C9" w:rsidP="00EB73BF">
      <w:pPr>
        <w:contextualSpacing/>
        <w:jc w:val="both"/>
        <w:outlineLvl w:val="2"/>
        <w:rPr>
          <w:b/>
          <w:bCs/>
          <w:iCs/>
        </w:rPr>
      </w:pPr>
    </w:p>
    <w:p w14:paraId="181E6097" w14:textId="77777777" w:rsidR="00AA58C9" w:rsidRDefault="00AA58C9" w:rsidP="00EB73BF">
      <w:pPr>
        <w:contextualSpacing/>
        <w:jc w:val="both"/>
      </w:pPr>
      <w:r w:rsidRPr="00EB73BF">
        <w:tab/>
        <w:t xml:space="preserve">The Utility recorded test year amortization expense – other of $1,064 which included expenses for engineering services related to service territory maps and DEP-required pond cleaning during the test year. </w:t>
      </w:r>
      <w:r w:rsidR="00C84829" w:rsidRPr="00EB73BF">
        <w:t>We find</w:t>
      </w:r>
      <w:r w:rsidRPr="00EB73BF">
        <w:t xml:space="preserve"> that both items sh</w:t>
      </w:r>
      <w:r w:rsidR="00C84829" w:rsidRPr="00EB73BF">
        <w:t xml:space="preserve">all </w:t>
      </w:r>
      <w:r w:rsidRPr="00EB73BF">
        <w:t xml:space="preserve">be included in the Utility’s O&amp;M expense based on </w:t>
      </w:r>
      <w:r w:rsidR="00C84829" w:rsidRPr="00EB73BF">
        <w:t>prior</w:t>
      </w:r>
      <w:r w:rsidRPr="00EB73BF">
        <w:t xml:space="preserve"> practice. The engineering expense sh</w:t>
      </w:r>
      <w:r w:rsidR="00702950">
        <w:t>all</w:t>
      </w:r>
      <w:r w:rsidRPr="00EB73BF">
        <w:t xml:space="preserve"> be reclassified to contractual services – engineering (Account No. 731) and the pond clearing reclassified to miscellaneous expense (Account No. 775). Both expenses sh</w:t>
      </w:r>
      <w:r w:rsidR="00702950">
        <w:t>all</w:t>
      </w:r>
      <w:r w:rsidRPr="00EB73BF">
        <w:t xml:space="preserve"> be amortized over a five-year period. These adjustments were discussed in O&amp;M expenses elsewhere in this </w:t>
      </w:r>
      <w:r w:rsidR="00C84829" w:rsidRPr="00EB73BF">
        <w:t xml:space="preserve">Section. As such, we </w:t>
      </w:r>
      <w:r w:rsidRPr="00EB73BF">
        <w:t xml:space="preserve">decreased this account by $1,089. </w:t>
      </w:r>
    </w:p>
    <w:p w14:paraId="606C3F6B" w14:textId="77777777" w:rsidR="00EB73BF" w:rsidRPr="00EB73BF" w:rsidRDefault="00EB73BF" w:rsidP="00EB73BF">
      <w:pPr>
        <w:contextualSpacing/>
        <w:jc w:val="both"/>
      </w:pPr>
    </w:p>
    <w:p w14:paraId="33C9DF69" w14:textId="77777777" w:rsidR="00AA58C9" w:rsidRDefault="00AA58C9" w:rsidP="00EB73BF">
      <w:pPr>
        <w:contextualSpacing/>
        <w:jc w:val="both"/>
      </w:pPr>
      <w:r w:rsidRPr="00EB73BF">
        <w:tab/>
        <w:t xml:space="preserve">The Utility recorded amortization of an acquisition adjustment of negative $25. In Docket No. 20170018-SU, </w:t>
      </w:r>
      <w:r w:rsidR="00C84829" w:rsidRPr="00EB73BF">
        <w:t>we</w:t>
      </w:r>
      <w:r w:rsidRPr="00EB73BF">
        <w:t xml:space="preserve"> determined that a negative acquisition adjustment of $175 shall be recognized for ratemaking purposes.</w:t>
      </w:r>
      <w:r w:rsidRPr="00EB73BF">
        <w:rPr>
          <w:vertAlign w:val="superscript"/>
        </w:rPr>
        <w:footnoteReference w:id="31"/>
      </w:r>
      <w:r w:rsidR="00C84829" w:rsidRPr="00EB73BF">
        <w:t xml:space="preserve"> Based on our</w:t>
      </w:r>
      <w:r w:rsidRPr="00EB73BF">
        <w:t xml:space="preserve"> decision in that docket, the negative acquisition adjustment shall be amortized over a seven-year period from the date of issuance of </w:t>
      </w:r>
      <w:r w:rsidR="00C84829" w:rsidRPr="00EB73BF">
        <w:t xml:space="preserve">an </w:t>
      </w:r>
      <w:r w:rsidRPr="00EB73BF">
        <w:t>order approving the transfer of assets. As such, the annual amortization of the negative acquisition adjustment is correctly reflected as negative $25 ($1,064 - $1,089).</w:t>
      </w:r>
    </w:p>
    <w:p w14:paraId="628C9C6E" w14:textId="77777777" w:rsidR="00EB73BF" w:rsidRPr="00EB73BF" w:rsidRDefault="00EB73BF" w:rsidP="00EB73BF">
      <w:pPr>
        <w:contextualSpacing/>
        <w:jc w:val="both"/>
      </w:pPr>
    </w:p>
    <w:p w14:paraId="475A0745" w14:textId="77777777" w:rsidR="00AA58C9" w:rsidRPr="00EB73BF" w:rsidRDefault="00AA58C9" w:rsidP="00EB73BF">
      <w:pPr>
        <w:pStyle w:val="ListParagraph"/>
        <w:numPr>
          <w:ilvl w:val="0"/>
          <w:numId w:val="18"/>
        </w:numPr>
        <w:jc w:val="both"/>
        <w:outlineLvl w:val="2"/>
        <w:rPr>
          <w:bCs/>
          <w:i/>
          <w:iCs/>
        </w:rPr>
      </w:pPr>
      <w:r w:rsidRPr="00EB73BF">
        <w:rPr>
          <w:bCs/>
          <w:i/>
          <w:iCs/>
        </w:rPr>
        <w:t>Taxes Other Than Income (TOTI)</w:t>
      </w:r>
    </w:p>
    <w:p w14:paraId="63D5BDB4" w14:textId="77777777" w:rsidR="00AA58C9" w:rsidRPr="00EB73BF" w:rsidRDefault="00AA58C9" w:rsidP="00EB73BF">
      <w:pPr>
        <w:contextualSpacing/>
        <w:jc w:val="both"/>
        <w:outlineLvl w:val="2"/>
        <w:rPr>
          <w:b/>
          <w:bCs/>
          <w:iCs/>
        </w:rPr>
      </w:pPr>
    </w:p>
    <w:p w14:paraId="19DB81DA" w14:textId="77777777" w:rsidR="00AA58C9" w:rsidRDefault="00AA58C9" w:rsidP="00EB73BF">
      <w:pPr>
        <w:contextualSpacing/>
        <w:jc w:val="both"/>
      </w:pPr>
      <w:r w:rsidRPr="00EB73BF">
        <w:tab/>
        <w:t xml:space="preserve">Merritt Island recorded a TOTI balance of $2,997 during the test year. </w:t>
      </w:r>
      <w:r w:rsidR="00702950">
        <w:t>We</w:t>
      </w:r>
      <w:r w:rsidRPr="00EB73BF">
        <w:t xml:space="preserve"> decreased the Regulatory Assessment Fees (RAFs) by $106 to reflect the adjusted test year revenues. </w:t>
      </w:r>
      <w:r w:rsidR="00702950">
        <w:t>We</w:t>
      </w:r>
      <w:r w:rsidRPr="00EB73BF">
        <w:t xml:space="preserve"> increased this account by $75 to reflect the incremental increase in property taxes associated with the pro forma project discussed in Issue 4. The Utility also requested consideration of pro forma taxes of $2,652.</w:t>
      </w:r>
      <w:r w:rsidRPr="00EB73BF">
        <w:rPr>
          <w:vertAlign w:val="superscript"/>
        </w:rPr>
        <w:footnoteReference w:id="32"/>
      </w:r>
      <w:r w:rsidRPr="00EB73BF">
        <w:t xml:space="preserve"> Prior to this year, Merritt Island had no property taxes due. </w:t>
      </w:r>
      <w:r w:rsidR="00702950">
        <w:t>We</w:t>
      </w:r>
      <w:r w:rsidRPr="00EB73BF">
        <w:t xml:space="preserve"> increased tax expense by $2,546 to reflect the appropriate amount of property tax going forward, based on the on the Utility’s current Brevard County tax notice less a four percent discount for early payment.</w:t>
      </w:r>
      <w:r w:rsidRPr="00EB73BF">
        <w:rPr>
          <w:vertAlign w:val="superscript"/>
        </w:rPr>
        <w:footnoteReference w:id="33"/>
      </w:r>
      <w:r w:rsidRPr="00EB73BF">
        <w:t xml:space="preserve"> This results in a net increase of $2,515 (-$106 + $75 + $2,546).</w:t>
      </w:r>
    </w:p>
    <w:p w14:paraId="15114B69" w14:textId="77777777" w:rsidR="00EB73BF" w:rsidRPr="00EB73BF" w:rsidRDefault="00EB73BF" w:rsidP="00EB73BF">
      <w:pPr>
        <w:contextualSpacing/>
        <w:jc w:val="both"/>
      </w:pPr>
    </w:p>
    <w:p w14:paraId="5386ABFF" w14:textId="77777777" w:rsidR="00AA58C9" w:rsidRDefault="00AA58C9" w:rsidP="00EB73BF">
      <w:pPr>
        <w:contextualSpacing/>
        <w:jc w:val="both"/>
      </w:pPr>
      <w:r w:rsidRPr="00EB73BF">
        <w:tab/>
        <w:t>In addition, as discussed in</w:t>
      </w:r>
      <w:r w:rsidR="00702950">
        <w:t xml:space="preserve"> Section</w:t>
      </w:r>
      <w:r w:rsidRPr="00EB73BF">
        <w:t xml:space="preserve"> 8, revenues have been increased by $33,567 to reflect the change in revenue required to cover expenses and allow the recommended operating margin. As a result, TOTI s</w:t>
      </w:r>
      <w:r w:rsidR="00702950">
        <w:t>hall</w:t>
      </w:r>
      <w:r w:rsidRPr="00EB73BF">
        <w:t xml:space="preserve"> be increased by $1,511 to reflect RAFs of 4.5 percent on the change in revenues. Therefore, </w:t>
      </w:r>
      <w:r w:rsidR="00862C20" w:rsidRPr="00EB73BF">
        <w:t xml:space="preserve">we find that TOTI shall be </w:t>
      </w:r>
      <w:r w:rsidRPr="00EB73BF">
        <w:t>$7,023.</w:t>
      </w:r>
    </w:p>
    <w:p w14:paraId="70813FF5" w14:textId="77777777" w:rsidR="00702950" w:rsidRPr="00EB73BF" w:rsidRDefault="00702950" w:rsidP="00EB73BF">
      <w:pPr>
        <w:contextualSpacing/>
        <w:jc w:val="both"/>
      </w:pPr>
    </w:p>
    <w:p w14:paraId="297F908B" w14:textId="77777777" w:rsidR="00AA58C9" w:rsidRPr="00EB73BF" w:rsidRDefault="00AA58C9" w:rsidP="00EB73BF">
      <w:pPr>
        <w:pStyle w:val="ListParagraph"/>
        <w:numPr>
          <w:ilvl w:val="0"/>
          <w:numId w:val="18"/>
        </w:numPr>
        <w:autoSpaceDE w:val="0"/>
        <w:autoSpaceDN w:val="0"/>
        <w:adjustRightInd w:val="0"/>
        <w:jc w:val="both"/>
        <w:rPr>
          <w:bCs/>
          <w:i/>
        </w:rPr>
      </w:pPr>
      <w:r w:rsidRPr="00EB73BF">
        <w:rPr>
          <w:bCs/>
          <w:i/>
        </w:rPr>
        <w:t>Income Tax</w:t>
      </w:r>
    </w:p>
    <w:p w14:paraId="1DD8E5C3" w14:textId="77777777" w:rsidR="00AA58C9" w:rsidRPr="00EB73BF" w:rsidRDefault="00AA58C9" w:rsidP="00EB73BF">
      <w:pPr>
        <w:autoSpaceDE w:val="0"/>
        <w:autoSpaceDN w:val="0"/>
        <w:adjustRightInd w:val="0"/>
        <w:contextualSpacing/>
        <w:jc w:val="both"/>
        <w:rPr>
          <w:b/>
          <w:bCs/>
        </w:rPr>
      </w:pPr>
    </w:p>
    <w:p w14:paraId="24F32556" w14:textId="77777777" w:rsidR="00AA58C9" w:rsidRDefault="00AA58C9" w:rsidP="00EB73BF">
      <w:pPr>
        <w:contextualSpacing/>
        <w:jc w:val="both"/>
      </w:pPr>
      <w:r w:rsidRPr="00EB73BF">
        <w:tab/>
        <w:t xml:space="preserve">The Utility is a Subchapter S Corporation and therefore did not record any income tax expense for the test year. </w:t>
      </w:r>
      <w:r w:rsidR="00862C20" w:rsidRPr="00EB73BF">
        <w:t xml:space="preserve">We made </w:t>
      </w:r>
      <w:r w:rsidRPr="00EB73BF">
        <w:t>no adjustment to income tax expense.</w:t>
      </w:r>
    </w:p>
    <w:p w14:paraId="1EEC1043" w14:textId="77777777" w:rsidR="00EB73BF" w:rsidRPr="00EB73BF" w:rsidRDefault="00EB73BF" w:rsidP="00EB73BF">
      <w:pPr>
        <w:contextualSpacing/>
        <w:jc w:val="both"/>
      </w:pPr>
    </w:p>
    <w:p w14:paraId="6138A0C5" w14:textId="77777777" w:rsidR="00AA58C9" w:rsidRPr="00EB73BF" w:rsidRDefault="00AA58C9" w:rsidP="00EB73BF">
      <w:pPr>
        <w:pStyle w:val="ListParagraph"/>
        <w:numPr>
          <w:ilvl w:val="0"/>
          <w:numId w:val="18"/>
        </w:numPr>
        <w:jc w:val="both"/>
        <w:outlineLvl w:val="2"/>
        <w:rPr>
          <w:bCs/>
          <w:i/>
          <w:iCs/>
        </w:rPr>
      </w:pPr>
      <w:r w:rsidRPr="00EB73BF">
        <w:rPr>
          <w:bCs/>
          <w:i/>
          <w:iCs/>
        </w:rPr>
        <w:t>Operating Expenses Summary</w:t>
      </w:r>
    </w:p>
    <w:p w14:paraId="547C9BE1" w14:textId="77777777" w:rsidR="00AA58C9" w:rsidRPr="00EB73BF" w:rsidRDefault="00AA58C9" w:rsidP="00EB73BF">
      <w:pPr>
        <w:contextualSpacing/>
        <w:jc w:val="both"/>
        <w:outlineLvl w:val="2"/>
        <w:rPr>
          <w:b/>
          <w:bCs/>
          <w:iCs/>
        </w:rPr>
      </w:pPr>
    </w:p>
    <w:p w14:paraId="4B74D94F" w14:textId="77777777" w:rsidR="00BC09C8" w:rsidRDefault="00AA58C9" w:rsidP="00EB73BF">
      <w:pPr>
        <w:contextualSpacing/>
        <w:jc w:val="both"/>
      </w:pPr>
      <w:r w:rsidRPr="00EB73BF">
        <w:tab/>
        <w:t>The application of</w:t>
      </w:r>
      <w:r w:rsidR="00862C20" w:rsidRPr="00EB73BF">
        <w:t xml:space="preserve"> our </w:t>
      </w:r>
      <w:r w:rsidRPr="00EB73BF">
        <w:t>adjustments to Merritt Island’s test year operating expenses results in operating expenses of $87,417. Operating expenses are shown on Schedule No. 3-A. The related adjustments are shown on Schedule No. 3-B</w:t>
      </w:r>
      <w:r w:rsidR="00BC09C8" w:rsidRPr="00EB73BF">
        <w:t>.</w:t>
      </w:r>
    </w:p>
    <w:p w14:paraId="5CC18BFB" w14:textId="77777777" w:rsidR="00B82C80" w:rsidRPr="00EB73BF" w:rsidRDefault="00B82C80" w:rsidP="00EB73BF">
      <w:pPr>
        <w:contextualSpacing/>
        <w:jc w:val="both"/>
      </w:pPr>
    </w:p>
    <w:p w14:paraId="082405B0" w14:textId="77777777" w:rsidR="00114F0A" w:rsidRPr="00EB73BF" w:rsidRDefault="00114F0A" w:rsidP="00EB73BF">
      <w:pPr>
        <w:contextualSpacing/>
        <w:jc w:val="both"/>
      </w:pPr>
    </w:p>
    <w:p w14:paraId="68FADAD2" w14:textId="77777777" w:rsidR="00BC09C8" w:rsidRPr="00EB73BF" w:rsidRDefault="00BC09C8" w:rsidP="00EB73BF">
      <w:pPr>
        <w:contextualSpacing/>
        <w:jc w:val="both"/>
        <w:outlineLvl w:val="0"/>
        <w:rPr>
          <w:u w:val="single"/>
        </w:rPr>
      </w:pPr>
      <w:r w:rsidRPr="00EB73BF">
        <w:rPr>
          <w:u w:val="single"/>
        </w:rPr>
        <w:t>8. Revenue Requirement</w:t>
      </w:r>
    </w:p>
    <w:p w14:paraId="7AA998BB" w14:textId="77777777" w:rsidR="00BC09C8" w:rsidRPr="00EB73BF" w:rsidRDefault="00BC09C8" w:rsidP="00EB73BF">
      <w:pPr>
        <w:contextualSpacing/>
        <w:jc w:val="both"/>
        <w:outlineLvl w:val="0"/>
        <w:rPr>
          <w:u w:val="single"/>
        </w:rPr>
      </w:pPr>
    </w:p>
    <w:p w14:paraId="57553418" w14:textId="77777777" w:rsidR="006827FF" w:rsidRPr="00EB73BF" w:rsidRDefault="006827FF" w:rsidP="00EB73BF">
      <w:pPr>
        <w:ind w:firstLine="720"/>
        <w:contextualSpacing/>
        <w:jc w:val="both"/>
        <w:outlineLvl w:val="0"/>
      </w:pPr>
      <w:r w:rsidRPr="00EB73BF">
        <w:t>Merritt Island s</w:t>
      </w:r>
      <w:r w:rsidR="00862C20" w:rsidRPr="00EB73BF">
        <w:t>hall</w:t>
      </w:r>
      <w:r w:rsidRPr="00EB73BF">
        <w:t xml:space="preserve"> be allowed an annual increase of $33,567 (51.12 percent). This should allow the Utility the opportunity to recover its expenses and earn an 7.85 percent return on its investment. The calculations are shown in Table </w:t>
      </w:r>
      <w:r w:rsidR="00862C20" w:rsidRPr="00EB73BF">
        <w:t>4</w:t>
      </w:r>
      <w:r w:rsidRPr="00EB73BF">
        <w:t>:</w:t>
      </w:r>
    </w:p>
    <w:p w14:paraId="7ABC67CA" w14:textId="77777777" w:rsidR="005954B3" w:rsidRPr="00EB73BF" w:rsidRDefault="005954B3" w:rsidP="00EB73BF">
      <w:pPr>
        <w:contextualSpacing/>
        <w:jc w:val="both"/>
        <w:rPr>
          <w:b/>
        </w:rPr>
      </w:pPr>
    </w:p>
    <w:p w14:paraId="28E69FE1" w14:textId="77777777" w:rsidR="00357426" w:rsidRPr="00357426" w:rsidRDefault="00357426" w:rsidP="00357426">
      <w:pPr>
        <w:pStyle w:val="BodyText"/>
        <w:spacing w:after="0"/>
        <w:jc w:val="center"/>
        <w:rPr>
          <w:b/>
        </w:rPr>
      </w:pPr>
      <w:r w:rsidRPr="00357426">
        <w:rPr>
          <w:b/>
        </w:rPr>
        <w:t>Table 4</w:t>
      </w:r>
    </w:p>
    <w:p w14:paraId="32903901" w14:textId="77777777" w:rsidR="00357426" w:rsidRPr="00357426" w:rsidRDefault="00357426" w:rsidP="00357426">
      <w:pPr>
        <w:jc w:val="center"/>
        <w:rPr>
          <w:b/>
        </w:rPr>
      </w:pPr>
      <w:r w:rsidRPr="00357426">
        <w:rPr>
          <w:b/>
        </w:rPr>
        <w:t>Revenue Requirement</w:t>
      </w:r>
    </w:p>
    <w:tbl>
      <w:tblPr>
        <w:tblW w:w="0" w:type="auto"/>
        <w:jc w:val="center"/>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3681"/>
        <w:gridCol w:w="260"/>
        <w:gridCol w:w="1762"/>
      </w:tblGrid>
      <w:tr w:rsidR="00357426" w:rsidRPr="00BA61D8" w14:paraId="2F7B4FBD" w14:textId="77777777" w:rsidTr="00EB077E">
        <w:trPr>
          <w:cantSplit/>
          <w:jc w:val="center"/>
        </w:trPr>
        <w:tc>
          <w:tcPr>
            <w:tcW w:w="3681" w:type="dxa"/>
          </w:tcPr>
          <w:p w14:paraId="61E7B307" w14:textId="77777777" w:rsidR="00357426" w:rsidRPr="00BA61D8" w:rsidRDefault="00357426" w:rsidP="00EB077E">
            <w:pPr>
              <w:spacing w:before="116" w:after="44"/>
            </w:pPr>
            <w:r w:rsidRPr="00BA61D8">
              <w:t xml:space="preserve">Adjusted Rate Base </w:t>
            </w:r>
          </w:p>
        </w:tc>
        <w:tc>
          <w:tcPr>
            <w:tcW w:w="260" w:type="dxa"/>
          </w:tcPr>
          <w:p w14:paraId="10CC0151" w14:textId="77777777" w:rsidR="00357426" w:rsidRPr="00BA61D8" w:rsidRDefault="00357426" w:rsidP="00EB077E">
            <w:pPr>
              <w:spacing w:before="116" w:after="44"/>
              <w:jc w:val="center"/>
            </w:pPr>
          </w:p>
        </w:tc>
        <w:tc>
          <w:tcPr>
            <w:tcW w:w="1762" w:type="dxa"/>
          </w:tcPr>
          <w:p w14:paraId="7D5B37DF" w14:textId="77777777" w:rsidR="00357426" w:rsidRPr="00BA61D8" w:rsidRDefault="00357426" w:rsidP="00EB077E">
            <w:pPr>
              <w:spacing w:before="116" w:after="44"/>
              <w:jc w:val="right"/>
            </w:pPr>
            <w:r w:rsidRPr="00BA61D8">
              <w:t>$1</w:t>
            </w:r>
            <w:r>
              <w:t>50,423</w:t>
            </w:r>
          </w:p>
        </w:tc>
      </w:tr>
      <w:tr w:rsidR="00357426" w:rsidRPr="00BA61D8" w14:paraId="5362D01A" w14:textId="77777777" w:rsidTr="00EB077E">
        <w:trPr>
          <w:cantSplit/>
          <w:jc w:val="center"/>
        </w:trPr>
        <w:tc>
          <w:tcPr>
            <w:tcW w:w="3681" w:type="dxa"/>
          </w:tcPr>
          <w:p w14:paraId="28AEC487" w14:textId="77777777" w:rsidR="00357426" w:rsidRPr="00BA61D8" w:rsidRDefault="00357426" w:rsidP="00EB077E">
            <w:pPr>
              <w:spacing w:before="116" w:after="44"/>
            </w:pPr>
            <w:r w:rsidRPr="00BA61D8">
              <w:t>Rate of Return (%)</w:t>
            </w:r>
          </w:p>
        </w:tc>
        <w:tc>
          <w:tcPr>
            <w:tcW w:w="260" w:type="dxa"/>
          </w:tcPr>
          <w:p w14:paraId="53B631BA" w14:textId="77777777" w:rsidR="00357426" w:rsidRPr="00BA61D8" w:rsidRDefault="00357426" w:rsidP="00EB077E">
            <w:pPr>
              <w:spacing w:before="116" w:after="44"/>
              <w:jc w:val="center"/>
            </w:pPr>
          </w:p>
        </w:tc>
        <w:tc>
          <w:tcPr>
            <w:tcW w:w="1762" w:type="dxa"/>
          </w:tcPr>
          <w:p w14:paraId="0F9E9FBD" w14:textId="77777777" w:rsidR="00357426" w:rsidRPr="00FE4BB2" w:rsidRDefault="00357426" w:rsidP="00EB077E">
            <w:pPr>
              <w:spacing w:before="116" w:after="44"/>
              <w:jc w:val="right"/>
              <w:rPr>
                <w:u w:val="single"/>
              </w:rPr>
            </w:pPr>
            <w:r w:rsidRPr="00FE4BB2">
              <w:rPr>
                <w:u w:val="single"/>
              </w:rPr>
              <w:t>x 7.85%</w:t>
            </w:r>
          </w:p>
        </w:tc>
      </w:tr>
      <w:tr w:rsidR="00357426" w:rsidRPr="00BA61D8" w14:paraId="5935D696" w14:textId="77777777" w:rsidTr="00EB077E">
        <w:trPr>
          <w:cantSplit/>
          <w:jc w:val="center"/>
        </w:trPr>
        <w:tc>
          <w:tcPr>
            <w:tcW w:w="3681" w:type="dxa"/>
          </w:tcPr>
          <w:p w14:paraId="10D6695D" w14:textId="77777777" w:rsidR="00357426" w:rsidRPr="00BA61D8" w:rsidRDefault="00357426" w:rsidP="00EB077E">
            <w:pPr>
              <w:spacing w:before="116" w:after="44"/>
            </w:pPr>
            <w:r w:rsidRPr="00BA61D8">
              <w:t>Return on Rate Base</w:t>
            </w:r>
          </w:p>
        </w:tc>
        <w:tc>
          <w:tcPr>
            <w:tcW w:w="260" w:type="dxa"/>
          </w:tcPr>
          <w:p w14:paraId="0C94C830" w14:textId="77777777" w:rsidR="00357426" w:rsidRPr="00BA61D8" w:rsidRDefault="00357426" w:rsidP="00EB077E">
            <w:pPr>
              <w:spacing w:before="116" w:after="44"/>
              <w:jc w:val="center"/>
            </w:pPr>
          </w:p>
        </w:tc>
        <w:tc>
          <w:tcPr>
            <w:tcW w:w="1762" w:type="dxa"/>
          </w:tcPr>
          <w:p w14:paraId="42D0A424" w14:textId="77777777" w:rsidR="00357426" w:rsidRPr="00BA61D8" w:rsidRDefault="00357426" w:rsidP="00EB077E">
            <w:pPr>
              <w:spacing w:before="116" w:after="44"/>
              <w:jc w:val="right"/>
            </w:pPr>
            <w:r w:rsidRPr="00BA61D8">
              <w:t>$1</w:t>
            </w:r>
            <w:r>
              <w:t>1,808</w:t>
            </w:r>
          </w:p>
        </w:tc>
      </w:tr>
      <w:tr w:rsidR="00357426" w:rsidRPr="00BA61D8" w14:paraId="3CCB5223" w14:textId="77777777" w:rsidTr="00EB077E">
        <w:trPr>
          <w:cantSplit/>
          <w:jc w:val="center"/>
        </w:trPr>
        <w:tc>
          <w:tcPr>
            <w:tcW w:w="3681" w:type="dxa"/>
          </w:tcPr>
          <w:p w14:paraId="01762CB6" w14:textId="77777777" w:rsidR="00357426" w:rsidRPr="00BA61D8" w:rsidRDefault="00357426" w:rsidP="00EB077E">
            <w:pPr>
              <w:spacing w:before="116" w:after="44"/>
            </w:pPr>
            <w:r w:rsidRPr="00BA61D8">
              <w:t>Adjusted O&amp;M Expense</w:t>
            </w:r>
          </w:p>
        </w:tc>
        <w:tc>
          <w:tcPr>
            <w:tcW w:w="260" w:type="dxa"/>
          </w:tcPr>
          <w:p w14:paraId="2D9DEB08" w14:textId="77777777" w:rsidR="00357426" w:rsidRPr="00BA61D8" w:rsidRDefault="00357426" w:rsidP="00EB077E">
            <w:pPr>
              <w:spacing w:before="116" w:after="44"/>
              <w:jc w:val="center"/>
            </w:pPr>
          </w:p>
        </w:tc>
        <w:tc>
          <w:tcPr>
            <w:tcW w:w="1762" w:type="dxa"/>
          </w:tcPr>
          <w:p w14:paraId="1E4E4C21" w14:textId="77777777" w:rsidR="00357426" w:rsidRPr="00BA61D8" w:rsidRDefault="00357426" w:rsidP="00EB077E">
            <w:pPr>
              <w:spacing w:before="116" w:after="44"/>
              <w:jc w:val="right"/>
            </w:pPr>
            <w:r w:rsidRPr="00BA61D8">
              <w:t>7</w:t>
            </w:r>
            <w:r>
              <w:t>3,241</w:t>
            </w:r>
          </w:p>
        </w:tc>
      </w:tr>
      <w:tr w:rsidR="00357426" w:rsidRPr="00BA61D8" w14:paraId="15EA0666" w14:textId="77777777" w:rsidTr="00EB077E">
        <w:trPr>
          <w:cantSplit/>
          <w:jc w:val="center"/>
        </w:trPr>
        <w:tc>
          <w:tcPr>
            <w:tcW w:w="3681" w:type="dxa"/>
          </w:tcPr>
          <w:p w14:paraId="5F1AD720" w14:textId="77777777" w:rsidR="00357426" w:rsidRPr="00BA61D8" w:rsidRDefault="00357426" w:rsidP="00EB077E">
            <w:pPr>
              <w:spacing w:before="116" w:after="44"/>
            </w:pPr>
            <w:r w:rsidRPr="00BA61D8">
              <w:t xml:space="preserve">Depreciation Expense (Net) </w:t>
            </w:r>
          </w:p>
        </w:tc>
        <w:tc>
          <w:tcPr>
            <w:tcW w:w="260" w:type="dxa"/>
          </w:tcPr>
          <w:p w14:paraId="23BBD705" w14:textId="77777777" w:rsidR="00357426" w:rsidRPr="00BA61D8" w:rsidRDefault="00357426" w:rsidP="00EB077E">
            <w:pPr>
              <w:spacing w:before="116" w:after="44"/>
              <w:jc w:val="center"/>
            </w:pPr>
          </w:p>
        </w:tc>
        <w:tc>
          <w:tcPr>
            <w:tcW w:w="1762" w:type="dxa"/>
          </w:tcPr>
          <w:p w14:paraId="78349FF9" w14:textId="77777777" w:rsidR="00357426" w:rsidRPr="00BA61D8" w:rsidRDefault="00357426" w:rsidP="00EB077E">
            <w:pPr>
              <w:spacing w:before="116" w:after="44"/>
              <w:jc w:val="right"/>
            </w:pPr>
            <w:r w:rsidRPr="00BA61D8">
              <w:t>7,153</w:t>
            </w:r>
          </w:p>
        </w:tc>
      </w:tr>
      <w:tr w:rsidR="00357426" w:rsidRPr="00BA61D8" w14:paraId="455B12C4" w14:textId="77777777" w:rsidTr="00EB077E">
        <w:trPr>
          <w:cantSplit/>
          <w:jc w:val="center"/>
        </w:trPr>
        <w:tc>
          <w:tcPr>
            <w:tcW w:w="3681" w:type="dxa"/>
          </w:tcPr>
          <w:p w14:paraId="4E04431B" w14:textId="77777777" w:rsidR="00357426" w:rsidRPr="00BA61D8" w:rsidRDefault="00357426" w:rsidP="00EB077E">
            <w:pPr>
              <w:spacing w:before="116" w:after="44"/>
            </w:pPr>
            <w:r w:rsidRPr="00BA61D8">
              <w:t>Taxes Other Than Income</w:t>
            </w:r>
          </w:p>
        </w:tc>
        <w:tc>
          <w:tcPr>
            <w:tcW w:w="260" w:type="dxa"/>
          </w:tcPr>
          <w:p w14:paraId="148F4AAA" w14:textId="77777777" w:rsidR="00357426" w:rsidRPr="00BA61D8" w:rsidRDefault="00357426" w:rsidP="00EB077E">
            <w:pPr>
              <w:spacing w:before="116" w:after="44"/>
              <w:jc w:val="center"/>
            </w:pPr>
          </w:p>
        </w:tc>
        <w:tc>
          <w:tcPr>
            <w:tcW w:w="1762" w:type="dxa"/>
          </w:tcPr>
          <w:p w14:paraId="583005CB" w14:textId="77777777" w:rsidR="00357426" w:rsidRPr="00FE4BB2" w:rsidRDefault="00357426" w:rsidP="00EB077E">
            <w:pPr>
              <w:spacing w:before="116" w:after="44"/>
              <w:jc w:val="right"/>
              <w:rPr>
                <w:u w:val="single"/>
              </w:rPr>
            </w:pPr>
            <w:r w:rsidRPr="00FE4BB2">
              <w:rPr>
                <w:u w:val="single"/>
              </w:rPr>
              <w:t>7,023</w:t>
            </w:r>
          </w:p>
        </w:tc>
      </w:tr>
      <w:tr w:rsidR="00357426" w:rsidRPr="00BA61D8" w14:paraId="417D3157" w14:textId="77777777" w:rsidTr="00EB077E">
        <w:trPr>
          <w:cantSplit/>
          <w:jc w:val="center"/>
        </w:trPr>
        <w:tc>
          <w:tcPr>
            <w:tcW w:w="3681" w:type="dxa"/>
          </w:tcPr>
          <w:p w14:paraId="51EBB0C2" w14:textId="77777777" w:rsidR="00357426" w:rsidRPr="00BA61D8" w:rsidRDefault="00357426" w:rsidP="00EB077E">
            <w:pPr>
              <w:spacing w:before="116" w:after="44"/>
            </w:pPr>
            <w:r w:rsidRPr="00BA61D8">
              <w:t xml:space="preserve">Revenue Requirement </w:t>
            </w:r>
          </w:p>
        </w:tc>
        <w:tc>
          <w:tcPr>
            <w:tcW w:w="260" w:type="dxa"/>
          </w:tcPr>
          <w:p w14:paraId="59E8EE39" w14:textId="77777777" w:rsidR="00357426" w:rsidRPr="00BA61D8" w:rsidRDefault="00357426" w:rsidP="00EB077E">
            <w:pPr>
              <w:spacing w:before="116" w:after="44"/>
              <w:jc w:val="center"/>
            </w:pPr>
          </w:p>
        </w:tc>
        <w:tc>
          <w:tcPr>
            <w:tcW w:w="1762" w:type="dxa"/>
          </w:tcPr>
          <w:p w14:paraId="5807E230" w14:textId="77777777" w:rsidR="00357426" w:rsidRPr="00BA61D8" w:rsidRDefault="00357426" w:rsidP="00EB077E">
            <w:pPr>
              <w:spacing w:before="116" w:after="44"/>
              <w:jc w:val="right"/>
            </w:pPr>
            <w:r w:rsidRPr="00BA61D8">
              <w:t>$</w:t>
            </w:r>
            <w:r>
              <w:t>99,225</w:t>
            </w:r>
          </w:p>
        </w:tc>
      </w:tr>
      <w:tr w:rsidR="00357426" w:rsidRPr="00BA61D8" w14:paraId="110C80D1" w14:textId="77777777" w:rsidTr="00EB077E">
        <w:trPr>
          <w:cantSplit/>
          <w:jc w:val="center"/>
        </w:trPr>
        <w:tc>
          <w:tcPr>
            <w:tcW w:w="3681" w:type="dxa"/>
          </w:tcPr>
          <w:p w14:paraId="7ADAB1A4" w14:textId="77777777" w:rsidR="00357426" w:rsidRPr="00BA61D8" w:rsidRDefault="00357426" w:rsidP="00EB077E">
            <w:pPr>
              <w:spacing w:before="116" w:after="44"/>
            </w:pPr>
            <w:r w:rsidRPr="00BA61D8">
              <w:t>Less Adjusted Test Year Revenues</w:t>
            </w:r>
          </w:p>
        </w:tc>
        <w:tc>
          <w:tcPr>
            <w:tcW w:w="260" w:type="dxa"/>
          </w:tcPr>
          <w:p w14:paraId="32DDD505" w14:textId="77777777" w:rsidR="00357426" w:rsidRPr="00BA61D8" w:rsidRDefault="00357426" w:rsidP="00EB077E">
            <w:pPr>
              <w:spacing w:before="116" w:after="44"/>
              <w:jc w:val="center"/>
            </w:pPr>
          </w:p>
        </w:tc>
        <w:tc>
          <w:tcPr>
            <w:tcW w:w="1762" w:type="dxa"/>
          </w:tcPr>
          <w:p w14:paraId="0341DEC9" w14:textId="77777777" w:rsidR="00357426" w:rsidRPr="00FE4BB2" w:rsidRDefault="00357426" w:rsidP="00EB077E">
            <w:pPr>
              <w:spacing w:before="116" w:after="44"/>
              <w:jc w:val="right"/>
              <w:rPr>
                <w:u w:val="single"/>
              </w:rPr>
            </w:pPr>
            <w:r w:rsidRPr="00FE4BB2">
              <w:rPr>
                <w:u w:val="single"/>
              </w:rPr>
              <w:t>65,658</w:t>
            </w:r>
          </w:p>
        </w:tc>
      </w:tr>
      <w:tr w:rsidR="00357426" w:rsidRPr="00BA61D8" w14:paraId="658C25C6" w14:textId="77777777" w:rsidTr="00EB077E">
        <w:trPr>
          <w:cantSplit/>
          <w:jc w:val="center"/>
        </w:trPr>
        <w:tc>
          <w:tcPr>
            <w:tcW w:w="3681" w:type="dxa"/>
          </w:tcPr>
          <w:p w14:paraId="27B68375" w14:textId="77777777" w:rsidR="00357426" w:rsidRPr="00BA61D8" w:rsidRDefault="00357426" w:rsidP="00EB077E">
            <w:pPr>
              <w:spacing w:before="116" w:after="44"/>
            </w:pPr>
            <w:r w:rsidRPr="00BA61D8">
              <w:t>Annual Increase</w:t>
            </w:r>
          </w:p>
        </w:tc>
        <w:tc>
          <w:tcPr>
            <w:tcW w:w="260" w:type="dxa"/>
          </w:tcPr>
          <w:p w14:paraId="1FDDEC75" w14:textId="77777777" w:rsidR="00357426" w:rsidRPr="00BA61D8" w:rsidRDefault="00357426" w:rsidP="00EB077E">
            <w:pPr>
              <w:spacing w:before="116" w:after="44"/>
              <w:jc w:val="center"/>
            </w:pPr>
          </w:p>
        </w:tc>
        <w:tc>
          <w:tcPr>
            <w:tcW w:w="1762" w:type="dxa"/>
          </w:tcPr>
          <w:p w14:paraId="1FC50CE3" w14:textId="77777777" w:rsidR="00357426" w:rsidRPr="00BA61D8" w:rsidRDefault="00357426" w:rsidP="00EB077E">
            <w:pPr>
              <w:spacing w:before="116" w:after="44"/>
              <w:jc w:val="right"/>
            </w:pPr>
            <w:r w:rsidRPr="00BA61D8">
              <w:rPr>
                <w:u w:val="double"/>
              </w:rPr>
              <w:t>$3</w:t>
            </w:r>
            <w:r>
              <w:rPr>
                <w:u w:val="double"/>
              </w:rPr>
              <w:t>3,567</w:t>
            </w:r>
          </w:p>
        </w:tc>
      </w:tr>
      <w:tr w:rsidR="00357426" w:rsidRPr="00BA61D8" w14:paraId="1BDEC746" w14:textId="77777777" w:rsidTr="00EB077E">
        <w:trPr>
          <w:cantSplit/>
          <w:jc w:val="center"/>
        </w:trPr>
        <w:tc>
          <w:tcPr>
            <w:tcW w:w="3681" w:type="dxa"/>
          </w:tcPr>
          <w:p w14:paraId="4C91F771" w14:textId="77777777" w:rsidR="00357426" w:rsidRPr="00BA61D8" w:rsidRDefault="00357426" w:rsidP="00EB077E">
            <w:pPr>
              <w:spacing w:before="116" w:after="44"/>
            </w:pPr>
            <w:r w:rsidRPr="00BA61D8">
              <w:t>Percent Increase</w:t>
            </w:r>
          </w:p>
        </w:tc>
        <w:tc>
          <w:tcPr>
            <w:tcW w:w="260" w:type="dxa"/>
          </w:tcPr>
          <w:p w14:paraId="16CE9414" w14:textId="77777777" w:rsidR="00357426" w:rsidRPr="00BA61D8" w:rsidRDefault="00357426" w:rsidP="00EB077E">
            <w:pPr>
              <w:spacing w:before="116" w:after="44"/>
              <w:jc w:val="center"/>
            </w:pPr>
          </w:p>
        </w:tc>
        <w:tc>
          <w:tcPr>
            <w:tcW w:w="1762" w:type="dxa"/>
          </w:tcPr>
          <w:p w14:paraId="0E137792" w14:textId="77777777" w:rsidR="00357426" w:rsidRPr="00BA61D8" w:rsidRDefault="00357426" w:rsidP="00EB077E">
            <w:pPr>
              <w:spacing w:before="116" w:after="44"/>
              <w:jc w:val="right"/>
              <w:rPr>
                <w:u w:val="double"/>
              </w:rPr>
            </w:pPr>
            <w:r w:rsidRPr="00BA61D8">
              <w:rPr>
                <w:u w:val="double"/>
              </w:rPr>
              <w:t>5</w:t>
            </w:r>
            <w:r>
              <w:rPr>
                <w:u w:val="double"/>
              </w:rPr>
              <w:t>1.12</w:t>
            </w:r>
            <w:r w:rsidRPr="00BA61D8">
              <w:rPr>
                <w:u w:val="double"/>
              </w:rPr>
              <w:t>%</w:t>
            </w:r>
          </w:p>
        </w:tc>
      </w:tr>
    </w:tbl>
    <w:p w14:paraId="3C346F8B" w14:textId="77777777" w:rsidR="00F816B5" w:rsidRDefault="00D163C8" w:rsidP="00EB73BF">
      <w:pPr>
        <w:contextualSpacing/>
        <w:jc w:val="both"/>
      </w:pPr>
      <w:r w:rsidRPr="00EB73BF">
        <w:tab/>
      </w:r>
    </w:p>
    <w:p w14:paraId="42A7F2E0" w14:textId="77777777" w:rsidR="00F816B5" w:rsidRPr="00EF1246" w:rsidRDefault="00F816B5" w:rsidP="00EF1246">
      <w:pPr>
        <w:jc w:val="both"/>
        <w:rPr>
          <w:u w:val="single"/>
        </w:rPr>
      </w:pPr>
      <w:r w:rsidRPr="00EF1246">
        <w:rPr>
          <w:u w:val="single"/>
        </w:rPr>
        <w:t>9. Rates and Rate Structure</w:t>
      </w:r>
    </w:p>
    <w:p w14:paraId="401D4AE0" w14:textId="77777777" w:rsidR="00F816B5" w:rsidRDefault="00F816B5" w:rsidP="00EB73BF">
      <w:pPr>
        <w:contextualSpacing/>
        <w:jc w:val="both"/>
      </w:pPr>
    </w:p>
    <w:p w14:paraId="3ECE4280" w14:textId="77777777" w:rsidR="006827FF" w:rsidRDefault="006827FF" w:rsidP="00CB1904">
      <w:pPr>
        <w:ind w:firstLine="720"/>
        <w:contextualSpacing/>
        <w:jc w:val="both"/>
      </w:pPr>
      <w:r w:rsidRPr="00EB73BF">
        <w:t>Merritt Island is located in Brevard County. The Utility provides wastewater service to approximately 141 residential customers and one general service bulk customer. The general service customer is a mobile home park classified as a bulk customer. Currently, the residential wastewater rate structure consists of a uniform base facility charge (BFC) for all meter sizes and a gallonage charge with a 6,000 gallon cap per month. General service customers are billed a BFC by meter size and a gallonage charge that is 1.2 times higher than the residential gallonage charge. The bulk service customer is billed a BFC based on the number of ERCs behind the meter and a gallonage charge with a 6,000 gallon cap per connection.</w:t>
      </w:r>
    </w:p>
    <w:p w14:paraId="09D9FB26" w14:textId="77777777" w:rsidR="00EB73BF" w:rsidRPr="00EB73BF" w:rsidRDefault="00EB73BF" w:rsidP="00EB73BF">
      <w:pPr>
        <w:contextualSpacing/>
        <w:jc w:val="both"/>
      </w:pPr>
    </w:p>
    <w:p w14:paraId="0A84A1B2" w14:textId="77777777" w:rsidR="00EB73BF" w:rsidRDefault="00D163C8" w:rsidP="00EB73BF">
      <w:pPr>
        <w:contextualSpacing/>
        <w:jc w:val="both"/>
      </w:pPr>
      <w:r w:rsidRPr="00EB73BF">
        <w:tab/>
      </w:r>
      <w:r w:rsidR="00862C20" w:rsidRPr="00EB73BF">
        <w:t xml:space="preserve">We </w:t>
      </w:r>
      <w:r w:rsidR="006827FF" w:rsidRPr="00EB73BF">
        <w:t>performed an analysis of the Utility’s billing data to evaluate various BFC cost recovery percentages and gallonage caps for the residential customers. The goal of the evaluation was to select the rate design parameters that: (1) produce the recommended revenue requirement; (2) equitably distribute cost recovery among the Utility’s customers; and (3) implement a gallonage cap that considers approximately the amount of water that may return to the wastewater system.</w:t>
      </w:r>
    </w:p>
    <w:p w14:paraId="1D3BE8AE" w14:textId="77777777" w:rsidR="00F816B5" w:rsidRPr="00EB73BF" w:rsidRDefault="00F816B5" w:rsidP="00EB73BF">
      <w:pPr>
        <w:contextualSpacing/>
        <w:jc w:val="both"/>
      </w:pPr>
    </w:p>
    <w:p w14:paraId="1E5A2BD6" w14:textId="77777777" w:rsidR="006827FF" w:rsidRDefault="00D163C8" w:rsidP="00EB73BF">
      <w:pPr>
        <w:contextualSpacing/>
        <w:jc w:val="both"/>
      </w:pPr>
      <w:r w:rsidRPr="00EB73BF">
        <w:tab/>
      </w:r>
      <w:r w:rsidR="006827FF" w:rsidRPr="00EB73BF">
        <w:t xml:space="preserve">Consistent with </w:t>
      </w:r>
      <w:r w:rsidR="00702950">
        <w:t xml:space="preserve">our prior </w:t>
      </w:r>
      <w:r w:rsidR="006827FF" w:rsidRPr="00EB73BF">
        <w:t xml:space="preserve">practice, </w:t>
      </w:r>
      <w:r w:rsidR="00862C20" w:rsidRPr="00EB73BF">
        <w:t xml:space="preserve">we </w:t>
      </w:r>
      <w:r w:rsidR="006827FF" w:rsidRPr="00EB73BF">
        <w:t>allocated 50 percent of the wastewater revenue to the BFC due to the capital intensive nature of wastewater p</w:t>
      </w:r>
      <w:r w:rsidR="00702950">
        <w:t xml:space="preserve">lants. In addition, it is also our </w:t>
      </w:r>
      <w:r w:rsidR="006827FF" w:rsidRPr="00EB73BF">
        <w:t>practice to set the wastewater cap at approximately 80 percent of residential water gallons sold. The wastewater gallonage cap recognizes that not all water is returned to the wastewater system. Based on</w:t>
      </w:r>
      <w:r w:rsidR="00862C20" w:rsidRPr="00EB73BF">
        <w:t xml:space="preserve"> our </w:t>
      </w:r>
      <w:r w:rsidR="006827FF" w:rsidRPr="00EB73BF">
        <w:t xml:space="preserve">review of the billing analysis, 87 percent of the gallons are captured at the 6,000 gallon consumption level. For this reason, </w:t>
      </w:r>
      <w:r w:rsidR="00862C20" w:rsidRPr="00EB73BF">
        <w:t xml:space="preserve">we find </w:t>
      </w:r>
      <w:r w:rsidR="006827FF" w:rsidRPr="00EB73BF">
        <w:t xml:space="preserve">that the gallonage cap for residential customers </w:t>
      </w:r>
      <w:r w:rsidR="00862C20" w:rsidRPr="00EB73BF">
        <w:t xml:space="preserve">shall </w:t>
      </w:r>
      <w:r w:rsidR="006827FF" w:rsidRPr="00EB73BF">
        <w:t xml:space="preserve">remain at 6,000 gallons. </w:t>
      </w:r>
      <w:r w:rsidR="00862C20" w:rsidRPr="00EB73BF">
        <w:t xml:space="preserve">We also find </w:t>
      </w:r>
      <w:r w:rsidR="006827FF" w:rsidRPr="00EB73BF">
        <w:t xml:space="preserve">that the general service gallonage charge be 1.2 times greater than the residential gallonage charge, which is consistent with </w:t>
      </w:r>
      <w:r w:rsidR="00702950">
        <w:t>our</w:t>
      </w:r>
      <w:r w:rsidR="006827FF" w:rsidRPr="00EB73BF">
        <w:t xml:space="preserve"> practice. The bulk service customer’s rate structure should remain a BFC based on the number of ERCs behind the meter and a gallonage charge with a 6,000 gallon cap per ERC. </w:t>
      </w:r>
    </w:p>
    <w:p w14:paraId="0450754E" w14:textId="77777777" w:rsidR="00EB73BF" w:rsidRPr="00EB73BF" w:rsidRDefault="00EB73BF" w:rsidP="00EB73BF">
      <w:pPr>
        <w:contextualSpacing/>
        <w:jc w:val="both"/>
      </w:pPr>
    </w:p>
    <w:p w14:paraId="1DB0EC88" w14:textId="77777777" w:rsidR="006827FF" w:rsidRPr="00EB73BF" w:rsidRDefault="00D163C8" w:rsidP="00EB73BF">
      <w:pPr>
        <w:contextualSpacing/>
        <w:jc w:val="both"/>
      </w:pPr>
      <w:r w:rsidRPr="00EB73BF">
        <w:tab/>
      </w:r>
      <w:r w:rsidR="00702950">
        <w:t>Based on the above, the</w:t>
      </w:r>
      <w:r w:rsidR="006827FF" w:rsidRPr="00EB73BF">
        <w:t xml:space="preserve"> monthly wastewater rates, as shown on Schedule No. 4, are reasonable and sh</w:t>
      </w:r>
      <w:r w:rsidR="00862C20" w:rsidRPr="00EB73BF">
        <w:t>all</w:t>
      </w:r>
      <w:r w:rsidR="006827FF" w:rsidRPr="00EB73BF">
        <w:t xml:space="preserve"> be approved. The Utility s</w:t>
      </w:r>
      <w:r w:rsidR="00862C20" w:rsidRPr="00EB73BF">
        <w:t>hall</w:t>
      </w:r>
      <w:r w:rsidR="006827FF" w:rsidRPr="00EB73BF">
        <w:t xml:space="preserve"> file revised tariff sheets and a proposed customer notice to reflect</w:t>
      </w:r>
      <w:r w:rsidR="00862C20" w:rsidRPr="00EB73BF">
        <w:t xml:space="preserve"> the Commission</w:t>
      </w:r>
      <w:r w:rsidR="006827FF" w:rsidRPr="00EB73BF">
        <w:t>-approved rates. The approved rates sh</w:t>
      </w:r>
      <w:r w:rsidR="00862C20" w:rsidRPr="00EB73BF">
        <w:t xml:space="preserve">all </w:t>
      </w:r>
      <w:r w:rsidR="006827FF" w:rsidRPr="00EB73BF">
        <w:t>be effective for service rendered on or after the stamped approval date on the tariff sheets pursuant to Rule 25-30.475(1), F.A.C. The approved rates sh</w:t>
      </w:r>
      <w:r w:rsidR="00702950">
        <w:t xml:space="preserve">all </w:t>
      </w:r>
      <w:r w:rsidR="006827FF" w:rsidRPr="00EB73BF">
        <w:t xml:space="preserve">not be implemented until </w:t>
      </w:r>
      <w:r w:rsidR="00EA1041" w:rsidRPr="00EB73BF">
        <w:t xml:space="preserve">our </w:t>
      </w:r>
      <w:r w:rsidR="006827FF" w:rsidRPr="00EB73BF">
        <w:t>staff has approved the proposed customer notice and the notice has been received by customers. The Utility s</w:t>
      </w:r>
      <w:r w:rsidR="00702950">
        <w:t>hall</w:t>
      </w:r>
      <w:r w:rsidR="006827FF" w:rsidRPr="00EB73BF">
        <w:t xml:space="preserve"> provide proof of the date notice was given within 10 days of the date of the notice.</w:t>
      </w:r>
    </w:p>
    <w:p w14:paraId="276EE3EA" w14:textId="77777777" w:rsidR="00D163C8" w:rsidRPr="00EB73BF" w:rsidRDefault="00D163C8" w:rsidP="00EB73BF">
      <w:pPr>
        <w:contextualSpacing/>
        <w:jc w:val="both"/>
      </w:pPr>
    </w:p>
    <w:p w14:paraId="642A5EEC" w14:textId="77777777" w:rsidR="00EA1041" w:rsidRPr="00EB73BF" w:rsidRDefault="00EA1041" w:rsidP="00EB73BF">
      <w:pPr>
        <w:contextualSpacing/>
        <w:jc w:val="both"/>
      </w:pPr>
      <w:r w:rsidRPr="00EB73BF">
        <w:rPr>
          <w:u w:val="single"/>
        </w:rPr>
        <w:t>10. Rate Case Expense</w:t>
      </w:r>
      <w:r w:rsidRPr="00EB73BF">
        <w:t xml:space="preserve">  (</w:t>
      </w:r>
      <w:r w:rsidRPr="00EB73BF">
        <w:rPr>
          <w:i/>
        </w:rPr>
        <w:t>Procedural Agency Action</w:t>
      </w:r>
      <w:r w:rsidRPr="00EB73BF">
        <w:t>)</w:t>
      </w:r>
    </w:p>
    <w:p w14:paraId="4888788C" w14:textId="77777777" w:rsidR="00EA1041" w:rsidRPr="00EB73BF" w:rsidRDefault="00EA1041" w:rsidP="00EB73BF">
      <w:pPr>
        <w:contextualSpacing/>
        <w:jc w:val="both"/>
      </w:pPr>
    </w:p>
    <w:p w14:paraId="36857385" w14:textId="77777777" w:rsidR="00D163C8" w:rsidRDefault="00D163C8" w:rsidP="00EB73BF">
      <w:pPr>
        <w:keepNext/>
        <w:contextualSpacing/>
        <w:jc w:val="both"/>
      </w:pPr>
      <w:r w:rsidRPr="00EB73BF">
        <w:tab/>
        <w:t>Section 367.081(8), F.S., requires that the rates be reduced immediately following the expiration of the recovery period by the amount of the rate case expense previously included in rates. The reduction will reflect the removal of revenue associated with the amortization of rate case expense and the gross-up for RAFs. The total reduction is $536.</w:t>
      </w:r>
    </w:p>
    <w:p w14:paraId="38AD74EE" w14:textId="77777777" w:rsidR="00EB73BF" w:rsidRPr="00EB73BF" w:rsidRDefault="00EB73BF" w:rsidP="00EB73BF">
      <w:pPr>
        <w:keepNext/>
        <w:contextualSpacing/>
        <w:jc w:val="both"/>
      </w:pPr>
    </w:p>
    <w:p w14:paraId="716BB077" w14:textId="77777777" w:rsidR="008D21C1" w:rsidRDefault="00D163C8" w:rsidP="00EB73BF">
      <w:pPr>
        <w:contextualSpacing/>
        <w:jc w:val="both"/>
      </w:pPr>
      <w:r w:rsidRPr="00EB73BF">
        <w:tab/>
      </w:r>
      <w:r w:rsidR="008D21C1" w:rsidRPr="00EB73BF">
        <w:t xml:space="preserve">We find </w:t>
      </w:r>
      <w:r w:rsidRPr="00EB73BF">
        <w:t>that the rates sh</w:t>
      </w:r>
      <w:r w:rsidR="00702950">
        <w:t>all</w:t>
      </w:r>
      <w:r w:rsidRPr="00EB73BF">
        <w:t xml:space="preserve"> be reduced as shown on Schedule No. 4, to remove rate case expense grossed-up for RAFs and amortized over a four-year period. The decrease in rates sh</w:t>
      </w:r>
      <w:r w:rsidR="008D21C1" w:rsidRPr="00EB73BF">
        <w:t>all</w:t>
      </w:r>
      <w:r w:rsidRPr="00EB73BF">
        <w:t xml:space="preserve"> become effective immediately following the expiration of the rate case expense recovery period, pursuant to Section 367.081(8), F.S. Merritt Island sh</w:t>
      </w:r>
      <w:r w:rsidR="008D21C1" w:rsidRPr="00EB73BF">
        <w:t xml:space="preserve">all </w:t>
      </w:r>
      <w:r w:rsidRPr="00EB73BF">
        <w:t>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should be filed for the price index and/or pass-through increase or decrease and the reduction in the rates due to the amortized rate case expense.</w:t>
      </w:r>
    </w:p>
    <w:p w14:paraId="4B5DB58C" w14:textId="77777777" w:rsidR="00A15ECF" w:rsidRPr="00EB73BF" w:rsidRDefault="00A15ECF" w:rsidP="00EB73BF">
      <w:pPr>
        <w:contextualSpacing/>
        <w:jc w:val="both"/>
      </w:pPr>
    </w:p>
    <w:p w14:paraId="650AA07C" w14:textId="77777777" w:rsidR="008D21C1" w:rsidRPr="00EB73BF" w:rsidRDefault="008D21C1" w:rsidP="00EB73BF">
      <w:pPr>
        <w:contextualSpacing/>
        <w:jc w:val="both"/>
      </w:pPr>
      <w:r w:rsidRPr="00EB73BF">
        <w:rPr>
          <w:u w:val="single"/>
        </w:rPr>
        <w:t>11. Temporary Rates</w:t>
      </w:r>
      <w:r w:rsidRPr="00EB73BF">
        <w:t xml:space="preserve">  (</w:t>
      </w:r>
      <w:r w:rsidRPr="00EB73BF">
        <w:rPr>
          <w:i/>
        </w:rPr>
        <w:t>Procedural Agency Action</w:t>
      </w:r>
      <w:r w:rsidRPr="00EB73BF">
        <w:t>)</w:t>
      </w:r>
    </w:p>
    <w:p w14:paraId="63BBB313" w14:textId="77777777" w:rsidR="008D21C1" w:rsidRPr="00EB73BF" w:rsidRDefault="008D21C1" w:rsidP="00EB73BF">
      <w:pPr>
        <w:contextualSpacing/>
        <w:jc w:val="both"/>
      </w:pPr>
    </w:p>
    <w:p w14:paraId="32D1CDAC" w14:textId="77777777" w:rsidR="00D163C8" w:rsidRDefault="00D163C8" w:rsidP="00EB73BF">
      <w:pPr>
        <w:contextualSpacing/>
        <w:jc w:val="both"/>
      </w:pPr>
      <w:r w:rsidRPr="00EB73BF">
        <w:tab/>
        <w:t>Th</w:t>
      </w:r>
      <w:r w:rsidR="008D21C1" w:rsidRPr="00EB73BF">
        <w:t xml:space="preserve">is Order approves </w:t>
      </w:r>
      <w:r w:rsidRPr="00EB73BF">
        <w:t xml:space="preserve">an increase in rates. A timely protest might delay what may be a justified rate increase resulting in an unrecoverable loss of revenue to the Utility. Therefore, pursuant to Section 367.0814(7), F.S., in the event of a protest filed by a party other than the Utility, </w:t>
      </w:r>
      <w:r w:rsidR="008D21C1" w:rsidRPr="00EB73BF">
        <w:t xml:space="preserve">we find </w:t>
      </w:r>
      <w:r w:rsidRPr="00EB73BF">
        <w:t xml:space="preserve">that the </w:t>
      </w:r>
      <w:r w:rsidR="008D21C1" w:rsidRPr="00EB73BF">
        <w:t>Commission-approved</w:t>
      </w:r>
      <w:r w:rsidRPr="00EB73BF">
        <w:t xml:space="preserve"> rates </w:t>
      </w:r>
      <w:r w:rsidR="008D21C1" w:rsidRPr="00EB73BF">
        <w:t xml:space="preserve">shall </w:t>
      </w:r>
      <w:r w:rsidRPr="00EB73BF">
        <w:t>be approved as temporary rates. The Utility sh</w:t>
      </w:r>
      <w:r w:rsidR="008D21C1" w:rsidRPr="00EB73BF">
        <w:t>all</w:t>
      </w:r>
      <w:r w:rsidRPr="00EB73BF">
        <w:t xml:space="preserve"> file revised tariff sheets and a proposed customer notice to reflect the Commission-approved rates. The approved rates sh</w:t>
      </w:r>
      <w:r w:rsidR="008D21C1" w:rsidRPr="00EB73BF">
        <w:t>all</w:t>
      </w:r>
      <w:r w:rsidRPr="00EB73BF">
        <w:t xml:space="preserve"> be effective for service rendered on or after the stamped approval date on the tariff sheet, pursuant to Rule 25-30.475(1), F.A.C. In addition, the temporary rates sh</w:t>
      </w:r>
      <w:r w:rsidR="008D21C1" w:rsidRPr="00EB73BF">
        <w:t>all</w:t>
      </w:r>
      <w:r w:rsidRPr="00EB73BF">
        <w:t xml:space="preserve"> not be implemented until </w:t>
      </w:r>
      <w:r w:rsidR="008D21C1" w:rsidRPr="00EB73BF">
        <w:t xml:space="preserve">our </w:t>
      </w:r>
      <w:r w:rsidRPr="00EB73BF">
        <w:t>staff has approved the proposed notice, and the notice has been received by the customers. The rates collected by the Utility s</w:t>
      </w:r>
      <w:r w:rsidR="008D21C1" w:rsidRPr="00EB73BF">
        <w:t xml:space="preserve">hall </w:t>
      </w:r>
      <w:r w:rsidRPr="00EB73BF">
        <w:t>be subject to the refund provisions discussed below.</w:t>
      </w:r>
    </w:p>
    <w:p w14:paraId="35CC1D4C" w14:textId="77777777" w:rsidR="00EB73BF" w:rsidRPr="00EB73BF" w:rsidRDefault="00EB73BF" w:rsidP="00EB73BF">
      <w:pPr>
        <w:contextualSpacing/>
        <w:jc w:val="both"/>
      </w:pPr>
    </w:p>
    <w:p w14:paraId="728CAFF8" w14:textId="77777777" w:rsidR="00D163C8" w:rsidRDefault="00D163C8" w:rsidP="00EB73BF">
      <w:pPr>
        <w:contextualSpacing/>
        <w:jc w:val="both"/>
      </w:pPr>
      <w:r w:rsidRPr="00EB73BF">
        <w:tab/>
        <w:t>The Utility sh</w:t>
      </w:r>
      <w:r w:rsidR="008D21C1" w:rsidRPr="00EB73BF">
        <w:t>all</w:t>
      </w:r>
      <w:r w:rsidRPr="00EB73BF">
        <w:t xml:space="preserve"> be authorized to collect the temporary rates upon </w:t>
      </w:r>
      <w:r w:rsidR="008D21C1" w:rsidRPr="00EB73BF">
        <w:t xml:space="preserve">our </w:t>
      </w:r>
      <w:r w:rsidRPr="00EB73BF">
        <w:t>staff’s approval of an appropriate security for the potential refund and the proposed customer notice. Security s</w:t>
      </w:r>
      <w:r w:rsidR="00702950">
        <w:t>hall</w:t>
      </w:r>
      <w:r w:rsidRPr="00EB73BF">
        <w:t xml:space="preserve"> be in the form of a bond or letter of credit in the amount of $22,619. Alternatively, the Utility could establish an escrow agreement with an independent financial institution.</w:t>
      </w:r>
    </w:p>
    <w:p w14:paraId="1A47A240" w14:textId="77777777" w:rsidR="00EB73BF" w:rsidRPr="00EB73BF" w:rsidRDefault="00EB73BF" w:rsidP="00EB73BF">
      <w:pPr>
        <w:contextualSpacing/>
        <w:jc w:val="both"/>
      </w:pPr>
    </w:p>
    <w:p w14:paraId="49282D1E" w14:textId="77777777" w:rsidR="00D163C8" w:rsidRPr="00EB73BF" w:rsidRDefault="00D163C8" w:rsidP="00EB73BF">
      <w:pPr>
        <w:contextualSpacing/>
        <w:jc w:val="both"/>
      </w:pPr>
      <w:r w:rsidRPr="00EB73BF">
        <w:tab/>
        <w:t>If the Utility chooses a bond as security, the bond sh</w:t>
      </w:r>
      <w:r w:rsidR="008D21C1" w:rsidRPr="00EB73BF">
        <w:t xml:space="preserve">all </w:t>
      </w:r>
      <w:r w:rsidRPr="00EB73BF">
        <w:t>contain wording to the effect that it will be terminated only under the following conditions:</w:t>
      </w:r>
    </w:p>
    <w:p w14:paraId="2557B6C2" w14:textId="77777777" w:rsidR="00D163C8" w:rsidRPr="00EB73BF" w:rsidRDefault="00D163C8" w:rsidP="00EB73BF">
      <w:pPr>
        <w:contextualSpacing/>
        <w:jc w:val="both"/>
      </w:pPr>
    </w:p>
    <w:p w14:paraId="310B08AB" w14:textId="77777777" w:rsidR="00D163C8" w:rsidRPr="00EB73BF" w:rsidRDefault="00D163C8" w:rsidP="00EB73BF">
      <w:pPr>
        <w:numPr>
          <w:ilvl w:val="0"/>
          <w:numId w:val="3"/>
        </w:numPr>
        <w:contextualSpacing/>
        <w:jc w:val="both"/>
      </w:pPr>
      <w:r w:rsidRPr="00EB73BF">
        <w:t>The Commission approves the rate increase; or,</w:t>
      </w:r>
    </w:p>
    <w:p w14:paraId="0F5859F2" w14:textId="77777777" w:rsidR="00D163C8" w:rsidRPr="00EB73BF" w:rsidRDefault="00D163C8" w:rsidP="00EB73BF">
      <w:pPr>
        <w:numPr>
          <w:ilvl w:val="0"/>
          <w:numId w:val="3"/>
        </w:numPr>
        <w:contextualSpacing/>
        <w:jc w:val="both"/>
      </w:pPr>
      <w:r w:rsidRPr="00EB73BF">
        <w:t>If the Commission denies the increase, the Utility shall refund the amount collected that is attributable to the increase.</w:t>
      </w:r>
    </w:p>
    <w:p w14:paraId="4B7F59E0" w14:textId="77777777" w:rsidR="00D163C8" w:rsidRPr="00EB73BF" w:rsidRDefault="00D163C8" w:rsidP="00EB73BF">
      <w:pPr>
        <w:contextualSpacing/>
        <w:jc w:val="both"/>
      </w:pPr>
      <w:r w:rsidRPr="00EB73BF">
        <w:tab/>
        <w:t>If the Utility chooses a letter of credit as a security, it sh</w:t>
      </w:r>
      <w:r w:rsidR="008D21C1" w:rsidRPr="00EB73BF">
        <w:t>all</w:t>
      </w:r>
      <w:r w:rsidRPr="00EB73BF">
        <w:t xml:space="preserve"> contain the following conditions:</w:t>
      </w:r>
    </w:p>
    <w:p w14:paraId="6FA7D2B8" w14:textId="77777777" w:rsidR="00D163C8" w:rsidRPr="00EB73BF" w:rsidRDefault="00D163C8" w:rsidP="00EB73BF">
      <w:pPr>
        <w:contextualSpacing/>
        <w:jc w:val="both"/>
      </w:pPr>
    </w:p>
    <w:p w14:paraId="144BCFB6" w14:textId="77777777" w:rsidR="00D163C8" w:rsidRPr="00EB73BF" w:rsidRDefault="00D163C8" w:rsidP="00EB73BF">
      <w:pPr>
        <w:numPr>
          <w:ilvl w:val="0"/>
          <w:numId w:val="4"/>
        </w:numPr>
        <w:contextualSpacing/>
        <w:jc w:val="both"/>
      </w:pPr>
      <w:r w:rsidRPr="00EB73BF">
        <w:t>The letter of credit is irrevocable for the period it is in effect.</w:t>
      </w:r>
    </w:p>
    <w:p w14:paraId="3B6C3E20" w14:textId="77777777" w:rsidR="00D163C8" w:rsidRPr="00EB73BF" w:rsidRDefault="00D163C8" w:rsidP="00EB73BF">
      <w:pPr>
        <w:numPr>
          <w:ilvl w:val="0"/>
          <w:numId w:val="4"/>
        </w:numPr>
        <w:contextualSpacing/>
        <w:jc w:val="both"/>
      </w:pPr>
      <w:r w:rsidRPr="00EB73BF">
        <w:t>The letter of credit will be in effect until a final Commission order is rendered, either approving or denying the rate increase.</w:t>
      </w:r>
    </w:p>
    <w:p w14:paraId="429836A1" w14:textId="77777777" w:rsidR="00D163C8" w:rsidRPr="00EB73BF" w:rsidRDefault="00D163C8" w:rsidP="00EB73BF">
      <w:pPr>
        <w:ind w:left="1080"/>
        <w:contextualSpacing/>
        <w:jc w:val="both"/>
      </w:pPr>
    </w:p>
    <w:p w14:paraId="647492A1" w14:textId="77777777" w:rsidR="00D163C8" w:rsidRPr="00EB73BF" w:rsidRDefault="00D163C8" w:rsidP="00EB73BF">
      <w:pPr>
        <w:contextualSpacing/>
        <w:jc w:val="both"/>
      </w:pPr>
      <w:r w:rsidRPr="00EB73BF">
        <w:tab/>
        <w:t>If security is provided through an escrow agreement, the following conditions sh</w:t>
      </w:r>
      <w:r w:rsidR="008D21C1" w:rsidRPr="00EB73BF">
        <w:t>all</w:t>
      </w:r>
      <w:r w:rsidRPr="00EB73BF">
        <w:t xml:space="preserve"> be part of the agreement:</w:t>
      </w:r>
    </w:p>
    <w:p w14:paraId="672A2A04" w14:textId="77777777" w:rsidR="00D163C8" w:rsidRPr="00EB73BF" w:rsidRDefault="00D163C8" w:rsidP="00EB73BF">
      <w:pPr>
        <w:contextualSpacing/>
        <w:jc w:val="both"/>
      </w:pPr>
    </w:p>
    <w:p w14:paraId="579ABB23" w14:textId="77777777" w:rsidR="00D163C8" w:rsidRPr="00EB73BF" w:rsidRDefault="00D163C8" w:rsidP="00EB73BF">
      <w:pPr>
        <w:numPr>
          <w:ilvl w:val="0"/>
          <w:numId w:val="5"/>
        </w:numPr>
        <w:contextualSpacing/>
        <w:jc w:val="both"/>
      </w:pPr>
      <w:r w:rsidRPr="00EB73BF">
        <w:t>The Commission Clerk, or his or her designee, must be a signatory to the escrow agreement.</w:t>
      </w:r>
    </w:p>
    <w:p w14:paraId="660A05D4" w14:textId="77777777" w:rsidR="00D163C8" w:rsidRPr="00EB73BF" w:rsidRDefault="00D163C8" w:rsidP="00EB73BF">
      <w:pPr>
        <w:numPr>
          <w:ilvl w:val="0"/>
          <w:numId w:val="5"/>
        </w:numPr>
        <w:contextualSpacing/>
        <w:jc w:val="both"/>
      </w:pPr>
      <w:r w:rsidRPr="00EB73BF">
        <w:t xml:space="preserve">No monies in the escrow account may be withdrawn by the Utility without the prior written authorization of the Commission Clerk, or his or her designee. </w:t>
      </w:r>
    </w:p>
    <w:p w14:paraId="298E873C" w14:textId="77777777" w:rsidR="00D163C8" w:rsidRPr="00EB73BF" w:rsidRDefault="00D163C8" w:rsidP="00EB73BF">
      <w:pPr>
        <w:numPr>
          <w:ilvl w:val="0"/>
          <w:numId w:val="5"/>
        </w:numPr>
        <w:contextualSpacing/>
        <w:jc w:val="both"/>
      </w:pPr>
      <w:r w:rsidRPr="00EB73BF">
        <w:t>The escrow account shall be an interest bearing account.</w:t>
      </w:r>
    </w:p>
    <w:p w14:paraId="5BE6CDE1" w14:textId="77777777" w:rsidR="00D163C8" w:rsidRPr="00EB73BF" w:rsidRDefault="00D163C8" w:rsidP="00EB73BF">
      <w:pPr>
        <w:numPr>
          <w:ilvl w:val="0"/>
          <w:numId w:val="5"/>
        </w:numPr>
        <w:contextualSpacing/>
        <w:jc w:val="both"/>
      </w:pPr>
      <w:r w:rsidRPr="00EB73BF">
        <w:t>If a refund to the customers is required, all interest earned by the escrow account shall be distributed to the customers.</w:t>
      </w:r>
    </w:p>
    <w:p w14:paraId="40751CB6" w14:textId="77777777" w:rsidR="00D163C8" w:rsidRPr="00EB73BF" w:rsidRDefault="00D163C8" w:rsidP="00EB73BF">
      <w:pPr>
        <w:numPr>
          <w:ilvl w:val="0"/>
          <w:numId w:val="5"/>
        </w:numPr>
        <w:contextualSpacing/>
        <w:jc w:val="both"/>
      </w:pPr>
      <w:r w:rsidRPr="00EB73BF">
        <w:t>If a refund to the customers is not required, the interest earned by the escrow account shall revert to the Utility.</w:t>
      </w:r>
    </w:p>
    <w:p w14:paraId="67DB4223" w14:textId="77777777" w:rsidR="00D163C8" w:rsidRPr="00EB73BF" w:rsidRDefault="00D163C8" w:rsidP="00EB73BF">
      <w:pPr>
        <w:numPr>
          <w:ilvl w:val="0"/>
          <w:numId w:val="5"/>
        </w:numPr>
        <w:contextualSpacing/>
        <w:jc w:val="both"/>
      </w:pPr>
      <w:r w:rsidRPr="00EB73BF">
        <w:t>All information on the escrow account shall be available from the holder of the escrow account to a Commission representative at all times.</w:t>
      </w:r>
    </w:p>
    <w:p w14:paraId="6185389E" w14:textId="77777777" w:rsidR="00D163C8" w:rsidRPr="00EB73BF" w:rsidRDefault="00D163C8" w:rsidP="00EB73BF">
      <w:pPr>
        <w:numPr>
          <w:ilvl w:val="0"/>
          <w:numId w:val="5"/>
        </w:numPr>
        <w:contextualSpacing/>
        <w:jc w:val="both"/>
      </w:pPr>
      <w:r w:rsidRPr="00EB73BF">
        <w:t>The amount of revenue subject to refund shall be deposited in the escrow account within seven days of receipt.</w:t>
      </w:r>
    </w:p>
    <w:p w14:paraId="4ED9E18F" w14:textId="77777777" w:rsidR="00D163C8" w:rsidRPr="00EB73BF" w:rsidRDefault="00D163C8" w:rsidP="00EB73BF">
      <w:pPr>
        <w:numPr>
          <w:ilvl w:val="0"/>
          <w:numId w:val="5"/>
        </w:numPr>
        <w:contextualSpacing/>
        <w:jc w:val="both"/>
      </w:pPr>
      <w:r w:rsidRPr="00EB73BF">
        <w:t xml:space="preserve">This escrow account is established by the direction of the Florida Public Service Commission for the purpose(s) set forth in its order requiring such account. Pursuant to </w:t>
      </w:r>
      <w:r w:rsidRPr="00EB73BF">
        <w:rPr>
          <w:i/>
        </w:rPr>
        <w:t>Cosentino v. Elson</w:t>
      </w:r>
      <w:r w:rsidRPr="00EB73BF">
        <w:t>, 263 So. 2d 253 (Fla. 3d DCA 1972), escrow accounts are not subject to garnishments.</w:t>
      </w:r>
    </w:p>
    <w:p w14:paraId="17AF14D3" w14:textId="77777777" w:rsidR="00D163C8" w:rsidRPr="00EB73BF" w:rsidRDefault="00D163C8" w:rsidP="00EB73BF">
      <w:pPr>
        <w:numPr>
          <w:ilvl w:val="0"/>
          <w:numId w:val="5"/>
        </w:numPr>
        <w:contextualSpacing/>
        <w:jc w:val="both"/>
      </w:pPr>
      <w:r w:rsidRPr="00EB73BF">
        <w:t>The account must specify by whom and on whose behalf such monies were paid.</w:t>
      </w:r>
    </w:p>
    <w:p w14:paraId="32BEAF61" w14:textId="77777777" w:rsidR="00D163C8" w:rsidRPr="00EB73BF" w:rsidRDefault="00D163C8" w:rsidP="00EB73BF">
      <w:pPr>
        <w:ind w:left="1080"/>
        <w:contextualSpacing/>
        <w:jc w:val="both"/>
      </w:pPr>
    </w:p>
    <w:p w14:paraId="585AF613" w14:textId="77777777" w:rsidR="00D163C8" w:rsidRDefault="00D163C8" w:rsidP="00EB73BF">
      <w:pPr>
        <w:contextualSpacing/>
        <w:jc w:val="both"/>
      </w:pPr>
      <w:r w:rsidRPr="00EB73BF">
        <w:tab/>
        <w:t>In no instance sh</w:t>
      </w:r>
      <w:r w:rsidR="008D21C1" w:rsidRPr="00EB73BF">
        <w:t>all</w:t>
      </w:r>
      <w:r w:rsidRPr="00EB73BF">
        <w:t xml:space="preserve"> the maintenance and administrative costs associated with the refund be borne by the customers. These costs are the responsibility of, and sh</w:t>
      </w:r>
      <w:r w:rsidR="00702950">
        <w:t>all</w:t>
      </w:r>
      <w:r w:rsidRPr="00EB73BF">
        <w:t xml:space="preserve"> be borne by, the Utility. Irrespective of the form of security chosen by the Utility, an account of all monies received as a result of the rate increase sh</w:t>
      </w:r>
      <w:r w:rsidR="00702950">
        <w:t>all</w:t>
      </w:r>
      <w:r w:rsidRPr="00EB73BF">
        <w:t xml:space="preserve"> be maintained by the Utility. If a refund is ultimately required, it sh</w:t>
      </w:r>
      <w:r w:rsidR="008D21C1" w:rsidRPr="00EB73BF">
        <w:t>all</w:t>
      </w:r>
      <w:r w:rsidRPr="00EB73BF">
        <w:t xml:space="preserve"> be paid with interest calculated pursuant to Rule 25-30.360(4), F.A.C.</w:t>
      </w:r>
    </w:p>
    <w:p w14:paraId="349F2EF0" w14:textId="77777777" w:rsidR="00702950" w:rsidRPr="00EB73BF" w:rsidRDefault="00702950" w:rsidP="00EB73BF">
      <w:pPr>
        <w:contextualSpacing/>
        <w:jc w:val="both"/>
      </w:pPr>
    </w:p>
    <w:p w14:paraId="59D88693" w14:textId="77777777" w:rsidR="00D163C8" w:rsidRPr="00EB73BF" w:rsidRDefault="00D163C8" w:rsidP="00EB73BF">
      <w:pPr>
        <w:contextualSpacing/>
        <w:jc w:val="both"/>
      </w:pPr>
      <w:r w:rsidRPr="00EB73BF">
        <w:tab/>
        <w:t>The Utility sh</w:t>
      </w:r>
      <w:r w:rsidR="008D21C1" w:rsidRPr="00EB73BF">
        <w:t>all</w:t>
      </w:r>
      <w:r w:rsidRPr="00EB73BF">
        <w:t xml:space="preserve"> maintain a record of the amount of the bond, and the amount of revenues that are subject to refund. In addition, after the increased rates are in effect, pursuant to Rule 25-30.360(6), F.A.C., the Utility sh</w:t>
      </w:r>
      <w:r w:rsidR="008D21C1" w:rsidRPr="00EB73BF">
        <w:t>all</w:t>
      </w:r>
      <w:r w:rsidRPr="00EB73BF">
        <w:t xml:space="preserve"> file reports with the Commission Clerk’s office no later than the 20th of every month indicating the monthly and total amount of money subject to refund at the end of the preceding month. The report filed sh</w:t>
      </w:r>
      <w:r w:rsidR="008D21C1" w:rsidRPr="00EB73BF">
        <w:t>all</w:t>
      </w:r>
      <w:r w:rsidRPr="00EB73BF">
        <w:t xml:space="preserve"> also indicate the status of the security being used to guarantee repayment of any potential refund.</w:t>
      </w:r>
    </w:p>
    <w:p w14:paraId="62AFA9FD" w14:textId="77777777" w:rsidR="00114F0A" w:rsidRPr="00EB73BF" w:rsidRDefault="00114F0A" w:rsidP="00EB73BF">
      <w:pPr>
        <w:contextualSpacing/>
        <w:jc w:val="both"/>
      </w:pPr>
    </w:p>
    <w:p w14:paraId="08194108" w14:textId="77777777" w:rsidR="008D21C1" w:rsidRPr="00EB73BF" w:rsidRDefault="008D21C1" w:rsidP="00EF1246">
      <w:pPr>
        <w:contextualSpacing/>
        <w:jc w:val="both"/>
      </w:pPr>
      <w:r w:rsidRPr="00EB73BF">
        <w:rPr>
          <w:u w:val="single"/>
        </w:rPr>
        <w:t>12. Adjustment to NARUC</w:t>
      </w:r>
      <w:r w:rsidR="00E226FB">
        <w:rPr>
          <w:u w:val="single"/>
        </w:rPr>
        <w:t xml:space="preserve"> USOA Primary Accounts</w:t>
      </w:r>
      <w:r w:rsidRPr="00EB73BF">
        <w:t xml:space="preserve">  (</w:t>
      </w:r>
      <w:r w:rsidRPr="00EB73BF">
        <w:rPr>
          <w:i/>
        </w:rPr>
        <w:t>Procedural Agency Action</w:t>
      </w:r>
      <w:r w:rsidRPr="00EB73BF">
        <w:t>)</w:t>
      </w:r>
    </w:p>
    <w:p w14:paraId="4BE07585" w14:textId="77777777" w:rsidR="008D21C1" w:rsidRPr="00EB73BF" w:rsidRDefault="008D21C1" w:rsidP="00EB73BF">
      <w:pPr>
        <w:tabs>
          <w:tab w:val="left" w:pos="360"/>
        </w:tabs>
        <w:ind w:left="360"/>
        <w:contextualSpacing/>
        <w:jc w:val="both"/>
      </w:pPr>
    </w:p>
    <w:p w14:paraId="7D095032" w14:textId="77777777" w:rsidR="005954B3" w:rsidRPr="00EB73BF" w:rsidRDefault="009616CB" w:rsidP="00EB73BF">
      <w:pPr>
        <w:contextualSpacing/>
        <w:jc w:val="both"/>
      </w:pPr>
      <w:r w:rsidRPr="00EB73BF">
        <w:tab/>
        <w:t>Merritt Island sh</w:t>
      </w:r>
      <w:r w:rsidR="00702950">
        <w:t>all be required to notify this</w:t>
      </w:r>
      <w:r w:rsidRPr="00EB73BF">
        <w:t xml:space="preserve"> Commission, in writing, that it has adjusted its books in accordance with</w:t>
      </w:r>
      <w:r w:rsidR="00702950">
        <w:t xml:space="preserve"> our </w:t>
      </w:r>
      <w:r w:rsidRPr="00EB73BF">
        <w:t>decision. Merritt Island should submit a letter within 90 days of the final order in this docket, confirming that the adjustments to all the applicable NARUC USOA primary accounts have been made to the Utility’s books and records. In the event the Utility needs additional time to complete the adjustments, notice providing good cause sh</w:t>
      </w:r>
      <w:r w:rsidR="00702950">
        <w:t>all</w:t>
      </w:r>
      <w:r w:rsidRPr="00EB73BF">
        <w:t xml:space="preserve"> be filed not less than seven days prior to the deadline. Staff sh</w:t>
      </w:r>
      <w:r w:rsidR="00702950">
        <w:t>all</w:t>
      </w:r>
      <w:r w:rsidRPr="00EB73BF">
        <w:t xml:space="preserve"> be given administrative authority to grant such an extension for up to 60 days.</w:t>
      </w:r>
    </w:p>
    <w:p w14:paraId="6956890B" w14:textId="77777777" w:rsidR="00F723F9" w:rsidRPr="00EB73BF" w:rsidRDefault="00F723F9" w:rsidP="00EB73BF">
      <w:pPr>
        <w:contextualSpacing/>
        <w:jc w:val="both"/>
      </w:pPr>
    </w:p>
    <w:p w14:paraId="37D46701" w14:textId="77777777" w:rsidR="00F723F9" w:rsidRPr="00EB73BF" w:rsidRDefault="00F723F9" w:rsidP="00EB73BF">
      <w:pPr>
        <w:pStyle w:val="OrderBody"/>
        <w:contextualSpacing/>
      </w:pPr>
      <w:r w:rsidRPr="00EB73BF">
        <w:tab/>
        <w:t>Based on the foregoing, it is</w:t>
      </w:r>
    </w:p>
    <w:p w14:paraId="6A805C70" w14:textId="77777777" w:rsidR="00F723F9" w:rsidRPr="00EB73BF" w:rsidRDefault="00F723F9" w:rsidP="00EB73BF">
      <w:pPr>
        <w:pStyle w:val="OrderBody"/>
        <w:contextualSpacing/>
      </w:pPr>
    </w:p>
    <w:p w14:paraId="5967350A" w14:textId="77777777" w:rsidR="00F723F9" w:rsidRPr="00EB73BF" w:rsidRDefault="00F723F9" w:rsidP="00EB73BF">
      <w:pPr>
        <w:pStyle w:val="OrderBody"/>
        <w:contextualSpacing/>
      </w:pPr>
      <w:r w:rsidRPr="00EB73BF">
        <w:tab/>
        <w:t>ORDERED by the Florida Public Service Commission that</w:t>
      </w:r>
      <w:r w:rsidR="0089145B" w:rsidRPr="00EB73BF">
        <w:t xml:space="preserve"> the </w:t>
      </w:r>
      <w:r w:rsidR="002A1AD2" w:rsidRPr="00EB73BF">
        <w:t xml:space="preserve">overall </w:t>
      </w:r>
      <w:r w:rsidR="0089145B" w:rsidRPr="00EB73BF">
        <w:t>quality of service provided by Merritt Island Utility Company</w:t>
      </w:r>
      <w:r w:rsidR="00F87FF2" w:rsidRPr="00EB73BF">
        <w:t>, Inc.</w:t>
      </w:r>
      <w:r w:rsidR="0089145B" w:rsidRPr="00EB73BF">
        <w:t xml:space="preserve"> is satisfactory. It is further</w:t>
      </w:r>
    </w:p>
    <w:p w14:paraId="676AA03D" w14:textId="77777777" w:rsidR="0089145B" w:rsidRPr="00EB73BF" w:rsidRDefault="0089145B" w:rsidP="00EB73BF">
      <w:pPr>
        <w:pStyle w:val="OrderBody"/>
        <w:contextualSpacing/>
      </w:pPr>
    </w:p>
    <w:p w14:paraId="00923BAD" w14:textId="77777777" w:rsidR="0089145B" w:rsidRPr="00EB73BF" w:rsidRDefault="0089145B" w:rsidP="00EB73BF">
      <w:pPr>
        <w:pStyle w:val="OrderBody"/>
        <w:contextualSpacing/>
      </w:pPr>
      <w:r w:rsidRPr="00EB73BF">
        <w:tab/>
        <w:t>ORDERED that Merritt Island Utility Company</w:t>
      </w:r>
      <w:r w:rsidR="00F87FF2" w:rsidRPr="00EB73BF">
        <w:t>, Inc.</w:t>
      </w:r>
      <w:r w:rsidRPr="00EB73BF">
        <w:t xml:space="preserve">’s wastewater treatment plant and collection system </w:t>
      </w:r>
      <w:r w:rsidR="000F0552" w:rsidRPr="00EB73BF">
        <w:t xml:space="preserve">shall </w:t>
      </w:r>
      <w:r w:rsidRPr="00EB73BF">
        <w:t>be considered 100 percent used and useful.</w:t>
      </w:r>
      <w:r w:rsidR="000F0552" w:rsidRPr="00EB73BF">
        <w:t xml:space="preserve"> It is further </w:t>
      </w:r>
    </w:p>
    <w:p w14:paraId="05080476" w14:textId="77777777" w:rsidR="000F0552" w:rsidRPr="00EB73BF" w:rsidRDefault="000F0552" w:rsidP="00EB73BF">
      <w:pPr>
        <w:pStyle w:val="OrderBody"/>
        <w:contextualSpacing/>
      </w:pPr>
    </w:p>
    <w:p w14:paraId="1F9FE794" w14:textId="77777777" w:rsidR="000F0552" w:rsidRPr="00EB73BF" w:rsidRDefault="000F0552" w:rsidP="00EB73BF">
      <w:pPr>
        <w:pStyle w:val="OrderBody"/>
        <w:contextualSpacing/>
      </w:pPr>
      <w:r w:rsidRPr="00EB73BF">
        <w:tab/>
        <w:t>ORDERED that an adjustment of five percent to purchased power and chemical expenses shall be made for Merritt Island Utility Company</w:t>
      </w:r>
      <w:r w:rsidR="00F87FF2" w:rsidRPr="00EB73BF">
        <w:t>, Inc.</w:t>
      </w:r>
      <w:r w:rsidRPr="00EB73BF">
        <w:t>’s excessive infiltration and inflow. It is further</w:t>
      </w:r>
    </w:p>
    <w:p w14:paraId="5483ED64" w14:textId="77777777" w:rsidR="000F0552" w:rsidRPr="00EB73BF" w:rsidRDefault="000F0552" w:rsidP="00EB73BF">
      <w:pPr>
        <w:pStyle w:val="OrderBody"/>
        <w:contextualSpacing/>
      </w:pPr>
    </w:p>
    <w:p w14:paraId="643700F6" w14:textId="77777777" w:rsidR="000F0552" w:rsidRPr="00EB73BF" w:rsidRDefault="000F0552" w:rsidP="00EB73BF">
      <w:pPr>
        <w:pStyle w:val="OrderBody"/>
        <w:contextualSpacing/>
      </w:pPr>
      <w:r w:rsidRPr="00EB73BF">
        <w:tab/>
        <w:t>ORDERED that a year-end rate base shall be a</w:t>
      </w:r>
      <w:r w:rsidR="002A1AD2" w:rsidRPr="00EB73BF">
        <w:t xml:space="preserve">pplied </w:t>
      </w:r>
      <w:r w:rsidRPr="00EB73BF">
        <w:t>for Merritt Island Utility Company</w:t>
      </w:r>
      <w:r w:rsidR="00F87FF2" w:rsidRPr="00EB73BF">
        <w:t>, Inc</w:t>
      </w:r>
      <w:r w:rsidRPr="00EB73BF">
        <w:t xml:space="preserve">. It is further </w:t>
      </w:r>
    </w:p>
    <w:p w14:paraId="2D2CC79E" w14:textId="77777777" w:rsidR="000F0552" w:rsidRPr="00EB73BF" w:rsidRDefault="000F0552" w:rsidP="00EB73BF">
      <w:pPr>
        <w:pStyle w:val="OrderBody"/>
        <w:contextualSpacing/>
      </w:pPr>
    </w:p>
    <w:p w14:paraId="29F2C19B" w14:textId="77777777" w:rsidR="000F0552" w:rsidRPr="00EB73BF" w:rsidRDefault="000F0552" w:rsidP="00EB73BF">
      <w:pPr>
        <w:pStyle w:val="OrderBody"/>
        <w:ind w:firstLine="720"/>
        <w:contextualSpacing/>
      </w:pPr>
      <w:r w:rsidRPr="00EB73BF">
        <w:t>ORDERED that the appropriate year-end test year rate base for Merritt Island Utility Company</w:t>
      </w:r>
      <w:r w:rsidR="00F87FF2" w:rsidRPr="00EB73BF">
        <w:t>, Inc.</w:t>
      </w:r>
      <w:r w:rsidRPr="00EB73BF">
        <w:t xml:space="preserve"> is $150,423. It is further</w:t>
      </w:r>
    </w:p>
    <w:p w14:paraId="60FA1C8A" w14:textId="77777777" w:rsidR="000F0552" w:rsidRPr="00EB73BF" w:rsidRDefault="000F0552" w:rsidP="00EB73BF">
      <w:pPr>
        <w:pStyle w:val="OrderBody"/>
        <w:ind w:firstLine="720"/>
        <w:contextualSpacing/>
      </w:pPr>
    </w:p>
    <w:p w14:paraId="7625D40A" w14:textId="77777777" w:rsidR="000F0552" w:rsidRPr="00EB73BF" w:rsidRDefault="000F0552" w:rsidP="00EB73BF">
      <w:pPr>
        <w:pStyle w:val="OrderBody"/>
        <w:ind w:firstLine="720"/>
        <w:contextualSpacing/>
      </w:pPr>
      <w:r w:rsidRPr="00EB73BF">
        <w:t>ORDERED that the approved return on equity for Merritt Island Utility Company</w:t>
      </w:r>
      <w:r w:rsidR="00F87FF2" w:rsidRPr="00EB73BF">
        <w:t>, Inc.</w:t>
      </w:r>
      <w:r w:rsidRPr="00EB73BF">
        <w:t xml:space="preserve"> is 7.85 percent, with a range of 6.85 to 8.85 percent. It is further</w:t>
      </w:r>
    </w:p>
    <w:p w14:paraId="244471C8" w14:textId="77777777" w:rsidR="000F0552" w:rsidRPr="00EB73BF" w:rsidRDefault="000F0552" w:rsidP="00EB73BF">
      <w:pPr>
        <w:pStyle w:val="OrderBody"/>
        <w:ind w:firstLine="720"/>
        <w:contextualSpacing/>
      </w:pPr>
    </w:p>
    <w:p w14:paraId="70CDB9BB" w14:textId="77777777" w:rsidR="000F0552" w:rsidRPr="00EB73BF" w:rsidRDefault="000F0552" w:rsidP="00EB73BF">
      <w:pPr>
        <w:pStyle w:val="OrderBody"/>
        <w:ind w:firstLine="720"/>
        <w:contextualSpacing/>
        <w:rPr>
          <w:bCs/>
          <w:iCs/>
        </w:rPr>
      </w:pPr>
      <w:r w:rsidRPr="00EB73BF">
        <w:t>ORDERED that the appropriate test year revenues for Merritt Island Utility Company</w:t>
      </w:r>
      <w:r w:rsidR="00F87FF2" w:rsidRPr="00EB73BF">
        <w:t>, Inc.</w:t>
      </w:r>
      <w:r w:rsidRPr="00EB73BF">
        <w:t xml:space="preserve"> are </w:t>
      </w:r>
      <w:r w:rsidRPr="00EB73BF">
        <w:rPr>
          <w:bCs/>
          <w:iCs/>
        </w:rPr>
        <w:t>65,658. It is further</w:t>
      </w:r>
    </w:p>
    <w:p w14:paraId="1F5B1DFE" w14:textId="77777777" w:rsidR="000F0552" w:rsidRPr="00EB73BF" w:rsidRDefault="000F0552" w:rsidP="00EB73BF">
      <w:pPr>
        <w:pStyle w:val="OrderBody"/>
        <w:ind w:firstLine="720"/>
        <w:contextualSpacing/>
        <w:rPr>
          <w:bCs/>
          <w:iCs/>
        </w:rPr>
      </w:pPr>
    </w:p>
    <w:p w14:paraId="059A51D9" w14:textId="77777777" w:rsidR="000F0552" w:rsidRPr="00EB73BF" w:rsidRDefault="000F0552" w:rsidP="00EB73BF">
      <w:pPr>
        <w:pStyle w:val="OrderBody"/>
        <w:ind w:firstLine="720"/>
        <w:contextualSpacing/>
      </w:pPr>
      <w:r w:rsidRPr="00EB73BF">
        <w:rPr>
          <w:bCs/>
          <w:iCs/>
        </w:rPr>
        <w:t>ORDERED that t</w:t>
      </w:r>
      <w:r w:rsidRPr="00EB73BF">
        <w:t>he appropriate amount of operating expense for Merritt Island Utility Company</w:t>
      </w:r>
      <w:r w:rsidR="00F87FF2" w:rsidRPr="00EB73BF">
        <w:t>, Inc.</w:t>
      </w:r>
      <w:r w:rsidRPr="00EB73BF">
        <w:t xml:space="preserve"> is $87,417. It is further</w:t>
      </w:r>
    </w:p>
    <w:p w14:paraId="0C42AAA2" w14:textId="77777777" w:rsidR="000F0552" w:rsidRPr="00EB73BF" w:rsidRDefault="000F0552" w:rsidP="00EB73BF">
      <w:pPr>
        <w:pStyle w:val="OrderBody"/>
        <w:ind w:firstLine="720"/>
        <w:contextualSpacing/>
      </w:pPr>
    </w:p>
    <w:p w14:paraId="7498B030" w14:textId="77777777" w:rsidR="000F0552" w:rsidRPr="00EB73BF" w:rsidRDefault="000F0552" w:rsidP="00EB73BF">
      <w:pPr>
        <w:pStyle w:val="OrderBody"/>
        <w:ind w:firstLine="720"/>
        <w:contextualSpacing/>
      </w:pPr>
      <w:r w:rsidRPr="00EB73BF">
        <w:t>ORDERED that the appropriate revenue requirement for</w:t>
      </w:r>
      <w:r w:rsidR="00F87FF2" w:rsidRPr="00EB73BF">
        <w:t xml:space="preserve"> Merritt Island Utility Company, Inc.</w:t>
      </w:r>
      <w:r w:rsidRPr="00EB73BF">
        <w:t>is $99,225, resulting in an annual increase of $33,567 (51.12 percent). It is further</w:t>
      </w:r>
    </w:p>
    <w:p w14:paraId="20AC0924" w14:textId="77777777" w:rsidR="001E57FA" w:rsidRPr="00EB73BF" w:rsidRDefault="001E57FA" w:rsidP="00EB73BF">
      <w:pPr>
        <w:pStyle w:val="OrderBody"/>
        <w:ind w:firstLine="720"/>
        <w:contextualSpacing/>
      </w:pPr>
    </w:p>
    <w:p w14:paraId="02E76C8B" w14:textId="77777777" w:rsidR="001E57FA" w:rsidRPr="00EB73BF" w:rsidRDefault="001E57FA" w:rsidP="00EB73BF">
      <w:pPr>
        <w:pStyle w:val="OrderBody"/>
        <w:ind w:firstLine="720"/>
        <w:contextualSpacing/>
      </w:pPr>
      <w:r w:rsidRPr="00EB73BF">
        <w:t>ORDERED that Merritt Island Utility Company</w:t>
      </w:r>
      <w:r w:rsidR="00F87FF2" w:rsidRPr="00EB73BF">
        <w:t>, Inc.</w:t>
      </w:r>
      <w:r w:rsidRPr="00EB73BF">
        <w:t>’s approved monthly wastewater rates are shown on Schedule No. 4. It is further</w:t>
      </w:r>
    </w:p>
    <w:p w14:paraId="033BC866" w14:textId="77777777" w:rsidR="001E57FA" w:rsidRPr="00EB73BF" w:rsidRDefault="001E57FA" w:rsidP="00EB73BF">
      <w:pPr>
        <w:pStyle w:val="OrderBody"/>
        <w:ind w:firstLine="720"/>
        <w:contextualSpacing/>
      </w:pPr>
    </w:p>
    <w:p w14:paraId="27839181" w14:textId="77777777" w:rsidR="000F0552" w:rsidRPr="00EB73BF" w:rsidRDefault="000F0552" w:rsidP="00EB73BF">
      <w:pPr>
        <w:pStyle w:val="OrderBody"/>
        <w:ind w:firstLine="720"/>
        <w:contextualSpacing/>
      </w:pPr>
      <w:r w:rsidRPr="00EB73BF">
        <w:t xml:space="preserve">ORDERED that </w:t>
      </w:r>
      <w:r w:rsidR="00D71E01" w:rsidRPr="00EB73BF">
        <w:t>Merritt Island Utility Company</w:t>
      </w:r>
      <w:r w:rsidR="00F87FF2" w:rsidRPr="00EB73BF">
        <w:t>, Inc.</w:t>
      </w:r>
      <w:r w:rsidR="00D71E01" w:rsidRPr="00EB73BF">
        <w:t xml:space="preserve"> shall file revised tariff sheets and a proposed customer notice to reflect the Commission-approved rates. The approved rates sh</w:t>
      </w:r>
      <w:r w:rsidR="00D375B3" w:rsidRPr="00EB73BF">
        <w:t>all</w:t>
      </w:r>
      <w:r w:rsidR="00D71E01" w:rsidRPr="00EB73BF">
        <w:t xml:space="preserve"> be effective for service rendered on or after the stamped approval date on the tariff sheets pursuant to Rule 25-30.475(1), F.A.C. In addition, the approved rates sh</w:t>
      </w:r>
      <w:r w:rsidR="00D375B3" w:rsidRPr="00EB73BF">
        <w:t>all</w:t>
      </w:r>
      <w:r w:rsidR="00D71E01" w:rsidRPr="00EB73BF">
        <w:t xml:space="preserve"> not be implemented until </w:t>
      </w:r>
      <w:r w:rsidR="00D375B3" w:rsidRPr="00EB73BF">
        <w:t xml:space="preserve">our </w:t>
      </w:r>
      <w:r w:rsidR="00D71E01" w:rsidRPr="00EB73BF">
        <w:t>staff has approved the proposed customer notice and the notice has b</w:t>
      </w:r>
      <w:r w:rsidR="00D375B3" w:rsidRPr="00EB73BF">
        <w:t>een received by the customers. Merritt Island Utility Company</w:t>
      </w:r>
      <w:r w:rsidR="00F87FF2" w:rsidRPr="00EB73BF">
        <w:t>, Inc.</w:t>
      </w:r>
      <w:r w:rsidR="00D375B3" w:rsidRPr="00EB73BF">
        <w:t xml:space="preserve"> shall</w:t>
      </w:r>
      <w:r w:rsidR="00D71E01" w:rsidRPr="00EB73BF">
        <w:t xml:space="preserve"> provide proof of the date notice was given within 10 days of the date of this notice</w:t>
      </w:r>
      <w:r w:rsidR="00D375B3" w:rsidRPr="00EB73BF">
        <w:t xml:space="preserve">. </w:t>
      </w:r>
      <w:r w:rsidR="001E57FA" w:rsidRPr="00EB73BF">
        <w:t xml:space="preserve"> (</w:t>
      </w:r>
      <w:r w:rsidR="001E57FA" w:rsidRPr="00EB73BF">
        <w:rPr>
          <w:i/>
        </w:rPr>
        <w:t>Procedural Agency Action</w:t>
      </w:r>
      <w:r w:rsidR="001E57FA" w:rsidRPr="00EB73BF">
        <w:t xml:space="preserve">) </w:t>
      </w:r>
      <w:r w:rsidR="00D375B3" w:rsidRPr="00EB73BF">
        <w:t>It is further</w:t>
      </w:r>
    </w:p>
    <w:p w14:paraId="7D71BEEC" w14:textId="77777777" w:rsidR="00D375B3" w:rsidRPr="00EB73BF" w:rsidRDefault="00D375B3" w:rsidP="00EB73BF">
      <w:pPr>
        <w:pStyle w:val="OrderBody"/>
        <w:ind w:firstLine="720"/>
        <w:contextualSpacing/>
      </w:pPr>
    </w:p>
    <w:p w14:paraId="0FB65DB9" w14:textId="77777777" w:rsidR="00D375B3" w:rsidRPr="00EB73BF" w:rsidRDefault="00D375B3" w:rsidP="00EB73BF">
      <w:pPr>
        <w:pStyle w:val="OrderBody"/>
        <w:ind w:firstLine="720"/>
        <w:contextualSpacing/>
      </w:pPr>
      <w:r w:rsidRPr="00EB73BF">
        <w:t>ORDERED that Merritt Island Utility Company</w:t>
      </w:r>
      <w:r w:rsidR="00F87FF2" w:rsidRPr="00EB73BF">
        <w:t>, Inc.</w:t>
      </w:r>
      <w:r w:rsidR="001E57FA" w:rsidRPr="00EB73BF">
        <w:t xml:space="preserve">’s rates shall be reduced as shown </w:t>
      </w:r>
      <w:r w:rsidR="00A04B20" w:rsidRPr="00EB73BF">
        <w:t>on Schedule No. 4, to remove rate case expense grossed-up for Regulatory Assessment Fees and amortized over a four-year period. The decrease in rates shall become effective immediately following the expiration of the rate case expense recovery period, pursuant to Section 367.081(8), F.S. Merritt Island Utility Company</w:t>
      </w:r>
      <w:r w:rsidR="00F87FF2" w:rsidRPr="00EB73BF">
        <w:t>, Inc.</w:t>
      </w:r>
      <w:r w:rsidR="00A04B20" w:rsidRPr="00EB73BF">
        <w:t xml:space="preserve"> shall be required to file revised tariffs and a proposed customer notice setting forth the lower rates and the reason for the reduction no later than one month prior to the actual date of the required rate reduction. If Merritt Island Utility Company</w:t>
      </w:r>
      <w:r w:rsidR="00F87FF2" w:rsidRPr="00EB73BF">
        <w:t>, Inc.</w:t>
      </w:r>
      <w:r w:rsidR="00A04B20" w:rsidRPr="00EB73BF">
        <w:t xml:space="preserve"> files this reduction in conjunction with a price index or pass-through rate adjustment, separate data should be filed for the price index and/or pass-through increase or decrease and the reduction in the rates due to the amortized rate case expense. (</w:t>
      </w:r>
      <w:r w:rsidR="00A04B20" w:rsidRPr="00EB73BF">
        <w:rPr>
          <w:i/>
        </w:rPr>
        <w:t>Procedural Agency Action</w:t>
      </w:r>
      <w:r w:rsidR="00A04B20" w:rsidRPr="00EB73BF">
        <w:t xml:space="preserve">) It is further </w:t>
      </w:r>
    </w:p>
    <w:p w14:paraId="62362A97" w14:textId="77777777" w:rsidR="00A04B20" w:rsidRPr="00EB73BF" w:rsidRDefault="00A04B20" w:rsidP="00EB73BF">
      <w:pPr>
        <w:pStyle w:val="OrderBody"/>
        <w:ind w:firstLine="720"/>
        <w:contextualSpacing/>
      </w:pPr>
    </w:p>
    <w:p w14:paraId="530CDF63" w14:textId="77777777" w:rsidR="002A1AD2" w:rsidRPr="00EB73BF" w:rsidRDefault="00A04B20" w:rsidP="00EB73BF">
      <w:pPr>
        <w:pStyle w:val="OrderBody"/>
        <w:ind w:firstLine="720"/>
        <w:contextualSpacing/>
      </w:pPr>
      <w:r w:rsidRPr="00EB73BF">
        <w:t>ORDERED that the rates for Merritt Island Utility Company</w:t>
      </w:r>
      <w:r w:rsidR="00F87FF2" w:rsidRPr="00EB73BF">
        <w:t>, Inc.</w:t>
      </w:r>
      <w:r w:rsidRPr="00EB73BF">
        <w:t xml:space="preserve"> are approved on a temporary basis, subject to refund with interest, in the event of a protest filed by a party other than Merritt Island Utility Company</w:t>
      </w:r>
      <w:r w:rsidR="00F87FF2" w:rsidRPr="00EB73BF">
        <w:t>, Inc</w:t>
      </w:r>
      <w:r w:rsidRPr="00EB73BF">
        <w:t>. Merritt Island Utility Company</w:t>
      </w:r>
      <w:r w:rsidR="00F87FF2" w:rsidRPr="00EB73BF">
        <w:t>, Inc.</w:t>
      </w:r>
      <w:r w:rsidRPr="00EB73BF">
        <w:t xml:space="preserve"> shall file revised tariff sheets and a proposed customer notice to reflect the Commission-approved rates. The approved rates sh</w:t>
      </w:r>
      <w:r w:rsidR="00702950">
        <w:t xml:space="preserve">all </w:t>
      </w:r>
      <w:r w:rsidRPr="00EB73BF">
        <w:t xml:space="preserve">be effective for service rendered on or after the stamped approval date on the tariff sheet, pursuant to Rule 25-30.475(1), F.A.C. In addition, the temporary rates shall not be implemented until our staff has approved the proposed notice, and the notice has been received by the customers. </w:t>
      </w:r>
      <w:r w:rsidR="002A1AD2" w:rsidRPr="00EB73BF">
        <w:t>(</w:t>
      </w:r>
      <w:r w:rsidR="002A1AD2" w:rsidRPr="00EB73BF">
        <w:rPr>
          <w:i/>
        </w:rPr>
        <w:t>Procedural Agency Action</w:t>
      </w:r>
      <w:r w:rsidR="002A1AD2" w:rsidRPr="00EB73BF">
        <w:t>) It is further</w:t>
      </w:r>
    </w:p>
    <w:p w14:paraId="2FE2AE76" w14:textId="77777777" w:rsidR="002A1AD2" w:rsidRPr="00EB73BF" w:rsidRDefault="002A1AD2" w:rsidP="00EB73BF">
      <w:pPr>
        <w:pStyle w:val="OrderBody"/>
        <w:ind w:firstLine="720"/>
        <w:contextualSpacing/>
        <w:rPr>
          <w:highlight w:val="yellow"/>
        </w:rPr>
      </w:pPr>
    </w:p>
    <w:p w14:paraId="264BA203" w14:textId="77777777" w:rsidR="002A1AD2" w:rsidRPr="00EB73BF" w:rsidRDefault="002A1AD2" w:rsidP="00EB73BF">
      <w:pPr>
        <w:pStyle w:val="OrderBody"/>
        <w:contextualSpacing/>
      </w:pPr>
      <w:r w:rsidRPr="00EB73BF">
        <w:tab/>
        <w:t>ORDERED that Merritt Island Utility Company</w:t>
      </w:r>
      <w:r w:rsidR="00F87FF2" w:rsidRPr="00EB73BF">
        <w:t>, Inc.</w:t>
      </w:r>
      <w:r w:rsidRPr="00EB73BF">
        <w:t xml:space="preserve"> shall provide appropriate security for the potential refund. Temporary rates collected by Merritt Island Utility Company</w:t>
      </w:r>
      <w:r w:rsidR="00F87FF2" w:rsidRPr="00EB73BF">
        <w:t>, Inc.</w:t>
      </w:r>
      <w:r w:rsidRPr="00EB73BF">
        <w:t xml:space="preserve"> shall be subject to refund as provided in the body of this Order. (</w:t>
      </w:r>
      <w:r w:rsidRPr="00EB73BF">
        <w:rPr>
          <w:i/>
        </w:rPr>
        <w:t>Procedural Agency Action</w:t>
      </w:r>
      <w:r w:rsidRPr="00EB73BF">
        <w:t>) It is further</w:t>
      </w:r>
    </w:p>
    <w:p w14:paraId="3E9308F5" w14:textId="77777777" w:rsidR="002A1AD2" w:rsidRPr="00EB73BF" w:rsidRDefault="002A1AD2" w:rsidP="00EB73BF">
      <w:pPr>
        <w:pStyle w:val="OrderBody"/>
        <w:ind w:firstLine="720"/>
        <w:contextualSpacing/>
      </w:pPr>
    </w:p>
    <w:p w14:paraId="29CB7DDD" w14:textId="77777777" w:rsidR="00A04B20" w:rsidRPr="00EB73BF" w:rsidRDefault="006408F4" w:rsidP="00EB73BF">
      <w:pPr>
        <w:pStyle w:val="OrderBody"/>
        <w:ind w:firstLine="720"/>
        <w:contextualSpacing/>
      </w:pPr>
      <w:r w:rsidRPr="00EB73BF">
        <w:t xml:space="preserve">ORDERED that </w:t>
      </w:r>
      <w:r w:rsidR="00A04B20" w:rsidRPr="00EB73BF">
        <w:t xml:space="preserve">after the increased rates are in effect, pursuant </w:t>
      </w:r>
      <w:r w:rsidRPr="00EB73BF">
        <w:t>to Rule 25-30.360(6), F.A.C., Merritt Island Utility Company</w:t>
      </w:r>
      <w:r w:rsidR="00F87FF2" w:rsidRPr="00EB73BF">
        <w:t>, Inc.</w:t>
      </w:r>
      <w:r w:rsidRPr="00EB73BF">
        <w:t xml:space="preserve"> shall</w:t>
      </w:r>
      <w:r w:rsidR="00A04B20" w:rsidRPr="00EB73BF">
        <w:t xml:space="preserve"> file reports with the Office of Commission Clerk no later than the 20th of each month indicating the monthly and total amount of money subject to refund at the end of the preceding month. The report filed sh</w:t>
      </w:r>
      <w:r w:rsidR="00702950">
        <w:t>all</w:t>
      </w:r>
      <w:r w:rsidR="00A04B20" w:rsidRPr="00EB73BF">
        <w:t xml:space="preserve"> also indicate the status of the security being used to guarantee repayment of any potential refund. (</w:t>
      </w:r>
      <w:r w:rsidR="00A04B20" w:rsidRPr="00EB73BF">
        <w:rPr>
          <w:i/>
        </w:rPr>
        <w:t>Procedural Agency Action</w:t>
      </w:r>
      <w:r w:rsidR="00A04B20" w:rsidRPr="00EB73BF">
        <w:t>) It is further</w:t>
      </w:r>
    </w:p>
    <w:p w14:paraId="7EA85F79" w14:textId="77777777" w:rsidR="00A04B20" w:rsidRPr="00EB73BF" w:rsidRDefault="00A04B20" w:rsidP="00EB73BF">
      <w:pPr>
        <w:pStyle w:val="OrderBody"/>
        <w:ind w:firstLine="720"/>
        <w:contextualSpacing/>
      </w:pPr>
    </w:p>
    <w:p w14:paraId="1C639D25" w14:textId="77777777" w:rsidR="00A04B20" w:rsidRPr="00EB73BF" w:rsidRDefault="00A04B20" w:rsidP="00EB73BF">
      <w:pPr>
        <w:pStyle w:val="OrderBody"/>
        <w:ind w:firstLine="720"/>
        <w:contextualSpacing/>
      </w:pPr>
      <w:r w:rsidRPr="00EB73BF">
        <w:t>ORDERED that Merritt Island Utility Company</w:t>
      </w:r>
      <w:r w:rsidR="00F87FF2" w:rsidRPr="00EB73BF">
        <w:t>, Inc.</w:t>
      </w:r>
      <w:r w:rsidRPr="00EB73BF">
        <w:t xml:space="preserve"> shall be required to notify this Commission, in writing, that it has adjusted its books in accordance with our decision. Merritt Island Utility Company</w:t>
      </w:r>
      <w:r w:rsidR="00F87FF2" w:rsidRPr="00EB73BF">
        <w:t>, Inc.</w:t>
      </w:r>
      <w:r w:rsidRPr="00EB73BF">
        <w:t xml:space="preserve"> shall submit a letter within 90 days of the final order in this docket, confirming that the adjustments to all applicable National Association of Regulatory Commissioners (NARUC) Uniform System of Accounts (USOA) primary accounts have been made to Merritt Island Utility Company</w:t>
      </w:r>
      <w:r w:rsidR="00F87FF2" w:rsidRPr="00EB73BF">
        <w:t>, Inc.</w:t>
      </w:r>
      <w:r w:rsidRPr="00EB73BF">
        <w:t>’s books and records. In the event that Merritt Island Utility Company</w:t>
      </w:r>
      <w:r w:rsidR="00F87FF2" w:rsidRPr="00EB73BF">
        <w:t>, Inc.</w:t>
      </w:r>
      <w:r w:rsidRPr="00EB73BF">
        <w:t xml:space="preserve"> needs additional time to complete the adjustments, notice providing good cause shall be filed not less than seven days prior to the deadline. Our staff shall be given administrative authority to grant such an extension for up to 60 days. (</w:t>
      </w:r>
      <w:r w:rsidRPr="00EB73BF">
        <w:rPr>
          <w:i/>
        </w:rPr>
        <w:t>Procedural Agency Action</w:t>
      </w:r>
      <w:r w:rsidRPr="00EB73BF">
        <w:t>) It is further</w:t>
      </w:r>
    </w:p>
    <w:p w14:paraId="34905568" w14:textId="77777777" w:rsidR="00D375B3" w:rsidRPr="00EB73BF" w:rsidRDefault="00D375B3" w:rsidP="00EB73BF">
      <w:pPr>
        <w:pStyle w:val="OrderBody"/>
        <w:contextualSpacing/>
      </w:pPr>
    </w:p>
    <w:p w14:paraId="20293CC4" w14:textId="77777777" w:rsidR="00F723F9" w:rsidRPr="00EB73BF" w:rsidRDefault="00F723F9" w:rsidP="00EB73BF">
      <w:pPr>
        <w:pStyle w:val="OrderBody"/>
        <w:contextualSpacing/>
      </w:pPr>
      <w:r w:rsidRPr="00EB73BF">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690CF7B4" w14:textId="77777777" w:rsidR="006408F4" w:rsidRPr="00EB73BF" w:rsidRDefault="006408F4" w:rsidP="00EB73BF">
      <w:pPr>
        <w:pStyle w:val="OrderBody"/>
        <w:contextualSpacing/>
      </w:pPr>
    </w:p>
    <w:p w14:paraId="31879FB0" w14:textId="77777777" w:rsidR="00F723F9" w:rsidRPr="00EB73BF" w:rsidRDefault="006408F4" w:rsidP="00EB73BF">
      <w:pPr>
        <w:pStyle w:val="OrderBody"/>
        <w:ind w:firstLine="720"/>
        <w:contextualSpacing/>
      </w:pPr>
      <w:r w:rsidRPr="00EB73BF">
        <w:t>ORDERED that if no person whose substantial interests are affected by the proposed agency action files a protest within 21 days of the issuance of the proposed agency action order, a consummating order shall be issued. The docket shall remain open for our staff’s verification that the revised tariff sheets and customer notice have been filed by Merritt Island Utility Company</w:t>
      </w:r>
      <w:r w:rsidR="00F87FF2" w:rsidRPr="00EB73BF">
        <w:t>, Inc.</w:t>
      </w:r>
      <w:r w:rsidRPr="00EB73BF">
        <w:t xml:space="preserve"> and approved by our staff. Once these actions are complete, this docket shall be closed administratively. </w:t>
      </w:r>
    </w:p>
    <w:p w14:paraId="3B0600F9" w14:textId="77777777" w:rsidR="009616CB" w:rsidRPr="00EB73BF" w:rsidRDefault="009616CB" w:rsidP="00EB73BF">
      <w:pPr>
        <w:contextualSpacing/>
        <w:jc w:val="both"/>
      </w:pPr>
    </w:p>
    <w:p w14:paraId="34071A00" w14:textId="5D040345" w:rsidR="00F723F9" w:rsidRDefault="00F723F9" w:rsidP="00F723F9">
      <w:pPr>
        <w:keepNext/>
        <w:keepLines/>
        <w:jc w:val="both"/>
      </w:pPr>
      <w:r>
        <w:tab/>
        <w:t xml:space="preserve">By ORDER of the Florida Public Service Commission this </w:t>
      </w:r>
      <w:bookmarkStart w:id="9" w:name="replaceDate"/>
      <w:bookmarkEnd w:id="9"/>
      <w:r w:rsidR="00CB57FE">
        <w:rPr>
          <w:u w:val="single"/>
        </w:rPr>
        <w:t>25th</w:t>
      </w:r>
      <w:r w:rsidR="00CB57FE">
        <w:t xml:space="preserve"> day of </w:t>
      </w:r>
      <w:r w:rsidR="00CB57FE">
        <w:rPr>
          <w:u w:val="single"/>
        </w:rPr>
        <w:t>March</w:t>
      </w:r>
      <w:r w:rsidR="00CB57FE">
        <w:t xml:space="preserve">, </w:t>
      </w:r>
      <w:r w:rsidR="00CB57FE">
        <w:rPr>
          <w:u w:val="single"/>
        </w:rPr>
        <w:t>2020</w:t>
      </w:r>
      <w:r w:rsidR="00CB57FE">
        <w:t>.</w:t>
      </w:r>
    </w:p>
    <w:p w14:paraId="7DFE607A" w14:textId="77777777" w:rsidR="00CB57FE" w:rsidRPr="00CB57FE" w:rsidRDefault="00CB57FE" w:rsidP="00F723F9">
      <w:pPr>
        <w:keepNext/>
        <w:keepLines/>
        <w:jc w:val="both"/>
      </w:pPr>
    </w:p>
    <w:p w14:paraId="0F7D2EEC" w14:textId="77777777" w:rsidR="00F723F9" w:rsidRDefault="00F723F9" w:rsidP="00F723F9">
      <w:pPr>
        <w:keepNext/>
        <w:keepLines/>
        <w:jc w:val="both"/>
      </w:pPr>
    </w:p>
    <w:p w14:paraId="507DBAB2" w14:textId="77777777" w:rsidR="00F723F9" w:rsidRDefault="00F723F9" w:rsidP="00F723F9">
      <w:pPr>
        <w:keepNext/>
        <w:keepLines/>
        <w:jc w:val="both"/>
      </w:pPr>
    </w:p>
    <w:p w14:paraId="027029E4" w14:textId="77777777" w:rsidR="00F723F9" w:rsidRDefault="00F723F9" w:rsidP="00F723F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723F9" w14:paraId="30FE442A" w14:textId="77777777" w:rsidTr="00F723F9">
        <w:tc>
          <w:tcPr>
            <w:tcW w:w="720" w:type="dxa"/>
            <w:shd w:val="clear" w:color="auto" w:fill="auto"/>
          </w:tcPr>
          <w:p w14:paraId="2403C089" w14:textId="77777777" w:rsidR="00F723F9" w:rsidRDefault="00F723F9" w:rsidP="00F723F9">
            <w:pPr>
              <w:keepNext/>
              <w:keepLines/>
              <w:jc w:val="both"/>
            </w:pPr>
            <w:bookmarkStart w:id="10" w:name="bkmrkSignature" w:colFirst="0" w:colLast="0"/>
          </w:p>
        </w:tc>
        <w:tc>
          <w:tcPr>
            <w:tcW w:w="4320" w:type="dxa"/>
            <w:tcBorders>
              <w:bottom w:val="single" w:sz="4" w:space="0" w:color="auto"/>
            </w:tcBorders>
            <w:shd w:val="clear" w:color="auto" w:fill="auto"/>
          </w:tcPr>
          <w:p w14:paraId="3EFDFDCC" w14:textId="5F477607" w:rsidR="00F723F9" w:rsidRDefault="00CB57FE" w:rsidP="00F723F9">
            <w:pPr>
              <w:keepNext/>
              <w:keepLines/>
              <w:jc w:val="both"/>
            </w:pPr>
            <w:r>
              <w:t>/s/ Adam J. Teitzman</w:t>
            </w:r>
            <w:bookmarkStart w:id="11" w:name="_GoBack"/>
            <w:bookmarkEnd w:id="11"/>
          </w:p>
        </w:tc>
      </w:tr>
      <w:bookmarkEnd w:id="10"/>
      <w:tr w:rsidR="00F723F9" w14:paraId="0748FB6F" w14:textId="77777777" w:rsidTr="00F723F9">
        <w:tc>
          <w:tcPr>
            <w:tcW w:w="720" w:type="dxa"/>
            <w:shd w:val="clear" w:color="auto" w:fill="auto"/>
          </w:tcPr>
          <w:p w14:paraId="2589DCEC" w14:textId="77777777" w:rsidR="00F723F9" w:rsidRDefault="00F723F9" w:rsidP="00F723F9">
            <w:pPr>
              <w:keepNext/>
              <w:keepLines/>
              <w:jc w:val="both"/>
            </w:pPr>
          </w:p>
        </w:tc>
        <w:tc>
          <w:tcPr>
            <w:tcW w:w="4320" w:type="dxa"/>
            <w:tcBorders>
              <w:top w:val="single" w:sz="4" w:space="0" w:color="auto"/>
            </w:tcBorders>
            <w:shd w:val="clear" w:color="auto" w:fill="auto"/>
          </w:tcPr>
          <w:p w14:paraId="34ECFF29" w14:textId="77777777" w:rsidR="00F723F9" w:rsidRDefault="00F723F9" w:rsidP="00F723F9">
            <w:pPr>
              <w:keepNext/>
              <w:keepLines/>
              <w:jc w:val="both"/>
            </w:pPr>
            <w:r>
              <w:t>ADAM J. TEITZMAN</w:t>
            </w:r>
          </w:p>
          <w:p w14:paraId="03058EEE" w14:textId="77777777" w:rsidR="00F723F9" w:rsidRDefault="00F723F9" w:rsidP="00F723F9">
            <w:pPr>
              <w:keepNext/>
              <w:keepLines/>
              <w:jc w:val="both"/>
            </w:pPr>
            <w:r>
              <w:t>Commission Clerk</w:t>
            </w:r>
          </w:p>
        </w:tc>
      </w:tr>
    </w:tbl>
    <w:p w14:paraId="15E282EF" w14:textId="77777777" w:rsidR="00F723F9" w:rsidRDefault="00F723F9" w:rsidP="00F723F9">
      <w:pPr>
        <w:pStyle w:val="OrderSigInfo"/>
        <w:keepNext/>
        <w:keepLines/>
      </w:pPr>
      <w:r>
        <w:t>Florida Public Service Commission</w:t>
      </w:r>
    </w:p>
    <w:p w14:paraId="2DC5B85F" w14:textId="77777777" w:rsidR="00F723F9" w:rsidRDefault="00F723F9" w:rsidP="00F723F9">
      <w:pPr>
        <w:pStyle w:val="OrderSigInfo"/>
        <w:keepNext/>
        <w:keepLines/>
      </w:pPr>
      <w:r>
        <w:t>2540 Shumard Oak Boulevard</w:t>
      </w:r>
    </w:p>
    <w:p w14:paraId="153EEFE4" w14:textId="77777777" w:rsidR="00F723F9" w:rsidRDefault="00F723F9" w:rsidP="00F723F9">
      <w:pPr>
        <w:pStyle w:val="OrderSigInfo"/>
        <w:keepNext/>
        <w:keepLines/>
      </w:pPr>
      <w:r>
        <w:t>Tallahassee, Florida 32399</w:t>
      </w:r>
    </w:p>
    <w:p w14:paraId="2A85B1B8" w14:textId="77777777" w:rsidR="00F723F9" w:rsidRDefault="00F723F9" w:rsidP="00F723F9">
      <w:pPr>
        <w:pStyle w:val="OrderSigInfo"/>
        <w:keepNext/>
        <w:keepLines/>
      </w:pPr>
      <w:r>
        <w:t>(850) 413</w:t>
      </w:r>
      <w:r>
        <w:noBreakHyphen/>
        <w:t>6770</w:t>
      </w:r>
    </w:p>
    <w:p w14:paraId="65FF9E4B" w14:textId="77777777" w:rsidR="00F723F9" w:rsidRDefault="00F723F9" w:rsidP="00F723F9">
      <w:pPr>
        <w:pStyle w:val="OrderSigInfo"/>
        <w:keepNext/>
        <w:keepLines/>
      </w:pPr>
      <w:r>
        <w:t>www.floridapsc.com</w:t>
      </w:r>
      <w:r w:rsidR="00982C1F">
        <w:t xml:space="preserve"> </w:t>
      </w:r>
    </w:p>
    <w:p w14:paraId="1A689F84" w14:textId="77777777" w:rsidR="00F723F9" w:rsidRDefault="00F723F9" w:rsidP="00F723F9">
      <w:pPr>
        <w:pStyle w:val="OrderSigInfo"/>
        <w:keepNext/>
        <w:keepLines/>
      </w:pPr>
    </w:p>
    <w:p w14:paraId="3ABC5B47" w14:textId="77777777" w:rsidR="00F723F9" w:rsidRDefault="00F723F9" w:rsidP="00F723F9">
      <w:pPr>
        <w:pStyle w:val="OrderSigInfo"/>
        <w:keepNext/>
        <w:keepLines/>
      </w:pPr>
      <w:r>
        <w:t>Copies furnished:  A copy of this document is provided to the parties of record at the time of issuance and, if applicable, interested persons.</w:t>
      </w:r>
      <w:r w:rsidR="00982C1F">
        <w:t xml:space="preserve"> </w:t>
      </w:r>
    </w:p>
    <w:p w14:paraId="670681D7" w14:textId="77777777" w:rsidR="00F723F9" w:rsidRDefault="00F723F9" w:rsidP="00F723F9">
      <w:pPr>
        <w:keepNext/>
        <w:keepLines/>
        <w:jc w:val="both"/>
      </w:pPr>
    </w:p>
    <w:p w14:paraId="7FB00725" w14:textId="77777777" w:rsidR="00F723F9" w:rsidRDefault="00F723F9" w:rsidP="00F723F9">
      <w:pPr>
        <w:keepNext/>
        <w:keepLines/>
        <w:jc w:val="both"/>
      </w:pPr>
      <w:r>
        <w:t>RAD</w:t>
      </w:r>
    </w:p>
    <w:p w14:paraId="1F0F01D1" w14:textId="77777777" w:rsidR="00F723F9" w:rsidRDefault="00F723F9" w:rsidP="00F723F9">
      <w:pPr>
        <w:jc w:val="both"/>
      </w:pPr>
    </w:p>
    <w:p w14:paraId="1DC56DA5" w14:textId="77777777" w:rsidR="00D173D1" w:rsidRDefault="00D173D1" w:rsidP="00F723F9">
      <w:pPr>
        <w:jc w:val="both"/>
      </w:pPr>
    </w:p>
    <w:p w14:paraId="3A0C07B1" w14:textId="77777777" w:rsidR="00CB1904" w:rsidRDefault="00CB1904" w:rsidP="00CB1904">
      <w:pPr>
        <w:pStyle w:val="CenterUnderline"/>
      </w:pPr>
      <w:r>
        <w:t>NOTICE OF FURTHER PROCEEDINGS OR JUDICIAL REVIEW</w:t>
      </w:r>
    </w:p>
    <w:p w14:paraId="7A8FE657" w14:textId="77777777" w:rsidR="00CB1904" w:rsidRDefault="00CB1904" w:rsidP="00CB1904">
      <w:pPr>
        <w:pStyle w:val="CenterUnderline"/>
      </w:pPr>
    </w:p>
    <w:p w14:paraId="7D849E06" w14:textId="77777777" w:rsidR="00CB1904" w:rsidRDefault="00CB1904" w:rsidP="00CB190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63AF4749" w14:textId="77777777" w:rsidR="00CB1904" w:rsidRDefault="00CB1904" w:rsidP="00CB1904">
      <w:pPr>
        <w:pStyle w:val="OrderBody"/>
      </w:pPr>
    </w:p>
    <w:p w14:paraId="564EA624" w14:textId="2EB46881" w:rsidR="00CB1904" w:rsidRDefault="00CB1904" w:rsidP="00CB1904">
      <w:pPr>
        <w:pStyle w:val="OrderBody"/>
      </w:pPr>
      <w:r>
        <w:tab/>
        <w:t xml:space="preserve">As identified in the body of this order, our actions are preliminary in nature, except for (1) the reduction of rates after four years based upon the recovery of rate case expense, (2) the granting of temporary rates in the event of protest, and (3) the requirement for proof of adjustment of books and records.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CB57FE">
        <w:rPr>
          <w:u w:val="single"/>
        </w:rPr>
        <w:t>April 15, 2020</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14:paraId="22489F20" w14:textId="77777777" w:rsidR="00CB1904" w:rsidRDefault="00CB1904" w:rsidP="00CB1904">
      <w:pPr>
        <w:pStyle w:val="OrderBody"/>
      </w:pPr>
    </w:p>
    <w:p w14:paraId="570D659E" w14:textId="77777777" w:rsidR="00CB1904" w:rsidRDefault="00CB1904" w:rsidP="00CB1904">
      <w:pPr>
        <w:pStyle w:val="OrderBody"/>
      </w:pPr>
      <w:r>
        <w:tab/>
        <w:t>Any objection or protest filed in this docket before the issuance date of this order is considered abandoned unless it satisfies the foregoing conditions and is renewed within the specified protest period.</w:t>
      </w:r>
    </w:p>
    <w:p w14:paraId="380033D1" w14:textId="77777777" w:rsidR="00CB1904" w:rsidRDefault="00CB1904" w:rsidP="00CB1904">
      <w:pPr>
        <w:pStyle w:val="OrderBody"/>
      </w:pPr>
    </w:p>
    <w:p w14:paraId="7AD0B575" w14:textId="77777777" w:rsidR="00CB1904" w:rsidRDefault="00CB1904" w:rsidP="00CB1904">
      <w:pPr>
        <w:pStyle w:val="OrderBody"/>
      </w:pPr>
      <w:r>
        <w:tab/>
        <w:t>Any party adversely affected by the Commission's procedural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33CE5638" w14:textId="77777777" w:rsidR="00D173D1" w:rsidRDefault="00D173D1" w:rsidP="00F723F9">
      <w:pPr>
        <w:jc w:val="both"/>
      </w:pPr>
    </w:p>
    <w:p w14:paraId="0DCE80FB" w14:textId="77777777" w:rsidR="00F723F9" w:rsidRDefault="00F723F9" w:rsidP="00F723F9">
      <w:pPr>
        <w:pStyle w:val="OrderBody"/>
      </w:pPr>
    </w:p>
    <w:p w14:paraId="4636E078" w14:textId="77777777" w:rsidR="00F723F9" w:rsidRDefault="00F723F9" w:rsidP="00F723F9">
      <w:pPr>
        <w:pStyle w:val="OrderBody"/>
        <w:sectPr w:rsidR="00F723F9" w:rsidSect="00712188">
          <w:headerReference w:type="default" r:id="rId7"/>
          <w:headerReference w:type="first" r:id="rId8"/>
          <w:footerReference w:type="first" r:id="rId9"/>
          <w:pgSz w:w="12240" w:h="15840" w:code="1"/>
          <w:pgMar w:top="1440" w:right="1440" w:bottom="1440" w:left="1440" w:header="720" w:footer="720" w:gutter="0"/>
          <w:cols w:space="720"/>
          <w:titlePg/>
          <w:docGrid w:linePitch="360"/>
        </w:sectPr>
      </w:pPr>
    </w:p>
    <w:p w14:paraId="424E39C7" w14:textId="77777777" w:rsidR="00F723F9" w:rsidRPr="00F723F9" w:rsidRDefault="00F723F9" w:rsidP="00F723F9">
      <w:pPr>
        <w:pStyle w:val="OrderBody"/>
      </w:pPr>
    </w:p>
    <w:tbl>
      <w:tblPr>
        <w:tblW w:w="8260" w:type="dxa"/>
        <w:jc w:val="center"/>
        <w:tblLook w:val="04A0" w:firstRow="1" w:lastRow="0" w:firstColumn="1" w:lastColumn="0" w:noHBand="0" w:noVBand="1"/>
      </w:tblPr>
      <w:tblGrid>
        <w:gridCol w:w="4066"/>
        <w:gridCol w:w="1194"/>
        <w:gridCol w:w="1804"/>
        <w:gridCol w:w="1572"/>
      </w:tblGrid>
      <w:tr w:rsidR="009616CB" w14:paraId="393A2A88" w14:textId="77777777" w:rsidTr="009616CB">
        <w:trPr>
          <w:trHeight w:val="312"/>
          <w:jc w:val="center"/>
        </w:trPr>
        <w:tc>
          <w:tcPr>
            <w:tcW w:w="5260" w:type="dxa"/>
            <w:gridSpan w:val="2"/>
            <w:tcBorders>
              <w:top w:val="single" w:sz="8" w:space="0" w:color="auto"/>
              <w:left w:val="single" w:sz="8" w:space="0" w:color="auto"/>
              <w:bottom w:val="nil"/>
              <w:right w:val="nil"/>
            </w:tcBorders>
            <w:shd w:val="clear" w:color="auto" w:fill="auto"/>
            <w:noWrap/>
            <w:vAlign w:val="bottom"/>
            <w:hideMark/>
          </w:tcPr>
          <w:p w14:paraId="4E0B6D7F" w14:textId="77777777" w:rsidR="009616CB" w:rsidRDefault="009616CB" w:rsidP="009616CB">
            <w:pPr>
              <w:rPr>
                <w:b/>
                <w:bCs/>
                <w:sz w:val="20"/>
                <w:szCs w:val="20"/>
              </w:rPr>
            </w:pPr>
            <w:bookmarkStart w:id="13" w:name="RANGE!B2:E28"/>
            <w:r>
              <w:rPr>
                <w:b/>
                <w:bCs/>
                <w:sz w:val="20"/>
                <w:szCs w:val="20"/>
              </w:rPr>
              <w:t>MERRITT ISLAND UTILITY COMPANY, INC.</w:t>
            </w:r>
            <w:bookmarkEnd w:id="13"/>
            <w:r w:rsidRPr="000F4B97">
              <w:t xml:space="preserve"> </w:t>
            </w:r>
            <w:r w:rsidRPr="000F4B97">
              <w:fldChar w:fldCharType="begin"/>
            </w:r>
            <w:r w:rsidRPr="000F4B97">
              <w:instrText xml:space="preserve"> TC "</w:instrText>
            </w:r>
            <w:bookmarkStart w:id="14" w:name="_Toc20401563"/>
            <w:bookmarkStart w:id="15" w:name="_Toc33522842"/>
            <w:r>
              <w:instrText>Schedule No. 1-A Wastewater Rate Base</w:instrText>
            </w:r>
            <w:bookmarkEnd w:id="14"/>
            <w:bookmarkEnd w:id="15"/>
            <w:r w:rsidRPr="000F4B97">
              <w:instrText xml:space="preserve">" \l 1 </w:instrText>
            </w:r>
            <w:r w:rsidRPr="000F4B97">
              <w:fldChar w:fldCharType="end"/>
            </w:r>
          </w:p>
        </w:tc>
        <w:tc>
          <w:tcPr>
            <w:tcW w:w="3000" w:type="dxa"/>
            <w:gridSpan w:val="2"/>
            <w:tcBorders>
              <w:top w:val="single" w:sz="8" w:space="0" w:color="auto"/>
              <w:left w:val="nil"/>
              <w:bottom w:val="nil"/>
              <w:right w:val="single" w:sz="8" w:space="0" w:color="000000"/>
            </w:tcBorders>
            <w:shd w:val="clear" w:color="auto" w:fill="auto"/>
            <w:noWrap/>
            <w:vAlign w:val="bottom"/>
            <w:hideMark/>
          </w:tcPr>
          <w:p w14:paraId="277471B0" w14:textId="77777777" w:rsidR="009616CB" w:rsidRDefault="009616CB" w:rsidP="009616CB">
            <w:pPr>
              <w:jc w:val="right"/>
              <w:rPr>
                <w:b/>
                <w:bCs/>
                <w:sz w:val="20"/>
                <w:szCs w:val="20"/>
              </w:rPr>
            </w:pPr>
            <w:r>
              <w:rPr>
                <w:b/>
                <w:bCs/>
                <w:sz w:val="20"/>
                <w:szCs w:val="20"/>
              </w:rPr>
              <w:t>SCHEDULE NO. 1-A</w:t>
            </w:r>
          </w:p>
        </w:tc>
      </w:tr>
      <w:tr w:rsidR="009616CB" w14:paraId="4A3EF90B" w14:textId="77777777" w:rsidTr="009616CB">
        <w:trPr>
          <w:trHeight w:val="312"/>
          <w:jc w:val="center"/>
        </w:trPr>
        <w:tc>
          <w:tcPr>
            <w:tcW w:w="5260" w:type="dxa"/>
            <w:gridSpan w:val="2"/>
            <w:tcBorders>
              <w:top w:val="nil"/>
              <w:left w:val="single" w:sz="8" w:space="0" w:color="auto"/>
              <w:bottom w:val="nil"/>
              <w:right w:val="nil"/>
            </w:tcBorders>
            <w:shd w:val="clear" w:color="auto" w:fill="auto"/>
            <w:noWrap/>
            <w:vAlign w:val="bottom"/>
            <w:hideMark/>
          </w:tcPr>
          <w:p w14:paraId="077E62B9" w14:textId="77777777" w:rsidR="009616CB" w:rsidRDefault="009616CB" w:rsidP="009616CB">
            <w:pPr>
              <w:rPr>
                <w:b/>
                <w:bCs/>
                <w:sz w:val="20"/>
                <w:szCs w:val="20"/>
              </w:rPr>
            </w:pPr>
            <w:r>
              <w:rPr>
                <w:b/>
                <w:bCs/>
                <w:sz w:val="20"/>
                <w:szCs w:val="20"/>
              </w:rPr>
              <w:t>TEST YEAR ENDED  3/31/2019</w:t>
            </w:r>
          </w:p>
        </w:tc>
        <w:tc>
          <w:tcPr>
            <w:tcW w:w="3000" w:type="dxa"/>
            <w:gridSpan w:val="2"/>
            <w:tcBorders>
              <w:top w:val="nil"/>
              <w:left w:val="nil"/>
              <w:bottom w:val="nil"/>
              <w:right w:val="single" w:sz="8" w:space="0" w:color="000000"/>
            </w:tcBorders>
            <w:shd w:val="clear" w:color="auto" w:fill="auto"/>
            <w:noWrap/>
            <w:vAlign w:val="bottom"/>
            <w:hideMark/>
          </w:tcPr>
          <w:p w14:paraId="169E1958" w14:textId="77777777" w:rsidR="009616CB" w:rsidRDefault="009616CB" w:rsidP="009616CB">
            <w:pPr>
              <w:jc w:val="right"/>
              <w:rPr>
                <w:b/>
                <w:bCs/>
                <w:sz w:val="20"/>
                <w:szCs w:val="20"/>
              </w:rPr>
            </w:pPr>
            <w:r>
              <w:rPr>
                <w:b/>
                <w:bCs/>
                <w:sz w:val="20"/>
                <w:szCs w:val="20"/>
              </w:rPr>
              <w:t>DOCKET NO. 20190116-SU</w:t>
            </w:r>
          </w:p>
        </w:tc>
      </w:tr>
      <w:tr w:rsidR="009616CB" w14:paraId="3FFC9C97" w14:textId="77777777" w:rsidTr="009616CB">
        <w:trPr>
          <w:trHeight w:val="312"/>
          <w:jc w:val="center"/>
        </w:trPr>
        <w:tc>
          <w:tcPr>
            <w:tcW w:w="5260" w:type="dxa"/>
            <w:gridSpan w:val="2"/>
            <w:tcBorders>
              <w:top w:val="nil"/>
              <w:left w:val="single" w:sz="8" w:space="0" w:color="auto"/>
              <w:bottom w:val="single" w:sz="8" w:space="0" w:color="auto"/>
              <w:right w:val="nil"/>
            </w:tcBorders>
            <w:shd w:val="clear" w:color="auto" w:fill="auto"/>
            <w:noWrap/>
            <w:vAlign w:val="bottom"/>
            <w:hideMark/>
          </w:tcPr>
          <w:p w14:paraId="6CE4FE0D" w14:textId="77777777" w:rsidR="009616CB" w:rsidRDefault="009616CB" w:rsidP="009616CB">
            <w:pPr>
              <w:rPr>
                <w:b/>
                <w:bCs/>
                <w:sz w:val="20"/>
                <w:szCs w:val="20"/>
              </w:rPr>
            </w:pPr>
            <w:r>
              <w:rPr>
                <w:b/>
                <w:bCs/>
                <w:sz w:val="20"/>
                <w:szCs w:val="20"/>
              </w:rPr>
              <w:t>SCHEDULE OF WASTEWATER RATE BASE</w:t>
            </w:r>
          </w:p>
        </w:tc>
        <w:tc>
          <w:tcPr>
            <w:tcW w:w="1804" w:type="dxa"/>
            <w:tcBorders>
              <w:top w:val="nil"/>
              <w:left w:val="nil"/>
              <w:bottom w:val="nil"/>
              <w:right w:val="nil"/>
            </w:tcBorders>
            <w:shd w:val="clear" w:color="auto" w:fill="auto"/>
            <w:noWrap/>
            <w:vAlign w:val="bottom"/>
            <w:hideMark/>
          </w:tcPr>
          <w:p w14:paraId="27F31782" w14:textId="77777777" w:rsidR="009616CB" w:rsidRDefault="009616CB" w:rsidP="009616CB">
            <w:pPr>
              <w:rPr>
                <w:sz w:val="20"/>
                <w:szCs w:val="20"/>
              </w:rPr>
            </w:pPr>
          </w:p>
        </w:tc>
        <w:tc>
          <w:tcPr>
            <w:tcW w:w="1196" w:type="dxa"/>
            <w:tcBorders>
              <w:top w:val="nil"/>
              <w:left w:val="nil"/>
              <w:bottom w:val="nil"/>
              <w:right w:val="single" w:sz="8" w:space="0" w:color="auto"/>
            </w:tcBorders>
            <w:shd w:val="clear" w:color="auto" w:fill="auto"/>
            <w:noWrap/>
            <w:vAlign w:val="bottom"/>
            <w:hideMark/>
          </w:tcPr>
          <w:p w14:paraId="33D9A786" w14:textId="77777777" w:rsidR="009616CB" w:rsidRDefault="009616CB" w:rsidP="009616CB">
            <w:pPr>
              <w:rPr>
                <w:sz w:val="20"/>
                <w:szCs w:val="20"/>
              </w:rPr>
            </w:pPr>
            <w:r>
              <w:rPr>
                <w:sz w:val="20"/>
                <w:szCs w:val="20"/>
              </w:rPr>
              <w:t> </w:t>
            </w:r>
          </w:p>
        </w:tc>
      </w:tr>
      <w:tr w:rsidR="009616CB" w14:paraId="50BA784C" w14:textId="77777777" w:rsidTr="009616CB">
        <w:trPr>
          <w:trHeight w:val="300"/>
          <w:jc w:val="center"/>
        </w:trPr>
        <w:tc>
          <w:tcPr>
            <w:tcW w:w="4066" w:type="dxa"/>
            <w:tcBorders>
              <w:top w:val="nil"/>
              <w:left w:val="single" w:sz="8" w:space="0" w:color="auto"/>
              <w:bottom w:val="nil"/>
              <w:right w:val="nil"/>
            </w:tcBorders>
            <w:shd w:val="clear" w:color="auto" w:fill="auto"/>
            <w:noWrap/>
            <w:vAlign w:val="bottom"/>
            <w:hideMark/>
          </w:tcPr>
          <w:p w14:paraId="59102FAF" w14:textId="77777777" w:rsidR="009616CB" w:rsidRDefault="009616CB" w:rsidP="009616CB">
            <w:pPr>
              <w:rPr>
                <w:sz w:val="20"/>
                <w:szCs w:val="20"/>
              </w:rPr>
            </w:pPr>
            <w:r>
              <w:rPr>
                <w:sz w:val="20"/>
                <w:szCs w:val="20"/>
              </w:rPr>
              <w:t> </w:t>
            </w:r>
          </w:p>
        </w:tc>
        <w:tc>
          <w:tcPr>
            <w:tcW w:w="1194" w:type="dxa"/>
            <w:tcBorders>
              <w:top w:val="nil"/>
              <w:left w:val="nil"/>
              <w:bottom w:val="nil"/>
              <w:right w:val="nil"/>
            </w:tcBorders>
            <w:shd w:val="clear" w:color="auto" w:fill="auto"/>
            <w:noWrap/>
            <w:vAlign w:val="bottom"/>
            <w:hideMark/>
          </w:tcPr>
          <w:p w14:paraId="5D023CD1" w14:textId="77777777" w:rsidR="009616CB" w:rsidRDefault="009616CB" w:rsidP="009616CB">
            <w:pPr>
              <w:jc w:val="center"/>
              <w:rPr>
                <w:b/>
                <w:bCs/>
                <w:sz w:val="20"/>
                <w:szCs w:val="20"/>
              </w:rPr>
            </w:pPr>
            <w:r>
              <w:rPr>
                <w:b/>
                <w:bCs/>
                <w:sz w:val="20"/>
                <w:szCs w:val="20"/>
              </w:rPr>
              <w:t>BALANCE</w:t>
            </w:r>
          </w:p>
        </w:tc>
        <w:tc>
          <w:tcPr>
            <w:tcW w:w="1804" w:type="dxa"/>
            <w:tcBorders>
              <w:top w:val="single" w:sz="8" w:space="0" w:color="auto"/>
              <w:left w:val="nil"/>
              <w:bottom w:val="nil"/>
              <w:right w:val="nil"/>
            </w:tcBorders>
            <w:shd w:val="clear" w:color="auto" w:fill="auto"/>
            <w:noWrap/>
            <w:vAlign w:val="bottom"/>
            <w:hideMark/>
          </w:tcPr>
          <w:p w14:paraId="39E3FB83" w14:textId="77777777" w:rsidR="009616CB" w:rsidRDefault="00196CFC" w:rsidP="009616CB">
            <w:pPr>
              <w:jc w:val="center"/>
              <w:rPr>
                <w:b/>
                <w:bCs/>
                <w:sz w:val="20"/>
                <w:szCs w:val="20"/>
              </w:rPr>
            </w:pPr>
            <w:r>
              <w:rPr>
                <w:b/>
                <w:bCs/>
                <w:sz w:val="20"/>
                <w:szCs w:val="20"/>
              </w:rPr>
              <w:t>COMMISSION</w:t>
            </w:r>
          </w:p>
        </w:tc>
        <w:tc>
          <w:tcPr>
            <w:tcW w:w="1196" w:type="dxa"/>
            <w:tcBorders>
              <w:top w:val="single" w:sz="8" w:space="0" w:color="auto"/>
              <w:left w:val="nil"/>
              <w:bottom w:val="nil"/>
              <w:right w:val="single" w:sz="8" w:space="0" w:color="auto"/>
            </w:tcBorders>
            <w:shd w:val="clear" w:color="auto" w:fill="auto"/>
            <w:noWrap/>
            <w:vAlign w:val="bottom"/>
            <w:hideMark/>
          </w:tcPr>
          <w:p w14:paraId="7A34A568" w14:textId="77777777" w:rsidR="009616CB" w:rsidRDefault="009616CB" w:rsidP="009616CB">
            <w:pPr>
              <w:jc w:val="center"/>
              <w:rPr>
                <w:b/>
                <w:bCs/>
                <w:sz w:val="20"/>
                <w:szCs w:val="20"/>
              </w:rPr>
            </w:pPr>
            <w:r>
              <w:rPr>
                <w:b/>
                <w:bCs/>
                <w:sz w:val="20"/>
                <w:szCs w:val="20"/>
              </w:rPr>
              <w:t>BALANCE</w:t>
            </w:r>
          </w:p>
        </w:tc>
      </w:tr>
      <w:tr w:rsidR="009616CB" w14:paraId="68C99A02" w14:textId="77777777" w:rsidTr="009616CB">
        <w:trPr>
          <w:trHeight w:val="300"/>
          <w:jc w:val="center"/>
        </w:trPr>
        <w:tc>
          <w:tcPr>
            <w:tcW w:w="4066" w:type="dxa"/>
            <w:tcBorders>
              <w:top w:val="nil"/>
              <w:left w:val="single" w:sz="8" w:space="0" w:color="auto"/>
              <w:bottom w:val="nil"/>
              <w:right w:val="nil"/>
            </w:tcBorders>
            <w:shd w:val="clear" w:color="auto" w:fill="auto"/>
            <w:noWrap/>
            <w:vAlign w:val="bottom"/>
            <w:hideMark/>
          </w:tcPr>
          <w:p w14:paraId="1CA5DCA5" w14:textId="77777777" w:rsidR="009616CB" w:rsidRDefault="009616CB" w:rsidP="009616CB">
            <w:pPr>
              <w:rPr>
                <w:sz w:val="20"/>
                <w:szCs w:val="20"/>
              </w:rPr>
            </w:pPr>
            <w:r>
              <w:rPr>
                <w:sz w:val="20"/>
                <w:szCs w:val="20"/>
              </w:rPr>
              <w:t> </w:t>
            </w:r>
          </w:p>
        </w:tc>
        <w:tc>
          <w:tcPr>
            <w:tcW w:w="1194" w:type="dxa"/>
            <w:tcBorders>
              <w:top w:val="nil"/>
              <w:left w:val="nil"/>
              <w:bottom w:val="nil"/>
              <w:right w:val="nil"/>
            </w:tcBorders>
            <w:shd w:val="clear" w:color="auto" w:fill="auto"/>
            <w:noWrap/>
            <w:vAlign w:val="bottom"/>
            <w:hideMark/>
          </w:tcPr>
          <w:p w14:paraId="220E6209" w14:textId="77777777" w:rsidR="009616CB" w:rsidRDefault="009616CB" w:rsidP="009616CB">
            <w:pPr>
              <w:jc w:val="center"/>
              <w:rPr>
                <w:b/>
                <w:bCs/>
                <w:sz w:val="20"/>
                <w:szCs w:val="20"/>
              </w:rPr>
            </w:pPr>
            <w:r>
              <w:rPr>
                <w:b/>
                <w:bCs/>
                <w:sz w:val="20"/>
                <w:szCs w:val="20"/>
              </w:rPr>
              <w:t>PER</w:t>
            </w:r>
          </w:p>
        </w:tc>
        <w:tc>
          <w:tcPr>
            <w:tcW w:w="1804" w:type="dxa"/>
            <w:tcBorders>
              <w:top w:val="nil"/>
              <w:left w:val="nil"/>
              <w:bottom w:val="nil"/>
              <w:right w:val="nil"/>
            </w:tcBorders>
            <w:shd w:val="clear" w:color="auto" w:fill="auto"/>
            <w:noWrap/>
            <w:vAlign w:val="bottom"/>
            <w:hideMark/>
          </w:tcPr>
          <w:p w14:paraId="1CD3C0AC" w14:textId="77777777" w:rsidR="009616CB" w:rsidRDefault="009616CB" w:rsidP="009616CB">
            <w:pPr>
              <w:jc w:val="center"/>
              <w:rPr>
                <w:b/>
                <w:bCs/>
                <w:sz w:val="20"/>
                <w:szCs w:val="20"/>
              </w:rPr>
            </w:pPr>
            <w:r>
              <w:rPr>
                <w:b/>
                <w:bCs/>
                <w:sz w:val="20"/>
                <w:szCs w:val="20"/>
              </w:rPr>
              <w:t>ADJUSTMENTS</w:t>
            </w:r>
          </w:p>
        </w:tc>
        <w:tc>
          <w:tcPr>
            <w:tcW w:w="1196" w:type="dxa"/>
            <w:tcBorders>
              <w:top w:val="nil"/>
              <w:left w:val="nil"/>
              <w:bottom w:val="nil"/>
              <w:right w:val="single" w:sz="8" w:space="0" w:color="auto"/>
            </w:tcBorders>
            <w:shd w:val="clear" w:color="auto" w:fill="auto"/>
            <w:noWrap/>
            <w:vAlign w:val="bottom"/>
            <w:hideMark/>
          </w:tcPr>
          <w:p w14:paraId="02935251" w14:textId="77777777" w:rsidR="009616CB" w:rsidRDefault="009616CB" w:rsidP="009616CB">
            <w:pPr>
              <w:jc w:val="center"/>
              <w:rPr>
                <w:b/>
                <w:bCs/>
                <w:sz w:val="20"/>
                <w:szCs w:val="20"/>
              </w:rPr>
            </w:pPr>
            <w:r>
              <w:rPr>
                <w:b/>
                <w:bCs/>
                <w:sz w:val="20"/>
                <w:szCs w:val="20"/>
              </w:rPr>
              <w:t>PER</w:t>
            </w:r>
          </w:p>
        </w:tc>
      </w:tr>
      <w:tr w:rsidR="009616CB" w14:paraId="65F5B1B7" w14:textId="77777777" w:rsidTr="009616CB">
        <w:trPr>
          <w:trHeight w:val="312"/>
          <w:jc w:val="center"/>
        </w:trPr>
        <w:tc>
          <w:tcPr>
            <w:tcW w:w="4066" w:type="dxa"/>
            <w:tcBorders>
              <w:top w:val="nil"/>
              <w:left w:val="single" w:sz="8" w:space="0" w:color="auto"/>
              <w:bottom w:val="single" w:sz="8" w:space="0" w:color="auto"/>
              <w:right w:val="nil"/>
            </w:tcBorders>
            <w:shd w:val="clear" w:color="auto" w:fill="auto"/>
            <w:noWrap/>
            <w:vAlign w:val="bottom"/>
            <w:hideMark/>
          </w:tcPr>
          <w:p w14:paraId="19261B7E" w14:textId="77777777" w:rsidR="009616CB" w:rsidRDefault="009616CB" w:rsidP="009616CB">
            <w:pPr>
              <w:jc w:val="center"/>
              <w:rPr>
                <w:b/>
                <w:bCs/>
                <w:sz w:val="20"/>
                <w:szCs w:val="20"/>
              </w:rPr>
            </w:pPr>
            <w:r>
              <w:rPr>
                <w:b/>
                <w:bCs/>
                <w:sz w:val="20"/>
                <w:szCs w:val="20"/>
              </w:rPr>
              <w:t>DESCRIPTION</w:t>
            </w:r>
          </w:p>
        </w:tc>
        <w:tc>
          <w:tcPr>
            <w:tcW w:w="1194" w:type="dxa"/>
            <w:tcBorders>
              <w:top w:val="nil"/>
              <w:left w:val="nil"/>
              <w:bottom w:val="single" w:sz="8" w:space="0" w:color="auto"/>
              <w:right w:val="nil"/>
            </w:tcBorders>
            <w:shd w:val="clear" w:color="auto" w:fill="auto"/>
            <w:noWrap/>
            <w:vAlign w:val="bottom"/>
            <w:hideMark/>
          </w:tcPr>
          <w:p w14:paraId="65F9764E" w14:textId="77777777" w:rsidR="009616CB" w:rsidRDefault="009616CB" w:rsidP="009616CB">
            <w:pPr>
              <w:jc w:val="center"/>
              <w:rPr>
                <w:b/>
                <w:bCs/>
                <w:sz w:val="20"/>
                <w:szCs w:val="20"/>
              </w:rPr>
            </w:pPr>
            <w:r>
              <w:rPr>
                <w:b/>
                <w:bCs/>
                <w:sz w:val="20"/>
                <w:szCs w:val="20"/>
              </w:rPr>
              <w:t>UTILITY</w:t>
            </w:r>
          </w:p>
        </w:tc>
        <w:tc>
          <w:tcPr>
            <w:tcW w:w="1804" w:type="dxa"/>
            <w:tcBorders>
              <w:top w:val="nil"/>
              <w:left w:val="nil"/>
              <w:bottom w:val="single" w:sz="8" w:space="0" w:color="auto"/>
              <w:right w:val="nil"/>
            </w:tcBorders>
            <w:shd w:val="clear" w:color="auto" w:fill="auto"/>
            <w:noWrap/>
            <w:vAlign w:val="bottom"/>
            <w:hideMark/>
          </w:tcPr>
          <w:p w14:paraId="2E3C7DC1" w14:textId="77777777" w:rsidR="009616CB" w:rsidRDefault="009616CB" w:rsidP="009616CB">
            <w:pPr>
              <w:jc w:val="center"/>
              <w:rPr>
                <w:b/>
                <w:bCs/>
                <w:sz w:val="20"/>
                <w:szCs w:val="20"/>
              </w:rPr>
            </w:pPr>
            <w:r>
              <w:rPr>
                <w:b/>
                <w:bCs/>
                <w:sz w:val="20"/>
                <w:szCs w:val="20"/>
              </w:rPr>
              <w:t>TO UTIL. BAL.</w:t>
            </w:r>
          </w:p>
        </w:tc>
        <w:tc>
          <w:tcPr>
            <w:tcW w:w="1196" w:type="dxa"/>
            <w:tcBorders>
              <w:top w:val="nil"/>
              <w:left w:val="nil"/>
              <w:bottom w:val="single" w:sz="8" w:space="0" w:color="auto"/>
              <w:right w:val="single" w:sz="8" w:space="0" w:color="auto"/>
            </w:tcBorders>
            <w:shd w:val="clear" w:color="auto" w:fill="auto"/>
            <w:noWrap/>
            <w:vAlign w:val="bottom"/>
            <w:hideMark/>
          </w:tcPr>
          <w:p w14:paraId="61B132C6" w14:textId="77777777" w:rsidR="009616CB" w:rsidRDefault="00196CFC" w:rsidP="009616CB">
            <w:pPr>
              <w:jc w:val="center"/>
              <w:rPr>
                <w:b/>
                <w:bCs/>
                <w:sz w:val="20"/>
                <w:szCs w:val="20"/>
              </w:rPr>
            </w:pPr>
            <w:r>
              <w:rPr>
                <w:b/>
                <w:bCs/>
                <w:sz w:val="20"/>
                <w:szCs w:val="20"/>
              </w:rPr>
              <w:t>COMMISSION</w:t>
            </w:r>
          </w:p>
        </w:tc>
      </w:tr>
      <w:tr w:rsidR="009616CB" w14:paraId="0632E5B2" w14:textId="77777777" w:rsidTr="009616CB">
        <w:trPr>
          <w:trHeight w:val="300"/>
          <w:jc w:val="center"/>
        </w:trPr>
        <w:tc>
          <w:tcPr>
            <w:tcW w:w="4066" w:type="dxa"/>
            <w:tcBorders>
              <w:top w:val="nil"/>
              <w:left w:val="single" w:sz="8" w:space="0" w:color="auto"/>
              <w:bottom w:val="nil"/>
              <w:right w:val="nil"/>
            </w:tcBorders>
            <w:shd w:val="clear" w:color="auto" w:fill="auto"/>
            <w:noWrap/>
            <w:vAlign w:val="bottom"/>
            <w:hideMark/>
          </w:tcPr>
          <w:p w14:paraId="1DAFA6E1" w14:textId="77777777" w:rsidR="009616CB" w:rsidRDefault="009616CB" w:rsidP="009616CB">
            <w:pPr>
              <w:rPr>
                <w:b/>
                <w:bCs/>
                <w:sz w:val="20"/>
                <w:szCs w:val="20"/>
              </w:rPr>
            </w:pPr>
            <w:r>
              <w:rPr>
                <w:b/>
                <w:bCs/>
                <w:sz w:val="20"/>
                <w:szCs w:val="20"/>
              </w:rPr>
              <w:t> </w:t>
            </w:r>
          </w:p>
        </w:tc>
        <w:tc>
          <w:tcPr>
            <w:tcW w:w="1194" w:type="dxa"/>
            <w:tcBorders>
              <w:top w:val="nil"/>
              <w:left w:val="nil"/>
              <w:bottom w:val="nil"/>
              <w:right w:val="nil"/>
            </w:tcBorders>
            <w:shd w:val="clear" w:color="auto" w:fill="auto"/>
            <w:noWrap/>
            <w:vAlign w:val="bottom"/>
            <w:hideMark/>
          </w:tcPr>
          <w:p w14:paraId="76A1C0B4" w14:textId="77777777" w:rsidR="009616CB" w:rsidRDefault="009616CB" w:rsidP="009616CB">
            <w:pPr>
              <w:jc w:val="center"/>
              <w:rPr>
                <w:b/>
                <w:bCs/>
                <w:sz w:val="20"/>
                <w:szCs w:val="20"/>
              </w:rPr>
            </w:pPr>
          </w:p>
        </w:tc>
        <w:tc>
          <w:tcPr>
            <w:tcW w:w="1804" w:type="dxa"/>
            <w:tcBorders>
              <w:top w:val="nil"/>
              <w:left w:val="nil"/>
              <w:bottom w:val="nil"/>
              <w:right w:val="nil"/>
            </w:tcBorders>
            <w:shd w:val="clear" w:color="auto" w:fill="auto"/>
            <w:noWrap/>
            <w:vAlign w:val="bottom"/>
            <w:hideMark/>
          </w:tcPr>
          <w:p w14:paraId="366AB7B8" w14:textId="77777777" w:rsidR="009616CB" w:rsidRDefault="009616CB" w:rsidP="009616CB">
            <w:pPr>
              <w:jc w:val="center"/>
              <w:rPr>
                <w:b/>
                <w:bCs/>
                <w:sz w:val="20"/>
                <w:szCs w:val="20"/>
              </w:rPr>
            </w:pPr>
          </w:p>
        </w:tc>
        <w:tc>
          <w:tcPr>
            <w:tcW w:w="1196" w:type="dxa"/>
            <w:tcBorders>
              <w:top w:val="nil"/>
              <w:left w:val="nil"/>
              <w:bottom w:val="nil"/>
              <w:right w:val="single" w:sz="8" w:space="0" w:color="auto"/>
            </w:tcBorders>
            <w:shd w:val="clear" w:color="auto" w:fill="auto"/>
            <w:noWrap/>
            <w:vAlign w:val="bottom"/>
            <w:hideMark/>
          </w:tcPr>
          <w:p w14:paraId="3716F146" w14:textId="77777777" w:rsidR="009616CB" w:rsidRDefault="009616CB" w:rsidP="009616CB">
            <w:pPr>
              <w:jc w:val="center"/>
              <w:rPr>
                <w:b/>
                <w:bCs/>
                <w:sz w:val="20"/>
                <w:szCs w:val="20"/>
              </w:rPr>
            </w:pPr>
            <w:r>
              <w:rPr>
                <w:b/>
                <w:bCs/>
                <w:sz w:val="20"/>
                <w:szCs w:val="20"/>
              </w:rPr>
              <w:t> </w:t>
            </w:r>
          </w:p>
        </w:tc>
      </w:tr>
      <w:tr w:rsidR="009616CB" w14:paraId="0598EC1C" w14:textId="77777777" w:rsidTr="009616CB">
        <w:trPr>
          <w:trHeight w:val="300"/>
          <w:jc w:val="center"/>
        </w:trPr>
        <w:tc>
          <w:tcPr>
            <w:tcW w:w="4066" w:type="dxa"/>
            <w:tcBorders>
              <w:top w:val="nil"/>
              <w:left w:val="single" w:sz="8" w:space="0" w:color="auto"/>
              <w:bottom w:val="nil"/>
              <w:right w:val="nil"/>
            </w:tcBorders>
            <w:shd w:val="clear" w:color="auto" w:fill="auto"/>
            <w:noWrap/>
            <w:vAlign w:val="bottom"/>
            <w:hideMark/>
          </w:tcPr>
          <w:p w14:paraId="69A29A47" w14:textId="77777777" w:rsidR="009616CB" w:rsidRDefault="009616CB" w:rsidP="009616CB">
            <w:pPr>
              <w:rPr>
                <w:sz w:val="20"/>
                <w:szCs w:val="20"/>
              </w:rPr>
            </w:pPr>
            <w:r>
              <w:rPr>
                <w:sz w:val="20"/>
                <w:szCs w:val="20"/>
              </w:rPr>
              <w:t>UTILITY PLANT IN SERVICE</w:t>
            </w:r>
          </w:p>
        </w:tc>
        <w:tc>
          <w:tcPr>
            <w:tcW w:w="1194" w:type="dxa"/>
            <w:tcBorders>
              <w:top w:val="nil"/>
              <w:left w:val="nil"/>
              <w:bottom w:val="nil"/>
              <w:right w:val="nil"/>
            </w:tcBorders>
            <w:shd w:val="clear" w:color="auto" w:fill="auto"/>
            <w:noWrap/>
            <w:vAlign w:val="bottom"/>
            <w:hideMark/>
          </w:tcPr>
          <w:p w14:paraId="1E0593F9" w14:textId="77777777" w:rsidR="009616CB" w:rsidRDefault="009616CB" w:rsidP="009616CB">
            <w:pPr>
              <w:jc w:val="right"/>
              <w:rPr>
                <w:sz w:val="20"/>
                <w:szCs w:val="20"/>
              </w:rPr>
            </w:pPr>
            <w:r>
              <w:rPr>
                <w:sz w:val="20"/>
                <w:szCs w:val="20"/>
              </w:rPr>
              <w:t xml:space="preserve">$266,370 </w:t>
            </w:r>
          </w:p>
        </w:tc>
        <w:tc>
          <w:tcPr>
            <w:tcW w:w="1804" w:type="dxa"/>
            <w:tcBorders>
              <w:top w:val="nil"/>
              <w:left w:val="nil"/>
              <w:bottom w:val="nil"/>
              <w:right w:val="nil"/>
            </w:tcBorders>
            <w:shd w:val="clear" w:color="auto" w:fill="auto"/>
            <w:noWrap/>
            <w:vAlign w:val="bottom"/>
            <w:hideMark/>
          </w:tcPr>
          <w:p w14:paraId="570A8CCD" w14:textId="77777777" w:rsidR="009616CB" w:rsidRDefault="009616CB" w:rsidP="009616CB">
            <w:pPr>
              <w:jc w:val="right"/>
              <w:rPr>
                <w:sz w:val="20"/>
                <w:szCs w:val="20"/>
              </w:rPr>
            </w:pPr>
            <w:r>
              <w:rPr>
                <w:sz w:val="20"/>
                <w:szCs w:val="20"/>
              </w:rPr>
              <w:t xml:space="preserve">$5,813 </w:t>
            </w:r>
          </w:p>
        </w:tc>
        <w:tc>
          <w:tcPr>
            <w:tcW w:w="1196" w:type="dxa"/>
            <w:tcBorders>
              <w:top w:val="nil"/>
              <w:left w:val="nil"/>
              <w:bottom w:val="nil"/>
              <w:right w:val="single" w:sz="8" w:space="0" w:color="auto"/>
            </w:tcBorders>
            <w:shd w:val="clear" w:color="auto" w:fill="auto"/>
            <w:noWrap/>
            <w:vAlign w:val="bottom"/>
            <w:hideMark/>
          </w:tcPr>
          <w:p w14:paraId="4AC86A0A" w14:textId="77777777" w:rsidR="009616CB" w:rsidRDefault="009616CB" w:rsidP="009616CB">
            <w:pPr>
              <w:jc w:val="right"/>
              <w:rPr>
                <w:sz w:val="20"/>
                <w:szCs w:val="20"/>
              </w:rPr>
            </w:pPr>
            <w:r>
              <w:rPr>
                <w:sz w:val="20"/>
                <w:szCs w:val="20"/>
              </w:rPr>
              <w:t xml:space="preserve">$272,183 </w:t>
            </w:r>
          </w:p>
        </w:tc>
      </w:tr>
      <w:tr w:rsidR="009616CB" w14:paraId="7AF80540" w14:textId="77777777" w:rsidTr="009616CB">
        <w:trPr>
          <w:trHeight w:val="300"/>
          <w:jc w:val="center"/>
        </w:trPr>
        <w:tc>
          <w:tcPr>
            <w:tcW w:w="4066" w:type="dxa"/>
            <w:tcBorders>
              <w:top w:val="nil"/>
              <w:left w:val="single" w:sz="8" w:space="0" w:color="auto"/>
              <w:bottom w:val="nil"/>
              <w:right w:val="nil"/>
            </w:tcBorders>
            <w:shd w:val="clear" w:color="auto" w:fill="auto"/>
            <w:noWrap/>
            <w:vAlign w:val="bottom"/>
            <w:hideMark/>
          </w:tcPr>
          <w:p w14:paraId="56A6A5EB" w14:textId="77777777" w:rsidR="009616CB" w:rsidRDefault="009616CB" w:rsidP="009616CB">
            <w:pPr>
              <w:rPr>
                <w:sz w:val="20"/>
                <w:szCs w:val="20"/>
              </w:rPr>
            </w:pPr>
            <w:r>
              <w:rPr>
                <w:sz w:val="20"/>
                <w:szCs w:val="20"/>
              </w:rPr>
              <w:t> </w:t>
            </w:r>
          </w:p>
        </w:tc>
        <w:tc>
          <w:tcPr>
            <w:tcW w:w="1194" w:type="dxa"/>
            <w:tcBorders>
              <w:top w:val="nil"/>
              <w:left w:val="nil"/>
              <w:bottom w:val="nil"/>
              <w:right w:val="nil"/>
            </w:tcBorders>
            <w:shd w:val="clear" w:color="auto" w:fill="auto"/>
            <w:noWrap/>
            <w:vAlign w:val="bottom"/>
            <w:hideMark/>
          </w:tcPr>
          <w:p w14:paraId="5238079B" w14:textId="77777777" w:rsidR="009616CB" w:rsidRDefault="009616CB" w:rsidP="009616CB">
            <w:pPr>
              <w:rPr>
                <w:sz w:val="20"/>
                <w:szCs w:val="20"/>
              </w:rPr>
            </w:pPr>
          </w:p>
        </w:tc>
        <w:tc>
          <w:tcPr>
            <w:tcW w:w="1804" w:type="dxa"/>
            <w:tcBorders>
              <w:top w:val="nil"/>
              <w:left w:val="nil"/>
              <w:bottom w:val="nil"/>
              <w:right w:val="nil"/>
            </w:tcBorders>
            <w:shd w:val="clear" w:color="auto" w:fill="auto"/>
            <w:noWrap/>
            <w:vAlign w:val="bottom"/>
            <w:hideMark/>
          </w:tcPr>
          <w:p w14:paraId="4A8899FA" w14:textId="77777777" w:rsidR="009616CB" w:rsidRDefault="009616CB" w:rsidP="009616CB">
            <w:pPr>
              <w:rPr>
                <w:sz w:val="20"/>
                <w:szCs w:val="20"/>
              </w:rPr>
            </w:pPr>
          </w:p>
        </w:tc>
        <w:tc>
          <w:tcPr>
            <w:tcW w:w="1196" w:type="dxa"/>
            <w:tcBorders>
              <w:top w:val="nil"/>
              <w:left w:val="nil"/>
              <w:bottom w:val="nil"/>
              <w:right w:val="single" w:sz="8" w:space="0" w:color="auto"/>
            </w:tcBorders>
            <w:shd w:val="clear" w:color="auto" w:fill="auto"/>
            <w:noWrap/>
            <w:vAlign w:val="bottom"/>
            <w:hideMark/>
          </w:tcPr>
          <w:p w14:paraId="7587EF66" w14:textId="77777777" w:rsidR="009616CB" w:rsidRDefault="009616CB" w:rsidP="009616CB">
            <w:pPr>
              <w:rPr>
                <w:sz w:val="20"/>
                <w:szCs w:val="20"/>
              </w:rPr>
            </w:pPr>
            <w:r>
              <w:rPr>
                <w:sz w:val="20"/>
                <w:szCs w:val="20"/>
              </w:rPr>
              <w:t> </w:t>
            </w:r>
          </w:p>
        </w:tc>
      </w:tr>
      <w:tr w:rsidR="009616CB" w14:paraId="1154AA09" w14:textId="77777777" w:rsidTr="009616CB">
        <w:trPr>
          <w:trHeight w:val="312"/>
          <w:jc w:val="center"/>
        </w:trPr>
        <w:tc>
          <w:tcPr>
            <w:tcW w:w="4066" w:type="dxa"/>
            <w:tcBorders>
              <w:top w:val="nil"/>
              <w:left w:val="single" w:sz="8" w:space="0" w:color="auto"/>
              <w:bottom w:val="nil"/>
              <w:right w:val="nil"/>
            </w:tcBorders>
            <w:shd w:val="clear" w:color="auto" w:fill="auto"/>
            <w:noWrap/>
            <w:vAlign w:val="bottom"/>
            <w:hideMark/>
          </w:tcPr>
          <w:p w14:paraId="17EE695B" w14:textId="77777777" w:rsidR="009616CB" w:rsidRDefault="009616CB" w:rsidP="009616CB">
            <w:pPr>
              <w:rPr>
                <w:sz w:val="20"/>
                <w:szCs w:val="20"/>
              </w:rPr>
            </w:pPr>
            <w:r>
              <w:rPr>
                <w:sz w:val="20"/>
                <w:szCs w:val="20"/>
              </w:rPr>
              <w:t>LAND &amp; LAND RIGHTS</w:t>
            </w:r>
          </w:p>
        </w:tc>
        <w:tc>
          <w:tcPr>
            <w:tcW w:w="1194" w:type="dxa"/>
            <w:tcBorders>
              <w:top w:val="nil"/>
              <w:left w:val="nil"/>
              <w:bottom w:val="nil"/>
              <w:right w:val="nil"/>
            </w:tcBorders>
            <w:shd w:val="clear" w:color="auto" w:fill="auto"/>
            <w:noWrap/>
            <w:vAlign w:val="bottom"/>
            <w:hideMark/>
          </w:tcPr>
          <w:p w14:paraId="304C7A56" w14:textId="77777777" w:rsidR="009616CB" w:rsidRDefault="009616CB" w:rsidP="009616CB">
            <w:pPr>
              <w:jc w:val="right"/>
              <w:rPr>
                <w:sz w:val="20"/>
                <w:szCs w:val="20"/>
              </w:rPr>
            </w:pPr>
            <w:r>
              <w:rPr>
                <w:sz w:val="20"/>
                <w:szCs w:val="20"/>
              </w:rPr>
              <w:t xml:space="preserve">30,479 </w:t>
            </w:r>
          </w:p>
        </w:tc>
        <w:tc>
          <w:tcPr>
            <w:tcW w:w="1804" w:type="dxa"/>
            <w:tcBorders>
              <w:top w:val="nil"/>
              <w:left w:val="nil"/>
              <w:bottom w:val="nil"/>
              <w:right w:val="nil"/>
            </w:tcBorders>
            <w:shd w:val="clear" w:color="auto" w:fill="auto"/>
            <w:noWrap/>
            <w:vAlign w:val="bottom"/>
            <w:hideMark/>
          </w:tcPr>
          <w:p w14:paraId="00FE0A84" w14:textId="77777777" w:rsidR="009616CB" w:rsidRDefault="009616CB" w:rsidP="009616CB">
            <w:pPr>
              <w:jc w:val="right"/>
              <w:rPr>
                <w:sz w:val="20"/>
                <w:szCs w:val="20"/>
              </w:rPr>
            </w:pPr>
            <w:r>
              <w:rPr>
                <w:sz w:val="20"/>
                <w:szCs w:val="20"/>
              </w:rPr>
              <w:t xml:space="preserve">0 </w:t>
            </w:r>
          </w:p>
        </w:tc>
        <w:tc>
          <w:tcPr>
            <w:tcW w:w="1196" w:type="dxa"/>
            <w:tcBorders>
              <w:top w:val="nil"/>
              <w:left w:val="nil"/>
              <w:bottom w:val="nil"/>
              <w:right w:val="single" w:sz="8" w:space="0" w:color="auto"/>
            </w:tcBorders>
            <w:shd w:val="clear" w:color="auto" w:fill="auto"/>
            <w:noWrap/>
            <w:vAlign w:val="bottom"/>
            <w:hideMark/>
          </w:tcPr>
          <w:p w14:paraId="2CE61231" w14:textId="77777777" w:rsidR="009616CB" w:rsidRDefault="009616CB" w:rsidP="009616CB">
            <w:pPr>
              <w:jc w:val="right"/>
              <w:rPr>
                <w:sz w:val="20"/>
                <w:szCs w:val="20"/>
              </w:rPr>
            </w:pPr>
            <w:r>
              <w:rPr>
                <w:sz w:val="20"/>
                <w:szCs w:val="20"/>
              </w:rPr>
              <w:t xml:space="preserve">30,479 </w:t>
            </w:r>
          </w:p>
        </w:tc>
      </w:tr>
      <w:tr w:rsidR="009616CB" w14:paraId="0AC9E8C8" w14:textId="77777777" w:rsidTr="009616CB">
        <w:trPr>
          <w:trHeight w:val="312"/>
          <w:jc w:val="center"/>
        </w:trPr>
        <w:tc>
          <w:tcPr>
            <w:tcW w:w="4066" w:type="dxa"/>
            <w:tcBorders>
              <w:top w:val="nil"/>
              <w:left w:val="single" w:sz="8" w:space="0" w:color="auto"/>
              <w:bottom w:val="nil"/>
              <w:right w:val="nil"/>
            </w:tcBorders>
            <w:shd w:val="clear" w:color="auto" w:fill="auto"/>
            <w:noWrap/>
            <w:vAlign w:val="bottom"/>
            <w:hideMark/>
          </w:tcPr>
          <w:p w14:paraId="780BDE24" w14:textId="77777777" w:rsidR="009616CB" w:rsidRDefault="009616CB" w:rsidP="009616CB">
            <w:pPr>
              <w:rPr>
                <w:sz w:val="20"/>
                <w:szCs w:val="20"/>
              </w:rPr>
            </w:pPr>
            <w:r>
              <w:rPr>
                <w:sz w:val="20"/>
                <w:szCs w:val="20"/>
              </w:rPr>
              <w:t> </w:t>
            </w:r>
          </w:p>
        </w:tc>
        <w:tc>
          <w:tcPr>
            <w:tcW w:w="1194" w:type="dxa"/>
            <w:tcBorders>
              <w:top w:val="nil"/>
              <w:left w:val="nil"/>
              <w:bottom w:val="nil"/>
              <w:right w:val="nil"/>
            </w:tcBorders>
            <w:shd w:val="clear" w:color="auto" w:fill="auto"/>
            <w:noWrap/>
            <w:vAlign w:val="bottom"/>
            <w:hideMark/>
          </w:tcPr>
          <w:p w14:paraId="7A55FC7B" w14:textId="77777777" w:rsidR="009616CB" w:rsidRDefault="009616CB" w:rsidP="009616CB">
            <w:pPr>
              <w:rPr>
                <w:sz w:val="20"/>
                <w:szCs w:val="20"/>
              </w:rPr>
            </w:pPr>
          </w:p>
        </w:tc>
        <w:tc>
          <w:tcPr>
            <w:tcW w:w="1804" w:type="dxa"/>
            <w:tcBorders>
              <w:top w:val="nil"/>
              <w:left w:val="nil"/>
              <w:bottom w:val="nil"/>
              <w:right w:val="nil"/>
            </w:tcBorders>
            <w:shd w:val="clear" w:color="auto" w:fill="auto"/>
            <w:noWrap/>
            <w:vAlign w:val="bottom"/>
            <w:hideMark/>
          </w:tcPr>
          <w:p w14:paraId="4FC3E468" w14:textId="77777777" w:rsidR="009616CB" w:rsidRDefault="009616CB" w:rsidP="009616CB">
            <w:pPr>
              <w:rPr>
                <w:sz w:val="20"/>
                <w:szCs w:val="20"/>
              </w:rPr>
            </w:pPr>
          </w:p>
        </w:tc>
        <w:tc>
          <w:tcPr>
            <w:tcW w:w="1196" w:type="dxa"/>
            <w:tcBorders>
              <w:top w:val="nil"/>
              <w:left w:val="nil"/>
              <w:bottom w:val="nil"/>
              <w:right w:val="single" w:sz="8" w:space="0" w:color="auto"/>
            </w:tcBorders>
            <w:shd w:val="clear" w:color="auto" w:fill="auto"/>
            <w:noWrap/>
            <w:vAlign w:val="bottom"/>
            <w:hideMark/>
          </w:tcPr>
          <w:p w14:paraId="291E4F03" w14:textId="77777777" w:rsidR="009616CB" w:rsidRDefault="009616CB" w:rsidP="009616CB">
            <w:pPr>
              <w:rPr>
                <w:sz w:val="20"/>
                <w:szCs w:val="20"/>
              </w:rPr>
            </w:pPr>
            <w:r>
              <w:rPr>
                <w:sz w:val="20"/>
                <w:szCs w:val="20"/>
              </w:rPr>
              <w:t> </w:t>
            </w:r>
          </w:p>
        </w:tc>
      </w:tr>
      <w:tr w:rsidR="009616CB" w14:paraId="30A8CA32" w14:textId="77777777" w:rsidTr="009616CB">
        <w:trPr>
          <w:trHeight w:val="312"/>
          <w:jc w:val="center"/>
        </w:trPr>
        <w:tc>
          <w:tcPr>
            <w:tcW w:w="4066" w:type="dxa"/>
            <w:tcBorders>
              <w:top w:val="nil"/>
              <w:left w:val="single" w:sz="8" w:space="0" w:color="auto"/>
              <w:bottom w:val="nil"/>
              <w:right w:val="nil"/>
            </w:tcBorders>
            <w:shd w:val="clear" w:color="auto" w:fill="auto"/>
            <w:noWrap/>
            <w:vAlign w:val="bottom"/>
            <w:hideMark/>
          </w:tcPr>
          <w:p w14:paraId="7EF3E717" w14:textId="77777777" w:rsidR="009616CB" w:rsidRDefault="009616CB" w:rsidP="009616CB">
            <w:pPr>
              <w:rPr>
                <w:sz w:val="20"/>
                <w:szCs w:val="20"/>
              </w:rPr>
            </w:pPr>
            <w:r>
              <w:rPr>
                <w:sz w:val="20"/>
                <w:szCs w:val="20"/>
              </w:rPr>
              <w:t>NON-USED AND USEFUL COMPONENTS</w:t>
            </w:r>
          </w:p>
        </w:tc>
        <w:tc>
          <w:tcPr>
            <w:tcW w:w="1194" w:type="dxa"/>
            <w:tcBorders>
              <w:top w:val="nil"/>
              <w:left w:val="nil"/>
              <w:bottom w:val="nil"/>
              <w:right w:val="nil"/>
            </w:tcBorders>
            <w:shd w:val="clear" w:color="auto" w:fill="auto"/>
            <w:noWrap/>
            <w:vAlign w:val="bottom"/>
            <w:hideMark/>
          </w:tcPr>
          <w:p w14:paraId="6DF56486" w14:textId="77777777" w:rsidR="009616CB" w:rsidRDefault="009616CB" w:rsidP="009616CB">
            <w:pPr>
              <w:jc w:val="right"/>
              <w:rPr>
                <w:sz w:val="20"/>
                <w:szCs w:val="20"/>
              </w:rPr>
            </w:pPr>
            <w:r>
              <w:rPr>
                <w:sz w:val="20"/>
                <w:szCs w:val="20"/>
              </w:rPr>
              <w:t xml:space="preserve">0 </w:t>
            </w:r>
          </w:p>
        </w:tc>
        <w:tc>
          <w:tcPr>
            <w:tcW w:w="1804" w:type="dxa"/>
            <w:tcBorders>
              <w:top w:val="nil"/>
              <w:left w:val="nil"/>
              <w:bottom w:val="nil"/>
              <w:right w:val="nil"/>
            </w:tcBorders>
            <w:shd w:val="clear" w:color="auto" w:fill="auto"/>
            <w:noWrap/>
            <w:vAlign w:val="bottom"/>
            <w:hideMark/>
          </w:tcPr>
          <w:p w14:paraId="7A1E5C97" w14:textId="77777777" w:rsidR="009616CB" w:rsidRDefault="009616CB" w:rsidP="009616CB">
            <w:pPr>
              <w:jc w:val="right"/>
              <w:rPr>
                <w:sz w:val="20"/>
                <w:szCs w:val="20"/>
              </w:rPr>
            </w:pPr>
            <w:r>
              <w:rPr>
                <w:sz w:val="20"/>
                <w:szCs w:val="20"/>
              </w:rPr>
              <w:t xml:space="preserve">0 </w:t>
            </w:r>
          </w:p>
        </w:tc>
        <w:tc>
          <w:tcPr>
            <w:tcW w:w="1196" w:type="dxa"/>
            <w:tcBorders>
              <w:top w:val="nil"/>
              <w:left w:val="nil"/>
              <w:bottom w:val="nil"/>
              <w:right w:val="single" w:sz="8" w:space="0" w:color="auto"/>
            </w:tcBorders>
            <w:shd w:val="clear" w:color="auto" w:fill="auto"/>
            <w:noWrap/>
            <w:vAlign w:val="bottom"/>
            <w:hideMark/>
          </w:tcPr>
          <w:p w14:paraId="79D30D0E" w14:textId="77777777" w:rsidR="009616CB" w:rsidRDefault="009616CB" w:rsidP="009616CB">
            <w:pPr>
              <w:jc w:val="right"/>
              <w:rPr>
                <w:sz w:val="20"/>
                <w:szCs w:val="20"/>
              </w:rPr>
            </w:pPr>
            <w:r>
              <w:rPr>
                <w:sz w:val="20"/>
                <w:szCs w:val="20"/>
              </w:rPr>
              <w:t xml:space="preserve">0 </w:t>
            </w:r>
          </w:p>
        </w:tc>
      </w:tr>
      <w:tr w:rsidR="009616CB" w14:paraId="17E078DD" w14:textId="77777777" w:rsidTr="009616CB">
        <w:trPr>
          <w:trHeight w:val="300"/>
          <w:jc w:val="center"/>
        </w:trPr>
        <w:tc>
          <w:tcPr>
            <w:tcW w:w="4066" w:type="dxa"/>
            <w:tcBorders>
              <w:top w:val="nil"/>
              <w:left w:val="single" w:sz="8" w:space="0" w:color="auto"/>
              <w:bottom w:val="nil"/>
              <w:right w:val="nil"/>
            </w:tcBorders>
            <w:shd w:val="clear" w:color="auto" w:fill="auto"/>
            <w:noWrap/>
            <w:vAlign w:val="bottom"/>
            <w:hideMark/>
          </w:tcPr>
          <w:p w14:paraId="5661C099" w14:textId="77777777" w:rsidR="009616CB" w:rsidRDefault="009616CB" w:rsidP="009616CB">
            <w:pPr>
              <w:rPr>
                <w:sz w:val="20"/>
                <w:szCs w:val="20"/>
              </w:rPr>
            </w:pPr>
            <w:r>
              <w:rPr>
                <w:sz w:val="20"/>
                <w:szCs w:val="20"/>
              </w:rPr>
              <w:t> </w:t>
            </w:r>
          </w:p>
        </w:tc>
        <w:tc>
          <w:tcPr>
            <w:tcW w:w="1194" w:type="dxa"/>
            <w:tcBorders>
              <w:top w:val="nil"/>
              <w:left w:val="nil"/>
              <w:bottom w:val="nil"/>
              <w:right w:val="nil"/>
            </w:tcBorders>
            <w:shd w:val="clear" w:color="auto" w:fill="auto"/>
            <w:noWrap/>
            <w:vAlign w:val="bottom"/>
            <w:hideMark/>
          </w:tcPr>
          <w:p w14:paraId="7F267EA7" w14:textId="77777777" w:rsidR="009616CB" w:rsidRDefault="009616CB" w:rsidP="009616CB">
            <w:pPr>
              <w:rPr>
                <w:sz w:val="20"/>
                <w:szCs w:val="20"/>
              </w:rPr>
            </w:pPr>
          </w:p>
        </w:tc>
        <w:tc>
          <w:tcPr>
            <w:tcW w:w="1804" w:type="dxa"/>
            <w:tcBorders>
              <w:top w:val="nil"/>
              <w:left w:val="nil"/>
              <w:bottom w:val="nil"/>
              <w:right w:val="nil"/>
            </w:tcBorders>
            <w:shd w:val="clear" w:color="auto" w:fill="auto"/>
            <w:noWrap/>
            <w:vAlign w:val="bottom"/>
            <w:hideMark/>
          </w:tcPr>
          <w:p w14:paraId="02D5BB0B" w14:textId="77777777" w:rsidR="009616CB" w:rsidRDefault="009616CB" w:rsidP="009616CB">
            <w:pPr>
              <w:rPr>
                <w:sz w:val="20"/>
                <w:szCs w:val="20"/>
              </w:rPr>
            </w:pPr>
          </w:p>
        </w:tc>
        <w:tc>
          <w:tcPr>
            <w:tcW w:w="1196" w:type="dxa"/>
            <w:tcBorders>
              <w:top w:val="nil"/>
              <w:left w:val="nil"/>
              <w:bottom w:val="nil"/>
              <w:right w:val="single" w:sz="8" w:space="0" w:color="auto"/>
            </w:tcBorders>
            <w:shd w:val="clear" w:color="auto" w:fill="auto"/>
            <w:noWrap/>
            <w:vAlign w:val="bottom"/>
            <w:hideMark/>
          </w:tcPr>
          <w:p w14:paraId="5C753789" w14:textId="77777777" w:rsidR="009616CB" w:rsidRDefault="009616CB" w:rsidP="009616CB">
            <w:pPr>
              <w:rPr>
                <w:sz w:val="20"/>
                <w:szCs w:val="20"/>
              </w:rPr>
            </w:pPr>
            <w:r>
              <w:rPr>
                <w:sz w:val="20"/>
                <w:szCs w:val="20"/>
              </w:rPr>
              <w:t> </w:t>
            </w:r>
          </w:p>
        </w:tc>
      </w:tr>
      <w:tr w:rsidR="009616CB" w14:paraId="5B970F6F" w14:textId="77777777" w:rsidTr="009616CB">
        <w:trPr>
          <w:trHeight w:val="300"/>
          <w:jc w:val="center"/>
        </w:trPr>
        <w:tc>
          <w:tcPr>
            <w:tcW w:w="4066" w:type="dxa"/>
            <w:tcBorders>
              <w:top w:val="nil"/>
              <w:left w:val="single" w:sz="8" w:space="0" w:color="auto"/>
              <w:bottom w:val="nil"/>
              <w:right w:val="nil"/>
            </w:tcBorders>
            <w:shd w:val="clear" w:color="auto" w:fill="auto"/>
            <w:noWrap/>
            <w:vAlign w:val="bottom"/>
          </w:tcPr>
          <w:p w14:paraId="19896498" w14:textId="77777777" w:rsidR="009616CB" w:rsidRDefault="009616CB" w:rsidP="009616CB">
            <w:pPr>
              <w:rPr>
                <w:sz w:val="20"/>
                <w:szCs w:val="20"/>
              </w:rPr>
            </w:pPr>
            <w:r>
              <w:rPr>
                <w:sz w:val="20"/>
                <w:szCs w:val="20"/>
              </w:rPr>
              <w:t>ACCUMULATED DEPRECIATION</w:t>
            </w:r>
          </w:p>
        </w:tc>
        <w:tc>
          <w:tcPr>
            <w:tcW w:w="1194" w:type="dxa"/>
            <w:tcBorders>
              <w:top w:val="nil"/>
              <w:left w:val="nil"/>
              <w:bottom w:val="nil"/>
              <w:right w:val="nil"/>
            </w:tcBorders>
            <w:shd w:val="clear" w:color="auto" w:fill="auto"/>
            <w:noWrap/>
            <w:vAlign w:val="bottom"/>
          </w:tcPr>
          <w:p w14:paraId="46E4D86F" w14:textId="77777777" w:rsidR="009616CB" w:rsidRDefault="009616CB" w:rsidP="009616CB">
            <w:pPr>
              <w:jc w:val="right"/>
              <w:rPr>
                <w:sz w:val="20"/>
                <w:szCs w:val="20"/>
              </w:rPr>
            </w:pPr>
            <w:r>
              <w:rPr>
                <w:sz w:val="20"/>
                <w:szCs w:val="20"/>
              </w:rPr>
              <w:t>(161,473)</w:t>
            </w:r>
          </w:p>
        </w:tc>
        <w:tc>
          <w:tcPr>
            <w:tcW w:w="1804" w:type="dxa"/>
            <w:tcBorders>
              <w:top w:val="nil"/>
              <w:left w:val="nil"/>
              <w:bottom w:val="nil"/>
              <w:right w:val="nil"/>
            </w:tcBorders>
            <w:shd w:val="clear" w:color="auto" w:fill="auto"/>
            <w:noWrap/>
            <w:vAlign w:val="bottom"/>
          </w:tcPr>
          <w:p w14:paraId="54500386" w14:textId="77777777" w:rsidR="009616CB" w:rsidRDefault="009616CB" w:rsidP="009616CB">
            <w:pPr>
              <w:jc w:val="right"/>
              <w:rPr>
                <w:sz w:val="20"/>
                <w:szCs w:val="20"/>
              </w:rPr>
            </w:pPr>
            <w:r>
              <w:rPr>
                <w:sz w:val="20"/>
                <w:szCs w:val="20"/>
              </w:rPr>
              <w:t xml:space="preserve">278 </w:t>
            </w:r>
          </w:p>
        </w:tc>
        <w:tc>
          <w:tcPr>
            <w:tcW w:w="1196" w:type="dxa"/>
            <w:tcBorders>
              <w:top w:val="nil"/>
              <w:left w:val="nil"/>
              <w:bottom w:val="nil"/>
              <w:right w:val="single" w:sz="8" w:space="0" w:color="auto"/>
            </w:tcBorders>
            <w:shd w:val="clear" w:color="auto" w:fill="auto"/>
            <w:noWrap/>
            <w:vAlign w:val="bottom"/>
          </w:tcPr>
          <w:p w14:paraId="1CA4066C" w14:textId="77777777" w:rsidR="009616CB" w:rsidRDefault="009616CB" w:rsidP="009616CB">
            <w:pPr>
              <w:jc w:val="right"/>
              <w:rPr>
                <w:sz w:val="20"/>
                <w:szCs w:val="20"/>
              </w:rPr>
            </w:pPr>
            <w:r>
              <w:rPr>
                <w:sz w:val="20"/>
                <w:szCs w:val="20"/>
              </w:rPr>
              <w:t>(161,195)</w:t>
            </w:r>
          </w:p>
        </w:tc>
      </w:tr>
      <w:tr w:rsidR="009616CB" w14:paraId="5B6883F5" w14:textId="77777777" w:rsidTr="009616CB">
        <w:trPr>
          <w:trHeight w:val="300"/>
          <w:jc w:val="center"/>
        </w:trPr>
        <w:tc>
          <w:tcPr>
            <w:tcW w:w="4066" w:type="dxa"/>
            <w:tcBorders>
              <w:top w:val="nil"/>
              <w:left w:val="single" w:sz="8" w:space="0" w:color="auto"/>
              <w:bottom w:val="nil"/>
              <w:right w:val="nil"/>
            </w:tcBorders>
            <w:shd w:val="clear" w:color="auto" w:fill="auto"/>
            <w:noWrap/>
            <w:vAlign w:val="bottom"/>
          </w:tcPr>
          <w:p w14:paraId="4D3809FD" w14:textId="77777777" w:rsidR="009616CB" w:rsidRDefault="009616CB" w:rsidP="009616CB">
            <w:pPr>
              <w:rPr>
                <w:sz w:val="20"/>
                <w:szCs w:val="20"/>
              </w:rPr>
            </w:pPr>
          </w:p>
        </w:tc>
        <w:tc>
          <w:tcPr>
            <w:tcW w:w="1194" w:type="dxa"/>
            <w:tcBorders>
              <w:top w:val="nil"/>
              <w:left w:val="nil"/>
              <w:bottom w:val="nil"/>
              <w:right w:val="nil"/>
            </w:tcBorders>
            <w:shd w:val="clear" w:color="auto" w:fill="auto"/>
            <w:noWrap/>
            <w:vAlign w:val="bottom"/>
          </w:tcPr>
          <w:p w14:paraId="79E401A1" w14:textId="77777777" w:rsidR="009616CB" w:rsidRDefault="009616CB" w:rsidP="009616CB">
            <w:pPr>
              <w:jc w:val="right"/>
              <w:rPr>
                <w:sz w:val="20"/>
                <w:szCs w:val="20"/>
              </w:rPr>
            </w:pPr>
          </w:p>
        </w:tc>
        <w:tc>
          <w:tcPr>
            <w:tcW w:w="1804" w:type="dxa"/>
            <w:tcBorders>
              <w:top w:val="nil"/>
              <w:left w:val="nil"/>
              <w:bottom w:val="nil"/>
              <w:right w:val="nil"/>
            </w:tcBorders>
            <w:shd w:val="clear" w:color="auto" w:fill="auto"/>
            <w:noWrap/>
            <w:vAlign w:val="bottom"/>
          </w:tcPr>
          <w:p w14:paraId="3B1F6BB5" w14:textId="77777777" w:rsidR="009616CB" w:rsidRDefault="009616CB" w:rsidP="009616CB">
            <w:pPr>
              <w:jc w:val="right"/>
              <w:rPr>
                <w:sz w:val="20"/>
                <w:szCs w:val="20"/>
              </w:rPr>
            </w:pPr>
          </w:p>
        </w:tc>
        <w:tc>
          <w:tcPr>
            <w:tcW w:w="1196" w:type="dxa"/>
            <w:tcBorders>
              <w:top w:val="nil"/>
              <w:left w:val="nil"/>
              <w:bottom w:val="nil"/>
              <w:right w:val="single" w:sz="8" w:space="0" w:color="auto"/>
            </w:tcBorders>
            <w:shd w:val="clear" w:color="auto" w:fill="auto"/>
            <w:noWrap/>
            <w:vAlign w:val="bottom"/>
          </w:tcPr>
          <w:p w14:paraId="3F73E016" w14:textId="77777777" w:rsidR="009616CB" w:rsidRDefault="009616CB" w:rsidP="009616CB">
            <w:pPr>
              <w:jc w:val="right"/>
              <w:rPr>
                <w:sz w:val="20"/>
                <w:szCs w:val="20"/>
              </w:rPr>
            </w:pPr>
          </w:p>
        </w:tc>
      </w:tr>
      <w:tr w:rsidR="009616CB" w14:paraId="3931BE89" w14:textId="77777777" w:rsidTr="009616CB">
        <w:trPr>
          <w:trHeight w:val="300"/>
          <w:jc w:val="center"/>
        </w:trPr>
        <w:tc>
          <w:tcPr>
            <w:tcW w:w="4066" w:type="dxa"/>
            <w:tcBorders>
              <w:top w:val="nil"/>
              <w:left w:val="single" w:sz="8" w:space="0" w:color="auto"/>
              <w:bottom w:val="nil"/>
              <w:right w:val="nil"/>
            </w:tcBorders>
            <w:shd w:val="clear" w:color="auto" w:fill="auto"/>
            <w:noWrap/>
            <w:vAlign w:val="bottom"/>
            <w:hideMark/>
          </w:tcPr>
          <w:p w14:paraId="539B3148" w14:textId="77777777" w:rsidR="009616CB" w:rsidRDefault="009616CB" w:rsidP="009616CB">
            <w:pPr>
              <w:rPr>
                <w:sz w:val="20"/>
                <w:szCs w:val="20"/>
              </w:rPr>
            </w:pPr>
            <w:r>
              <w:rPr>
                <w:sz w:val="20"/>
                <w:szCs w:val="20"/>
              </w:rPr>
              <w:t>CIAC</w:t>
            </w:r>
          </w:p>
        </w:tc>
        <w:tc>
          <w:tcPr>
            <w:tcW w:w="1194" w:type="dxa"/>
            <w:tcBorders>
              <w:top w:val="nil"/>
              <w:left w:val="nil"/>
              <w:bottom w:val="nil"/>
              <w:right w:val="nil"/>
            </w:tcBorders>
            <w:shd w:val="clear" w:color="auto" w:fill="auto"/>
            <w:noWrap/>
            <w:vAlign w:val="bottom"/>
            <w:hideMark/>
          </w:tcPr>
          <w:p w14:paraId="03BE8AD9" w14:textId="77777777" w:rsidR="009616CB" w:rsidRDefault="009616CB" w:rsidP="009616CB">
            <w:pPr>
              <w:jc w:val="right"/>
              <w:rPr>
                <w:sz w:val="20"/>
                <w:szCs w:val="20"/>
              </w:rPr>
            </w:pPr>
            <w:r>
              <w:rPr>
                <w:sz w:val="20"/>
                <w:szCs w:val="20"/>
              </w:rPr>
              <w:t>(23,500)</w:t>
            </w:r>
          </w:p>
        </w:tc>
        <w:tc>
          <w:tcPr>
            <w:tcW w:w="1804" w:type="dxa"/>
            <w:tcBorders>
              <w:top w:val="nil"/>
              <w:left w:val="nil"/>
              <w:bottom w:val="nil"/>
              <w:right w:val="nil"/>
            </w:tcBorders>
            <w:shd w:val="clear" w:color="auto" w:fill="auto"/>
            <w:noWrap/>
            <w:vAlign w:val="bottom"/>
            <w:hideMark/>
          </w:tcPr>
          <w:p w14:paraId="3FE16BB1" w14:textId="77777777" w:rsidR="009616CB" w:rsidRDefault="009616CB" w:rsidP="009616CB">
            <w:pPr>
              <w:jc w:val="right"/>
              <w:rPr>
                <w:sz w:val="20"/>
                <w:szCs w:val="20"/>
              </w:rPr>
            </w:pPr>
            <w:r>
              <w:rPr>
                <w:sz w:val="20"/>
                <w:szCs w:val="20"/>
              </w:rPr>
              <w:t xml:space="preserve">0 </w:t>
            </w:r>
          </w:p>
        </w:tc>
        <w:tc>
          <w:tcPr>
            <w:tcW w:w="1196" w:type="dxa"/>
            <w:tcBorders>
              <w:top w:val="nil"/>
              <w:left w:val="nil"/>
              <w:bottom w:val="nil"/>
              <w:right w:val="single" w:sz="8" w:space="0" w:color="auto"/>
            </w:tcBorders>
            <w:shd w:val="clear" w:color="auto" w:fill="auto"/>
            <w:noWrap/>
            <w:vAlign w:val="bottom"/>
            <w:hideMark/>
          </w:tcPr>
          <w:p w14:paraId="45ED3C5E" w14:textId="77777777" w:rsidR="009616CB" w:rsidRDefault="009616CB" w:rsidP="009616CB">
            <w:pPr>
              <w:jc w:val="right"/>
              <w:rPr>
                <w:sz w:val="20"/>
                <w:szCs w:val="20"/>
              </w:rPr>
            </w:pPr>
            <w:r>
              <w:rPr>
                <w:sz w:val="20"/>
                <w:szCs w:val="20"/>
              </w:rPr>
              <w:t>(23,500)</w:t>
            </w:r>
          </w:p>
        </w:tc>
      </w:tr>
      <w:tr w:rsidR="009616CB" w14:paraId="76FFAD0B" w14:textId="77777777" w:rsidTr="009616CB">
        <w:trPr>
          <w:trHeight w:val="300"/>
          <w:jc w:val="center"/>
        </w:trPr>
        <w:tc>
          <w:tcPr>
            <w:tcW w:w="4066" w:type="dxa"/>
            <w:tcBorders>
              <w:top w:val="nil"/>
              <w:left w:val="single" w:sz="8" w:space="0" w:color="auto"/>
              <w:bottom w:val="nil"/>
              <w:right w:val="nil"/>
            </w:tcBorders>
            <w:shd w:val="clear" w:color="auto" w:fill="auto"/>
            <w:noWrap/>
            <w:vAlign w:val="bottom"/>
            <w:hideMark/>
          </w:tcPr>
          <w:p w14:paraId="4467662F" w14:textId="77777777" w:rsidR="009616CB" w:rsidRDefault="009616CB" w:rsidP="009616CB">
            <w:pPr>
              <w:rPr>
                <w:sz w:val="20"/>
                <w:szCs w:val="20"/>
              </w:rPr>
            </w:pPr>
            <w:r>
              <w:rPr>
                <w:sz w:val="20"/>
                <w:szCs w:val="20"/>
              </w:rPr>
              <w:t> </w:t>
            </w:r>
          </w:p>
        </w:tc>
        <w:tc>
          <w:tcPr>
            <w:tcW w:w="1194" w:type="dxa"/>
            <w:tcBorders>
              <w:top w:val="nil"/>
              <w:left w:val="nil"/>
              <w:bottom w:val="nil"/>
              <w:right w:val="nil"/>
            </w:tcBorders>
            <w:shd w:val="clear" w:color="auto" w:fill="auto"/>
            <w:noWrap/>
            <w:vAlign w:val="bottom"/>
            <w:hideMark/>
          </w:tcPr>
          <w:p w14:paraId="4DC7FFCD" w14:textId="77777777" w:rsidR="009616CB" w:rsidRDefault="009616CB" w:rsidP="009616CB">
            <w:pPr>
              <w:rPr>
                <w:sz w:val="20"/>
                <w:szCs w:val="20"/>
              </w:rPr>
            </w:pPr>
          </w:p>
        </w:tc>
        <w:tc>
          <w:tcPr>
            <w:tcW w:w="1804" w:type="dxa"/>
            <w:tcBorders>
              <w:top w:val="nil"/>
              <w:left w:val="nil"/>
              <w:bottom w:val="nil"/>
              <w:right w:val="nil"/>
            </w:tcBorders>
            <w:shd w:val="clear" w:color="auto" w:fill="auto"/>
            <w:noWrap/>
            <w:vAlign w:val="bottom"/>
            <w:hideMark/>
          </w:tcPr>
          <w:p w14:paraId="0CAD3670" w14:textId="77777777" w:rsidR="009616CB" w:rsidRDefault="009616CB" w:rsidP="009616CB">
            <w:pPr>
              <w:rPr>
                <w:sz w:val="20"/>
                <w:szCs w:val="20"/>
              </w:rPr>
            </w:pPr>
          </w:p>
        </w:tc>
        <w:tc>
          <w:tcPr>
            <w:tcW w:w="1196" w:type="dxa"/>
            <w:tcBorders>
              <w:top w:val="nil"/>
              <w:left w:val="nil"/>
              <w:bottom w:val="nil"/>
              <w:right w:val="single" w:sz="8" w:space="0" w:color="auto"/>
            </w:tcBorders>
            <w:shd w:val="clear" w:color="auto" w:fill="auto"/>
            <w:noWrap/>
            <w:vAlign w:val="bottom"/>
            <w:hideMark/>
          </w:tcPr>
          <w:p w14:paraId="6C0E2DCB" w14:textId="77777777" w:rsidR="009616CB" w:rsidRDefault="009616CB" w:rsidP="009616CB">
            <w:pPr>
              <w:rPr>
                <w:sz w:val="20"/>
                <w:szCs w:val="20"/>
              </w:rPr>
            </w:pPr>
            <w:r>
              <w:rPr>
                <w:sz w:val="20"/>
                <w:szCs w:val="20"/>
              </w:rPr>
              <w:t> </w:t>
            </w:r>
          </w:p>
        </w:tc>
      </w:tr>
      <w:tr w:rsidR="009616CB" w14:paraId="38D0AF05" w14:textId="77777777" w:rsidTr="009616CB">
        <w:trPr>
          <w:trHeight w:val="300"/>
          <w:jc w:val="center"/>
        </w:trPr>
        <w:tc>
          <w:tcPr>
            <w:tcW w:w="4066" w:type="dxa"/>
            <w:tcBorders>
              <w:top w:val="nil"/>
              <w:left w:val="single" w:sz="8" w:space="0" w:color="auto"/>
              <w:bottom w:val="nil"/>
              <w:right w:val="nil"/>
            </w:tcBorders>
            <w:shd w:val="clear" w:color="auto" w:fill="auto"/>
            <w:noWrap/>
            <w:vAlign w:val="bottom"/>
            <w:hideMark/>
          </w:tcPr>
          <w:p w14:paraId="499E7934" w14:textId="77777777" w:rsidR="009616CB" w:rsidRDefault="009616CB" w:rsidP="009616CB">
            <w:pPr>
              <w:rPr>
                <w:sz w:val="20"/>
                <w:szCs w:val="20"/>
              </w:rPr>
            </w:pPr>
            <w:r>
              <w:rPr>
                <w:sz w:val="20"/>
                <w:szCs w:val="20"/>
              </w:rPr>
              <w:t>AMORTIZATION OF CIAC</w:t>
            </w:r>
          </w:p>
        </w:tc>
        <w:tc>
          <w:tcPr>
            <w:tcW w:w="1194" w:type="dxa"/>
            <w:tcBorders>
              <w:top w:val="nil"/>
              <w:left w:val="nil"/>
              <w:bottom w:val="nil"/>
              <w:right w:val="nil"/>
            </w:tcBorders>
            <w:shd w:val="clear" w:color="auto" w:fill="auto"/>
            <w:noWrap/>
            <w:vAlign w:val="bottom"/>
            <w:hideMark/>
          </w:tcPr>
          <w:p w14:paraId="5F9CA39E" w14:textId="77777777" w:rsidR="009616CB" w:rsidRDefault="009616CB" w:rsidP="009616CB">
            <w:pPr>
              <w:jc w:val="right"/>
              <w:rPr>
                <w:sz w:val="20"/>
                <w:szCs w:val="20"/>
              </w:rPr>
            </w:pPr>
            <w:r>
              <w:rPr>
                <w:sz w:val="20"/>
                <w:szCs w:val="20"/>
              </w:rPr>
              <w:t xml:space="preserve">23,500 </w:t>
            </w:r>
          </w:p>
        </w:tc>
        <w:tc>
          <w:tcPr>
            <w:tcW w:w="1804" w:type="dxa"/>
            <w:tcBorders>
              <w:top w:val="nil"/>
              <w:left w:val="nil"/>
              <w:bottom w:val="nil"/>
              <w:right w:val="nil"/>
            </w:tcBorders>
            <w:shd w:val="clear" w:color="auto" w:fill="auto"/>
            <w:noWrap/>
            <w:vAlign w:val="bottom"/>
            <w:hideMark/>
          </w:tcPr>
          <w:p w14:paraId="173DDB8A" w14:textId="77777777" w:rsidR="009616CB" w:rsidRDefault="009616CB" w:rsidP="009616CB">
            <w:pPr>
              <w:jc w:val="right"/>
              <w:rPr>
                <w:sz w:val="20"/>
                <w:szCs w:val="20"/>
              </w:rPr>
            </w:pPr>
            <w:r>
              <w:rPr>
                <w:sz w:val="20"/>
                <w:szCs w:val="20"/>
              </w:rPr>
              <w:t xml:space="preserve">0 </w:t>
            </w:r>
          </w:p>
        </w:tc>
        <w:tc>
          <w:tcPr>
            <w:tcW w:w="1196" w:type="dxa"/>
            <w:tcBorders>
              <w:top w:val="nil"/>
              <w:left w:val="nil"/>
              <w:bottom w:val="nil"/>
              <w:right w:val="single" w:sz="8" w:space="0" w:color="auto"/>
            </w:tcBorders>
            <w:shd w:val="clear" w:color="auto" w:fill="auto"/>
            <w:noWrap/>
            <w:vAlign w:val="bottom"/>
            <w:hideMark/>
          </w:tcPr>
          <w:p w14:paraId="3B1BE944" w14:textId="77777777" w:rsidR="009616CB" w:rsidRDefault="009616CB" w:rsidP="009616CB">
            <w:pPr>
              <w:jc w:val="right"/>
              <w:rPr>
                <w:sz w:val="20"/>
                <w:szCs w:val="20"/>
              </w:rPr>
            </w:pPr>
            <w:r>
              <w:rPr>
                <w:sz w:val="20"/>
                <w:szCs w:val="20"/>
              </w:rPr>
              <w:t xml:space="preserve">23,500 </w:t>
            </w:r>
          </w:p>
        </w:tc>
      </w:tr>
      <w:tr w:rsidR="009616CB" w14:paraId="5826B858" w14:textId="77777777" w:rsidTr="009616CB">
        <w:trPr>
          <w:trHeight w:val="300"/>
          <w:jc w:val="center"/>
        </w:trPr>
        <w:tc>
          <w:tcPr>
            <w:tcW w:w="4066" w:type="dxa"/>
            <w:tcBorders>
              <w:top w:val="nil"/>
              <w:left w:val="single" w:sz="8" w:space="0" w:color="auto"/>
              <w:bottom w:val="nil"/>
              <w:right w:val="nil"/>
            </w:tcBorders>
            <w:shd w:val="clear" w:color="auto" w:fill="auto"/>
            <w:noWrap/>
            <w:vAlign w:val="bottom"/>
            <w:hideMark/>
          </w:tcPr>
          <w:p w14:paraId="38D71A13" w14:textId="77777777" w:rsidR="009616CB" w:rsidRDefault="009616CB" w:rsidP="009616CB">
            <w:pPr>
              <w:rPr>
                <w:sz w:val="20"/>
                <w:szCs w:val="20"/>
              </w:rPr>
            </w:pPr>
            <w:r>
              <w:rPr>
                <w:sz w:val="20"/>
                <w:szCs w:val="20"/>
              </w:rPr>
              <w:t> </w:t>
            </w:r>
          </w:p>
        </w:tc>
        <w:tc>
          <w:tcPr>
            <w:tcW w:w="1194" w:type="dxa"/>
            <w:tcBorders>
              <w:top w:val="nil"/>
              <w:left w:val="nil"/>
              <w:bottom w:val="nil"/>
              <w:right w:val="nil"/>
            </w:tcBorders>
            <w:shd w:val="clear" w:color="auto" w:fill="auto"/>
            <w:noWrap/>
            <w:vAlign w:val="bottom"/>
            <w:hideMark/>
          </w:tcPr>
          <w:p w14:paraId="2F101AC7" w14:textId="77777777" w:rsidR="009616CB" w:rsidRDefault="009616CB" w:rsidP="009616CB">
            <w:pPr>
              <w:rPr>
                <w:sz w:val="20"/>
                <w:szCs w:val="20"/>
              </w:rPr>
            </w:pPr>
          </w:p>
        </w:tc>
        <w:tc>
          <w:tcPr>
            <w:tcW w:w="1804" w:type="dxa"/>
            <w:tcBorders>
              <w:top w:val="nil"/>
              <w:left w:val="nil"/>
              <w:bottom w:val="nil"/>
              <w:right w:val="nil"/>
            </w:tcBorders>
            <w:shd w:val="clear" w:color="auto" w:fill="auto"/>
            <w:noWrap/>
            <w:vAlign w:val="bottom"/>
            <w:hideMark/>
          </w:tcPr>
          <w:p w14:paraId="17E00FE6" w14:textId="77777777" w:rsidR="009616CB" w:rsidRDefault="009616CB" w:rsidP="009616CB">
            <w:pPr>
              <w:rPr>
                <w:sz w:val="20"/>
                <w:szCs w:val="20"/>
              </w:rPr>
            </w:pPr>
          </w:p>
        </w:tc>
        <w:tc>
          <w:tcPr>
            <w:tcW w:w="1196" w:type="dxa"/>
            <w:tcBorders>
              <w:top w:val="nil"/>
              <w:left w:val="nil"/>
              <w:bottom w:val="nil"/>
              <w:right w:val="single" w:sz="8" w:space="0" w:color="auto"/>
            </w:tcBorders>
            <w:shd w:val="clear" w:color="auto" w:fill="auto"/>
            <w:noWrap/>
            <w:vAlign w:val="bottom"/>
            <w:hideMark/>
          </w:tcPr>
          <w:p w14:paraId="09CEA899" w14:textId="77777777" w:rsidR="009616CB" w:rsidRDefault="009616CB" w:rsidP="009616CB">
            <w:pPr>
              <w:rPr>
                <w:sz w:val="20"/>
                <w:szCs w:val="20"/>
              </w:rPr>
            </w:pPr>
            <w:r>
              <w:rPr>
                <w:sz w:val="20"/>
                <w:szCs w:val="20"/>
              </w:rPr>
              <w:t> </w:t>
            </w:r>
          </w:p>
        </w:tc>
      </w:tr>
      <w:tr w:rsidR="009616CB" w14:paraId="45FCCCE1" w14:textId="77777777" w:rsidTr="009616CB">
        <w:trPr>
          <w:trHeight w:val="300"/>
          <w:jc w:val="center"/>
        </w:trPr>
        <w:tc>
          <w:tcPr>
            <w:tcW w:w="4066" w:type="dxa"/>
            <w:tcBorders>
              <w:top w:val="nil"/>
              <w:left w:val="single" w:sz="8" w:space="0" w:color="auto"/>
              <w:bottom w:val="nil"/>
              <w:right w:val="nil"/>
            </w:tcBorders>
            <w:shd w:val="clear" w:color="auto" w:fill="auto"/>
            <w:noWrap/>
            <w:vAlign w:val="bottom"/>
            <w:hideMark/>
          </w:tcPr>
          <w:p w14:paraId="607ADBBD" w14:textId="77777777" w:rsidR="009616CB" w:rsidRDefault="009616CB" w:rsidP="009616CB">
            <w:pPr>
              <w:rPr>
                <w:sz w:val="20"/>
                <w:szCs w:val="20"/>
              </w:rPr>
            </w:pPr>
            <w:r>
              <w:rPr>
                <w:sz w:val="20"/>
                <w:szCs w:val="20"/>
              </w:rPr>
              <w:t>ACQUISITION ADJUSTMENT (AA)</w:t>
            </w:r>
          </w:p>
        </w:tc>
        <w:tc>
          <w:tcPr>
            <w:tcW w:w="1194" w:type="dxa"/>
            <w:tcBorders>
              <w:top w:val="nil"/>
              <w:left w:val="nil"/>
              <w:bottom w:val="nil"/>
              <w:right w:val="nil"/>
            </w:tcBorders>
            <w:shd w:val="clear" w:color="auto" w:fill="auto"/>
            <w:noWrap/>
            <w:vAlign w:val="bottom"/>
            <w:hideMark/>
          </w:tcPr>
          <w:p w14:paraId="644CBE58" w14:textId="77777777" w:rsidR="009616CB" w:rsidRDefault="009616CB" w:rsidP="009616CB">
            <w:pPr>
              <w:jc w:val="right"/>
              <w:rPr>
                <w:sz w:val="20"/>
                <w:szCs w:val="20"/>
              </w:rPr>
            </w:pPr>
            <w:r>
              <w:rPr>
                <w:sz w:val="20"/>
                <w:szCs w:val="20"/>
              </w:rPr>
              <w:t>(175)</w:t>
            </w:r>
          </w:p>
        </w:tc>
        <w:tc>
          <w:tcPr>
            <w:tcW w:w="1804" w:type="dxa"/>
            <w:tcBorders>
              <w:top w:val="nil"/>
              <w:left w:val="nil"/>
              <w:bottom w:val="nil"/>
              <w:right w:val="nil"/>
            </w:tcBorders>
            <w:shd w:val="clear" w:color="auto" w:fill="auto"/>
            <w:noWrap/>
            <w:vAlign w:val="bottom"/>
            <w:hideMark/>
          </w:tcPr>
          <w:p w14:paraId="6F2F2A41" w14:textId="77777777" w:rsidR="009616CB" w:rsidRDefault="009616CB" w:rsidP="009616CB">
            <w:pPr>
              <w:jc w:val="right"/>
              <w:rPr>
                <w:sz w:val="20"/>
                <w:szCs w:val="20"/>
              </w:rPr>
            </w:pPr>
            <w:r>
              <w:rPr>
                <w:sz w:val="20"/>
                <w:szCs w:val="20"/>
              </w:rPr>
              <w:t xml:space="preserve">0 </w:t>
            </w:r>
          </w:p>
        </w:tc>
        <w:tc>
          <w:tcPr>
            <w:tcW w:w="1196" w:type="dxa"/>
            <w:tcBorders>
              <w:top w:val="nil"/>
              <w:left w:val="nil"/>
              <w:bottom w:val="nil"/>
              <w:right w:val="single" w:sz="8" w:space="0" w:color="auto"/>
            </w:tcBorders>
            <w:shd w:val="clear" w:color="auto" w:fill="auto"/>
            <w:noWrap/>
            <w:vAlign w:val="bottom"/>
            <w:hideMark/>
          </w:tcPr>
          <w:p w14:paraId="7F74FC37" w14:textId="77777777" w:rsidR="009616CB" w:rsidRDefault="009616CB" w:rsidP="009616CB">
            <w:pPr>
              <w:jc w:val="right"/>
              <w:rPr>
                <w:sz w:val="20"/>
                <w:szCs w:val="20"/>
              </w:rPr>
            </w:pPr>
            <w:r>
              <w:rPr>
                <w:sz w:val="20"/>
                <w:szCs w:val="20"/>
              </w:rPr>
              <w:t>(175)</w:t>
            </w:r>
          </w:p>
        </w:tc>
      </w:tr>
      <w:tr w:rsidR="009616CB" w14:paraId="5CD1E684" w14:textId="77777777" w:rsidTr="009616CB">
        <w:trPr>
          <w:trHeight w:val="300"/>
          <w:jc w:val="center"/>
        </w:trPr>
        <w:tc>
          <w:tcPr>
            <w:tcW w:w="4066" w:type="dxa"/>
            <w:tcBorders>
              <w:top w:val="nil"/>
              <w:left w:val="single" w:sz="8" w:space="0" w:color="auto"/>
              <w:bottom w:val="nil"/>
              <w:right w:val="nil"/>
            </w:tcBorders>
            <w:shd w:val="clear" w:color="auto" w:fill="auto"/>
            <w:noWrap/>
            <w:vAlign w:val="bottom"/>
            <w:hideMark/>
          </w:tcPr>
          <w:p w14:paraId="0E4CBA2B" w14:textId="77777777" w:rsidR="009616CB" w:rsidRDefault="009616CB" w:rsidP="009616CB">
            <w:pPr>
              <w:rPr>
                <w:sz w:val="20"/>
                <w:szCs w:val="20"/>
              </w:rPr>
            </w:pPr>
            <w:r>
              <w:rPr>
                <w:sz w:val="20"/>
                <w:szCs w:val="20"/>
              </w:rPr>
              <w:t> </w:t>
            </w:r>
          </w:p>
        </w:tc>
        <w:tc>
          <w:tcPr>
            <w:tcW w:w="1194" w:type="dxa"/>
            <w:tcBorders>
              <w:top w:val="nil"/>
              <w:left w:val="nil"/>
              <w:bottom w:val="nil"/>
              <w:right w:val="nil"/>
            </w:tcBorders>
            <w:shd w:val="clear" w:color="auto" w:fill="auto"/>
            <w:noWrap/>
            <w:vAlign w:val="bottom"/>
            <w:hideMark/>
          </w:tcPr>
          <w:p w14:paraId="308EC2B6" w14:textId="77777777" w:rsidR="009616CB" w:rsidRDefault="009616CB" w:rsidP="009616CB">
            <w:pPr>
              <w:rPr>
                <w:sz w:val="20"/>
                <w:szCs w:val="20"/>
              </w:rPr>
            </w:pPr>
          </w:p>
        </w:tc>
        <w:tc>
          <w:tcPr>
            <w:tcW w:w="1804" w:type="dxa"/>
            <w:tcBorders>
              <w:top w:val="nil"/>
              <w:left w:val="nil"/>
              <w:bottom w:val="nil"/>
              <w:right w:val="nil"/>
            </w:tcBorders>
            <w:shd w:val="clear" w:color="auto" w:fill="auto"/>
            <w:noWrap/>
            <w:vAlign w:val="bottom"/>
            <w:hideMark/>
          </w:tcPr>
          <w:p w14:paraId="6FD097B5" w14:textId="77777777" w:rsidR="009616CB" w:rsidRDefault="009616CB" w:rsidP="009616CB">
            <w:pPr>
              <w:rPr>
                <w:sz w:val="20"/>
                <w:szCs w:val="20"/>
              </w:rPr>
            </w:pPr>
          </w:p>
        </w:tc>
        <w:tc>
          <w:tcPr>
            <w:tcW w:w="1196" w:type="dxa"/>
            <w:tcBorders>
              <w:top w:val="nil"/>
              <w:left w:val="nil"/>
              <w:bottom w:val="nil"/>
              <w:right w:val="single" w:sz="8" w:space="0" w:color="auto"/>
            </w:tcBorders>
            <w:shd w:val="clear" w:color="auto" w:fill="auto"/>
            <w:noWrap/>
            <w:vAlign w:val="bottom"/>
            <w:hideMark/>
          </w:tcPr>
          <w:p w14:paraId="3058E18F" w14:textId="77777777" w:rsidR="009616CB" w:rsidRDefault="009616CB" w:rsidP="009616CB">
            <w:pPr>
              <w:rPr>
                <w:sz w:val="20"/>
                <w:szCs w:val="20"/>
              </w:rPr>
            </w:pPr>
            <w:r>
              <w:rPr>
                <w:sz w:val="20"/>
                <w:szCs w:val="20"/>
              </w:rPr>
              <w:t> </w:t>
            </w:r>
          </w:p>
        </w:tc>
      </w:tr>
      <w:tr w:rsidR="009616CB" w14:paraId="3F7F8FB4" w14:textId="77777777" w:rsidTr="009616CB">
        <w:trPr>
          <w:trHeight w:val="300"/>
          <w:jc w:val="center"/>
        </w:trPr>
        <w:tc>
          <w:tcPr>
            <w:tcW w:w="4066" w:type="dxa"/>
            <w:tcBorders>
              <w:top w:val="nil"/>
              <w:left w:val="single" w:sz="8" w:space="0" w:color="auto"/>
              <w:bottom w:val="nil"/>
              <w:right w:val="nil"/>
            </w:tcBorders>
            <w:shd w:val="clear" w:color="auto" w:fill="auto"/>
            <w:noWrap/>
            <w:vAlign w:val="bottom"/>
            <w:hideMark/>
          </w:tcPr>
          <w:p w14:paraId="7B853F4D" w14:textId="77777777" w:rsidR="009616CB" w:rsidRDefault="009616CB" w:rsidP="009616CB">
            <w:pPr>
              <w:rPr>
                <w:sz w:val="20"/>
                <w:szCs w:val="20"/>
              </w:rPr>
            </w:pPr>
            <w:r>
              <w:rPr>
                <w:sz w:val="20"/>
                <w:szCs w:val="20"/>
              </w:rPr>
              <w:t>AMORTIZATION OF AA</w:t>
            </w:r>
          </w:p>
        </w:tc>
        <w:tc>
          <w:tcPr>
            <w:tcW w:w="1194" w:type="dxa"/>
            <w:tcBorders>
              <w:top w:val="nil"/>
              <w:left w:val="nil"/>
              <w:bottom w:val="nil"/>
              <w:right w:val="nil"/>
            </w:tcBorders>
            <w:shd w:val="clear" w:color="auto" w:fill="auto"/>
            <w:noWrap/>
            <w:vAlign w:val="bottom"/>
            <w:hideMark/>
          </w:tcPr>
          <w:p w14:paraId="41DA55A6" w14:textId="77777777" w:rsidR="009616CB" w:rsidRDefault="009616CB" w:rsidP="009616CB">
            <w:pPr>
              <w:jc w:val="right"/>
              <w:rPr>
                <w:sz w:val="20"/>
                <w:szCs w:val="20"/>
              </w:rPr>
            </w:pPr>
            <w:r>
              <w:rPr>
                <w:sz w:val="20"/>
                <w:szCs w:val="20"/>
              </w:rPr>
              <w:t xml:space="preserve">40 </w:t>
            </w:r>
          </w:p>
        </w:tc>
        <w:tc>
          <w:tcPr>
            <w:tcW w:w="1804" w:type="dxa"/>
            <w:tcBorders>
              <w:top w:val="nil"/>
              <w:left w:val="nil"/>
              <w:bottom w:val="nil"/>
              <w:right w:val="nil"/>
            </w:tcBorders>
            <w:shd w:val="clear" w:color="auto" w:fill="auto"/>
            <w:noWrap/>
            <w:vAlign w:val="bottom"/>
            <w:hideMark/>
          </w:tcPr>
          <w:p w14:paraId="701491B3" w14:textId="77777777" w:rsidR="009616CB" w:rsidRDefault="009616CB" w:rsidP="009616CB">
            <w:pPr>
              <w:jc w:val="right"/>
              <w:rPr>
                <w:sz w:val="20"/>
                <w:szCs w:val="20"/>
              </w:rPr>
            </w:pPr>
            <w:r>
              <w:rPr>
                <w:sz w:val="20"/>
                <w:szCs w:val="20"/>
              </w:rPr>
              <w:t xml:space="preserve">0 </w:t>
            </w:r>
          </w:p>
        </w:tc>
        <w:tc>
          <w:tcPr>
            <w:tcW w:w="1196" w:type="dxa"/>
            <w:tcBorders>
              <w:top w:val="nil"/>
              <w:left w:val="nil"/>
              <w:bottom w:val="nil"/>
              <w:right w:val="single" w:sz="8" w:space="0" w:color="auto"/>
            </w:tcBorders>
            <w:shd w:val="clear" w:color="auto" w:fill="auto"/>
            <w:noWrap/>
            <w:vAlign w:val="bottom"/>
            <w:hideMark/>
          </w:tcPr>
          <w:p w14:paraId="60267C68" w14:textId="77777777" w:rsidR="009616CB" w:rsidRDefault="009616CB" w:rsidP="009616CB">
            <w:pPr>
              <w:jc w:val="right"/>
              <w:rPr>
                <w:sz w:val="20"/>
                <w:szCs w:val="20"/>
              </w:rPr>
            </w:pPr>
            <w:r>
              <w:rPr>
                <w:sz w:val="20"/>
                <w:szCs w:val="20"/>
              </w:rPr>
              <w:t xml:space="preserve">40 </w:t>
            </w:r>
          </w:p>
        </w:tc>
      </w:tr>
      <w:tr w:rsidR="009616CB" w14:paraId="754A3634" w14:textId="77777777" w:rsidTr="009616CB">
        <w:trPr>
          <w:trHeight w:val="300"/>
          <w:jc w:val="center"/>
        </w:trPr>
        <w:tc>
          <w:tcPr>
            <w:tcW w:w="4066" w:type="dxa"/>
            <w:tcBorders>
              <w:top w:val="nil"/>
              <w:left w:val="single" w:sz="8" w:space="0" w:color="auto"/>
              <w:bottom w:val="nil"/>
              <w:right w:val="nil"/>
            </w:tcBorders>
            <w:shd w:val="clear" w:color="auto" w:fill="auto"/>
            <w:noWrap/>
            <w:vAlign w:val="bottom"/>
            <w:hideMark/>
          </w:tcPr>
          <w:p w14:paraId="1BB8B1C7" w14:textId="77777777" w:rsidR="009616CB" w:rsidRDefault="009616CB" w:rsidP="009616CB">
            <w:pPr>
              <w:rPr>
                <w:sz w:val="20"/>
                <w:szCs w:val="20"/>
              </w:rPr>
            </w:pPr>
            <w:r>
              <w:rPr>
                <w:sz w:val="20"/>
                <w:szCs w:val="20"/>
              </w:rPr>
              <w:t> </w:t>
            </w:r>
          </w:p>
        </w:tc>
        <w:tc>
          <w:tcPr>
            <w:tcW w:w="1194" w:type="dxa"/>
            <w:tcBorders>
              <w:top w:val="nil"/>
              <w:left w:val="nil"/>
              <w:bottom w:val="nil"/>
              <w:right w:val="nil"/>
            </w:tcBorders>
            <w:shd w:val="clear" w:color="auto" w:fill="auto"/>
            <w:noWrap/>
            <w:vAlign w:val="bottom"/>
            <w:hideMark/>
          </w:tcPr>
          <w:p w14:paraId="1788DA6A" w14:textId="77777777" w:rsidR="009616CB" w:rsidRDefault="009616CB" w:rsidP="009616CB">
            <w:pPr>
              <w:rPr>
                <w:sz w:val="20"/>
                <w:szCs w:val="20"/>
              </w:rPr>
            </w:pPr>
          </w:p>
        </w:tc>
        <w:tc>
          <w:tcPr>
            <w:tcW w:w="1804" w:type="dxa"/>
            <w:tcBorders>
              <w:top w:val="nil"/>
              <w:left w:val="nil"/>
              <w:bottom w:val="nil"/>
              <w:right w:val="nil"/>
            </w:tcBorders>
            <w:shd w:val="clear" w:color="auto" w:fill="auto"/>
            <w:noWrap/>
            <w:vAlign w:val="bottom"/>
            <w:hideMark/>
          </w:tcPr>
          <w:p w14:paraId="782FD40B" w14:textId="77777777" w:rsidR="009616CB" w:rsidRDefault="009616CB" w:rsidP="009616CB">
            <w:pPr>
              <w:rPr>
                <w:sz w:val="20"/>
                <w:szCs w:val="20"/>
              </w:rPr>
            </w:pPr>
          </w:p>
        </w:tc>
        <w:tc>
          <w:tcPr>
            <w:tcW w:w="1196" w:type="dxa"/>
            <w:tcBorders>
              <w:top w:val="nil"/>
              <w:left w:val="nil"/>
              <w:bottom w:val="nil"/>
              <w:right w:val="single" w:sz="8" w:space="0" w:color="auto"/>
            </w:tcBorders>
            <w:shd w:val="clear" w:color="auto" w:fill="auto"/>
            <w:noWrap/>
            <w:vAlign w:val="bottom"/>
            <w:hideMark/>
          </w:tcPr>
          <w:p w14:paraId="5DE6AB65" w14:textId="77777777" w:rsidR="009616CB" w:rsidRDefault="009616CB" w:rsidP="009616CB">
            <w:pPr>
              <w:rPr>
                <w:sz w:val="20"/>
                <w:szCs w:val="20"/>
              </w:rPr>
            </w:pPr>
            <w:r>
              <w:rPr>
                <w:sz w:val="20"/>
                <w:szCs w:val="20"/>
              </w:rPr>
              <w:t> </w:t>
            </w:r>
          </w:p>
        </w:tc>
      </w:tr>
      <w:tr w:rsidR="009616CB" w14:paraId="526CFD02" w14:textId="77777777" w:rsidTr="009616CB">
        <w:trPr>
          <w:trHeight w:val="300"/>
          <w:jc w:val="center"/>
        </w:trPr>
        <w:tc>
          <w:tcPr>
            <w:tcW w:w="4066" w:type="dxa"/>
            <w:tcBorders>
              <w:top w:val="nil"/>
              <w:left w:val="single" w:sz="8" w:space="0" w:color="auto"/>
              <w:bottom w:val="nil"/>
              <w:right w:val="nil"/>
            </w:tcBorders>
            <w:shd w:val="clear" w:color="auto" w:fill="auto"/>
            <w:noWrap/>
            <w:vAlign w:val="bottom"/>
            <w:hideMark/>
          </w:tcPr>
          <w:p w14:paraId="3B0E540A" w14:textId="77777777" w:rsidR="009616CB" w:rsidRDefault="009616CB" w:rsidP="009616CB">
            <w:pPr>
              <w:rPr>
                <w:sz w:val="20"/>
                <w:szCs w:val="20"/>
              </w:rPr>
            </w:pPr>
            <w:r>
              <w:rPr>
                <w:sz w:val="20"/>
                <w:szCs w:val="20"/>
              </w:rPr>
              <w:t>WORKING CAPITAL ALLOWANCE</w:t>
            </w:r>
          </w:p>
        </w:tc>
        <w:tc>
          <w:tcPr>
            <w:tcW w:w="1194" w:type="dxa"/>
            <w:tcBorders>
              <w:top w:val="nil"/>
              <w:left w:val="nil"/>
              <w:bottom w:val="nil"/>
              <w:right w:val="nil"/>
            </w:tcBorders>
            <w:shd w:val="clear" w:color="auto" w:fill="auto"/>
            <w:noWrap/>
            <w:vAlign w:val="bottom"/>
            <w:hideMark/>
          </w:tcPr>
          <w:p w14:paraId="2FBAD3E2" w14:textId="77777777" w:rsidR="009616CB" w:rsidRDefault="009616CB" w:rsidP="009616CB">
            <w:pPr>
              <w:jc w:val="right"/>
              <w:rPr>
                <w:sz w:val="20"/>
                <w:szCs w:val="20"/>
                <w:u w:val="single"/>
              </w:rPr>
            </w:pPr>
            <w:r>
              <w:rPr>
                <w:sz w:val="20"/>
                <w:szCs w:val="20"/>
                <w:u w:val="single"/>
              </w:rPr>
              <w:t xml:space="preserve">0 </w:t>
            </w:r>
          </w:p>
        </w:tc>
        <w:tc>
          <w:tcPr>
            <w:tcW w:w="1804" w:type="dxa"/>
            <w:tcBorders>
              <w:top w:val="nil"/>
              <w:left w:val="nil"/>
              <w:bottom w:val="nil"/>
              <w:right w:val="nil"/>
            </w:tcBorders>
            <w:shd w:val="clear" w:color="auto" w:fill="auto"/>
            <w:noWrap/>
            <w:vAlign w:val="bottom"/>
            <w:hideMark/>
          </w:tcPr>
          <w:p w14:paraId="2D5F4D2F" w14:textId="77777777" w:rsidR="009616CB" w:rsidRDefault="009616CB" w:rsidP="009616CB">
            <w:pPr>
              <w:jc w:val="right"/>
              <w:rPr>
                <w:sz w:val="20"/>
                <w:szCs w:val="20"/>
                <w:u w:val="single"/>
              </w:rPr>
            </w:pPr>
            <w:r>
              <w:rPr>
                <w:sz w:val="20"/>
                <w:szCs w:val="20"/>
                <w:u w:val="single"/>
              </w:rPr>
              <w:t xml:space="preserve">9,091 </w:t>
            </w:r>
          </w:p>
        </w:tc>
        <w:tc>
          <w:tcPr>
            <w:tcW w:w="1196" w:type="dxa"/>
            <w:tcBorders>
              <w:top w:val="nil"/>
              <w:left w:val="nil"/>
              <w:bottom w:val="nil"/>
              <w:right w:val="single" w:sz="8" w:space="0" w:color="auto"/>
            </w:tcBorders>
            <w:shd w:val="clear" w:color="auto" w:fill="auto"/>
            <w:noWrap/>
            <w:vAlign w:val="bottom"/>
            <w:hideMark/>
          </w:tcPr>
          <w:p w14:paraId="3C20D3E0" w14:textId="77777777" w:rsidR="009616CB" w:rsidRDefault="009616CB" w:rsidP="009616CB">
            <w:pPr>
              <w:jc w:val="right"/>
              <w:rPr>
                <w:sz w:val="20"/>
                <w:szCs w:val="20"/>
                <w:u w:val="single"/>
              </w:rPr>
            </w:pPr>
            <w:r>
              <w:rPr>
                <w:sz w:val="20"/>
                <w:szCs w:val="20"/>
                <w:u w:val="single"/>
              </w:rPr>
              <w:t xml:space="preserve">9,091 </w:t>
            </w:r>
          </w:p>
        </w:tc>
      </w:tr>
      <w:tr w:rsidR="009616CB" w14:paraId="150C3F67" w14:textId="77777777" w:rsidTr="009616CB">
        <w:trPr>
          <w:trHeight w:val="300"/>
          <w:jc w:val="center"/>
        </w:trPr>
        <w:tc>
          <w:tcPr>
            <w:tcW w:w="4066" w:type="dxa"/>
            <w:tcBorders>
              <w:top w:val="nil"/>
              <w:left w:val="single" w:sz="8" w:space="0" w:color="auto"/>
              <w:bottom w:val="nil"/>
              <w:right w:val="nil"/>
            </w:tcBorders>
            <w:shd w:val="clear" w:color="auto" w:fill="auto"/>
            <w:noWrap/>
            <w:vAlign w:val="bottom"/>
            <w:hideMark/>
          </w:tcPr>
          <w:p w14:paraId="3A331E41" w14:textId="77777777" w:rsidR="009616CB" w:rsidRDefault="009616CB" w:rsidP="009616CB">
            <w:pPr>
              <w:rPr>
                <w:sz w:val="20"/>
                <w:szCs w:val="20"/>
              </w:rPr>
            </w:pPr>
            <w:r>
              <w:rPr>
                <w:sz w:val="20"/>
                <w:szCs w:val="20"/>
              </w:rPr>
              <w:t> </w:t>
            </w:r>
          </w:p>
        </w:tc>
        <w:tc>
          <w:tcPr>
            <w:tcW w:w="1194" w:type="dxa"/>
            <w:tcBorders>
              <w:top w:val="nil"/>
              <w:left w:val="nil"/>
              <w:bottom w:val="nil"/>
              <w:right w:val="nil"/>
            </w:tcBorders>
            <w:shd w:val="clear" w:color="auto" w:fill="auto"/>
            <w:noWrap/>
            <w:vAlign w:val="bottom"/>
            <w:hideMark/>
          </w:tcPr>
          <w:p w14:paraId="561C6600" w14:textId="77777777" w:rsidR="009616CB" w:rsidRDefault="009616CB" w:rsidP="009616CB">
            <w:pPr>
              <w:rPr>
                <w:sz w:val="20"/>
                <w:szCs w:val="20"/>
              </w:rPr>
            </w:pPr>
          </w:p>
        </w:tc>
        <w:tc>
          <w:tcPr>
            <w:tcW w:w="1804" w:type="dxa"/>
            <w:tcBorders>
              <w:top w:val="nil"/>
              <w:left w:val="nil"/>
              <w:bottom w:val="nil"/>
              <w:right w:val="nil"/>
            </w:tcBorders>
            <w:shd w:val="clear" w:color="auto" w:fill="auto"/>
            <w:noWrap/>
            <w:vAlign w:val="bottom"/>
            <w:hideMark/>
          </w:tcPr>
          <w:p w14:paraId="1A81E54B" w14:textId="77777777" w:rsidR="009616CB" w:rsidRDefault="009616CB" w:rsidP="009616CB">
            <w:pPr>
              <w:rPr>
                <w:sz w:val="20"/>
                <w:szCs w:val="20"/>
              </w:rPr>
            </w:pPr>
          </w:p>
        </w:tc>
        <w:tc>
          <w:tcPr>
            <w:tcW w:w="1196" w:type="dxa"/>
            <w:tcBorders>
              <w:top w:val="nil"/>
              <w:left w:val="nil"/>
              <w:bottom w:val="nil"/>
              <w:right w:val="single" w:sz="8" w:space="0" w:color="auto"/>
            </w:tcBorders>
            <w:shd w:val="clear" w:color="auto" w:fill="auto"/>
            <w:noWrap/>
            <w:vAlign w:val="bottom"/>
            <w:hideMark/>
          </w:tcPr>
          <w:p w14:paraId="0446392E" w14:textId="77777777" w:rsidR="009616CB" w:rsidRDefault="009616CB" w:rsidP="009616CB">
            <w:pPr>
              <w:rPr>
                <w:sz w:val="20"/>
                <w:szCs w:val="20"/>
              </w:rPr>
            </w:pPr>
            <w:r>
              <w:rPr>
                <w:sz w:val="20"/>
                <w:szCs w:val="20"/>
              </w:rPr>
              <w:t> </w:t>
            </w:r>
          </w:p>
        </w:tc>
      </w:tr>
      <w:tr w:rsidR="009616CB" w14:paraId="7F8E93A7" w14:textId="77777777" w:rsidTr="009616CB">
        <w:trPr>
          <w:trHeight w:val="300"/>
          <w:jc w:val="center"/>
        </w:trPr>
        <w:tc>
          <w:tcPr>
            <w:tcW w:w="4066" w:type="dxa"/>
            <w:tcBorders>
              <w:top w:val="nil"/>
              <w:left w:val="single" w:sz="8" w:space="0" w:color="auto"/>
              <w:bottom w:val="nil"/>
              <w:right w:val="nil"/>
            </w:tcBorders>
            <w:shd w:val="clear" w:color="auto" w:fill="auto"/>
            <w:noWrap/>
            <w:vAlign w:val="bottom"/>
            <w:hideMark/>
          </w:tcPr>
          <w:p w14:paraId="11E913E9" w14:textId="77777777" w:rsidR="009616CB" w:rsidRDefault="009616CB" w:rsidP="009616CB">
            <w:pPr>
              <w:rPr>
                <w:sz w:val="20"/>
                <w:szCs w:val="20"/>
              </w:rPr>
            </w:pPr>
            <w:r>
              <w:rPr>
                <w:sz w:val="20"/>
                <w:szCs w:val="20"/>
              </w:rPr>
              <w:t>WASTEWATER RATE BASE</w:t>
            </w:r>
          </w:p>
        </w:tc>
        <w:tc>
          <w:tcPr>
            <w:tcW w:w="1194" w:type="dxa"/>
            <w:tcBorders>
              <w:top w:val="nil"/>
              <w:left w:val="nil"/>
              <w:bottom w:val="nil"/>
              <w:right w:val="nil"/>
            </w:tcBorders>
            <w:shd w:val="clear" w:color="auto" w:fill="auto"/>
            <w:noWrap/>
            <w:vAlign w:val="bottom"/>
            <w:hideMark/>
          </w:tcPr>
          <w:p w14:paraId="35AD7BAE" w14:textId="77777777" w:rsidR="009616CB" w:rsidRDefault="009616CB" w:rsidP="009616CB">
            <w:pPr>
              <w:jc w:val="right"/>
              <w:rPr>
                <w:sz w:val="20"/>
                <w:szCs w:val="20"/>
                <w:u w:val="double"/>
              </w:rPr>
            </w:pPr>
            <w:r>
              <w:rPr>
                <w:sz w:val="20"/>
                <w:szCs w:val="20"/>
                <w:u w:val="double"/>
              </w:rPr>
              <w:t xml:space="preserve">$135,241 </w:t>
            </w:r>
          </w:p>
        </w:tc>
        <w:tc>
          <w:tcPr>
            <w:tcW w:w="1804" w:type="dxa"/>
            <w:tcBorders>
              <w:top w:val="nil"/>
              <w:left w:val="nil"/>
              <w:bottom w:val="nil"/>
              <w:right w:val="nil"/>
            </w:tcBorders>
            <w:shd w:val="clear" w:color="auto" w:fill="auto"/>
            <w:noWrap/>
            <w:vAlign w:val="bottom"/>
            <w:hideMark/>
          </w:tcPr>
          <w:p w14:paraId="5B6E983A" w14:textId="77777777" w:rsidR="009616CB" w:rsidRDefault="009616CB" w:rsidP="009616CB">
            <w:pPr>
              <w:jc w:val="right"/>
              <w:rPr>
                <w:sz w:val="20"/>
                <w:szCs w:val="20"/>
                <w:u w:val="double"/>
              </w:rPr>
            </w:pPr>
            <w:r>
              <w:rPr>
                <w:sz w:val="20"/>
                <w:szCs w:val="20"/>
                <w:u w:val="double"/>
              </w:rPr>
              <w:t xml:space="preserve">$15,182 </w:t>
            </w:r>
          </w:p>
        </w:tc>
        <w:tc>
          <w:tcPr>
            <w:tcW w:w="1196" w:type="dxa"/>
            <w:tcBorders>
              <w:top w:val="nil"/>
              <w:left w:val="nil"/>
              <w:bottom w:val="nil"/>
              <w:right w:val="single" w:sz="8" w:space="0" w:color="auto"/>
            </w:tcBorders>
            <w:shd w:val="clear" w:color="auto" w:fill="auto"/>
            <w:noWrap/>
            <w:vAlign w:val="bottom"/>
            <w:hideMark/>
          </w:tcPr>
          <w:p w14:paraId="3CD2D6FE" w14:textId="77777777" w:rsidR="009616CB" w:rsidRDefault="009616CB" w:rsidP="009616CB">
            <w:pPr>
              <w:jc w:val="right"/>
              <w:rPr>
                <w:sz w:val="20"/>
                <w:szCs w:val="20"/>
                <w:u w:val="double"/>
              </w:rPr>
            </w:pPr>
            <w:r>
              <w:rPr>
                <w:sz w:val="20"/>
                <w:szCs w:val="20"/>
                <w:u w:val="double"/>
              </w:rPr>
              <w:t xml:space="preserve">$150,423 </w:t>
            </w:r>
          </w:p>
        </w:tc>
      </w:tr>
      <w:tr w:rsidR="009616CB" w14:paraId="26D7DA99" w14:textId="77777777" w:rsidTr="009616CB">
        <w:trPr>
          <w:trHeight w:val="312"/>
          <w:jc w:val="center"/>
        </w:trPr>
        <w:tc>
          <w:tcPr>
            <w:tcW w:w="4066" w:type="dxa"/>
            <w:tcBorders>
              <w:top w:val="nil"/>
              <w:left w:val="single" w:sz="8" w:space="0" w:color="auto"/>
              <w:bottom w:val="single" w:sz="8" w:space="0" w:color="auto"/>
              <w:right w:val="nil"/>
            </w:tcBorders>
            <w:shd w:val="clear" w:color="auto" w:fill="auto"/>
            <w:noWrap/>
            <w:vAlign w:val="bottom"/>
            <w:hideMark/>
          </w:tcPr>
          <w:p w14:paraId="1BC37584" w14:textId="77777777" w:rsidR="009616CB" w:rsidRDefault="009616CB" w:rsidP="009616CB">
            <w:pPr>
              <w:rPr>
                <w:sz w:val="20"/>
                <w:szCs w:val="20"/>
              </w:rPr>
            </w:pPr>
            <w:r>
              <w:rPr>
                <w:sz w:val="20"/>
                <w:szCs w:val="20"/>
              </w:rPr>
              <w:t> </w:t>
            </w:r>
          </w:p>
        </w:tc>
        <w:tc>
          <w:tcPr>
            <w:tcW w:w="1194" w:type="dxa"/>
            <w:tcBorders>
              <w:top w:val="nil"/>
              <w:left w:val="nil"/>
              <w:bottom w:val="single" w:sz="8" w:space="0" w:color="auto"/>
              <w:right w:val="nil"/>
            </w:tcBorders>
            <w:shd w:val="clear" w:color="auto" w:fill="auto"/>
            <w:noWrap/>
            <w:vAlign w:val="bottom"/>
            <w:hideMark/>
          </w:tcPr>
          <w:p w14:paraId="34800891" w14:textId="77777777" w:rsidR="009616CB" w:rsidRDefault="009616CB" w:rsidP="009616CB">
            <w:pPr>
              <w:rPr>
                <w:sz w:val="20"/>
                <w:szCs w:val="20"/>
              </w:rPr>
            </w:pPr>
            <w:r>
              <w:rPr>
                <w:sz w:val="20"/>
                <w:szCs w:val="20"/>
              </w:rPr>
              <w:t> </w:t>
            </w:r>
          </w:p>
        </w:tc>
        <w:tc>
          <w:tcPr>
            <w:tcW w:w="1804" w:type="dxa"/>
            <w:tcBorders>
              <w:top w:val="nil"/>
              <w:left w:val="nil"/>
              <w:bottom w:val="single" w:sz="8" w:space="0" w:color="auto"/>
              <w:right w:val="nil"/>
            </w:tcBorders>
            <w:shd w:val="clear" w:color="auto" w:fill="auto"/>
            <w:noWrap/>
            <w:vAlign w:val="bottom"/>
            <w:hideMark/>
          </w:tcPr>
          <w:p w14:paraId="2ED584AF" w14:textId="77777777" w:rsidR="009616CB" w:rsidRDefault="009616CB" w:rsidP="009616CB">
            <w:pPr>
              <w:rPr>
                <w:sz w:val="20"/>
                <w:szCs w:val="20"/>
              </w:rPr>
            </w:pPr>
            <w:r>
              <w:rPr>
                <w:sz w:val="20"/>
                <w:szCs w:val="20"/>
              </w:rPr>
              <w:t> </w:t>
            </w:r>
          </w:p>
        </w:tc>
        <w:tc>
          <w:tcPr>
            <w:tcW w:w="1196" w:type="dxa"/>
            <w:tcBorders>
              <w:top w:val="nil"/>
              <w:left w:val="nil"/>
              <w:bottom w:val="single" w:sz="8" w:space="0" w:color="auto"/>
              <w:right w:val="single" w:sz="8" w:space="0" w:color="auto"/>
            </w:tcBorders>
            <w:shd w:val="clear" w:color="auto" w:fill="auto"/>
            <w:noWrap/>
            <w:vAlign w:val="bottom"/>
            <w:hideMark/>
          </w:tcPr>
          <w:p w14:paraId="504FF787" w14:textId="77777777" w:rsidR="009616CB" w:rsidRDefault="009616CB" w:rsidP="009616CB">
            <w:pPr>
              <w:rPr>
                <w:sz w:val="20"/>
                <w:szCs w:val="20"/>
              </w:rPr>
            </w:pPr>
            <w:r>
              <w:rPr>
                <w:sz w:val="20"/>
                <w:szCs w:val="20"/>
              </w:rPr>
              <w:t> </w:t>
            </w:r>
          </w:p>
        </w:tc>
      </w:tr>
    </w:tbl>
    <w:p w14:paraId="41E9F048" w14:textId="77777777" w:rsidR="009616CB" w:rsidRDefault="009616CB" w:rsidP="009616CB"/>
    <w:p w14:paraId="46B3C5AF" w14:textId="77777777" w:rsidR="00712188" w:rsidRDefault="00712188" w:rsidP="009616CB">
      <w:pPr>
        <w:sectPr w:rsidR="00712188">
          <w:headerReference w:type="first" r:id="rId10"/>
          <w:pgSz w:w="12240" w:h="15840" w:code="1"/>
          <w:pgMar w:top="1440" w:right="1440" w:bottom="1440" w:left="1440" w:header="720" w:footer="720" w:gutter="0"/>
          <w:cols w:space="720"/>
          <w:titlePg/>
          <w:docGrid w:linePitch="360"/>
        </w:sectPr>
      </w:pPr>
    </w:p>
    <w:p w14:paraId="79B3A802" w14:textId="77777777" w:rsidR="009616CB" w:rsidRDefault="009616CB" w:rsidP="009616CB"/>
    <w:tbl>
      <w:tblPr>
        <w:tblW w:w="8720" w:type="dxa"/>
        <w:jc w:val="center"/>
        <w:tblLook w:val="04A0" w:firstRow="1" w:lastRow="0" w:firstColumn="1" w:lastColumn="0" w:noHBand="0" w:noVBand="1"/>
      </w:tblPr>
      <w:tblGrid>
        <w:gridCol w:w="500"/>
        <w:gridCol w:w="5480"/>
        <w:gridCol w:w="2740"/>
      </w:tblGrid>
      <w:tr w:rsidR="009616CB" w14:paraId="101C44AE" w14:textId="77777777" w:rsidTr="009616CB">
        <w:trPr>
          <w:trHeight w:val="300"/>
          <w:jc w:val="center"/>
        </w:trPr>
        <w:tc>
          <w:tcPr>
            <w:tcW w:w="500" w:type="dxa"/>
            <w:tcBorders>
              <w:top w:val="single" w:sz="8" w:space="0" w:color="auto"/>
              <w:left w:val="single" w:sz="8" w:space="0" w:color="auto"/>
              <w:bottom w:val="nil"/>
              <w:right w:val="nil"/>
            </w:tcBorders>
            <w:shd w:val="clear" w:color="auto" w:fill="auto"/>
            <w:noWrap/>
            <w:vAlign w:val="bottom"/>
            <w:hideMark/>
          </w:tcPr>
          <w:p w14:paraId="7C4141F8" w14:textId="77777777" w:rsidR="009616CB" w:rsidRDefault="009616CB" w:rsidP="009616CB">
            <w:pPr>
              <w:rPr>
                <w:sz w:val="20"/>
                <w:szCs w:val="20"/>
              </w:rPr>
            </w:pPr>
            <w:bookmarkStart w:id="16" w:name="RANGE!B2:D37"/>
            <w:r>
              <w:rPr>
                <w:sz w:val="20"/>
                <w:szCs w:val="20"/>
              </w:rPr>
              <w:t> </w:t>
            </w:r>
            <w:bookmarkEnd w:id="16"/>
          </w:p>
        </w:tc>
        <w:tc>
          <w:tcPr>
            <w:tcW w:w="5480" w:type="dxa"/>
            <w:tcBorders>
              <w:top w:val="single" w:sz="8" w:space="0" w:color="auto"/>
              <w:left w:val="nil"/>
              <w:bottom w:val="nil"/>
              <w:right w:val="nil"/>
            </w:tcBorders>
            <w:shd w:val="clear" w:color="auto" w:fill="auto"/>
            <w:noWrap/>
            <w:vAlign w:val="bottom"/>
            <w:hideMark/>
          </w:tcPr>
          <w:p w14:paraId="6E8CC100" w14:textId="77777777" w:rsidR="009616CB" w:rsidRDefault="009616CB" w:rsidP="009616CB">
            <w:pPr>
              <w:rPr>
                <w:b/>
                <w:bCs/>
                <w:sz w:val="20"/>
                <w:szCs w:val="20"/>
              </w:rPr>
            </w:pPr>
            <w:r>
              <w:rPr>
                <w:b/>
                <w:bCs/>
                <w:sz w:val="20"/>
                <w:szCs w:val="20"/>
              </w:rPr>
              <w:t>MERRITT ISLAND UTILITY COMPANY, INC.</w:t>
            </w:r>
            <w:r w:rsidRPr="000F4B97">
              <w:t xml:space="preserve"> </w:t>
            </w:r>
          </w:p>
        </w:tc>
        <w:tc>
          <w:tcPr>
            <w:tcW w:w="2740" w:type="dxa"/>
            <w:tcBorders>
              <w:top w:val="single" w:sz="8" w:space="0" w:color="auto"/>
              <w:left w:val="nil"/>
              <w:bottom w:val="nil"/>
              <w:right w:val="single" w:sz="4" w:space="0" w:color="auto"/>
            </w:tcBorders>
            <w:shd w:val="clear" w:color="auto" w:fill="auto"/>
            <w:noWrap/>
            <w:vAlign w:val="bottom"/>
            <w:hideMark/>
          </w:tcPr>
          <w:p w14:paraId="28D50B39" w14:textId="77777777" w:rsidR="009616CB" w:rsidRDefault="009616CB" w:rsidP="009616CB">
            <w:pPr>
              <w:jc w:val="right"/>
              <w:rPr>
                <w:b/>
                <w:bCs/>
                <w:sz w:val="20"/>
                <w:szCs w:val="20"/>
              </w:rPr>
            </w:pPr>
            <w:r>
              <w:rPr>
                <w:b/>
                <w:bCs/>
                <w:sz w:val="20"/>
                <w:szCs w:val="20"/>
              </w:rPr>
              <w:t>SCHEDULE NO. 1-B</w:t>
            </w:r>
          </w:p>
        </w:tc>
      </w:tr>
      <w:tr w:rsidR="009616CB" w14:paraId="60344BF8" w14:textId="77777777" w:rsidTr="009616CB">
        <w:trPr>
          <w:trHeight w:val="312"/>
          <w:jc w:val="center"/>
        </w:trPr>
        <w:tc>
          <w:tcPr>
            <w:tcW w:w="500" w:type="dxa"/>
            <w:tcBorders>
              <w:top w:val="nil"/>
              <w:left w:val="single" w:sz="8" w:space="0" w:color="auto"/>
              <w:bottom w:val="nil"/>
              <w:right w:val="nil"/>
            </w:tcBorders>
            <w:shd w:val="clear" w:color="auto" w:fill="auto"/>
            <w:noWrap/>
            <w:vAlign w:val="bottom"/>
            <w:hideMark/>
          </w:tcPr>
          <w:p w14:paraId="278378D1" w14:textId="77777777" w:rsidR="009616CB" w:rsidRDefault="009616CB" w:rsidP="009616CB">
            <w:pPr>
              <w:rPr>
                <w:sz w:val="20"/>
                <w:szCs w:val="20"/>
              </w:rPr>
            </w:pPr>
            <w:r>
              <w:rPr>
                <w:sz w:val="20"/>
                <w:szCs w:val="20"/>
              </w:rPr>
              <w:t> </w:t>
            </w:r>
          </w:p>
        </w:tc>
        <w:tc>
          <w:tcPr>
            <w:tcW w:w="5480" w:type="dxa"/>
            <w:tcBorders>
              <w:top w:val="nil"/>
              <w:left w:val="nil"/>
              <w:bottom w:val="nil"/>
              <w:right w:val="nil"/>
            </w:tcBorders>
            <w:shd w:val="clear" w:color="auto" w:fill="auto"/>
            <w:noWrap/>
            <w:vAlign w:val="bottom"/>
            <w:hideMark/>
          </w:tcPr>
          <w:p w14:paraId="79BEA6D7" w14:textId="77777777" w:rsidR="009616CB" w:rsidRDefault="009616CB" w:rsidP="009616CB">
            <w:pPr>
              <w:rPr>
                <w:b/>
                <w:bCs/>
                <w:sz w:val="20"/>
                <w:szCs w:val="20"/>
              </w:rPr>
            </w:pPr>
            <w:r>
              <w:rPr>
                <w:b/>
                <w:bCs/>
                <w:sz w:val="20"/>
                <w:szCs w:val="20"/>
              </w:rPr>
              <w:t>TEST YEAR ENDED  3/31/2019</w:t>
            </w:r>
          </w:p>
        </w:tc>
        <w:tc>
          <w:tcPr>
            <w:tcW w:w="2740" w:type="dxa"/>
            <w:tcBorders>
              <w:top w:val="nil"/>
              <w:left w:val="nil"/>
              <w:bottom w:val="nil"/>
              <w:right w:val="single" w:sz="4" w:space="0" w:color="auto"/>
            </w:tcBorders>
            <w:shd w:val="clear" w:color="auto" w:fill="auto"/>
            <w:noWrap/>
            <w:vAlign w:val="bottom"/>
            <w:hideMark/>
          </w:tcPr>
          <w:p w14:paraId="221379CC" w14:textId="77777777" w:rsidR="009616CB" w:rsidRDefault="009616CB" w:rsidP="009616CB">
            <w:pPr>
              <w:jc w:val="right"/>
              <w:rPr>
                <w:b/>
                <w:bCs/>
                <w:sz w:val="20"/>
                <w:szCs w:val="20"/>
              </w:rPr>
            </w:pPr>
            <w:r>
              <w:rPr>
                <w:b/>
                <w:bCs/>
                <w:sz w:val="20"/>
                <w:szCs w:val="20"/>
              </w:rPr>
              <w:t>DOCKET NO. 20190116-SU</w:t>
            </w:r>
          </w:p>
        </w:tc>
      </w:tr>
      <w:tr w:rsidR="009616CB" w14:paraId="5E0DAAC4" w14:textId="77777777" w:rsidTr="009616CB">
        <w:trPr>
          <w:trHeight w:val="300"/>
          <w:jc w:val="center"/>
        </w:trPr>
        <w:tc>
          <w:tcPr>
            <w:tcW w:w="500" w:type="dxa"/>
            <w:tcBorders>
              <w:top w:val="nil"/>
              <w:left w:val="single" w:sz="8" w:space="0" w:color="auto"/>
              <w:bottom w:val="single" w:sz="4" w:space="0" w:color="auto"/>
              <w:right w:val="nil"/>
            </w:tcBorders>
            <w:shd w:val="clear" w:color="auto" w:fill="auto"/>
            <w:noWrap/>
            <w:vAlign w:val="bottom"/>
            <w:hideMark/>
          </w:tcPr>
          <w:p w14:paraId="51534029" w14:textId="77777777" w:rsidR="009616CB" w:rsidRDefault="009616CB" w:rsidP="009616CB">
            <w:pPr>
              <w:rPr>
                <w:sz w:val="20"/>
                <w:szCs w:val="20"/>
              </w:rPr>
            </w:pPr>
            <w:r>
              <w:rPr>
                <w:sz w:val="20"/>
                <w:szCs w:val="20"/>
              </w:rPr>
              <w:t> </w:t>
            </w:r>
          </w:p>
        </w:tc>
        <w:tc>
          <w:tcPr>
            <w:tcW w:w="5480" w:type="dxa"/>
            <w:tcBorders>
              <w:top w:val="nil"/>
              <w:left w:val="nil"/>
              <w:bottom w:val="single" w:sz="4" w:space="0" w:color="auto"/>
              <w:right w:val="nil"/>
            </w:tcBorders>
            <w:shd w:val="clear" w:color="auto" w:fill="auto"/>
            <w:noWrap/>
            <w:vAlign w:val="bottom"/>
            <w:hideMark/>
          </w:tcPr>
          <w:p w14:paraId="01D14149" w14:textId="77777777" w:rsidR="009616CB" w:rsidRDefault="009616CB" w:rsidP="009616CB">
            <w:pPr>
              <w:rPr>
                <w:b/>
                <w:bCs/>
                <w:sz w:val="20"/>
                <w:szCs w:val="20"/>
              </w:rPr>
            </w:pPr>
            <w:r>
              <w:rPr>
                <w:b/>
                <w:bCs/>
                <w:sz w:val="20"/>
                <w:szCs w:val="20"/>
              </w:rPr>
              <w:t>ADJUSTMENTS TO RATE BASE</w:t>
            </w:r>
          </w:p>
        </w:tc>
        <w:tc>
          <w:tcPr>
            <w:tcW w:w="2740" w:type="dxa"/>
            <w:tcBorders>
              <w:top w:val="nil"/>
              <w:left w:val="nil"/>
              <w:bottom w:val="single" w:sz="4" w:space="0" w:color="auto"/>
              <w:right w:val="single" w:sz="4" w:space="0" w:color="auto"/>
            </w:tcBorders>
            <w:shd w:val="clear" w:color="auto" w:fill="auto"/>
            <w:noWrap/>
            <w:vAlign w:val="bottom"/>
            <w:hideMark/>
          </w:tcPr>
          <w:p w14:paraId="53C23F92" w14:textId="77777777" w:rsidR="009616CB" w:rsidRDefault="009616CB" w:rsidP="009616CB">
            <w:pPr>
              <w:jc w:val="right"/>
              <w:rPr>
                <w:b/>
                <w:bCs/>
                <w:sz w:val="20"/>
                <w:szCs w:val="20"/>
              </w:rPr>
            </w:pPr>
            <w:r>
              <w:rPr>
                <w:b/>
                <w:bCs/>
                <w:sz w:val="20"/>
                <w:szCs w:val="20"/>
              </w:rPr>
              <w:t>PAGE 1 OF 1</w:t>
            </w:r>
          </w:p>
        </w:tc>
      </w:tr>
      <w:tr w:rsidR="009616CB" w14:paraId="112C9C1C" w14:textId="77777777" w:rsidTr="009616CB">
        <w:trPr>
          <w:trHeight w:val="312"/>
          <w:jc w:val="center"/>
        </w:trPr>
        <w:tc>
          <w:tcPr>
            <w:tcW w:w="500" w:type="dxa"/>
            <w:tcBorders>
              <w:top w:val="nil"/>
              <w:left w:val="single" w:sz="8" w:space="0" w:color="auto"/>
              <w:bottom w:val="nil"/>
              <w:right w:val="nil"/>
            </w:tcBorders>
            <w:shd w:val="clear" w:color="auto" w:fill="auto"/>
            <w:noWrap/>
            <w:vAlign w:val="bottom"/>
            <w:hideMark/>
          </w:tcPr>
          <w:p w14:paraId="4D5D132B" w14:textId="77777777" w:rsidR="009616CB" w:rsidRDefault="009616CB" w:rsidP="009616CB">
            <w:pPr>
              <w:rPr>
                <w:sz w:val="20"/>
                <w:szCs w:val="20"/>
              </w:rPr>
            </w:pPr>
            <w:r>
              <w:rPr>
                <w:sz w:val="20"/>
                <w:szCs w:val="20"/>
              </w:rPr>
              <w:t> </w:t>
            </w:r>
          </w:p>
        </w:tc>
        <w:tc>
          <w:tcPr>
            <w:tcW w:w="5480" w:type="dxa"/>
            <w:tcBorders>
              <w:top w:val="nil"/>
              <w:left w:val="nil"/>
              <w:bottom w:val="nil"/>
              <w:right w:val="nil"/>
            </w:tcBorders>
            <w:shd w:val="clear" w:color="auto" w:fill="auto"/>
            <w:noWrap/>
            <w:vAlign w:val="bottom"/>
            <w:hideMark/>
          </w:tcPr>
          <w:p w14:paraId="06B53D07" w14:textId="77777777" w:rsidR="009616CB" w:rsidRDefault="009616CB" w:rsidP="009616CB">
            <w:pPr>
              <w:rPr>
                <w:sz w:val="20"/>
                <w:szCs w:val="20"/>
              </w:rPr>
            </w:pPr>
          </w:p>
        </w:tc>
        <w:tc>
          <w:tcPr>
            <w:tcW w:w="2740" w:type="dxa"/>
            <w:tcBorders>
              <w:top w:val="nil"/>
              <w:left w:val="nil"/>
              <w:bottom w:val="nil"/>
              <w:right w:val="single" w:sz="4" w:space="0" w:color="auto"/>
            </w:tcBorders>
            <w:shd w:val="clear" w:color="auto" w:fill="auto"/>
            <w:noWrap/>
            <w:vAlign w:val="bottom"/>
            <w:hideMark/>
          </w:tcPr>
          <w:p w14:paraId="71F2F84D" w14:textId="77777777" w:rsidR="009616CB" w:rsidRDefault="009616CB" w:rsidP="009616CB">
            <w:pPr>
              <w:jc w:val="center"/>
              <w:rPr>
                <w:b/>
                <w:bCs/>
                <w:sz w:val="20"/>
                <w:szCs w:val="20"/>
                <w:u w:val="single"/>
              </w:rPr>
            </w:pPr>
            <w:r>
              <w:rPr>
                <w:b/>
                <w:bCs/>
                <w:sz w:val="20"/>
                <w:szCs w:val="20"/>
                <w:u w:val="single"/>
              </w:rPr>
              <w:t>WASTEWATER</w:t>
            </w:r>
          </w:p>
        </w:tc>
      </w:tr>
      <w:tr w:rsidR="009616CB" w14:paraId="1CDF0BB2" w14:textId="77777777" w:rsidTr="009616CB">
        <w:trPr>
          <w:trHeight w:val="312"/>
          <w:jc w:val="center"/>
        </w:trPr>
        <w:tc>
          <w:tcPr>
            <w:tcW w:w="500" w:type="dxa"/>
            <w:tcBorders>
              <w:top w:val="nil"/>
              <w:left w:val="single" w:sz="8" w:space="0" w:color="auto"/>
              <w:bottom w:val="nil"/>
              <w:right w:val="nil"/>
            </w:tcBorders>
            <w:shd w:val="clear" w:color="auto" w:fill="auto"/>
            <w:noWrap/>
            <w:vAlign w:val="bottom"/>
            <w:hideMark/>
          </w:tcPr>
          <w:p w14:paraId="776D94A4" w14:textId="77777777" w:rsidR="009616CB" w:rsidRDefault="009616CB" w:rsidP="009616CB">
            <w:pPr>
              <w:rPr>
                <w:sz w:val="20"/>
                <w:szCs w:val="20"/>
              </w:rPr>
            </w:pPr>
            <w:r>
              <w:rPr>
                <w:sz w:val="20"/>
                <w:szCs w:val="20"/>
              </w:rPr>
              <w:t> </w:t>
            </w:r>
          </w:p>
        </w:tc>
        <w:tc>
          <w:tcPr>
            <w:tcW w:w="5480" w:type="dxa"/>
            <w:tcBorders>
              <w:top w:val="nil"/>
              <w:left w:val="nil"/>
              <w:bottom w:val="nil"/>
              <w:right w:val="nil"/>
            </w:tcBorders>
            <w:shd w:val="clear" w:color="auto" w:fill="auto"/>
            <w:noWrap/>
            <w:vAlign w:val="bottom"/>
            <w:hideMark/>
          </w:tcPr>
          <w:p w14:paraId="41EC59CE" w14:textId="77777777" w:rsidR="009616CB" w:rsidRDefault="009616CB" w:rsidP="009616CB">
            <w:pPr>
              <w:rPr>
                <w:b/>
                <w:bCs/>
                <w:sz w:val="20"/>
                <w:szCs w:val="20"/>
                <w:u w:val="single"/>
              </w:rPr>
            </w:pPr>
            <w:r>
              <w:rPr>
                <w:b/>
                <w:bCs/>
                <w:sz w:val="20"/>
                <w:szCs w:val="20"/>
                <w:u w:val="single"/>
              </w:rPr>
              <w:t>UTILITY PLANT IN SERVICE</w:t>
            </w:r>
          </w:p>
        </w:tc>
        <w:tc>
          <w:tcPr>
            <w:tcW w:w="2740" w:type="dxa"/>
            <w:tcBorders>
              <w:top w:val="nil"/>
              <w:left w:val="nil"/>
              <w:bottom w:val="nil"/>
              <w:right w:val="single" w:sz="4" w:space="0" w:color="auto"/>
            </w:tcBorders>
            <w:shd w:val="clear" w:color="auto" w:fill="auto"/>
            <w:noWrap/>
            <w:vAlign w:val="bottom"/>
            <w:hideMark/>
          </w:tcPr>
          <w:p w14:paraId="233E01FD" w14:textId="77777777" w:rsidR="009616CB" w:rsidRDefault="009616CB" w:rsidP="009616CB">
            <w:pPr>
              <w:rPr>
                <w:sz w:val="20"/>
                <w:szCs w:val="20"/>
              </w:rPr>
            </w:pPr>
          </w:p>
        </w:tc>
      </w:tr>
      <w:tr w:rsidR="009616CB" w14:paraId="2A1EE4C3" w14:textId="77777777" w:rsidTr="009616CB">
        <w:trPr>
          <w:trHeight w:val="300"/>
          <w:jc w:val="center"/>
        </w:trPr>
        <w:tc>
          <w:tcPr>
            <w:tcW w:w="500" w:type="dxa"/>
            <w:tcBorders>
              <w:top w:val="nil"/>
              <w:left w:val="single" w:sz="8" w:space="0" w:color="auto"/>
              <w:bottom w:val="nil"/>
              <w:right w:val="nil"/>
            </w:tcBorders>
            <w:shd w:val="clear" w:color="auto" w:fill="auto"/>
            <w:noWrap/>
            <w:hideMark/>
          </w:tcPr>
          <w:p w14:paraId="33D07BC3" w14:textId="77777777" w:rsidR="009616CB" w:rsidRDefault="009616CB" w:rsidP="009616CB">
            <w:pPr>
              <w:jc w:val="right"/>
              <w:rPr>
                <w:sz w:val="20"/>
                <w:szCs w:val="20"/>
              </w:rPr>
            </w:pPr>
          </w:p>
        </w:tc>
        <w:tc>
          <w:tcPr>
            <w:tcW w:w="5480" w:type="dxa"/>
            <w:tcBorders>
              <w:top w:val="nil"/>
              <w:left w:val="nil"/>
              <w:bottom w:val="nil"/>
              <w:right w:val="nil"/>
            </w:tcBorders>
            <w:shd w:val="clear" w:color="auto" w:fill="auto"/>
            <w:vAlign w:val="bottom"/>
            <w:hideMark/>
          </w:tcPr>
          <w:p w14:paraId="6028C859" w14:textId="77777777" w:rsidR="009616CB" w:rsidRDefault="009616CB" w:rsidP="009616CB">
            <w:pPr>
              <w:rPr>
                <w:sz w:val="20"/>
                <w:szCs w:val="20"/>
              </w:rPr>
            </w:pPr>
            <w:r>
              <w:rPr>
                <w:sz w:val="20"/>
                <w:szCs w:val="20"/>
              </w:rPr>
              <w:t>To reflect pro forma plant addition (No retirement).</w:t>
            </w:r>
          </w:p>
        </w:tc>
        <w:tc>
          <w:tcPr>
            <w:tcW w:w="2740" w:type="dxa"/>
            <w:tcBorders>
              <w:top w:val="nil"/>
              <w:left w:val="nil"/>
              <w:bottom w:val="nil"/>
              <w:right w:val="single" w:sz="4" w:space="0" w:color="auto"/>
            </w:tcBorders>
            <w:shd w:val="clear" w:color="auto" w:fill="auto"/>
            <w:noWrap/>
            <w:vAlign w:val="bottom"/>
            <w:hideMark/>
          </w:tcPr>
          <w:p w14:paraId="179AD660" w14:textId="77777777" w:rsidR="009616CB" w:rsidRPr="00CE2076" w:rsidRDefault="009616CB" w:rsidP="009616CB">
            <w:pPr>
              <w:jc w:val="right"/>
              <w:rPr>
                <w:sz w:val="20"/>
                <w:szCs w:val="20"/>
                <w:u w:val="double"/>
              </w:rPr>
            </w:pPr>
            <w:r w:rsidRPr="00CE2076">
              <w:rPr>
                <w:sz w:val="20"/>
                <w:szCs w:val="20"/>
                <w:u w:val="double"/>
              </w:rPr>
              <w:t xml:space="preserve">$5,813 </w:t>
            </w:r>
          </w:p>
        </w:tc>
      </w:tr>
      <w:tr w:rsidR="009616CB" w14:paraId="3EC81FFC" w14:textId="77777777" w:rsidTr="009616CB">
        <w:trPr>
          <w:trHeight w:val="300"/>
          <w:jc w:val="center"/>
        </w:trPr>
        <w:tc>
          <w:tcPr>
            <w:tcW w:w="500" w:type="dxa"/>
            <w:tcBorders>
              <w:top w:val="nil"/>
              <w:left w:val="single" w:sz="8" w:space="0" w:color="auto"/>
              <w:bottom w:val="nil"/>
              <w:right w:val="nil"/>
            </w:tcBorders>
            <w:shd w:val="clear" w:color="auto" w:fill="auto"/>
            <w:noWrap/>
            <w:vAlign w:val="bottom"/>
            <w:hideMark/>
          </w:tcPr>
          <w:p w14:paraId="7E3AD60B" w14:textId="77777777" w:rsidR="009616CB" w:rsidRDefault="009616CB" w:rsidP="009616CB">
            <w:pPr>
              <w:jc w:val="right"/>
              <w:rPr>
                <w:sz w:val="20"/>
                <w:szCs w:val="20"/>
              </w:rPr>
            </w:pPr>
            <w:r>
              <w:rPr>
                <w:sz w:val="20"/>
                <w:szCs w:val="20"/>
              </w:rPr>
              <w:t> </w:t>
            </w:r>
          </w:p>
        </w:tc>
        <w:tc>
          <w:tcPr>
            <w:tcW w:w="5480" w:type="dxa"/>
            <w:tcBorders>
              <w:top w:val="nil"/>
              <w:left w:val="nil"/>
              <w:bottom w:val="nil"/>
              <w:right w:val="nil"/>
            </w:tcBorders>
            <w:shd w:val="clear" w:color="auto" w:fill="auto"/>
            <w:noWrap/>
            <w:vAlign w:val="bottom"/>
          </w:tcPr>
          <w:p w14:paraId="32324F98" w14:textId="77777777" w:rsidR="009616CB" w:rsidRDefault="009616CB" w:rsidP="009616CB">
            <w:pPr>
              <w:rPr>
                <w:sz w:val="20"/>
                <w:szCs w:val="20"/>
              </w:rPr>
            </w:pPr>
          </w:p>
        </w:tc>
        <w:tc>
          <w:tcPr>
            <w:tcW w:w="2740" w:type="dxa"/>
            <w:tcBorders>
              <w:top w:val="nil"/>
              <w:left w:val="nil"/>
              <w:bottom w:val="nil"/>
              <w:right w:val="single" w:sz="4" w:space="0" w:color="auto"/>
            </w:tcBorders>
            <w:shd w:val="clear" w:color="auto" w:fill="auto"/>
            <w:noWrap/>
            <w:vAlign w:val="bottom"/>
          </w:tcPr>
          <w:p w14:paraId="4F244DC3" w14:textId="77777777" w:rsidR="009616CB" w:rsidRDefault="009616CB" w:rsidP="009616CB">
            <w:pPr>
              <w:jc w:val="right"/>
              <w:rPr>
                <w:sz w:val="20"/>
                <w:szCs w:val="20"/>
                <w:u w:val="double"/>
              </w:rPr>
            </w:pPr>
          </w:p>
        </w:tc>
      </w:tr>
      <w:tr w:rsidR="009616CB" w14:paraId="7F5CD6BF" w14:textId="77777777" w:rsidTr="009616CB">
        <w:trPr>
          <w:trHeight w:val="300"/>
          <w:jc w:val="center"/>
        </w:trPr>
        <w:tc>
          <w:tcPr>
            <w:tcW w:w="500" w:type="dxa"/>
            <w:tcBorders>
              <w:top w:val="nil"/>
              <w:left w:val="single" w:sz="8" w:space="0" w:color="auto"/>
              <w:bottom w:val="nil"/>
              <w:right w:val="nil"/>
            </w:tcBorders>
            <w:shd w:val="clear" w:color="auto" w:fill="auto"/>
            <w:noWrap/>
            <w:vAlign w:val="bottom"/>
            <w:hideMark/>
          </w:tcPr>
          <w:p w14:paraId="1E7FE0D6" w14:textId="77777777" w:rsidR="009616CB" w:rsidRDefault="009616CB" w:rsidP="009616CB">
            <w:pPr>
              <w:jc w:val="right"/>
              <w:rPr>
                <w:sz w:val="20"/>
                <w:szCs w:val="20"/>
              </w:rPr>
            </w:pPr>
            <w:r>
              <w:rPr>
                <w:sz w:val="20"/>
                <w:szCs w:val="20"/>
              </w:rPr>
              <w:t> </w:t>
            </w:r>
          </w:p>
        </w:tc>
        <w:tc>
          <w:tcPr>
            <w:tcW w:w="5480" w:type="dxa"/>
            <w:tcBorders>
              <w:top w:val="nil"/>
              <w:left w:val="nil"/>
              <w:bottom w:val="nil"/>
              <w:right w:val="nil"/>
            </w:tcBorders>
            <w:shd w:val="clear" w:color="auto" w:fill="auto"/>
            <w:noWrap/>
            <w:vAlign w:val="bottom"/>
            <w:hideMark/>
          </w:tcPr>
          <w:p w14:paraId="2AE146DD" w14:textId="77777777" w:rsidR="009616CB" w:rsidRDefault="009616CB" w:rsidP="009616CB">
            <w:pPr>
              <w:rPr>
                <w:b/>
                <w:bCs/>
                <w:sz w:val="20"/>
                <w:szCs w:val="20"/>
                <w:u w:val="single"/>
              </w:rPr>
            </w:pPr>
            <w:r>
              <w:rPr>
                <w:b/>
                <w:bCs/>
                <w:sz w:val="20"/>
                <w:szCs w:val="20"/>
                <w:u w:val="single"/>
              </w:rPr>
              <w:t>ACCUMULATED DEPRECIATION</w:t>
            </w:r>
          </w:p>
        </w:tc>
        <w:tc>
          <w:tcPr>
            <w:tcW w:w="2740" w:type="dxa"/>
            <w:tcBorders>
              <w:top w:val="nil"/>
              <w:left w:val="nil"/>
              <w:bottom w:val="nil"/>
              <w:right w:val="single" w:sz="4" w:space="0" w:color="auto"/>
            </w:tcBorders>
            <w:shd w:val="clear" w:color="auto" w:fill="auto"/>
            <w:noWrap/>
            <w:vAlign w:val="bottom"/>
            <w:hideMark/>
          </w:tcPr>
          <w:p w14:paraId="1F684CF3" w14:textId="77777777" w:rsidR="009616CB" w:rsidRDefault="009616CB" w:rsidP="009616CB">
            <w:pPr>
              <w:rPr>
                <w:sz w:val="20"/>
                <w:szCs w:val="20"/>
              </w:rPr>
            </w:pPr>
          </w:p>
        </w:tc>
      </w:tr>
      <w:tr w:rsidR="009616CB" w14:paraId="0DD099F6" w14:textId="77777777" w:rsidTr="009616CB">
        <w:trPr>
          <w:trHeight w:val="300"/>
          <w:jc w:val="center"/>
        </w:trPr>
        <w:tc>
          <w:tcPr>
            <w:tcW w:w="500" w:type="dxa"/>
            <w:tcBorders>
              <w:top w:val="nil"/>
              <w:left w:val="single" w:sz="8" w:space="0" w:color="auto"/>
              <w:bottom w:val="nil"/>
              <w:right w:val="nil"/>
            </w:tcBorders>
            <w:shd w:val="clear" w:color="auto" w:fill="auto"/>
            <w:noWrap/>
            <w:vAlign w:val="bottom"/>
            <w:hideMark/>
          </w:tcPr>
          <w:p w14:paraId="27A760BD" w14:textId="77777777" w:rsidR="009616CB" w:rsidRDefault="009616CB" w:rsidP="009616CB">
            <w:pPr>
              <w:jc w:val="right"/>
              <w:rPr>
                <w:sz w:val="20"/>
                <w:szCs w:val="20"/>
              </w:rPr>
            </w:pPr>
            <w:r>
              <w:rPr>
                <w:sz w:val="20"/>
                <w:szCs w:val="20"/>
              </w:rPr>
              <w:t>1.</w:t>
            </w:r>
          </w:p>
        </w:tc>
        <w:tc>
          <w:tcPr>
            <w:tcW w:w="5480" w:type="dxa"/>
            <w:tcBorders>
              <w:top w:val="nil"/>
              <w:left w:val="nil"/>
              <w:bottom w:val="nil"/>
              <w:right w:val="nil"/>
            </w:tcBorders>
            <w:shd w:val="clear" w:color="auto" w:fill="auto"/>
            <w:vAlign w:val="bottom"/>
            <w:hideMark/>
          </w:tcPr>
          <w:p w14:paraId="5B36F62B" w14:textId="77777777" w:rsidR="009616CB" w:rsidRDefault="009616CB" w:rsidP="009616CB">
            <w:pPr>
              <w:rPr>
                <w:sz w:val="20"/>
                <w:szCs w:val="20"/>
              </w:rPr>
            </w:pPr>
            <w:r>
              <w:rPr>
                <w:sz w:val="20"/>
                <w:szCs w:val="20"/>
              </w:rPr>
              <w:t>To reflect accumulated depreciation per Rule 25-30.140, F.A.C.</w:t>
            </w:r>
          </w:p>
        </w:tc>
        <w:tc>
          <w:tcPr>
            <w:tcW w:w="2740" w:type="dxa"/>
            <w:tcBorders>
              <w:top w:val="nil"/>
              <w:left w:val="nil"/>
              <w:bottom w:val="nil"/>
              <w:right w:val="single" w:sz="4" w:space="0" w:color="auto"/>
            </w:tcBorders>
            <w:shd w:val="clear" w:color="auto" w:fill="auto"/>
            <w:noWrap/>
            <w:vAlign w:val="bottom"/>
            <w:hideMark/>
          </w:tcPr>
          <w:p w14:paraId="668EC2B5" w14:textId="77777777" w:rsidR="009616CB" w:rsidRDefault="009616CB" w:rsidP="009616CB">
            <w:pPr>
              <w:jc w:val="right"/>
              <w:rPr>
                <w:sz w:val="20"/>
                <w:szCs w:val="20"/>
              </w:rPr>
            </w:pPr>
            <w:r>
              <w:rPr>
                <w:sz w:val="20"/>
                <w:szCs w:val="20"/>
              </w:rPr>
              <w:t xml:space="preserve">$460 </w:t>
            </w:r>
          </w:p>
        </w:tc>
      </w:tr>
      <w:tr w:rsidR="009616CB" w14:paraId="06B392B9" w14:textId="77777777" w:rsidTr="009616CB">
        <w:trPr>
          <w:trHeight w:val="300"/>
          <w:jc w:val="center"/>
        </w:trPr>
        <w:tc>
          <w:tcPr>
            <w:tcW w:w="500" w:type="dxa"/>
            <w:tcBorders>
              <w:top w:val="nil"/>
              <w:left w:val="single" w:sz="8" w:space="0" w:color="auto"/>
              <w:bottom w:val="nil"/>
              <w:right w:val="nil"/>
            </w:tcBorders>
            <w:shd w:val="clear" w:color="auto" w:fill="auto"/>
            <w:noWrap/>
            <w:vAlign w:val="bottom"/>
            <w:hideMark/>
          </w:tcPr>
          <w:p w14:paraId="16AF1DAE" w14:textId="77777777" w:rsidR="009616CB" w:rsidRDefault="009616CB" w:rsidP="009616CB">
            <w:pPr>
              <w:jc w:val="right"/>
              <w:rPr>
                <w:sz w:val="20"/>
                <w:szCs w:val="20"/>
              </w:rPr>
            </w:pPr>
            <w:r>
              <w:rPr>
                <w:sz w:val="20"/>
                <w:szCs w:val="20"/>
              </w:rPr>
              <w:t>2.</w:t>
            </w:r>
          </w:p>
        </w:tc>
        <w:tc>
          <w:tcPr>
            <w:tcW w:w="5480" w:type="dxa"/>
            <w:tcBorders>
              <w:top w:val="nil"/>
              <w:left w:val="nil"/>
              <w:bottom w:val="nil"/>
              <w:right w:val="nil"/>
            </w:tcBorders>
            <w:shd w:val="clear" w:color="auto" w:fill="auto"/>
            <w:vAlign w:val="bottom"/>
            <w:hideMark/>
          </w:tcPr>
          <w:p w14:paraId="57124F3C" w14:textId="77777777" w:rsidR="009616CB" w:rsidRDefault="009616CB" w:rsidP="009616CB">
            <w:pPr>
              <w:rPr>
                <w:sz w:val="20"/>
                <w:szCs w:val="20"/>
              </w:rPr>
            </w:pPr>
            <w:r>
              <w:rPr>
                <w:sz w:val="20"/>
                <w:szCs w:val="20"/>
              </w:rPr>
              <w:t>To reflect pro forma plant depreciation.</w:t>
            </w:r>
          </w:p>
        </w:tc>
        <w:tc>
          <w:tcPr>
            <w:tcW w:w="2740" w:type="dxa"/>
            <w:tcBorders>
              <w:top w:val="nil"/>
              <w:left w:val="nil"/>
              <w:bottom w:val="nil"/>
              <w:right w:val="single" w:sz="4" w:space="0" w:color="auto"/>
            </w:tcBorders>
            <w:shd w:val="clear" w:color="auto" w:fill="auto"/>
            <w:noWrap/>
            <w:vAlign w:val="bottom"/>
            <w:hideMark/>
          </w:tcPr>
          <w:p w14:paraId="7476A562" w14:textId="77777777" w:rsidR="009616CB" w:rsidRPr="00CE2076" w:rsidRDefault="009616CB" w:rsidP="009616CB">
            <w:pPr>
              <w:jc w:val="right"/>
              <w:rPr>
                <w:sz w:val="20"/>
                <w:szCs w:val="20"/>
                <w:u w:val="single"/>
              </w:rPr>
            </w:pPr>
            <w:r w:rsidRPr="00CE2076">
              <w:rPr>
                <w:sz w:val="20"/>
                <w:szCs w:val="20"/>
                <w:u w:val="single"/>
              </w:rPr>
              <w:t>(182)</w:t>
            </w:r>
          </w:p>
        </w:tc>
      </w:tr>
      <w:tr w:rsidR="009616CB" w14:paraId="549B9FB5" w14:textId="77777777" w:rsidTr="009616CB">
        <w:trPr>
          <w:trHeight w:val="300"/>
          <w:jc w:val="center"/>
        </w:trPr>
        <w:tc>
          <w:tcPr>
            <w:tcW w:w="500" w:type="dxa"/>
            <w:tcBorders>
              <w:top w:val="nil"/>
              <w:left w:val="single" w:sz="8" w:space="0" w:color="auto"/>
              <w:bottom w:val="nil"/>
              <w:right w:val="nil"/>
            </w:tcBorders>
            <w:shd w:val="clear" w:color="auto" w:fill="auto"/>
            <w:noWrap/>
            <w:vAlign w:val="bottom"/>
            <w:hideMark/>
          </w:tcPr>
          <w:p w14:paraId="321068E6" w14:textId="77777777" w:rsidR="009616CB" w:rsidRDefault="009616CB" w:rsidP="009616CB">
            <w:pPr>
              <w:rPr>
                <w:sz w:val="20"/>
                <w:szCs w:val="20"/>
              </w:rPr>
            </w:pPr>
            <w:r>
              <w:rPr>
                <w:sz w:val="20"/>
                <w:szCs w:val="20"/>
              </w:rPr>
              <w:t> </w:t>
            </w:r>
          </w:p>
        </w:tc>
        <w:tc>
          <w:tcPr>
            <w:tcW w:w="5480" w:type="dxa"/>
            <w:tcBorders>
              <w:top w:val="nil"/>
              <w:left w:val="nil"/>
              <w:bottom w:val="nil"/>
              <w:right w:val="nil"/>
            </w:tcBorders>
            <w:shd w:val="clear" w:color="auto" w:fill="auto"/>
            <w:noWrap/>
            <w:vAlign w:val="bottom"/>
            <w:hideMark/>
          </w:tcPr>
          <w:p w14:paraId="3A95010B" w14:textId="77777777" w:rsidR="009616CB" w:rsidRDefault="009616CB" w:rsidP="009616CB">
            <w:pPr>
              <w:rPr>
                <w:sz w:val="20"/>
                <w:szCs w:val="20"/>
              </w:rPr>
            </w:pPr>
            <w:r>
              <w:rPr>
                <w:sz w:val="20"/>
                <w:szCs w:val="20"/>
              </w:rPr>
              <w:t xml:space="preserve">     Total</w:t>
            </w:r>
          </w:p>
        </w:tc>
        <w:tc>
          <w:tcPr>
            <w:tcW w:w="2740" w:type="dxa"/>
            <w:tcBorders>
              <w:top w:val="nil"/>
              <w:left w:val="nil"/>
              <w:bottom w:val="nil"/>
              <w:right w:val="single" w:sz="4" w:space="0" w:color="auto"/>
            </w:tcBorders>
            <w:shd w:val="clear" w:color="auto" w:fill="auto"/>
            <w:noWrap/>
            <w:vAlign w:val="bottom"/>
            <w:hideMark/>
          </w:tcPr>
          <w:p w14:paraId="0155D366" w14:textId="77777777" w:rsidR="009616CB" w:rsidRDefault="009616CB" w:rsidP="009616CB">
            <w:pPr>
              <w:jc w:val="right"/>
              <w:rPr>
                <w:sz w:val="20"/>
                <w:szCs w:val="20"/>
                <w:u w:val="double"/>
              </w:rPr>
            </w:pPr>
            <w:r>
              <w:rPr>
                <w:sz w:val="20"/>
                <w:szCs w:val="20"/>
                <w:u w:val="double"/>
              </w:rPr>
              <w:t xml:space="preserve">$278 </w:t>
            </w:r>
          </w:p>
        </w:tc>
      </w:tr>
      <w:tr w:rsidR="009616CB" w14:paraId="5D3DCA0D" w14:textId="77777777" w:rsidTr="009616CB">
        <w:trPr>
          <w:trHeight w:val="300"/>
          <w:jc w:val="center"/>
        </w:trPr>
        <w:tc>
          <w:tcPr>
            <w:tcW w:w="500" w:type="dxa"/>
            <w:tcBorders>
              <w:top w:val="nil"/>
              <w:left w:val="single" w:sz="8" w:space="0" w:color="auto"/>
              <w:bottom w:val="nil"/>
              <w:right w:val="nil"/>
            </w:tcBorders>
            <w:shd w:val="clear" w:color="auto" w:fill="auto"/>
            <w:noWrap/>
            <w:vAlign w:val="bottom"/>
            <w:hideMark/>
          </w:tcPr>
          <w:p w14:paraId="714AD0AC" w14:textId="77777777" w:rsidR="009616CB" w:rsidRDefault="009616CB" w:rsidP="009616CB">
            <w:pPr>
              <w:jc w:val="right"/>
              <w:rPr>
                <w:sz w:val="20"/>
                <w:szCs w:val="20"/>
              </w:rPr>
            </w:pPr>
            <w:r>
              <w:rPr>
                <w:sz w:val="20"/>
                <w:szCs w:val="20"/>
              </w:rPr>
              <w:t> </w:t>
            </w:r>
          </w:p>
        </w:tc>
        <w:tc>
          <w:tcPr>
            <w:tcW w:w="5480" w:type="dxa"/>
            <w:tcBorders>
              <w:top w:val="nil"/>
              <w:left w:val="nil"/>
              <w:bottom w:val="nil"/>
              <w:right w:val="nil"/>
            </w:tcBorders>
            <w:shd w:val="clear" w:color="auto" w:fill="auto"/>
            <w:noWrap/>
            <w:vAlign w:val="bottom"/>
            <w:hideMark/>
          </w:tcPr>
          <w:p w14:paraId="5E344DB2" w14:textId="77777777" w:rsidR="009616CB" w:rsidRDefault="009616CB" w:rsidP="009616CB">
            <w:pPr>
              <w:rPr>
                <w:sz w:val="20"/>
                <w:szCs w:val="20"/>
              </w:rPr>
            </w:pPr>
          </w:p>
        </w:tc>
        <w:tc>
          <w:tcPr>
            <w:tcW w:w="2740" w:type="dxa"/>
            <w:tcBorders>
              <w:top w:val="nil"/>
              <w:left w:val="nil"/>
              <w:bottom w:val="nil"/>
              <w:right w:val="single" w:sz="4" w:space="0" w:color="auto"/>
            </w:tcBorders>
            <w:shd w:val="clear" w:color="auto" w:fill="auto"/>
            <w:noWrap/>
            <w:vAlign w:val="bottom"/>
            <w:hideMark/>
          </w:tcPr>
          <w:p w14:paraId="17957F35" w14:textId="77777777" w:rsidR="009616CB" w:rsidRDefault="009616CB" w:rsidP="009616CB">
            <w:pPr>
              <w:jc w:val="right"/>
              <w:rPr>
                <w:sz w:val="20"/>
                <w:szCs w:val="20"/>
                <w:u w:val="double"/>
              </w:rPr>
            </w:pPr>
          </w:p>
        </w:tc>
      </w:tr>
      <w:tr w:rsidR="009616CB" w14:paraId="457AAFCE" w14:textId="77777777" w:rsidTr="009616CB">
        <w:trPr>
          <w:trHeight w:val="300"/>
          <w:jc w:val="center"/>
        </w:trPr>
        <w:tc>
          <w:tcPr>
            <w:tcW w:w="500" w:type="dxa"/>
            <w:tcBorders>
              <w:top w:val="nil"/>
              <w:left w:val="single" w:sz="8" w:space="0" w:color="auto"/>
              <w:bottom w:val="nil"/>
              <w:right w:val="nil"/>
            </w:tcBorders>
            <w:shd w:val="clear" w:color="auto" w:fill="auto"/>
            <w:noWrap/>
            <w:vAlign w:val="bottom"/>
            <w:hideMark/>
          </w:tcPr>
          <w:p w14:paraId="267D3E99" w14:textId="77777777" w:rsidR="009616CB" w:rsidRDefault="009616CB" w:rsidP="009616CB">
            <w:pPr>
              <w:jc w:val="right"/>
              <w:rPr>
                <w:sz w:val="20"/>
                <w:szCs w:val="20"/>
              </w:rPr>
            </w:pPr>
            <w:r>
              <w:rPr>
                <w:sz w:val="20"/>
                <w:szCs w:val="20"/>
              </w:rPr>
              <w:t> </w:t>
            </w:r>
          </w:p>
        </w:tc>
        <w:tc>
          <w:tcPr>
            <w:tcW w:w="5480" w:type="dxa"/>
            <w:tcBorders>
              <w:top w:val="nil"/>
              <w:left w:val="nil"/>
              <w:bottom w:val="nil"/>
              <w:right w:val="nil"/>
            </w:tcBorders>
            <w:shd w:val="clear" w:color="auto" w:fill="auto"/>
            <w:noWrap/>
            <w:vAlign w:val="bottom"/>
            <w:hideMark/>
          </w:tcPr>
          <w:p w14:paraId="2DD7404F" w14:textId="77777777" w:rsidR="009616CB" w:rsidRDefault="009616CB" w:rsidP="009616CB">
            <w:pPr>
              <w:rPr>
                <w:b/>
                <w:bCs/>
                <w:sz w:val="20"/>
                <w:szCs w:val="20"/>
                <w:u w:val="single"/>
              </w:rPr>
            </w:pPr>
            <w:r>
              <w:rPr>
                <w:b/>
                <w:bCs/>
                <w:sz w:val="20"/>
                <w:szCs w:val="20"/>
                <w:u w:val="single"/>
              </w:rPr>
              <w:t>WORKING CAPITAL ALLOWANCE</w:t>
            </w:r>
          </w:p>
        </w:tc>
        <w:tc>
          <w:tcPr>
            <w:tcW w:w="2740" w:type="dxa"/>
            <w:tcBorders>
              <w:top w:val="nil"/>
              <w:left w:val="nil"/>
              <w:bottom w:val="nil"/>
              <w:right w:val="single" w:sz="4" w:space="0" w:color="auto"/>
            </w:tcBorders>
            <w:shd w:val="clear" w:color="auto" w:fill="auto"/>
            <w:noWrap/>
            <w:vAlign w:val="bottom"/>
            <w:hideMark/>
          </w:tcPr>
          <w:p w14:paraId="35CAF08A" w14:textId="77777777" w:rsidR="009616CB" w:rsidRDefault="009616CB" w:rsidP="009616CB">
            <w:pPr>
              <w:jc w:val="right"/>
              <w:rPr>
                <w:sz w:val="20"/>
                <w:szCs w:val="20"/>
              </w:rPr>
            </w:pPr>
          </w:p>
        </w:tc>
      </w:tr>
      <w:tr w:rsidR="009616CB" w14:paraId="3AADFCC3" w14:textId="77777777" w:rsidTr="009616CB">
        <w:trPr>
          <w:trHeight w:val="300"/>
          <w:jc w:val="center"/>
        </w:trPr>
        <w:tc>
          <w:tcPr>
            <w:tcW w:w="500" w:type="dxa"/>
            <w:tcBorders>
              <w:top w:val="nil"/>
              <w:left w:val="single" w:sz="8" w:space="0" w:color="auto"/>
              <w:bottom w:val="nil"/>
              <w:right w:val="nil"/>
            </w:tcBorders>
            <w:shd w:val="clear" w:color="auto" w:fill="auto"/>
            <w:noWrap/>
            <w:vAlign w:val="bottom"/>
            <w:hideMark/>
          </w:tcPr>
          <w:p w14:paraId="0EB74B3B" w14:textId="77777777" w:rsidR="009616CB" w:rsidRDefault="009616CB" w:rsidP="009616CB">
            <w:pPr>
              <w:jc w:val="right"/>
              <w:rPr>
                <w:sz w:val="20"/>
                <w:szCs w:val="20"/>
              </w:rPr>
            </w:pPr>
            <w:r>
              <w:rPr>
                <w:sz w:val="20"/>
                <w:szCs w:val="20"/>
              </w:rPr>
              <w:t> </w:t>
            </w:r>
          </w:p>
        </w:tc>
        <w:tc>
          <w:tcPr>
            <w:tcW w:w="5480" w:type="dxa"/>
            <w:tcBorders>
              <w:top w:val="nil"/>
              <w:left w:val="nil"/>
              <w:bottom w:val="nil"/>
              <w:right w:val="nil"/>
            </w:tcBorders>
            <w:shd w:val="clear" w:color="auto" w:fill="auto"/>
            <w:noWrap/>
            <w:vAlign w:val="bottom"/>
            <w:hideMark/>
          </w:tcPr>
          <w:p w14:paraId="28CDBE4C" w14:textId="77777777" w:rsidR="009616CB" w:rsidRDefault="009616CB" w:rsidP="009616CB">
            <w:pPr>
              <w:rPr>
                <w:sz w:val="20"/>
                <w:szCs w:val="20"/>
              </w:rPr>
            </w:pPr>
            <w:r>
              <w:rPr>
                <w:sz w:val="20"/>
                <w:szCs w:val="20"/>
              </w:rPr>
              <w:t>To reflect 1/8 of test year O&amp;M expenses.</w:t>
            </w:r>
          </w:p>
        </w:tc>
        <w:tc>
          <w:tcPr>
            <w:tcW w:w="2740" w:type="dxa"/>
            <w:tcBorders>
              <w:top w:val="nil"/>
              <w:left w:val="nil"/>
              <w:bottom w:val="nil"/>
              <w:right w:val="single" w:sz="4" w:space="0" w:color="auto"/>
            </w:tcBorders>
            <w:shd w:val="clear" w:color="auto" w:fill="auto"/>
            <w:noWrap/>
            <w:vAlign w:val="bottom"/>
            <w:hideMark/>
          </w:tcPr>
          <w:p w14:paraId="780A355C" w14:textId="77777777" w:rsidR="009616CB" w:rsidRDefault="009616CB" w:rsidP="009616CB">
            <w:pPr>
              <w:jc w:val="right"/>
              <w:rPr>
                <w:sz w:val="20"/>
                <w:szCs w:val="20"/>
                <w:u w:val="double"/>
              </w:rPr>
            </w:pPr>
            <w:r>
              <w:rPr>
                <w:sz w:val="20"/>
                <w:szCs w:val="20"/>
                <w:u w:val="double"/>
              </w:rPr>
              <w:t>$9,091</w:t>
            </w:r>
          </w:p>
        </w:tc>
      </w:tr>
      <w:tr w:rsidR="009616CB" w14:paraId="6F0E5876" w14:textId="77777777" w:rsidTr="009616CB">
        <w:trPr>
          <w:trHeight w:val="324"/>
          <w:jc w:val="center"/>
        </w:trPr>
        <w:tc>
          <w:tcPr>
            <w:tcW w:w="500" w:type="dxa"/>
            <w:tcBorders>
              <w:top w:val="nil"/>
              <w:left w:val="single" w:sz="8" w:space="0" w:color="auto"/>
              <w:bottom w:val="single" w:sz="8" w:space="0" w:color="auto"/>
              <w:right w:val="nil"/>
            </w:tcBorders>
            <w:shd w:val="clear" w:color="auto" w:fill="auto"/>
            <w:noWrap/>
            <w:vAlign w:val="bottom"/>
            <w:hideMark/>
          </w:tcPr>
          <w:p w14:paraId="3FC6A5DF" w14:textId="77777777" w:rsidR="009616CB" w:rsidRDefault="009616CB" w:rsidP="009616CB">
            <w:pPr>
              <w:jc w:val="right"/>
              <w:rPr>
                <w:sz w:val="20"/>
                <w:szCs w:val="20"/>
              </w:rPr>
            </w:pPr>
            <w:r>
              <w:rPr>
                <w:sz w:val="20"/>
                <w:szCs w:val="20"/>
              </w:rPr>
              <w:t> </w:t>
            </w:r>
          </w:p>
        </w:tc>
        <w:tc>
          <w:tcPr>
            <w:tcW w:w="5480" w:type="dxa"/>
            <w:tcBorders>
              <w:top w:val="nil"/>
              <w:left w:val="nil"/>
              <w:bottom w:val="single" w:sz="8" w:space="0" w:color="auto"/>
              <w:right w:val="nil"/>
            </w:tcBorders>
            <w:shd w:val="clear" w:color="auto" w:fill="auto"/>
            <w:noWrap/>
            <w:vAlign w:val="bottom"/>
            <w:hideMark/>
          </w:tcPr>
          <w:p w14:paraId="42D63E78" w14:textId="77777777" w:rsidR="009616CB" w:rsidRDefault="009616CB" w:rsidP="009616CB">
            <w:r>
              <w:t> </w:t>
            </w:r>
          </w:p>
        </w:tc>
        <w:tc>
          <w:tcPr>
            <w:tcW w:w="2740" w:type="dxa"/>
            <w:tcBorders>
              <w:top w:val="nil"/>
              <w:left w:val="nil"/>
              <w:bottom w:val="single" w:sz="8" w:space="0" w:color="auto"/>
              <w:right w:val="single" w:sz="4" w:space="0" w:color="auto"/>
            </w:tcBorders>
            <w:shd w:val="clear" w:color="auto" w:fill="auto"/>
            <w:noWrap/>
            <w:vAlign w:val="bottom"/>
            <w:hideMark/>
          </w:tcPr>
          <w:p w14:paraId="30274EFF" w14:textId="77777777" w:rsidR="009616CB" w:rsidRDefault="009616CB" w:rsidP="009616CB">
            <w:r>
              <w:t> </w:t>
            </w:r>
          </w:p>
        </w:tc>
      </w:tr>
    </w:tbl>
    <w:p w14:paraId="1464A02E" w14:textId="77777777" w:rsidR="009616CB" w:rsidRDefault="009616CB" w:rsidP="009616CB"/>
    <w:p w14:paraId="7361BB2E" w14:textId="77777777" w:rsidR="009616CB" w:rsidRDefault="009616CB" w:rsidP="009616CB">
      <w:pPr>
        <w:sectPr w:rsidR="009616CB">
          <w:headerReference w:type="first" r:id="rId11"/>
          <w:pgSz w:w="12240" w:h="15840" w:code="1"/>
          <w:pgMar w:top="1440" w:right="1440" w:bottom="1440" w:left="1440" w:header="720" w:footer="720" w:gutter="0"/>
          <w:cols w:space="720"/>
          <w:titlePg/>
          <w:docGrid w:linePitch="360"/>
        </w:sectPr>
      </w:pPr>
    </w:p>
    <w:tbl>
      <w:tblPr>
        <w:tblW w:w="13147" w:type="dxa"/>
        <w:jc w:val="center"/>
        <w:tblLook w:val="04A0" w:firstRow="1" w:lastRow="0" w:firstColumn="1" w:lastColumn="0" w:noHBand="0" w:noVBand="1"/>
      </w:tblPr>
      <w:tblGrid>
        <w:gridCol w:w="366"/>
        <w:gridCol w:w="3104"/>
        <w:gridCol w:w="1061"/>
        <w:gridCol w:w="1150"/>
        <w:gridCol w:w="1572"/>
        <w:gridCol w:w="1706"/>
        <w:gridCol w:w="1572"/>
        <w:gridCol w:w="1172"/>
        <w:gridCol w:w="761"/>
        <w:gridCol w:w="1350"/>
      </w:tblGrid>
      <w:tr w:rsidR="00357426" w14:paraId="2949CE1C" w14:textId="77777777" w:rsidTr="00EB077E">
        <w:trPr>
          <w:trHeight w:val="312"/>
          <w:jc w:val="center"/>
        </w:trPr>
        <w:tc>
          <w:tcPr>
            <w:tcW w:w="320" w:type="dxa"/>
            <w:tcBorders>
              <w:top w:val="single" w:sz="8" w:space="0" w:color="auto"/>
              <w:left w:val="single" w:sz="8" w:space="0" w:color="auto"/>
              <w:bottom w:val="nil"/>
              <w:right w:val="nil"/>
            </w:tcBorders>
            <w:shd w:val="clear" w:color="auto" w:fill="auto"/>
            <w:noWrap/>
            <w:vAlign w:val="bottom"/>
            <w:hideMark/>
          </w:tcPr>
          <w:p w14:paraId="0756D5F1" w14:textId="77777777" w:rsidR="00357426" w:rsidRDefault="00357426" w:rsidP="00EB077E">
            <w:pPr>
              <w:rPr>
                <w:color w:val="000000"/>
                <w:sz w:val="20"/>
                <w:szCs w:val="20"/>
              </w:rPr>
            </w:pPr>
            <w:bookmarkStart w:id="17" w:name="RANGE!A1:J28"/>
            <w:r>
              <w:rPr>
                <w:color w:val="000000"/>
                <w:sz w:val="20"/>
                <w:szCs w:val="20"/>
              </w:rPr>
              <w:t> </w:t>
            </w:r>
            <w:bookmarkEnd w:id="17"/>
          </w:p>
        </w:tc>
        <w:tc>
          <w:tcPr>
            <w:tcW w:w="6702" w:type="dxa"/>
            <w:gridSpan w:val="4"/>
            <w:tcBorders>
              <w:top w:val="single" w:sz="8" w:space="0" w:color="auto"/>
              <w:left w:val="nil"/>
              <w:bottom w:val="nil"/>
              <w:right w:val="nil"/>
            </w:tcBorders>
            <w:shd w:val="clear" w:color="auto" w:fill="auto"/>
            <w:noWrap/>
            <w:vAlign w:val="bottom"/>
            <w:hideMark/>
          </w:tcPr>
          <w:p w14:paraId="295A2657" w14:textId="77777777" w:rsidR="00357426" w:rsidRDefault="00357426" w:rsidP="00EB077E">
            <w:pPr>
              <w:rPr>
                <w:b/>
                <w:bCs/>
                <w:color w:val="000000"/>
                <w:sz w:val="20"/>
                <w:szCs w:val="20"/>
              </w:rPr>
            </w:pPr>
            <w:r>
              <w:rPr>
                <w:b/>
                <w:bCs/>
                <w:color w:val="000000"/>
                <w:sz w:val="20"/>
                <w:szCs w:val="20"/>
              </w:rPr>
              <w:t>MERRITT ISLAND UTILITY COMPANY, INC.</w:t>
            </w:r>
            <w:r w:rsidRPr="000F4B97">
              <w:t xml:space="preserve"> </w:t>
            </w:r>
            <w:r w:rsidRPr="000F4B97">
              <w:fldChar w:fldCharType="begin"/>
            </w:r>
            <w:r w:rsidRPr="000F4B97">
              <w:instrText xml:space="preserve"> TC "</w:instrText>
            </w:r>
            <w:bookmarkStart w:id="18" w:name="_Toc20401565"/>
            <w:r>
              <w:instrText>Schedule No. 2      Capital Structure</w:instrText>
            </w:r>
            <w:bookmarkEnd w:id="18"/>
            <w:r w:rsidRPr="000F4B97">
              <w:instrText xml:space="preserve">" \l 1 </w:instrText>
            </w:r>
            <w:r w:rsidRPr="000F4B97">
              <w:fldChar w:fldCharType="end"/>
            </w:r>
          </w:p>
        </w:tc>
        <w:tc>
          <w:tcPr>
            <w:tcW w:w="1605" w:type="dxa"/>
            <w:tcBorders>
              <w:top w:val="single" w:sz="8" w:space="0" w:color="auto"/>
              <w:left w:val="nil"/>
              <w:bottom w:val="nil"/>
              <w:right w:val="nil"/>
            </w:tcBorders>
            <w:shd w:val="clear" w:color="auto" w:fill="auto"/>
            <w:noWrap/>
            <w:vAlign w:val="bottom"/>
            <w:hideMark/>
          </w:tcPr>
          <w:p w14:paraId="027D9C65" w14:textId="77777777" w:rsidR="00357426" w:rsidRDefault="00357426" w:rsidP="00EB077E">
            <w:pPr>
              <w:rPr>
                <w:color w:val="000000"/>
                <w:sz w:val="20"/>
                <w:szCs w:val="20"/>
              </w:rPr>
            </w:pPr>
            <w:r>
              <w:rPr>
                <w:color w:val="000000"/>
                <w:sz w:val="20"/>
                <w:szCs w:val="20"/>
              </w:rPr>
              <w:t> </w:t>
            </w:r>
          </w:p>
        </w:tc>
        <w:tc>
          <w:tcPr>
            <w:tcW w:w="4520" w:type="dxa"/>
            <w:gridSpan w:val="4"/>
            <w:tcBorders>
              <w:top w:val="single" w:sz="8" w:space="0" w:color="auto"/>
              <w:left w:val="nil"/>
              <w:bottom w:val="nil"/>
              <w:right w:val="single" w:sz="8" w:space="0" w:color="000000"/>
            </w:tcBorders>
            <w:shd w:val="clear" w:color="auto" w:fill="auto"/>
            <w:noWrap/>
            <w:vAlign w:val="bottom"/>
            <w:hideMark/>
          </w:tcPr>
          <w:p w14:paraId="27E5786E" w14:textId="77777777" w:rsidR="00357426" w:rsidRDefault="00357426" w:rsidP="00EB077E">
            <w:pPr>
              <w:jc w:val="right"/>
              <w:rPr>
                <w:b/>
                <w:bCs/>
                <w:color w:val="000000"/>
                <w:sz w:val="20"/>
                <w:szCs w:val="20"/>
              </w:rPr>
            </w:pPr>
            <w:r>
              <w:rPr>
                <w:b/>
                <w:bCs/>
                <w:color w:val="000000"/>
                <w:sz w:val="20"/>
                <w:szCs w:val="20"/>
              </w:rPr>
              <w:t>SCHEDULE NO. 2</w:t>
            </w:r>
          </w:p>
        </w:tc>
      </w:tr>
      <w:tr w:rsidR="00357426" w14:paraId="61AF60A5" w14:textId="77777777" w:rsidTr="00EB077E">
        <w:trPr>
          <w:trHeight w:val="312"/>
          <w:jc w:val="center"/>
        </w:trPr>
        <w:tc>
          <w:tcPr>
            <w:tcW w:w="320" w:type="dxa"/>
            <w:tcBorders>
              <w:top w:val="nil"/>
              <w:left w:val="single" w:sz="8" w:space="0" w:color="auto"/>
              <w:bottom w:val="nil"/>
              <w:right w:val="nil"/>
            </w:tcBorders>
            <w:shd w:val="clear" w:color="auto" w:fill="auto"/>
            <w:noWrap/>
            <w:vAlign w:val="bottom"/>
            <w:hideMark/>
          </w:tcPr>
          <w:p w14:paraId="0F74D0DB" w14:textId="77777777" w:rsidR="00357426" w:rsidRDefault="00357426" w:rsidP="00EB077E">
            <w:pPr>
              <w:rPr>
                <w:color w:val="000000"/>
                <w:sz w:val="20"/>
                <w:szCs w:val="20"/>
              </w:rPr>
            </w:pPr>
            <w:r>
              <w:rPr>
                <w:color w:val="000000"/>
                <w:sz w:val="20"/>
                <w:szCs w:val="20"/>
              </w:rPr>
              <w:t> </w:t>
            </w:r>
          </w:p>
        </w:tc>
        <w:tc>
          <w:tcPr>
            <w:tcW w:w="6702" w:type="dxa"/>
            <w:gridSpan w:val="4"/>
            <w:tcBorders>
              <w:top w:val="nil"/>
              <w:left w:val="nil"/>
              <w:bottom w:val="nil"/>
              <w:right w:val="nil"/>
            </w:tcBorders>
            <w:shd w:val="clear" w:color="auto" w:fill="auto"/>
            <w:noWrap/>
            <w:vAlign w:val="bottom"/>
            <w:hideMark/>
          </w:tcPr>
          <w:p w14:paraId="0F7D1C61" w14:textId="77777777" w:rsidR="00357426" w:rsidRDefault="00357426" w:rsidP="00EB077E">
            <w:pPr>
              <w:rPr>
                <w:b/>
                <w:bCs/>
                <w:color w:val="000000"/>
                <w:sz w:val="20"/>
                <w:szCs w:val="20"/>
              </w:rPr>
            </w:pPr>
            <w:r>
              <w:rPr>
                <w:b/>
                <w:bCs/>
                <w:color w:val="000000"/>
                <w:sz w:val="20"/>
                <w:szCs w:val="20"/>
              </w:rPr>
              <w:t>TEST YEAR ENDED  3/31/2019</w:t>
            </w:r>
          </w:p>
        </w:tc>
        <w:tc>
          <w:tcPr>
            <w:tcW w:w="1605" w:type="dxa"/>
            <w:tcBorders>
              <w:top w:val="nil"/>
              <w:left w:val="nil"/>
              <w:bottom w:val="nil"/>
              <w:right w:val="nil"/>
            </w:tcBorders>
            <w:shd w:val="clear" w:color="auto" w:fill="auto"/>
            <w:noWrap/>
            <w:vAlign w:val="bottom"/>
            <w:hideMark/>
          </w:tcPr>
          <w:p w14:paraId="4DB67F44" w14:textId="77777777" w:rsidR="00357426" w:rsidRDefault="00357426" w:rsidP="00EB077E">
            <w:pPr>
              <w:rPr>
                <w:color w:val="000000"/>
                <w:sz w:val="20"/>
                <w:szCs w:val="20"/>
              </w:rPr>
            </w:pPr>
          </w:p>
        </w:tc>
        <w:tc>
          <w:tcPr>
            <w:tcW w:w="4520" w:type="dxa"/>
            <w:gridSpan w:val="4"/>
            <w:tcBorders>
              <w:top w:val="nil"/>
              <w:left w:val="nil"/>
              <w:bottom w:val="nil"/>
              <w:right w:val="single" w:sz="8" w:space="0" w:color="000000"/>
            </w:tcBorders>
            <w:shd w:val="clear" w:color="auto" w:fill="auto"/>
            <w:noWrap/>
            <w:vAlign w:val="bottom"/>
            <w:hideMark/>
          </w:tcPr>
          <w:p w14:paraId="6D3D3F39" w14:textId="77777777" w:rsidR="00357426" w:rsidRDefault="00357426" w:rsidP="00EB077E">
            <w:pPr>
              <w:jc w:val="right"/>
              <w:rPr>
                <w:b/>
                <w:bCs/>
                <w:color w:val="000000"/>
                <w:sz w:val="20"/>
                <w:szCs w:val="20"/>
              </w:rPr>
            </w:pPr>
            <w:r>
              <w:rPr>
                <w:b/>
                <w:bCs/>
                <w:color w:val="000000"/>
                <w:sz w:val="20"/>
                <w:szCs w:val="20"/>
              </w:rPr>
              <w:t>DOCKET NO. 20190116-SU</w:t>
            </w:r>
          </w:p>
        </w:tc>
      </w:tr>
      <w:tr w:rsidR="00357426" w14:paraId="5614E962" w14:textId="77777777" w:rsidTr="00EB077E">
        <w:trPr>
          <w:trHeight w:val="312"/>
          <w:jc w:val="center"/>
        </w:trPr>
        <w:tc>
          <w:tcPr>
            <w:tcW w:w="320" w:type="dxa"/>
            <w:tcBorders>
              <w:top w:val="nil"/>
              <w:left w:val="single" w:sz="8" w:space="0" w:color="auto"/>
              <w:bottom w:val="nil"/>
              <w:right w:val="nil"/>
            </w:tcBorders>
            <w:shd w:val="clear" w:color="auto" w:fill="auto"/>
            <w:noWrap/>
            <w:vAlign w:val="bottom"/>
            <w:hideMark/>
          </w:tcPr>
          <w:p w14:paraId="201B8C5C" w14:textId="77777777" w:rsidR="00357426" w:rsidRDefault="00357426" w:rsidP="00EB077E">
            <w:pPr>
              <w:rPr>
                <w:color w:val="000000"/>
                <w:sz w:val="20"/>
                <w:szCs w:val="20"/>
              </w:rPr>
            </w:pPr>
            <w:r>
              <w:rPr>
                <w:color w:val="000000"/>
                <w:sz w:val="20"/>
                <w:szCs w:val="20"/>
              </w:rPr>
              <w:t> </w:t>
            </w:r>
          </w:p>
        </w:tc>
        <w:tc>
          <w:tcPr>
            <w:tcW w:w="8307" w:type="dxa"/>
            <w:gridSpan w:val="5"/>
            <w:tcBorders>
              <w:top w:val="nil"/>
              <w:left w:val="nil"/>
              <w:bottom w:val="single" w:sz="8" w:space="0" w:color="auto"/>
              <w:right w:val="nil"/>
            </w:tcBorders>
            <w:shd w:val="clear" w:color="auto" w:fill="auto"/>
            <w:noWrap/>
            <w:vAlign w:val="bottom"/>
            <w:hideMark/>
          </w:tcPr>
          <w:p w14:paraId="5BE466E8" w14:textId="77777777" w:rsidR="00357426" w:rsidRDefault="00357426" w:rsidP="00EB077E">
            <w:pPr>
              <w:rPr>
                <w:b/>
                <w:bCs/>
                <w:color w:val="000000"/>
                <w:sz w:val="20"/>
                <w:szCs w:val="20"/>
              </w:rPr>
            </w:pPr>
            <w:r>
              <w:rPr>
                <w:b/>
                <w:bCs/>
                <w:color w:val="000000"/>
                <w:sz w:val="20"/>
                <w:szCs w:val="20"/>
              </w:rPr>
              <w:t>SCHEDULE OF CAPITAL STRUCTURE (YEAR END)</w:t>
            </w:r>
          </w:p>
        </w:tc>
        <w:tc>
          <w:tcPr>
            <w:tcW w:w="1524" w:type="dxa"/>
            <w:tcBorders>
              <w:top w:val="nil"/>
              <w:left w:val="nil"/>
              <w:bottom w:val="nil"/>
              <w:right w:val="nil"/>
            </w:tcBorders>
            <w:shd w:val="clear" w:color="auto" w:fill="auto"/>
            <w:noWrap/>
            <w:vAlign w:val="bottom"/>
            <w:hideMark/>
          </w:tcPr>
          <w:p w14:paraId="644CC90A" w14:textId="77777777" w:rsidR="00357426" w:rsidRDefault="00357426" w:rsidP="00EB077E">
            <w:pPr>
              <w:rPr>
                <w:color w:val="000000"/>
                <w:sz w:val="20"/>
                <w:szCs w:val="20"/>
              </w:rPr>
            </w:pPr>
          </w:p>
        </w:tc>
        <w:tc>
          <w:tcPr>
            <w:tcW w:w="1084" w:type="dxa"/>
            <w:tcBorders>
              <w:top w:val="nil"/>
              <w:left w:val="nil"/>
              <w:bottom w:val="nil"/>
              <w:right w:val="nil"/>
            </w:tcBorders>
            <w:shd w:val="clear" w:color="auto" w:fill="auto"/>
            <w:noWrap/>
            <w:vAlign w:val="bottom"/>
            <w:hideMark/>
          </w:tcPr>
          <w:p w14:paraId="70C98103" w14:textId="77777777" w:rsidR="00357426" w:rsidRDefault="00357426" w:rsidP="00EB077E">
            <w:pPr>
              <w:rPr>
                <w:color w:val="000000"/>
                <w:sz w:val="20"/>
                <w:szCs w:val="20"/>
              </w:rPr>
            </w:pPr>
          </w:p>
        </w:tc>
        <w:tc>
          <w:tcPr>
            <w:tcW w:w="632" w:type="dxa"/>
            <w:tcBorders>
              <w:top w:val="nil"/>
              <w:left w:val="nil"/>
              <w:bottom w:val="nil"/>
              <w:right w:val="nil"/>
            </w:tcBorders>
            <w:shd w:val="clear" w:color="auto" w:fill="auto"/>
            <w:noWrap/>
            <w:vAlign w:val="bottom"/>
            <w:hideMark/>
          </w:tcPr>
          <w:p w14:paraId="7D673E02" w14:textId="77777777" w:rsidR="00357426" w:rsidRDefault="00357426" w:rsidP="00EB077E">
            <w:pPr>
              <w:rPr>
                <w:color w:val="000000"/>
                <w:sz w:val="20"/>
                <w:szCs w:val="20"/>
              </w:rPr>
            </w:pPr>
          </w:p>
        </w:tc>
        <w:tc>
          <w:tcPr>
            <w:tcW w:w="1280" w:type="dxa"/>
            <w:tcBorders>
              <w:top w:val="nil"/>
              <w:left w:val="nil"/>
              <w:bottom w:val="nil"/>
              <w:right w:val="single" w:sz="8" w:space="0" w:color="auto"/>
            </w:tcBorders>
            <w:shd w:val="clear" w:color="auto" w:fill="auto"/>
            <w:noWrap/>
            <w:vAlign w:val="bottom"/>
            <w:hideMark/>
          </w:tcPr>
          <w:p w14:paraId="7CC2BE8C" w14:textId="77777777" w:rsidR="00357426" w:rsidRDefault="00357426" w:rsidP="00EB077E">
            <w:pPr>
              <w:rPr>
                <w:color w:val="000000"/>
                <w:sz w:val="20"/>
                <w:szCs w:val="20"/>
              </w:rPr>
            </w:pPr>
            <w:r>
              <w:rPr>
                <w:color w:val="000000"/>
                <w:sz w:val="20"/>
                <w:szCs w:val="20"/>
              </w:rPr>
              <w:t> </w:t>
            </w:r>
          </w:p>
        </w:tc>
      </w:tr>
      <w:tr w:rsidR="00357426" w14:paraId="0314EF03" w14:textId="77777777" w:rsidTr="00EB077E">
        <w:trPr>
          <w:trHeight w:val="300"/>
          <w:jc w:val="center"/>
        </w:trPr>
        <w:tc>
          <w:tcPr>
            <w:tcW w:w="320" w:type="dxa"/>
            <w:tcBorders>
              <w:top w:val="single" w:sz="8" w:space="0" w:color="auto"/>
              <w:left w:val="single" w:sz="8" w:space="0" w:color="auto"/>
              <w:bottom w:val="nil"/>
              <w:right w:val="nil"/>
            </w:tcBorders>
            <w:shd w:val="clear" w:color="auto" w:fill="auto"/>
            <w:noWrap/>
            <w:vAlign w:val="bottom"/>
            <w:hideMark/>
          </w:tcPr>
          <w:p w14:paraId="7B4A3D6C" w14:textId="77777777" w:rsidR="00357426" w:rsidRDefault="00357426" w:rsidP="00EB077E">
            <w:pPr>
              <w:jc w:val="center"/>
              <w:rPr>
                <w:color w:val="000000"/>
                <w:sz w:val="20"/>
                <w:szCs w:val="20"/>
              </w:rPr>
            </w:pPr>
            <w:r>
              <w:rPr>
                <w:color w:val="000000"/>
                <w:sz w:val="20"/>
                <w:szCs w:val="20"/>
              </w:rPr>
              <w:t> </w:t>
            </w:r>
          </w:p>
        </w:tc>
        <w:tc>
          <w:tcPr>
            <w:tcW w:w="3104" w:type="dxa"/>
            <w:tcBorders>
              <w:top w:val="nil"/>
              <w:left w:val="nil"/>
              <w:bottom w:val="nil"/>
              <w:right w:val="nil"/>
            </w:tcBorders>
            <w:shd w:val="clear" w:color="auto" w:fill="auto"/>
            <w:noWrap/>
            <w:vAlign w:val="bottom"/>
            <w:hideMark/>
          </w:tcPr>
          <w:p w14:paraId="6A235CDB" w14:textId="77777777" w:rsidR="00357426" w:rsidRDefault="00357426" w:rsidP="00EB077E">
            <w:pPr>
              <w:rPr>
                <w:color w:val="000000"/>
                <w:sz w:val="20"/>
                <w:szCs w:val="20"/>
              </w:rPr>
            </w:pPr>
            <w:r>
              <w:rPr>
                <w:color w:val="000000"/>
                <w:sz w:val="20"/>
                <w:szCs w:val="20"/>
              </w:rPr>
              <w:t> </w:t>
            </w:r>
          </w:p>
        </w:tc>
        <w:tc>
          <w:tcPr>
            <w:tcW w:w="1044" w:type="dxa"/>
            <w:tcBorders>
              <w:top w:val="nil"/>
              <w:left w:val="nil"/>
              <w:bottom w:val="nil"/>
              <w:right w:val="nil"/>
            </w:tcBorders>
            <w:shd w:val="clear" w:color="auto" w:fill="auto"/>
            <w:noWrap/>
            <w:vAlign w:val="bottom"/>
            <w:hideMark/>
          </w:tcPr>
          <w:p w14:paraId="69AE2AE0" w14:textId="77777777" w:rsidR="00357426" w:rsidRDefault="00357426" w:rsidP="00EB077E">
            <w:pPr>
              <w:rPr>
                <w:color w:val="000000"/>
                <w:sz w:val="20"/>
                <w:szCs w:val="20"/>
              </w:rPr>
            </w:pPr>
            <w:r>
              <w:rPr>
                <w:color w:val="000000"/>
                <w:sz w:val="20"/>
                <w:szCs w:val="20"/>
              </w:rPr>
              <w:t> </w:t>
            </w:r>
          </w:p>
        </w:tc>
        <w:tc>
          <w:tcPr>
            <w:tcW w:w="1150" w:type="dxa"/>
            <w:tcBorders>
              <w:top w:val="nil"/>
              <w:left w:val="nil"/>
              <w:bottom w:val="nil"/>
              <w:right w:val="nil"/>
            </w:tcBorders>
            <w:shd w:val="clear" w:color="auto" w:fill="auto"/>
            <w:noWrap/>
            <w:vAlign w:val="bottom"/>
            <w:hideMark/>
          </w:tcPr>
          <w:p w14:paraId="59AFD41A" w14:textId="77777777" w:rsidR="00357426" w:rsidRDefault="00357426" w:rsidP="00EB077E">
            <w:pPr>
              <w:rPr>
                <w:color w:val="000000"/>
                <w:sz w:val="20"/>
                <w:szCs w:val="20"/>
              </w:rPr>
            </w:pPr>
            <w:r>
              <w:rPr>
                <w:color w:val="000000"/>
                <w:sz w:val="20"/>
                <w:szCs w:val="20"/>
              </w:rPr>
              <w:t> </w:t>
            </w:r>
          </w:p>
        </w:tc>
        <w:tc>
          <w:tcPr>
            <w:tcW w:w="1404" w:type="dxa"/>
            <w:tcBorders>
              <w:top w:val="nil"/>
              <w:left w:val="nil"/>
              <w:bottom w:val="nil"/>
              <w:right w:val="nil"/>
            </w:tcBorders>
            <w:shd w:val="clear" w:color="auto" w:fill="auto"/>
            <w:noWrap/>
            <w:vAlign w:val="bottom"/>
            <w:hideMark/>
          </w:tcPr>
          <w:p w14:paraId="4968C588" w14:textId="77777777" w:rsidR="00357426" w:rsidRDefault="00357426" w:rsidP="00EB077E">
            <w:pPr>
              <w:jc w:val="center"/>
              <w:rPr>
                <w:b/>
                <w:bCs/>
                <w:color w:val="000000"/>
                <w:sz w:val="20"/>
                <w:szCs w:val="20"/>
              </w:rPr>
            </w:pPr>
            <w:r>
              <w:rPr>
                <w:b/>
                <w:bCs/>
                <w:color w:val="000000"/>
                <w:sz w:val="20"/>
                <w:szCs w:val="20"/>
              </w:rPr>
              <w:t>TEST YEAR</w:t>
            </w:r>
          </w:p>
        </w:tc>
        <w:tc>
          <w:tcPr>
            <w:tcW w:w="1605" w:type="dxa"/>
            <w:tcBorders>
              <w:top w:val="nil"/>
              <w:left w:val="nil"/>
              <w:bottom w:val="nil"/>
              <w:right w:val="nil"/>
            </w:tcBorders>
            <w:shd w:val="clear" w:color="auto" w:fill="auto"/>
            <w:noWrap/>
            <w:vAlign w:val="bottom"/>
            <w:hideMark/>
          </w:tcPr>
          <w:p w14:paraId="536ED550" w14:textId="77777777" w:rsidR="00357426" w:rsidRDefault="00357426" w:rsidP="00EB077E">
            <w:pPr>
              <w:jc w:val="center"/>
              <w:rPr>
                <w:b/>
                <w:bCs/>
                <w:color w:val="000000"/>
                <w:sz w:val="20"/>
                <w:szCs w:val="20"/>
              </w:rPr>
            </w:pPr>
            <w:r>
              <w:rPr>
                <w:b/>
                <w:bCs/>
                <w:color w:val="000000"/>
                <w:sz w:val="20"/>
                <w:szCs w:val="20"/>
              </w:rPr>
              <w:t>ADJUSTMENTS</w:t>
            </w:r>
          </w:p>
        </w:tc>
        <w:tc>
          <w:tcPr>
            <w:tcW w:w="1524" w:type="dxa"/>
            <w:tcBorders>
              <w:top w:val="single" w:sz="8" w:space="0" w:color="auto"/>
              <w:left w:val="nil"/>
              <w:bottom w:val="nil"/>
              <w:right w:val="nil"/>
            </w:tcBorders>
            <w:shd w:val="clear" w:color="auto" w:fill="auto"/>
            <w:noWrap/>
            <w:vAlign w:val="bottom"/>
          </w:tcPr>
          <w:p w14:paraId="5DFA2EE9" w14:textId="77777777" w:rsidR="00357426" w:rsidRDefault="00357426" w:rsidP="00EB077E">
            <w:pPr>
              <w:jc w:val="center"/>
              <w:rPr>
                <w:b/>
                <w:bCs/>
                <w:color w:val="000000"/>
                <w:sz w:val="20"/>
                <w:szCs w:val="20"/>
              </w:rPr>
            </w:pPr>
            <w:r>
              <w:rPr>
                <w:b/>
                <w:bCs/>
                <w:color w:val="000000"/>
                <w:sz w:val="20"/>
                <w:szCs w:val="20"/>
              </w:rPr>
              <w:t>RECONCILED</w:t>
            </w:r>
          </w:p>
        </w:tc>
        <w:tc>
          <w:tcPr>
            <w:tcW w:w="1084" w:type="dxa"/>
            <w:tcBorders>
              <w:top w:val="single" w:sz="8" w:space="0" w:color="auto"/>
              <w:left w:val="nil"/>
              <w:bottom w:val="nil"/>
              <w:right w:val="nil"/>
            </w:tcBorders>
            <w:shd w:val="clear" w:color="auto" w:fill="auto"/>
            <w:noWrap/>
            <w:vAlign w:val="bottom"/>
            <w:hideMark/>
          </w:tcPr>
          <w:p w14:paraId="61E67A1B" w14:textId="77777777" w:rsidR="00357426" w:rsidRDefault="00357426" w:rsidP="00EB077E">
            <w:pPr>
              <w:rPr>
                <w:color w:val="000000"/>
                <w:sz w:val="20"/>
                <w:szCs w:val="20"/>
              </w:rPr>
            </w:pPr>
            <w:r>
              <w:rPr>
                <w:color w:val="000000"/>
                <w:sz w:val="20"/>
                <w:szCs w:val="20"/>
              </w:rPr>
              <w:t> </w:t>
            </w:r>
          </w:p>
        </w:tc>
        <w:tc>
          <w:tcPr>
            <w:tcW w:w="632" w:type="dxa"/>
            <w:tcBorders>
              <w:top w:val="single" w:sz="8" w:space="0" w:color="auto"/>
              <w:left w:val="nil"/>
              <w:bottom w:val="nil"/>
              <w:right w:val="nil"/>
            </w:tcBorders>
            <w:shd w:val="clear" w:color="auto" w:fill="auto"/>
            <w:noWrap/>
            <w:vAlign w:val="bottom"/>
            <w:hideMark/>
          </w:tcPr>
          <w:p w14:paraId="61E7595D" w14:textId="77777777" w:rsidR="00357426" w:rsidRDefault="00357426" w:rsidP="00EB077E">
            <w:pPr>
              <w:rPr>
                <w:color w:val="000000"/>
                <w:sz w:val="20"/>
                <w:szCs w:val="20"/>
              </w:rPr>
            </w:pPr>
            <w:r>
              <w:rPr>
                <w:color w:val="000000"/>
                <w:sz w:val="20"/>
                <w:szCs w:val="20"/>
              </w:rPr>
              <w:t> </w:t>
            </w:r>
          </w:p>
        </w:tc>
        <w:tc>
          <w:tcPr>
            <w:tcW w:w="1280" w:type="dxa"/>
            <w:tcBorders>
              <w:top w:val="single" w:sz="8" w:space="0" w:color="auto"/>
              <w:left w:val="nil"/>
              <w:bottom w:val="nil"/>
              <w:right w:val="single" w:sz="8" w:space="0" w:color="auto"/>
            </w:tcBorders>
            <w:shd w:val="clear" w:color="auto" w:fill="auto"/>
            <w:noWrap/>
            <w:vAlign w:val="bottom"/>
            <w:hideMark/>
          </w:tcPr>
          <w:p w14:paraId="035C32C9" w14:textId="77777777" w:rsidR="00357426" w:rsidRDefault="00357426" w:rsidP="00EB077E">
            <w:pPr>
              <w:rPr>
                <w:color w:val="000000"/>
                <w:sz w:val="20"/>
                <w:szCs w:val="20"/>
              </w:rPr>
            </w:pPr>
            <w:r>
              <w:rPr>
                <w:color w:val="000000"/>
                <w:sz w:val="20"/>
                <w:szCs w:val="20"/>
              </w:rPr>
              <w:t> </w:t>
            </w:r>
          </w:p>
        </w:tc>
      </w:tr>
      <w:tr w:rsidR="00357426" w14:paraId="46671567" w14:textId="77777777" w:rsidTr="00EB077E">
        <w:trPr>
          <w:trHeight w:val="312"/>
          <w:jc w:val="center"/>
        </w:trPr>
        <w:tc>
          <w:tcPr>
            <w:tcW w:w="320" w:type="dxa"/>
            <w:tcBorders>
              <w:top w:val="nil"/>
              <w:left w:val="single" w:sz="8" w:space="0" w:color="auto"/>
              <w:bottom w:val="nil"/>
              <w:right w:val="nil"/>
            </w:tcBorders>
            <w:shd w:val="clear" w:color="auto" w:fill="auto"/>
            <w:noWrap/>
            <w:vAlign w:val="bottom"/>
            <w:hideMark/>
          </w:tcPr>
          <w:p w14:paraId="5521FD16" w14:textId="77777777" w:rsidR="00357426" w:rsidRDefault="00357426" w:rsidP="00EB077E">
            <w:pPr>
              <w:rPr>
                <w:color w:val="000000"/>
                <w:sz w:val="20"/>
                <w:szCs w:val="20"/>
              </w:rPr>
            </w:pPr>
            <w:r>
              <w:rPr>
                <w:color w:val="000000"/>
                <w:sz w:val="20"/>
                <w:szCs w:val="20"/>
              </w:rPr>
              <w:t> </w:t>
            </w:r>
          </w:p>
        </w:tc>
        <w:tc>
          <w:tcPr>
            <w:tcW w:w="3104" w:type="dxa"/>
            <w:tcBorders>
              <w:top w:val="nil"/>
              <w:left w:val="nil"/>
              <w:bottom w:val="nil"/>
              <w:right w:val="nil"/>
            </w:tcBorders>
            <w:shd w:val="clear" w:color="auto" w:fill="auto"/>
            <w:noWrap/>
            <w:vAlign w:val="bottom"/>
            <w:hideMark/>
          </w:tcPr>
          <w:p w14:paraId="13F71B46" w14:textId="77777777" w:rsidR="00357426" w:rsidRDefault="00357426" w:rsidP="00EB077E">
            <w:pPr>
              <w:rPr>
                <w:color w:val="000000"/>
                <w:sz w:val="20"/>
                <w:szCs w:val="20"/>
              </w:rPr>
            </w:pPr>
          </w:p>
        </w:tc>
        <w:tc>
          <w:tcPr>
            <w:tcW w:w="1044" w:type="dxa"/>
            <w:tcBorders>
              <w:top w:val="nil"/>
              <w:left w:val="nil"/>
              <w:bottom w:val="nil"/>
              <w:right w:val="nil"/>
            </w:tcBorders>
            <w:shd w:val="clear" w:color="auto" w:fill="auto"/>
            <w:noWrap/>
            <w:vAlign w:val="bottom"/>
            <w:hideMark/>
          </w:tcPr>
          <w:p w14:paraId="09DE1497" w14:textId="77777777" w:rsidR="00357426" w:rsidRDefault="00357426" w:rsidP="00EB077E"/>
        </w:tc>
        <w:tc>
          <w:tcPr>
            <w:tcW w:w="1150" w:type="dxa"/>
            <w:tcBorders>
              <w:top w:val="nil"/>
              <w:left w:val="nil"/>
              <w:bottom w:val="nil"/>
              <w:right w:val="nil"/>
            </w:tcBorders>
            <w:shd w:val="clear" w:color="auto" w:fill="auto"/>
            <w:noWrap/>
            <w:vAlign w:val="bottom"/>
            <w:hideMark/>
          </w:tcPr>
          <w:p w14:paraId="27C89543" w14:textId="77777777" w:rsidR="00357426" w:rsidRDefault="00357426" w:rsidP="00EB077E">
            <w:pPr>
              <w:jc w:val="center"/>
              <w:rPr>
                <w:b/>
                <w:bCs/>
                <w:color w:val="000000"/>
                <w:sz w:val="20"/>
                <w:szCs w:val="20"/>
              </w:rPr>
            </w:pPr>
            <w:r>
              <w:rPr>
                <w:b/>
                <w:bCs/>
                <w:color w:val="000000"/>
                <w:sz w:val="20"/>
                <w:szCs w:val="20"/>
              </w:rPr>
              <w:t>SPECIFIC</w:t>
            </w:r>
          </w:p>
        </w:tc>
        <w:tc>
          <w:tcPr>
            <w:tcW w:w="1404" w:type="dxa"/>
            <w:tcBorders>
              <w:top w:val="nil"/>
              <w:left w:val="nil"/>
              <w:bottom w:val="nil"/>
              <w:right w:val="nil"/>
            </w:tcBorders>
            <w:shd w:val="clear" w:color="auto" w:fill="auto"/>
            <w:noWrap/>
            <w:vAlign w:val="bottom"/>
            <w:hideMark/>
          </w:tcPr>
          <w:p w14:paraId="5512EBDA" w14:textId="77777777" w:rsidR="00357426" w:rsidRDefault="00357426" w:rsidP="00EB077E">
            <w:pPr>
              <w:jc w:val="center"/>
              <w:rPr>
                <w:b/>
                <w:bCs/>
                <w:color w:val="000000"/>
                <w:sz w:val="20"/>
                <w:szCs w:val="20"/>
              </w:rPr>
            </w:pPr>
            <w:r>
              <w:rPr>
                <w:b/>
                <w:bCs/>
                <w:color w:val="000000"/>
                <w:sz w:val="20"/>
                <w:szCs w:val="20"/>
              </w:rPr>
              <w:t>BALANCE</w:t>
            </w:r>
          </w:p>
        </w:tc>
        <w:tc>
          <w:tcPr>
            <w:tcW w:w="1605" w:type="dxa"/>
            <w:tcBorders>
              <w:top w:val="nil"/>
              <w:left w:val="nil"/>
              <w:bottom w:val="nil"/>
              <w:right w:val="nil"/>
            </w:tcBorders>
            <w:shd w:val="clear" w:color="auto" w:fill="auto"/>
            <w:noWrap/>
            <w:vAlign w:val="bottom"/>
            <w:hideMark/>
          </w:tcPr>
          <w:p w14:paraId="51EEF318" w14:textId="77777777" w:rsidR="00357426" w:rsidRDefault="00357426" w:rsidP="00EB077E">
            <w:pPr>
              <w:jc w:val="center"/>
              <w:rPr>
                <w:b/>
                <w:bCs/>
                <w:color w:val="000000"/>
                <w:sz w:val="20"/>
                <w:szCs w:val="20"/>
              </w:rPr>
            </w:pPr>
            <w:r>
              <w:rPr>
                <w:b/>
                <w:bCs/>
                <w:color w:val="000000"/>
                <w:sz w:val="20"/>
                <w:szCs w:val="20"/>
              </w:rPr>
              <w:t>TO</w:t>
            </w:r>
          </w:p>
        </w:tc>
        <w:tc>
          <w:tcPr>
            <w:tcW w:w="1524" w:type="dxa"/>
            <w:tcBorders>
              <w:top w:val="nil"/>
              <w:left w:val="nil"/>
              <w:bottom w:val="nil"/>
              <w:right w:val="nil"/>
            </w:tcBorders>
            <w:shd w:val="clear" w:color="auto" w:fill="auto"/>
            <w:noWrap/>
            <w:vAlign w:val="bottom"/>
          </w:tcPr>
          <w:p w14:paraId="56F0C4F2" w14:textId="77777777" w:rsidR="00357426" w:rsidRDefault="00357426" w:rsidP="00EB077E">
            <w:pPr>
              <w:jc w:val="center"/>
              <w:rPr>
                <w:b/>
                <w:bCs/>
                <w:color w:val="000000"/>
                <w:sz w:val="20"/>
                <w:szCs w:val="20"/>
              </w:rPr>
            </w:pPr>
            <w:r>
              <w:rPr>
                <w:b/>
                <w:bCs/>
                <w:color w:val="000000"/>
                <w:sz w:val="20"/>
                <w:szCs w:val="20"/>
              </w:rPr>
              <w:t>CAPITAL</w:t>
            </w:r>
          </w:p>
        </w:tc>
        <w:tc>
          <w:tcPr>
            <w:tcW w:w="1084" w:type="dxa"/>
            <w:tcBorders>
              <w:top w:val="nil"/>
              <w:left w:val="nil"/>
              <w:bottom w:val="nil"/>
              <w:right w:val="nil"/>
            </w:tcBorders>
            <w:shd w:val="clear" w:color="auto" w:fill="auto"/>
            <w:noWrap/>
            <w:vAlign w:val="bottom"/>
            <w:hideMark/>
          </w:tcPr>
          <w:p w14:paraId="6DC060F6" w14:textId="77777777" w:rsidR="00357426" w:rsidRDefault="00357426" w:rsidP="00EB077E">
            <w:pPr>
              <w:jc w:val="center"/>
              <w:rPr>
                <w:b/>
                <w:bCs/>
                <w:color w:val="000000"/>
                <w:sz w:val="20"/>
                <w:szCs w:val="20"/>
              </w:rPr>
            </w:pPr>
            <w:r>
              <w:rPr>
                <w:b/>
                <w:bCs/>
                <w:color w:val="000000"/>
                <w:sz w:val="20"/>
                <w:szCs w:val="20"/>
              </w:rPr>
              <w:t>PERCENT</w:t>
            </w:r>
          </w:p>
        </w:tc>
        <w:tc>
          <w:tcPr>
            <w:tcW w:w="632" w:type="dxa"/>
            <w:tcBorders>
              <w:top w:val="nil"/>
              <w:left w:val="nil"/>
              <w:bottom w:val="nil"/>
              <w:right w:val="nil"/>
            </w:tcBorders>
            <w:shd w:val="clear" w:color="auto" w:fill="auto"/>
            <w:noWrap/>
            <w:vAlign w:val="bottom"/>
            <w:hideMark/>
          </w:tcPr>
          <w:p w14:paraId="0854B089" w14:textId="77777777" w:rsidR="00357426" w:rsidRDefault="00357426" w:rsidP="00EB077E">
            <w:pPr>
              <w:rPr>
                <w:b/>
                <w:bCs/>
                <w:color w:val="000000"/>
                <w:sz w:val="20"/>
                <w:szCs w:val="20"/>
              </w:rPr>
            </w:pPr>
          </w:p>
        </w:tc>
        <w:tc>
          <w:tcPr>
            <w:tcW w:w="1280" w:type="dxa"/>
            <w:tcBorders>
              <w:top w:val="nil"/>
              <w:left w:val="nil"/>
              <w:bottom w:val="nil"/>
              <w:right w:val="single" w:sz="8" w:space="0" w:color="auto"/>
            </w:tcBorders>
            <w:shd w:val="clear" w:color="auto" w:fill="auto"/>
            <w:noWrap/>
            <w:vAlign w:val="bottom"/>
            <w:hideMark/>
          </w:tcPr>
          <w:p w14:paraId="3405324A" w14:textId="77777777" w:rsidR="00357426" w:rsidRDefault="00357426" w:rsidP="00EB077E">
            <w:pPr>
              <w:rPr>
                <w:b/>
                <w:bCs/>
                <w:color w:val="000000"/>
                <w:sz w:val="20"/>
                <w:szCs w:val="20"/>
              </w:rPr>
            </w:pPr>
            <w:r>
              <w:rPr>
                <w:b/>
                <w:bCs/>
                <w:color w:val="000000"/>
                <w:sz w:val="20"/>
                <w:szCs w:val="20"/>
              </w:rPr>
              <w:t> </w:t>
            </w:r>
          </w:p>
        </w:tc>
      </w:tr>
      <w:tr w:rsidR="00357426" w14:paraId="1B9A5929" w14:textId="77777777" w:rsidTr="00EB077E">
        <w:trPr>
          <w:trHeight w:val="300"/>
          <w:jc w:val="center"/>
        </w:trPr>
        <w:tc>
          <w:tcPr>
            <w:tcW w:w="320" w:type="dxa"/>
            <w:tcBorders>
              <w:top w:val="nil"/>
              <w:left w:val="single" w:sz="8" w:space="0" w:color="auto"/>
              <w:bottom w:val="nil"/>
              <w:right w:val="nil"/>
            </w:tcBorders>
            <w:shd w:val="clear" w:color="auto" w:fill="auto"/>
            <w:noWrap/>
            <w:vAlign w:val="bottom"/>
            <w:hideMark/>
          </w:tcPr>
          <w:p w14:paraId="7BACE60F" w14:textId="77777777" w:rsidR="00357426" w:rsidRDefault="00357426" w:rsidP="00EB077E">
            <w:pPr>
              <w:rPr>
                <w:color w:val="000000"/>
                <w:sz w:val="20"/>
                <w:szCs w:val="20"/>
              </w:rPr>
            </w:pPr>
            <w:r>
              <w:rPr>
                <w:color w:val="000000"/>
                <w:sz w:val="20"/>
                <w:szCs w:val="20"/>
              </w:rPr>
              <w:t> </w:t>
            </w:r>
          </w:p>
        </w:tc>
        <w:tc>
          <w:tcPr>
            <w:tcW w:w="3104" w:type="dxa"/>
            <w:tcBorders>
              <w:top w:val="nil"/>
              <w:left w:val="nil"/>
              <w:bottom w:val="nil"/>
              <w:right w:val="nil"/>
            </w:tcBorders>
            <w:shd w:val="clear" w:color="auto" w:fill="auto"/>
            <w:noWrap/>
            <w:vAlign w:val="bottom"/>
            <w:hideMark/>
          </w:tcPr>
          <w:p w14:paraId="3302BEE4" w14:textId="77777777" w:rsidR="00357426" w:rsidRDefault="00357426" w:rsidP="00EB077E">
            <w:pPr>
              <w:rPr>
                <w:color w:val="000000"/>
                <w:sz w:val="20"/>
                <w:szCs w:val="20"/>
              </w:rPr>
            </w:pPr>
          </w:p>
        </w:tc>
        <w:tc>
          <w:tcPr>
            <w:tcW w:w="1044" w:type="dxa"/>
            <w:tcBorders>
              <w:top w:val="nil"/>
              <w:left w:val="nil"/>
              <w:bottom w:val="nil"/>
              <w:right w:val="nil"/>
            </w:tcBorders>
            <w:shd w:val="clear" w:color="auto" w:fill="auto"/>
            <w:noWrap/>
            <w:vAlign w:val="bottom"/>
            <w:hideMark/>
          </w:tcPr>
          <w:p w14:paraId="0B620AF8" w14:textId="77777777" w:rsidR="00357426" w:rsidRDefault="00357426" w:rsidP="00EB077E">
            <w:pPr>
              <w:jc w:val="center"/>
              <w:rPr>
                <w:b/>
                <w:bCs/>
                <w:color w:val="000000"/>
                <w:sz w:val="20"/>
                <w:szCs w:val="20"/>
              </w:rPr>
            </w:pPr>
            <w:r>
              <w:rPr>
                <w:b/>
                <w:bCs/>
                <w:color w:val="000000"/>
                <w:sz w:val="20"/>
                <w:szCs w:val="20"/>
              </w:rPr>
              <w:t>PER</w:t>
            </w:r>
          </w:p>
        </w:tc>
        <w:tc>
          <w:tcPr>
            <w:tcW w:w="1150" w:type="dxa"/>
            <w:tcBorders>
              <w:top w:val="nil"/>
              <w:left w:val="nil"/>
              <w:bottom w:val="nil"/>
              <w:right w:val="nil"/>
            </w:tcBorders>
            <w:shd w:val="clear" w:color="auto" w:fill="auto"/>
            <w:noWrap/>
            <w:vAlign w:val="bottom"/>
            <w:hideMark/>
          </w:tcPr>
          <w:p w14:paraId="4B4B9346" w14:textId="77777777" w:rsidR="00357426" w:rsidRDefault="00357426" w:rsidP="00EB077E">
            <w:pPr>
              <w:jc w:val="center"/>
              <w:rPr>
                <w:b/>
                <w:bCs/>
                <w:color w:val="000000"/>
                <w:sz w:val="20"/>
                <w:szCs w:val="20"/>
              </w:rPr>
            </w:pPr>
            <w:r>
              <w:rPr>
                <w:b/>
                <w:bCs/>
                <w:color w:val="000000"/>
                <w:sz w:val="20"/>
                <w:szCs w:val="20"/>
              </w:rPr>
              <w:t>ADJUST-</w:t>
            </w:r>
          </w:p>
        </w:tc>
        <w:tc>
          <w:tcPr>
            <w:tcW w:w="1404" w:type="dxa"/>
            <w:tcBorders>
              <w:top w:val="nil"/>
              <w:left w:val="nil"/>
              <w:bottom w:val="nil"/>
              <w:right w:val="nil"/>
            </w:tcBorders>
            <w:shd w:val="clear" w:color="auto" w:fill="auto"/>
            <w:noWrap/>
            <w:vAlign w:val="bottom"/>
            <w:hideMark/>
          </w:tcPr>
          <w:p w14:paraId="2D5DD3B3" w14:textId="77777777" w:rsidR="00357426" w:rsidRDefault="00357426" w:rsidP="00EB077E">
            <w:pPr>
              <w:jc w:val="center"/>
              <w:rPr>
                <w:b/>
                <w:bCs/>
                <w:color w:val="000000"/>
                <w:sz w:val="20"/>
                <w:szCs w:val="20"/>
              </w:rPr>
            </w:pPr>
            <w:r>
              <w:rPr>
                <w:b/>
                <w:bCs/>
                <w:color w:val="000000"/>
                <w:sz w:val="20"/>
                <w:szCs w:val="20"/>
              </w:rPr>
              <w:t>PER</w:t>
            </w:r>
          </w:p>
        </w:tc>
        <w:tc>
          <w:tcPr>
            <w:tcW w:w="1605" w:type="dxa"/>
            <w:tcBorders>
              <w:top w:val="nil"/>
              <w:left w:val="nil"/>
              <w:bottom w:val="nil"/>
              <w:right w:val="nil"/>
            </w:tcBorders>
            <w:shd w:val="clear" w:color="auto" w:fill="auto"/>
            <w:noWrap/>
            <w:vAlign w:val="bottom"/>
            <w:hideMark/>
          </w:tcPr>
          <w:p w14:paraId="038F49C1" w14:textId="77777777" w:rsidR="00357426" w:rsidRDefault="00357426" w:rsidP="00EB077E">
            <w:pPr>
              <w:jc w:val="center"/>
              <w:rPr>
                <w:b/>
                <w:bCs/>
                <w:color w:val="000000"/>
                <w:sz w:val="20"/>
                <w:szCs w:val="20"/>
              </w:rPr>
            </w:pPr>
            <w:r>
              <w:rPr>
                <w:b/>
                <w:bCs/>
                <w:color w:val="000000"/>
                <w:sz w:val="20"/>
                <w:szCs w:val="20"/>
              </w:rPr>
              <w:t>RECONCILE</w:t>
            </w:r>
          </w:p>
        </w:tc>
        <w:tc>
          <w:tcPr>
            <w:tcW w:w="1524" w:type="dxa"/>
            <w:tcBorders>
              <w:top w:val="nil"/>
              <w:left w:val="nil"/>
              <w:bottom w:val="nil"/>
              <w:right w:val="nil"/>
            </w:tcBorders>
            <w:shd w:val="clear" w:color="auto" w:fill="auto"/>
            <w:noWrap/>
            <w:vAlign w:val="bottom"/>
          </w:tcPr>
          <w:p w14:paraId="2B0D2EC8" w14:textId="77777777" w:rsidR="00357426" w:rsidRDefault="00357426" w:rsidP="00EB077E">
            <w:pPr>
              <w:jc w:val="center"/>
              <w:rPr>
                <w:b/>
                <w:bCs/>
                <w:color w:val="000000"/>
                <w:sz w:val="20"/>
                <w:szCs w:val="20"/>
              </w:rPr>
            </w:pPr>
            <w:r>
              <w:rPr>
                <w:b/>
                <w:bCs/>
                <w:color w:val="000000"/>
                <w:sz w:val="20"/>
                <w:szCs w:val="20"/>
              </w:rPr>
              <w:t>STRUCTURE</w:t>
            </w:r>
          </w:p>
        </w:tc>
        <w:tc>
          <w:tcPr>
            <w:tcW w:w="1084" w:type="dxa"/>
            <w:tcBorders>
              <w:top w:val="nil"/>
              <w:left w:val="nil"/>
              <w:bottom w:val="nil"/>
              <w:right w:val="nil"/>
            </w:tcBorders>
            <w:shd w:val="clear" w:color="auto" w:fill="auto"/>
            <w:noWrap/>
            <w:vAlign w:val="bottom"/>
            <w:hideMark/>
          </w:tcPr>
          <w:p w14:paraId="33C874F1" w14:textId="77777777" w:rsidR="00357426" w:rsidRDefault="00357426" w:rsidP="00EB077E">
            <w:pPr>
              <w:jc w:val="center"/>
              <w:rPr>
                <w:b/>
                <w:bCs/>
                <w:color w:val="000000"/>
                <w:sz w:val="20"/>
                <w:szCs w:val="20"/>
              </w:rPr>
            </w:pPr>
            <w:r>
              <w:rPr>
                <w:b/>
                <w:bCs/>
                <w:color w:val="000000"/>
                <w:sz w:val="20"/>
                <w:szCs w:val="20"/>
              </w:rPr>
              <w:t>OF</w:t>
            </w:r>
          </w:p>
        </w:tc>
        <w:tc>
          <w:tcPr>
            <w:tcW w:w="632" w:type="dxa"/>
            <w:tcBorders>
              <w:top w:val="nil"/>
              <w:left w:val="nil"/>
              <w:bottom w:val="nil"/>
              <w:right w:val="nil"/>
            </w:tcBorders>
            <w:shd w:val="clear" w:color="auto" w:fill="auto"/>
            <w:noWrap/>
            <w:vAlign w:val="bottom"/>
            <w:hideMark/>
          </w:tcPr>
          <w:p w14:paraId="2C3B0390" w14:textId="77777777" w:rsidR="00357426" w:rsidRDefault="00357426" w:rsidP="00EB077E">
            <w:pPr>
              <w:jc w:val="center"/>
              <w:rPr>
                <w:b/>
                <w:bCs/>
                <w:color w:val="000000"/>
                <w:sz w:val="20"/>
                <w:szCs w:val="20"/>
              </w:rPr>
            </w:pPr>
          </w:p>
        </w:tc>
        <w:tc>
          <w:tcPr>
            <w:tcW w:w="1280" w:type="dxa"/>
            <w:tcBorders>
              <w:top w:val="nil"/>
              <w:left w:val="nil"/>
              <w:bottom w:val="nil"/>
              <w:right w:val="single" w:sz="8" w:space="0" w:color="auto"/>
            </w:tcBorders>
            <w:shd w:val="clear" w:color="auto" w:fill="auto"/>
            <w:noWrap/>
            <w:vAlign w:val="bottom"/>
            <w:hideMark/>
          </w:tcPr>
          <w:p w14:paraId="6F04861F" w14:textId="77777777" w:rsidR="00357426" w:rsidRDefault="00357426" w:rsidP="00EB077E">
            <w:pPr>
              <w:jc w:val="center"/>
              <w:rPr>
                <w:b/>
                <w:bCs/>
                <w:color w:val="000000"/>
                <w:sz w:val="20"/>
                <w:szCs w:val="20"/>
              </w:rPr>
            </w:pPr>
            <w:r>
              <w:rPr>
                <w:b/>
                <w:bCs/>
                <w:color w:val="000000"/>
                <w:sz w:val="20"/>
                <w:szCs w:val="20"/>
              </w:rPr>
              <w:t>WEIGHTED</w:t>
            </w:r>
          </w:p>
        </w:tc>
      </w:tr>
      <w:tr w:rsidR="00357426" w14:paraId="777EA589" w14:textId="77777777" w:rsidTr="00EB077E">
        <w:trPr>
          <w:trHeight w:val="312"/>
          <w:jc w:val="center"/>
        </w:trPr>
        <w:tc>
          <w:tcPr>
            <w:tcW w:w="320" w:type="dxa"/>
            <w:tcBorders>
              <w:top w:val="nil"/>
              <w:left w:val="single" w:sz="8" w:space="0" w:color="auto"/>
              <w:bottom w:val="single" w:sz="8" w:space="0" w:color="auto"/>
              <w:right w:val="nil"/>
            </w:tcBorders>
            <w:shd w:val="clear" w:color="auto" w:fill="auto"/>
            <w:noWrap/>
            <w:vAlign w:val="bottom"/>
            <w:hideMark/>
          </w:tcPr>
          <w:p w14:paraId="0B5B4427" w14:textId="77777777" w:rsidR="00357426" w:rsidRDefault="00357426" w:rsidP="00EB077E">
            <w:pPr>
              <w:rPr>
                <w:color w:val="000000"/>
                <w:sz w:val="20"/>
                <w:szCs w:val="20"/>
              </w:rPr>
            </w:pPr>
            <w:r>
              <w:rPr>
                <w:color w:val="000000"/>
                <w:sz w:val="20"/>
                <w:szCs w:val="20"/>
              </w:rPr>
              <w:t> </w:t>
            </w:r>
          </w:p>
        </w:tc>
        <w:tc>
          <w:tcPr>
            <w:tcW w:w="3104" w:type="dxa"/>
            <w:tcBorders>
              <w:top w:val="nil"/>
              <w:left w:val="nil"/>
              <w:bottom w:val="single" w:sz="8" w:space="0" w:color="auto"/>
              <w:right w:val="nil"/>
            </w:tcBorders>
            <w:shd w:val="clear" w:color="auto" w:fill="auto"/>
            <w:noWrap/>
            <w:vAlign w:val="bottom"/>
            <w:hideMark/>
          </w:tcPr>
          <w:p w14:paraId="47523FDE" w14:textId="77777777" w:rsidR="00357426" w:rsidRDefault="00357426" w:rsidP="00EB077E">
            <w:pPr>
              <w:rPr>
                <w:b/>
                <w:bCs/>
                <w:color w:val="000000"/>
                <w:sz w:val="20"/>
                <w:szCs w:val="20"/>
              </w:rPr>
            </w:pPr>
            <w:r>
              <w:rPr>
                <w:b/>
                <w:bCs/>
                <w:color w:val="000000"/>
                <w:sz w:val="20"/>
                <w:szCs w:val="20"/>
              </w:rPr>
              <w:t>CAPITAL COMPONENT</w:t>
            </w:r>
          </w:p>
        </w:tc>
        <w:tc>
          <w:tcPr>
            <w:tcW w:w="1044" w:type="dxa"/>
            <w:tcBorders>
              <w:top w:val="nil"/>
              <w:left w:val="nil"/>
              <w:bottom w:val="single" w:sz="8" w:space="0" w:color="auto"/>
              <w:right w:val="nil"/>
            </w:tcBorders>
            <w:shd w:val="clear" w:color="auto" w:fill="auto"/>
            <w:noWrap/>
            <w:vAlign w:val="bottom"/>
            <w:hideMark/>
          </w:tcPr>
          <w:p w14:paraId="39690E3A" w14:textId="77777777" w:rsidR="00357426" w:rsidRDefault="00357426" w:rsidP="00EB077E">
            <w:pPr>
              <w:jc w:val="center"/>
              <w:rPr>
                <w:b/>
                <w:bCs/>
                <w:color w:val="000000"/>
                <w:sz w:val="20"/>
                <w:szCs w:val="20"/>
              </w:rPr>
            </w:pPr>
            <w:r>
              <w:rPr>
                <w:b/>
                <w:bCs/>
                <w:color w:val="000000"/>
                <w:sz w:val="20"/>
                <w:szCs w:val="20"/>
              </w:rPr>
              <w:t>UTILITY</w:t>
            </w:r>
          </w:p>
        </w:tc>
        <w:tc>
          <w:tcPr>
            <w:tcW w:w="1150" w:type="dxa"/>
            <w:tcBorders>
              <w:top w:val="nil"/>
              <w:left w:val="nil"/>
              <w:bottom w:val="single" w:sz="8" w:space="0" w:color="auto"/>
              <w:right w:val="nil"/>
            </w:tcBorders>
            <w:shd w:val="clear" w:color="auto" w:fill="auto"/>
            <w:noWrap/>
            <w:vAlign w:val="bottom"/>
            <w:hideMark/>
          </w:tcPr>
          <w:p w14:paraId="0E53941A" w14:textId="77777777" w:rsidR="00357426" w:rsidRDefault="00357426" w:rsidP="00EB077E">
            <w:pPr>
              <w:jc w:val="center"/>
              <w:rPr>
                <w:b/>
                <w:bCs/>
                <w:color w:val="000000"/>
                <w:sz w:val="20"/>
                <w:szCs w:val="20"/>
              </w:rPr>
            </w:pPr>
            <w:r>
              <w:rPr>
                <w:b/>
                <w:bCs/>
                <w:color w:val="000000"/>
                <w:sz w:val="20"/>
                <w:szCs w:val="20"/>
              </w:rPr>
              <w:t>MENTS</w:t>
            </w:r>
          </w:p>
        </w:tc>
        <w:tc>
          <w:tcPr>
            <w:tcW w:w="1404" w:type="dxa"/>
            <w:tcBorders>
              <w:top w:val="nil"/>
              <w:left w:val="nil"/>
              <w:bottom w:val="single" w:sz="8" w:space="0" w:color="auto"/>
              <w:right w:val="nil"/>
            </w:tcBorders>
            <w:shd w:val="clear" w:color="auto" w:fill="auto"/>
            <w:noWrap/>
            <w:vAlign w:val="bottom"/>
            <w:hideMark/>
          </w:tcPr>
          <w:p w14:paraId="3765526F" w14:textId="77777777" w:rsidR="00357426" w:rsidRDefault="00357426" w:rsidP="00EB077E">
            <w:pPr>
              <w:jc w:val="center"/>
              <w:rPr>
                <w:b/>
                <w:bCs/>
                <w:color w:val="000000"/>
                <w:sz w:val="20"/>
                <w:szCs w:val="20"/>
              </w:rPr>
            </w:pPr>
            <w:r>
              <w:rPr>
                <w:b/>
                <w:bCs/>
                <w:color w:val="000000"/>
                <w:sz w:val="20"/>
                <w:szCs w:val="20"/>
              </w:rPr>
              <w:t>COMMISSION</w:t>
            </w:r>
          </w:p>
        </w:tc>
        <w:tc>
          <w:tcPr>
            <w:tcW w:w="1605" w:type="dxa"/>
            <w:tcBorders>
              <w:top w:val="nil"/>
              <w:left w:val="nil"/>
              <w:bottom w:val="single" w:sz="8" w:space="0" w:color="auto"/>
              <w:right w:val="nil"/>
            </w:tcBorders>
            <w:shd w:val="clear" w:color="auto" w:fill="auto"/>
            <w:noWrap/>
            <w:vAlign w:val="bottom"/>
            <w:hideMark/>
          </w:tcPr>
          <w:p w14:paraId="45182D83" w14:textId="77777777" w:rsidR="00357426" w:rsidRDefault="00357426" w:rsidP="00EB077E">
            <w:pPr>
              <w:jc w:val="center"/>
              <w:rPr>
                <w:b/>
                <w:bCs/>
                <w:color w:val="000000"/>
                <w:sz w:val="20"/>
                <w:szCs w:val="20"/>
              </w:rPr>
            </w:pPr>
            <w:r>
              <w:rPr>
                <w:b/>
                <w:bCs/>
                <w:color w:val="000000"/>
                <w:sz w:val="20"/>
                <w:szCs w:val="20"/>
              </w:rPr>
              <w:t>TO RATE BASE</w:t>
            </w:r>
          </w:p>
        </w:tc>
        <w:tc>
          <w:tcPr>
            <w:tcW w:w="1524" w:type="dxa"/>
            <w:tcBorders>
              <w:top w:val="nil"/>
              <w:left w:val="nil"/>
              <w:bottom w:val="single" w:sz="8" w:space="0" w:color="auto"/>
              <w:right w:val="nil"/>
            </w:tcBorders>
            <w:shd w:val="clear" w:color="auto" w:fill="auto"/>
            <w:noWrap/>
            <w:vAlign w:val="bottom"/>
          </w:tcPr>
          <w:p w14:paraId="4B96D57A" w14:textId="77777777" w:rsidR="00357426" w:rsidRDefault="00357426" w:rsidP="00EB077E">
            <w:pPr>
              <w:jc w:val="center"/>
              <w:rPr>
                <w:b/>
                <w:bCs/>
                <w:color w:val="000000"/>
                <w:sz w:val="20"/>
                <w:szCs w:val="20"/>
              </w:rPr>
            </w:pPr>
            <w:r>
              <w:rPr>
                <w:b/>
                <w:bCs/>
                <w:color w:val="000000"/>
                <w:sz w:val="20"/>
                <w:szCs w:val="20"/>
              </w:rPr>
              <w:t>PER COMM.</w:t>
            </w:r>
          </w:p>
        </w:tc>
        <w:tc>
          <w:tcPr>
            <w:tcW w:w="1084" w:type="dxa"/>
            <w:tcBorders>
              <w:top w:val="nil"/>
              <w:left w:val="nil"/>
              <w:bottom w:val="single" w:sz="8" w:space="0" w:color="auto"/>
              <w:right w:val="nil"/>
            </w:tcBorders>
            <w:shd w:val="clear" w:color="auto" w:fill="auto"/>
            <w:noWrap/>
            <w:vAlign w:val="bottom"/>
            <w:hideMark/>
          </w:tcPr>
          <w:p w14:paraId="74888FD2" w14:textId="77777777" w:rsidR="00357426" w:rsidRDefault="00357426" w:rsidP="00EB077E">
            <w:pPr>
              <w:jc w:val="center"/>
              <w:rPr>
                <w:b/>
                <w:bCs/>
                <w:color w:val="000000"/>
                <w:sz w:val="20"/>
                <w:szCs w:val="20"/>
              </w:rPr>
            </w:pPr>
            <w:r>
              <w:rPr>
                <w:b/>
                <w:bCs/>
                <w:color w:val="000000"/>
                <w:sz w:val="20"/>
                <w:szCs w:val="20"/>
              </w:rPr>
              <w:t>TOTAL</w:t>
            </w:r>
          </w:p>
        </w:tc>
        <w:tc>
          <w:tcPr>
            <w:tcW w:w="632" w:type="dxa"/>
            <w:tcBorders>
              <w:top w:val="nil"/>
              <w:left w:val="nil"/>
              <w:bottom w:val="single" w:sz="8" w:space="0" w:color="auto"/>
              <w:right w:val="nil"/>
            </w:tcBorders>
            <w:shd w:val="clear" w:color="auto" w:fill="auto"/>
            <w:noWrap/>
            <w:vAlign w:val="bottom"/>
            <w:hideMark/>
          </w:tcPr>
          <w:p w14:paraId="360257B6" w14:textId="77777777" w:rsidR="00357426" w:rsidRDefault="00357426" w:rsidP="00EB077E">
            <w:pPr>
              <w:jc w:val="center"/>
              <w:rPr>
                <w:b/>
                <w:bCs/>
                <w:color w:val="000000"/>
                <w:sz w:val="20"/>
                <w:szCs w:val="20"/>
              </w:rPr>
            </w:pPr>
            <w:r>
              <w:rPr>
                <w:b/>
                <w:bCs/>
                <w:color w:val="000000"/>
                <w:sz w:val="20"/>
                <w:szCs w:val="20"/>
              </w:rPr>
              <w:t>COST</w:t>
            </w:r>
          </w:p>
        </w:tc>
        <w:tc>
          <w:tcPr>
            <w:tcW w:w="1280" w:type="dxa"/>
            <w:tcBorders>
              <w:top w:val="nil"/>
              <w:left w:val="nil"/>
              <w:bottom w:val="single" w:sz="8" w:space="0" w:color="auto"/>
              <w:right w:val="single" w:sz="8" w:space="0" w:color="auto"/>
            </w:tcBorders>
            <w:shd w:val="clear" w:color="auto" w:fill="auto"/>
            <w:noWrap/>
            <w:vAlign w:val="bottom"/>
            <w:hideMark/>
          </w:tcPr>
          <w:p w14:paraId="12EBB4AA" w14:textId="77777777" w:rsidR="00357426" w:rsidRDefault="00357426" w:rsidP="00EB077E">
            <w:pPr>
              <w:jc w:val="center"/>
              <w:rPr>
                <w:b/>
                <w:bCs/>
                <w:color w:val="000000"/>
                <w:sz w:val="20"/>
                <w:szCs w:val="20"/>
              </w:rPr>
            </w:pPr>
            <w:r>
              <w:rPr>
                <w:b/>
                <w:bCs/>
                <w:color w:val="000000"/>
                <w:sz w:val="20"/>
                <w:szCs w:val="20"/>
              </w:rPr>
              <w:t>COST</w:t>
            </w:r>
          </w:p>
        </w:tc>
      </w:tr>
      <w:tr w:rsidR="00357426" w14:paraId="2766AC5E" w14:textId="77777777" w:rsidTr="00EB077E">
        <w:trPr>
          <w:trHeight w:val="300"/>
          <w:jc w:val="center"/>
        </w:trPr>
        <w:tc>
          <w:tcPr>
            <w:tcW w:w="320" w:type="dxa"/>
            <w:tcBorders>
              <w:top w:val="nil"/>
              <w:left w:val="single" w:sz="8" w:space="0" w:color="auto"/>
              <w:bottom w:val="nil"/>
              <w:right w:val="nil"/>
            </w:tcBorders>
            <w:shd w:val="clear" w:color="auto" w:fill="auto"/>
            <w:noWrap/>
            <w:vAlign w:val="bottom"/>
            <w:hideMark/>
          </w:tcPr>
          <w:p w14:paraId="50A1796C" w14:textId="77777777" w:rsidR="00357426" w:rsidRDefault="00357426" w:rsidP="00EB077E">
            <w:pPr>
              <w:rPr>
                <w:color w:val="000000"/>
                <w:sz w:val="20"/>
                <w:szCs w:val="20"/>
              </w:rPr>
            </w:pPr>
            <w:r>
              <w:rPr>
                <w:color w:val="000000"/>
                <w:sz w:val="20"/>
                <w:szCs w:val="20"/>
              </w:rPr>
              <w:t> </w:t>
            </w:r>
          </w:p>
        </w:tc>
        <w:tc>
          <w:tcPr>
            <w:tcW w:w="3104" w:type="dxa"/>
            <w:tcBorders>
              <w:top w:val="nil"/>
              <w:left w:val="nil"/>
              <w:bottom w:val="nil"/>
              <w:right w:val="nil"/>
            </w:tcBorders>
            <w:shd w:val="clear" w:color="auto" w:fill="auto"/>
            <w:noWrap/>
            <w:vAlign w:val="bottom"/>
            <w:hideMark/>
          </w:tcPr>
          <w:p w14:paraId="5DBBF96D" w14:textId="77777777" w:rsidR="00357426" w:rsidRDefault="00357426" w:rsidP="00EB077E">
            <w:pPr>
              <w:rPr>
                <w:b/>
                <w:bCs/>
                <w:color w:val="000000"/>
                <w:sz w:val="20"/>
                <w:szCs w:val="20"/>
              </w:rPr>
            </w:pPr>
          </w:p>
        </w:tc>
        <w:tc>
          <w:tcPr>
            <w:tcW w:w="1044" w:type="dxa"/>
            <w:tcBorders>
              <w:top w:val="nil"/>
              <w:left w:val="nil"/>
              <w:bottom w:val="nil"/>
              <w:right w:val="nil"/>
            </w:tcBorders>
            <w:shd w:val="clear" w:color="auto" w:fill="auto"/>
            <w:noWrap/>
            <w:vAlign w:val="bottom"/>
            <w:hideMark/>
          </w:tcPr>
          <w:p w14:paraId="0F5CB898" w14:textId="77777777" w:rsidR="00357426" w:rsidRDefault="00357426" w:rsidP="00EB077E">
            <w:pPr>
              <w:jc w:val="center"/>
              <w:rPr>
                <w:b/>
                <w:bCs/>
                <w:color w:val="000000"/>
                <w:sz w:val="20"/>
                <w:szCs w:val="20"/>
              </w:rPr>
            </w:pPr>
          </w:p>
        </w:tc>
        <w:tc>
          <w:tcPr>
            <w:tcW w:w="1150" w:type="dxa"/>
            <w:tcBorders>
              <w:top w:val="nil"/>
              <w:left w:val="nil"/>
              <w:bottom w:val="nil"/>
              <w:right w:val="nil"/>
            </w:tcBorders>
            <w:shd w:val="clear" w:color="auto" w:fill="auto"/>
            <w:noWrap/>
            <w:vAlign w:val="bottom"/>
            <w:hideMark/>
          </w:tcPr>
          <w:p w14:paraId="73226B91" w14:textId="77777777" w:rsidR="00357426" w:rsidRDefault="00357426" w:rsidP="00EB077E">
            <w:pPr>
              <w:jc w:val="center"/>
              <w:rPr>
                <w:b/>
                <w:bCs/>
                <w:color w:val="000000"/>
                <w:sz w:val="20"/>
                <w:szCs w:val="20"/>
              </w:rPr>
            </w:pPr>
          </w:p>
        </w:tc>
        <w:tc>
          <w:tcPr>
            <w:tcW w:w="1404" w:type="dxa"/>
            <w:tcBorders>
              <w:top w:val="nil"/>
              <w:left w:val="nil"/>
              <w:bottom w:val="nil"/>
              <w:right w:val="nil"/>
            </w:tcBorders>
            <w:shd w:val="clear" w:color="auto" w:fill="auto"/>
            <w:noWrap/>
            <w:vAlign w:val="bottom"/>
            <w:hideMark/>
          </w:tcPr>
          <w:p w14:paraId="0A859D67" w14:textId="77777777" w:rsidR="00357426" w:rsidRDefault="00357426" w:rsidP="00EB077E">
            <w:pPr>
              <w:jc w:val="center"/>
              <w:rPr>
                <w:b/>
                <w:bCs/>
                <w:color w:val="000000"/>
                <w:sz w:val="20"/>
                <w:szCs w:val="20"/>
              </w:rPr>
            </w:pPr>
          </w:p>
        </w:tc>
        <w:tc>
          <w:tcPr>
            <w:tcW w:w="1605" w:type="dxa"/>
            <w:tcBorders>
              <w:top w:val="nil"/>
              <w:left w:val="nil"/>
              <w:bottom w:val="nil"/>
              <w:right w:val="nil"/>
            </w:tcBorders>
            <w:shd w:val="clear" w:color="auto" w:fill="auto"/>
            <w:noWrap/>
            <w:vAlign w:val="bottom"/>
            <w:hideMark/>
          </w:tcPr>
          <w:p w14:paraId="42F4387B" w14:textId="77777777" w:rsidR="00357426" w:rsidRDefault="00357426" w:rsidP="00EB077E">
            <w:pPr>
              <w:jc w:val="center"/>
              <w:rPr>
                <w:b/>
                <w:bCs/>
                <w:color w:val="000000"/>
                <w:sz w:val="20"/>
                <w:szCs w:val="20"/>
              </w:rPr>
            </w:pPr>
          </w:p>
        </w:tc>
        <w:tc>
          <w:tcPr>
            <w:tcW w:w="1524" w:type="dxa"/>
            <w:tcBorders>
              <w:top w:val="nil"/>
              <w:left w:val="nil"/>
              <w:bottom w:val="nil"/>
              <w:right w:val="nil"/>
            </w:tcBorders>
            <w:shd w:val="clear" w:color="auto" w:fill="auto"/>
            <w:noWrap/>
            <w:vAlign w:val="bottom"/>
            <w:hideMark/>
          </w:tcPr>
          <w:p w14:paraId="2E27AC23" w14:textId="77777777" w:rsidR="00357426" w:rsidRDefault="00357426" w:rsidP="00EB077E">
            <w:pPr>
              <w:jc w:val="center"/>
              <w:rPr>
                <w:b/>
                <w:bCs/>
                <w:color w:val="000000"/>
                <w:sz w:val="20"/>
                <w:szCs w:val="20"/>
              </w:rPr>
            </w:pPr>
          </w:p>
        </w:tc>
        <w:tc>
          <w:tcPr>
            <w:tcW w:w="1084" w:type="dxa"/>
            <w:tcBorders>
              <w:top w:val="nil"/>
              <w:left w:val="nil"/>
              <w:bottom w:val="nil"/>
              <w:right w:val="nil"/>
            </w:tcBorders>
            <w:shd w:val="clear" w:color="auto" w:fill="auto"/>
            <w:noWrap/>
            <w:vAlign w:val="bottom"/>
            <w:hideMark/>
          </w:tcPr>
          <w:p w14:paraId="4303924E" w14:textId="77777777" w:rsidR="00357426" w:rsidRDefault="00357426" w:rsidP="00EB077E">
            <w:pPr>
              <w:jc w:val="center"/>
              <w:rPr>
                <w:b/>
                <w:bCs/>
                <w:color w:val="000000"/>
                <w:sz w:val="20"/>
                <w:szCs w:val="20"/>
              </w:rPr>
            </w:pPr>
          </w:p>
        </w:tc>
        <w:tc>
          <w:tcPr>
            <w:tcW w:w="632" w:type="dxa"/>
            <w:tcBorders>
              <w:top w:val="nil"/>
              <w:left w:val="nil"/>
              <w:bottom w:val="nil"/>
              <w:right w:val="nil"/>
            </w:tcBorders>
            <w:shd w:val="clear" w:color="auto" w:fill="auto"/>
            <w:noWrap/>
            <w:vAlign w:val="bottom"/>
            <w:hideMark/>
          </w:tcPr>
          <w:p w14:paraId="7B10A122" w14:textId="77777777" w:rsidR="00357426" w:rsidRDefault="00357426" w:rsidP="00EB077E">
            <w:pPr>
              <w:jc w:val="center"/>
              <w:rPr>
                <w:b/>
                <w:bCs/>
                <w:color w:val="000000"/>
                <w:sz w:val="20"/>
                <w:szCs w:val="20"/>
              </w:rPr>
            </w:pPr>
          </w:p>
        </w:tc>
        <w:tc>
          <w:tcPr>
            <w:tcW w:w="1280" w:type="dxa"/>
            <w:tcBorders>
              <w:top w:val="nil"/>
              <w:left w:val="nil"/>
              <w:bottom w:val="nil"/>
              <w:right w:val="single" w:sz="8" w:space="0" w:color="auto"/>
            </w:tcBorders>
            <w:shd w:val="clear" w:color="auto" w:fill="auto"/>
            <w:noWrap/>
            <w:vAlign w:val="bottom"/>
            <w:hideMark/>
          </w:tcPr>
          <w:p w14:paraId="48029DA5" w14:textId="77777777" w:rsidR="00357426" w:rsidRDefault="00357426" w:rsidP="00EB077E">
            <w:pPr>
              <w:jc w:val="center"/>
              <w:rPr>
                <w:b/>
                <w:bCs/>
                <w:color w:val="000000"/>
                <w:sz w:val="20"/>
                <w:szCs w:val="20"/>
              </w:rPr>
            </w:pPr>
            <w:r>
              <w:rPr>
                <w:b/>
                <w:bCs/>
                <w:color w:val="000000"/>
                <w:sz w:val="20"/>
                <w:szCs w:val="20"/>
              </w:rPr>
              <w:t> </w:t>
            </w:r>
          </w:p>
        </w:tc>
      </w:tr>
      <w:tr w:rsidR="00357426" w14:paraId="5C7D89A4" w14:textId="77777777" w:rsidTr="00EB077E">
        <w:trPr>
          <w:trHeight w:val="300"/>
          <w:jc w:val="center"/>
        </w:trPr>
        <w:tc>
          <w:tcPr>
            <w:tcW w:w="320" w:type="dxa"/>
            <w:tcBorders>
              <w:top w:val="nil"/>
              <w:left w:val="single" w:sz="8" w:space="0" w:color="auto"/>
              <w:bottom w:val="nil"/>
              <w:right w:val="nil"/>
            </w:tcBorders>
            <w:shd w:val="clear" w:color="auto" w:fill="auto"/>
            <w:noWrap/>
            <w:vAlign w:val="bottom"/>
            <w:hideMark/>
          </w:tcPr>
          <w:p w14:paraId="28EF5B6E" w14:textId="77777777" w:rsidR="00357426" w:rsidRDefault="00357426" w:rsidP="00EB077E">
            <w:pPr>
              <w:jc w:val="right"/>
              <w:rPr>
                <w:color w:val="000000"/>
                <w:sz w:val="20"/>
                <w:szCs w:val="20"/>
              </w:rPr>
            </w:pPr>
            <w:r>
              <w:rPr>
                <w:color w:val="000000"/>
                <w:sz w:val="20"/>
                <w:szCs w:val="20"/>
              </w:rPr>
              <w:t>1.</w:t>
            </w:r>
          </w:p>
        </w:tc>
        <w:tc>
          <w:tcPr>
            <w:tcW w:w="3104" w:type="dxa"/>
            <w:tcBorders>
              <w:top w:val="nil"/>
              <w:left w:val="nil"/>
              <w:bottom w:val="nil"/>
              <w:right w:val="nil"/>
            </w:tcBorders>
            <w:shd w:val="clear" w:color="auto" w:fill="auto"/>
            <w:noWrap/>
            <w:vAlign w:val="bottom"/>
            <w:hideMark/>
          </w:tcPr>
          <w:p w14:paraId="0193572B" w14:textId="77777777" w:rsidR="00357426" w:rsidRDefault="00357426" w:rsidP="00EB077E">
            <w:pPr>
              <w:rPr>
                <w:color w:val="000000"/>
                <w:sz w:val="20"/>
                <w:szCs w:val="20"/>
              </w:rPr>
            </w:pPr>
            <w:r>
              <w:rPr>
                <w:color w:val="000000"/>
                <w:sz w:val="20"/>
                <w:szCs w:val="20"/>
              </w:rPr>
              <w:t>COMMON STOCK</w:t>
            </w:r>
          </w:p>
        </w:tc>
        <w:tc>
          <w:tcPr>
            <w:tcW w:w="1044" w:type="dxa"/>
            <w:tcBorders>
              <w:top w:val="nil"/>
              <w:left w:val="nil"/>
              <w:bottom w:val="nil"/>
              <w:right w:val="nil"/>
            </w:tcBorders>
            <w:shd w:val="clear" w:color="auto" w:fill="auto"/>
            <w:noWrap/>
            <w:vAlign w:val="bottom"/>
            <w:hideMark/>
          </w:tcPr>
          <w:p w14:paraId="0C83B5AF" w14:textId="77777777" w:rsidR="00357426" w:rsidRDefault="00357426" w:rsidP="00EB077E">
            <w:pPr>
              <w:jc w:val="right"/>
              <w:rPr>
                <w:sz w:val="20"/>
                <w:szCs w:val="20"/>
              </w:rPr>
            </w:pPr>
            <w:r>
              <w:rPr>
                <w:sz w:val="20"/>
                <w:szCs w:val="20"/>
              </w:rPr>
              <w:t xml:space="preserve">$0 </w:t>
            </w:r>
          </w:p>
        </w:tc>
        <w:tc>
          <w:tcPr>
            <w:tcW w:w="1150" w:type="dxa"/>
            <w:tcBorders>
              <w:top w:val="nil"/>
              <w:left w:val="nil"/>
              <w:bottom w:val="nil"/>
              <w:right w:val="nil"/>
            </w:tcBorders>
            <w:shd w:val="clear" w:color="auto" w:fill="auto"/>
            <w:noWrap/>
            <w:vAlign w:val="bottom"/>
            <w:hideMark/>
          </w:tcPr>
          <w:p w14:paraId="33DDC2BB" w14:textId="77777777" w:rsidR="00357426" w:rsidRDefault="00357426" w:rsidP="00EB077E">
            <w:pPr>
              <w:jc w:val="right"/>
              <w:rPr>
                <w:sz w:val="20"/>
                <w:szCs w:val="20"/>
              </w:rPr>
            </w:pPr>
            <w:r>
              <w:rPr>
                <w:sz w:val="20"/>
                <w:szCs w:val="20"/>
              </w:rPr>
              <w:t xml:space="preserve">$0 </w:t>
            </w:r>
          </w:p>
        </w:tc>
        <w:tc>
          <w:tcPr>
            <w:tcW w:w="1404" w:type="dxa"/>
            <w:tcBorders>
              <w:top w:val="nil"/>
              <w:left w:val="nil"/>
              <w:bottom w:val="nil"/>
              <w:right w:val="nil"/>
            </w:tcBorders>
            <w:shd w:val="clear" w:color="auto" w:fill="auto"/>
            <w:noWrap/>
            <w:vAlign w:val="bottom"/>
            <w:hideMark/>
          </w:tcPr>
          <w:p w14:paraId="5D846233" w14:textId="77777777" w:rsidR="00357426" w:rsidRDefault="00357426" w:rsidP="00EB077E">
            <w:pPr>
              <w:jc w:val="right"/>
              <w:rPr>
                <w:sz w:val="20"/>
                <w:szCs w:val="20"/>
              </w:rPr>
            </w:pPr>
            <w:r>
              <w:rPr>
                <w:sz w:val="20"/>
                <w:szCs w:val="20"/>
              </w:rPr>
              <w:t xml:space="preserve">$0 </w:t>
            </w:r>
          </w:p>
        </w:tc>
        <w:tc>
          <w:tcPr>
            <w:tcW w:w="1605" w:type="dxa"/>
            <w:tcBorders>
              <w:top w:val="nil"/>
              <w:left w:val="nil"/>
              <w:bottom w:val="nil"/>
              <w:right w:val="nil"/>
            </w:tcBorders>
            <w:shd w:val="clear" w:color="auto" w:fill="auto"/>
            <w:noWrap/>
            <w:vAlign w:val="bottom"/>
            <w:hideMark/>
          </w:tcPr>
          <w:p w14:paraId="3AB8340E" w14:textId="77777777" w:rsidR="00357426" w:rsidRDefault="00357426" w:rsidP="00EB077E">
            <w:pPr>
              <w:rPr>
                <w:sz w:val="20"/>
                <w:szCs w:val="20"/>
              </w:rPr>
            </w:pPr>
          </w:p>
        </w:tc>
        <w:tc>
          <w:tcPr>
            <w:tcW w:w="1524" w:type="dxa"/>
            <w:tcBorders>
              <w:top w:val="nil"/>
              <w:left w:val="nil"/>
              <w:bottom w:val="nil"/>
              <w:right w:val="nil"/>
            </w:tcBorders>
            <w:shd w:val="clear" w:color="auto" w:fill="auto"/>
            <w:noWrap/>
            <w:vAlign w:val="bottom"/>
            <w:hideMark/>
          </w:tcPr>
          <w:p w14:paraId="47B1C012" w14:textId="77777777" w:rsidR="00357426" w:rsidRDefault="00357426" w:rsidP="00EB077E">
            <w:pPr>
              <w:rPr>
                <w:sz w:val="20"/>
                <w:szCs w:val="20"/>
              </w:rPr>
            </w:pPr>
          </w:p>
        </w:tc>
        <w:tc>
          <w:tcPr>
            <w:tcW w:w="1084" w:type="dxa"/>
            <w:tcBorders>
              <w:top w:val="nil"/>
              <w:left w:val="nil"/>
              <w:bottom w:val="nil"/>
              <w:right w:val="nil"/>
            </w:tcBorders>
            <w:shd w:val="clear" w:color="auto" w:fill="auto"/>
            <w:noWrap/>
            <w:vAlign w:val="bottom"/>
            <w:hideMark/>
          </w:tcPr>
          <w:p w14:paraId="09225B38" w14:textId="77777777" w:rsidR="00357426" w:rsidRDefault="00357426" w:rsidP="00EB077E">
            <w:pPr>
              <w:rPr>
                <w:sz w:val="20"/>
                <w:szCs w:val="20"/>
              </w:rPr>
            </w:pPr>
          </w:p>
        </w:tc>
        <w:tc>
          <w:tcPr>
            <w:tcW w:w="632" w:type="dxa"/>
            <w:tcBorders>
              <w:top w:val="nil"/>
              <w:left w:val="nil"/>
              <w:bottom w:val="nil"/>
              <w:right w:val="nil"/>
            </w:tcBorders>
            <w:shd w:val="clear" w:color="auto" w:fill="auto"/>
            <w:noWrap/>
            <w:vAlign w:val="bottom"/>
            <w:hideMark/>
          </w:tcPr>
          <w:p w14:paraId="06121D4F" w14:textId="77777777" w:rsidR="00357426" w:rsidRDefault="00357426" w:rsidP="00EB077E">
            <w:pPr>
              <w:rPr>
                <w:sz w:val="20"/>
                <w:szCs w:val="20"/>
              </w:rPr>
            </w:pPr>
          </w:p>
        </w:tc>
        <w:tc>
          <w:tcPr>
            <w:tcW w:w="1280" w:type="dxa"/>
            <w:tcBorders>
              <w:top w:val="nil"/>
              <w:left w:val="nil"/>
              <w:bottom w:val="nil"/>
              <w:right w:val="single" w:sz="8" w:space="0" w:color="auto"/>
            </w:tcBorders>
            <w:shd w:val="clear" w:color="auto" w:fill="auto"/>
            <w:noWrap/>
            <w:vAlign w:val="bottom"/>
            <w:hideMark/>
          </w:tcPr>
          <w:p w14:paraId="7FFB0862" w14:textId="77777777" w:rsidR="00357426" w:rsidRDefault="00357426" w:rsidP="00EB077E">
            <w:pPr>
              <w:rPr>
                <w:sz w:val="20"/>
                <w:szCs w:val="20"/>
              </w:rPr>
            </w:pPr>
            <w:r>
              <w:rPr>
                <w:sz w:val="20"/>
                <w:szCs w:val="20"/>
              </w:rPr>
              <w:t> </w:t>
            </w:r>
          </w:p>
        </w:tc>
      </w:tr>
      <w:tr w:rsidR="00357426" w14:paraId="05767A7D" w14:textId="77777777" w:rsidTr="00EB077E">
        <w:trPr>
          <w:trHeight w:val="300"/>
          <w:jc w:val="center"/>
        </w:trPr>
        <w:tc>
          <w:tcPr>
            <w:tcW w:w="320" w:type="dxa"/>
            <w:tcBorders>
              <w:top w:val="nil"/>
              <w:left w:val="single" w:sz="8" w:space="0" w:color="auto"/>
              <w:bottom w:val="nil"/>
              <w:right w:val="nil"/>
            </w:tcBorders>
            <w:shd w:val="clear" w:color="auto" w:fill="auto"/>
            <w:noWrap/>
            <w:vAlign w:val="bottom"/>
            <w:hideMark/>
          </w:tcPr>
          <w:p w14:paraId="57164419" w14:textId="77777777" w:rsidR="00357426" w:rsidRDefault="00357426" w:rsidP="00EB077E">
            <w:pPr>
              <w:jc w:val="right"/>
              <w:rPr>
                <w:color w:val="000000"/>
                <w:sz w:val="20"/>
                <w:szCs w:val="20"/>
              </w:rPr>
            </w:pPr>
            <w:r>
              <w:rPr>
                <w:color w:val="000000"/>
                <w:sz w:val="20"/>
                <w:szCs w:val="20"/>
              </w:rPr>
              <w:t>2.</w:t>
            </w:r>
          </w:p>
        </w:tc>
        <w:tc>
          <w:tcPr>
            <w:tcW w:w="3104" w:type="dxa"/>
            <w:tcBorders>
              <w:top w:val="nil"/>
              <w:left w:val="nil"/>
              <w:bottom w:val="nil"/>
              <w:right w:val="nil"/>
            </w:tcBorders>
            <w:shd w:val="clear" w:color="auto" w:fill="auto"/>
            <w:noWrap/>
            <w:vAlign w:val="bottom"/>
            <w:hideMark/>
          </w:tcPr>
          <w:p w14:paraId="0C3F6607" w14:textId="77777777" w:rsidR="00357426" w:rsidRDefault="00357426" w:rsidP="00EB077E">
            <w:pPr>
              <w:rPr>
                <w:color w:val="000000"/>
                <w:sz w:val="20"/>
                <w:szCs w:val="20"/>
              </w:rPr>
            </w:pPr>
            <w:r>
              <w:rPr>
                <w:color w:val="000000"/>
                <w:sz w:val="20"/>
                <w:szCs w:val="20"/>
              </w:rPr>
              <w:t>RETAINED EARNINGS</w:t>
            </w:r>
          </w:p>
        </w:tc>
        <w:tc>
          <w:tcPr>
            <w:tcW w:w="1044" w:type="dxa"/>
            <w:tcBorders>
              <w:top w:val="nil"/>
              <w:left w:val="nil"/>
              <w:bottom w:val="nil"/>
              <w:right w:val="nil"/>
            </w:tcBorders>
            <w:shd w:val="clear" w:color="auto" w:fill="auto"/>
            <w:noWrap/>
            <w:vAlign w:val="bottom"/>
            <w:hideMark/>
          </w:tcPr>
          <w:p w14:paraId="7739C014" w14:textId="77777777" w:rsidR="00357426" w:rsidRDefault="00357426" w:rsidP="00EB077E">
            <w:pPr>
              <w:jc w:val="right"/>
              <w:rPr>
                <w:sz w:val="20"/>
                <w:szCs w:val="20"/>
              </w:rPr>
            </w:pPr>
            <w:r>
              <w:rPr>
                <w:sz w:val="20"/>
                <w:szCs w:val="20"/>
              </w:rPr>
              <w:t xml:space="preserve">0 </w:t>
            </w:r>
          </w:p>
        </w:tc>
        <w:tc>
          <w:tcPr>
            <w:tcW w:w="1150" w:type="dxa"/>
            <w:tcBorders>
              <w:top w:val="nil"/>
              <w:left w:val="nil"/>
              <w:bottom w:val="nil"/>
              <w:right w:val="nil"/>
            </w:tcBorders>
            <w:shd w:val="clear" w:color="auto" w:fill="auto"/>
            <w:noWrap/>
            <w:vAlign w:val="bottom"/>
            <w:hideMark/>
          </w:tcPr>
          <w:p w14:paraId="7D8ABF8A" w14:textId="77777777" w:rsidR="00357426" w:rsidRDefault="00357426" w:rsidP="00EB077E">
            <w:pPr>
              <w:jc w:val="right"/>
              <w:rPr>
                <w:sz w:val="20"/>
                <w:szCs w:val="20"/>
              </w:rPr>
            </w:pPr>
            <w:r>
              <w:rPr>
                <w:sz w:val="20"/>
                <w:szCs w:val="20"/>
              </w:rPr>
              <w:t xml:space="preserve">0 </w:t>
            </w:r>
          </w:p>
        </w:tc>
        <w:tc>
          <w:tcPr>
            <w:tcW w:w="1404" w:type="dxa"/>
            <w:tcBorders>
              <w:top w:val="nil"/>
              <w:left w:val="nil"/>
              <w:bottom w:val="nil"/>
              <w:right w:val="nil"/>
            </w:tcBorders>
            <w:shd w:val="clear" w:color="auto" w:fill="auto"/>
            <w:noWrap/>
            <w:vAlign w:val="bottom"/>
            <w:hideMark/>
          </w:tcPr>
          <w:p w14:paraId="4EE31023" w14:textId="77777777" w:rsidR="00357426" w:rsidRDefault="00357426" w:rsidP="00EB077E">
            <w:pPr>
              <w:jc w:val="right"/>
              <w:rPr>
                <w:sz w:val="20"/>
                <w:szCs w:val="20"/>
              </w:rPr>
            </w:pPr>
            <w:r>
              <w:rPr>
                <w:sz w:val="20"/>
                <w:szCs w:val="20"/>
              </w:rPr>
              <w:t xml:space="preserve">0 </w:t>
            </w:r>
          </w:p>
        </w:tc>
        <w:tc>
          <w:tcPr>
            <w:tcW w:w="1605" w:type="dxa"/>
            <w:tcBorders>
              <w:top w:val="nil"/>
              <w:left w:val="nil"/>
              <w:bottom w:val="nil"/>
              <w:right w:val="nil"/>
            </w:tcBorders>
            <w:shd w:val="clear" w:color="auto" w:fill="auto"/>
            <w:noWrap/>
            <w:vAlign w:val="bottom"/>
            <w:hideMark/>
          </w:tcPr>
          <w:p w14:paraId="77EEE40E" w14:textId="77777777" w:rsidR="00357426" w:rsidRDefault="00357426" w:rsidP="00EB077E">
            <w:pPr>
              <w:rPr>
                <w:sz w:val="20"/>
                <w:szCs w:val="20"/>
              </w:rPr>
            </w:pPr>
          </w:p>
        </w:tc>
        <w:tc>
          <w:tcPr>
            <w:tcW w:w="1524" w:type="dxa"/>
            <w:tcBorders>
              <w:top w:val="nil"/>
              <w:left w:val="nil"/>
              <w:bottom w:val="nil"/>
              <w:right w:val="nil"/>
            </w:tcBorders>
            <w:shd w:val="clear" w:color="auto" w:fill="auto"/>
            <w:noWrap/>
            <w:vAlign w:val="bottom"/>
            <w:hideMark/>
          </w:tcPr>
          <w:p w14:paraId="22AFE905" w14:textId="77777777" w:rsidR="00357426" w:rsidRDefault="00357426" w:rsidP="00EB077E">
            <w:pPr>
              <w:rPr>
                <w:sz w:val="20"/>
                <w:szCs w:val="20"/>
              </w:rPr>
            </w:pPr>
          </w:p>
        </w:tc>
        <w:tc>
          <w:tcPr>
            <w:tcW w:w="1084" w:type="dxa"/>
            <w:tcBorders>
              <w:top w:val="nil"/>
              <w:left w:val="nil"/>
              <w:bottom w:val="nil"/>
              <w:right w:val="nil"/>
            </w:tcBorders>
            <w:shd w:val="clear" w:color="auto" w:fill="auto"/>
            <w:noWrap/>
            <w:vAlign w:val="bottom"/>
            <w:hideMark/>
          </w:tcPr>
          <w:p w14:paraId="518B2913" w14:textId="77777777" w:rsidR="00357426" w:rsidRDefault="00357426" w:rsidP="00EB077E">
            <w:pPr>
              <w:rPr>
                <w:sz w:val="20"/>
                <w:szCs w:val="20"/>
              </w:rPr>
            </w:pPr>
          </w:p>
        </w:tc>
        <w:tc>
          <w:tcPr>
            <w:tcW w:w="632" w:type="dxa"/>
            <w:tcBorders>
              <w:top w:val="nil"/>
              <w:left w:val="nil"/>
              <w:bottom w:val="nil"/>
              <w:right w:val="nil"/>
            </w:tcBorders>
            <w:shd w:val="clear" w:color="auto" w:fill="auto"/>
            <w:noWrap/>
            <w:vAlign w:val="bottom"/>
            <w:hideMark/>
          </w:tcPr>
          <w:p w14:paraId="62B3A9F2" w14:textId="77777777" w:rsidR="00357426" w:rsidRDefault="00357426" w:rsidP="00EB077E">
            <w:pPr>
              <w:rPr>
                <w:sz w:val="20"/>
                <w:szCs w:val="20"/>
              </w:rPr>
            </w:pPr>
          </w:p>
        </w:tc>
        <w:tc>
          <w:tcPr>
            <w:tcW w:w="1280" w:type="dxa"/>
            <w:tcBorders>
              <w:top w:val="nil"/>
              <w:left w:val="nil"/>
              <w:bottom w:val="nil"/>
              <w:right w:val="single" w:sz="8" w:space="0" w:color="auto"/>
            </w:tcBorders>
            <w:shd w:val="clear" w:color="auto" w:fill="auto"/>
            <w:noWrap/>
            <w:vAlign w:val="bottom"/>
            <w:hideMark/>
          </w:tcPr>
          <w:p w14:paraId="218BA645" w14:textId="77777777" w:rsidR="00357426" w:rsidRDefault="00357426" w:rsidP="00EB077E">
            <w:pPr>
              <w:rPr>
                <w:sz w:val="20"/>
                <w:szCs w:val="20"/>
              </w:rPr>
            </w:pPr>
            <w:r>
              <w:rPr>
                <w:sz w:val="20"/>
                <w:szCs w:val="20"/>
              </w:rPr>
              <w:t> </w:t>
            </w:r>
          </w:p>
        </w:tc>
      </w:tr>
      <w:tr w:rsidR="00357426" w14:paraId="03EB23D9" w14:textId="77777777" w:rsidTr="00EB077E">
        <w:trPr>
          <w:trHeight w:val="300"/>
          <w:jc w:val="center"/>
        </w:trPr>
        <w:tc>
          <w:tcPr>
            <w:tcW w:w="320" w:type="dxa"/>
            <w:tcBorders>
              <w:top w:val="nil"/>
              <w:left w:val="single" w:sz="8" w:space="0" w:color="auto"/>
              <w:bottom w:val="nil"/>
              <w:right w:val="nil"/>
            </w:tcBorders>
            <w:shd w:val="clear" w:color="auto" w:fill="auto"/>
            <w:noWrap/>
            <w:vAlign w:val="bottom"/>
            <w:hideMark/>
          </w:tcPr>
          <w:p w14:paraId="2D45C396" w14:textId="77777777" w:rsidR="00357426" w:rsidRDefault="00357426" w:rsidP="00EB077E">
            <w:pPr>
              <w:jc w:val="right"/>
              <w:rPr>
                <w:color w:val="000000"/>
                <w:sz w:val="20"/>
                <w:szCs w:val="20"/>
              </w:rPr>
            </w:pPr>
            <w:r>
              <w:rPr>
                <w:color w:val="000000"/>
                <w:sz w:val="20"/>
                <w:szCs w:val="20"/>
              </w:rPr>
              <w:t>3.</w:t>
            </w:r>
          </w:p>
        </w:tc>
        <w:tc>
          <w:tcPr>
            <w:tcW w:w="3104" w:type="dxa"/>
            <w:tcBorders>
              <w:top w:val="nil"/>
              <w:left w:val="nil"/>
              <w:bottom w:val="nil"/>
              <w:right w:val="nil"/>
            </w:tcBorders>
            <w:shd w:val="clear" w:color="auto" w:fill="auto"/>
            <w:noWrap/>
            <w:vAlign w:val="bottom"/>
            <w:hideMark/>
          </w:tcPr>
          <w:p w14:paraId="686D117B" w14:textId="77777777" w:rsidR="00357426" w:rsidRDefault="00357426" w:rsidP="00EB077E">
            <w:pPr>
              <w:rPr>
                <w:color w:val="000000"/>
                <w:sz w:val="20"/>
                <w:szCs w:val="20"/>
              </w:rPr>
            </w:pPr>
            <w:r>
              <w:rPr>
                <w:color w:val="000000"/>
                <w:sz w:val="20"/>
                <w:szCs w:val="20"/>
              </w:rPr>
              <w:t>OTHER PAID IN CAPITAL</w:t>
            </w:r>
          </w:p>
        </w:tc>
        <w:tc>
          <w:tcPr>
            <w:tcW w:w="1044" w:type="dxa"/>
            <w:tcBorders>
              <w:top w:val="nil"/>
              <w:left w:val="nil"/>
              <w:bottom w:val="nil"/>
              <w:right w:val="nil"/>
            </w:tcBorders>
            <w:shd w:val="clear" w:color="auto" w:fill="auto"/>
            <w:noWrap/>
            <w:vAlign w:val="bottom"/>
            <w:hideMark/>
          </w:tcPr>
          <w:p w14:paraId="3B447A2B" w14:textId="77777777" w:rsidR="00357426" w:rsidRDefault="00357426" w:rsidP="00EB077E">
            <w:pPr>
              <w:jc w:val="right"/>
              <w:rPr>
                <w:sz w:val="20"/>
                <w:szCs w:val="20"/>
              </w:rPr>
            </w:pPr>
            <w:r>
              <w:rPr>
                <w:sz w:val="20"/>
                <w:szCs w:val="20"/>
              </w:rPr>
              <w:t xml:space="preserve">150,000 </w:t>
            </w:r>
          </w:p>
        </w:tc>
        <w:tc>
          <w:tcPr>
            <w:tcW w:w="1150" w:type="dxa"/>
            <w:tcBorders>
              <w:top w:val="nil"/>
              <w:left w:val="nil"/>
              <w:bottom w:val="nil"/>
              <w:right w:val="nil"/>
            </w:tcBorders>
            <w:shd w:val="clear" w:color="auto" w:fill="auto"/>
            <w:noWrap/>
            <w:vAlign w:val="bottom"/>
            <w:hideMark/>
          </w:tcPr>
          <w:p w14:paraId="4D0F9F55" w14:textId="77777777" w:rsidR="00357426" w:rsidRDefault="00357426" w:rsidP="00EB077E">
            <w:pPr>
              <w:jc w:val="right"/>
              <w:rPr>
                <w:sz w:val="20"/>
                <w:szCs w:val="20"/>
              </w:rPr>
            </w:pPr>
            <w:r>
              <w:rPr>
                <w:sz w:val="20"/>
                <w:szCs w:val="20"/>
              </w:rPr>
              <w:t xml:space="preserve">0 </w:t>
            </w:r>
          </w:p>
        </w:tc>
        <w:tc>
          <w:tcPr>
            <w:tcW w:w="1404" w:type="dxa"/>
            <w:tcBorders>
              <w:top w:val="nil"/>
              <w:left w:val="nil"/>
              <w:bottom w:val="nil"/>
              <w:right w:val="nil"/>
            </w:tcBorders>
            <w:shd w:val="clear" w:color="auto" w:fill="auto"/>
            <w:noWrap/>
            <w:vAlign w:val="bottom"/>
            <w:hideMark/>
          </w:tcPr>
          <w:p w14:paraId="6B60664E" w14:textId="77777777" w:rsidR="00357426" w:rsidRDefault="00357426" w:rsidP="00EB077E">
            <w:pPr>
              <w:jc w:val="right"/>
              <w:rPr>
                <w:sz w:val="20"/>
                <w:szCs w:val="20"/>
              </w:rPr>
            </w:pPr>
            <w:r>
              <w:rPr>
                <w:sz w:val="20"/>
                <w:szCs w:val="20"/>
              </w:rPr>
              <w:t xml:space="preserve">150,000 </w:t>
            </w:r>
          </w:p>
        </w:tc>
        <w:tc>
          <w:tcPr>
            <w:tcW w:w="1605" w:type="dxa"/>
            <w:tcBorders>
              <w:top w:val="nil"/>
              <w:left w:val="nil"/>
              <w:bottom w:val="nil"/>
              <w:right w:val="nil"/>
            </w:tcBorders>
            <w:shd w:val="clear" w:color="auto" w:fill="auto"/>
            <w:noWrap/>
            <w:vAlign w:val="bottom"/>
            <w:hideMark/>
          </w:tcPr>
          <w:p w14:paraId="6C41A3C9" w14:textId="77777777" w:rsidR="00357426" w:rsidRDefault="00357426" w:rsidP="00EB077E">
            <w:pPr>
              <w:rPr>
                <w:sz w:val="20"/>
                <w:szCs w:val="20"/>
              </w:rPr>
            </w:pPr>
          </w:p>
        </w:tc>
        <w:tc>
          <w:tcPr>
            <w:tcW w:w="1524" w:type="dxa"/>
            <w:tcBorders>
              <w:top w:val="nil"/>
              <w:left w:val="nil"/>
              <w:bottom w:val="nil"/>
              <w:right w:val="nil"/>
            </w:tcBorders>
            <w:shd w:val="clear" w:color="auto" w:fill="auto"/>
            <w:noWrap/>
            <w:vAlign w:val="bottom"/>
            <w:hideMark/>
          </w:tcPr>
          <w:p w14:paraId="2D355420" w14:textId="77777777" w:rsidR="00357426" w:rsidRDefault="00357426" w:rsidP="00EB077E">
            <w:pPr>
              <w:rPr>
                <w:sz w:val="20"/>
                <w:szCs w:val="20"/>
              </w:rPr>
            </w:pPr>
          </w:p>
        </w:tc>
        <w:tc>
          <w:tcPr>
            <w:tcW w:w="1084" w:type="dxa"/>
            <w:tcBorders>
              <w:top w:val="nil"/>
              <w:left w:val="nil"/>
              <w:bottom w:val="nil"/>
              <w:right w:val="nil"/>
            </w:tcBorders>
            <w:shd w:val="clear" w:color="auto" w:fill="auto"/>
            <w:noWrap/>
            <w:vAlign w:val="bottom"/>
            <w:hideMark/>
          </w:tcPr>
          <w:p w14:paraId="71E91E12" w14:textId="77777777" w:rsidR="00357426" w:rsidRDefault="00357426" w:rsidP="00EB077E">
            <w:pPr>
              <w:rPr>
                <w:sz w:val="20"/>
                <w:szCs w:val="20"/>
              </w:rPr>
            </w:pPr>
          </w:p>
        </w:tc>
        <w:tc>
          <w:tcPr>
            <w:tcW w:w="632" w:type="dxa"/>
            <w:tcBorders>
              <w:top w:val="nil"/>
              <w:left w:val="nil"/>
              <w:bottom w:val="nil"/>
              <w:right w:val="nil"/>
            </w:tcBorders>
            <w:shd w:val="clear" w:color="auto" w:fill="auto"/>
            <w:noWrap/>
            <w:vAlign w:val="bottom"/>
            <w:hideMark/>
          </w:tcPr>
          <w:p w14:paraId="17339F90" w14:textId="77777777" w:rsidR="00357426" w:rsidRDefault="00357426" w:rsidP="00EB077E">
            <w:pPr>
              <w:rPr>
                <w:sz w:val="20"/>
                <w:szCs w:val="20"/>
              </w:rPr>
            </w:pPr>
          </w:p>
        </w:tc>
        <w:tc>
          <w:tcPr>
            <w:tcW w:w="1280" w:type="dxa"/>
            <w:tcBorders>
              <w:top w:val="nil"/>
              <w:left w:val="nil"/>
              <w:bottom w:val="nil"/>
              <w:right w:val="single" w:sz="8" w:space="0" w:color="auto"/>
            </w:tcBorders>
            <w:shd w:val="clear" w:color="auto" w:fill="auto"/>
            <w:noWrap/>
            <w:vAlign w:val="bottom"/>
            <w:hideMark/>
          </w:tcPr>
          <w:p w14:paraId="327D1714" w14:textId="77777777" w:rsidR="00357426" w:rsidRDefault="00357426" w:rsidP="00EB077E">
            <w:pPr>
              <w:rPr>
                <w:sz w:val="20"/>
                <w:szCs w:val="20"/>
              </w:rPr>
            </w:pPr>
            <w:r>
              <w:rPr>
                <w:sz w:val="20"/>
                <w:szCs w:val="20"/>
              </w:rPr>
              <w:t> </w:t>
            </w:r>
          </w:p>
        </w:tc>
      </w:tr>
      <w:tr w:rsidR="00357426" w14:paraId="72E7B137" w14:textId="77777777" w:rsidTr="00EB077E">
        <w:trPr>
          <w:trHeight w:val="300"/>
          <w:jc w:val="center"/>
        </w:trPr>
        <w:tc>
          <w:tcPr>
            <w:tcW w:w="320" w:type="dxa"/>
            <w:tcBorders>
              <w:top w:val="nil"/>
              <w:left w:val="single" w:sz="8" w:space="0" w:color="auto"/>
              <w:bottom w:val="nil"/>
              <w:right w:val="nil"/>
            </w:tcBorders>
            <w:shd w:val="clear" w:color="auto" w:fill="auto"/>
            <w:noWrap/>
            <w:vAlign w:val="bottom"/>
            <w:hideMark/>
          </w:tcPr>
          <w:p w14:paraId="6ECAFD8B" w14:textId="77777777" w:rsidR="00357426" w:rsidRDefault="00357426" w:rsidP="00EB077E">
            <w:pPr>
              <w:jc w:val="right"/>
              <w:rPr>
                <w:color w:val="000000"/>
                <w:sz w:val="20"/>
                <w:szCs w:val="20"/>
              </w:rPr>
            </w:pPr>
            <w:r>
              <w:rPr>
                <w:color w:val="000000"/>
                <w:sz w:val="20"/>
                <w:szCs w:val="20"/>
              </w:rPr>
              <w:t>4.</w:t>
            </w:r>
          </w:p>
        </w:tc>
        <w:tc>
          <w:tcPr>
            <w:tcW w:w="3104" w:type="dxa"/>
            <w:tcBorders>
              <w:top w:val="nil"/>
              <w:left w:val="nil"/>
              <w:bottom w:val="nil"/>
              <w:right w:val="nil"/>
            </w:tcBorders>
            <w:shd w:val="clear" w:color="auto" w:fill="auto"/>
            <w:noWrap/>
            <w:vAlign w:val="bottom"/>
            <w:hideMark/>
          </w:tcPr>
          <w:p w14:paraId="7C6DA2CC" w14:textId="77777777" w:rsidR="00357426" w:rsidRDefault="00357426" w:rsidP="00EB077E">
            <w:pPr>
              <w:rPr>
                <w:color w:val="000000"/>
                <w:sz w:val="20"/>
                <w:szCs w:val="20"/>
              </w:rPr>
            </w:pPr>
            <w:r>
              <w:rPr>
                <w:color w:val="000000"/>
                <w:sz w:val="20"/>
                <w:szCs w:val="20"/>
              </w:rPr>
              <w:t>OTHER COMMON EQUITY</w:t>
            </w:r>
          </w:p>
        </w:tc>
        <w:tc>
          <w:tcPr>
            <w:tcW w:w="1044" w:type="dxa"/>
            <w:tcBorders>
              <w:top w:val="nil"/>
              <w:left w:val="nil"/>
              <w:bottom w:val="nil"/>
              <w:right w:val="nil"/>
            </w:tcBorders>
            <w:shd w:val="clear" w:color="auto" w:fill="auto"/>
            <w:noWrap/>
            <w:vAlign w:val="bottom"/>
            <w:hideMark/>
          </w:tcPr>
          <w:p w14:paraId="150B5C21" w14:textId="77777777" w:rsidR="00357426" w:rsidRDefault="00357426" w:rsidP="00EB077E">
            <w:pPr>
              <w:jc w:val="right"/>
              <w:rPr>
                <w:sz w:val="20"/>
                <w:szCs w:val="20"/>
                <w:u w:val="single"/>
              </w:rPr>
            </w:pPr>
            <w:r>
              <w:rPr>
                <w:sz w:val="20"/>
                <w:szCs w:val="20"/>
                <w:u w:val="single"/>
              </w:rPr>
              <w:t xml:space="preserve">0 </w:t>
            </w:r>
          </w:p>
        </w:tc>
        <w:tc>
          <w:tcPr>
            <w:tcW w:w="1150" w:type="dxa"/>
            <w:tcBorders>
              <w:top w:val="nil"/>
              <w:left w:val="nil"/>
              <w:bottom w:val="nil"/>
              <w:right w:val="nil"/>
            </w:tcBorders>
            <w:shd w:val="clear" w:color="auto" w:fill="auto"/>
            <w:noWrap/>
            <w:vAlign w:val="bottom"/>
            <w:hideMark/>
          </w:tcPr>
          <w:p w14:paraId="6FDA26BE" w14:textId="77777777" w:rsidR="00357426" w:rsidRDefault="00357426" w:rsidP="00EB077E">
            <w:pPr>
              <w:jc w:val="right"/>
              <w:rPr>
                <w:sz w:val="20"/>
                <w:szCs w:val="20"/>
                <w:u w:val="single"/>
              </w:rPr>
            </w:pPr>
            <w:r>
              <w:rPr>
                <w:sz w:val="20"/>
                <w:szCs w:val="20"/>
                <w:u w:val="single"/>
              </w:rPr>
              <w:t xml:space="preserve">0 </w:t>
            </w:r>
          </w:p>
        </w:tc>
        <w:tc>
          <w:tcPr>
            <w:tcW w:w="1404" w:type="dxa"/>
            <w:tcBorders>
              <w:top w:val="nil"/>
              <w:left w:val="nil"/>
              <w:bottom w:val="nil"/>
              <w:right w:val="nil"/>
            </w:tcBorders>
            <w:shd w:val="clear" w:color="auto" w:fill="auto"/>
            <w:noWrap/>
            <w:vAlign w:val="bottom"/>
            <w:hideMark/>
          </w:tcPr>
          <w:p w14:paraId="1F0D2F2D" w14:textId="77777777" w:rsidR="00357426" w:rsidRDefault="00357426" w:rsidP="00EB077E">
            <w:pPr>
              <w:jc w:val="right"/>
              <w:rPr>
                <w:sz w:val="20"/>
                <w:szCs w:val="20"/>
                <w:u w:val="single"/>
              </w:rPr>
            </w:pPr>
            <w:r>
              <w:rPr>
                <w:sz w:val="20"/>
                <w:szCs w:val="20"/>
                <w:u w:val="single"/>
              </w:rPr>
              <w:t xml:space="preserve">0 </w:t>
            </w:r>
          </w:p>
        </w:tc>
        <w:tc>
          <w:tcPr>
            <w:tcW w:w="1605" w:type="dxa"/>
            <w:tcBorders>
              <w:top w:val="nil"/>
              <w:left w:val="nil"/>
              <w:bottom w:val="nil"/>
              <w:right w:val="nil"/>
            </w:tcBorders>
            <w:shd w:val="clear" w:color="auto" w:fill="auto"/>
            <w:noWrap/>
            <w:vAlign w:val="bottom"/>
            <w:hideMark/>
          </w:tcPr>
          <w:p w14:paraId="57D79768" w14:textId="77777777" w:rsidR="00357426" w:rsidRDefault="00357426" w:rsidP="00EB077E">
            <w:pPr>
              <w:rPr>
                <w:sz w:val="20"/>
                <w:szCs w:val="20"/>
                <w:u w:val="single"/>
              </w:rPr>
            </w:pPr>
          </w:p>
        </w:tc>
        <w:tc>
          <w:tcPr>
            <w:tcW w:w="1524" w:type="dxa"/>
            <w:tcBorders>
              <w:top w:val="nil"/>
              <w:left w:val="nil"/>
              <w:bottom w:val="nil"/>
              <w:right w:val="nil"/>
            </w:tcBorders>
            <w:shd w:val="clear" w:color="auto" w:fill="auto"/>
            <w:noWrap/>
            <w:vAlign w:val="bottom"/>
            <w:hideMark/>
          </w:tcPr>
          <w:p w14:paraId="04D84441" w14:textId="77777777" w:rsidR="00357426" w:rsidRDefault="00357426" w:rsidP="00EB077E">
            <w:pPr>
              <w:rPr>
                <w:sz w:val="20"/>
                <w:szCs w:val="20"/>
                <w:u w:val="single"/>
              </w:rPr>
            </w:pPr>
          </w:p>
        </w:tc>
        <w:tc>
          <w:tcPr>
            <w:tcW w:w="1084" w:type="dxa"/>
            <w:tcBorders>
              <w:top w:val="nil"/>
              <w:left w:val="nil"/>
              <w:bottom w:val="nil"/>
              <w:right w:val="nil"/>
            </w:tcBorders>
            <w:shd w:val="clear" w:color="auto" w:fill="auto"/>
            <w:noWrap/>
            <w:vAlign w:val="bottom"/>
            <w:hideMark/>
          </w:tcPr>
          <w:p w14:paraId="77BF326C" w14:textId="77777777" w:rsidR="00357426" w:rsidRDefault="00357426" w:rsidP="00EB077E">
            <w:pPr>
              <w:rPr>
                <w:sz w:val="20"/>
                <w:szCs w:val="20"/>
              </w:rPr>
            </w:pPr>
          </w:p>
        </w:tc>
        <w:tc>
          <w:tcPr>
            <w:tcW w:w="632" w:type="dxa"/>
            <w:tcBorders>
              <w:top w:val="nil"/>
              <w:left w:val="nil"/>
              <w:bottom w:val="nil"/>
              <w:right w:val="nil"/>
            </w:tcBorders>
            <w:shd w:val="clear" w:color="auto" w:fill="auto"/>
            <w:noWrap/>
            <w:vAlign w:val="bottom"/>
            <w:hideMark/>
          </w:tcPr>
          <w:p w14:paraId="7CFE5E01" w14:textId="77777777" w:rsidR="00357426" w:rsidRDefault="00357426" w:rsidP="00EB077E">
            <w:pPr>
              <w:rPr>
                <w:sz w:val="20"/>
                <w:szCs w:val="20"/>
              </w:rPr>
            </w:pPr>
          </w:p>
        </w:tc>
        <w:tc>
          <w:tcPr>
            <w:tcW w:w="1280" w:type="dxa"/>
            <w:tcBorders>
              <w:top w:val="nil"/>
              <w:left w:val="nil"/>
              <w:bottom w:val="nil"/>
              <w:right w:val="single" w:sz="8" w:space="0" w:color="auto"/>
            </w:tcBorders>
            <w:shd w:val="clear" w:color="auto" w:fill="auto"/>
            <w:noWrap/>
            <w:vAlign w:val="bottom"/>
            <w:hideMark/>
          </w:tcPr>
          <w:p w14:paraId="45694778" w14:textId="77777777" w:rsidR="00357426" w:rsidRDefault="00357426" w:rsidP="00EB077E">
            <w:pPr>
              <w:rPr>
                <w:sz w:val="20"/>
                <w:szCs w:val="20"/>
              </w:rPr>
            </w:pPr>
            <w:r>
              <w:rPr>
                <w:sz w:val="20"/>
                <w:szCs w:val="20"/>
              </w:rPr>
              <w:t> </w:t>
            </w:r>
          </w:p>
        </w:tc>
      </w:tr>
      <w:tr w:rsidR="00357426" w14:paraId="05C8BB91" w14:textId="77777777" w:rsidTr="00EB077E">
        <w:trPr>
          <w:trHeight w:val="300"/>
          <w:jc w:val="center"/>
        </w:trPr>
        <w:tc>
          <w:tcPr>
            <w:tcW w:w="320" w:type="dxa"/>
            <w:tcBorders>
              <w:top w:val="nil"/>
              <w:left w:val="single" w:sz="8" w:space="0" w:color="auto"/>
              <w:bottom w:val="nil"/>
              <w:right w:val="nil"/>
            </w:tcBorders>
            <w:shd w:val="clear" w:color="auto" w:fill="auto"/>
            <w:noWrap/>
            <w:vAlign w:val="bottom"/>
            <w:hideMark/>
          </w:tcPr>
          <w:p w14:paraId="3D867707" w14:textId="77777777" w:rsidR="00357426" w:rsidRDefault="00357426" w:rsidP="00EB077E">
            <w:pPr>
              <w:jc w:val="right"/>
              <w:rPr>
                <w:color w:val="000000"/>
                <w:sz w:val="20"/>
                <w:szCs w:val="20"/>
              </w:rPr>
            </w:pPr>
            <w:r>
              <w:rPr>
                <w:color w:val="000000"/>
                <w:sz w:val="20"/>
                <w:szCs w:val="20"/>
              </w:rPr>
              <w:t> </w:t>
            </w:r>
          </w:p>
        </w:tc>
        <w:tc>
          <w:tcPr>
            <w:tcW w:w="3104" w:type="dxa"/>
            <w:tcBorders>
              <w:top w:val="nil"/>
              <w:left w:val="nil"/>
              <w:bottom w:val="nil"/>
              <w:right w:val="nil"/>
            </w:tcBorders>
            <w:shd w:val="clear" w:color="auto" w:fill="auto"/>
            <w:noWrap/>
            <w:vAlign w:val="bottom"/>
            <w:hideMark/>
          </w:tcPr>
          <w:p w14:paraId="6A911EAF" w14:textId="77777777" w:rsidR="00357426" w:rsidRDefault="00357426" w:rsidP="00EB077E">
            <w:pPr>
              <w:rPr>
                <w:color w:val="000000"/>
                <w:sz w:val="20"/>
                <w:szCs w:val="20"/>
              </w:rPr>
            </w:pPr>
            <w:r>
              <w:rPr>
                <w:color w:val="000000"/>
                <w:sz w:val="20"/>
                <w:szCs w:val="20"/>
              </w:rPr>
              <w:t xml:space="preserve">   TOTAL COMMON EQUITY</w:t>
            </w:r>
          </w:p>
        </w:tc>
        <w:tc>
          <w:tcPr>
            <w:tcW w:w="1044" w:type="dxa"/>
            <w:tcBorders>
              <w:top w:val="nil"/>
              <w:left w:val="nil"/>
              <w:bottom w:val="nil"/>
              <w:right w:val="nil"/>
            </w:tcBorders>
            <w:shd w:val="clear" w:color="auto" w:fill="auto"/>
            <w:noWrap/>
            <w:vAlign w:val="bottom"/>
            <w:hideMark/>
          </w:tcPr>
          <w:p w14:paraId="5C5302ED" w14:textId="77777777" w:rsidR="00357426" w:rsidRDefault="00357426" w:rsidP="00EB077E">
            <w:pPr>
              <w:jc w:val="right"/>
              <w:rPr>
                <w:sz w:val="20"/>
                <w:szCs w:val="20"/>
              </w:rPr>
            </w:pPr>
            <w:r>
              <w:rPr>
                <w:sz w:val="20"/>
                <w:szCs w:val="20"/>
              </w:rPr>
              <w:t xml:space="preserve">$150,000 </w:t>
            </w:r>
          </w:p>
        </w:tc>
        <w:tc>
          <w:tcPr>
            <w:tcW w:w="1150" w:type="dxa"/>
            <w:tcBorders>
              <w:top w:val="nil"/>
              <w:left w:val="nil"/>
              <w:bottom w:val="nil"/>
              <w:right w:val="nil"/>
            </w:tcBorders>
            <w:shd w:val="clear" w:color="auto" w:fill="auto"/>
            <w:noWrap/>
            <w:vAlign w:val="bottom"/>
            <w:hideMark/>
          </w:tcPr>
          <w:p w14:paraId="77A438C1" w14:textId="77777777" w:rsidR="00357426" w:rsidRDefault="00357426" w:rsidP="00EB077E">
            <w:pPr>
              <w:jc w:val="right"/>
              <w:rPr>
                <w:sz w:val="20"/>
                <w:szCs w:val="20"/>
              </w:rPr>
            </w:pPr>
            <w:r>
              <w:rPr>
                <w:sz w:val="20"/>
                <w:szCs w:val="20"/>
              </w:rPr>
              <w:t xml:space="preserve">$0 </w:t>
            </w:r>
          </w:p>
        </w:tc>
        <w:tc>
          <w:tcPr>
            <w:tcW w:w="1404" w:type="dxa"/>
            <w:tcBorders>
              <w:top w:val="nil"/>
              <w:left w:val="nil"/>
              <w:bottom w:val="nil"/>
              <w:right w:val="nil"/>
            </w:tcBorders>
            <w:shd w:val="clear" w:color="auto" w:fill="auto"/>
            <w:noWrap/>
            <w:vAlign w:val="bottom"/>
            <w:hideMark/>
          </w:tcPr>
          <w:p w14:paraId="72222B36" w14:textId="77777777" w:rsidR="00357426" w:rsidRDefault="00357426" w:rsidP="00EB077E">
            <w:pPr>
              <w:jc w:val="right"/>
              <w:rPr>
                <w:sz w:val="20"/>
                <w:szCs w:val="20"/>
              </w:rPr>
            </w:pPr>
            <w:r>
              <w:rPr>
                <w:sz w:val="20"/>
                <w:szCs w:val="20"/>
              </w:rPr>
              <w:t xml:space="preserve">$150,000 </w:t>
            </w:r>
          </w:p>
        </w:tc>
        <w:tc>
          <w:tcPr>
            <w:tcW w:w="1605" w:type="dxa"/>
            <w:tcBorders>
              <w:top w:val="nil"/>
              <w:left w:val="nil"/>
              <w:bottom w:val="nil"/>
              <w:right w:val="nil"/>
            </w:tcBorders>
            <w:shd w:val="clear" w:color="auto" w:fill="auto"/>
            <w:noWrap/>
            <w:vAlign w:val="bottom"/>
            <w:hideMark/>
          </w:tcPr>
          <w:p w14:paraId="23E0B46D" w14:textId="77777777" w:rsidR="00357426" w:rsidRDefault="00357426" w:rsidP="00EB077E">
            <w:pPr>
              <w:jc w:val="right"/>
              <w:rPr>
                <w:sz w:val="20"/>
                <w:szCs w:val="20"/>
              </w:rPr>
            </w:pPr>
            <w:r>
              <w:rPr>
                <w:sz w:val="20"/>
                <w:szCs w:val="20"/>
              </w:rPr>
              <w:t>$30,847</w:t>
            </w:r>
          </w:p>
        </w:tc>
        <w:tc>
          <w:tcPr>
            <w:tcW w:w="1524" w:type="dxa"/>
            <w:tcBorders>
              <w:top w:val="nil"/>
              <w:left w:val="nil"/>
              <w:bottom w:val="nil"/>
              <w:right w:val="nil"/>
            </w:tcBorders>
            <w:shd w:val="clear" w:color="auto" w:fill="auto"/>
            <w:noWrap/>
            <w:vAlign w:val="bottom"/>
            <w:hideMark/>
          </w:tcPr>
          <w:p w14:paraId="7E766C2C" w14:textId="77777777" w:rsidR="00357426" w:rsidRDefault="00357426" w:rsidP="00EB077E">
            <w:pPr>
              <w:jc w:val="right"/>
              <w:rPr>
                <w:sz w:val="20"/>
                <w:szCs w:val="20"/>
              </w:rPr>
            </w:pPr>
            <w:r>
              <w:rPr>
                <w:sz w:val="20"/>
                <w:szCs w:val="20"/>
              </w:rPr>
              <w:t>$180,847</w:t>
            </w:r>
          </w:p>
        </w:tc>
        <w:tc>
          <w:tcPr>
            <w:tcW w:w="1084" w:type="dxa"/>
            <w:tcBorders>
              <w:top w:val="nil"/>
              <w:left w:val="nil"/>
              <w:bottom w:val="nil"/>
              <w:right w:val="nil"/>
            </w:tcBorders>
            <w:shd w:val="clear" w:color="auto" w:fill="auto"/>
            <w:noWrap/>
            <w:vAlign w:val="bottom"/>
            <w:hideMark/>
          </w:tcPr>
          <w:p w14:paraId="2020C521" w14:textId="77777777" w:rsidR="00357426" w:rsidRDefault="00357426" w:rsidP="00EB077E">
            <w:pPr>
              <w:jc w:val="right"/>
              <w:rPr>
                <w:sz w:val="20"/>
                <w:szCs w:val="20"/>
              </w:rPr>
            </w:pPr>
            <w:r>
              <w:rPr>
                <w:sz w:val="20"/>
                <w:szCs w:val="20"/>
              </w:rPr>
              <w:t>100.00%</w:t>
            </w:r>
          </w:p>
        </w:tc>
        <w:tc>
          <w:tcPr>
            <w:tcW w:w="632" w:type="dxa"/>
            <w:tcBorders>
              <w:top w:val="nil"/>
              <w:left w:val="nil"/>
              <w:bottom w:val="nil"/>
              <w:right w:val="nil"/>
            </w:tcBorders>
            <w:shd w:val="clear" w:color="auto" w:fill="auto"/>
            <w:noWrap/>
            <w:vAlign w:val="bottom"/>
            <w:hideMark/>
          </w:tcPr>
          <w:p w14:paraId="24374141" w14:textId="77777777" w:rsidR="00357426" w:rsidRDefault="00357426" w:rsidP="00EB077E">
            <w:pPr>
              <w:jc w:val="right"/>
              <w:rPr>
                <w:sz w:val="20"/>
                <w:szCs w:val="20"/>
              </w:rPr>
            </w:pPr>
            <w:r>
              <w:rPr>
                <w:sz w:val="20"/>
                <w:szCs w:val="20"/>
              </w:rPr>
              <w:t>7.85%</w:t>
            </w:r>
          </w:p>
        </w:tc>
        <w:tc>
          <w:tcPr>
            <w:tcW w:w="1280" w:type="dxa"/>
            <w:tcBorders>
              <w:top w:val="nil"/>
              <w:left w:val="nil"/>
              <w:bottom w:val="nil"/>
              <w:right w:val="single" w:sz="8" w:space="0" w:color="auto"/>
            </w:tcBorders>
            <w:shd w:val="clear" w:color="auto" w:fill="auto"/>
            <w:noWrap/>
            <w:vAlign w:val="bottom"/>
            <w:hideMark/>
          </w:tcPr>
          <w:p w14:paraId="76CF3247" w14:textId="77777777" w:rsidR="00357426" w:rsidRDefault="00357426" w:rsidP="00EB077E">
            <w:pPr>
              <w:jc w:val="right"/>
              <w:rPr>
                <w:sz w:val="20"/>
                <w:szCs w:val="20"/>
              </w:rPr>
            </w:pPr>
            <w:r>
              <w:rPr>
                <w:sz w:val="20"/>
                <w:szCs w:val="20"/>
              </w:rPr>
              <w:t>7.85%</w:t>
            </w:r>
          </w:p>
        </w:tc>
      </w:tr>
      <w:tr w:rsidR="00357426" w14:paraId="4AF3941A" w14:textId="77777777" w:rsidTr="00EB077E">
        <w:trPr>
          <w:trHeight w:val="312"/>
          <w:jc w:val="center"/>
        </w:trPr>
        <w:tc>
          <w:tcPr>
            <w:tcW w:w="320" w:type="dxa"/>
            <w:tcBorders>
              <w:top w:val="nil"/>
              <w:left w:val="single" w:sz="8" w:space="0" w:color="auto"/>
              <w:bottom w:val="nil"/>
              <w:right w:val="nil"/>
            </w:tcBorders>
            <w:shd w:val="clear" w:color="auto" w:fill="auto"/>
            <w:noWrap/>
            <w:vAlign w:val="bottom"/>
            <w:hideMark/>
          </w:tcPr>
          <w:p w14:paraId="00D06134" w14:textId="77777777" w:rsidR="00357426" w:rsidRDefault="00357426" w:rsidP="00EB077E">
            <w:pPr>
              <w:jc w:val="right"/>
              <w:rPr>
                <w:color w:val="000000"/>
                <w:sz w:val="20"/>
                <w:szCs w:val="20"/>
              </w:rPr>
            </w:pPr>
            <w:r>
              <w:rPr>
                <w:color w:val="000000"/>
                <w:sz w:val="20"/>
                <w:szCs w:val="20"/>
              </w:rPr>
              <w:t> </w:t>
            </w:r>
          </w:p>
        </w:tc>
        <w:tc>
          <w:tcPr>
            <w:tcW w:w="3104" w:type="dxa"/>
            <w:tcBorders>
              <w:top w:val="nil"/>
              <w:left w:val="nil"/>
              <w:bottom w:val="nil"/>
              <w:right w:val="nil"/>
            </w:tcBorders>
            <w:shd w:val="clear" w:color="auto" w:fill="auto"/>
            <w:noWrap/>
            <w:vAlign w:val="bottom"/>
            <w:hideMark/>
          </w:tcPr>
          <w:p w14:paraId="552DABDB" w14:textId="77777777" w:rsidR="00357426" w:rsidRDefault="00357426" w:rsidP="00EB077E">
            <w:pPr>
              <w:rPr>
                <w:color w:val="000000"/>
                <w:sz w:val="20"/>
                <w:szCs w:val="20"/>
              </w:rPr>
            </w:pPr>
          </w:p>
        </w:tc>
        <w:tc>
          <w:tcPr>
            <w:tcW w:w="1044" w:type="dxa"/>
            <w:tcBorders>
              <w:top w:val="nil"/>
              <w:left w:val="nil"/>
              <w:bottom w:val="nil"/>
              <w:right w:val="nil"/>
            </w:tcBorders>
            <w:shd w:val="clear" w:color="auto" w:fill="auto"/>
            <w:noWrap/>
            <w:vAlign w:val="bottom"/>
            <w:hideMark/>
          </w:tcPr>
          <w:p w14:paraId="5426D197" w14:textId="77777777" w:rsidR="00357426" w:rsidRDefault="00357426" w:rsidP="00EB077E"/>
        </w:tc>
        <w:tc>
          <w:tcPr>
            <w:tcW w:w="1150" w:type="dxa"/>
            <w:tcBorders>
              <w:top w:val="nil"/>
              <w:left w:val="nil"/>
              <w:bottom w:val="nil"/>
              <w:right w:val="nil"/>
            </w:tcBorders>
            <w:shd w:val="clear" w:color="auto" w:fill="auto"/>
            <w:noWrap/>
            <w:vAlign w:val="bottom"/>
            <w:hideMark/>
          </w:tcPr>
          <w:p w14:paraId="70437BC6" w14:textId="77777777" w:rsidR="00357426" w:rsidRDefault="00357426" w:rsidP="00EB077E"/>
        </w:tc>
        <w:tc>
          <w:tcPr>
            <w:tcW w:w="1404" w:type="dxa"/>
            <w:tcBorders>
              <w:top w:val="nil"/>
              <w:left w:val="nil"/>
              <w:bottom w:val="nil"/>
              <w:right w:val="nil"/>
            </w:tcBorders>
            <w:shd w:val="clear" w:color="auto" w:fill="auto"/>
            <w:noWrap/>
            <w:vAlign w:val="bottom"/>
            <w:hideMark/>
          </w:tcPr>
          <w:p w14:paraId="67F046AD" w14:textId="77777777" w:rsidR="00357426" w:rsidRDefault="00357426" w:rsidP="00EB077E"/>
        </w:tc>
        <w:tc>
          <w:tcPr>
            <w:tcW w:w="1605" w:type="dxa"/>
            <w:tcBorders>
              <w:top w:val="nil"/>
              <w:left w:val="nil"/>
              <w:bottom w:val="nil"/>
              <w:right w:val="nil"/>
            </w:tcBorders>
            <w:shd w:val="clear" w:color="auto" w:fill="auto"/>
            <w:noWrap/>
            <w:vAlign w:val="bottom"/>
            <w:hideMark/>
          </w:tcPr>
          <w:p w14:paraId="07D43C7C" w14:textId="77777777" w:rsidR="00357426" w:rsidRDefault="00357426" w:rsidP="00EB077E"/>
        </w:tc>
        <w:tc>
          <w:tcPr>
            <w:tcW w:w="1524" w:type="dxa"/>
            <w:tcBorders>
              <w:top w:val="nil"/>
              <w:left w:val="nil"/>
              <w:bottom w:val="nil"/>
              <w:right w:val="nil"/>
            </w:tcBorders>
            <w:shd w:val="clear" w:color="auto" w:fill="auto"/>
            <w:noWrap/>
            <w:vAlign w:val="bottom"/>
            <w:hideMark/>
          </w:tcPr>
          <w:p w14:paraId="74210828" w14:textId="77777777" w:rsidR="00357426" w:rsidRDefault="00357426" w:rsidP="00EB077E"/>
        </w:tc>
        <w:tc>
          <w:tcPr>
            <w:tcW w:w="1084" w:type="dxa"/>
            <w:tcBorders>
              <w:top w:val="nil"/>
              <w:left w:val="nil"/>
              <w:bottom w:val="nil"/>
              <w:right w:val="nil"/>
            </w:tcBorders>
            <w:shd w:val="clear" w:color="auto" w:fill="auto"/>
            <w:noWrap/>
            <w:vAlign w:val="bottom"/>
            <w:hideMark/>
          </w:tcPr>
          <w:p w14:paraId="3242DFB1" w14:textId="77777777" w:rsidR="00357426" w:rsidRDefault="00357426" w:rsidP="00EB077E"/>
        </w:tc>
        <w:tc>
          <w:tcPr>
            <w:tcW w:w="632" w:type="dxa"/>
            <w:tcBorders>
              <w:top w:val="nil"/>
              <w:left w:val="nil"/>
              <w:bottom w:val="nil"/>
              <w:right w:val="nil"/>
            </w:tcBorders>
            <w:shd w:val="clear" w:color="auto" w:fill="auto"/>
            <w:noWrap/>
            <w:vAlign w:val="bottom"/>
            <w:hideMark/>
          </w:tcPr>
          <w:p w14:paraId="4A8C5833" w14:textId="77777777" w:rsidR="00357426" w:rsidRDefault="00357426" w:rsidP="00EB077E"/>
        </w:tc>
        <w:tc>
          <w:tcPr>
            <w:tcW w:w="1280" w:type="dxa"/>
            <w:tcBorders>
              <w:top w:val="nil"/>
              <w:left w:val="nil"/>
              <w:bottom w:val="nil"/>
              <w:right w:val="single" w:sz="8" w:space="0" w:color="auto"/>
            </w:tcBorders>
            <w:shd w:val="clear" w:color="auto" w:fill="auto"/>
            <w:noWrap/>
            <w:vAlign w:val="bottom"/>
            <w:hideMark/>
          </w:tcPr>
          <w:p w14:paraId="052080A3" w14:textId="77777777" w:rsidR="00357426" w:rsidRDefault="00357426" w:rsidP="00EB077E">
            <w:r>
              <w:t> </w:t>
            </w:r>
          </w:p>
        </w:tc>
      </w:tr>
      <w:tr w:rsidR="00357426" w14:paraId="179AA86F" w14:textId="77777777" w:rsidTr="00EB077E">
        <w:trPr>
          <w:trHeight w:val="300"/>
          <w:jc w:val="center"/>
        </w:trPr>
        <w:tc>
          <w:tcPr>
            <w:tcW w:w="320" w:type="dxa"/>
            <w:tcBorders>
              <w:top w:val="nil"/>
              <w:left w:val="single" w:sz="8" w:space="0" w:color="auto"/>
              <w:bottom w:val="nil"/>
              <w:right w:val="nil"/>
            </w:tcBorders>
            <w:shd w:val="clear" w:color="auto" w:fill="auto"/>
            <w:noWrap/>
            <w:vAlign w:val="bottom"/>
            <w:hideMark/>
          </w:tcPr>
          <w:p w14:paraId="7D858DB2" w14:textId="77777777" w:rsidR="00357426" w:rsidRDefault="00357426" w:rsidP="00EB077E">
            <w:pPr>
              <w:rPr>
                <w:b/>
                <w:bCs/>
                <w:color w:val="000000"/>
                <w:sz w:val="20"/>
                <w:szCs w:val="20"/>
              </w:rPr>
            </w:pPr>
            <w:r>
              <w:rPr>
                <w:b/>
                <w:bCs/>
                <w:color w:val="000000"/>
                <w:sz w:val="20"/>
                <w:szCs w:val="20"/>
              </w:rPr>
              <w:t> </w:t>
            </w:r>
          </w:p>
        </w:tc>
        <w:tc>
          <w:tcPr>
            <w:tcW w:w="3104" w:type="dxa"/>
            <w:tcBorders>
              <w:top w:val="nil"/>
              <w:left w:val="nil"/>
              <w:bottom w:val="nil"/>
              <w:right w:val="nil"/>
            </w:tcBorders>
            <w:shd w:val="clear" w:color="auto" w:fill="auto"/>
            <w:noWrap/>
            <w:vAlign w:val="bottom"/>
            <w:hideMark/>
          </w:tcPr>
          <w:p w14:paraId="0799E738" w14:textId="77777777" w:rsidR="00357426" w:rsidRDefault="00357426" w:rsidP="00EB077E">
            <w:pPr>
              <w:rPr>
                <w:color w:val="000000"/>
                <w:sz w:val="20"/>
                <w:szCs w:val="20"/>
              </w:rPr>
            </w:pPr>
          </w:p>
        </w:tc>
        <w:tc>
          <w:tcPr>
            <w:tcW w:w="1044" w:type="dxa"/>
            <w:tcBorders>
              <w:top w:val="nil"/>
              <w:left w:val="nil"/>
              <w:bottom w:val="nil"/>
              <w:right w:val="nil"/>
            </w:tcBorders>
            <w:shd w:val="clear" w:color="auto" w:fill="auto"/>
            <w:noWrap/>
            <w:vAlign w:val="bottom"/>
            <w:hideMark/>
          </w:tcPr>
          <w:p w14:paraId="36480511" w14:textId="77777777" w:rsidR="00357426" w:rsidRDefault="00357426" w:rsidP="00EB077E">
            <w:pPr>
              <w:rPr>
                <w:sz w:val="20"/>
                <w:szCs w:val="20"/>
              </w:rPr>
            </w:pPr>
          </w:p>
        </w:tc>
        <w:tc>
          <w:tcPr>
            <w:tcW w:w="1150" w:type="dxa"/>
            <w:tcBorders>
              <w:top w:val="nil"/>
              <w:left w:val="nil"/>
              <w:bottom w:val="nil"/>
              <w:right w:val="nil"/>
            </w:tcBorders>
            <w:shd w:val="clear" w:color="auto" w:fill="auto"/>
            <w:noWrap/>
            <w:vAlign w:val="bottom"/>
            <w:hideMark/>
          </w:tcPr>
          <w:p w14:paraId="03F74016" w14:textId="77777777" w:rsidR="00357426" w:rsidRDefault="00357426" w:rsidP="00EB077E">
            <w:pPr>
              <w:rPr>
                <w:sz w:val="20"/>
                <w:szCs w:val="20"/>
              </w:rPr>
            </w:pPr>
          </w:p>
        </w:tc>
        <w:tc>
          <w:tcPr>
            <w:tcW w:w="1404" w:type="dxa"/>
            <w:tcBorders>
              <w:top w:val="nil"/>
              <w:left w:val="nil"/>
              <w:bottom w:val="nil"/>
              <w:right w:val="nil"/>
            </w:tcBorders>
            <w:shd w:val="clear" w:color="auto" w:fill="auto"/>
            <w:noWrap/>
            <w:vAlign w:val="bottom"/>
            <w:hideMark/>
          </w:tcPr>
          <w:p w14:paraId="3F62367A" w14:textId="77777777" w:rsidR="00357426" w:rsidRDefault="00357426" w:rsidP="00EB077E">
            <w:pPr>
              <w:rPr>
                <w:sz w:val="20"/>
                <w:szCs w:val="20"/>
              </w:rPr>
            </w:pPr>
          </w:p>
        </w:tc>
        <w:tc>
          <w:tcPr>
            <w:tcW w:w="1605" w:type="dxa"/>
            <w:tcBorders>
              <w:top w:val="nil"/>
              <w:left w:val="nil"/>
              <w:bottom w:val="nil"/>
              <w:right w:val="nil"/>
            </w:tcBorders>
            <w:shd w:val="clear" w:color="auto" w:fill="auto"/>
            <w:noWrap/>
            <w:vAlign w:val="bottom"/>
            <w:hideMark/>
          </w:tcPr>
          <w:p w14:paraId="35D0BFC9" w14:textId="77777777" w:rsidR="00357426" w:rsidRDefault="00357426" w:rsidP="00EB077E">
            <w:pPr>
              <w:rPr>
                <w:sz w:val="20"/>
                <w:szCs w:val="20"/>
              </w:rPr>
            </w:pPr>
          </w:p>
        </w:tc>
        <w:tc>
          <w:tcPr>
            <w:tcW w:w="1524" w:type="dxa"/>
            <w:tcBorders>
              <w:top w:val="nil"/>
              <w:left w:val="nil"/>
              <w:bottom w:val="nil"/>
              <w:right w:val="nil"/>
            </w:tcBorders>
            <w:shd w:val="clear" w:color="auto" w:fill="auto"/>
            <w:noWrap/>
            <w:vAlign w:val="bottom"/>
            <w:hideMark/>
          </w:tcPr>
          <w:p w14:paraId="245A5737" w14:textId="77777777" w:rsidR="00357426" w:rsidRDefault="00357426" w:rsidP="00EB077E">
            <w:pPr>
              <w:rPr>
                <w:sz w:val="20"/>
                <w:szCs w:val="20"/>
              </w:rPr>
            </w:pPr>
          </w:p>
        </w:tc>
        <w:tc>
          <w:tcPr>
            <w:tcW w:w="1084" w:type="dxa"/>
            <w:tcBorders>
              <w:top w:val="nil"/>
              <w:left w:val="nil"/>
              <w:bottom w:val="nil"/>
              <w:right w:val="nil"/>
            </w:tcBorders>
            <w:shd w:val="clear" w:color="auto" w:fill="auto"/>
            <w:noWrap/>
            <w:vAlign w:val="bottom"/>
            <w:hideMark/>
          </w:tcPr>
          <w:p w14:paraId="38D0A09D" w14:textId="77777777" w:rsidR="00357426" w:rsidRDefault="00357426" w:rsidP="00EB077E">
            <w:pPr>
              <w:rPr>
                <w:sz w:val="20"/>
                <w:szCs w:val="20"/>
              </w:rPr>
            </w:pPr>
          </w:p>
        </w:tc>
        <w:tc>
          <w:tcPr>
            <w:tcW w:w="632" w:type="dxa"/>
            <w:tcBorders>
              <w:top w:val="nil"/>
              <w:left w:val="nil"/>
              <w:bottom w:val="nil"/>
              <w:right w:val="nil"/>
            </w:tcBorders>
            <w:shd w:val="clear" w:color="auto" w:fill="auto"/>
            <w:noWrap/>
            <w:vAlign w:val="bottom"/>
            <w:hideMark/>
          </w:tcPr>
          <w:p w14:paraId="36AE7363" w14:textId="77777777" w:rsidR="00357426" w:rsidRDefault="00357426" w:rsidP="00EB077E">
            <w:pPr>
              <w:rPr>
                <w:sz w:val="20"/>
                <w:szCs w:val="20"/>
              </w:rPr>
            </w:pPr>
          </w:p>
        </w:tc>
        <w:tc>
          <w:tcPr>
            <w:tcW w:w="1280" w:type="dxa"/>
            <w:tcBorders>
              <w:top w:val="nil"/>
              <w:left w:val="nil"/>
              <w:bottom w:val="nil"/>
              <w:right w:val="single" w:sz="8" w:space="0" w:color="auto"/>
            </w:tcBorders>
            <w:shd w:val="clear" w:color="auto" w:fill="auto"/>
            <w:noWrap/>
            <w:vAlign w:val="bottom"/>
            <w:hideMark/>
          </w:tcPr>
          <w:p w14:paraId="5D8D7A53" w14:textId="77777777" w:rsidR="00357426" w:rsidRDefault="00357426" w:rsidP="00EB077E">
            <w:pPr>
              <w:rPr>
                <w:sz w:val="20"/>
                <w:szCs w:val="20"/>
              </w:rPr>
            </w:pPr>
            <w:r>
              <w:rPr>
                <w:sz w:val="20"/>
                <w:szCs w:val="20"/>
              </w:rPr>
              <w:t> </w:t>
            </w:r>
          </w:p>
        </w:tc>
      </w:tr>
      <w:tr w:rsidR="00357426" w14:paraId="1AEF93BC" w14:textId="77777777" w:rsidTr="00EB077E">
        <w:trPr>
          <w:trHeight w:val="300"/>
          <w:jc w:val="center"/>
        </w:trPr>
        <w:tc>
          <w:tcPr>
            <w:tcW w:w="320" w:type="dxa"/>
            <w:tcBorders>
              <w:top w:val="nil"/>
              <w:left w:val="single" w:sz="8" w:space="0" w:color="auto"/>
              <w:bottom w:val="nil"/>
              <w:right w:val="nil"/>
            </w:tcBorders>
            <w:shd w:val="clear" w:color="auto" w:fill="auto"/>
            <w:noWrap/>
            <w:vAlign w:val="bottom"/>
            <w:hideMark/>
          </w:tcPr>
          <w:p w14:paraId="233C5B7B" w14:textId="77777777" w:rsidR="00357426" w:rsidRDefault="00357426" w:rsidP="00EB077E">
            <w:pPr>
              <w:jc w:val="right"/>
              <w:rPr>
                <w:color w:val="000000"/>
                <w:sz w:val="20"/>
                <w:szCs w:val="20"/>
              </w:rPr>
            </w:pPr>
            <w:r>
              <w:rPr>
                <w:color w:val="000000"/>
                <w:sz w:val="20"/>
                <w:szCs w:val="20"/>
              </w:rPr>
              <w:t>5.</w:t>
            </w:r>
          </w:p>
        </w:tc>
        <w:tc>
          <w:tcPr>
            <w:tcW w:w="3104" w:type="dxa"/>
            <w:tcBorders>
              <w:top w:val="nil"/>
              <w:left w:val="nil"/>
              <w:bottom w:val="nil"/>
              <w:right w:val="nil"/>
            </w:tcBorders>
            <w:shd w:val="clear" w:color="auto" w:fill="auto"/>
            <w:noWrap/>
            <w:vAlign w:val="bottom"/>
            <w:hideMark/>
          </w:tcPr>
          <w:p w14:paraId="5D8E3727" w14:textId="77777777" w:rsidR="00357426" w:rsidRDefault="00357426" w:rsidP="00EB077E">
            <w:pPr>
              <w:rPr>
                <w:color w:val="000000"/>
                <w:sz w:val="20"/>
                <w:szCs w:val="20"/>
              </w:rPr>
            </w:pPr>
            <w:r>
              <w:rPr>
                <w:color w:val="000000"/>
                <w:sz w:val="20"/>
                <w:szCs w:val="20"/>
              </w:rPr>
              <w:t>LONG-TERM DEBT</w:t>
            </w:r>
          </w:p>
        </w:tc>
        <w:tc>
          <w:tcPr>
            <w:tcW w:w="1044" w:type="dxa"/>
            <w:tcBorders>
              <w:top w:val="nil"/>
              <w:left w:val="nil"/>
              <w:bottom w:val="nil"/>
              <w:right w:val="nil"/>
            </w:tcBorders>
            <w:shd w:val="clear" w:color="auto" w:fill="auto"/>
            <w:noWrap/>
            <w:vAlign w:val="bottom"/>
            <w:hideMark/>
          </w:tcPr>
          <w:p w14:paraId="33E6B939" w14:textId="77777777" w:rsidR="00357426" w:rsidRDefault="00357426" w:rsidP="00EB077E">
            <w:pPr>
              <w:jc w:val="right"/>
              <w:rPr>
                <w:sz w:val="20"/>
                <w:szCs w:val="20"/>
              </w:rPr>
            </w:pPr>
            <w:r>
              <w:rPr>
                <w:sz w:val="20"/>
                <w:szCs w:val="20"/>
              </w:rPr>
              <w:t xml:space="preserve">$0 </w:t>
            </w:r>
          </w:p>
        </w:tc>
        <w:tc>
          <w:tcPr>
            <w:tcW w:w="1150" w:type="dxa"/>
            <w:tcBorders>
              <w:top w:val="nil"/>
              <w:left w:val="nil"/>
              <w:bottom w:val="nil"/>
              <w:right w:val="nil"/>
            </w:tcBorders>
            <w:shd w:val="clear" w:color="auto" w:fill="auto"/>
            <w:noWrap/>
            <w:vAlign w:val="bottom"/>
            <w:hideMark/>
          </w:tcPr>
          <w:p w14:paraId="355C8252" w14:textId="77777777" w:rsidR="00357426" w:rsidRDefault="00357426" w:rsidP="00EB077E">
            <w:pPr>
              <w:jc w:val="right"/>
              <w:rPr>
                <w:sz w:val="20"/>
                <w:szCs w:val="20"/>
              </w:rPr>
            </w:pPr>
            <w:r>
              <w:rPr>
                <w:sz w:val="20"/>
                <w:szCs w:val="20"/>
              </w:rPr>
              <w:t xml:space="preserve">$0 </w:t>
            </w:r>
          </w:p>
        </w:tc>
        <w:tc>
          <w:tcPr>
            <w:tcW w:w="1404" w:type="dxa"/>
            <w:tcBorders>
              <w:top w:val="nil"/>
              <w:left w:val="nil"/>
              <w:bottom w:val="nil"/>
              <w:right w:val="nil"/>
            </w:tcBorders>
            <w:shd w:val="clear" w:color="auto" w:fill="auto"/>
            <w:noWrap/>
            <w:vAlign w:val="bottom"/>
            <w:hideMark/>
          </w:tcPr>
          <w:p w14:paraId="3900499F" w14:textId="77777777" w:rsidR="00357426" w:rsidRDefault="00357426" w:rsidP="00EB077E">
            <w:pPr>
              <w:jc w:val="right"/>
              <w:rPr>
                <w:sz w:val="20"/>
                <w:szCs w:val="20"/>
              </w:rPr>
            </w:pPr>
            <w:r>
              <w:rPr>
                <w:sz w:val="20"/>
                <w:szCs w:val="20"/>
              </w:rPr>
              <w:t xml:space="preserve">$0 </w:t>
            </w:r>
          </w:p>
        </w:tc>
        <w:tc>
          <w:tcPr>
            <w:tcW w:w="1605" w:type="dxa"/>
            <w:tcBorders>
              <w:top w:val="nil"/>
              <w:left w:val="nil"/>
              <w:bottom w:val="nil"/>
              <w:right w:val="nil"/>
            </w:tcBorders>
            <w:shd w:val="clear" w:color="auto" w:fill="auto"/>
            <w:noWrap/>
            <w:vAlign w:val="bottom"/>
            <w:hideMark/>
          </w:tcPr>
          <w:p w14:paraId="5B153DB0" w14:textId="77777777" w:rsidR="00357426" w:rsidRDefault="00357426" w:rsidP="00EB077E">
            <w:pPr>
              <w:jc w:val="right"/>
              <w:rPr>
                <w:sz w:val="20"/>
                <w:szCs w:val="20"/>
              </w:rPr>
            </w:pPr>
            <w:r>
              <w:rPr>
                <w:sz w:val="20"/>
                <w:szCs w:val="20"/>
              </w:rPr>
              <w:t xml:space="preserve">$0 </w:t>
            </w:r>
          </w:p>
        </w:tc>
        <w:tc>
          <w:tcPr>
            <w:tcW w:w="1524" w:type="dxa"/>
            <w:tcBorders>
              <w:top w:val="nil"/>
              <w:left w:val="nil"/>
              <w:bottom w:val="nil"/>
              <w:right w:val="nil"/>
            </w:tcBorders>
            <w:shd w:val="clear" w:color="auto" w:fill="auto"/>
            <w:noWrap/>
            <w:vAlign w:val="bottom"/>
            <w:hideMark/>
          </w:tcPr>
          <w:p w14:paraId="58EC7C7A" w14:textId="77777777" w:rsidR="00357426" w:rsidRDefault="00357426" w:rsidP="00EB077E">
            <w:pPr>
              <w:jc w:val="right"/>
              <w:rPr>
                <w:sz w:val="20"/>
                <w:szCs w:val="20"/>
              </w:rPr>
            </w:pPr>
            <w:r>
              <w:rPr>
                <w:sz w:val="20"/>
                <w:szCs w:val="20"/>
              </w:rPr>
              <w:t xml:space="preserve">0 </w:t>
            </w:r>
          </w:p>
        </w:tc>
        <w:tc>
          <w:tcPr>
            <w:tcW w:w="1084" w:type="dxa"/>
            <w:tcBorders>
              <w:top w:val="nil"/>
              <w:left w:val="nil"/>
              <w:bottom w:val="nil"/>
              <w:right w:val="nil"/>
            </w:tcBorders>
            <w:shd w:val="clear" w:color="auto" w:fill="auto"/>
            <w:noWrap/>
            <w:vAlign w:val="bottom"/>
            <w:hideMark/>
          </w:tcPr>
          <w:p w14:paraId="0370319C" w14:textId="77777777" w:rsidR="00357426" w:rsidRDefault="00357426" w:rsidP="00EB077E">
            <w:pPr>
              <w:jc w:val="right"/>
              <w:rPr>
                <w:sz w:val="20"/>
                <w:szCs w:val="20"/>
              </w:rPr>
            </w:pPr>
            <w:r>
              <w:rPr>
                <w:sz w:val="20"/>
                <w:szCs w:val="20"/>
              </w:rPr>
              <w:t>0.00%</w:t>
            </w:r>
          </w:p>
        </w:tc>
        <w:tc>
          <w:tcPr>
            <w:tcW w:w="632" w:type="dxa"/>
            <w:tcBorders>
              <w:top w:val="nil"/>
              <w:left w:val="nil"/>
              <w:bottom w:val="nil"/>
              <w:right w:val="nil"/>
            </w:tcBorders>
            <w:shd w:val="clear" w:color="auto" w:fill="auto"/>
            <w:noWrap/>
            <w:vAlign w:val="bottom"/>
            <w:hideMark/>
          </w:tcPr>
          <w:p w14:paraId="022BE69F" w14:textId="77777777" w:rsidR="00357426" w:rsidRDefault="00357426" w:rsidP="00EB077E">
            <w:pPr>
              <w:jc w:val="right"/>
              <w:rPr>
                <w:sz w:val="20"/>
                <w:szCs w:val="20"/>
              </w:rPr>
            </w:pPr>
            <w:r>
              <w:rPr>
                <w:sz w:val="20"/>
                <w:szCs w:val="20"/>
              </w:rPr>
              <w:t>0.00%</w:t>
            </w:r>
          </w:p>
        </w:tc>
        <w:tc>
          <w:tcPr>
            <w:tcW w:w="1280" w:type="dxa"/>
            <w:tcBorders>
              <w:top w:val="nil"/>
              <w:left w:val="nil"/>
              <w:bottom w:val="nil"/>
              <w:right w:val="single" w:sz="8" w:space="0" w:color="auto"/>
            </w:tcBorders>
            <w:shd w:val="clear" w:color="auto" w:fill="auto"/>
            <w:noWrap/>
            <w:vAlign w:val="bottom"/>
            <w:hideMark/>
          </w:tcPr>
          <w:p w14:paraId="693B1709" w14:textId="77777777" w:rsidR="00357426" w:rsidRDefault="00357426" w:rsidP="00EB077E">
            <w:pPr>
              <w:jc w:val="right"/>
              <w:rPr>
                <w:sz w:val="20"/>
                <w:szCs w:val="20"/>
              </w:rPr>
            </w:pPr>
            <w:r>
              <w:rPr>
                <w:sz w:val="20"/>
                <w:szCs w:val="20"/>
              </w:rPr>
              <w:t>0.00%</w:t>
            </w:r>
          </w:p>
        </w:tc>
      </w:tr>
      <w:tr w:rsidR="00357426" w14:paraId="7D633713" w14:textId="77777777" w:rsidTr="00EB077E">
        <w:trPr>
          <w:trHeight w:val="300"/>
          <w:jc w:val="center"/>
        </w:trPr>
        <w:tc>
          <w:tcPr>
            <w:tcW w:w="320" w:type="dxa"/>
            <w:tcBorders>
              <w:top w:val="nil"/>
              <w:left w:val="single" w:sz="8" w:space="0" w:color="auto"/>
              <w:bottom w:val="nil"/>
              <w:right w:val="nil"/>
            </w:tcBorders>
            <w:shd w:val="clear" w:color="auto" w:fill="auto"/>
            <w:noWrap/>
            <w:vAlign w:val="bottom"/>
            <w:hideMark/>
          </w:tcPr>
          <w:p w14:paraId="74034725" w14:textId="77777777" w:rsidR="00357426" w:rsidRDefault="00357426" w:rsidP="00EB077E">
            <w:pPr>
              <w:jc w:val="right"/>
              <w:rPr>
                <w:color w:val="000000"/>
                <w:sz w:val="20"/>
                <w:szCs w:val="20"/>
              </w:rPr>
            </w:pPr>
            <w:r>
              <w:rPr>
                <w:color w:val="000000"/>
                <w:sz w:val="20"/>
                <w:szCs w:val="20"/>
              </w:rPr>
              <w:t>6.</w:t>
            </w:r>
          </w:p>
        </w:tc>
        <w:tc>
          <w:tcPr>
            <w:tcW w:w="3104" w:type="dxa"/>
            <w:tcBorders>
              <w:top w:val="nil"/>
              <w:left w:val="nil"/>
              <w:bottom w:val="nil"/>
              <w:right w:val="nil"/>
            </w:tcBorders>
            <w:shd w:val="clear" w:color="auto" w:fill="auto"/>
            <w:noWrap/>
            <w:vAlign w:val="bottom"/>
            <w:hideMark/>
          </w:tcPr>
          <w:p w14:paraId="3CCD4AF5" w14:textId="77777777" w:rsidR="00357426" w:rsidRDefault="00357426" w:rsidP="00EB077E">
            <w:pPr>
              <w:rPr>
                <w:color w:val="000000"/>
                <w:sz w:val="20"/>
                <w:szCs w:val="20"/>
              </w:rPr>
            </w:pPr>
            <w:r>
              <w:rPr>
                <w:color w:val="000000"/>
                <w:sz w:val="20"/>
                <w:szCs w:val="20"/>
              </w:rPr>
              <w:t>SHORT-TERM DEBT</w:t>
            </w:r>
          </w:p>
        </w:tc>
        <w:tc>
          <w:tcPr>
            <w:tcW w:w="1044" w:type="dxa"/>
            <w:tcBorders>
              <w:top w:val="nil"/>
              <w:left w:val="nil"/>
              <w:bottom w:val="nil"/>
              <w:right w:val="nil"/>
            </w:tcBorders>
            <w:shd w:val="clear" w:color="auto" w:fill="auto"/>
            <w:noWrap/>
            <w:vAlign w:val="bottom"/>
            <w:hideMark/>
          </w:tcPr>
          <w:p w14:paraId="2AC15DDD" w14:textId="77777777" w:rsidR="00357426" w:rsidRDefault="00357426" w:rsidP="00EB077E">
            <w:pPr>
              <w:jc w:val="right"/>
              <w:rPr>
                <w:sz w:val="20"/>
                <w:szCs w:val="20"/>
              </w:rPr>
            </w:pPr>
            <w:r>
              <w:rPr>
                <w:sz w:val="20"/>
                <w:szCs w:val="20"/>
              </w:rPr>
              <w:t xml:space="preserve">0 </w:t>
            </w:r>
          </w:p>
        </w:tc>
        <w:tc>
          <w:tcPr>
            <w:tcW w:w="1150" w:type="dxa"/>
            <w:tcBorders>
              <w:top w:val="nil"/>
              <w:left w:val="nil"/>
              <w:bottom w:val="nil"/>
              <w:right w:val="nil"/>
            </w:tcBorders>
            <w:shd w:val="clear" w:color="auto" w:fill="auto"/>
            <w:noWrap/>
            <w:vAlign w:val="bottom"/>
            <w:hideMark/>
          </w:tcPr>
          <w:p w14:paraId="573ABE5A" w14:textId="77777777" w:rsidR="00357426" w:rsidRDefault="00357426" w:rsidP="00EB077E">
            <w:pPr>
              <w:jc w:val="right"/>
              <w:rPr>
                <w:sz w:val="20"/>
                <w:szCs w:val="20"/>
              </w:rPr>
            </w:pPr>
            <w:r>
              <w:rPr>
                <w:sz w:val="20"/>
                <w:szCs w:val="20"/>
              </w:rPr>
              <w:t xml:space="preserve">0 </w:t>
            </w:r>
          </w:p>
        </w:tc>
        <w:tc>
          <w:tcPr>
            <w:tcW w:w="1404" w:type="dxa"/>
            <w:tcBorders>
              <w:top w:val="nil"/>
              <w:left w:val="nil"/>
              <w:bottom w:val="nil"/>
              <w:right w:val="nil"/>
            </w:tcBorders>
            <w:shd w:val="clear" w:color="auto" w:fill="auto"/>
            <w:noWrap/>
            <w:vAlign w:val="bottom"/>
            <w:hideMark/>
          </w:tcPr>
          <w:p w14:paraId="03A55F16" w14:textId="77777777" w:rsidR="00357426" w:rsidRDefault="00357426" w:rsidP="00EB077E">
            <w:pPr>
              <w:jc w:val="right"/>
              <w:rPr>
                <w:sz w:val="20"/>
                <w:szCs w:val="20"/>
              </w:rPr>
            </w:pPr>
            <w:r>
              <w:rPr>
                <w:sz w:val="20"/>
                <w:szCs w:val="20"/>
              </w:rPr>
              <w:t xml:space="preserve">0 </w:t>
            </w:r>
          </w:p>
        </w:tc>
        <w:tc>
          <w:tcPr>
            <w:tcW w:w="1605" w:type="dxa"/>
            <w:tcBorders>
              <w:top w:val="nil"/>
              <w:left w:val="nil"/>
              <w:bottom w:val="nil"/>
              <w:right w:val="nil"/>
            </w:tcBorders>
            <w:shd w:val="clear" w:color="auto" w:fill="auto"/>
            <w:noWrap/>
            <w:vAlign w:val="bottom"/>
            <w:hideMark/>
          </w:tcPr>
          <w:p w14:paraId="7A3D810B" w14:textId="77777777" w:rsidR="00357426" w:rsidRDefault="00357426" w:rsidP="00EB077E">
            <w:pPr>
              <w:jc w:val="right"/>
              <w:rPr>
                <w:sz w:val="20"/>
                <w:szCs w:val="20"/>
                <w:u w:val="single"/>
              </w:rPr>
            </w:pPr>
            <w:r>
              <w:rPr>
                <w:sz w:val="20"/>
                <w:szCs w:val="20"/>
                <w:u w:val="single"/>
              </w:rPr>
              <w:t xml:space="preserve">0 </w:t>
            </w:r>
          </w:p>
        </w:tc>
        <w:tc>
          <w:tcPr>
            <w:tcW w:w="1524" w:type="dxa"/>
            <w:tcBorders>
              <w:top w:val="nil"/>
              <w:left w:val="nil"/>
              <w:bottom w:val="nil"/>
              <w:right w:val="nil"/>
            </w:tcBorders>
            <w:shd w:val="clear" w:color="auto" w:fill="auto"/>
            <w:noWrap/>
            <w:vAlign w:val="bottom"/>
            <w:hideMark/>
          </w:tcPr>
          <w:p w14:paraId="248C69BA" w14:textId="77777777" w:rsidR="00357426" w:rsidRDefault="00357426" w:rsidP="00EB077E">
            <w:pPr>
              <w:jc w:val="right"/>
              <w:rPr>
                <w:sz w:val="20"/>
                <w:szCs w:val="20"/>
              </w:rPr>
            </w:pPr>
            <w:r>
              <w:rPr>
                <w:sz w:val="20"/>
                <w:szCs w:val="20"/>
              </w:rPr>
              <w:t xml:space="preserve">0 </w:t>
            </w:r>
          </w:p>
        </w:tc>
        <w:tc>
          <w:tcPr>
            <w:tcW w:w="1084" w:type="dxa"/>
            <w:tcBorders>
              <w:top w:val="nil"/>
              <w:left w:val="nil"/>
              <w:bottom w:val="nil"/>
              <w:right w:val="nil"/>
            </w:tcBorders>
            <w:shd w:val="clear" w:color="auto" w:fill="auto"/>
            <w:noWrap/>
            <w:vAlign w:val="bottom"/>
            <w:hideMark/>
          </w:tcPr>
          <w:p w14:paraId="39C0B93F" w14:textId="77777777" w:rsidR="00357426" w:rsidRDefault="00357426" w:rsidP="00EB077E">
            <w:pPr>
              <w:jc w:val="right"/>
              <w:rPr>
                <w:sz w:val="20"/>
                <w:szCs w:val="20"/>
              </w:rPr>
            </w:pPr>
            <w:r>
              <w:rPr>
                <w:sz w:val="20"/>
                <w:szCs w:val="20"/>
              </w:rPr>
              <w:t>0.00%</w:t>
            </w:r>
          </w:p>
        </w:tc>
        <w:tc>
          <w:tcPr>
            <w:tcW w:w="632" w:type="dxa"/>
            <w:tcBorders>
              <w:top w:val="nil"/>
              <w:left w:val="nil"/>
              <w:bottom w:val="nil"/>
              <w:right w:val="nil"/>
            </w:tcBorders>
            <w:shd w:val="clear" w:color="auto" w:fill="auto"/>
            <w:noWrap/>
            <w:vAlign w:val="bottom"/>
            <w:hideMark/>
          </w:tcPr>
          <w:p w14:paraId="318F73F7" w14:textId="77777777" w:rsidR="00357426" w:rsidRDefault="00357426" w:rsidP="00EB077E">
            <w:pPr>
              <w:jc w:val="right"/>
              <w:rPr>
                <w:sz w:val="20"/>
                <w:szCs w:val="20"/>
              </w:rPr>
            </w:pPr>
            <w:r>
              <w:rPr>
                <w:sz w:val="20"/>
                <w:szCs w:val="20"/>
              </w:rPr>
              <w:t>0.00%</w:t>
            </w:r>
          </w:p>
        </w:tc>
        <w:tc>
          <w:tcPr>
            <w:tcW w:w="1280" w:type="dxa"/>
            <w:tcBorders>
              <w:top w:val="nil"/>
              <w:left w:val="nil"/>
              <w:bottom w:val="nil"/>
              <w:right w:val="single" w:sz="8" w:space="0" w:color="auto"/>
            </w:tcBorders>
            <w:shd w:val="clear" w:color="auto" w:fill="auto"/>
            <w:noWrap/>
            <w:vAlign w:val="bottom"/>
            <w:hideMark/>
          </w:tcPr>
          <w:p w14:paraId="6760888B" w14:textId="77777777" w:rsidR="00357426" w:rsidRDefault="00357426" w:rsidP="00EB077E">
            <w:pPr>
              <w:jc w:val="right"/>
              <w:rPr>
                <w:sz w:val="20"/>
                <w:szCs w:val="20"/>
              </w:rPr>
            </w:pPr>
            <w:r>
              <w:rPr>
                <w:sz w:val="20"/>
                <w:szCs w:val="20"/>
              </w:rPr>
              <w:t>0.00%</w:t>
            </w:r>
          </w:p>
        </w:tc>
      </w:tr>
      <w:tr w:rsidR="00357426" w14:paraId="3DF0EBE7" w14:textId="77777777" w:rsidTr="00EB077E">
        <w:trPr>
          <w:trHeight w:val="300"/>
          <w:jc w:val="center"/>
        </w:trPr>
        <w:tc>
          <w:tcPr>
            <w:tcW w:w="320" w:type="dxa"/>
            <w:tcBorders>
              <w:top w:val="nil"/>
              <w:left w:val="single" w:sz="8" w:space="0" w:color="auto"/>
              <w:bottom w:val="nil"/>
              <w:right w:val="nil"/>
            </w:tcBorders>
            <w:shd w:val="clear" w:color="auto" w:fill="auto"/>
            <w:noWrap/>
            <w:vAlign w:val="bottom"/>
            <w:hideMark/>
          </w:tcPr>
          <w:p w14:paraId="6244DA66" w14:textId="77777777" w:rsidR="00357426" w:rsidRDefault="00357426" w:rsidP="00EB077E">
            <w:pPr>
              <w:jc w:val="right"/>
              <w:rPr>
                <w:color w:val="000000"/>
                <w:sz w:val="20"/>
                <w:szCs w:val="20"/>
              </w:rPr>
            </w:pPr>
            <w:r>
              <w:rPr>
                <w:color w:val="000000"/>
                <w:sz w:val="20"/>
                <w:szCs w:val="20"/>
              </w:rPr>
              <w:t>7.</w:t>
            </w:r>
          </w:p>
        </w:tc>
        <w:tc>
          <w:tcPr>
            <w:tcW w:w="3104" w:type="dxa"/>
            <w:tcBorders>
              <w:top w:val="nil"/>
              <w:left w:val="nil"/>
              <w:bottom w:val="nil"/>
              <w:right w:val="nil"/>
            </w:tcBorders>
            <w:shd w:val="clear" w:color="auto" w:fill="auto"/>
            <w:noWrap/>
            <w:vAlign w:val="bottom"/>
            <w:hideMark/>
          </w:tcPr>
          <w:p w14:paraId="067B56B2" w14:textId="77777777" w:rsidR="00357426" w:rsidRDefault="00357426" w:rsidP="00EB077E">
            <w:pPr>
              <w:rPr>
                <w:color w:val="000000"/>
                <w:sz w:val="20"/>
                <w:szCs w:val="20"/>
              </w:rPr>
            </w:pPr>
            <w:r>
              <w:rPr>
                <w:color w:val="000000"/>
                <w:sz w:val="20"/>
                <w:szCs w:val="20"/>
              </w:rPr>
              <w:t>PREFERRED STOCK</w:t>
            </w:r>
          </w:p>
        </w:tc>
        <w:tc>
          <w:tcPr>
            <w:tcW w:w="1044" w:type="dxa"/>
            <w:tcBorders>
              <w:top w:val="nil"/>
              <w:left w:val="nil"/>
              <w:bottom w:val="nil"/>
              <w:right w:val="nil"/>
            </w:tcBorders>
            <w:shd w:val="clear" w:color="auto" w:fill="auto"/>
            <w:noWrap/>
            <w:vAlign w:val="bottom"/>
            <w:hideMark/>
          </w:tcPr>
          <w:p w14:paraId="44B9A3C2" w14:textId="77777777" w:rsidR="00357426" w:rsidRDefault="00357426" w:rsidP="00EB077E">
            <w:pPr>
              <w:jc w:val="right"/>
              <w:rPr>
                <w:sz w:val="20"/>
                <w:szCs w:val="20"/>
                <w:u w:val="single"/>
              </w:rPr>
            </w:pPr>
            <w:r>
              <w:rPr>
                <w:sz w:val="20"/>
                <w:szCs w:val="20"/>
                <w:u w:val="single"/>
              </w:rPr>
              <w:t xml:space="preserve">0 </w:t>
            </w:r>
          </w:p>
        </w:tc>
        <w:tc>
          <w:tcPr>
            <w:tcW w:w="1150" w:type="dxa"/>
            <w:tcBorders>
              <w:top w:val="nil"/>
              <w:left w:val="nil"/>
              <w:bottom w:val="nil"/>
              <w:right w:val="nil"/>
            </w:tcBorders>
            <w:shd w:val="clear" w:color="auto" w:fill="auto"/>
            <w:noWrap/>
            <w:vAlign w:val="bottom"/>
            <w:hideMark/>
          </w:tcPr>
          <w:p w14:paraId="20CC330E" w14:textId="77777777" w:rsidR="00357426" w:rsidRDefault="00357426" w:rsidP="00EB077E">
            <w:pPr>
              <w:jc w:val="right"/>
              <w:rPr>
                <w:sz w:val="20"/>
                <w:szCs w:val="20"/>
                <w:u w:val="single"/>
              </w:rPr>
            </w:pPr>
            <w:r>
              <w:rPr>
                <w:sz w:val="20"/>
                <w:szCs w:val="20"/>
                <w:u w:val="single"/>
              </w:rPr>
              <w:t xml:space="preserve">0 </w:t>
            </w:r>
          </w:p>
        </w:tc>
        <w:tc>
          <w:tcPr>
            <w:tcW w:w="1404" w:type="dxa"/>
            <w:tcBorders>
              <w:top w:val="nil"/>
              <w:left w:val="nil"/>
              <w:bottom w:val="nil"/>
              <w:right w:val="nil"/>
            </w:tcBorders>
            <w:shd w:val="clear" w:color="auto" w:fill="auto"/>
            <w:noWrap/>
            <w:vAlign w:val="bottom"/>
            <w:hideMark/>
          </w:tcPr>
          <w:p w14:paraId="54CF50F0" w14:textId="77777777" w:rsidR="00357426" w:rsidRDefault="00357426" w:rsidP="00EB077E">
            <w:pPr>
              <w:jc w:val="right"/>
              <w:rPr>
                <w:sz w:val="20"/>
                <w:szCs w:val="20"/>
                <w:u w:val="single"/>
              </w:rPr>
            </w:pPr>
            <w:r>
              <w:rPr>
                <w:sz w:val="20"/>
                <w:szCs w:val="20"/>
                <w:u w:val="single"/>
              </w:rPr>
              <w:t xml:space="preserve">0 </w:t>
            </w:r>
          </w:p>
        </w:tc>
        <w:tc>
          <w:tcPr>
            <w:tcW w:w="1605" w:type="dxa"/>
            <w:tcBorders>
              <w:top w:val="nil"/>
              <w:left w:val="nil"/>
              <w:bottom w:val="nil"/>
              <w:right w:val="nil"/>
            </w:tcBorders>
            <w:shd w:val="clear" w:color="auto" w:fill="auto"/>
            <w:noWrap/>
            <w:vAlign w:val="bottom"/>
            <w:hideMark/>
          </w:tcPr>
          <w:p w14:paraId="3060F183" w14:textId="77777777" w:rsidR="00357426" w:rsidRDefault="00357426" w:rsidP="00EB077E">
            <w:pPr>
              <w:jc w:val="right"/>
              <w:rPr>
                <w:sz w:val="20"/>
                <w:szCs w:val="20"/>
                <w:u w:val="single"/>
              </w:rPr>
            </w:pPr>
            <w:r>
              <w:rPr>
                <w:sz w:val="20"/>
                <w:szCs w:val="20"/>
                <w:u w:val="single"/>
              </w:rPr>
              <w:t xml:space="preserve">0 </w:t>
            </w:r>
          </w:p>
        </w:tc>
        <w:tc>
          <w:tcPr>
            <w:tcW w:w="1524" w:type="dxa"/>
            <w:tcBorders>
              <w:top w:val="nil"/>
              <w:left w:val="nil"/>
              <w:bottom w:val="nil"/>
              <w:right w:val="nil"/>
            </w:tcBorders>
            <w:shd w:val="clear" w:color="auto" w:fill="auto"/>
            <w:noWrap/>
            <w:vAlign w:val="bottom"/>
            <w:hideMark/>
          </w:tcPr>
          <w:p w14:paraId="121DFEC4" w14:textId="77777777" w:rsidR="00357426" w:rsidRDefault="00357426" w:rsidP="00EB077E">
            <w:pPr>
              <w:jc w:val="right"/>
              <w:rPr>
                <w:sz w:val="20"/>
                <w:szCs w:val="20"/>
                <w:u w:val="single"/>
              </w:rPr>
            </w:pPr>
            <w:r>
              <w:rPr>
                <w:sz w:val="20"/>
                <w:szCs w:val="20"/>
                <w:u w:val="single"/>
              </w:rPr>
              <w:t xml:space="preserve">0 </w:t>
            </w:r>
          </w:p>
        </w:tc>
        <w:tc>
          <w:tcPr>
            <w:tcW w:w="1084" w:type="dxa"/>
            <w:tcBorders>
              <w:top w:val="nil"/>
              <w:left w:val="nil"/>
              <w:bottom w:val="nil"/>
              <w:right w:val="nil"/>
            </w:tcBorders>
            <w:shd w:val="clear" w:color="auto" w:fill="auto"/>
            <w:noWrap/>
            <w:vAlign w:val="bottom"/>
            <w:hideMark/>
          </w:tcPr>
          <w:p w14:paraId="23C36651" w14:textId="77777777" w:rsidR="00357426" w:rsidRDefault="00357426" w:rsidP="00EB077E">
            <w:pPr>
              <w:jc w:val="right"/>
              <w:rPr>
                <w:sz w:val="20"/>
                <w:szCs w:val="20"/>
                <w:u w:val="single"/>
              </w:rPr>
            </w:pPr>
            <w:r>
              <w:rPr>
                <w:sz w:val="20"/>
                <w:szCs w:val="20"/>
                <w:u w:val="single"/>
              </w:rPr>
              <w:t>0.00%</w:t>
            </w:r>
          </w:p>
        </w:tc>
        <w:tc>
          <w:tcPr>
            <w:tcW w:w="632" w:type="dxa"/>
            <w:tcBorders>
              <w:top w:val="nil"/>
              <w:left w:val="nil"/>
              <w:bottom w:val="nil"/>
              <w:right w:val="nil"/>
            </w:tcBorders>
            <w:shd w:val="clear" w:color="auto" w:fill="auto"/>
            <w:noWrap/>
            <w:vAlign w:val="bottom"/>
            <w:hideMark/>
          </w:tcPr>
          <w:p w14:paraId="1A390559" w14:textId="77777777" w:rsidR="00357426" w:rsidRDefault="00357426" w:rsidP="00EB077E">
            <w:pPr>
              <w:jc w:val="right"/>
              <w:rPr>
                <w:sz w:val="20"/>
                <w:szCs w:val="20"/>
                <w:u w:val="single"/>
              </w:rPr>
            </w:pPr>
            <w:r>
              <w:rPr>
                <w:sz w:val="20"/>
                <w:szCs w:val="20"/>
                <w:u w:val="single"/>
              </w:rPr>
              <w:t>0.00%</w:t>
            </w:r>
          </w:p>
        </w:tc>
        <w:tc>
          <w:tcPr>
            <w:tcW w:w="1280" w:type="dxa"/>
            <w:tcBorders>
              <w:top w:val="nil"/>
              <w:left w:val="nil"/>
              <w:bottom w:val="nil"/>
              <w:right w:val="single" w:sz="8" w:space="0" w:color="auto"/>
            </w:tcBorders>
            <w:shd w:val="clear" w:color="auto" w:fill="auto"/>
            <w:noWrap/>
            <w:vAlign w:val="bottom"/>
            <w:hideMark/>
          </w:tcPr>
          <w:p w14:paraId="188EEB98" w14:textId="77777777" w:rsidR="00357426" w:rsidRDefault="00357426" w:rsidP="00EB077E">
            <w:pPr>
              <w:jc w:val="right"/>
              <w:rPr>
                <w:sz w:val="20"/>
                <w:szCs w:val="20"/>
                <w:u w:val="single"/>
              </w:rPr>
            </w:pPr>
            <w:r>
              <w:rPr>
                <w:sz w:val="20"/>
                <w:szCs w:val="20"/>
                <w:u w:val="single"/>
              </w:rPr>
              <w:t>0.00%</w:t>
            </w:r>
          </w:p>
        </w:tc>
      </w:tr>
      <w:tr w:rsidR="00357426" w14:paraId="35EF300C" w14:textId="77777777" w:rsidTr="00EB077E">
        <w:trPr>
          <w:trHeight w:val="300"/>
          <w:jc w:val="center"/>
        </w:trPr>
        <w:tc>
          <w:tcPr>
            <w:tcW w:w="320" w:type="dxa"/>
            <w:tcBorders>
              <w:top w:val="nil"/>
              <w:left w:val="single" w:sz="8" w:space="0" w:color="auto"/>
              <w:bottom w:val="nil"/>
              <w:right w:val="nil"/>
            </w:tcBorders>
            <w:shd w:val="clear" w:color="auto" w:fill="auto"/>
            <w:noWrap/>
            <w:vAlign w:val="bottom"/>
            <w:hideMark/>
          </w:tcPr>
          <w:p w14:paraId="5E96D3E8" w14:textId="77777777" w:rsidR="00357426" w:rsidRDefault="00357426" w:rsidP="00EB077E">
            <w:pPr>
              <w:jc w:val="right"/>
              <w:rPr>
                <w:color w:val="000000"/>
                <w:sz w:val="20"/>
                <w:szCs w:val="20"/>
              </w:rPr>
            </w:pPr>
            <w:r>
              <w:rPr>
                <w:color w:val="000000"/>
                <w:sz w:val="20"/>
                <w:szCs w:val="20"/>
              </w:rPr>
              <w:t> </w:t>
            </w:r>
          </w:p>
        </w:tc>
        <w:tc>
          <w:tcPr>
            <w:tcW w:w="3104" w:type="dxa"/>
            <w:tcBorders>
              <w:top w:val="nil"/>
              <w:left w:val="nil"/>
              <w:bottom w:val="nil"/>
              <w:right w:val="nil"/>
            </w:tcBorders>
            <w:shd w:val="clear" w:color="auto" w:fill="auto"/>
            <w:noWrap/>
            <w:vAlign w:val="bottom"/>
            <w:hideMark/>
          </w:tcPr>
          <w:p w14:paraId="5B4C6710" w14:textId="77777777" w:rsidR="00357426" w:rsidRDefault="00357426" w:rsidP="00EB077E">
            <w:pPr>
              <w:rPr>
                <w:color w:val="000000"/>
                <w:sz w:val="20"/>
                <w:szCs w:val="20"/>
              </w:rPr>
            </w:pPr>
            <w:r>
              <w:rPr>
                <w:color w:val="000000"/>
                <w:sz w:val="20"/>
                <w:szCs w:val="20"/>
              </w:rPr>
              <w:t xml:space="preserve">   TOTAL DEBT</w:t>
            </w:r>
          </w:p>
        </w:tc>
        <w:tc>
          <w:tcPr>
            <w:tcW w:w="1044" w:type="dxa"/>
            <w:tcBorders>
              <w:top w:val="nil"/>
              <w:left w:val="nil"/>
              <w:bottom w:val="nil"/>
              <w:right w:val="nil"/>
            </w:tcBorders>
            <w:shd w:val="clear" w:color="auto" w:fill="auto"/>
            <w:noWrap/>
            <w:vAlign w:val="bottom"/>
            <w:hideMark/>
          </w:tcPr>
          <w:p w14:paraId="1D1AAD5A" w14:textId="77777777" w:rsidR="00357426" w:rsidRDefault="00357426" w:rsidP="00EB077E">
            <w:pPr>
              <w:jc w:val="right"/>
              <w:rPr>
                <w:sz w:val="20"/>
                <w:szCs w:val="20"/>
              </w:rPr>
            </w:pPr>
            <w:r>
              <w:rPr>
                <w:sz w:val="20"/>
                <w:szCs w:val="20"/>
              </w:rPr>
              <w:t xml:space="preserve">$0 </w:t>
            </w:r>
          </w:p>
        </w:tc>
        <w:tc>
          <w:tcPr>
            <w:tcW w:w="1150" w:type="dxa"/>
            <w:tcBorders>
              <w:top w:val="nil"/>
              <w:left w:val="nil"/>
              <w:bottom w:val="nil"/>
              <w:right w:val="nil"/>
            </w:tcBorders>
            <w:shd w:val="clear" w:color="auto" w:fill="auto"/>
            <w:noWrap/>
            <w:vAlign w:val="bottom"/>
            <w:hideMark/>
          </w:tcPr>
          <w:p w14:paraId="237915B0" w14:textId="77777777" w:rsidR="00357426" w:rsidRDefault="00357426" w:rsidP="00EB077E">
            <w:pPr>
              <w:jc w:val="right"/>
              <w:rPr>
                <w:sz w:val="20"/>
                <w:szCs w:val="20"/>
              </w:rPr>
            </w:pPr>
            <w:r>
              <w:rPr>
                <w:sz w:val="20"/>
                <w:szCs w:val="20"/>
              </w:rPr>
              <w:t xml:space="preserve">$0 </w:t>
            </w:r>
          </w:p>
        </w:tc>
        <w:tc>
          <w:tcPr>
            <w:tcW w:w="1404" w:type="dxa"/>
            <w:tcBorders>
              <w:top w:val="nil"/>
              <w:left w:val="nil"/>
              <w:bottom w:val="nil"/>
              <w:right w:val="nil"/>
            </w:tcBorders>
            <w:shd w:val="clear" w:color="auto" w:fill="auto"/>
            <w:noWrap/>
            <w:vAlign w:val="bottom"/>
            <w:hideMark/>
          </w:tcPr>
          <w:p w14:paraId="7741B90E" w14:textId="77777777" w:rsidR="00357426" w:rsidRDefault="00357426" w:rsidP="00EB077E">
            <w:pPr>
              <w:jc w:val="right"/>
              <w:rPr>
                <w:sz w:val="20"/>
                <w:szCs w:val="20"/>
              </w:rPr>
            </w:pPr>
            <w:r>
              <w:rPr>
                <w:sz w:val="20"/>
                <w:szCs w:val="20"/>
              </w:rPr>
              <w:t xml:space="preserve">$0 </w:t>
            </w:r>
          </w:p>
        </w:tc>
        <w:tc>
          <w:tcPr>
            <w:tcW w:w="1605" w:type="dxa"/>
            <w:tcBorders>
              <w:top w:val="nil"/>
              <w:left w:val="nil"/>
              <w:bottom w:val="nil"/>
              <w:right w:val="nil"/>
            </w:tcBorders>
            <w:shd w:val="clear" w:color="auto" w:fill="auto"/>
            <w:noWrap/>
            <w:vAlign w:val="bottom"/>
            <w:hideMark/>
          </w:tcPr>
          <w:p w14:paraId="2F65502A" w14:textId="77777777" w:rsidR="00357426" w:rsidRDefault="00357426" w:rsidP="00EB077E">
            <w:pPr>
              <w:jc w:val="right"/>
              <w:rPr>
                <w:sz w:val="20"/>
                <w:szCs w:val="20"/>
              </w:rPr>
            </w:pPr>
            <w:r>
              <w:rPr>
                <w:sz w:val="20"/>
                <w:szCs w:val="20"/>
              </w:rPr>
              <w:t xml:space="preserve">$0 </w:t>
            </w:r>
          </w:p>
        </w:tc>
        <w:tc>
          <w:tcPr>
            <w:tcW w:w="1524" w:type="dxa"/>
            <w:tcBorders>
              <w:top w:val="nil"/>
              <w:left w:val="nil"/>
              <w:bottom w:val="nil"/>
              <w:right w:val="nil"/>
            </w:tcBorders>
            <w:shd w:val="clear" w:color="auto" w:fill="auto"/>
            <w:noWrap/>
            <w:vAlign w:val="bottom"/>
            <w:hideMark/>
          </w:tcPr>
          <w:p w14:paraId="5CC11B52" w14:textId="77777777" w:rsidR="00357426" w:rsidRDefault="00357426" w:rsidP="00EB077E">
            <w:pPr>
              <w:jc w:val="right"/>
              <w:rPr>
                <w:sz w:val="20"/>
                <w:szCs w:val="20"/>
              </w:rPr>
            </w:pPr>
            <w:r>
              <w:rPr>
                <w:sz w:val="20"/>
                <w:szCs w:val="20"/>
              </w:rPr>
              <w:t xml:space="preserve">$0 </w:t>
            </w:r>
          </w:p>
        </w:tc>
        <w:tc>
          <w:tcPr>
            <w:tcW w:w="1084" w:type="dxa"/>
            <w:tcBorders>
              <w:top w:val="nil"/>
              <w:left w:val="nil"/>
              <w:bottom w:val="nil"/>
              <w:right w:val="nil"/>
            </w:tcBorders>
            <w:shd w:val="clear" w:color="auto" w:fill="auto"/>
            <w:noWrap/>
            <w:vAlign w:val="bottom"/>
            <w:hideMark/>
          </w:tcPr>
          <w:p w14:paraId="7741FE3D" w14:textId="77777777" w:rsidR="00357426" w:rsidRDefault="00357426" w:rsidP="00EB077E">
            <w:pPr>
              <w:jc w:val="right"/>
              <w:rPr>
                <w:sz w:val="20"/>
                <w:szCs w:val="20"/>
              </w:rPr>
            </w:pPr>
            <w:r>
              <w:rPr>
                <w:sz w:val="20"/>
                <w:szCs w:val="20"/>
              </w:rPr>
              <w:t>0.00%</w:t>
            </w:r>
          </w:p>
        </w:tc>
        <w:tc>
          <w:tcPr>
            <w:tcW w:w="632" w:type="dxa"/>
            <w:tcBorders>
              <w:top w:val="nil"/>
              <w:left w:val="nil"/>
              <w:bottom w:val="nil"/>
              <w:right w:val="nil"/>
            </w:tcBorders>
            <w:shd w:val="clear" w:color="auto" w:fill="auto"/>
            <w:noWrap/>
            <w:vAlign w:val="bottom"/>
            <w:hideMark/>
          </w:tcPr>
          <w:p w14:paraId="39C3681E" w14:textId="77777777" w:rsidR="00357426" w:rsidRDefault="00357426" w:rsidP="00EB077E">
            <w:pPr>
              <w:jc w:val="right"/>
              <w:rPr>
                <w:sz w:val="20"/>
                <w:szCs w:val="20"/>
              </w:rPr>
            </w:pPr>
            <w:r>
              <w:rPr>
                <w:sz w:val="20"/>
                <w:szCs w:val="20"/>
              </w:rPr>
              <w:t>0.00%</w:t>
            </w:r>
          </w:p>
        </w:tc>
        <w:tc>
          <w:tcPr>
            <w:tcW w:w="1280" w:type="dxa"/>
            <w:tcBorders>
              <w:top w:val="nil"/>
              <w:left w:val="nil"/>
              <w:bottom w:val="nil"/>
              <w:right w:val="single" w:sz="8" w:space="0" w:color="auto"/>
            </w:tcBorders>
            <w:shd w:val="clear" w:color="auto" w:fill="auto"/>
            <w:noWrap/>
            <w:vAlign w:val="bottom"/>
            <w:hideMark/>
          </w:tcPr>
          <w:p w14:paraId="187E076A" w14:textId="77777777" w:rsidR="00357426" w:rsidRDefault="00357426" w:rsidP="00EB077E">
            <w:pPr>
              <w:jc w:val="right"/>
              <w:rPr>
                <w:sz w:val="20"/>
                <w:szCs w:val="20"/>
              </w:rPr>
            </w:pPr>
            <w:r>
              <w:rPr>
                <w:sz w:val="20"/>
                <w:szCs w:val="20"/>
              </w:rPr>
              <w:t>0.00%</w:t>
            </w:r>
          </w:p>
        </w:tc>
      </w:tr>
      <w:tr w:rsidR="00357426" w14:paraId="599CA4B1" w14:textId="77777777" w:rsidTr="00EB077E">
        <w:trPr>
          <w:trHeight w:val="300"/>
          <w:jc w:val="center"/>
        </w:trPr>
        <w:tc>
          <w:tcPr>
            <w:tcW w:w="320" w:type="dxa"/>
            <w:tcBorders>
              <w:top w:val="nil"/>
              <w:left w:val="single" w:sz="8" w:space="0" w:color="auto"/>
              <w:bottom w:val="nil"/>
              <w:right w:val="nil"/>
            </w:tcBorders>
            <w:shd w:val="clear" w:color="auto" w:fill="auto"/>
            <w:noWrap/>
            <w:vAlign w:val="bottom"/>
            <w:hideMark/>
          </w:tcPr>
          <w:p w14:paraId="3412FB3A" w14:textId="77777777" w:rsidR="00357426" w:rsidRDefault="00357426" w:rsidP="00EB077E">
            <w:pPr>
              <w:jc w:val="right"/>
              <w:rPr>
                <w:color w:val="000000"/>
                <w:sz w:val="20"/>
                <w:szCs w:val="20"/>
              </w:rPr>
            </w:pPr>
            <w:r>
              <w:rPr>
                <w:color w:val="000000"/>
                <w:sz w:val="20"/>
                <w:szCs w:val="20"/>
              </w:rPr>
              <w:t> </w:t>
            </w:r>
          </w:p>
        </w:tc>
        <w:tc>
          <w:tcPr>
            <w:tcW w:w="3104" w:type="dxa"/>
            <w:tcBorders>
              <w:top w:val="nil"/>
              <w:left w:val="nil"/>
              <w:bottom w:val="nil"/>
              <w:right w:val="nil"/>
            </w:tcBorders>
            <w:shd w:val="clear" w:color="auto" w:fill="auto"/>
            <w:noWrap/>
            <w:vAlign w:val="bottom"/>
            <w:hideMark/>
          </w:tcPr>
          <w:p w14:paraId="573CA2C1" w14:textId="77777777" w:rsidR="00357426" w:rsidRDefault="00357426" w:rsidP="00EB077E">
            <w:pPr>
              <w:rPr>
                <w:color w:val="000000"/>
                <w:sz w:val="20"/>
                <w:szCs w:val="20"/>
              </w:rPr>
            </w:pPr>
          </w:p>
        </w:tc>
        <w:tc>
          <w:tcPr>
            <w:tcW w:w="1044" w:type="dxa"/>
            <w:tcBorders>
              <w:top w:val="nil"/>
              <w:left w:val="nil"/>
              <w:bottom w:val="nil"/>
              <w:right w:val="nil"/>
            </w:tcBorders>
            <w:shd w:val="clear" w:color="auto" w:fill="auto"/>
            <w:noWrap/>
            <w:vAlign w:val="bottom"/>
            <w:hideMark/>
          </w:tcPr>
          <w:p w14:paraId="4C3CB947" w14:textId="77777777" w:rsidR="00357426" w:rsidRDefault="00357426" w:rsidP="00EB077E">
            <w:pPr>
              <w:rPr>
                <w:sz w:val="20"/>
                <w:szCs w:val="20"/>
              </w:rPr>
            </w:pPr>
          </w:p>
        </w:tc>
        <w:tc>
          <w:tcPr>
            <w:tcW w:w="1150" w:type="dxa"/>
            <w:tcBorders>
              <w:top w:val="nil"/>
              <w:left w:val="nil"/>
              <w:bottom w:val="nil"/>
              <w:right w:val="nil"/>
            </w:tcBorders>
            <w:shd w:val="clear" w:color="auto" w:fill="auto"/>
            <w:noWrap/>
            <w:vAlign w:val="bottom"/>
            <w:hideMark/>
          </w:tcPr>
          <w:p w14:paraId="509CB99A" w14:textId="77777777" w:rsidR="00357426" w:rsidRDefault="00357426" w:rsidP="00EB077E">
            <w:pPr>
              <w:rPr>
                <w:sz w:val="20"/>
                <w:szCs w:val="20"/>
              </w:rPr>
            </w:pPr>
          </w:p>
        </w:tc>
        <w:tc>
          <w:tcPr>
            <w:tcW w:w="1404" w:type="dxa"/>
            <w:tcBorders>
              <w:top w:val="nil"/>
              <w:left w:val="nil"/>
              <w:bottom w:val="nil"/>
              <w:right w:val="nil"/>
            </w:tcBorders>
            <w:shd w:val="clear" w:color="auto" w:fill="auto"/>
            <w:noWrap/>
            <w:vAlign w:val="bottom"/>
            <w:hideMark/>
          </w:tcPr>
          <w:p w14:paraId="2789167F" w14:textId="77777777" w:rsidR="00357426" w:rsidRDefault="00357426" w:rsidP="00EB077E">
            <w:pPr>
              <w:rPr>
                <w:sz w:val="20"/>
                <w:szCs w:val="20"/>
              </w:rPr>
            </w:pPr>
          </w:p>
        </w:tc>
        <w:tc>
          <w:tcPr>
            <w:tcW w:w="1605" w:type="dxa"/>
            <w:tcBorders>
              <w:top w:val="nil"/>
              <w:left w:val="nil"/>
              <w:bottom w:val="nil"/>
              <w:right w:val="nil"/>
            </w:tcBorders>
            <w:shd w:val="clear" w:color="auto" w:fill="auto"/>
            <w:noWrap/>
            <w:vAlign w:val="bottom"/>
            <w:hideMark/>
          </w:tcPr>
          <w:p w14:paraId="5130DFE6" w14:textId="77777777" w:rsidR="00357426" w:rsidRDefault="00357426" w:rsidP="00EB077E">
            <w:pPr>
              <w:rPr>
                <w:sz w:val="20"/>
                <w:szCs w:val="20"/>
              </w:rPr>
            </w:pPr>
          </w:p>
        </w:tc>
        <w:tc>
          <w:tcPr>
            <w:tcW w:w="1524" w:type="dxa"/>
            <w:tcBorders>
              <w:top w:val="nil"/>
              <w:left w:val="nil"/>
              <w:bottom w:val="nil"/>
              <w:right w:val="nil"/>
            </w:tcBorders>
            <w:shd w:val="clear" w:color="auto" w:fill="auto"/>
            <w:noWrap/>
            <w:vAlign w:val="bottom"/>
            <w:hideMark/>
          </w:tcPr>
          <w:p w14:paraId="5B0A6B9F" w14:textId="77777777" w:rsidR="00357426" w:rsidRDefault="00357426" w:rsidP="00EB077E">
            <w:pPr>
              <w:rPr>
                <w:sz w:val="20"/>
                <w:szCs w:val="20"/>
              </w:rPr>
            </w:pPr>
          </w:p>
        </w:tc>
        <w:tc>
          <w:tcPr>
            <w:tcW w:w="1084" w:type="dxa"/>
            <w:tcBorders>
              <w:top w:val="nil"/>
              <w:left w:val="nil"/>
              <w:bottom w:val="nil"/>
              <w:right w:val="nil"/>
            </w:tcBorders>
            <w:shd w:val="clear" w:color="auto" w:fill="auto"/>
            <w:noWrap/>
            <w:vAlign w:val="bottom"/>
            <w:hideMark/>
          </w:tcPr>
          <w:p w14:paraId="39CF9046" w14:textId="77777777" w:rsidR="00357426" w:rsidRDefault="00357426" w:rsidP="00EB077E">
            <w:pPr>
              <w:rPr>
                <w:sz w:val="20"/>
                <w:szCs w:val="20"/>
              </w:rPr>
            </w:pPr>
          </w:p>
        </w:tc>
        <w:tc>
          <w:tcPr>
            <w:tcW w:w="632" w:type="dxa"/>
            <w:tcBorders>
              <w:top w:val="nil"/>
              <w:left w:val="nil"/>
              <w:bottom w:val="nil"/>
              <w:right w:val="nil"/>
            </w:tcBorders>
            <w:shd w:val="clear" w:color="auto" w:fill="auto"/>
            <w:noWrap/>
            <w:vAlign w:val="bottom"/>
            <w:hideMark/>
          </w:tcPr>
          <w:p w14:paraId="6ADE9B47" w14:textId="77777777" w:rsidR="00357426" w:rsidRDefault="00357426" w:rsidP="00EB077E">
            <w:pPr>
              <w:rPr>
                <w:sz w:val="20"/>
                <w:szCs w:val="20"/>
              </w:rPr>
            </w:pPr>
          </w:p>
        </w:tc>
        <w:tc>
          <w:tcPr>
            <w:tcW w:w="1280" w:type="dxa"/>
            <w:tcBorders>
              <w:top w:val="nil"/>
              <w:left w:val="nil"/>
              <w:bottom w:val="nil"/>
              <w:right w:val="single" w:sz="8" w:space="0" w:color="auto"/>
            </w:tcBorders>
            <w:shd w:val="clear" w:color="auto" w:fill="auto"/>
            <w:noWrap/>
            <w:vAlign w:val="bottom"/>
            <w:hideMark/>
          </w:tcPr>
          <w:p w14:paraId="78F7E86D" w14:textId="77777777" w:rsidR="00357426" w:rsidRDefault="00357426" w:rsidP="00EB077E">
            <w:pPr>
              <w:rPr>
                <w:sz w:val="20"/>
                <w:szCs w:val="20"/>
              </w:rPr>
            </w:pPr>
            <w:r>
              <w:rPr>
                <w:sz w:val="20"/>
                <w:szCs w:val="20"/>
              </w:rPr>
              <w:t> </w:t>
            </w:r>
          </w:p>
        </w:tc>
      </w:tr>
      <w:tr w:rsidR="00357426" w14:paraId="36549B2D" w14:textId="77777777" w:rsidTr="00EB077E">
        <w:trPr>
          <w:trHeight w:val="336"/>
          <w:jc w:val="center"/>
        </w:trPr>
        <w:tc>
          <w:tcPr>
            <w:tcW w:w="320" w:type="dxa"/>
            <w:tcBorders>
              <w:top w:val="nil"/>
              <w:left w:val="single" w:sz="8" w:space="0" w:color="auto"/>
              <w:bottom w:val="nil"/>
              <w:right w:val="nil"/>
            </w:tcBorders>
            <w:shd w:val="clear" w:color="auto" w:fill="auto"/>
            <w:noWrap/>
            <w:vAlign w:val="bottom"/>
            <w:hideMark/>
          </w:tcPr>
          <w:p w14:paraId="69670752" w14:textId="77777777" w:rsidR="00357426" w:rsidRDefault="00357426" w:rsidP="00EB077E">
            <w:pPr>
              <w:jc w:val="right"/>
              <w:rPr>
                <w:color w:val="000000"/>
                <w:sz w:val="20"/>
                <w:szCs w:val="20"/>
              </w:rPr>
            </w:pPr>
            <w:r>
              <w:rPr>
                <w:color w:val="000000"/>
                <w:sz w:val="20"/>
                <w:szCs w:val="20"/>
              </w:rPr>
              <w:t>8.</w:t>
            </w:r>
          </w:p>
        </w:tc>
        <w:tc>
          <w:tcPr>
            <w:tcW w:w="3104" w:type="dxa"/>
            <w:tcBorders>
              <w:top w:val="nil"/>
              <w:left w:val="nil"/>
              <w:bottom w:val="nil"/>
              <w:right w:val="nil"/>
            </w:tcBorders>
            <w:shd w:val="clear" w:color="auto" w:fill="auto"/>
            <w:noWrap/>
            <w:vAlign w:val="bottom"/>
            <w:hideMark/>
          </w:tcPr>
          <w:p w14:paraId="3090B9A5" w14:textId="77777777" w:rsidR="00357426" w:rsidRDefault="00357426" w:rsidP="00EB077E">
            <w:pPr>
              <w:rPr>
                <w:color w:val="000000"/>
                <w:sz w:val="20"/>
                <w:szCs w:val="20"/>
              </w:rPr>
            </w:pPr>
            <w:r>
              <w:rPr>
                <w:color w:val="000000"/>
                <w:sz w:val="20"/>
                <w:szCs w:val="20"/>
              </w:rPr>
              <w:t>CUSTOMER DEPOSITS</w:t>
            </w:r>
          </w:p>
        </w:tc>
        <w:tc>
          <w:tcPr>
            <w:tcW w:w="1044" w:type="dxa"/>
            <w:tcBorders>
              <w:top w:val="nil"/>
              <w:left w:val="nil"/>
              <w:bottom w:val="nil"/>
              <w:right w:val="nil"/>
            </w:tcBorders>
            <w:shd w:val="clear" w:color="auto" w:fill="auto"/>
            <w:noWrap/>
            <w:vAlign w:val="bottom"/>
            <w:hideMark/>
          </w:tcPr>
          <w:p w14:paraId="3B2EB526" w14:textId="77777777" w:rsidR="00357426" w:rsidRDefault="00357426" w:rsidP="00EB077E">
            <w:pPr>
              <w:jc w:val="right"/>
              <w:rPr>
                <w:sz w:val="20"/>
                <w:szCs w:val="20"/>
                <w:u w:val="single"/>
              </w:rPr>
            </w:pPr>
            <w:r>
              <w:rPr>
                <w:sz w:val="20"/>
                <w:szCs w:val="20"/>
                <w:u w:val="single"/>
              </w:rPr>
              <w:t xml:space="preserve">0 </w:t>
            </w:r>
          </w:p>
        </w:tc>
        <w:tc>
          <w:tcPr>
            <w:tcW w:w="1150" w:type="dxa"/>
            <w:tcBorders>
              <w:top w:val="nil"/>
              <w:left w:val="nil"/>
              <w:bottom w:val="nil"/>
              <w:right w:val="nil"/>
            </w:tcBorders>
            <w:shd w:val="clear" w:color="auto" w:fill="auto"/>
            <w:noWrap/>
            <w:vAlign w:val="bottom"/>
            <w:hideMark/>
          </w:tcPr>
          <w:p w14:paraId="09E85437" w14:textId="77777777" w:rsidR="00357426" w:rsidRDefault="00357426" w:rsidP="00EB077E">
            <w:pPr>
              <w:jc w:val="right"/>
              <w:rPr>
                <w:sz w:val="20"/>
                <w:szCs w:val="20"/>
                <w:u w:val="single"/>
              </w:rPr>
            </w:pPr>
            <w:r>
              <w:rPr>
                <w:sz w:val="20"/>
                <w:szCs w:val="20"/>
                <w:u w:val="single"/>
              </w:rPr>
              <w:t xml:space="preserve">0 </w:t>
            </w:r>
          </w:p>
        </w:tc>
        <w:tc>
          <w:tcPr>
            <w:tcW w:w="1404" w:type="dxa"/>
            <w:tcBorders>
              <w:top w:val="nil"/>
              <w:left w:val="nil"/>
              <w:bottom w:val="nil"/>
              <w:right w:val="nil"/>
            </w:tcBorders>
            <w:shd w:val="clear" w:color="auto" w:fill="auto"/>
            <w:noWrap/>
            <w:vAlign w:val="bottom"/>
            <w:hideMark/>
          </w:tcPr>
          <w:p w14:paraId="30F37A8D" w14:textId="77777777" w:rsidR="00357426" w:rsidRDefault="00357426" w:rsidP="00EB077E">
            <w:pPr>
              <w:jc w:val="right"/>
              <w:rPr>
                <w:sz w:val="20"/>
                <w:szCs w:val="20"/>
                <w:u w:val="single"/>
              </w:rPr>
            </w:pPr>
            <w:r>
              <w:rPr>
                <w:sz w:val="20"/>
                <w:szCs w:val="20"/>
                <w:u w:val="single"/>
              </w:rPr>
              <w:t xml:space="preserve">0 </w:t>
            </w:r>
          </w:p>
        </w:tc>
        <w:tc>
          <w:tcPr>
            <w:tcW w:w="1605" w:type="dxa"/>
            <w:tcBorders>
              <w:top w:val="nil"/>
              <w:left w:val="nil"/>
              <w:bottom w:val="nil"/>
              <w:right w:val="nil"/>
            </w:tcBorders>
            <w:shd w:val="clear" w:color="auto" w:fill="auto"/>
            <w:noWrap/>
            <w:vAlign w:val="bottom"/>
            <w:hideMark/>
          </w:tcPr>
          <w:p w14:paraId="07B15263" w14:textId="77777777" w:rsidR="00357426" w:rsidRDefault="00357426" w:rsidP="00EB077E">
            <w:pPr>
              <w:jc w:val="right"/>
              <w:rPr>
                <w:sz w:val="20"/>
                <w:szCs w:val="20"/>
                <w:u w:val="single"/>
              </w:rPr>
            </w:pPr>
            <w:r>
              <w:rPr>
                <w:sz w:val="20"/>
                <w:szCs w:val="20"/>
                <w:u w:val="single"/>
              </w:rPr>
              <w:t xml:space="preserve">0 </w:t>
            </w:r>
          </w:p>
        </w:tc>
        <w:tc>
          <w:tcPr>
            <w:tcW w:w="1524" w:type="dxa"/>
            <w:tcBorders>
              <w:top w:val="nil"/>
              <w:left w:val="nil"/>
              <w:bottom w:val="nil"/>
              <w:right w:val="nil"/>
            </w:tcBorders>
            <w:shd w:val="clear" w:color="auto" w:fill="auto"/>
            <w:noWrap/>
            <w:vAlign w:val="bottom"/>
            <w:hideMark/>
          </w:tcPr>
          <w:p w14:paraId="38B2474E" w14:textId="77777777" w:rsidR="00357426" w:rsidRDefault="00357426" w:rsidP="00EB077E">
            <w:pPr>
              <w:jc w:val="right"/>
              <w:rPr>
                <w:sz w:val="20"/>
                <w:szCs w:val="20"/>
                <w:u w:val="single"/>
              </w:rPr>
            </w:pPr>
            <w:r>
              <w:rPr>
                <w:sz w:val="20"/>
                <w:szCs w:val="20"/>
                <w:u w:val="single"/>
              </w:rPr>
              <w:t xml:space="preserve">0 </w:t>
            </w:r>
          </w:p>
        </w:tc>
        <w:tc>
          <w:tcPr>
            <w:tcW w:w="1084" w:type="dxa"/>
            <w:tcBorders>
              <w:top w:val="nil"/>
              <w:left w:val="nil"/>
              <w:bottom w:val="nil"/>
              <w:right w:val="nil"/>
            </w:tcBorders>
            <w:shd w:val="clear" w:color="auto" w:fill="auto"/>
            <w:noWrap/>
            <w:vAlign w:val="bottom"/>
            <w:hideMark/>
          </w:tcPr>
          <w:p w14:paraId="2A663CAD" w14:textId="77777777" w:rsidR="00357426" w:rsidRDefault="00357426" w:rsidP="00EB077E">
            <w:pPr>
              <w:jc w:val="right"/>
              <w:rPr>
                <w:sz w:val="20"/>
                <w:szCs w:val="20"/>
                <w:u w:val="single"/>
              </w:rPr>
            </w:pPr>
            <w:r>
              <w:rPr>
                <w:sz w:val="20"/>
                <w:szCs w:val="20"/>
                <w:u w:val="single"/>
              </w:rPr>
              <w:t>0.00%</w:t>
            </w:r>
          </w:p>
        </w:tc>
        <w:tc>
          <w:tcPr>
            <w:tcW w:w="632" w:type="dxa"/>
            <w:tcBorders>
              <w:top w:val="nil"/>
              <w:left w:val="nil"/>
              <w:bottom w:val="nil"/>
              <w:right w:val="nil"/>
            </w:tcBorders>
            <w:shd w:val="clear" w:color="auto" w:fill="auto"/>
            <w:noWrap/>
            <w:vAlign w:val="bottom"/>
            <w:hideMark/>
          </w:tcPr>
          <w:p w14:paraId="2F327B4F" w14:textId="77777777" w:rsidR="00357426" w:rsidRDefault="00357426" w:rsidP="00EB077E">
            <w:pPr>
              <w:jc w:val="right"/>
              <w:rPr>
                <w:sz w:val="20"/>
                <w:szCs w:val="20"/>
              </w:rPr>
            </w:pPr>
            <w:r>
              <w:rPr>
                <w:sz w:val="20"/>
                <w:szCs w:val="20"/>
              </w:rPr>
              <w:t>2.00%</w:t>
            </w:r>
          </w:p>
        </w:tc>
        <w:tc>
          <w:tcPr>
            <w:tcW w:w="1280" w:type="dxa"/>
            <w:tcBorders>
              <w:top w:val="nil"/>
              <w:left w:val="nil"/>
              <w:bottom w:val="nil"/>
              <w:right w:val="single" w:sz="8" w:space="0" w:color="auto"/>
            </w:tcBorders>
            <w:shd w:val="clear" w:color="auto" w:fill="auto"/>
            <w:noWrap/>
            <w:vAlign w:val="bottom"/>
            <w:hideMark/>
          </w:tcPr>
          <w:p w14:paraId="3EB163F6" w14:textId="77777777" w:rsidR="00357426" w:rsidRDefault="00357426" w:rsidP="00EB077E">
            <w:pPr>
              <w:jc w:val="right"/>
              <w:rPr>
                <w:sz w:val="20"/>
                <w:szCs w:val="20"/>
                <w:u w:val="single"/>
              </w:rPr>
            </w:pPr>
            <w:r>
              <w:rPr>
                <w:sz w:val="20"/>
                <w:szCs w:val="20"/>
                <w:u w:val="single"/>
              </w:rPr>
              <w:t>0.00%</w:t>
            </w:r>
          </w:p>
        </w:tc>
      </w:tr>
      <w:tr w:rsidR="00357426" w14:paraId="72C6716C" w14:textId="77777777" w:rsidTr="00EB077E">
        <w:trPr>
          <w:trHeight w:val="300"/>
          <w:jc w:val="center"/>
        </w:trPr>
        <w:tc>
          <w:tcPr>
            <w:tcW w:w="320" w:type="dxa"/>
            <w:tcBorders>
              <w:top w:val="nil"/>
              <w:left w:val="single" w:sz="8" w:space="0" w:color="auto"/>
              <w:bottom w:val="nil"/>
              <w:right w:val="nil"/>
            </w:tcBorders>
            <w:shd w:val="clear" w:color="auto" w:fill="auto"/>
            <w:noWrap/>
            <w:vAlign w:val="bottom"/>
            <w:hideMark/>
          </w:tcPr>
          <w:p w14:paraId="66D1D9C6" w14:textId="77777777" w:rsidR="00357426" w:rsidRDefault="00357426" w:rsidP="00EB077E">
            <w:pPr>
              <w:jc w:val="right"/>
              <w:rPr>
                <w:color w:val="000000"/>
                <w:sz w:val="20"/>
                <w:szCs w:val="20"/>
              </w:rPr>
            </w:pPr>
            <w:r>
              <w:rPr>
                <w:color w:val="000000"/>
                <w:sz w:val="20"/>
                <w:szCs w:val="20"/>
              </w:rPr>
              <w:t> </w:t>
            </w:r>
          </w:p>
        </w:tc>
        <w:tc>
          <w:tcPr>
            <w:tcW w:w="3104" w:type="dxa"/>
            <w:tcBorders>
              <w:top w:val="nil"/>
              <w:left w:val="nil"/>
              <w:bottom w:val="nil"/>
              <w:right w:val="nil"/>
            </w:tcBorders>
            <w:shd w:val="clear" w:color="auto" w:fill="auto"/>
            <w:noWrap/>
            <w:vAlign w:val="bottom"/>
            <w:hideMark/>
          </w:tcPr>
          <w:p w14:paraId="1B9C6543" w14:textId="77777777" w:rsidR="00357426" w:rsidRDefault="00357426" w:rsidP="00EB077E">
            <w:pPr>
              <w:rPr>
                <w:color w:val="000000"/>
                <w:sz w:val="20"/>
                <w:szCs w:val="20"/>
              </w:rPr>
            </w:pPr>
          </w:p>
        </w:tc>
        <w:tc>
          <w:tcPr>
            <w:tcW w:w="1044" w:type="dxa"/>
            <w:tcBorders>
              <w:top w:val="nil"/>
              <w:left w:val="nil"/>
              <w:bottom w:val="nil"/>
              <w:right w:val="nil"/>
            </w:tcBorders>
            <w:shd w:val="clear" w:color="auto" w:fill="auto"/>
            <w:noWrap/>
            <w:vAlign w:val="bottom"/>
            <w:hideMark/>
          </w:tcPr>
          <w:p w14:paraId="59E57722" w14:textId="77777777" w:rsidR="00357426" w:rsidRDefault="00357426" w:rsidP="00EB077E">
            <w:pPr>
              <w:rPr>
                <w:sz w:val="20"/>
                <w:szCs w:val="20"/>
              </w:rPr>
            </w:pPr>
          </w:p>
        </w:tc>
        <w:tc>
          <w:tcPr>
            <w:tcW w:w="1150" w:type="dxa"/>
            <w:tcBorders>
              <w:top w:val="nil"/>
              <w:left w:val="nil"/>
              <w:bottom w:val="nil"/>
              <w:right w:val="nil"/>
            </w:tcBorders>
            <w:shd w:val="clear" w:color="auto" w:fill="auto"/>
            <w:noWrap/>
            <w:vAlign w:val="bottom"/>
            <w:hideMark/>
          </w:tcPr>
          <w:p w14:paraId="53182B3E" w14:textId="77777777" w:rsidR="00357426" w:rsidRDefault="00357426" w:rsidP="00EB077E">
            <w:pPr>
              <w:rPr>
                <w:sz w:val="20"/>
                <w:szCs w:val="20"/>
              </w:rPr>
            </w:pPr>
          </w:p>
        </w:tc>
        <w:tc>
          <w:tcPr>
            <w:tcW w:w="1404" w:type="dxa"/>
            <w:tcBorders>
              <w:top w:val="nil"/>
              <w:left w:val="nil"/>
              <w:bottom w:val="nil"/>
              <w:right w:val="nil"/>
            </w:tcBorders>
            <w:shd w:val="clear" w:color="auto" w:fill="auto"/>
            <w:noWrap/>
            <w:vAlign w:val="bottom"/>
            <w:hideMark/>
          </w:tcPr>
          <w:p w14:paraId="613FC5D5" w14:textId="77777777" w:rsidR="00357426" w:rsidRDefault="00357426" w:rsidP="00EB077E">
            <w:pPr>
              <w:rPr>
                <w:sz w:val="20"/>
                <w:szCs w:val="20"/>
              </w:rPr>
            </w:pPr>
          </w:p>
        </w:tc>
        <w:tc>
          <w:tcPr>
            <w:tcW w:w="1605" w:type="dxa"/>
            <w:tcBorders>
              <w:top w:val="nil"/>
              <w:left w:val="nil"/>
              <w:bottom w:val="nil"/>
              <w:right w:val="nil"/>
            </w:tcBorders>
            <w:shd w:val="clear" w:color="auto" w:fill="auto"/>
            <w:noWrap/>
            <w:vAlign w:val="bottom"/>
            <w:hideMark/>
          </w:tcPr>
          <w:p w14:paraId="66957430" w14:textId="77777777" w:rsidR="00357426" w:rsidRDefault="00357426" w:rsidP="00EB077E">
            <w:pPr>
              <w:rPr>
                <w:sz w:val="20"/>
                <w:szCs w:val="20"/>
              </w:rPr>
            </w:pPr>
          </w:p>
        </w:tc>
        <w:tc>
          <w:tcPr>
            <w:tcW w:w="1524" w:type="dxa"/>
            <w:tcBorders>
              <w:top w:val="nil"/>
              <w:left w:val="nil"/>
              <w:bottom w:val="nil"/>
              <w:right w:val="nil"/>
            </w:tcBorders>
            <w:shd w:val="clear" w:color="auto" w:fill="auto"/>
            <w:noWrap/>
            <w:vAlign w:val="bottom"/>
            <w:hideMark/>
          </w:tcPr>
          <w:p w14:paraId="0E97404A" w14:textId="77777777" w:rsidR="00357426" w:rsidRDefault="00357426" w:rsidP="00EB077E">
            <w:pPr>
              <w:rPr>
                <w:sz w:val="20"/>
                <w:szCs w:val="20"/>
              </w:rPr>
            </w:pPr>
          </w:p>
        </w:tc>
        <w:tc>
          <w:tcPr>
            <w:tcW w:w="1084" w:type="dxa"/>
            <w:tcBorders>
              <w:top w:val="nil"/>
              <w:left w:val="nil"/>
              <w:bottom w:val="nil"/>
              <w:right w:val="nil"/>
            </w:tcBorders>
            <w:shd w:val="clear" w:color="auto" w:fill="auto"/>
            <w:noWrap/>
            <w:vAlign w:val="bottom"/>
            <w:hideMark/>
          </w:tcPr>
          <w:p w14:paraId="5B8A0B1B" w14:textId="77777777" w:rsidR="00357426" w:rsidRDefault="00357426" w:rsidP="00EB077E">
            <w:pPr>
              <w:rPr>
                <w:sz w:val="20"/>
                <w:szCs w:val="20"/>
              </w:rPr>
            </w:pPr>
          </w:p>
        </w:tc>
        <w:tc>
          <w:tcPr>
            <w:tcW w:w="632" w:type="dxa"/>
            <w:tcBorders>
              <w:top w:val="nil"/>
              <w:left w:val="nil"/>
              <w:bottom w:val="nil"/>
              <w:right w:val="nil"/>
            </w:tcBorders>
            <w:shd w:val="clear" w:color="auto" w:fill="auto"/>
            <w:noWrap/>
            <w:vAlign w:val="bottom"/>
            <w:hideMark/>
          </w:tcPr>
          <w:p w14:paraId="59D8FBCD" w14:textId="77777777" w:rsidR="00357426" w:rsidRDefault="00357426" w:rsidP="00EB077E">
            <w:pPr>
              <w:rPr>
                <w:sz w:val="20"/>
                <w:szCs w:val="20"/>
              </w:rPr>
            </w:pPr>
          </w:p>
        </w:tc>
        <w:tc>
          <w:tcPr>
            <w:tcW w:w="1280" w:type="dxa"/>
            <w:tcBorders>
              <w:top w:val="nil"/>
              <w:left w:val="nil"/>
              <w:bottom w:val="nil"/>
              <w:right w:val="single" w:sz="8" w:space="0" w:color="auto"/>
            </w:tcBorders>
            <w:shd w:val="clear" w:color="auto" w:fill="auto"/>
            <w:noWrap/>
            <w:vAlign w:val="bottom"/>
            <w:hideMark/>
          </w:tcPr>
          <w:p w14:paraId="7440BE03" w14:textId="77777777" w:rsidR="00357426" w:rsidRDefault="00357426" w:rsidP="00EB077E">
            <w:pPr>
              <w:rPr>
                <w:sz w:val="20"/>
                <w:szCs w:val="20"/>
              </w:rPr>
            </w:pPr>
            <w:r>
              <w:rPr>
                <w:sz w:val="20"/>
                <w:szCs w:val="20"/>
              </w:rPr>
              <w:t> </w:t>
            </w:r>
          </w:p>
        </w:tc>
      </w:tr>
      <w:tr w:rsidR="00357426" w14:paraId="7D1E205D" w14:textId="77777777" w:rsidTr="00EB077E">
        <w:trPr>
          <w:trHeight w:val="336"/>
          <w:jc w:val="center"/>
        </w:trPr>
        <w:tc>
          <w:tcPr>
            <w:tcW w:w="320" w:type="dxa"/>
            <w:tcBorders>
              <w:top w:val="nil"/>
              <w:left w:val="single" w:sz="8" w:space="0" w:color="auto"/>
              <w:bottom w:val="nil"/>
              <w:right w:val="nil"/>
            </w:tcBorders>
            <w:shd w:val="clear" w:color="auto" w:fill="auto"/>
            <w:noWrap/>
            <w:vAlign w:val="bottom"/>
            <w:hideMark/>
          </w:tcPr>
          <w:p w14:paraId="41FA31A6" w14:textId="77777777" w:rsidR="00357426" w:rsidRDefault="00357426" w:rsidP="00EB077E">
            <w:pPr>
              <w:jc w:val="right"/>
              <w:rPr>
                <w:color w:val="000000"/>
                <w:sz w:val="20"/>
                <w:szCs w:val="20"/>
              </w:rPr>
            </w:pPr>
            <w:r>
              <w:rPr>
                <w:color w:val="000000"/>
                <w:sz w:val="20"/>
                <w:szCs w:val="20"/>
              </w:rPr>
              <w:t>9.</w:t>
            </w:r>
          </w:p>
        </w:tc>
        <w:tc>
          <w:tcPr>
            <w:tcW w:w="3104" w:type="dxa"/>
            <w:tcBorders>
              <w:top w:val="nil"/>
              <w:left w:val="nil"/>
              <w:bottom w:val="nil"/>
              <w:right w:val="nil"/>
            </w:tcBorders>
            <w:shd w:val="clear" w:color="auto" w:fill="auto"/>
            <w:noWrap/>
            <w:vAlign w:val="bottom"/>
            <w:hideMark/>
          </w:tcPr>
          <w:p w14:paraId="364F790F" w14:textId="77777777" w:rsidR="00357426" w:rsidRDefault="00357426" w:rsidP="00EB077E">
            <w:pPr>
              <w:rPr>
                <w:color w:val="000000"/>
                <w:sz w:val="20"/>
                <w:szCs w:val="20"/>
              </w:rPr>
            </w:pPr>
            <w:r>
              <w:rPr>
                <w:color w:val="000000"/>
                <w:sz w:val="20"/>
                <w:szCs w:val="20"/>
              </w:rPr>
              <w:t>TOTAL</w:t>
            </w:r>
          </w:p>
        </w:tc>
        <w:tc>
          <w:tcPr>
            <w:tcW w:w="1044" w:type="dxa"/>
            <w:tcBorders>
              <w:top w:val="nil"/>
              <w:left w:val="nil"/>
              <w:bottom w:val="nil"/>
              <w:right w:val="nil"/>
            </w:tcBorders>
            <w:shd w:val="clear" w:color="auto" w:fill="auto"/>
            <w:noWrap/>
            <w:vAlign w:val="bottom"/>
            <w:hideMark/>
          </w:tcPr>
          <w:p w14:paraId="21E4006E" w14:textId="77777777" w:rsidR="00357426" w:rsidRDefault="00357426" w:rsidP="00EB077E">
            <w:pPr>
              <w:jc w:val="right"/>
              <w:rPr>
                <w:sz w:val="20"/>
                <w:szCs w:val="20"/>
                <w:u w:val="double"/>
              </w:rPr>
            </w:pPr>
            <w:r>
              <w:rPr>
                <w:sz w:val="20"/>
                <w:szCs w:val="20"/>
                <w:u w:val="double"/>
              </w:rPr>
              <w:t xml:space="preserve">$150,000 </w:t>
            </w:r>
          </w:p>
        </w:tc>
        <w:tc>
          <w:tcPr>
            <w:tcW w:w="1150" w:type="dxa"/>
            <w:tcBorders>
              <w:top w:val="nil"/>
              <w:left w:val="nil"/>
              <w:bottom w:val="nil"/>
              <w:right w:val="nil"/>
            </w:tcBorders>
            <w:shd w:val="clear" w:color="auto" w:fill="auto"/>
            <w:noWrap/>
            <w:vAlign w:val="bottom"/>
            <w:hideMark/>
          </w:tcPr>
          <w:p w14:paraId="42F1367B" w14:textId="77777777" w:rsidR="00357426" w:rsidRDefault="00357426" w:rsidP="00EB077E">
            <w:pPr>
              <w:jc w:val="right"/>
              <w:rPr>
                <w:sz w:val="20"/>
                <w:szCs w:val="20"/>
                <w:u w:val="double"/>
              </w:rPr>
            </w:pPr>
            <w:r>
              <w:rPr>
                <w:sz w:val="20"/>
                <w:szCs w:val="20"/>
                <w:u w:val="double"/>
              </w:rPr>
              <w:t xml:space="preserve">$0 </w:t>
            </w:r>
          </w:p>
        </w:tc>
        <w:tc>
          <w:tcPr>
            <w:tcW w:w="1404" w:type="dxa"/>
            <w:tcBorders>
              <w:top w:val="nil"/>
              <w:left w:val="nil"/>
              <w:bottom w:val="nil"/>
              <w:right w:val="nil"/>
            </w:tcBorders>
            <w:shd w:val="clear" w:color="auto" w:fill="auto"/>
            <w:noWrap/>
            <w:vAlign w:val="bottom"/>
            <w:hideMark/>
          </w:tcPr>
          <w:p w14:paraId="3AC3E134" w14:textId="77777777" w:rsidR="00357426" w:rsidRDefault="00357426" w:rsidP="00EB077E">
            <w:pPr>
              <w:jc w:val="right"/>
              <w:rPr>
                <w:sz w:val="20"/>
                <w:szCs w:val="20"/>
                <w:u w:val="double"/>
              </w:rPr>
            </w:pPr>
            <w:r>
              <w:rPr>
                <w:sz w:val="20"/>
                <w:szCs w:val="20"/>
                <w:u w:val="double"/>
              </w:rPr>
              <w:t xml:space="preserve">$150,000 </w:t>
            </w:r>
          </w:p>
        </w:tc>
        <w:tc>
          <w:tcPr>
            <w:tcW w:w="1605" w:type="dxa"/>
            <w:tcBorders>
              <w:top w:val="nil"/>
              <w:left w:val="nil"/>
              <w:bottom w:val="nil"/>
              <w:right w:val="nil"/>
            </w:tcBorders>
            <w:shd w:val="clear" w:color="auto" w:fill="auto"/>
            <w:noWrap/>
            <w:vAlign w:val="bottom"/>
            <w:hideMark/>
          </w:tcPr>
          <w:p w14:paraId="07A35D8A" w14:textId="77777777" w:rsidR="00357426" w:rsidRDefault="00357426" w:rsidP="00EB077E">
            <w:pPr>
              <w:jc w:val="right"/>
              <w:rPr>
                <w:sz w:val="20"/>
                <w:szCs w:val="20"/>
                <w:u w:val="double"/>
              </w:rPr>
            </w:pPr>
            <w:r>
              <w:rPr>
                <w:sz w:val="20"/>
                <w:szCs w:val="20"/>
                <w:u w:val="double"/>
              </w:rPr>
              <w:t xml:space="preserve">$30,847 </w:t>
            </w:r>
          </w:p>
        </w:tc>
        <w:tc>
          <w:tcPr>
            <w:tcW w:w="1524" w:type="dxa"/>
            <w:tcBorders>
              <w:top w:val="nil"/>
              <w:left w:val="nil"/>
              <w:bottom w:val="nil"/>
              <w:right w:val="nil"/>
            </w:tcBorders>
            <w:shd w:val="clear" w:color="auto" w:fill="auto"/>
            <w:noWrap/>
            <w:vAlign w:val="bottom"/>
            <w:hideMark/>
          </w:tcPr>
          <w:p w14:paraId="21481BDA" w14:textId="77777777" w:rsidR="00357426" w:rsidRDefault="00357426" w:rsidP="00EB077E">
            <w:pPr>
              <w:jc w:val="right"/>
              <w:rPr>
                <w:sz w:val="20"/>
                <w:szCs w:val="20"/>
                <w:u w:val="double"/>
              </w:rPr>
            </w:pPr>
            <w:r>
              <w:rPr>
                <w:sz w:val="20"/>
                <w:szCs w:val="20"/>
                <w:u w:val="double"/>
              </w:rPr>
              <w:t xml:space="preserve">$180,847 </w:t>
            </w:r>
          </w:p>
        </w:tc>
        <w:tc>
          <w:tcPr>
            <w:tcW w:w="1084" w:type="dxa"/>
            <w:tcBorders>
              <w:top w:val="nil"/>
              <w:left w:val="nil"/>
              <w:bottom w:val="nil"/>
              <w:right w:val="nil"/>
            </w:tcBorders>
            <w:shd w:val="clear" w:color="auto" w:fill="auto"/>
            <w:noWrap/>
            <w:vAlign w:val="bottom"/>
            <w:hideMark/>
          </w:tcPr>
          <w:p w14:paraId="66612DD2" w14:textId="77777777" w:rsidR="00357426" w:rsidRDefault="00357426" w:rsidP="00EB077E">
            <w:pPr>
              <w:jc w:val="right"/>
              <w:rPr>
                <w:sz w:val="20"/>
                <w:szCs w:val="20"/>
                <w:u w:val="double"/>
              </w:rPr>
            </w:pPr>
            <w:r>
              <w:rPr>
                <w:sz w:val="20"/>
                <w:szCs w:val="20"/>
                <w:u w:val="double"/>
              </w:rPr>
              <w:t>100.00%</w:t>
            </w:r>
          </w:p>
        </w:tc>
        <w:tc>
          <w:tcPr>
            <w:tcW w:w="632" w:type="dxa"/>
            <w:tcBorders>
              <w:top w:val="nil"/>
              <w:left w:val="nil"/>
              <w:bottom w:val="nil"/>
              <w:right w:val="nil"/>
            </w:tcBorders>
            <w:shd w:val="clear" w:color="auto" w:fill="auto"/>
            <w:noWrap/>
            <w:vAlign w:val="bottom"/>
            <w:hideMark/>
          </w:tcPr>
          <w:p w14:paraId="3927B0E6" w14:textId="77777777" w:rsidR="00357426" w:rsidRDefault="00357426" w:rsidP="00EB077E">
            <w:pPr>
              <w:rPr>
                <w:sz w:val="20"/>
                <w:szCs w:val="20"/>
                <w:u w:val="single"/>
              </w:rPr>
            </w:pPr>
          </w:p>
        </w:tc>
        <w:tc>
          <w:tcPr>
            <w:tcW w:w="1280" w:type="dxa"/>
            <w:tcBorders>
              <w:top w:val="nil"/>
              <w:left w:val="nil"/>
              <w:bottom w:val="nil"/>
              <w:right w:val="single" w:sz="8" w:space="0" w:color="auto"/>
            </w:tcBorders>
            <w:shd w:val="clear" w:color="auto" w:fill="auto"/>
            <w:noWrap/>
            <w:vAlign w:val="bottom"/>
            <w:hideMark/>
          </w:tcPr>
          <w:p w14:paraId="42BA38B4" w14:textId="77777777" w:rsidR="00357426" w:rsidRDefault="00357426" w:rsidP="00EB077E">
            <w:pPr>
              <w:jc w:val="right"/>
              <w:rPr>
                <w:sz w:val="20"/>
                <w:szCs w:val="20"/>
                <w:u w:val="single"/>
              </w:rPr>
            </w:pPr>
            <w:r>
              <w:rPr>
                <w:sz w:val="20"/>
                <w:szCs w:val="20"/>
                <w:u w:val="single"/>
              </w:rPr>
              <w:t>7.85%</w:t>
            </w:r>
          </w:p>
        </w:tc>
      </w:tr>
      <w:tr w:rsidR="00357426" w14:paraId="0AC10118" w14:textId="77777777" w:rsidTr="00EB077E">
        <w:trPr>
          <w:trHeight w:val="300"/>
          <w:jc w:val="center"/>
        </w:trPr>
        <w:tc>
          <w:tcPr>
            <w:tcW w:w="320" w:type="dxa"/>
            <w:tcBorders>
              <w:top w:val="nil"/>
              <w:left w:val="single" w:sz="8" w:space="0" w:color="auto"/>
              <w:bottom w:val="nil"/>
              <w:right w:val="nil"/>
            </w:tcBorders>
            <w:shd w:val="clear" w:color="auto" w:fill="auto"/>
            <w:noWrap/>
            <w:vAlign w:val="bottom"/>
            <w:hideMark/>
          </w:tcPr>
          <w:p w14:paraId="07CC7ADD" w14:textId="77777777" w:rsidR="00357426" w:rsidRDefault="00357426" w:rsidP="00EB077E">
            <w:pPr>
              <w:jc w:val="right"/>
              <w:rPr>
                <w:color w:val="000000"/>
                <w:sz w:val="20"/>
                <w:szCs w:val="20"/>
              </w:rPr>
            </w:pPr>
            <w:r>
              <w:rPr>
                <w:color w:val="000000"/>
                <w:sz w:val="20"/>
                <w:szCs w:val="20"/>
              </w:rPr>
              <w:t> </w:t>
            </w:r>
          </w:p>
        </w:tc>
        <w:tc>
          <w:tcPr>
            <w:tcW w:w="3104" w:type="dxa"/>
            <w:tcBorders>
              <w:top w:val="nil"/>
              <w:left w:val="nil"/>
              <w:bottom w:val="nil"/>
              <w:right w:val="nil"/>
            </w:tcBorders>
            <w:shd w:val="clear" w:color="auto" w:fill="auto"/>
            <w:noWrap/>
            <w:vAlign w:val="bottom"/>
            <w:hideMark/>
          </w:tcPr>
          <w:p w14:paraId="4A921320" w14:textId="77777777" w:rsidR="00357426" w:rsidRDefault="00357426" w:rsidP="00EB077E">
            <w:pPr>
              <w:rPr>
                <w:color w:val="000000"/>
                <w:sz w:val="20"/>
                <w:szCs w:val="20"/>
              </w:rPr>
            </w:pPr>
          </w:p>
        </w:tc>
        <w:tc>
          <w:tcPr>
            <w:tcW w:w="1044" w:type="dxa"/>
            <w:tcBorders>
              <w:top w:val="nil"/>
              <w:left w:val="nil"/>
              <w:bottom w:val="nil"/>
              <w:right w:val="nil"/>
            </w:tcBorders>
            <w:shd w:val="clear" w:color="auto" w:fill="auto"/>
            <w:noWrap/>
            <w:vAlign w:val="bottom"/>
            <w:hideMark/>
          </w:tcPr>
          <w:p w14:paraId="60F49E38" w14:textId="77777777" w:rsidR="00357426" w:rsidRDefault="00357426" w:rsidP="00EB077E">
            <w:pPr>
              <w:rPr>
                <w:sz w:val="20"/>
                <w:szCs w:val="20"/>
              </w:rPr>
            </w:pPr>
          </w:p>
        </w:tc>
        <w:tc>
          <w:tcPr>
            <w:tcW w:w="1150" w:type="dxa"/>
            <w:tcBorders>
              <w:top w:val="nil"/>
              <w:left w:val="nil"/>
              <w:bottom w:val="nil"/>
              <w:right w:val="nil"/>
            </w:tcBorders>
            <w:shd w:val="clear" w:color="auto" w:fill="auto"/>
            <w:noWrap/>
            <w:vAlign w:val="bottom"/>
            <w:hideMark/>
          </w:tcPr>
          <w:p w14:paraId="2366C441" w14:textId="77777777" w:rsidR="00357426" w:rsidRDefault="00357426" w:rsidP="00EB077E">
            <w:pPr>
              <w:rPr>
                <w:sz w:val="20"/>
                <w:szCs w:val="20"/>
              </w:rPr>
            </w:pPr>
          </w:p>
        </w:tc>
        <w:tc>
          <w:tcPr>
            <w:tcW w:w="1404" w:type="dxa"/>
            <w:tcBorders>
              <w:top w:val="nil"/>
              <w:left w:val="nil"/>
              <w:bottom w:val="nil"/>
              <w:right w:val="nil"/>
            </w:tcBorders>
            <w:shd w:val="clear" w:color="auto" w:fill="auto"/>
            <w:noWrap/>
            <w:vAlign w:val="bottom"/>
            <w:hideMark/>
          </w:tcPr>
          <w:p w14:paraId="3883B965" w14:textId="77777777" w:rsidR="00357426" w:rsidRDefault="00357426" w:rsidP="00EB077E">
            <w:pPr>
              <w:rPr>
                <w:sz w:val="20"/>
                <w:szCs w:val="20"/>
              </w:rPr>
            </w:pPr>
          </w:p>
        </w:tc>
        <w:tc>
          <w:tcPr>
            <w:tcW w:w="1605" w:type="dxa"/>
            <w:tcBorders>
              <w:top w:val="nil"/>
              <w:left w:val="nil"/>
              <w:bottom w:val="nil"/>
              <w:right w:val="nil"/>
            </w:tcBorders>
            <w:shd w:val="clear" w:color="auto" w:fill="auto"/>
            <w:noWrap/>
            <w:vAlign w:val="bottom"/>
            <w:hideMark/>
          </w:tcPr>
          <w:p w14:paraId="306C31FB" w14:textId="77777777" w:rsidR="00357426" w:rsidRDefault="00357426" w:rsidP="00EB077E">
            <w:pPr>
              <w:rPr>
                <w:sz w:val="20"/>
                <w:szCs w:val="20"/>
              </w:rPr>
            </w:pPr>
          </w:p>
        </w:tc>
        <w:tc>
          <w:tcPr>
            <w:tcW w:w="1524" w:type="dxa"/>
            <w:tcBorders>
              <w:top w:val="nil"/>
              <w:left w:val="nil"/>
              <w:bottom w:val="nil"/>
              <w:right w:val="nil"/>
            </w:tcBorders>
            <w:shd w:val="clear" w:color="auto" w:fill="auto"/>
            <w:noWrap/>
            <w:vAlign w:val="bottom"/>
            <w:hideMark/>
          </w:tcPr>
          <w:p w14:paraId="41C63F4D" w14:textId="77777777" w:rsidR="00357426" w:rsidRDefault="00357426" w:rsidP="00EB077E">
            <w:pPr>
              <w:rPr>
                <w:sz w:val="20"/>
                <w:szCs w:val="20"/>
              </w:rPr>
            </w:pPr>
          </w:p>
        </w:tc>
        <w:tc>
          <w:tcPr>
            <w:tcW w:w="1084" w:type="dxa"/>
            <w:tcBorders>
              <w:top w:val="nil"/>
              <w:left w:val="nil"/>
              <w:bottom w:val="nil"/>
              <w:right w:val="nil"/>
            </w:tcBorders>
            <w:shd w:val="clear" w:color="auto" w:fill="auto"/>
            <w:noWrap/>
            <w:vAlign w:val="bottom"/>
            <w:hideMark/>
          </w:tcPr>
          <w:p w14:paraId="6D7753FF" w14:textId="77777777" w:rsidR="00357426" w:rsidRDefault="00357426" w:rsidP="00EB077E">
            <w:pPr>
              <w:rPr>
                <w:sz w:val="20"/>
                <w:szCs w:val="20"/>
              </w:rPr>
            </w:pPr>
          </w:p>
        </w:tc>
        <w:tc>
          <w:tcPr>
            <w:tcW w:w="632" w:type="dxa"/>
            <w:tcBorders>
              <w:top w:val="nil"/>
              <w:left w:val="nil"/>
              <w:bottom w:val="nil"/>
              <w:right w:val="nil"/>
            </w:tcBorders>
            <w:shd w:val="clear" w:color="auto" w:fill="auto"/>
            <w:noWrap/>
            <w:vAlign w:val="bottom"/>
            <w:hideMark/>
          </w:tcPr>
          <w:p w14:paraId="15DE547A" w14:textId="77777777" w:rsidR="00357426" w:rsidRDefault="00357426" w:rsidP="00EB077E">
            <w:pPr>
              <w:rPr>
                <w:sz w:val="20"/>
                <w:szCs w:val="20"/>
              </w:rPr>
            </w:pPr>
          </w:p>
        </w:tc>
        <w:tc>
          <w:tcPr>
            <w:tcW w:w="1280" w:type="dxa"/>
            <w:tcBorders>
              <w:top w:val="nil"/>
              <w:left w:val="nil"/>
              <w:bottom w:val="nil"/>
              <w:right w:val="single" w:sz="8" w:space="0" w:color="auto"/>
            </w:tcBorders>
            <w:shd w:val="clear" w:color="auto" w:fill="auto"/>
            <w:noWrap/>
            <w:vAlign w:val="bottom"/>
            <w:hideMark/>
          </w:tcPr>
          <w:p w14:paraId="0D5B8319" w14:textId="77777777" w:rsidR="00357426" w:rsidRDefault="00357426" w:rsidP="00EB077E">
            <w:pPr>
              <w:rPr>
                <w:sz w:val="20"/>
                <w:szCs w:val="20"/>
              </w:rPr>
            </w:pPr>
            <w:r>
              <w:rPr>
                <w:sz w:val="20"/>
                <w:szCs w:val="20"/>
              </w:rPr>
              <w:t> </w:t>
            </w:r>
          </w:p>
        </w:tc>
      </w:tr>
      <w:tr w:rsidR="00357426" w14:paraId="3185D017" w14:textId="77777777" w:rsidTr="00EB077E">
        <w:trPr>
          <w:trHeight w:val="312"/>
          <w:jc w:val="center"/>
        </w:trPr>
        <w:tc>
          <w:tcPr>
            <w:tcW w:w="320" w:type="dxa"/>
            <w:tcBorders>
              <w:top w:val="nil"/>
              <w:left w:val="single" w:sz="8" w:space="0" w:color="auto"/>
              <w:bottom w:val="nil"/>
              <w:right w:val="nil"/>
            </w:tcBorders>
            <w:shd w:val="clear" w:color="auto" w:fill="auto"/>
            <w:noWrap/>
            <w:vAlign w:val="bottom"/>
            <w:hideMark/>
          </w:tcPr>
          <w:p w14:paraId="2953B33D" w14:textId="77777777" w:rsidR="00357426" w:rsidRDefault="00357426" w:rsidP="00EB077E">
            <w:pPr>
              <w:rPr>
                <w:color w:val="000000"/>
              </w:rPr>
            </w:pPr>
            <w:r>
              <w:rPr>
                <w:color w:val="000000"/>
              </w:rPr>
              <w:t> </w:t>
            </w:r>
          </w:p>
        </w:tc>
        <w:tc>
          <w:tcPr>
            <w:tcW w:w="3104" w:type="dxa"/>
            <w:tcBorders>
              <w:top w:val="nil"/>
              <w:left w:val="nil"/>
              <w:bottom w:val="nil"/>
              <w:right w:val="nil"/>
            </w:tcBorders>
            <w:shd w:val="clear" w:color="auto" w:fill="auto"/>
            <w:noWrap/>
            <w:vAlign w:val="bottom"/>
            <w:hideMark/>
          </w:tcPr>
          <w:p w14:paraId="0B0FE383" w14:textId="77777777" w:rsidR="00357426" w:rsidRDefault="00357426" w:rsidP="00EB077E"/>
        </w:tc>
        <w:tc>
          <w:tcPr>
            <w:tcW w:w="1044" w:type="dxa"/>
            <w:tcBorders>
              <w:top w:val="nil"/>
              <w:left w:val="nil"/>
              <w:bottom w:val="nil"/>
              <w:right w:val="nil"/>
            </w:tcBorders>
            <w:shd w:val="clear" w:color="auto" w:fill="auto"/>
            <w:noWrap/>
            <w:vAlign w:val="bottom"/>
            <w:hideMark/>
          </w:tcPr>
          <w:p w14:paraId="7B97BC7A" w14:textId="77777777" w:rsidR="00357426" w:rsidRDefault="00357426" w:rsidP="00EB077E"/>
        </w:tc>
        <w:tc>
          <w:tcPr>
            <w:tcW w:w="1150" w:type="dxa"/>
            <w:tcBorders>
              <w:top w:val="nil"/>
              <w:left w:val="nil"/>
              <w:bottom w:val="nil"/>
              <w:right w:val="nil"/>
            </w:tcBorders>
            <w:shd w:val="clear" w:color="auto" w:fill="auto"/>
            <w:noWrap/>
            <w:vAlign w:val="bottom"/>
            <w:hideMark/>
          </w:tcPr>
          <w:p w14:paraId="072694C0" w14:textId="77777777" w:rsidR="00357426" w:rsidRDefault="00357426" w:rsidP="00EB077E"/>
        </w:tc>
        <w:tc>
          <w:tcPr>
            <w:tcW w:w="3009" w:type="dxa"/>
            <w:gridSpan w:val="2"/>
            <w:tcBorders>
              <w:top w:val="nil"/>
              <w:left w:val="nil"/>
              <w:bottom w:val="nil"/>
              <w:right w:val="nil"/>
            </w:tcBorders>
            <w:shd w:val="clear" w:color="auto" w:fill="auto"/>
            <w:noWrap/>
            <w:vAlign w:val="bottom"/>
            <w:hideMark/>
          </w:tcPr>
          <w:p w14:paraId="6E254A1C" w14:textId="77777777" w:rsidR="00357426" w:rsidRDefault="00357426" w:rsidP="00EB077E">
            <w:pPr>
              <w:rPr>
                <w:b/>
                <w:bCs/>
                <w:sz w:val="20"/>
                <w:szCs w:val="20"/>
              </w:rPr>
            </w:pPr>
            <w:r>
              <w:rPr>
                <w:b/>
                <w:bCs/>
                <w:sz w:val="20"/>
                <w:szCs w:val="20"/>
              </w:rPr>
              <w:t>RANGE OF REASONABLENESS</w:t>
            </w:r>
          </w:p>
        </w:tc>
        <w:tc>
          <w:tcPr>
            <w:tcW w:w="1524" w:type="dxa"/>
            <w:tcBorders>
              <w:top w:val="nil"/>
              <w:left w:val="nil"/>
              <w:bottom w:val="nil"/>
              <w:right w:val="nil"/>
            </w:tcBorders>
            <w:shd w:val="clear" w:color="auto" w:fill="auto"/>
            <w:noWrap/>
            <w:vAlign w:val="bottom"/>
            <w:hideMark/>
          </w:tcPr>
          <w:p w14:paraId="27991580" w14:textId="77777777" w:rsidR="00357426" w:rsidRDefault="00357426" w:rsidP="00EB077E">
            <w:pPr>
              <w:rPr>
                <w:sz w:val="20"/>
                <w:szCs w:val="20"/>
              </w:rPr>
            </w:pPr>
          </w:p>
        </w:tc>
        <w:tc>
          <w:tcPr>
            <w:tcW w:w="1084" w:type="dxa"/>
            <w:tcBorders>
              <w:top w:val="nil"/>
              <w:left w:val="nil"/>
              <w:bottom w:val="nil"/>
              <w:right w:val="nil"/>
            </w:tcBorders>
            <w:shd w:val="clear" w:color="auto" w:fill="auto"/>
            <w:noWrap/>
            <w:vAlign w:val="bottom"/>
            <w:hideMark/>
          </w:tcPr>
          <w:p w14:paraId="36DA96C2" w14:textId="77777777" w:rsidR="00357426" w:rsidRDefault="00357426" w:rsidP="00EB077E">
            <w:pPr>
              <w:jc w:val="center"/>
              <w:rPr>
                <w:b/>
                <w:bCs/>
                <w:sz w:val="20"/>
                <w:szCs w:val="20"/>
                <w:u w:val="single"/>
              </w:rPr>
            </w:pPr>
            <w:r>
              <w:rPr>
                <w:b/>
                <w:bCs/>
                <w:sz w:val="20"/>
                <w:szCs w:val="20"/>
                <w:u w:val="single"/>
              </w:rPr>
              <w:t>LOW</w:t>
            </w:r>
          </w:p>
        </w:tc>
        <w:tc>
          <w:tcPr>
            <w:tcW w:w="632" w:type="dxa"/>
            <w:tcBorders>
              <w:top w:val="nil"/>
              <w:left w:val="nil"/>
              <w:bottom w:val="nil"/>
              <w:right w:val="nil"/>
            </w:tcBorders>
            <w:shd w:val="clear" w:color="auto" w:fill="auto"/>
            <w:noWrap/>
            <w:vAlign w:val="bottom"/>
            <w:hideMark/>
          </w:tcPr>
          <w:p w14:paraId="7AD66059" w14:textId="77777777" w:rsidR="00357426" w:rsidRDefault="00357426" w:rsidP="00EB077E">
            <w:pPr>
              <w:jc w:val="center"/>
              <w:rPr>
                <w:b/>
                <w:bCs/>
                <w:sz w:val="20"/>
                <w:szCs w:val="20"/>
                <w:u w:val="single"/>
              </w:rPr>
            </w:pPr>
            <w:r>
              <w:rPr>
                <w:b/>
                <w:bCs/>
                <w:sz w:val="20"/>
                <w:szCs w:val="20"/>
                <w:u w:val="single"/>
              </w:rPr>
              <w:t>HIGH</w:t>
            </w:r>
          </w:p>
        </w:tc>
        <w:tc>
          <w:tcPr>
            <w:tcW w:w="1280" w:type="dxa"/>
            <w:tcBorders>
              <w:top w:val="nil"/>
              <w:left w:val="nil"/>
              <w:bottom w:val="nil"/>
              <w:right w:val="single" w:sz="8" w:space="0" w:color="auto"/>
            </w:tcBorders>
            <w:shd w:val="clear" w:color="auto" w:fill="auto"/>
            <w:noWrap/>
            <w:vAlign w:val="bottom"/>
            <w:hideMark/>
          </w:tcPr>
          <w:p w14:paraId="0D3B284D" w14:textId="77777777" w:rsidR="00357426" w:rsidRDefault="00357426" w:rsidP="00EB077E">
            <w:pPr>
              <w:rPr>
                <w:sz w:val="20"/>
                <w:szCs w:val="20"/>
              </w:rPr>
            </w:pPr>
            <w:r>
              <w:rPr>
                <w:sz w:val="20"/>
                <w:szCs w:val="20"/>
              </w:rPr>
              <w:t> </w:t>
            </w:r>
          </w:p>
        </w:tc>
      </w:tr>
      <w:tr w:rsidR="00357426" w14:paraId="21C63B8B" w14:textId="77777777" w:rsidTr="00EB077E">
        <w:trPr>
          <w:trHeight w:val="300"/>
          <w:jc w:val="center"/>
        </w:trPr>
        <w:tc>
          <w:tcPr>
            <w:tcW w:w="320" w:type="dxa"/>
            <w:tcBorders>
              <w:top w:val="nil"/>
              <w:left w:val="single" w:sz="8" w:space="0" w:color="auto"/>
              <w:bottom w:val="nil"/>
              <w:right w:val="nil"/>
            </w:tcBorders>
            <w:shd w:val="clear" w:color="auto" w:fill="auto"/>
            <w:noWrap/>
            <w:vAlign w:val="bottom"/>
            <w:hideMark/>
          </w:tcPr>
          <w:p w14:paraId="758CCC15" w14:textId="77777777" w:rsidR="00357426" w:rsidRDefault="00357426" w:rsidP="00EB077E">
            <w:pPr>
              <w:rPr>
                <w:color w:val="000000"/>
                <w:sz w:val="20"/>
                <w:szCs w:val="20"/>
              </w:rPr>
            </w:pPr>
            <w:r>
              <w:rPr>
                <w:color w:val="000000"/>
                <w:sz w:val="20"/>
                <w:szCs w:val="20"/>
              </w:rPr>
              <w:t> </w:t>
            </w:r>
          </w:p>
        </w:tc>
        <w:tc>
          <w:tcPr>
            <w:tcW w:w="3104" w:type="dxa"/>
            <w:tcBorders>
              <w:top w:val="nil"/>
              <w:left w:val="nil"/>
              <w:bottom w:val="nil"/>
              <w:right w:val="nil"/>
            </w:tcBorders>
            <w:shd w:val="clear" w:color="auto" w:fill="auto"/>
            <w:noWrap/>
            <w:vAlign w:val="bottom"/>
            <w:hideMark/>
          </w:tcPr>
          <w:p w14:paraId="357E37A4" w14:textId="77777777" w:rsidR="00357426" w:rsidRDefault="00357426" w:rsidP="00EB077E">
            <w:pPr>
              <w:rPr>
                <w:color w:val="000000"/>
                <w:sz w:val="20"/>
                <w:szCs w:val="20"/>
              </w:rPr>
            </w:pPr>
          </w:p>
        </w:tc>
        <w:tc>
          <w:tcPr>
            <w:tcW w:w="1044" w:type="dxa"/>
            <w:tcBorders>
              <w:top w:val="nil"/>
              <w:left w:val="nil"/>
              <w:bottom w:val="nil"/>
              <w:right w:val="nil"/>
            </w:tcBorders>
            <w:shd w:val="clear" w:color="auto" w:fill="auto"/>
            <w:noWrap/>
            <w:vAlign w:val="bottom"/>
            <w:hideMark/>
          </w:tcPr>
          <w:p w14:paraId="46296BB7" w14:textId="77777777" w:rsidR="00357426" w:rsidRDefault="00357426" w:rsidP="00EB077E">
            <w:pPr>
              <w:rPr>
                <w:sz w:val="20"/>
                <w:szCs w:val="20"/>
              </w:rPr>
            </w:pPr>
          </w:p>
        </w:tc>
        <w:tc>
          <w:tcPr>
            <w:tcW w:w="1150" w:type="dxa"/>
            <w:tcBorders>
              <w:top w:val="nil"/>
              <w:left w:val="nil"/>
              <w:bottom w:val="nil"/>
              <w:right w:val="nil"/>
            </w:tcBorders>
            <w:shd w:val="clear" w:color="auto" w:fill="auto"/>
            <w:noWrap/>
            <w:vAlign w:val="bottom"/>
            <w:hideMark/>
          </w:tcPr>
          <w:p w14:paraId="3E161CDA" w14:textId="77777777" w:rsidR="00357426" w:rsidRDefault="00357426" w:rsidP="00EB077E">
            <w:pPr>
              <w:rPr>
                <w:sz w:val="20"/>
                <w:szCs w:val="20"/>
              </w:rPr>
            </w:pPr>
          </w:p>
        </w:tc>
        <w:tc>
          <w:tcPr>
            <w:tcW w:w="3009" w:type="dxa"/>
            <w:gridSpan w:val="2"/>
            <w:tcBorders>
              <w:top w:val="nil"/>
              <w:left w:val="nil"/>
              <w:bottom w:val="nil"/>
              <w:right w:val="nil"/>
            </w:tcBorders>
            <w:shd w:val="clear" w:color="auto" w:fill="auto"/>
            <w:noWrap/>
            <w:vAlign w:val="bottom"/>
            <w:hideMark/>
          </w:tcPr>
          <w:p w14:paraId="715DBB12" w14:textId="77777777" w:rsidR="00357426" w:rsidRDefault="00357426" w:rsidP="00EB077E">
            <w:pPr>
              <w:rPr>
                <w:sz w:val="20"/>
                <w:szCs w:val="20"/>
              </w:rPr>
            </w:pPr>
            <w:r>
              <w:rPr>
                <w:sz w:val="20"/>
                <w:szCs w:val="20"/>
              </w:rPr>
              <w:t xml:space="preserve">    RETURN ON EQUITY</w:t>
            </w:r>
          </w:p>
        </w:tc>
        <w:tc>
          <w:tcPr>
            <w:tcW w:w="1524" w:type="dxa"/>
            <w:tcBorders>
              <w:top w:val="nil"/>
              <w:left w:val="nil"/>
              <w:bottom w:val="nil"/>
              <w:right w:val="nil"/>
            </w:tcBorders>
            <w:shd w:val="clear" w:color="auto" w:fill="auto"/>
            <w:noWrap/>
            <w:vAlign w:val="bottom"/>
            <w:hideMark/>
          </w:tcPr>
          <w:p w14:paraId="33DEA69D" w14:textId="77777777" w:rsidR="00357426" w:rsidRDefault="00357426" w:rsidP="00EB077E">
            <w:pPr>
              <w:rPr>
                <w:sz w:val="20"/>
                <w:szCs w:val="20"/>
              </w:rPr>
            </w:pPr>
          </w:p>
        </w:tc>
        <w:tc>
          <w:tcPr>
            <w:tcW w:w="1084" w:type="dxa"/>
            <w:tcBorders>
              <w:top w:val="nil"/>
              <w:left w:val="nil"/>
              <w:bottom w:val="nil"/>
              <w:right w:val="nil"/>
            </w:tcBorders>
            <w:shd w:val="clear" w:color="auto" w:fill="auto"/>
            <w:noWrap/>
            <w:vAlign w:val="bottom"/>
            <w:hideMark/>
          </w:tcPr>
          <w:p w14:paraId="7FAA9F49" w14:textId="77777777" w:rsidR="00357426" w:rsidRDefault="00357426" w:rsidP="00EB077E">
            <w:pPr>
              <w:jc w:val="right"/>
              <w:rPr>
                <w:sz w:val="20"/>
                <w:szCs w:val="20"/>
                <w:u w:val="double"/>
              </w:rPr>
            </w:pPr>
            <w:r>
              <w:rPr>
                <w:sz w:val="20"/>
                <w:szCs w:val="20"/>
                <w:u w:val="double"/>
              </w:rPr>
              <w:t>6.85%</w:t>
            </w:r>
          </w:p>
        </w:tc>
        <w:tc>
          <w:tcPr>
            <w:tcW w:w="632" w:type="dxa"/>
            <w:tcBorders>
              <w:top w:val="nil"/>
              <w:left w:val="nil"/>
              <w:bottom w:val="nil"/>
              <w:right w:val="nil"/>
            </w:tcBorders>
            <w:shd w:val="clear" w:color="auto" w:fill="auto"/>
            <w:noWrap/>
            <w:vAlign w:val="bottom"/>
            <w:hideMark/>
          </w:tcPr>
          <w:p w14:paraId="4FADB3F2" w14:textId="77777777" w:rsidR="00357426" w:rsidRDefault="00357426" w:rsidP="00EB077E">
            <w:pPr>
              <w:jc w:val="right"/>
              <w:rPr>
                <w:sz w:val="20"/>
                <w:szCs w:val="20"/>
                <w:u w:val="double"/>
              </w:rPr>
            </w:pPr>
            <w:r>
              <w:rPr>
                <w:sz w:val="20"/>
                <w:szCs w:val="20"/>
                <w:u w:val="double"/>
              </w:rPr>
              <w:t>8.85%</w:t>
            </w:r>
          </w:p>
        </w:tc>
        <w:tc>
          <w:tcPr>
            <w:tcW w:w="1280" w:type="dxa"/>
            <w:tcBorders>
              <w:top w:val="nil"/>
              <w:left w:val="nil"/>
              <w:bottom w:val="nil"/>
              <w:right w:val="single" w:sz="8" w:space="0" w:color="auto"/>
            </w:tcBorders>
            <w:shd w:val="clear" w:color="auto" w:fill="auto"/>
            <w:noWrap/>
            <w:vAlign w:val="bottom"/>
            <w:hideMark/>
          </w:tcPr>
          <w:p w14:paraId="55DD31A4" w14:textId="77777777" w:rsidR="00357426" w:rsidRDefault="00357426" w:rsidP="00EB077E">
            <w:pPr>
              <w:rPr>
                <w:sz w:val="20"/>
                <w:szCs w:val="20"/>
              </w:rPr>
            </w:pPr>
            <w:r>
              <w:rPr>
                <w:sz w:val="20"/>
                <w:szCs w:val="20"/>
              </w:rPr>
              <w:t> </w:t>
            </w:r>
          </w:p>
        </w:tc>
      </w:tr>
      <w:tr w:rsidR="00357426" w14:paraId="58EF08D0" w14:textId="77777777" w:rsidTr="00EB077E">
        <w:trPr>
          <w:trHeight w:val="312"/>
          <w:jc w:val="center"/>
        </w:trPr>
        <w:tc>
          <w:tcPr>
            <w:tcW w:w="320" w:type="dxa"/>
            <w:tcBorders>
              <w:top w:val="nil"/>
              <w:left w:val="single" w:sz="8" w:space="0" w:color="auto"/>
              <w:bottom w:val="nil"/>
              <w:right w:val="nil"/>
            </w:tcBorders>
            <w:shd w:val="clear" w:color="auto" w:fill="auto"/>
            <w:noWrap/>
            <w:vAlign w:val="bottom"/>
            <w:hideMark/>
          </w:tcPr>
          <w:p w14:paraId="4CE70A9A" w14:textId="77777777" w:rsidR="00357426" w:rsidRDefault="00357426" w:rsidP="00EB077E">
            <w:pPr>
              <w:rPr>
                <w:color w:val="000000"/>
                <w:sz w:val="20"/>
                <w:szCs w:val="20"/>
              </w:rPr>
            </w:pPr>
            <w:r>
              <w:rPr>
                <w:color w:val="000000"/>
                <w:sz w:val="20"/>
                <w:szCs w:val="20"/>
              </w:rPr>
              <w:t> </w:t>
            </w:r>
          </w:p>
        </w:tc>
        <w:tc>
          <w:tcPr>
            <w:tcW w:w="3104" w:type="dxa"/>
            <w:tcBorders>
              <w:top w:val="nil"/>
              <w:left w:val="nil"/>
              <w:bottom w:val="nil"/>
              <w:right w:val="nil"/>
            </w:tcBorders>
            <w:shd w:val="clear" w:color="auto" w:fill="auto"/>
            <w:noWrap/>
            <w:vAlign w:val="bottom"/>
            <w:hideMark/>
          </w:tcPr>
          <w:p w14:paraId="568E9E3F" w14:textId="77777777" w:rsidR="00357426" w:rsidRDefault="00357426" w:rsidP="00EB077E">
            <w:pPr>
              <w:rPr>
                <w:color w:val="000000"/>
                <w:sz w:val="20"/>
                <w:szCs w:val="20"/>
              </w:rPr>
            </w:pPr>
          </w:p>
        </w:tc>
        <w:tc>
          <w:tcPr>
            <w:tcW w:w="1044" w:type="dxa"/>
            <w:tcBorders>
              <w:top w:val="nil"/>
              <w:left w:val="nil"/>
              <w:bottom w:val="nil"/>
              <w:right w:val="nil"/>
            </w:tcBorders>
            <w:shd w:val="clear" w:color="auto" w:fill="auto"/>
            <w:noWrap/>
            <w:vAlign w:val="bottom"/>
            <w:hideMark/>
          </w:tcPr>
          <w:p w14:paraId="3859AABB" w14:textId="77777777" w:rsidR="00357426" w:rsidRDefault="00357426" w:rsidP="00EB077E">
            <w:pPr>
              <w:rPr>
                <w:sz w:val="20"/>
                <w:szCs w:val="20"/>
              </w:rPr>
            </w:pPr>
          </w:p>
        </w:tc>
        <w:tc>
          <w:tcPr>
            <w:tcW w:w="1150" w:type="dxa"/>
            <w:tcBorders>
              <w:top w:val="nil"/>
              <w:left w:val="nil"/>
              <w:bottom w:val="nil"/>
              <w:right w:val="nil"/>
            </w:tcBorders>
            <w:shd w:val="clear" w:color="auto" w:fill="auto"/>
            <w:noWrap/>
            <w:vAlign w:val="bottom"/>
            <w:hideMark/>
          </w:tcPr>
          <w:p w14:paraId="62F7AB96" w14:textId="77777777" w:rsidR="00357426" w:rsidRDefault="00357426" w:rsidP="00EB077E">
            <w:pPr>
              <w:rPr>
                <w:sz w:val="20"/>
                <w:szCs w:val="20"/>
              </w:rPr>
            </w:pPr>
          </w:p>
        </w:tc>
        <w:tc>
          <w:tcPr>
            <w:tcW w:w="3009" w:type="dxa"/>
            <w:gridSpan w:val="2"/>
            <w:tcBorders>
              <w:top w:val="nil"/>
              <w:left w:val="nil"/>
              <w:bottom w:val="nil"/>
              <w:right w:val="nil"/>
            </w:tcBorders>
            <w:shd w:val="clear" w:color="auto" w:fill="auto"/>
            <w:noWrap/>
            <w:vAlign w:val="bottom"/>
            <w:hideMark/>
          </w:tcPr>
          <w:p w14:paraId="527E89A9" w14:textId="77777777" w:rsidR="00357426" w:rsidRDefault="00357426" w:rsidP="00EB077E">
            <w:pPr>
              <w:rPr>
                <w:sz w:val="20"/>
                <w:szCs w:val="20"/>
              </w:rPr>
            </w:pPr>
            <w:r>
              <w:rPr>
                <w:sz w:val="20"/>
                <w:szCs w:val="20"/>
              </w:rPr>
              <w:t xml:space="preserve">    OVERALL RATE OF RETURN</w:t>
            </w:r>
          </w:p>
        </w:tc>
        <w:tc>
          <w:tcPr>
            <w:tcW w:w="1524" w:type="dxa"/>
            <w:tcBorders>
              <w:top w:val="nil"/>
              <w:left w:val="nil"/>
              <w:bottom w:val="nil"/>
              <w:right w:val="nil"/>
            </w:tcBorders>
            <w:shd w:val="clear" w:color="auto" w:fill="auto"/>
            <w:noWrap/>
            <w:vAlign w:val="bottom"/>
            <w:hideMark/>
          </w:tcPr>
          <w:p w14:paraId="5B73EF03" w14:textId="77777777" w:rsidR="00357426" w:rsidRDefault="00357426" w:rsidP="00EB077E"/>
        </w:tc>
        <w:tc>
          <w:tcPr>
            <w:tcW w:w="1084" w:type="dxa"/>
            <w:tcBorders>
              <w:top w:val="nil"/>
              <w:left w:val="nil"/>
              <w:bottom w:val="nil"/>
              <w:right w:val="nil"/>
            </w:tcBorders>
            <w:shd w:val="clear" w:color="auto" w:fill="auto"/>
            <w:noWrap/>
            <w:vAlign w:val="bottom"/>
            <w:hideMark/>
          </w:tcPr>
          <w:p w14:paraId="09A51F09" w14:textId="77777777" w:rsidR="00357426" w:rsidRDefault="00357426" w:rsidP="00EB077E">
            <w:pPr>
              <w:jc w:val="right"/>
              <w:rPr>
                <w:sz w:val="20"/>
                <w:szCs w:val="20"/>
                <w:u w:val="double"/>
              </w:rPr>
            </w:pPr>
            <w:r>
              <w:rPr>
                <w:sz w:val="20"/>
                <w:szCs w:val="20"/>
                <w:u w:val="double"/>
              </w:rPr>
              <w:t>6.85%</w:t>
            </w:r>
          </w:p>
        </w:tc>
        <w:tc>
          <w:tcPr>
            <w:tcW w:w="632" w:type="dxa"/>
            <w:tcBorders>
              <w:top w:val="nil"/>
              <w:left w:val="nil"/>
              <w:bottom w:val="nil"/>
              <w:right w:val="nil"/>
            </w:tcBorders>
            <w:shd w:val="clear" w:color="auto" w:fill="auto"/>
            <w:noWrap/>
            <w:vAlign w:val="bottom"/>
            <w:hideMark/>
          </w:tcPr>
          <w:p w14:paraId="1EA440B0" w14:textId="77777777" w:rsidR="00357426" w:rsidRDefault="00357426" w:rsidP="00EB077E">
            <w:pPr>
              <w:jc w:val="right"/>
              <w:rPr>
                <w:sz w:val="20"/>
                <w:szCs w:val="20"/>
                <w:u w:val="double"/>
              </w:rPr>
            </w:pPr>
            <w:r>
              <w:rPr>
                <w:sz w:val="20"/>
                <w:szCs w:val="20"/>
                <w:u w:val="double"/>
              </w:rPr>
              <w:t>8.85%</w:t>
            </w:r>
          </w:p>
        </w:tc>
        <w:tc>
          <w:tcPr>
            <w:tcW w:w="1280" w:type="dxa"/>
            <w:tcBorders>
              <w:top w:val="nil"/>
              <w:left w:val="nil"/>
              <w:bottom w:val="nil"/>
              <w:right w:val="single" w:sz="8" w:space="0" w:color="auto"/>
            </w:tcBorders>
            <w:shd w:val="clear" w:color="auto" w:fill="auto"/>
            <w:noWrap/>
            <w:vAlign w:val="bottom"/>
            <w:hideMark/>
          </w:tcPr>
          <w:p w14:paraId="1E525E0E" w14:textId="77777777" w:rsidR="00357426" w:rsidRDefault="00357426" w:rsidP="00EB077E">
            <w:pPr>
              <w:rPr>
                <w:sz w:val="20"/>
                <w:szCs w:val="20"/>
              </w:rPr>
            </w:pPr>
            <w:r>
              <w:rPr>
                <w:sz w:val="20"/>
                <w:szCs w:val="20"/>
              </w:rPr>
              <w:t> </w:t>
            </w:r>
          </w:p>
        </w:tc>
      </w:tr>
      <w:tr w:rsidR="00357426" w14:paraId="6C0934EE" w14:textId="77777777" w:rsidTr="00EB077E">
        <w:trPr>
          <w:trHeight w:val="312"/>
          <w:jc w:val="center"/>
        </w:trPr>
        <w:tc>
          <w:tcPr>
            <w:tcW w:w="320" w:type="dxa"/>
            <w:tcBorders>
              <w:top w:val="nil"/>
              <w:left w:val="single" w:sz="8" w:space="0" w:color="auto"/>
              <w:bottom w:val="single" w:sz="8" w:space="0" w:color="auto"/>
              <w:right w:val="nil"/>
            </w:tcBorders>
            <w:shd w:val="clear" w:color="auto" w:fill="auto"/>
            <w:noWrap/>
            <w:vAlign w:val="bottom"/>
            <w:hideMark/>
          </w:tcPr>
          <w:p w14:paraId="65320993" w14:textId="77777777" w:rsidR="00357426" w:rsidRDefault="00357426" w:rsidP="00EB077E">
            <w:pPr>
              <w:rPr>
                <w:color w:val="000000"/>
                <w:sz w:val="20"/>
                <w:szCs w:val="20"/>
              </w:rPr>
            </w:pPr>
            <w:r>
              <w:rPr>
                <w:color w:val="000000"/>
                <w:sz w:val="20"/>
                <w:szCs w:val="20"/>
              </w:rPr>
              <w:t> </w:t>
            </w:r>
          </w:p>
        </w:tc>
        <w:tc>
          <w:tcPr>
            <w:tcW w:w="3104" w:type="dxa"/>
            <w:tcBorders>
              <w:top w:val="nil"/>
              <w:left w:val="nil"/>
              <w:bottom w:val="single" w:sz="8" w:space="0" w:color="auto"/>
              <w:right w:val="nil"/>
            </w:tcBorders>
            <w:shd w:val="clear" w:color="auto" w:fill="auto"/>
            <w:noWrap/>
            <w:vAlign w:val="bottom"/>
            <w:hideMark/>
          </w:tcPr>
          <w:p w14:paraId="4BA62977" w14:textId="77777777" w:rsidR="00357426" w:rsidRDefault="00357426" w:rsidP="00EB077E">
            <w:pPr>
              <w:rPr>
                <w:color w:val="000000"/>
                <w:sz w:val="20"/>
                <w:szCs w:val="20"/>
              </w:rPr>
            </w:pPr>
            <w:r>
              <w:rPr>
                <w:color w:val="000000"/>
                <w:sz w:val="20"/>
                <w:szCs w:val="20"/>
              </w:rPr>
              <w:t> </w:t>
            </w:r>
          </w:p>
        </w:tc>
        <w:tc>
          <w:tcPr>
            <w:tcW w:w="1044" w:type="dxa"/>
            <w:tcBorders>
              <w:top w:val="nil"/>
              <w:left w:val="nil"/>
              <w:bottom w:val="single" w:sz="8" w:space="0" w:color="auto"/>
              <w:right w:val="nil"/>
            </w:tcBorders>
            <w:shd w:val="clear" w:color="auto" w:fill="auto"/>
            <w:noWrap/>
            <w:vAlign w:val="bottom"/>
            <w:hideMark/>
          </w:tcPr>
          <w:p w14:paraId="409184A2" w14:textId="77777777" w:rsidR="00357426" w:rsidRDefault="00357426" w:rsidP="00EB077E">
            <w:pPr>
              <w:rPr>
                <w:color w:val="000000"/>
                <w:sz w:val="20"/>
                <w:szCs w:val="20"/>
              </w:rPr>
            </w:pPr>
            <w:r>
              <w:rPr>
                <w:color w:val="000000"/>
                <w:sz w:val="20"/>
                <w:szCs w:val="20"/>
              </w:rPr>
              <w:t> </w:t>
            </w:r>
          </w:p>
        </w:tc>
        <w:tc>
          <w:tcPr>
            <w:tcW w:w="1150" w:type="dxa"/>
            <w:tcBorders>
              <w:top w:val="nil"/>
              <w:left w:val="nil"/>
              <w:bottom w:val="single" w:sz="8" w:space="0" w:color="auto"/>
              <w:right w:val="nil"/>
            </w:tcBorders>
            <w:shd w:val="clear" w:color="auto" w:fill="auto"/>
            <w:noWrap/>
            <w:vAlign w:val="bottom"/>
            <w:hideMark/>
          </w:tcPr>
          <w:p w14:paraId="299A22DB" w14:textId="77777777" w:rsidR="00357426" w:rsidRDefault="00357426" w:rsidP="00EB077E">
            <w:pPr>
              <w:rPr>
                <w:color w:val="000000"/>
                <w:sz w:val="20"/>
                <w:szCs w:val="20"/>
              </w:rPr>
            </w:pPr>
            <w:r>
              <w:rPr>
                <w:color w:val="000000"/>
                <w:sz w:val="20"/>
                <w:szCs w:val="20"/>
              </w:rPr>
              <w:t> </w:t>
            </w:r>
          </w:p>
        </w:tc>
        <w:tc>
          <w:tcPr>
            <w:tcW w:w="1404" w:type="dxa"/>
            <w:tcBorders>
              <w:top w:val="nil"/>
              <w:left w:val="nil"/>
              <w:bottom w:val="single" w:sz="8" w:space="0" w:color="auto"/>
              <w:right w:val="nil"/>
            </w:tcBorders>
            <w:shd w:val="clear" w:color="auto" w:fill="auto"/>
            <w:noWrap/>
            <w:vAlign w:val="bottom"/>
            <w:hideMark/>
          </w:tcPr>
          <w:p w14:paraId="1937E388" w14:textId="77777777" w:rsidR="00357426" w:rsidRDefault="00357426" w:rsidP="00EB077E">
            <w:pPr>
              <w:rPr>
                <w:color w:val="000000"/>
                <w:sz w:val="20"/>
                <w:szCs w:val="20"/>
              </w:rPr>
            </w:pPr>
            <w:r>
              <w:rPr>
                <w:color w:val="000000"/>
                <w:sz w:val="20"/>
                <w:szCs w:val="20"/>
              </w:rPr>
              <w:t> </w:t>
            </w:r>
          </w:p>
        </w:tc>
        <w:tc>
          <w:tcPr>
            <w:tcW w:w="1605" w:type="dxa"/>
            <w:tcBorders>
              <w:top w:val="nil"/>
              <w:left w:val="nil"/>
              <w:bottom w:val="single" w:sz="8" w:space="0" w:color="auto"/>
              <w:right w:val="nil"/>
            </w:tcBorders>
            <w:shd w:val="clear" w:color="auto" w:fill="auto"/>
            <w:noWrap/>
            <w:vAlign w:val="bottom"/>
            <w:hideMark/>
          </w:tcPr>
          <w:p w14:paraId="1020A62F" w14:textId="77777777" w:rsidR="00357426" w:rsidRDefault="00357426" w:rsidP="00EB077E">
            <w:pPr>
              <w:rPr>
                <w:color w:val="000000"/>
                <w:sz w:val="20"/>
                <w:szCs w:val="20"/>
              </w:rPr>
            </w:pPr>
            <w:r>
              <w:rPr>
                <w:color w:val="000000"/>
                <w:sz w:val="20"/>
                <w:szCs w:val="20"/>
              </w:rPr>
              <w:t> </w:t>
            </w:r>
          </w:p>
        </w:tc>
        <w:tc>
          <w:tcPr>
            <w:tcW w:w="1524" w:type="dxa"/>
            <w:tcBorders>
              <w:top w:val="nil"/>
              <w:left w:val="nil"/>
              <w:bottom w:val="single" w:sz="8" w:space="0" w:color="auto"/>
              <w:right w:val="nil"/>
            </w:tcBorders>
            <w:shd w:val="clear" w:color="auto" w:fill="auto"/>
            <w:noWrap/>
            <w:vAlign w:val="bottom"/>
            <w:hideMark/>
          </w:tcPr>
          <w:p w14:paraId="4F942161" w14:textId="77777777" w:rsidR="00357426" w:rsidRDefault="00357426" w:rsidP="00EB077E">
            <w:pPr>
              <w:rPr>
                <w:color w:val="000000"/>
                <w:sz w:val="20"/>
                <w:szCs w:val="20"/>
              </w:rPr>
            </w:pPr>
            <w:r>
              <w:rPr>
                <w:color w:val="000000"/>
                <w:sz w:val="20"/>
                <w:szCs w:val="20"/>
              </w:rPr>
              <w:t> </w:t>
            </w:r>
          </w:p>
        </w:tc>
        <w:tc>
          <w:tcPr>
            <w:tcW w:w="1084" w:type="dxa"/>
            <w:tcBorders>
              <w:top w:val="nil"/>
              <w:left w:val="nil"/>
              <w:bottom w:val="single" w:sz="8" w:space="0" w:color="auto"/>
              <w:right w:val="nil"/>
            </w:tcBorders>
            <w:shd w:val="clear" w:color="auto" w:fill="auto"/>
            <w:noWrap/>
            <w:vAlign w:val="bottom"/>
            <w:hideMark/>
          </w:tcPr>
          <w:p w14:paraId="00D16AF2" w14:textId="77777777" w:rsidR="00357426" w:rsidRDefault="00357426" w:rsidP="00EB077E">
            <w:pPr>
              <w:rPr>
                <w:color w:val="000000"/>
                <w:sz w:val="20"/>
                <w:szCs w:val="20"/>
              </w:rPr>
            </w:pPr>
            <w:r>
              <w:rPr>
                <w:color w:val="000000"/>
                <w:sz w:val="20"/>
                <w:szCs w:val="20"/>
              </w:rPr>
              <w:t> </w:t>
            </w:r>
          </w:p>
        </w:tc>
        <w:tc>
          <w:tcPr>
            <w:tcW w:w="632" w:type="dxa"/>
            <w:tcBorders>
              <w:top w:val="nil"/>
              <w:left w:val="nil"/>
              <w:bottom w:val="single" w:sz="8" w:space="0" w:color="auto"/>
              <w:right w:val="nil"/>
            </w:tcBorders>
            <w:shd w:val="clear" w:color="auto" w:fill="auto"/>
            <w:noWrap/>
            <w:vAlign w:val="bottom"/>
            <w:hideMark/>
          </w:tcPr>
          <w:p w14:paraId="7D007E2F" w14:textId="77777777" w:rsidR="00357426" w:rsidRDefault="00357426" w:rsidP="00EB077E">
            <w:pPr>
              <w:rPr>
                <w:color w:val="000000"/>
                <w:sz w:val="20"/>
                <w:szCs w:val="20"/>
              </w:rPr>
            </w:pPr>
            <w:r>
              <w:rPr>
                <w:color w:val="000000"/>
                <w:sz w:val="20"/>
                <w:szCs w:val="20"/>
              </w:rPr>
              <w:t> </w:t>
            </w:r>
          </w:p>
        </w:tc>
        <w:tc>
          <w:tcPr>
            <w:tcW w:w="1280" w:type="dxa"/>
            <w:tcBorders>
              <w:top w:val="nil"/>
              <w:left w:val="nil"/>
              <w:bottom w:val="single" w:sz="8" w:space="0" w:color="auto"/>
              <w:right w:val="single" w:sz="8" w:space="0" w:color="auto"/>
            </w:tcBorders>
            <w:shd w:val="clear" w:color="auto" w:fill="auto"/>
            <w:noWrap/>
            <w:vAlign w:val="bottom"/>
            <w:hideMark/>
          </w:tcPr>
          <w:p w14:paraId="16F5BABA" w14:textId="77777777" w:rsidR="00357426" w:rsidRDefault="00357426" w:rsidP="00EB077E">
            <w:pPr>
              <w:rPr>
                <w:color w:val="000000"/>
                <w:sz w:val="20"/>
                <w:szCs w:val="20"/>
              </w:rPr>
            </w:pPr>
            <w:r>
              <w:rPr>
                <w:color w:val="000000"/>
                <w:sz w:val="20"/>
                <w:szCs w:val="20"/>
              </w:rPr>
              <w:t> </w:t>
            </w:r>
          </w:p>
        </w:tc>
      </w:tr>
    </w:tbl>
    <w:p w14:paraId="3840739D" w14:textId="77777777" w:rsidR="00712188" w:rsidRDefault="00712188" w:rsidP="009616CB">
      <w:pPr>
        <w:sectPr w:rsidR="00712188" w:rsidSect="009616CB">
          <w:headerReference w:type="first" r:id="rId12"/>
          <w:pgSz w:w="15840" w:h="12240" w:orient="landscape" w:code="1"/>
          <w:pgMar w:top="1440" w:right="1440" w:bottom="1440" w:left="1440" w:header="720" w:footer="720" w:gutter="0"/>
          <w:cols w:space="720"/>
          <w:titlePg/>
          <w:docGrid w:linePitch="360"/>
        </w:sectPr>
      </w:pPr>
    </w:p>
    <w:p w14:paraId="1BA03045" w14:textId="77777777" w:rsidR="009616CB" w:rsidRDefault="009616CB" w:rsidP="009616CB"/>
    <w:tbl>
      <w:tblPr>
        <w:tblW w:w="12126" w:type="dxa"/>
        <w:jc w:val="center"/>
        <w:tblLook w:val="04A0" w:firstRow="1" w:lastRow="0" w:firstColumn="1" w:lastColumn="0" w:noHBand="0" w:noVBand="1"/>
      </w:tblPr>
      <w:tblGrid>
        <w:gridCol w:w="466"/>
        <w:gridCol w:w="3439"/>
        <w:gridCol w:w="1690"/>
        <w:gridCol w:w="1706"/>
        <w:gridCol w:w="1572"/>
        <w:gridCol w:w="1287"/>
        <w:gridCol w:w="2151"/>
      </w:tblGrid>
      <w:tr w:rsidR="009616CB" w:rsidRPr="00B84212" w14:paraId="232D0ECB" w14:textId="77777777" w:rsidTr="009616CB">
        <w:trPr>
          <w:trHeight w:val="300"/>
          <w:jc w:val="center"/>
        </w:trPr>
        <w:tc>
          <w:tcPr>
            <w:tcW w:w="466" w:type="dxa"/>
            <w:tcBorders>
              <w:top w:val="single" w:sz="8" w:space="0" w:color="auto"/>
              <w:left w:val="single" w:sz="8" w:space="0" w:color="auto"/>
              <w:bottom w:val="nil"/>
              <w:right w:val="nil"/>
            </w:tcBorders>
            <w:shd w:val="clear" w:color="auto" w:fill="auto"/>
            <w:noWrap/>
            <w:vAlign w:val="bottom"/>
            <w:hideMark/>
          </w:tcPr>
          <w:p w14:paraId="6B687F8F" w14:textId="77777777" w:rsidR="009616CB" w:rsidRPr="00B84212" w:rsidRDefault="009616CB" w:rsidP="009616CB">
            <w:pPr>
              <w:rPr>
                <w:color w:val="000000"/>
                <w:sz w:val="20"/>
                <w:szCs w:val="20"/>
              </w:rPr>
            </w:pPr>
            <w:r w:rsidRPr="00B84212">
              <w:rPr>
                <w:color w:val="000000"/>
                <w:sz w:val="20"/>
                <w:szCs w:val="20"/>
              </w:rPr>
              <w:t> </w:t>
            </w:r>
          </w:p>
        </w:tc>
        <w:tc>
          <w:tcPr>
            <w:tcW w:w="5129" w:type="dxa"/>
            <w:gridSpan w:val="2"/>
            <w:tcBorders>
              <w:top w:val="single" w:sz="8" w:space="0" w:color="auto"/>
              <w:left w:val="nil"/>
              <w:bottom w:val="nil"/>
              <w:right w:val="nil"/>
            </w:tcBorders>
            <w:shd w:val="clear" w:color="auto" w:fill="auto"/>
            <w:noWrap/>
            <w:vAlign w:val="bottom"/>
            <w:hideMark/>
          </w:tcPr>
          <w:p w14:paraId="22F28F81" w14:textId="77777777" w:rsidR="009616CB" w:rsidRPr="00B84212" w:rsidRDefault="009616CB" w:rsidP="009616CB">
            <w:pPr>
              <w:rPr>
                <w:b/>
                <w:bCs/>
                <w:color w:val="000000"/>
                <w:sz w:val="20"/>
                <w:szCs w:val="20"/>
              </w:rPr>
            </w:pPr>
            <w:r w:rsidRPr="00B84212">
              <w:rPr>
                <w:b/>
                <w:bCs/>
                <w:color w:val="000000"/>
                <w:sz w:val="20"/>
                <w:szCs w:val="20"/>
              </w:rPr>
              <w:t>MERRITT ISLAND UTILITY COMPANY, INC.</w:t>
            </w:r>
            <w:r w:rsidRPr="00B84212">
              <w:rPr>
                <w:sz w:val="20"/>
                <w:szCs w:val="20"/>
              </w:rPr>
              <w:t xml:space="preserve"> </w:t>
            </w:r>
            <w:r w:rsidRPr="00B84212">
              <w:rPr>
                <w:sz w:val="20"/>
                <w:szCs w:val="20"/>
              </w:rPr>
              <w:fldChar w:fldCharType="begin"/>
            </w:r>
            <w:r w:rsidRPr="00B84212">
              <w:rPr>
                <w:sz w:val="20"/>
                <w:szCs w:val="20"/>
              </w:rPr>
              <w:instrText xml:space="preserve"> TC "</w:instrText>
            </w:r>
            <w:bookmarkStart w:id="19" w:name="_Toc20401566"/>
            <w:bookmarkStart w:id="20" w:name="_Toc33522845"/>
            <w:r w:rsidRPr="00B84212">
              <w:rPr>
                <w:sz w:val="20"/>
                <w:szCs w:val="20"/>
              </w:rPr>
              <w:instrText>Schedule No. 3-A Wastewater Operating Income</w:instrText>
            </w:r>
            <w:bookmarkEnd w:id="19"/>
            <w:bookmarkEnd w:id="20"/>
            <w:r w:rsidRPr="00B84212">
              <w:rPr>
                <w:sz w:val="20"/>
                <w:szCs w:val="20"/>
              </w:rPr>
              <w:instrText xml:space="preserve">" \l 1 </w:instrText>
            </w:r>
            <w:r w:rsidRPr="00B84212">
              <w:rPr>
                <w:sz w:val="20"/>
                <w:szCs w:val="20"/>
              </w:rPr>
              <w:fldChar w:fldCharType="end"/>
            </w:r>
          </w:p>
        </w:tc>
        <w:tc>
          <w:tcPr>
            <w:tcW w:w="1691" w:type="dxa"/>
            <w:tcBorders>
              <w:top w:val="single" w:sz="8" w:space="0" w:color="auto"/>
              <w:left w:val="nil"/>
              <w:bottom w:val="nil"/>
              <w:right w:val="nil"/>
            </w:tcBorders>
            <w:shd w:val="clear" w:color="auto" w:fill="auto"/>
            <w:noWrap/>
            <w:vAlign w:val="bottom"/>
            <w:hideMark/>
          </w:tcPr>
          <w:p w14:paraId="4E7819C2" w14:textId="77777777" w:rsidR="009616CB" w:rsidRPr="00B84212" w:rsidRDefault="009616CB" w:rsidP="009616CB">
            <w:pPr>
              <w:rPr>
                <w:color w:val="000000"/>
                <w:sz w:val="20"/>
                <w:szCs w:val="20"/>
              </w:rPr>
            </w:pPr>
            <w:r w:rsidRPr="00B84212">
              <w:rPr>
                <w:color w:val="000000"/>
                <w:sz w:val="20"/>
                <w:szCs w:val="20"/>
              </w:rPr>
              <w:t> </w:t>
            </w:r>
          </w:p>
        </w:tc>
        <w:tc>
          <w:tcPr>
            <w:tcW w:w="4840" w:type="dxa"/>
            <w:gridSpan w:val="3"/>
            <w:tcBorders>
              <w:top w:val="single" w:sz="8" w:space="0" w:color="auto"/>
              <w:left w:val="nil"/>
              <w:bottom w:val="nil"/>
              <w:right w:val="single" w:sz="8" w:space="0" w:color="000000"/>
            </w:tcBorders>
            <w:shd w:val="clear" w:color="auto" w:fill="auto"/>
            <w:noWrap/>
            <w:vAlign w:val="bottom"/>
            <w:hideMark/>
          </w:tcPr>
          <w:p w14:paraId="708115C5" w14:textId="77777777" w:rsidR="009616CB" w:rsidRPr="00B84212" w:rsidRDefault="009616CB" w:rsidP="009616CB">
            <w:pPr>
              <w:jc w:val="right"/>
              <w:rPr>
                <w:b/>
                <w:bCs/>
                <w:color w:val="000000"/>
                <w:sz w:val="20"/>
                <w:szCs w:val="20"/>
              </w:rPr>
            </w:pPr>
            <w:r w:rsidRPr="00B84212">
              <w:rPr>
                <w:b/>
                <w:bCs/>
                <w:color w:val="000000"/>
                <w:sz w:val="20"/>
                <w:szCs w:val="20"/>
              </w:rPr>
              <w:t>SCHEDULE NO. 3-A</w:t>
            </w:r>
          </w:p>
        </w:tc>
      </w:tr>
      <w:tr w:rsidR="009616CB" w:rsidRPr="00B84212" w14:paraId="598AF30A" w14:textId="77777777" w:rsidTr="009616CB">
        <w:trPr>
          <w:trHeight w:val="300"/>
          <w:jc w:val="center"/>
        </w:trPr>
        <w:tc>
          <w:tcPr>
            <w:tcW w:w="466" w:type="dxa"/>
            <w:tcBorders>
              <w:top w:val="nil"/>
              <w:left w:val="single" w:sz="8" w:space="0" w:color="auto"/>
              <w:bottom w:val="nil"/>
              <w:right w:val="nil"/>
            </w:tcBorders>
            <w:shd w:val="clear" w:color="auto" w:fill="auto"/>
            <w:noWrap/>
            <w:vAlign w:val="bottom"/>
            <w:hideMark/>
          </w:tcPr>
          <w:p w14:paraId="129D4EB3" w14:textId="77777777" w:rsidR="009616CB" w:rsidRPr="00B84212" w:rsidRDefault="009616CB" w:rsidP="009616CB">
            <w:pPr>
              <w:rPr>
                <w:color w:val="000000"/>
                <w:sz w:val="20"/>
                <w:szCs w:val="20"/>
              </w:rPr>
            </w:pPr>
            <w:r w:rsidRPr="00B84212">
              <w:rPr>
                <w:color w:val="000000"/>
                <w:sz w:val="20"/>
                <w:szCs w:val="20"/>
              </w:rPr>
              <w:t> </w:t>
            </w:r>
          </w:p>
        </w:tc>
        <w:tc>
          <w:tcPr>
            <w:tcW w:w="3439" w:type="dxa"/>
            <w:tcBorders>
              <w:top w:val="nil"/>
              <w:left w:val="nil"/>
              <w:bottom w:val="nil"/>
              <w:right w:val="nil"/>
            </w:tcBorders>
            <w:shd w:val="clear" w:color="auto" w:fill="auto"/>
            <w:noWrap/>
            <w:vAlign w:val="bottom"/>
            <w:hideMark/>
          </w:tcPr>
          <w:p w14:paraId="37E0F169" w14:textId="77777777" w:rsidR="009616CB" w:rsidRPr="00B84212" w:rsidRDefault="009616CB" w:rsidP="009616CB">
            <w:pPr>
              <w:rPr>
                <w:b/>
                <w:bCs/>
                <w:color w:val="000000"/>
                <w:sz w:val="20"/>
                <w:szCs w:val="20"/>
              </w:rPr>
            </w:pPr>
            <w:r w:rsidRPr="00B84212">
              <w:rPr>
                <w:b/>
                <w:bCs/>
                <w:color w:val="000000"/>
                <w:sz w:val="20"/>
                <w:szCs w:val="20"/>
              </w:rPr>
              <w:t>TEST YEAR ENDED  3/31/2019</w:t>
            </w:r>
          </w:p>
        </w:tc>
        <w:tc>
          <w:tcPr>
            <w:tcW w:w="1690" w:type="dxa"/>
            <w:tcBorders>
              <w:top w:val="nil"/>
              <w:left w:val="nil"/>
              <w:bottom w:val="nil"/>
              <w:right w:val="nil"/>
            </w:tcBorders>
            <w:shd w:val="clear" w:color="auto" w:fill="auto"/>
            <w:noWrap/>
            <w:vAlign w:val="bottom"/>
            <w:hideMark/>
          </w:tcPr>
          <w:p w14:paraId="4B9A0E74" w14:textId="77777777" w:rsidR="009616CB" w:rsidRPr="00B84212" w:rsidRDefault="009616CB" w:rsidP="009616CB">
            <w:pPr>
              <w:rPr>
                <w:color w:val="000000"/>
                <w:sz w:val="20"/>
                <w:szCs w:val="20"/>
              </w:rPr>
            </w:pPr>
          </w:p>
        </w:tc>
        <w:tc>
          <w:tcPr>
            <w:tcW w:w="1691" w:type="dxa"/>
            <w:tcBorders>
              <w:top w:val="nil"/>
              <w:left w:val="nil"/>
              <w:bottom w:val="nil"/>
              <w:right w:val="nil"/>
            </w:tcBorders>
            <w:shd w:val="clear" w:color="auto" w:fill="auto"/>
            <w:noWrap/>
            <w:vAlign w:val="bottom"/>
            <w:hideMark/>
          </w:tcPr>
          <w:p w14:paraId="702952A7" w14:textId="77777777" w:rsidR="009616CB" w:rsidRPr="00B84212" w:rsidRDefault="009616CB" w:rsidP="009616CB">
            <w:pPr>
              <w:rPr>
                <w:color w:val="000000"/>
                <w:sz w:val="20"/>
                <w:szCs w:val="20"/>
              </w:rPr>
            </w:pPr>
          </w:p>
        </w:tc>
        <w:tc>
          <w:tcPr>
            <w:tcW w:w="4840" w:type="dxa"/>
            <w:gridSpan w:val="3"/>
            <w:tcBorders>
              <w:top w:val="nil"/>
              <w:left w:val="nil"/>
              <w:bottom w:val="nil"/>
              <w:right w:val="single" w:sz="8" w:space="0" w:color="000000"/>
            </w:tcBorders>
            <w:shd w:val="clear" w:color="auto" w:fill="auto"/>
            <w:noWrap/>
            <w:vAlign w:val="center"/>
            <w:hideMark/>
          </w:tcPr>
          <w:p w14:paraId="7C54BAB0" w14:textId="77777777" w:rsidR="009616CB" w:rsidRPr="00B84212" w:rsidRDefault="009616CB" w:rsidP="009616CB">
            <w:pPr>
              <w:jc w:val="right"/>
              <w:rPr>
                <w:b/>
                <w:bCs/>
                <w:color w:val="000000"/>
                <w:sz w:val="20"/>
                <w:szCs w:val="20"/>
              </w:rPr>
            </w:pPr>
            <w:r w:rsidRPr="00B84212">
              <w:rPr>
                <w:b/>
                <w:bCs/>
                <w:color w:val="000000"/>
                <w:sz w:val="20"/>
                <w:szCs w:val="20"/>
              </w:rPr>
              <w:t>DOCKET NO. 20190116-SU</w:t>
            </w:r>
          </w:p>
        </w:tc>
      </w:tr>
      <w:tr w:rsidR="009616CB" w:rsidRPr="00B84212" w14:paraId="59353285" w14:textId="77777777" w:rsidTr="009616CB">
        <w:trPr>
          <w:trHeight w:val="315"/>
          <w:jc w:val="center"/>
        </w:trPr>
        <w:tc>
          <w:tcPr>
            <w:tcW w:w="466" w:type="dxa"/>
            <w:tcBorders>
              <w:top w:val="nil"/>
              <w:left w:val="single" w:sz="8" w:space="0" w:color="auto"/>
              <w:bottom w:val="single" w:sz="8" w:space="0" w:color="auto"/>
              <w:right w:val="nil"/>
            </w:tcBorders>
            <w:shd w:val="clear" w:color="auto" w:fill="auto"/>
            <w:noWrap/>
            <w:vAlign w:val="bottom"/>
            <w:hideMark/>
          </w:tcPr>
          <w:p w14:paraId="429A9F46" w14:textId="77777777" w:rsidR="009616CB" w:rsidRPr="00B84212" w:rsidRDefault="009616CB" w:rsidP="009616CB">
            <w:pPr>
              <w:rPr>
                <w:color w:val="000000"/>
                <w:sz w:val="20"/>
                <w:szCs w:val="20"/>
              </w:rPr>
            </w:pPr>
            <w:r w:rsidRPr="00B84212">
              <w:rPr>
                <w:color w:val="000000"/>
                <w:sz w:val="20"/>
                <w:szCs w:val="20"/>
              </w:rPr>
              <w:t> </w:t>
            </w:r>
          </w:p>
        </w:tc>
        <w:tc>
          <w:tcPr>
            <w:tcW w:w="6820" w:type="dxa"/>
            <w:gridSpan w:val="3"/>
            <w:tcBorders>
              <w:top w:val="nil"/>
              <w:left w:val="nil"/>
              <w:bottom w:val="single" w:sz="8" w:space="0" w:color="auto"/>
              <w:right w:val="nil"/>
            </w:tcBorders>
            <w:shd w:val="clear" w:color="auto" w:fill="auto"/>
            <w:noWrap/>
            <w:vAlign w:val="bottom"/>
            <w:hideMark/>
          </w:tcPr>
          <w:p w14:paraId="40DD15B3" w14:textId="77777777" w:rsidR="009616CB" w:rsidRPr="00B84212" w:rsidRDefault="009616CB" w:rsidP="009616CB">
            <w:pPr>
              <w:rPr>
                <w:b/>
                <w:bCs/>
                <w:color w:val="000000"/>
                <w:sz w:val="20"/>
                <w:szCs w:val="20"/>
              </w:rPr>
            </w:pPr>
            <w:r w:rsidRPr="00B84212">
              <w:rPr>
                <w:b/>
                <w:bCs/>
                <w:color w:val="000000"/>
                <w:sz w:val="20"/>
                <w:szCs w:val="20"/>
              </w:rPr>
              <w:t>SCHEDULE OF WASTEWATER OPERATING INCOME</w:t>
            </w:r>
          </w:p>
        </w:tc>
        <w:tc>
          <w:tcPr>
            <w:tcW w:w="1402" w:type="dxa"/>
            <w:tcBorders>
              <w:top w:val="nil"/>
              <w:left w:val="nil"/>
              <w:bottom w:val="single" w:sz="8" w:space="0" w:color="auto"/>
              <w:right w:val="nil"/>
            </w:tcBorders>
            <w:shd w:val="clear" w:color="auto" w:fill="auto"/>
            <w:noWrap/>
            <w:vAlign w:val="bottom"/>
            <w:hideMark/>
          </w:tcPr>
          <w:p w14:paraId="7C9642A0" w14:textId="77777777" w:rsidR="009616CB" w:rsidRPr="00B84212" w:rsidRDefault="009616CB" w:rsidP="009616CB">
            <w:pPr>
              <w:rPr>
                <w:color w:val="000000"/>
                <w:sz w:val="20"/>
                <w:szCs w:val="20"/>
              </w:rPr>
            </w:pPr>
            <w:r w:rsidRPr="00B84212">
              <w:rPr>
                <w:color w:val="000000"/>
                <w:sz w:val="20"/>
                <w:szCs w:val="20"/>
              </w:rPr>
              <w:t> </w:t>
            </w:r>
          </w:p>
        </w:tc>
        <w:tc>
          <w:tcPr>
            <w:tcW w:w="1287" w:type="dxa"/>
            <w:tcBorders>
              <w:top w:val="nil"/>
              <w:left w:val="nil"/>
              <w:bottom w:val="single" w:sz="8" w:space="0" w:color="auto"/>
              <w:right w:val="nil"/>
            </w:tcBorders>
            <w:shd w:val="clear" w:color="auto" w:fill="auto"/>
            <w:noWrap/>
            <w:vAlign w:val="bottom"/>
            <w:hideMark/>
          </w:tcPr>
          <w:p w14:paraId="2B86E2B9" w14:textId="77777777" w:rsidR="009616CB" w:rsidRPr="00B84212" w:rsidRDefault="009616CB" w:rsidP="009616CB">
            <w:pPr>
              <w:rPr>
                <w:sz w:val="20"/>
                <w:szCs w:val="20"/>
              </w:rPr>
            </w:pPr>
            <w:r w:rsidRPr="00B84212">
              <w:rPr>
                <w:sz w:val="20"/>
                <w:szCs w:val="20"/>
              </w:rPr>
              <w:t> </w:t>
            </w:r>
          </w:p>
        </w:tc>
        <w:tc>
          <w:tcPr>
            <w:tcW w:w="2151" w:type="dxa"/>
            <w:tcBorders>
              <w:top w:val="nil"/>
              <w:left w:val="nil"/>
              <w:bottom w:val="single" w:sz="8" w:space="0" w:color="auto"/>
              <w:right w:val="single" w:sz="8" w:space="0" w:color="auto"/>
            </w:tcBorders>
            <w:shd w:val="clear" w:color="auto" w:fill="auto"/>
            <w:noWrap/>
            <w:vAlign w:val="bottom"/>
            <w:hideMark/>
          </w:tcPr>
          <w:p w14:paraId="70B48A94" w14:textId="77777777" w:rsidR="009616CB" w:rsidRPr="00B84212" w:rsidRDefault="009616CB" w:rsidP="009616CB">
            <w:pPr>
              <w:rPr>
                <w:sz w:val="20"/>
                <w:szCs w:val="20"/>
              </w:rPr>
            </w:pPr>
            <w:r w:rsidRPr="00B84212">
              <w:rPr>
                <w:sz w:val="20"/>
                <w:szCs w:val="20"/>
              </w:rPr>
              <w:t> </w:t>
            </w:r>
          </w:p>
        </w:tc>
      </w:tr>
      <w:tr w:rsidR="009616CB" w:rsidRPr="00B84212" w14:paraId="0F66BA37" w14:textId="77777777" w:rsidTr="009616CB">
        <w:trPr>
          <w:trHeight w:val="300"/>
          <w:jc w:val="center"/>
        </w:trPr>
        <w:tc>
          <w:tcPr>
            <w:tcW w:w="466" w:type="dxa"/>
            <w:tcBorders>
              <w:top w:val="nil"/>
              <w:left w:val="single" w:sz="8" w:space="0" w:color="auto"/>
              <w:bottom w:val="nil"/>
              <w:right w:val="nil"/>
            </w:tcBorders>
            <w:shd w:val="clear" w:color="auto" w:fill="auto"/>
            <w:noWrap/>
            <w:vAlign w:val="bottom"/>
            <w:hideMark/>
          </w:tcPr>
          <w:p w14:paraId="68E001BD" w14:textId="77777777" w:rsidR="009616CB" w:rsidRPr="00B84212" w:rsidRDefault="009616CB" w:rsidP="009616CB">
            <w:pPr>
              <w:rPr>
                <w:color w:val="000000"/>
                <w:sz w:val="20"/>
                <w:szCs w:val="20"/>
              </w:rPr>
            </w:pPr>
            <w:r w:rsidRPr="00B84212">
              <w:rPr>
                <w:color w:val="000000"/>
                <w:sz w:val="20"/>
                <w:szCs w:val="20"/>
              </w:rPr>
              <w:t> </w:t>
            </w:r>
          </w:p>
        </w:tc>
        <w:tc>
          <w:tcPr>
            <w:tcW w:w="3439" w:type="dxa"/>
            <w:tcBorders>
              <w:top w:val="nil"/>
              <w:left w:val="nil"/>
              <w:bottom w:val="nil"/>
              <w:right w:val="nil"/>
            </w:tcBorders>
            <w:shd w:val="clear" w:color="auto" w:fill="auto"/>
            <w:noWrap/>
            <w:vAlign w:val="bottom"/>
            <w:hideMark/>
          </w:tcPr>
          <w:p w14:paraId="74AF9F4D" w14:textId="77777777" w:rsidR="009616CB" w:rsidRPr="00B84212" w:rsidRDefault="009616CB" w:rsidP="009616CB">
            <w:pPr>
              <w:rPr>
                <w:color w:val="000000"/>
                <w:sz w:val="20"/>
                <w:szCs w:val="20"/>
              </w:rPr>
            </w:pPr>
            <w:r w:rsidRPr="00B84212">
              <w:rPr>
                <w:color w:val="000000"/>
                <w:sz w:val="20"/>
                <w:szCs w:val="20"/>
              </w:rPr>
              <w:t> </w:t>
            </w:r>
          </w:p>
        </w:tc>
        <w:tc>
          <w:tcPr>
            <w:tcW w:w="1690" w:type="dxa"/>
            <w:tcBorders>
              <w:top w:val="nil"/>
              <w:left w:val="nil"/>
              <w:bottom w:val="nil"/>
              <w:right w:val="nil"/>
            </w:tcBorders>
            <w:shd w:val="clear" w:color="auto" w:fill="auto"/>
            <w:noWrap/>
            <w:vAlign w:val="bottom"/>
            <w:hideMark/>
          </w:tcPr>
          <w:p w14:paraId="107F3F8B" w14:textId="77777777" w:rsidR="009616CB" w:rsidRPr="00B84212" w:rsidRDefault="009616CB" w:rsidP="009616CB">
            <w:pPr>
              <w:rPr>
                <w:b/>
                <w:bCs/>
                <w:color w:val="000000"/>
                <w:sz w:val="20"/>
                <w:szCs w:val="20"/>
              </w:rPr>
            </w:pPr>
            <w:r w:rsidRPr="00B84212">
              <w:rPr>
                <w:b/>
                <w:bCs/>
                <w:color w:val="000000"/>
                <w:sz w:val="20"/>
                <w:szCs w:val="20"/>
              </w:rPr>
              <w:t> </w:t>
            </w:r>
          </w:p>
        </w:tc>
        <w:tc>
          <w:tcPr>
            <w:tcW w:w="1691" w:type="dxa"/>
            <w:tcBorders>
              <w:top w:val="nil"/>
              <w:left w:val="nil"/>
              <w:bottom w:val="nil"/>
              <w:right w:val="nil"/>
            </w:tcBorders>
            <w:shd w:val="clear" w:color="auto" w:fill="auto"/>
            <w:noWrap/>
            <w:vAlign w:val="bottom"/>
            <w:hideMark/>
          </w:tcPr>
          <w:p w14:paraId="7CB560A1" w14:textId="77777777" w:rsidR="009616CB" w:rsidRPr="00B84212" w:rsidRDefault="009616CB" w:rsidP="009616CB">
            <w:pPr>
              <w:jc w:val="center"/>
              <w:rPr>
                <w:b/>
                <w:bCs/>
                <w:color w:val="000000"/>
                <w:sz w:val="20"/>
                <w:szCs w:val="20"/>
              </w:rPr>
            </w:pPr>
            <w:r w:rsidRPr="00B84212">
              <w:rPr>
                <w:b/>
                <w:bCs/>
                <w:color w:val="000000"/>
                <w:sz w:val="20"/>
                <w:szCs w:val="20"/>
              </w:rPr>
              <w:t> </w:t>
            </w:r>
          </w:p>
        </w:tc>
        <w:tc>
          <w:tcPr>
            <w:tcW w:w="1402" w:type="dxa"/>
            <w:tcBorders>
              <w:top w:val="nil"/>
              <w:left w:val="nil"/>
              <w:bottom w:val="nil"/>
              <w:right w:val="nil"/>
            </w:tcBorders>
            <w:shd w:val="clear" w:color="auto" w:fill="auto"/>
            <w:noWrap/>
            <w:vAlign w:val="bottom"/>
            <w:hideMark/>
          </w:tcPr>
          <w:p w14:paraId="5548F5FA" w14:textId="77777777" w:rsidR="009616CB" w:rsidRPr="00B84212" w:rsidRDefault="00196CFC" w:rsidP="009616CB">
            <w:pPr>
              <w:jc w:val="center"/>
              <w:rPr>
                <w:b/>
                <w:bCs/>
                <w:color w:val="000000"/>
                <w:sz w:val="20"/>
                <w:szCs w:val="20"/>
              </w:rPr>
            </w:pPr>
            <w:r>
              <w:rPr>
                <w:b/>
                <w:bCs/>
                <w:color w:val="000000"/>
                <w:sz w:val="20"/>
                <w:szCs w:val="20"/>
              </w:rPr>
              <w:t>COMMISSION</w:t>
            </w:r>
          </w:p>
        </w:tc>
        <w:tc>
          <w:tcPr>
            <w:tcW w:w="1287" w:type="dxa"/>
            <w:tcBorders>
              <w:top w:val="nil"/>
              <w:left w:val="nil"/>
              <w:bottom w:val="nil"/>
              <w:right w:val="nil"/>
            </w:tcBorders>
            <w:shd w:val="clear" w:color="auto" w:fill="auto"/>
            <w:noWrap/>
            <w:vAlign w:val="bottom"/>
            <w:hideMark/>
          </w:tcPr>
          <w:p w14:paraId="6B114A77" w14:textId="77777777" w:rsidR="009616CB" w:rsidRPr="00B84212" w:rsidRDefault="009616CB" w:rsidP="009616CB">
            <w:pPr>
              <w:jc w:val="center"/>
              <w:rPr>
                <w:b/>
                <w:bCs/>
                <w:color w:val="000000"/>
                <w:sz w:val="20"/>
                <w:szCs w:val="20"/>
              </w:rPr>
            </w:pPr>
            <w:r w:rsidRPr="00B84212">
              <w:rPr>
                <w:b/>
                <w:bCs/>
                <w:color w:val="000000"/>
                <w:sz w:val="20"/>
                <w:szCs w:val="20"/>
              </w:rPr>
              <w:t>ADJUST.</w:t>
            </w:r>
          </w:p>
        </w:tc>
        <w:tc>
          <w:tcPr>
            <w:tcW w:w="2151" w:type="dxa"/>
            <w:tcBorders>
              <w:top w:val="nil"/>
              <w:left w:val="nil"/>
              <w:bottom w:val="nil"/>
              <w:right w:val="single" w:sz="8" w:space="0" w:color="auto"/>
            </w:tcBorders>
            <w:shd w:val="clear" w:color="auto" w:fill="auto"/>
            <w:noWrap/>
            <w:vAlign w:val="bottom"/>
            <w:hideMark/>
          </w:tcPr>
          <w:p w14:paraId="11629E7C" w14:textId="77777777" w:rsidR="009616CB" w:rsidRPr="00B84212" w:rsidRDefault="009616CB" w:rsidP="009616CB">
            <w:pPr>
              <w:rPr>
                <w:b/>
                <w:bCs/>
                <w:color w:val="000000"/>
                <w:sz w:val="20"/>
                <w:szCs w:val="20"/>
              </w:rPr>
            </w:pPr>
            <w:r w:rsidRPr="00B84212">
              <w:rPr>
                <w:b/>
                <w:bCs/>
                <w:color w:val="000000"/>
                <w:sz w:val="20"/>
                <w:szCs w:val="20"/>
              </w:rPr>
              <w:t> </w:t>
            </w:r>
          </w:p>
        </w:tc>
      </w:tr>
      <w:tr w:rsidR="009616CB" w:rsidRPr="00B84212" w14:paraId="4877E211" w14:textId="77777777" w:rsidTr="009616CB">
        <w:trPr>
          <w:trHeight w:val="300"/>
          <w:jc w:val="center"/>
        </w:trPr>
        <w:tc>
          <w:tcPr>
            <w:tcW w:w="466" w:type="dxa"/>
            <w:tcBorders>
              <w:top w:val="nil"/>
              <w:left w:val="single" w:sz="8" w:space="0" w:color="auto"/>
              <w:bottom w:val="nil"/>
              <w:right w:val="nil"/>
            </w:tcBorders>
            <w:shd w:val="clear" w:color="auto" w:fill="auto"/>
            <w:noWrap/>
            <w:vAlign w:val="bottom"/>
            <w:hideMark/>
          </w:tcPr>
          <w:p w14:paraId="7302882D" w14:textId="77777777" w:rsidR="009616CB" w:rsidRPr="00B84212" w:rsidRDefault="009616CB" w:rsidP="009616CB">
            <w:pPr>
              <w:rPr>
                <w:color w:val="000000"/>
                <w:sz w:val="20"/>
                <w:szCs w:val="20"/>
              </w:rPr>
            </w:pPr>
            <w:r w:rsidRPr="00B84212">
              <w:rPr>
                <w:color w:val="000000"/>
                <w:sz w:val="20"/>
                <w:szCs w:val="20"/>
              </w:rPr>
              <w:t> </w:t>
            </w:r>
          </w:p>
        </w:tc>
        <w:tc>
          <w:tcPr>
            <w:tcW w:w="3439" w:type="dxa"/>
            <w:tcBorders>
              <w:top w:val="nil"/>
              <w:left w:val="nil"/>
              <w:bottom w:val="nil"/>
              <w:right w:val="nil"/>
            </w:tcBorders>
            <w:shd w:val="clear" w:color="auto" w:fill="auto"/>
            <w:noWrap/>
            <w:vAlign w:val="bottom"/>
            <w:hideMark/>
          </w:tcPr>
          <w:p w14:paraId="432F0907" w14:textId="77777777" w:rsidR="009616CB" w:rsidRPr="00B84212" w:rsidRDefault="009616CB" w:rsidP="009616CB">
            <w:pPr>
              <w:rPr>
                <w:color w:val="000000"/>
                <w:sz w:val="20"/>
                <w:szCs w:val="20"/>
              </w:rPr>
            </w:pPr>
          </w:p>
        </w:tc>
        <w:tc>
          <w:tcPr>
            <w:tcW w:w="1690" w:type="dxa"/>
            <w:tcBorders>
              <w:top w:val="nil"/>
              <w:left w:val="nil"/>
              <w:bottom w:val="nil"/>
              <w:right w:val="nil"/>
            </w:tcBorders>
            <w:shd w:val="clear" w:color="auto" w:fill="auto"/>
            <w:noWrap/>
            <w:vAlign w:val="bottom"/>
            <w:hideMark/>
          </w:tcPr>
          <w:p w14:paraId="7E7A33EC" w14:textId="77777777" w:rsidR="009616CB" w:rsidRPr="00B84212" w:rsidRDefault="009616CB" w:rsidP="009616CB">
            <w:pPr>
              <w:jc w:val="center"/>
              <w:rPr>
                <w:b/>
                <w:bCs/>
                <w:color w:val="000000"/>
                <w:sz w:val="20"/>
                <w:szCs w:val="20"/>
              </w:rPr>
            </w:pPr>
            <w:r w:rsidRPr="00B84212">
              <w:rPr>
                <w:b/>
                <w:bCs/>
                <w:color w:val="000000"/>
                <w:sz w:val="20"/>
                <w:szCs w:val="20"/>
              </w:rPr>
              <w:t>TEST YEAR</w:t>
            </w:r>
          </w:p>
        </w:tc>
        <w:tc>
          <w:tcPr>
            <w:tcW w:w="1691" w:type="dxa"/>
            <w:tcBorders>
              <w:top w:val="nil"/>
              <w:left w:val="nil"/>
              <w:bottom w:val="nil"/>
              <w:right w:val="nil"/>
            </w:tcBorders>
            <w:shd w:val="clear" w:color="auto" w:fill="auto"/>
            <w:noWrap/>
            <w:vAlign w:val="bottom"/>
            <w:hideMark/>
          </w:tcPr>
          <w:p w14:paraId="3126D188" w14:textId="77777777" w:rsidR="009616CB" w:rsidRPr="00B84212" w:rsidRDefault="00196CFC" w:rsidP="00196CFC">
            <w:pPr>
              <w:jc w:val="center"/>
              <w:rPr>
                <w:b/>
                <w:bCs/>
                <w:color w:val="000000"/>
                <w:sz w:val="20"/>
                <w:szCs w:val="20"/>
              </w:rPr>
            </w:pPr>
            <w:r>
              <w:rPr>
                <w:b/>
                <w:bCs/>
                <w:color w:val="000000"/>
                <w:sz w:val="20"/>
                <w:szCs w:val="20"/>
              </w:rPr>
              <w:t>COMMISSION</w:t>
            </w:r>
            <w:r w:rsidR="009616CB" w:rsidRPr="00B84212">
              <w:rPr>
                <w:b/>
                <w:bCs/>
                <w:color w:val="000000"/>
                <w:sz w:val="20"/>
                <w:szCs w:val="20"/>
              </w:rPr>
              <w:t xml:space="preserve"> </w:t>
            </w:r>
          </w:p>
        </w:tc>
        <w:tc>
          <w:tcPr>
            <w:tcW w:w="1402" w:type="dxa"/>
            <w:tcBorders>
              <w:top w:val="nil"/>
              <w:left w:val="nil"/>
              <w:bottom w:val="nil"/>
              <w:right w:val="nil"/>
            </w:tcBorders>
            <w:shd w:val="clear" w:color="auto" w:fill="auto"/>
            <w:noWrap/>
            <w:vAlign w:val="bottom"/>
            <w:hideMark/>
          </w:tcPr>
          <w:p w14:paraId="39411E5B" w14:textId="77777777" w:rsidR="009616CB" w:rsidRPr="00B84212" w:rsidRDefault="009616CB" w:rsidP="009616CB">
            <w:pPr>
              <w:jc w:val="center"/>
              <w:rPr>
                <w:b/>
                <w:bCs/>
                <w:color w:val="000000"/>
                <w:sz w:val="20"/>
                <w:szCs w:val="20"/>
              </w:rPr>
            </w:pPr>
            <w:r w:rsidRPr="00B84212">
              <w:rPr>
                <w:b/>
                <w:bCs/>
                <w:color w:val="000000"/>
                <w:sz w:val="20"/>
                <w:szCs w:val="20"/>
              </w:rPr>
              <w:t>ADJUSTED</w:t>
            </w:r>
          </w:p>
        </w:tc>
        <w:tc>
          <w:tcPr>
            <w:tcW w:w="1287" w:type="dxa"/>
            <w:tcBorders>
              <w:top w:val="nil"/>
              <w:left w:val="nil"/>
              <w:bottom w:val="nil"/>
              <w:right w:val="nil"/>
            </w:tcBorders>
            <w:shd w:val="clear" w:color="auto" w:fill="auto"/>
            <w:noWrap/>
            <w:vAlign w:val="bottom"/>
            <w:hideMark/>
          </w:tcPr>
          <w:p w14:paraId="12365BA2" w14:textId="77777777" w:rsidR="009616CB" w:rsidRPr="00B84212" w:rsidRDefault="009616CB" w:rsidP="009616CB">
            <w:pPr>
              <w:jc w:val="center"/>
              <w:rPr>
                <w:b/>
                <w:bCs/>
                <w:color w:val="000000"/>
                <w:sz w:val="20"/>
                <w:szCs w:val="20"/>
              </w:rPr>
            </w:pPr>
            <w:r w:rsidRPr="00B84212">
              <w:rPr>
                <w:b/>
                <w:bCs/>
                <w:color w:val="000000"/>
                <w:sz w:val="20"/>
                <w:szCs w:val="20"/>
              </w:rPr>
              <w:t>FOR</w:t>
            </w:r>
          </w:p>
        </w:tc>
        <w:tc>
          <w:tcPr>
            <w:tcW w:w="2151" w:type="dxa"/>
            <w:tcBorders>
              <w:top w:val="nil"/>
              <w:left w:val="nil"/>
              <w:bottom w:val="nil"/>
              <w:right w:val="single" w:sz="8" w:space="0" w:color="auto"/>
            </w:tcBorders>
            <w:shd w:val="clear" w:color="auto" w:fill="auto"/>
            <w:noWrap/>
            <w:vAlign w:val="bottom"/>
            <w:hideMark/>
          </w:tcPr>
          <w:p w14:paraId="4A660FC5" w14:textId="77777777" w:rsidR="009616CB" w:rsidRPr="00B84212" w:rsidRDefault="009616CB" w:rsidP="009616CB">
            <w:pPr>
              <w:jc w:val="center"/>
              <w:rPr>
                <w:b/>
                <w:bCs/>
                <w:color w:val="000000"/>
                <w:sz w:val="20"/>
                <w:szCs w:val="20"/>
              </w:rPr>
            </w:pPr>
            <w:r w:rsidRPr="00B84212">
              <w:rPr>
                <w:b/>
                <w:bCs/>
                <w:color w:val="000000"/>
                <w:sz w:val="20"/>
                <w:szCs w:val="20"/>
              </w:rPr>
              <w:t>REVENUE</w:t>
            </w:r>
          </w:p>
        </w:tc>
      </w:tr>
      <w:tr w:rsidR="009616CB" w:rsidRPr="00B84212" w14:paraId="3CF33352" w14:textId="77777777" w:rsidTr="009616CB">
        <w:trPr>
          <w:trHeight w:val="315"/>
          <w:jc w:val="center"/>
        </w:trPr>
        <w:tc>
          <w:tcPr>
            <w:tcW w:w="466" w:type="dxa"/>
            <w:tcBorders>
              <w:top w:val="nil"/>
              <w:left w:val="single" w:sz="8" w:space="0" w:color="auto"/>
              <w:bottom w:val="single" w:sz="8" w:space="0" w:color="auto"/>
              <w:right w:val="nil"/>
            </w:tcBorders>
            <w:shd w:val="clear" w:color="auto" w:fill="auto"/>
            <w:noWrap/>
            <w:vAlign w:val="bottom"/>
            <w:hideMark/>
          </w:tcPr>
          <w:p w14:paraId="3A28766D" w14:textId="77777777" w:rsidR="009616CB" w:rsidRPr="00B84212" w:rsidRDefault="009616CB" w:rsidP="009616CB">
            <w:pPr>
              <w:rPr>
                <w:color w:val="000000"/>
                <w:sz w:val="20"/>
                <w:szCs w:val="20"/>
              </w:rPr>
            </w:pPr>
            <w:r w:rsidRPr="00B84212">
              <w:rPr>
                <w:color w:val="000000"/>
                <w:sz w:val="20"/>
                <w:szCs w:val="20"/>
              </w:rPr>
              <w:t> </w:t>
            </w:r>
          </w:p>
        </w:tc>
        <w:tc>
          <w:tcPr>
            <w:tcW w:w="3439" w:type="dxa"/>
            <w:tcBorders>
              <w:top w:val="nil"/>
              <w:left w:val="nil"/>
              <w:bottom w:val="single" w:sz="8" w:space="0" w:color="auto"/>
              <w:right w:val="nil"/>
            </w:tcBorders>
            <w:shd w:val="clear" w:color="auto" w:fill="auto"/>
            <w:noWrap/>
            <w:vAlign w:val="bottom"/>
            <w:hideMark/>
          </w:tcPr>
          <w:p w14:paraId="3D53FBAE" w14:textId="77777777" w:rsidR="009616CB" w:rsidRPr="00B84212" w:rsidRDefault="009616CB" w:rsidP="009616CB">
            <w:pPr>
              <w:rPr>
                <w:color w:val="000000"/>
                <w:sz w:val="20"/>
                <w:szCs w:val="20"/>
              </w:rPr>
            </w:pPr>
            <w:r w:rsidRPr="00B84212">
              <w:rPr>
                <w:color w:val="000000"/>
                <w:sz w:val="20"/>
                <w:szCs w:val="20"/>
              </w:rPr>
              <w:t> </w:t>
            </w:r>
          </w:p>
        </w:tc>
        <w:tc>
          <w:tcPr>
            <w:tcW w:w="1690" w:type="dxa"/>
            <w:tcBorders>
              <w:top w:val="nil"/>
              <w:left w:val="nil"/>
              <w:bottom w:val="single" w:sz="8" w:space="0" w:color="auto"/>
              <w:right w:val="nil"/>
            </w:tcBorders>
            <w:shd w:val="clear" w:color="auto" w:fill="auto"/>
            <w:noWrap/>
            <w:vAlign w:val="bottom"/>
            <w:hideMark/>
          </w:tcPr>
          <w:p w14:paraId="59EB1202" w14:textId="77777777" w:rsidR="009616CB" w:rsidRPr="00B84212" w:rsidRDefault="009616CB" w:rsidP="009616CB">
            <w:pPr>
              <w:jc w:val="center"/>
              <w:rPr>
                <w:b/>
                <w:bCs/>
                <w:color w:val="000000"/>
                <w:sz w:val="20"/>
                <w:szCs w:val="20"/>
              </w:rPr>
            </w:pPr>
            <w:r w:rsidRPr="00B84212">
              <w:rPr>
                <w:b/>
                <w:bCs/>
                <w:color w:val="000000"/>
                <w:sz w:val="20"/>
                <w:szCs w:val="20"/>
              </w:rPr>
              <w:t>PER UTILITY</w:t>
            </w:r>
          </w:p>
        </w:tc>
        <w:tc>
          <w:tcPr>
            <w:tcW w:w="1691" w:type="dxa"/>
            <w:tcBorders>
              <w:top w:val="nil"/>
              <w:left w:val="nil"/>
              <w:bottom w:val="single" w:sz="8" w:space="0" w:color="auto"/>
              <w:right w:val="nil"/>
            </w:tcBorders>
            <w:shd w:val="clear" w:color="auto" w:fill="auto"/>
            <w:noWrap/>
            <w:vAlign w:val="bottom"/>
            <w:hideMark/>
          </w:tcPr>
          <w:p w14:paraId="2A1EC1BA" w14:textId="77777777" w:rsidR="009616CB" w:rsidRPr="00B84212" w:rsidRDefault="009616CB" w:rsidP="009616CB">
            <w:pPr>
              <w:jc w:val="center"/>
              <w:rPr>
                <w:b/>
                <w:bCs/>
                <w:color w:val="000000"/>
                <w:sz w:val="20"/>
                <w:szCs w:val="20"/>
              </w:rPr>
            </w:pPr>
            <w:r w:rsidRPr="00B84212">
              <w:rPr>
                <w:b/>
                <w:bCs/>
                <w:color w:val="000000"/>
                <w:sz w:val="20"/>
                <w:szCs w:val="20"/>
              </w:rPr>
              <w:t>ADJUSTMENTS</w:t>
            </w:r>
          </w:p>
        </w:tc>
        <w:tc>
          <w:tcPr>
            <w:tcW w:w="1402" w:type="dxa"/>
            <w:tcBorders>
              <w:top w:val="nil"/>
              <w:left w:val="nil"/>
              <w:bottom w:val="single" w:sz="8" w:space="0" w:color="auto"/>
              <w:right w:val="nil"/>
            </w:tcBorders>
            <w:shd w:val="clear" w:color="auto" w:fill="auto"/>
            <w:noWrap/>
            <w:vAlign w:val="bottom"/>
            <w:hideMark/>
          </w:tcPr>
          <w:p w14:paraId="78FABEBB" w14:textId="77777777" w:rsidR="009616CB" w:rsidRPr="00B84212" w:rsidRDefault="009616CB" w:rsidP="009616CB">
            <w:pPr>
              <w:jc w:val="center"/>
              <w:rPr>
                <w:b/>
                <w:bCs/>
                <w:color w:val="000000"/>
                <w:sz w:val="20"/>
                <w:szCs w:val="20"/>
              </w:rPr>
            </w:pPr>
            <w:r w:rsidRPr="00B84212">
              <w:rPr>
                <w:b/>
                <w:bCs/>
                <w:color w:val="000000"/>
                <w:sz w:val="20"/>
                <w:szCs w:val="20"/>
              </w:rPr>
              <w:t>TEST YEAR</w:t>
            </w:r>
          </w:p>
        </w:tc>
        <w:tc>
          <w:tcPr>
            <w:tcW w:w="1287" w:type="dxa"/>
            <w:tcBorders>
              <w:top w:val="nil"/>
              <w:left w:val="nil"/>
              <w:bottom w:val="single" w:sz="8" w:space="0" w:color="auto"/>
              <w:right w:val="nil"/>
            </w:tcBorders>
            <w:shd w:val="clear" w:color="auto" w:fill="auto"/>
            <w:noWrap/>
            <w:vAlign w:val="bottom"/>
            <w:hideMark/>
          </w:tcPr>
          <w:p w14:paraId="4673F4AF" w14:textId="77777777" w:rsidR="009616CB" w:rsidRPr="00B84212" w:rsidRDefault="009616CB" w:rsidP="009616CB">
            <w:pPr>
              <w:jc w:val="center"/>
              <w:rPr>
                <w:b/>
                <w:bCs/>
                <w:color w:val="000000"/>
                <w:sz w:val="20"/>
                <w:szCs w:val="20"/>
              </w:rPr>
            </w:pPr>
            <w:r w:rsidRPr="00B84212">
              <w:rPr>
                <w:b/>
                <w:bCs/>
                <w:color w:val="000000"/>
                <w:sz w:val="20"/>
                <w:szCs w:val="20"/>
              </w:rPr>
              <w:t>INCREASE</w:t>
            </w:r>
          </w:p>
        </w:tc>
        <w:tc>
          <w:tcPr>
            <w:tcW w:w="2151" w:type="dxa"/>
            <w:tcBorders>
              <w:top w:val="nil"/>
              <w:left w:val="nil"/>
              <w:bottom w:val="single" w:sz="8" w:space="0" w:color="auto"/>
              <w:right w:val="single" w:sz="8" w:space="0" w:color="auto"/>
            </w:tcBorders>
            <w:shd w:val="clear" w:color="auto" w:fill="auto"/>
            <w:noWrap/>
            <w:vAlign w:val="bottom"/>
            <w:hideMark/>
          </w:tcPr>
          <w:p w14:paraId="697EB503" w14:textId="77777777" w:rsidR="009616CB" w:rsidRPr="00B84212" w:rsidRDefault="009616CB" w:rsidP="009616CB">
            <w:pPr>
              <w:jc w:val="center"/>
              <w:rPr>
                <w:b/>
                <w:bCs/>
                <w:color w:val="000000"/>
                <w:sz w:val="20"/>
                <w:szCs w:val="20"/>
              </w:rPr>
            </w:pPr>
            <w:r w:rsidRPr="00B84212">
              <w:rPr>
                <w:b/>
                <w:bCs/>
                <w:color w:val="000000"/>
                <w:sz w:val="20"/>
                <w:szCs w:val="20"/>
              </w:rPr>
              <w:t>REQUIREMENT</w:t>
            </w:r>
          </w:p>
        </w:tc>
      </w:tr>
      <w:tr w:rsidR="009616CB" w:rsidRPr="00B84212" w14:paraId="0411E4A1" w14:textId="77777777" w:rsidTr="009616CB">
        <w:trPr>
          <w:trHeight w:val="300"/>
          <w:jc w:val="center"/>
        </w:trPr>
        <w:tc>
          <w:tcPr>
            <w:tcW w:w="466" w:type="dxa"/>
            <w:tcBorders>
              <w:top w:val="nil"/>
              <w:left w:val="single" w:sz="8" w:space="0" w:color="auto"/>
              <w:bottom w:val="nil"/>
              <w:right w:val="nil"/>
            </w:tcBorders>
            <w:shd w:val="clear" w:color="auto" w:fill="auto"/>
            <w:noWrap/>
            <w:vAlign w:val="bottom"/>
            <w:hideMark/>
          </w:tcPr>
          <w:p w14:paraId="59049499" w14:textId="77777777" w:rsidR="009616CB" w:rsidRPr="00B84212" w:rsidRDefault="009616CB" w:rsidP="009616CB">
            <w:pPr>
              <w:rPr>
                <w:color w:val="000000"/>
                <w:sz w:val="20"/>
                <w:szCs w:val="20"/>
              </w:rPr>
            </w:pPr>
            <w:r w:rsidRPr="00B84212">
              <w:rPr>
                <w:color w:val="000000"/>
                <w:sz w:val="20"/>
                <w:szCs w:val="20"/>
              </w:rPr>
              <w:t> </w:t>
            </w:r>
          </w:p>
        </w:tc>
        <w:tc>
          <w:tcPr>
            <w:tcW w:w="3439" w:type="dxa"/>
            <w:tcBorders>
              <w:top w:val="nil"/>
              <w:left w:val="nil"/>
              <w:bottom w:val="nil"/>
              <w:right w:val="nil"/>
            </w:tcBorders>
            <w:shd w:val="clear" w:color="auto" w:fill="auto"/>
            <w:noWrap/>
            <w:vAlign w:val="bottom"/>
            <w:hideMark/>
          </w:tcPr>
          <w:p w14:paraId="1FC59A2F" w14:textId="77777777" w:rsidR="009616CB" w:rsidRPr="00B84212" w:rsidRDefault="009616CB" w:rsidP="009616CB">
            <w:pPr>
              <w:rPr>
                <w:color w:val="000000"/>
                <w:sz w:val="20"/>
                <w:szCs w:val="20"/>
              </w:rPr>
            </w:pPr>
            <w:r w:rsidRPr="00B84212">
              <w:rPr>
                <w:color w:val="000000"/>
                <w:sz w:val="20"/>
                <w:szCs w:val="20"/>
              </w:rPr>
              <w:t> </w:t>
            </w:r>
          </w:p>
        </w:tc>
        <w:tc>
          <w:tcPr>
            <w:tcW w:w="1690" w:type="dxa"/>
            <w:tcBorders>
              <w:top w:val="nil"/>
              <w:left w:val="nil"/>
              <w:bottom w:val="nil"/>
              <w:right w:val="nil"/>
            </w:tcBorders>
            <w:shd w:val="clear" w:color="auto" w:fill="auto"/>
            <w:noWrap/>
            <w:vAlign w:val="bottom"/>
            <w:hideMark/>
          </w:tcPr>
          <w:p w14:paraId="7AB8C66D" w14:textId="77777777" w:rsidR="009616CB" w:rsidRPr="00B84212" w:rsidRDefault="009616CB" w:rsidP="009616CB">
            <w:pPr>
              <w:rPr>
                <w:color w:val="000000"/>
                <w:sz w:val="20"/>
                <w:szCs w:val="20"/>
              </w:rPr>
            </w:pPr>
            <w:r w:rsidRPr="00B84212">
              <w:rPr>
                <w:color w:val="000000"/>
                <w:sz w:val="20"/>
                <w:szCs w:val="20"/>
              </w:rPr>
              <w:t> </w:t>
            </w:r>
          </w:p>
        </w:tc>
        <w:tc>
          <w:tcPr>
            <w:tcW w:w="1691" w:type="dxa"/>
            <w:tcBorders>
              <w:top w:val="nil"/>
              <w:left w:val="nil"/>
              <w:bottom w:val="nil"/>
              <w:right w:val="nil"/>
            </w:tcBorders>
            <w:shd w:val="clear" w:color="auto" w:fill="auto"/>
            <w:noWrap/>
            <w:vAlign w:val="bottom"/>
            <w:hideMark/>
          </w:tcPr>
          <w:p w14:paraId="1DA13D22" w14:textId="77777777" w:rsidR="009616CB" w:rsidRPr="00B84212" w:rsidRDefault="009616CB" w:rsidP="009616CB">
            <w:pPr>
              <w:rPr>
                <w:color w:val="000000"/>
                <w:sz w:val="20"/>
                <w:szCs w:val="20"/>
              </w:rPr>
            </w:pPr>
            <w:r w:rsidRPr="00B84212">
              <w:rPr>
                <w:color w:val="000000"/>
                <w:sz w:val="20"/>
                <w:szCs w:val="20"/>
              </w:rPr>
              <w:t> </w:t>
            </w:r>
          </w:p>
        </w:tc>
        <w:tc>
          <w:tcPr>
            <w:tcW w:w="1402" w:type="dxa"/>
            <w:tcBorders>
              <w:top w:val="nil"/>
              <w:left w:val="nil"/>
              <w:bottom w:val="nil"/>
              <w:right w:val="nil"/>
            </w:tcBorders>
            <w:shd w:val="clear" w:color="auto" w:fill="auto"/>
            <w:noWrap/>
            <w:vAlign w:val="bottom"/>
            <w:hideMark/>
          </w:tcPr>
          <w:p w14:paraId="4DB30CCE" w14:textId="77777777" w:rsidR="009616CB" w:rsidRPr="00B84212" w:rsidRDefault="009616CB" w:rsidP="009616CB">
            <w:pPr>
              <w:rPr>
                <w:color w:val="000000"/>
                <w:sz w:val="20"/>
                <w:szCs w:val="20"/>
              </w:rPr>
            </w:pPr>
            <w:r w:rsidRPr="00B84212">
              <w:rPr>
                <w:color w:val="000000"/>
                <w:sz w:val="20"/>
                <w:szCs w:val="20"/>
              </w:rPr>
              <w:t> </w:t>
            </w:r>
          </w:p>
        </w:tc>
        <w:tc>
          <w:tcPr>
            <w:tcW w:w="1287" w:type="dxa"/>
            <w:tcBorders>
              <w:top w:val="nil"/>
              <w:left w:val="nil"/>
              <w:bottom w:val="nil"/>
              <w:right w:val="nil"/>
            </w:tcBorders>
            <w:shd w:val="clear" w:color="auto" w:fill="auto"/>
            <w:noWrap/>
            <w:vAlign w:val="bottom"/>
            <w:hideMark/>
          </w:tcPr>
          <w:p w14:paraId="68FF114D" w14:textId="77777777" w:rsidR="009616CB" w:rsidRPr="00B84212" w:rsidRDefault="009616CB" w:rsidP="009616CB">
            <w:pPr>
              <w:rPr>
                <w:sz w:val="20"/>
                <w:szCs w:val="20"/>
              </w:rPr>
            </w:pPr>
            <w:r w:rsidRPr="00B84212">
              <w:rPr>
                <w:sz w:val="20"/>
                <w:szCs w:val="20"/>
              </w:rPr>
              <w:t> </w:t>
            </w:r>
          </w:p>
        </w:tc>
        <w:tc>
          <w:tcPr>
            <w:tcW w:w="2151" w:type="dxa"/>
            <w:tcBorders>
              <w:top w:val="nil"/>
              <w:left w:val="nil"/>
              <w:bottom w:val="nil"/>
              <w:right w:val="single" w:sz="8" w:space="0" w:color="auto"/>
            </w:tcBorders>
            <w:shd w:val="clear" w:color="auto" w:fill="auto"/>
            <w:noWrap/>
            <w:vAlign w:val="bottom"/>
            <w:hideMark/>
          </w:tcPr>
          <w:p w14:paraId="1C47A857" w14:textId="77777777" w:rsidR="009616CB" w:rsidRPr="00B84212" w:rsidRDefault="009616CB" w:rsidP="009616CB">
            <w:pPr>
              <w:rPr>
                <w:sz w:val="20"/>
                <w:szCs w:val="20"/>
              </w:rPr>
            </w:pPr>
            <w:r w:rsidRPr="00B84212">
              <w:rPr>
                <w:sz w:val="20"/>
                <w:szCs w:val="20"/>
              </w:rPr>
              <w:t> </w:t>
            </w:r>
          </w:p>
        </w:tc>
      </w:tr>
      <w:tr w:rsidR="009616CB" w:rsidRPr="00B84212" w14:paraId="22352F0A" w14:textId="77777777" w:rsidTr="009616CB">
        <w:trPr>
          <w:trHeight w:val="300"/>
          <w:jc w:val="center"/>
        </w:trPr>
        <w:tc>
          <w:tcPr>
            <w:tcW w:w="466" w:type="dxa"/>
            <w:tcBorders>
              <w:top w:val="nil"/>
              <w:left w:val="single" w:sz="8" w:space="0" w:color="auto"/>
              <w:bottom w:val="nil"/>
              <w:right w:val="nil"/>
            </w:tcBorders>
            <w:shd w:val="clear" w:color="auto" w:fill="auto"/>
            <w:noWrap/>
            <w:vAlign w:val="bottom"/>
            <w:hideMark/>
          </w:tcPr>
          <w:p w14:paraId="3D7CB1DB" w14:textId="77777777" w:rsidR="009616CB" w:rsidRPr="00B84212" w:rsidRDefault="009616CB" w:rsidP="009616CB">
            <w:pPr>
              <w:jc w:val="right"/>
              <w:rPr>
                <w:color w:val="000000"/>
                <w:sz w:val="20"/>
                <w:szCs w:val="20"/>
              </w:rPr>
            </w:pPr>
            <w:r w:rsidRPr="00B84212">
              <w:rPr>
                <w:color w:val="000000"/>
                <w:sz w:val="20"/>
                <w:szCs w:val="20"/>
              </w:rPr>
              <w:t>1.</w:t>
            </w:r>
          </w:p>
        </w:tc>
        <w:tc>
          <w:tcPr>
            <w:tcW w:w="3439" w:type="dxa"/>
            <w:tcBorders>
              <w:top w:val="nil"/>
              <w:left w:val="nil"/>
              <w:bottom w:val="nil"/>
              <w:right w:val="nil"/>
            </w:tcBorders>
            <w:shd w:val="clear" w:color="auto" w:fill="auto"/>
            <w:noWrap/>
            <w:vAlign w:val="bottom"/>
            <w:hideMark/>
          </w:tcPr>
          <w:p w14:paraId="73BFEF54" w14:textId="77777777" w:rsidR="009616CB" w:rsidRPr="00B84212" w:rsidRDefault="009616CB" w:rsidP="009616CB">
            <w:pPr>
              <w:rPr>
                <w:b/>
                <w:bCs/>
                <w:color w:val="000000"/>
                <w:sz w:val="20"/>
                <w:szCs w:val="20"/>
              </w:rPr>
            </w:pPr>
            <w:r w:rsidRPr="00B84212">
              <w:rPr>
                <w:b/>
                <w:bCs/>
                <w:color w:val="000000"/>
                <w:sz w:val="20"/>
                <w:szCs w:val="20"/>
              </w:rPr>
              <w:t xml:space="preserve">OPERATING REVENUES               </w:t>
            </w:r>
          </w:p>
        </w:tc>
        <w:tc>
          <w:tcPr>
            <w:tcW w:w="1690" w:type="dxa"/>
            <w:tcBorders>
              <w:top w:val="nil"/>
              <w:left w:val="nil"/>
              <w:bottom w:val="nil"/>
              <w:right w:val="nil"/>
            </w:tcBorders>
            <w:shd w:val="clear" w:color="auto" w:fill="auto"/>
            <w:noWrap/>
            <w:vAlign w:val="bottom"/>
            <w:hideMark/>
          </w:tcPr>
          <w:p w14:paraId="254D6260" w14:textId="77777777" w:rsidR="009616CB" w:rsidRPr="007A1D96" w:rsidRDefault="009616CB" w:rsidP="009616CB">
            <w:pPr>
              <w:jc w:val="right"/>
              <w:rPr>
                <w:sz w:val="20"/>
                <w:szCs w:val="20"/>
                <w:u w:val="single"/>
              </w:rPr>
            </w:pPr>
            <w:r w:rsidRPr="007A1D96">
              <w:rPr>
                <w:sz w:val="20"/>
                <w:szCs w:val="20"/>
                <w:u w:val="single"/>
              </w:rPr>
              <w:t xml:space="preserve">$66,595 </w:t>
            </w:r>
          </w:p>
        </w:tc>
        <w:tc>
          <w:tcPr>
            <w:tcW w:w="1691" w:type="dxa"/>
            <w:tcBorders>
              <w:top w:val="nil"/>
              <w:left w:val="nil"/>
              <w:bottom w:val="nil"/>
              <w:right w:val="nil"/>
            </w:tcBorders>
            <w:shd w:val="clear" w:color="auto" w:fill="auto"/>
            <w:noWrap/>
            <w:vAlign w:val="bottom"/>
            <w:hideMark/>
          </w:tcPr>
          <w:p w14:paraId="24C3D644" w14:textId="77777777" w:rsidR="009616CB" w:rsidRPr="007A1D96" w:rsidRDefault="009616CB" w:rsidP="009616CB">
            <w:pPr>
              <w:jc w:val="right"/>
              <w:rPr>
                <w:sz w:val="20"/>
                <w:szCs w:val="20"/>
                <w:u w:val="single"/>
              </w:rPr>
            </w:pPr>
            <w:r w:rsidRPr="007A1D96">
              <w:rPr>
                <w:sz w:val="20"/>
                <w:szCs w:val="20"/>
                <w:u w:val="single"/>
              </w:rPr>
              <w:t>($</w:t>
            </w:r>
            <w:r>
              <w:rPr>
                <w:sz w:val="20"/>
                <w:szCs w:val="20"/>
                <w:u w:val="single"/>
              </w:rPr>
              <w:t>937</w:t>
            </w:r>
            <w:r w:rsidRPr="007A1D96">
              <w:rPr>
                <w:sz w:val="20"/>
                <w:szCs w:val="20"/>
                <w:u w:val="single"/>
              </w:rPr>
              <w:t>)</w:t>
            </w:r>
          </w:p>
        </w:tc>
        <w:tc>
          <w:tcPr>
            <w:tcW w:w="1402" w:type="dxa"/>
            <w:tcBorders>
              <w:top w:val="nil"/>
              <w:left w:val="nil"/>
              <w:bottom w:val="nil"/>
              <w:right w:val="nil"/>
            </w:tcBorders>
            <w:shd w:val="clear" w:color="auto" w:fill="auto"/>
            <w:noWrap/>
            <w:vAlign w:val="bottom"/>
            <w:hideMark/>
          </w:tcPr>
          <w:p w14:paraId="07FFBCEF" w14:textId="77777777" w:rsidR="009616CB" w:rsidRPr="007A1D96" w:rsidRDefault="009616CB" w:rsidP="009616CB">
            <w:pPr>
              <w:jc w:val="right"/>
              <w:rPr>
                <w:sz w:val="20"/>
                <w:szCs w:val="20"/>
                <w:u w:val="single"/>
              </w:rPr>
            </w:pPr>
            <w:r w:rsidRPr="007A1D96">
              <w:rPr>
                <w:sz w:val="20"/>
                <w:szCs w:val="20"/>
                <w:u w:val="single"/>
              </w:rPr>
              <w:t>$6</w:t>
            </w:r>
            <w:r>
              <w:rPr>
                <w:sz w:val="20"/>
                <w:szCs w:val="20"/>
                <w:u w:val="single"/>
              </w:rPr>
              <w:t>5,658</w:t>
            </w:r>
          </w:p>
        </w:tc>
        <w:tc>
          <w:tcPr>
            <w:tcW w:w="1287" w:type="dxa"/>
            <w:tcBorders>
              <w:top w:val="nil"/>
              <w:left w:val="nil"/>
              <w:bottom w:val="nil"/>
              <w:right w:val="nil"/>
            </w:tcBorders>
            <w:shd w:val="clear" w:color="auto" w:fill="auto"/>
            <w:noWrap/>
            <w:vAlign w:val="bottom"/>
            <w:hideMark/>
          </w:tcPr>
          <w:p w14:paraId="78FFC236" w14:textId="77777777" w:rsidR="009616CB" w:rsidRPr="007A1D96" w:rsidRDefault="009616CB" w:rsidP="009616CB">
            <w:pPr>
              <w:jc w:val="right"/>
              <w:rPr>
                <w:sz w:val="20"/>
                <w:szCs w:val="20"/>
                <w:u w:val="single"/>
              </w:rPr>
            </w:pPr>
            <w:r w:rsidRPr="007A1D96">
              <w:rPr>
                <w:sz w:val="20"/>
                <w:szCs w:val="20"/>
                <w:u w:val="single"/>
              </w:rPr>
              <w:t>$3</w:t>
            </w:r>
            <w:r>
              <w:rPr>
                <w:sz w:val="20"/>
                <w:szCs w:val="20"/>
                <w:u w:val="single"/>
              </w:rPr>
              <w:t>3,567</w:t>
            </w:r>
          </w:p>
        </w:tc>
        <w:tc>
          <w:tcPr>
            <w:tcW w:w="2151" w:type="dxa"/>
            <w:tcBorders>
              <w:top w:val="nil"/>
              <w:left w:val="nil"/>
              <w:bottom w:val="nil"/>
              <w:right w:val="single" w:sz="8" w:space="0" w:color="auto"/>
            </w:tcBorders>
            <w:shd w:val="clear" w:color="auto" w:fill="auto"/>
            <w:noWrap/>
            <w:vAlign w:val="bottom"/>
            <w:hideMark/>
          </w:tcPr>
          <w:p w14:paraId="06CA83F6" w14:textId="77777777" w:rsidR="009616CB" w:rsidRPr="007A1D96" w:rsidRDefault="009616CB" w:rsidP="009616CB">
            <w:pPr>
              <w:jc w:val="right"/>
              <w:rPr>
                <w:sz w:val="20"/>
                <w:szCs w:val="20"/>
                <w:u w:val="single"/>
              </w:rPr>
            </w:pPr>
            <w:r w:rsidRPr="007A1D96">
              <w:rPr>
                <w:sz w:val="20"/>
                <w:szCs w:val="20"/>
                <w:u w:val="single"/>
              </w:rPr>
              <w:t>$</w:t>
            </w:r>
            <w:r>
              <w:rPr>
                <w:sz w:val="20"/>
                <w:szCs w:val="20"/>
                <w:u w:val="single"/>
              </w:rPr>
              <w:t>99,225</w:t>
            </w:r>
          </w:p>
        </w:tc>
      </w:tr>
      <w:tr w:rsidR="009616CB" w:rsidRPr="00B84212" w14:paraId="386B82C4" w14:textId="77777777" w:rsidTr="009616CB">
        <w:trPr>
          <w:trHeight w:val="300"/>
          <w:jc w:val="center"/>
        </w:trPr>
        <w:tc>
          <w:tcPr>
            <w:tcW w:w="466" w:type="dxa"/>
            <w:tcBorders>
              <w:top w:val="nil"/>
              <w:left w:val="single" w:sz="8" w:space="0" w:color="auto"/>
              <w:bottom w:val="nil"/>
              <w:right w:val="nil"/>
            </w:tcBorders>
            <w:shd w:val="clear" w:color="auto" w:fill="auto"/>
            <w:noWrap/>
            <w:vAlign w:val="bottom"/>
            <w:hideMark/>
          </w:tcPr>
          <w:p w14:paraId="6D5A4EB9" w14:textId="77777777" w:rsidR="009616CB" w:rsidRPr="00B84212" w:rsidRDefault="009616CB" w:rsidP="009616CB">
            <w:pPr>
              <w:rPr>
                <w:color w:val="000000"/>
                <w:sz w:val="20"/>
                <w:szCs w:val="20"/>
              </w:rPr>
            </w:pPr>
            <w:r w:rsidRPr="00B84212">
              <w:rPr>
                <w:color w:val="000000"/>
                <w:sz w:val="20"/>
                <w:szCs w:val="20"/>
              </w:rPr>
              <w:t> </w:t>
            </w:r>
          </w:p>
        </w:tc>
        <w:tc>
          <w:tcPr>
            <w:tcW w:w="3439" w:type="dxa"/>
            <w:tcBorders>
              <w:top w:val="nil"/>
              <w:left w:val="nil"/>
              <w:bottom w:val="nil"/>
              <w:right w:val="nil"/>
            </w:tcBorders>
            <w:shd w:val="clear" w:color="auto" w:fill="auto"/>
            <w:noWrap/>
            <w:vAlign w:val="bottom"/>
            <w:hideMark/>
          </w:tcPr>
          <w:p w14:paraId="3C8B02F9" w14:textId="77777777" w:rsidR="009616CB" w:rsidRPr="00B84212" w:rsidRDefault="009616CB" w:rsidP="009616CB">
            <w:pPr>
              <w:rPr>
                <w:color w:val="000000"/>
                <w:sz w:val="20"/>
                <w:szCs w:val="20"/>
              </w:rPr>
            </w:pPr>
          </w:p>
        </w:tc>
        <w:tc>
          <w:tcPr>
            <w:tcW w:w="1690" w:type="dxa"/>
            <w:tcBorders>
              <w:top w:val="nil"/>
              <w:left w:val="nil"/>
              <w:bottom w:val="nil"/>
              <w:right w:val="nil"/>
            </w:tcBorders>
            <w:shd w:val="clear" w:color="auto" w:fill="auto"/>
            <w:noWrap/>
            <w:vAlign w:val="bottom"/>
            <w:hideMark/>
          </w:tcPr>
          <w:p w14:paraId="3BFDD65C" w14:textId="77777777" w:rsidR="009616CB" w:rsidRPr="00B84212" w:rsidRDefault="009616CB" w:rsidP="009616CB">
            <w:pPr>
              <w:rPr>
                <w:sz w:val="20"/>
                <w:szCs w:val="20"/>
                <w:u w:val="double"/>
              </w:rPr>
            </w:pPr>
          </w:p>
        </w:tc>
        <w:tc>
          <w:tcPr>
            <w:tcW w:w="1691" w:type="dxa"/>
            <w:tcBorders>
              <w:top w:val="nil"/>
              <w:left w:val="nil"/>
              <w:bottom w:val="nil"/>
              <w:right w:val="nil"/>
            </w:tcBorders>
            <w:shd w:val="clear" w:color="auto" w:fill="auto"/>
            <w:noWrap/>
            <w:vAlign w:val="bottom"/>
            <w:hideMark/>
          </w:tcPr>
          <w:p w14:paraId="14156157" w14:textId="77777777" w:rsidR="009616CB" w:rsidRPr="00B84212" w:rsidRDefault="009616CB" w:rsidP="009616CB">
            <w:pPr>
              <w:rPr>
                <w:sz w:val="20"/>
                <w:szCs w:val="20"/>
                <w:u w:val="double"/>
              </w:rPr>
            </w:pPr>
          </w:p>
        </w:tc>
        <w:tc>
          <w:tcPr>
            <w:tcW w:w="1402" w:type="dxa"/>
            <w:tcBorders>
              <w:top w:val="nil"/>
              <w:left w:val="nil"/>
              <w:bottom w:val="nil"/>
              <w:right w:val="nil"/>
            </w:tcBorders>
            <w:shd w:val="clear" w:color="auto" w:fill="auto"/>
            <w:noWrap/>
            <w:vAlign w:val="bottom"/>
            <w:hideMark/>
          </w:tcPr>
          <w:p w14:paraId="1343F8E3" w14:textId="77777777" w:rsidR="009616CB" w:rsidRPr="00B84212" w:rsidRDefault="009616CB" w:rsidP="009616CB">
            <w:pPr>
              <w:rPr>
                <w:sz w:val="20"/>
                <w:szCs w:val="20"/>
                <w:u w:val="double"/>
              </w:rPr>
            </w:pPr>
          </w:p>
        </w:tc>
        <w:tc>
          <w:tcPr>
            <w:tcW w:w="1287" w:type="dxa"/>
            <w:tcBorders>
              <w:top w:val="nil"/>
              <w:left w:val="nil"/>
              <w:bottom w:val="nil"/>
              <w:right w:val="nil"/>
            </w:tcBorders>
            <w:shd w:val="clear" w:color="auto" w:fill="auto"/>
            <w:noWrap/>
            <w:vAlign w:val="bottom"/>
            <w:hideMark/>
          </w:tcPr>
          <w:p w14:paraId="31AFCB5F" w14:textId="77777777" w:rsidR="009616CB" w:rsidRPr="00B84212" w:rsidRDefault="009616CB" w:rsidP="009616CB">
            <w:pPr>
              <w:jc w:val="right"/>
              <w:rPr>
                <w:sz w:val="20"/>
                <w:szCs w:val="20"/>
              </w:rPr>
            </w:pPr>
            <w:r w:rsidRPr="00B84212">
              <w:rPr>
                <w:sz w:val="20"/>
                <w:szCs w:val="20"/>
              </w:rPr>
              <w:t>5</w:t>
            </w:r>
            <w:r>
              <w:rPr>
                <w:sz w:val="20"/>
                <w:szCs w:val="20"/>
              </w:rPr>
              <w:t>1.12</w:t>
            </w:r>
            <w:r w:rsidRPr="00B84212">
              <w:rPr>
                <w:sz w:val="20"/>
                <w:szCs w:val="20"/>
              </w:rPr>
              <w:t>%</w:t>
            </w:r>
          </w:p>
        </w:tc>
        <w:tc>
          <w:tcPr>
            <w:tcW w:w="2151" w:type="dxa"/>
            <w:tcBorders>
              <w:top w:val="nil"/>
              <w:left w:val="nil"/>
              <w:bottom w:val="nil"/>
              <w:right w:val="single" w:sz="8" w:space="0" w:color="auto"/>
            </w:tcBorders>
            <w:shd w:val="clear" w:color="auto" w:fill="auto"/>
            <w:noWrap/>
            <w:vAlign w:val="bottom"/>
            <w:hideMark/>
          </w:tcPr>
          <w:p w14:paraId="4019CA1D" w14:textId="77777777" w:rsidR="009616CB" w:rsidRPr="00B84212" w:rsidRDefault="009616CB" w:rsidP="009616CB">
            <w:pPr>
              <w:rPr>
                <w:sz w:val="20"/>
                <w:szCs w:val="20"/>
              </w:rPr>
            </w:pPr>
            <w:r w:rsidRPr="00B84212">
              <w:rPr>
                <w:sz w:val="20"/>
                <w:szCs w:val="20"/>
              </w:rPr>
              <w:t> </w:t>
            </w:r>
          </w:p>
        </w:tc>
      </w:tr>
      <w:tr w:rsidR="009616CB" w:rsidRPr="00B84212" w14:paraId="06FD2250" w14:textId="77777777" w:rsidTr="009616CB">
        <w:trPr>
          <w:trHeight w:val="300"/>
          <w:jc w:val="center"/>
        </w:trPr>
        <w:tc>
          <w:tcPr>
            <w:tcW w:w="466" w:type="dxa"/>
            <w:tcBorders>
              <w:top w:val="nil"/>
              <w:left w:val="single" w:sz="8" w:space="0" w:color="auto"/>
              <w:bottom w:val="nil"/>
              <w:right w:val="nil"/>
            </w:tcBorders>
            <w:shd w:val="clear" w:color="auto" w:fill="auto"/>
            <w:noWrap/>
            <w:vAlign w:val="bottom"/>
            <w:hideMark/>
          </w:tcPr>
          <w:p w14:paraId="0F8476F1" w14:textId="77777777" w:rsidR="009616CB" w:rsidRPr="00B84212" w:rsidRDefault="009616CB" w:rsidP="009616CB">
            <w:pPr>
              <w:rPr>
                <w:color w:val="000000"/>
                <w:sz w:val="20"/>
                <w:szCs w:val="20"/>
              </w:rPr>
            </w:pPr>
            <w:r w:rsidRPr="00B84212">
              <w:rPr>
                <w:color w:val="000000"/>
                <w:sz w:val="20"/>
                <w:szCs w:val="20"/>
              </w:rPr>
              <w:t> </w:t>
            </w:r>
          </w:p>
        </w:tc>
        <w:tc>
          <w:tcPr>
            <w:tcW w:w="3439" w:type="dxa"/>
            <w:tcBorders>
              <w:top w:val="nil"/>
              <w:left w:val="nil"/>
              <w:bottom w:val="nil"/>
              <w:right w:val="nil"/>
            </w:tcBorders>
            <w:shd w:val="clear" w:color="auto" w:fill="auto"/>
            <w:noWrap/>
            <w:vAlign w:val="bottom"/>
            <w:hideMark/>
          </w:tcPr>
          <w:p w14:paraId="67D3B7F1" w14:textId="77777777" w:rsidR="009616CB" w:rsidRPr="00B84212" w:rsidRDefault="009616CB" w:rsidP="009616CB">
            <w:pPr>
              <w:rPr>
                <w:b/>
                <w:bCs/>
                <w:color w:val="000000"/>
                <w:sz w:val="20"/>
                <w:szCs w:val="20"/>
              </w:rPr>
            </w:pPr>
            <w:r w:rsidRPr="00B84212">
              <w:rPr>
                <w:b/>
                <w:bCs/>
                <w:color w:val="000000"/>
                <w:sz w:val="20"/>
                <w:szCs w:val="20"/>
              </w:rPr>
              <w:t>OPERATING EXPENSES:</w:t>
            </w:r>
          </w:p>
        </w:tc>
        <w:tc>
          <w:tcPr>
            <w:tcW w:w="1690" w:type="dxa"/>
            <w:tcBorders>
              <w:top w:val="nil"/>
              <w:left w:val="nil"/>
              <w:bottom w:val="nil"/>
              <w:right w:val="nil"/>
            </w:tcBorders>
            <w:shd w:val="clear" w:color="auto" w:fill="auto"/>
            <w:noWrap/>
            <w:vAlign w:val="bottom"/>
            <w:hideMark/>
          </w:tcPr>
          <w:p w14:paraId="404481D3" w14:textId="77777777" w:rsidR="009616CB" w:rsidRPr="00B84212" w:rsidRDefault="009616CB" w:rsidP="009616CB">
            <w:pPr>
              <w:rPr>
                <w:sz w:val="20"/>
                <w:szCs w:val="20"/>
                <w:u w:val="double"/>
              </w:rPr>
            </w:pPr>
          </w:p>
        </w:tc>
        <w:tc>
          <w:tcPr>
            <w:tcW w:w="1691" w:type="dxa"/>
            <w:tcBorders>
              <w:top w:val="nil"/>
              <w:left w:val="nil"/>
              <w:bottom w:val="nil"/>
              <w:right w:val="nil"/>
            </w:tcBorders>
            <w:shd w:val="clear" w:color="auto" w:fill="auto"/>
            <w:noWrap/>
            <w:vAlign w:val="bottom"/>
            <w:hideMark/>
          </w:tcPr>
          <w:p w14:paraId="1F355D5C" w14:textId="77777777" w:rsidR="009616CB" w:rsidRPr="00B84212" w:rsidRDefault="009616CB" w:rsidP="009616CB">
            <w:pPr>
              <w:rPr>
                <w:sz w:val="20"/>
                <w:szCs w:val="20"/>
                <w:u w:val="double"/>
              </w:rPr>
            </w:pPr>
          </w:p>
        </w:tc>
        <w:tc>
          <w:tcPr>
            <w:tcW w:w="1402" w:type="dxa"/>
            <w:tcBorders>
              <w:top w:val="nil"/>
              <w:left w:val="nil"/>
              <w:bottom w:val="nil"/>
              <w:right w:val="nil"/>
            </w:tcBorders>
            <w:shd w:val="clear" w:color="auto" w:fill="auto"/>
            <w:noWrap/>
            <w:vAlign w:val="bottom"/>
            <w:hideMark/>
          </w:tcPr>
          <w:p w14:paraId="5D4B66DD" w14:textId="77777777" w:rsidR="009616CB" w:rsidRPr="00B84212" w:rsidRDefault="009616CB" w:rsidP="009616CB">
            <w:pPr>
              <w:rPr>
                <w:sz w:val="20"/>
                <w:szCs w:val="20"/>
                <w:u w:val="double"/>
              </w:rPr>
            </w:pPr>
          </w:p>
        </w:tc>
        <w:tc>
          <w:tcPr>
            <w:tcW w:w="1287" w:type="dxa"/>
            <w:tcBorders>
              <w:top w:val="nil"/>
              <w:left w:val="nil"/>
              <w:bottom w:val="nil"/>
              <w:right w:val="nil"/>
            </w:tcBorders>
            <w:shd w:val="clear" w:color="auto" w:fill="auto"/>
            <w:noWrap/>
            <w:vAlign w:val="bottom"/>
            <w:hideMark/>
          </w:tcPr>
          <w:p w14:paraId="30B62153" w14:textId="77777777" w:rsidR="009616CB" w:rsidRPr="00B84212" w:rsidRDefault="009616CB" w:rsidP="009616CB">
            <w:pPr>
              <w:rPr>
                <w:sz w:val="20"/>
                <w:szCs w:val="20"/>
              </w:rPr>
            </w:pPr>
          </w:p>
        </w:tc>
        <w:tc>
          <w:tcPr>
            <w:tcW w:w="2151" w:type="dxa"/>
            <w:tcBorders>
              <w:top w:val="nil"/>
              <w:left w:val="nil"/>
              <w:bottom w:val="nil"/>
              <w:right w:val="single" w:sz="8" w:space="0" w:color="auto"/>
            </w:tcBorders>
            <w:shd w:val="clear" w:color="auto" w:fill="auto"/>
            <w:noWrap/>
            <w:vAlign w:val="bottom"/>
            <w:hideMark/>
          </w:tcPr>
          <w:p w14:paraId="56293C5A" w14:textId="77777777" w:rsidR="009616CB" w:rsidRPr="00B84212" w:rsidRDefault="009616CB" w:rsidP="009616CB">
            <w:pPr>
              <w:rPr>
                <w:sz w:val="20"/>
                <w:szCs w:val="20"/>
              </w:rPr>
            </w:pPr>
            <w:r w:rsidRPr="00B84212">
              <w:rPr>
                <w:sz w:val="20"/>
                <w:szCs w:val="20"/>
              </w:rPr>
              <w:t> </w:t>
            </w:r>
          </w:p>
        </w:tc>
      </w:tr>
      <w:tr w:rsidR="009616CB" w:rsidRPr="00B84212" w14:paraId="37EB6331" w14:textId="77777777" w:rsidTr="009616CB">
        <w:trPr>
          <w:trHeight w:val="300"/>
          <w:jc w:val="center"/>
        </w:trPr>
        <w:tc>
          <w:tcPr>
            <w:tcW w:w="466" w:type="dxa"/>
            <w:tcBorders>
              <w:top w:val="nil"/>
              <w:left w:val="single" w:sz="8" w:space="0" w:color="auto"/>
              <w:bottom w:val="nil"/>
              <w:right w:val="nil"/>
            </w:tcBorders>
            <w:shd w:val="clear" w:color="auto" w:fill="auto"/>
            <w:noWrap/>
            <w:vAlign w:val="bottom"/>
            <w:hideMark/>
          </w:tcPr>
          <w:p w14:paraId="381A13D5" w14:textId="77777777" w:rsidR="009616CB" w:rsidRPr="00B84212" w:rsidRDefault="009616CB" w:rsidP="009616CB">
            <w:pPr>
              <w:jc w:val="right"/>
              <w:rPr>
                <w:color w:val="000000"/>
                <w:sz w:val="20"/>
                <w:szCs w:val="20"/>
              </w:rPr>
            </w:pPr>
            <w:r w:rsidRPr="00B84212">
              <w:rPr>
                <w:color w:val="000000"/>
                <w:sz w:val="20"/>
                <w:szCs w:val="20"/>
              </w:rPr>
              <w:t>2.</w:t>
            </w:r>
          </w:p>
        </w:tc>
        <w:tc>
          <w:tcPr>
            <w:tcW w:w="3439" w:type="dxa"/>
            <w:tcBorders>
              <w:top w:val="nil"/>
              <w:left w:val="nil"/>
              <w:bottom w:val="nil"/>
              <w:right w:val="nil"/>
            </w:tcBorders>
            <w:shd w:val="clear" w:color="auto" w:fill="auto"/>
            <w:noWrap/>
            <w:vAlign w:val="bottom"/>
            <w:hideMark/>
          </w:tcPr>
          <w:p w14:paraId="5B7791C4" w14:textId="77777777" w:rsidR="009616CB" w:rsidRPr="00B84212" w:rsidRDefault="009616CB" w:rsidP="009616CB">
            <w:pPr>
              <w:rPr>
                <w:color w:val="000000"/>
                <w:sz w:val="20"/>
                <w:szCs w:val="20"/>
              </w:rPr>
            </w:pPr>
            <w:r w:rsidRPr="00B84212">
              <w:rPr>
                <w:color w:val="000000"/>
                <w:sz w:val="20"/>
                <w:szCs w:val="20"/>
              </w:rPr>
              <w:t xml:space="preserve">  OPERATION &amp; MAINTENANCE</w:t>
            </w:r>
          </w:p>
        </w:tc>
        <w:tc>
          <w:tcPr>
            <w:tcW w:w="1690" w:type="dxa"/>
            <w:tcBorders>
              <w:top w:val="nil"/>
              <w:left w:val="nil"/>
              <w:bottom w:val="nil"/>
              <w:right w:val="nil"/>
            </w:tcBorders>
            <w:shd w:val="clear" w:color="auto" w:fill="auto"/>
            <w:noWrap/>
            <w:vAlign w:val="bottom"/>
            <w:hideMark/>
          </w:tcPr>
          <w:p w14:paraId="151FFFAC" w14:textId="77777777" w:rsidR="009616CB" w:rsidRPr="00DE2A63" w:rsidRDefault="009616CB" w:rsidP="009616CB">
            <w:pPr>
              <w:jc w:val="right"/>
              <w:rPr>
                <w:sz w:val="20"/>
                <w:szCs w:val="20"/>
              </w:rPr>
            </w:pPr>
            <w:r w:rsidRPr="00DE2A63">
              <w:rPr>
                <w:sz w:val="20"/>
                <w:szCs w:val="20"/>
              </w:rPr>
              <w:t>$70,40</w:t>
            </w:r>
            <w:r>
              <w:rPr>
                <w:sz w:val="20"/>
                <w:szCs w:val="20"/>
              </w:rPr>
              <w:t>1</w:t>
            </w:r>
            <w:r w:rsidRPr="00DE2A63">
              <w:rPr>
                <w:sz w:val="20"/>
                <w:szCs w:val="20"/>
              </w:rPr>
              <w:t xml:space="preserve"> </w:t>
            </w:r>
          </w:p>
        </w:tc>
        <w:tc>
          <w:tcPr>
            <w:tcW w:w="1691" w:type="dxa"/>
            <w:tcBorders>
              <w:top w:val="nil"/>
              <w:left w:val="nil"/>
              <w:bottom w:val="nil"/>
              <w:right w:val="nil"/>
            </w:tcBorders>
            <w:shd w:val="clear" w:color="auto" w:fill="auto"/>
            <w:noWrap/>
            <w:vAlign w:val="bottom"/>
            <w:hideMark/>
          </w:tcPr>
          <w:p w14:paraId="07A01971" w14:textId="77777777" w:rsidR="009616CB" w:rsidRPr="00DE2A63" w:rsidRDefault="009616CB" w:rsidP="009616CB">
            <w:pPr>
              <w:jc w:val="right"/>
              <w:rPr>
                <w:sz w:val="20"/>
                <w:szCs w:val="20"/>
              </w:rPr>
            </w:pPr>
            <w:r w:rsidRPr="00DE2A63">
              <w:rPr>
                <w:sz w:val="20"/>
                <w:szCs w:val="20"/>
              </w:rPr>
              <w:t>$</w:t>
            </w:r>
            <w:r>
              <w:rPr>
                <w:sz w:val="20"/>
                <w:szCs w:val="20"/>
              </w:rPr>
              <w:t>2,840</w:t>
            </w:r>
            <w:r w:rsidRPr="00DE2A63">
              <w:rPr>
                <w:sz w:val="20"/>
                <w:szCs w:val="20"/>
              </w:rPr>
              <w:t xml:space="preserve"> </w:t>
            </w:r>
          </w:p>
        </w:tc>
        <w:tc>
          <w:tcPr>
            <w:tcW w:w="1402" w:type="dxa"/>
            <w:tcBorders>
              <w:top w:val="nil"/>
              <w:left w:val="nil"/>
              <w:bottom w:val="nil"/>
              <w:right w:val="nil"/>
            </w:tcBorders>
            <w:shd w:val="clear" w:color="auto" w:fill="auto"/>
            <w:noWrap/>
            <w:vAlign w:val="bottom"/>
            <w:hideMark/>
          </w:tcPr>
          <w:p w14:paraId="23FCC11F" w14:textId="77777777" w:rsidR="009616CB" w:rsidRPr="00DE2A63" w:rsidRDefault="009616CB" w:rsidP="009616CB">
            <w:pPr>
              <w:jc w:val="right"/>
              <w:rPr>
                <w:sz w:val="20"/>
                <w:szCs w:val="20"/>
              </w:rPr>
            </w:pPr>
            <w:r w:rsidRPr="00DE2A63">
              <w:rPr>
                <w:sz w:val="20"/>
                <w:szCs w:val="20"/>
              </w:rPr>
              <w:t>$7</w:t>
            </w:r>
            <w:r>
              <w:rPr>
                <w:sz w:val="20"/>
                <w:szCs w:val="20"/>
              </w:rPr>
              <w:t>3,241</w:t>
            </w:r>
            <w:r w:rsidRPr="00DE2A63">
              <w:rPr>
                <w:sz w:val="20"/>
                <w:szCs w:val="20"/>
              </w:rPr>
              <w:t xml:space="preserve"> </w:t>
            </w:r>
          </w:p>
        </w:tc>
        <w:tc>
          <w:tcPr>
            <w:tcW w:w="1287" w:type="dxa"/>
            <w:tcBorders>
              <w:top w:val="nil"/>
              <w:left w:val="nil"/>
              <w:bottom w:val="nil"/>
              <w:right w:val="nil"/>
            </w:tcBorders>
            <w:shd w:val="clear" w:color="auto" w:fill="auto"/>
            <w:noWrap/>
            <w:vAlign w:val="bottom"/>
            <w:hideMark/>
          </w:tcPr>
          <w:p w14:paraId="3289772A" w14:textId="77777777" w:rsidR="009616CB" w:rsidRPr="00B84212" w:rsidRDefault="009616CB" w:rsidP="009616CB">
            <w:pPr>
              <w:jc w:val="right"/>
              <w:rPr>
                <w:sz w:val="20"/>
                <w:szCs w:val="20"/>
              </w:rPr>
            </w:pPr>
            <w:r w:rsidRPr="00B84212">
              <w:rPr>
                <w:sz w:val="20"/>
                <w:szCs w:val="20"/>
              </w:rPr>
              <w:t xml:space="preserve">$0 </w:t>
            </w:r>
          </w:p>
        </w:tc>
        <w:tc>
          <w:tcPr>
            <w:tcW w:w="2151" w:type="dxa"/>
            <w:tcBorders>
              <w:top w:val="nil"/>
              <w:left w:val="nil"/>
              <w:bottom w:val="nil"/>
              <w:right w:val="single" w:sz="8" w:space="0" w:color="auto"/>
            </w:tcBorders>
            <w:shd w:val="clear" w:color="auto" w:fill="auto"/>
            <w:noWrap/>
            <w:vAlign w:val="bottom"/>
            <w:hideMark/>
          </w:tcPr>
          <w:p w14:paraId="5EAD42E0" w14:textId="77777777" w:rsidR="009616CB" w:rsidRPr="00B84212" w:rsidRDefault="009616CB" w:rsidP="009616CB">
            <w:pPr>
              <w:jc w:val="right"/>
              <w:rPr>
                <w:sz w:val="20"/>
                <w:szCs w:val="20"/>
              </w:rPr>
            </w:pPr>
            <w:r w:rsidRPr="00B84212">
              <w:rPr>
                <w:sz w:val="20"/>
                <w:szCs w:val="20"/>
              </w:rPr>
              <w:t>$7</w:t>
            </w:r>
            <w:r>
              <w:rPr>
                <w:sz w:val="20"/>
                <w:szCs w:val="20"/>
              </w:rPr>
              <w:t>3,241</w:t>
            </w:r>
          </w:p>
        </w:tc>
      </w:tr>
      <w:tr w:rsidR="009616CB" w:rsidRPr="00B84212" w14:paraId="07BBBF0C" w14:textId="77777777" w:rsidTr="009616CB">
        <w:trPr>
          <w:trHeight w:val="300"/>
          <w:jc w:val="center"/>
        </w:trPr>
        <w:tc>
          <w:tcPr>
            <w:tcW w:w="466" w:type="dxa"/>
            <w:tcBorders>
              <w:top w:val="nil"/>
              <w:left w:val="single" w:sz="8" w:space="0" w:color="auto"/>
              <w:bottom w:val="nil"/>
              <w:right w:val="nil"/>
            </w:tcBorders>
            <w:shd w:val="clear" w:color="auto" w:fill="auto"/>
            <w:noWrap/>
            <w:vAlign w:val="bottom"/>
            <w:hideMark/>
          </w:tcPr>
          <w:p w14:paraId="5C492425" w14:textId="77777777" w:rsidR="009616CB" w:rsidRPr="00B84212" w:rsidRDefault="009616CB" w:rsidP="009616CB">
            <w:pPr>
              <w:rPr>
                <w:color w:val="000000"/>
                <w:sz w:val="20"/>
                <w:szCs w:val="20"/>
              </w:rPr>
            </w:pPr>
            <w:r w:rsidRPr="00B84212">
              <w:rPr>
                <w:color w:val="000000"/>
                <w:sz w:val="20"/>
                <w:szCs w:val="20"/>
              </w:rPr>
              <w:t> </w:t>
            </w:r>
          </w:p>
        </w:tc>
        <w:tc>
          <w:tcPr>
            <w:tcW w:w="3439" w:type="dxa"/>
            <w:tcBorders>
              <w:top w:val="nil"/>
              <w:left w:val="nil"/>
              <w:bottom w:val="nil"/>
              <w:right w:val="nil"/>
            </w:tcBorders>
            <w:shd w:val="clear" w:color="auto" w:fill="auto"/>
            <w:noWrap/>
            <w:vAlign w:val="bottom"/>
            <w:hideMark/>
          </w:tcPr>
          <w:p w14:paraId="7CFC7502" w14:textId="77777777" w:rsidR="009616CB" w:rsidRPr="00B84212" w:rsidRDefault="009616CB" w:rsidP="009616CB">
            <w:pPr>
              <w:rPr>
                <w:color w:val="000000"/>
                <w:sz w:val="20"/>
                <w:szCs w:val="20"/>
              </w:rPr>
            </w:pPr>
          </w:p>
        </w:tc>
        <w:tc>
          <w:tcPr>
            <w:tcW w:w="1690" w:type="dxa"/>
            <w:tcBorders>
              <w:top w:val="nil"/>
              <w:left w:val="nil"/>
              <w:bottom w:val="nil"/>
              <w:right w:val="nil"/>
            </w:tcBorders>
            <w:shd w:val="clear" w:color="auto" w:fill="auto"/>
            <w:noWrap/>
            <w:vAlign w:val="bottom"/>
            <w:hideMark/>
          </w:tcPr>
          <w:p w14:paraId="7C21B832" w14:textId="77777777" w:rsidR="009616CB" w:rsidRPr="00DE2A63" w:rsidRDefault="009616CB" w:rsidP="009616CB">
            <w:pPr>
              <w:rPr>
                <w:sz w:val="20"/>
                <w:szCs w:val="20"/>
              </w:rPr>
            </w:pPr>
          </w:p>
        </w:tc>
        <w:tc>
          <w:tcPr>
            <w:tcW w:w="1691" w:type="dxa"/>
            <w:tcBorders>
              <w:top w:val="nil"/>
              <w:left w:val="nil"/>
              <w:bottom w:val="nil"/>
              <w:right w:val="nil"/>
            </w:tcBorders>
            <w:shd w:val="clear" w:color="auto" w:fill="auto"/>
            <w:noWrap/>
            <w:vAlign w:val="bottom"/>
            <w:hideMark/>
          </w:tcPr>
          <w:p w14:paraId="34A45AB7" w14:textId="77777777" w:rsidR="009616CB" w:rsidRPr="00DE2A63" w:rsidRDefault="009616CB" w:rsidP="009616CB">
            <w:pPr>
              <w:rPr>
                <w:sz w:val="20"/>
                <w:szCs w:val="20"/>
              </w:rPr>
            </w:pPr>
          </w:p>
        </w:tc>
        <w:tc>
          <w:tcPr>
            <w:tcW w:w="1402" w:type="dxa"/>
            <w:tcBorders>
              <w:top w:val="nil"/>
              <w:left w:val="nil"/>
              <w:bottom w:val="nil"/>
              <w:right w:val="nil"/>
            </w:tcBorders>
            <w:shd w:val="clear" w:color="auto" w:fill="auto"/>
            <w:noWrap/>
            <w:vAlign w:val="bottom"/>
            <w:hideMark/>
          </w:tcPr>
          <w:p w14:paraId="2038DE66" w14:textId="77777777" w:rsidR="009616CB" w:rsidRPr="00DE2A63" w:rsidRDefault="009616CB" w:rsidP="009616CB">
            <w:pPr>
              <w:rPr>
                <w:sz w:val="20"/>
                <w:szCs w:val="20"/>
              </w:rPr>
            </w:pPr>
          </w:p>
        </w:tc>
        <w:tc>
          <w:tcPr>
            <w:tcW w:w="1287" w:type="dxa"/>
            <w:tcBorders>
              <w:top w:val="nil"/>
              <w:left w:val="nil"/>
              <w:bottom w:val="nil"/>
              <w:right w:val="nil"/>
            </w:tcBorders>
            <w:shd w:val="clear" w:color="auto" w:fill="auto"/>
            <w:noWrap/>
            <w:vAlign w:val="bottom"/>
            <w:hideMark/>
          </w:tcPr>
          <w:p w14:paraId="40B8A035" w14:textId="77777777" w:rsidR="009616CB" w:rsidRPr="00B84212" w:rsidRDefault="009616CB" w:rsidP="009616CB">
            <w:pPr>
              <w:rPr>
                <w:sz w:val="20"/>
                <w:szCs w:val="20"/>
              </w:rPr>
            </w:pPr>
          </w:p>
        </w:tc>
        <w:tc>
          <w:tcPr>
            <w:tcW w:w="2151" w:type="dxa"/>
            <w:tcBorders>
              <w:top w:val="nil"/>
              <w:left w:val="nil"/>
              <w:bottom w:val="nil"/>
              <w:right w:val="single" w:sz="8" w:space="0" w:color="auto"/>
            </w:tcBorders>
            <w:shd w:val="clear" w:color="auto" w:fill="auto"/>
            <w:noWrap/>
            <w:vAlign w:val="bottom"/>
            <w:hideMark/>
          </w:tcPr>
          <w:p w14:paraId="05E6F117" w14:textId="77777777" w:rsidR="009616CB" w:rsidRPr="00B84212" w:rsidRDefault="009616CB" w:rsidP="009616CB">
            <w:pPr>
              <w:rPr>
                <w:sz w:val="20"/>
                <w:szCs w:val="20"/>
              </w:rPr>
            </w:pPr>
            <w:r w:rsidRPr="00B84212">
              <w:rPr>
                <w:sz w:val="20"/>
                <w:szCs w:val="20"/>
              </w:rPr>
              <w:t> </w:t>
            </w:r>
          </w:p>
        </w:tc>
      </w:tr>
      <w:tr w:rsidR="009616CB" w:rsidRPr="00B84212" w14:paraId="1273AF52" w14:textId="77777777" w:rsidTr="009616CB">
        <w:trPr>
          <w:trHeight w:val="300"/>
          <w:jc w:val="center"/>
        </w:trPr>
        <w:tc>
          <w:tcPr>
            <w:tcW w:w="466" w:type="dxa"/>
            <w:tcBorders>
              <w:top w:val="nil"/>
              <w:left w:val="single" w:sz="8" w:space="0" w:color="auto"/>
              <w:bottom w:val="nil"/>
              <w:right w:val="nil"/>
            </w:tcBorders>
            <w:shd w:val="clear" w:color="auto" w:fill="auto"/>
            <w:noWrap/>
            <w:vAlign w:val="bottom"/>
            <w:hideMark/>
          </w:tcPr>
          <w:p w14:paraId="489CF1F8" w14:textId="77777777" w:rsidR="009616CB" w:rsidRPr="00B84212" w:rsidRDefault="009616CB" w:rsidP="009616CB">
            <w:pPr>
              <w:jc w:val="right"/>
              <w:rPr>
                <w:color w:val="000000"/>
                <w:sz w:val="20"/>
                <w:szCs w:val="20"/>
              </w:rPr>
            </w:pPr>
            <w:r w:rsidRPr="00B84212">
              <w:rPr>
                <w:color w:val="000000"/>
                <w:sz w:val="20"/>
                <w:szCs w:val="20"/>
              </w:rPr>
              <w:t>3.</w:t>
            </w:r>
          </w:p>
        </w:tc>
        <w:tc>
          <w:tcPr>
            <w:tcW w:w="3439" w:type="dxa"/>
            <w:tcBorders>
              <w:top w:val="nil"/>
              <w:left w:val="nil"/>
              <w:bottom w:val="nil"/>
              <w:right w:val="nil"/>
            </w:tcBorders>
            <w:shd w:val="clear" w:color="auto" w:fill="auto"/>
            <w:noWrap/>
            <w:vAlign w:val="bottom"/>
            <w:hideMark/>
          </w:tcPr>
          <w:p w14:paraId="47FBA34A" w14:textId="77777777" w:rsidR="009616CB" w:rsidRPr="00B84212" w:rsidRDefault="009616CB" w:rsidP="009616CB">
            <w:pPr>
              <w:rPr>
                <w:color w:val="000000"/>
                <w:sz w:val="20"/>
                <w:szCs w:val="20"/>
              </w:rPr>
            </w:pPr>
            <w:r w:rsidRPr="00B84212">
              <w:rPr>
                <w:color w:val="000000"/>
                <w:sz w:val="20"/>
                <w:szCs w:val="20"/>
              </w:rPr>
              <w:t xml:space="preserve">  DEPRECIATION </w:t>
            </w:r>
          </w:p>
        </w:tc>
        <w:tc>
          <w:tcPr>
            <w:tcW w:w="1690" w:type="dxa"/>
            <w:tcBorders>
              <w:top w:val="nil"/>
              <w:left w:val="nil"/>
              <w:bottom w:val="nil"/>
              <w:right w:val="nil"/>
            </w:tcBorders>
            <w:shd w:val="clear" w:color="auto" w:fill="auto"/>
            <w:noWrap/>
            <w:vAlign w:val="bottom"/>
            <w:hideMark/>
          </w:tcPr>
          <w:p w14:paraId="1BB432D0" w14:textId="77777777" w:rsidR="009616CB" w:rsidRPr="00DE2A63" w:rsidRDefault="009616CB" w:rsidP="009616CB">
            <w:pPr>
              <w:jc w:val="right"/>
              <w:rPr>
                <w:sz w:val="20"/>
                <w:szCs w:val="20"/>
              </w:rPr>
            </w:pPr>
            <w:r w:rsidRPr="00DE2A63">
              <w:rPr>
                <w:sz w:val="20"/>
                <w:szCs w:val="20"/>
              </w:rPr>
              <w:t xml:space="preserve">6,274 </w:t>
            </w:r>
          </w:p>
        </w:tc>
        <w:tc>
          <w:tcPr>
            <w:tcW w:w="1691" w:type="dxa"/>
            <w:tcBorders>
              <w:top w:val="nil"/>
              <w:left w:val="nil"/>
              <w:bottom w:val="nil"/>
              <w:right w:val="nil"/>
            </w:tcBorders>
            <w:shd w:val="clear" w:color="auto" w:fill="auto"/>
            <w:noWrap/>
            <w:vAlign w:val="bottom"/>
            <w:hideMark/>
          </w:tcPr>
          <w:p w14:paraId="6B0E22BD" w14:textId="77777777" w:rsidR="009616CB" w:rsidRPr="00DE2A63" w:rsidRDefault="009616CB" w:rsidP="009616CB">
            <w:pPr>
              <w:jc w:val="right"/>
              <w:rPr>
                <w:sz w:val="20"/>
                <w:szCs w:val="20"/>
              </w:rPr>
            </w:pPr>
            <w:r w:rsidRPr="00DE2A63">
              <w:rPr>
                <w:sz w:val="20"/>
                <w:szCs w:val="20"/>
              </w:rPr>
              <w:t xml:space="preserve">904 </w:t>
            </w:r>
          </w:p>
        </w:tc>
        <w:tc>
          <w:tcPr>
            <w:tcW w:w="1402" w:type="dxa"/>
            <w:tcBorders>
              <w:top w:val="nil"/>
              <w:left w:val="nil"/>
              <w:bottom w:val="nil"/>
              <w:right w:val="nil"/>
            </w:tcBorders>
            <w:shd w:val="clear" w:color="auto" w:fill="auto"/>
            <w:noWrap/>
            <w:vAlign w:val="bottom"/>
            <w:hideMark/>
          </w:tcPr>
          <w:p w14:paraId="185789F3" w14:textId="77777777" w:rsidR="009616CB" w:rsidRPr="00DE2A63" w:rsidRDefault="009616CB" w:rsidP="009616CB">
            <w:pPr>
              <w:jc w:val="right"/>
              <w:rPr>
                <w:sz w:val="20"/>
                <w:szCs w:val="20"/>
              </w:rPr>
            </w:pPr>
            <w:r w:rsidRPr="00DE2A63">
              <w:rPr>
                <w:sz w:val="20"/>
                <w:szCs w:val="20"/>
              </w:rPr>
              <w:t xml:space="preserve">7,178 </w:t>
            </w:r>
          </w:p>
        </w:tc>
        <w:tc>
          <w:tcPr>
            <w:tcW w:w="1287" w:type="dxa"/>
            <w:tcBorders>
              <w:top w:val="nil"/>
              <w:left w:val="nil"/>
              <w:bottom w:val="nil"/>
              <w:right w:val="nil"/>
            </w:tcBorders>
            <w:shd w:val="clear" w:color="auto" w:fill="auto"/>
            <w:noWrap/>
            <w:vAlign w:val="bottom"/>
            <w:hideMark/>
          </w:tcPr>
          <w:p w14:paraId="7153E84C" w14:textId="77777777" w:rsidR="009616CB" w:rsidRPr="00B84212" w:rsidRDefault="009616CB" w:rsidP="009616CB">
            <w:pPr>
              <w:jc w:val="right"/>
              <w:rPr>
                <w:sz w:val="20"/>
                <w:szCs w:val="20"/>
              </w:rPr>
            </w:pPr>
            <w:r w:rsidRPr="00B84212">
              <w:rPr>
                <w:sz w:val="20"/>
                <w:szCs w:val="20"/>
              </w:rPr>
              <w:t>0</w:t>
            </w:r>
          </w:p>
        </w:tc>
        <w:tc>
          <w:tcPr>
            <w:tcW w:w="2151" w:type="dxa"/>
            <w:tcBorders>
              <w:top w:val="nil"/>
              <w:left w:val="nil"/>
              <w:bottom w:val="nil"/>
              <w:right w:val="single" w:sz="8" w:space="0" w:color="auto"/>
            </w:tcBorders>
            <w:shd w:val="clear" w:color="auto" w:fill="auto"/>
            <w:noWrap/>
            <w:vAlign w:val="bottom"/>
            <w:hideMark/>
          </w:tcPr>
          <w:p w14:paraId="3B038E37" w14:textId="77777777" w:rsidR="009616CB" w:rsidRPr="00B84212" w:rsidRDefault="009616CB" w:rsidP="009616CB">
            <w:pPr>
              <w:jc w:val="right"/>
              <w:rPr>
                <w:sz w:val="20"/>
                <w:szCs w:val="20"/>
              </w:rPr>
            </w:pPr>
            <w:r w:rsidRPr="00B84212">
              <w:rPr>
                <w:sz w:val="20"/>
                <w:szCs w:val="20"/>
              </w:rPr>
              <w:t>7,178</w:t>
            </w:r>
          </w:p>
        </w:tc>
      </w:tr>
      <w:tr w:rsidR="009616CB" w:rsidRPr="00B84212" w14:paraId="2F243C1A" w14:textId="77777777" w:rsidTr="009616CB">
        <w:trPr>
          <w:trHeight w:val="300"/>
          <w:jc w:val="center"/>
        </w:trPr>
        <w:tc>
          <w:tcPr>
            <w:tcW w:w="466" w:type="dxa"/>
            <w:tcBorders>
              <w:top w:val="nil"/>
              <w:left w:val="single" w:sz="8" w:space="0" w:color="auto"/>
              <w:bottom w:val="nil"/>
              <w:right w:val="nil"/>
            </w:tcBorders>
            <w:shd w:val="clear" w:color="auto" w:fill="auto"/>
            <w:noWrap/>
            <w:vAlign w:val="bottom"/>
            <w:hideMark/>
          </w:tcPr>
          <w:p w14:paraId="7B19A05F" w14:textId="77777777" w:rsidR="009616CB" w:rsidRPr="00B84212" w:rsidRDefault="009616CB" w:rsidP="009616CB">
            <w:pPr>
              <w:rPr>
                <w:color w:val="000000"/>
                <w:sz w:val="20"/>
                <w:szCs w:val="20"/>
              </w:rPr>
            </w:pPr>
            <w:r w:rsidRPr="00B84212">
              <w:rPr>
                <w:color w:val="000000"/>
                <w:sz w:val="20"/>
                <w:szCs w:val="20"/>
              </w:rPr>
              <w:t> </w:t>
            </w:r>
          </w:p>
        </w:tc>
        <w:tc>
          <w:tcPr>
            <w:tcW w:w="3439" w:type="dxa"/>
            <w:tcBorders>
              <w:top w:val="nil"/>
              <w:left w:val="nil"/>
              <w:bottom w:val="nil"/>
              <w:right w:val="nil"/>
            </w:tcBorders>
            <w:shd w:val="clear" w:color="auto" w:fill="auto"/>
            <w:noWrap/>
            <w:vAlign w:val="bottom"/>
            <w:hideMark/>
          </w:tcPr>
          <w:p w14:paraId="212A5692" w14:textId="77777777" w:rsidR="009616CB" w:rsidRPr="00B84212" w:rsidRDefault="009616CB" w:rsidP="009616CB">
            <w:pPr>
              <w:rPr>
                <w:color w:val="000000"/>
                <w:sz w:val="20"/>
                <w:szCs w:val="20"/>
              </w:rPr>
            </w:pPr>
          </w:p>
        </w:tc>
        <w:tc>
          <w:tcPr>
            <w:tcW w:w="1690" w:type="dxa"/>
            <w:tcBorders>
              <w:top w:val="nil"/>
              <w:left w:val="nil"/>
              <w:bottom w:val="nil"/>
              <w:right w:val="nil"/>
            </w:tcBorders>
            <w:shd w:val="clear" w:color="auto" w:fill="auto"/>
            <w:noWrap/>
            <w:vAlign w:val="bottom"/>
            <w:hideMark/>
          </w:tcPr>
          <w:p w14:paraId="7047F4D4" w14:textId="77777777" w:rsidR="009616CB" w:rsidRPr="00DE2A63" w:rsidRDefault="009616CB" w:rsidP="009616CB">
            <w:pPr>
              <w:rPr>
                <w:sz w:val="20"/>
                <w:szCs w:val="20"/>
              </w:rPr>
            </w:pPr>
          </w:p>
        </w:tc>
        <w:tc>
          <w:tcPr>
            <w:tcW w:w="1691" w:type="dxa"/>
            <w:tcBorders>
              <w:top w:val="nil"/>
              <w:left w:val="nil"/>
              <w:bottom w:val="nil"/>
              <w:right w:val="nil"/>
            </w:tcBorders>
            <w:shd w:val="clear" w:color="auto" w:fill="auto"/>
            <w:noWrap/>
            <w:vAlign w:val="bottom"/>
            <w:hideMark/>
          </w:tcPr>
          <w:p w14:paraId="13886866" w14:textId="77777777" w:rsidR="009616CB" w:rsidRPr="00DE2A63" w:rsidRDefault="009616CB" w:rsidP="009616CB">
            <w:pPr>
              <w:rPr>
                <w:sz w:val="20"/>
                <w:szCs w:val="20"/>
              </w:rPr>
            </w:pPr>
          </w:p>
        </w:tc>
        <w:tc>
          <w:tcPr>
            <w:tcW w:w="1402" w:type="dxa"/>
            <w:tcBorders>
              <w:top w:val="nil"/>
              <w:left w:val="nil"/>
              <w:bottom w:val="nil"/>
              <w:right w:val="nil"/>
            </w:tcBorders>
            <w:shd w:val="clear" w:color="auto" w:fill="auto"/>
            <w:noWrap/>
            <w:vAlign w:val="bottom"/>
            <w:hideMark/>
          </w:tcPr>
          <w:p w14:paraId="7319BC6F" w14:textId="77777777" w:rsidR="009616CB" w:rsidRPr="00DE2A63" w:rsidRDefault="009616CB" w:rsidP="009616CB">
            <w:pPr>
              <w:rPr>
                <w:sz w:val="20"/>
                <w:szCs w:val="20"/>
              </w:rPr>
            </w:pPr>
          </w:p>
        </w:tc>
        <w:tc>
          <w:tcPr>
            <w:tcW w:w="1287" w:type="dxa"/>
            <w:tcBorders>
              <w:top w:val="nil"/>
              <w:left w:val="nil"/>
              <w:bottom w:val="nil"/>
              <w:right w:val="nil"/>
            </w:tcBorders>
            <w:shd w:val="clear" w:color="auto" w:fill="auto"/>
            <w:noWrap/>
            <w:vAlign w:val="bottom"/>
            <w:hideMark/>
          </w:tcPr>
          <w:p w14:paraId="3D5EF50C" w14:textId="77777777" w:rsidR="009616CB" w:rsidRPr="00B84212" w:rsidRDefault="009616CB" w:rsidP="009616CB">
            <w:pPr>
              <w:rPr>
                <w:sz w:val="20"/>
                <w:szCs w:val="20"/>
              </w:rPr>
            </w:pPr>
          </w:p>
        </w:tc>
        <w:tc>
          <w:tcPr>
            <w:tcW w:w="2151" w:type="dxa"/>
            <w:tcBorders>
              <w:top w:val="nil"/>
              <w:left w:val="nil"/>
              <w:bottom w:val="nil"/>
              <w:right w:val="single" w:sz="8" w:space="0" w:color="auto"/>
            </w:tcBorders>
            <w:shd w:val="clear" w:color="auto" w:fill="auto"/>
            <w:noWrap/>
            <w:vAlign w:val="bottom"/>
            <w:hideMark/>
          </w:tcPr>
          <w:p w14:paraId="7EEB979C" w14:textId="77777777" w:rsidR="009616CB" w:rsidRPr="00B84212" w:rsidRDefault="009616CB" w:rsidP="009616CB">
            <w:pPr>
              <w:rPr>
                <w:sz w:val="20"/>
                <w:szCs w:val="20"/>
              </w:rPr>
            </w:pPr>
            <w:r w:rsidRPr="00B84212">
              <w:rPr>
                <w:sz w:val="20"/>
                <w:szCs w:val="20"/>
              </w:rPr>
              <w:t> </w:t>
            </w:r>
          </w:p>
        </w:tc>
      </w:tr>
      <w:tr w:rsidR="009616CB" w:rsidRPr="00B84212" w14:paraId="7D104EE8" w14:textId="77777777" w:rsidTr="009616CB">
        <w:trPr>
          <w:trHeight w:val="300"/>
          <w:jc w:val="center"/>
        </w:trPr>
        <w:tc>
          <w:tcPr>
            <w:tcW w:w="466" w:type="dxa"/>
            <w:tcBorders>
              <w:top w:val="nil"/>
              <w:left w:val="single" w:sz="8" w:space="0" w:color="auto"/>
              <w:bottom w:val="nil"/>
              <w:right w:val="nil"/>
            </w:tcBorders>
            <w:shd w:val="clear" w:color="auto" w:fill="auto"/>
            <w:noWrap/>
            <w:vAlign w:val="bottom"/>
            <w:hideMark/>
          </w:tcPr>
          <w:p w14:paraId="1C2271D0" w14:textId="77777777" w:rsidR="009616CB" w:rsidRPr="00B84212" w:rsidRDefault="009616CB" w:rsidP="009616CB">
            <w:pPr>
              <w:jc w:val="right"/>
              <w:rPr>
                <w:color w:val="000000"/>
                <w:sz w:val="20"/>
                <w:szCs w:val="20"/>
              </w:rPr>
            </w:pPr>
            <w:r w:rsidRPr="00B84212">
              <w:rPr>
                <w:color w:val="000000"/>
                <w:sz w:val="20"/>
                <w:szCs w:val="20"/>
              </w:rPr>
              <w:t>4.</w:t>
            </w:r>
          </w:p>
        </w:tc>
        <w:tc>
          <w:tcPr>
            <w:tcW w:w="3439" w:type="dxa"/>
            <w:tcBorders>
              <w:top w:val="nil"/>
              <w:left w:val="nil"/>
              <w:bottom w:val="nil"/>
              <w:right w:val="nil"/>
            </w:tcBorders>
            <w:shd w:val="clear" w:color="auto" w:fill="auto"/>
            <w:noWrap/>
            <w:vAlign w:val="bottom"/>
            <w:hideMark/>
          </w:tcPr>
          <w:p w14:paraId="7074ED29" w14:textId="77777777" w:rsidR="009616CB" w:rsidRPr="00B84212" w:rsidRDefault="009616CB" w:rsidP="009616CB">
            <w:pPr>
              <w:rPr>
                <w:color w:val="000000"/>
                <w:sz w:val="20"/>
                <w:szCs w:val="20"/>
              </w:rPr>
            </w:pPr>
            <w:r w:rsidRPr="00B84212">
              <w:rPr>
                <w:color w:val="000000"/>
                <w:sz w:val="20"/>
                <w:szCs w:val="20"/>
              </w:rPr>
              <w:t xml:space="preserve">  AMORTIZATION - OTHER</w:t>
            </w:r>
          </w:p>
        </w:tc>
        <w:tc>
          <w:tcPr>
            <w:tcW w:w="1690" w:type="dxa"/>
            <w:tcBorders>
              <w:top w:val="nil"/>
              <w:left w:val="nil"/>
              <w:bottom w:val="nil"/>
              <w:right w:val="nil"/>
            </w:tcBorders>
            <w:shd w:val="clear" w:color="auto" w:fill="auto"/>
            <w:noWrap/>
            <w:vAlign w:val="bottom"/>
            <w:hideMark/>
          </w:tcPr>
          <w:p w14:paraId="50BB2B5D" w14:textId="77777777" w:rsidR="009616CB" w:rsidRPr="00DE2A63" w:rsidRDefault="009616CB" w:rsidP="009616CB">
            <w:pPr>
              <w:jc w:val="right"/>
              <w:rPr>
                <w:sz w:val="20"/>
                <w:szCs w:val="20"/>
              </w:rPr>
            </w:pPr>
            <w:r w:rsidRPr="00DE2A63">
              <w:rPr>
                <w:sz w:val="20"/>
                <w:szCs w:val="20"/>
              </w:rPr>
              <w:t xml:space="preserve">1,064 </w:t>
            </w:r>
          </w:p>
        </w:tc>
        <w:tc>
          <w:tcPr>
            <w:tcW w:w="1691" w:type="dxa"/>
            <w:tcBorders>
              <w:top w:val="nil"/>
              <w:left w:val="nil"/>
              <w:bottom w:val="nil"/>
              <w:right w:val="nil"/>
            </w:tcBorders>
            <w:shd w:val="clear" w:color="auto" w:fill="auto"/>
            <w:noWrap/>
            <w:vAlign w:val="bottom"/>
            <w:hideMark/>
          </w:tcPr>
          <w:p w14:paraId="377B7729" w14:textId="77777777" w:rsidR="009616CB" w:rsidRPr="00DE2A63" w:rsidRDefault="009616CB" w:rsidP="009616CB">
            <w:pPr>
              <w:jc w:val="right"/>
              <w:rPr>
                <w:sz w:val="20"/>
                <w:szCs w:val="20"/>
              </w:rPr>
            </w:pPr>
            <w:r w:rsidRPr="00DE2A63">
              <w:rPr>
                <w:sz w:val="20"/>
                <w:szCs w:val="20"/>
              </w:rPr>
              <w:t>(1,089)</w:t>
            </w:r>
          </w:p>
        </w:tc>
        <w:tc>
          <w:tcPr>
            <w:tcW w:w="1402" w:type="dxa"/>
            <w:tcBorders>
              <w:top w:val="nil"/>
              <w:left w:val="nil"/>
              <w:bottom w:val="nil"/>
              <w:right w:val="nil"/>
            </w:tcBorders>
            <w:shd w:val="clear" w:color="auto" w:fill="auto"/>
            <w:noWrap/>
            <w:vAlign w:val="bottom"/>
            <w:hideMark/>
          </w:tcPr>
          <w:p w14:paraId="16973AB6" w14:textId="77777777" w:rsidR="009616CB" w:rsidRPr="00DE2A63" w:rsidRDefault="009616CB" w:rsidP="009616CB">
            <w:pPr>
              <w:jc w:val="right"/>
              <w:rPr>
                <w:sz w:val="20"/>
                <w:szCs w:val="20"/>
              </w:rPr>
            </w:pPr>
            <w:r w:rsidRPr="00DE2A63">
              <w:rPr>
                <w:sz w:val="20"/>
                <w:szCs w:val="20"/>
              </w:rPr>
              <w:t>(25)</w:t>
            </w:r>
          </w:p>
        </w:tc>
        <w:tc>
          <w:tcPr>
            <w:tcW w:w="1287" w:type="dxa"/>
            <w:tcBorders>
              <w:top w:val="nil"/>
              <w:left w:val="nil"/>
              <w:bottom w:val="nil"/>
              <w:right w:val="nil"/>
            </w:tcBorders>
            <w:shd w:val="clear" w:color="auto" w:fill="auto"/>
            <w:noWrap/>
            <w:vAlign w:val="bottom"/>
            <w:hideMark/>
          </w:tcPr>
          <w:p w14:paraId="42B4114A" w14:textId="77777777" w:rsidR="009616CB" w:rsidRPr="00B84212" w:rsidRDefault="009616CB" w:rsidP="009616CB">
            <w:pPr>
              <w:jc w:val="right"/>
              <w:rPr>
                <w:sz w:val="20"/>
                <w:szCs w:val="20"/>
              </w:rPr>
            </w:pPr>
            <w:r w:rsidRPr="00B84212">
              <w:rPr>
                <w:sz w:val="20"/>
                <w:szCs w:val="20"/>
              </w:rPr>
              <w:t>0</w:t>
            </w:r>
          </w:p>
        </w:tc>
        <w:tc>
          <w:tcPr>
            <w:tcW w:w="2151" w:type="dxa"/>
            <w:tcBorders>
              <w:top w:val="nil"/>
              <w:left w:val="nil"/>
              <w:bottom w:val="nil"/>
              <w:right w:val="single" w:sz="8" w:space="0" w:color="auto"/>
            </w:tcBorders>
            <w:shd w:val="clear" w:color="auto" w:fill="auto"/>
            <w:noWrap/>
            <w:vAlign w:val="bottom"/>
            <w:hideMark/>
          </w:tcPr>
          <w:p w14:paraId="11080E11" w14:textId="77777777" w:rsidR="009616CB" w:rsidRPr="00B84212" w:rsidRDefault="009616CB" w:rsidP="009616CB">
            <w:pPr>
              <w:jc w:val="right"/>
              <w:rPr>
                <w:sz w:val="20"/>
                <w:szCs w:val="20"/>
              </w:rPr>
            </w:pPr>
            <w:r>
              <w:rPr>
                <w:sz w:val="20"/>
                <w:szCs w:val="20"/>
              </w:rPr>
              <w:t>(</w:t>
            </w:r>
            <w:r w:rsidRPr="00B84212">
              <w:rPr>
                <w:sz w:val="20"/>
                <w:szCs w:val="20"/>
              </w:rPr>
              <w:t>25</w:t>
            </w:r>
            <w:r>
              <w:rPr>
                <w:sz w:val="20"/>
                <w:szCs w:val="20"/>
              </w:rPr>
              <w:t>)</w:t>
            </w:r>
          </w:p>
        </w:tc>
      </w:tr>
      <w:tr w:rsidR="009616CB" w:rsidRPr="00B84212" w14:paraId="1C02DAED" w14:textId="77777777" w:rsidTr="009616CB">
        <w:trPr>
          <w:trHeight w:val="300"/>
          <w:jc w:val="center"/>
        </w:trPr>
        <w:tc>
          <w:tcPr>
            <w:tcW w:w="466" w:type="dxa"/>
            <w:tcBorders>
              <w:top w:val="nil"/>
              <w:left w:val="single" w:sz="8" w:space="0" w:color="auto"/>
              <w:bottom w:val="nil"/>
              <w:right w:val="nil"/>
            </w:tcBorders>
            <w:shd w:val="clear" w:color="auto" w:fill="auto"/>
            <w:noWrap/>
            <w:vAlign w:val="bottom"/>
            <w:hideMark/>
          </w:tcPr>
          <w:p w14:paraId="75B004FA" w14:textId="77777777" w:rsidR="009616CB" w:rsidRPr="00B84212" w:rsidRDefault="009616CB" w:rsidP="009616CB">
            <w:pPr>
              <w:rPr>
                <w:color w:val="000000"/>
                <w:sz w:val="20"/>
                <w:szCs w:val="20"/>
              </w:rPr>
            </w:pPr>
            <w:r w:rsidRPr="00B84212">
              <w:rPr>
                <w:color w:val="000000"/>
                <w:sz w:val="20"/>
                <w:szCs w:val="20"/>
              </w:rPr>
              <w:t> </w:t>
            </w:r>
          </w:p>
        </w:tc>
        <w:tc>
          <w:tcPr>
            <w:tcW w:w="3439" w:type="dxa"/>
            <w:tcBorders>
              <w:top w:val="nil"/>
              <w:left w:val="nil"/>
              <w:bottom w:val="nil"/>
              <w:right w:val="nil"/>
            </w:tcBorders>
            <w:shd w:val="clear" w:color="auto" w:fill="auto"/>
            <w:noWrap/>
            <w:vAlign w:val="bottom"/>
            <w:hideMark/>
          </w:tcPr>
          <w:p w14:paraId="7CBBDDD5" w14:textId="77777777" w:rsidR="009616CB" w:rsidRPr="00B84212" w:rsidRDefault="009616CB" w:rsidP="009616CB">
            <w:pPr>
              <w:rPr>
                <w:color w:val="000000"/>
                <w:sz w:val="20"/>
                <w:szCs w:val="20"/>
              </w:rPr>
            </w:pPr>
          </w:p>
        </w:tc>
        <w:tc>
          <w:tcPr>
            <w:tcW w:w="1690" w:type="dxa"/>
            <w:tcBorders>
              <w:top w:val="nil"/>
              <w:left w:val="nil"/>
              <w:bottom w:val="nil"/>
              <w:right w:val="nil"/>
            </w:tcBorders>
            <w:shd w:val="clear" w:color="auto" w:fill="auto"/>
            <w:noWrap/>
            <w:vAlign w:val="bottom"/>
            <w:hideMark/>
          </w:tcPr>
          <w:p w14:paraId="4E3A2DB0" w14:textId="77777777" w:rsidR="009616CB" w:rsidRPr="00DE2A63" w:rsidRDefault="009616CB" w:rsidP="009616CB">
            <w:pPr>
              <w:rPr>
                <w:sz w:val="20"/>
                <w:szCs w:val="20"/>
              </w:rPr>
            </w:pPr>
          </w:p>
        </w:tc>
        <w:tc>
          <w:tcPr>
            <w:tcW w:w="1691" w:type="dxa"/>
            <w:tcBorders>
              <w:top w:val="nil"/>
              <w:left w:val="nil"/>
              <w:bottom w:val="nil"/>
              <w:right w:val="nil"/>
            </w:tcBorders>
            <w:shd w:val="clear" w:color="auto" w:fill="auto"/>
            <w:noWrap/>
            <w:vAlign w:val="bottom"/>
            <w:hideMark/>
          </w:tcPr>
          <w:p w14:paraId="28F795C6" w14:textId="77777777" w:rsidR="009616CB" w:rsidRPr="00DE2A63" w:rsidRDefault="009616CB" w:rsidP="009616CB">
            <w:pPr>
              <w:rPr>
                <w:sz w:val="20"/>
                <w:szCs w:val="20"/>
              </w:rPr>
            </w:pPr>
          </w:p>
        </w:tc>
        <w:tc>
          <w:tcPr>
            <w:tcW w:w="1402" w:type="dxa"/>
            <w:tcBorders>
              <w:top w:val="nil"/>
              <w:left w:val="nil"/>
              <w:bottom w:val="nil"/>
              <w:right w:val="nil"/>
            </w:tcBorders>
            <w:shd w:val="clear" w:color="auto" w:fill="auto"/>
            <w:noWrap/>
            <w:vAlign w:val="bottom"/>
            <w:hideMark/>
          </w:tcPr>
          <w:p w14:paraId="3D39A8CB" w14:textId="77777777" w:rsidR="009616CB" w:rsidRPr="00DE2A63" w:rsidRDefault="009616CB" w:rsidP="009616CB">
            <w:pPr>
              <w:rPr>
                <w:sz w:val="20"/>
                <w:szCs w:val="20"/>
              </w:rPr>
            </w:pPr>
          </w:p>
        </w:tc>
        <w:tc>
          <w:tcPr>
            <w:tcW w:w="1287" w:type="dxa"/>
            <w:tcBorders>
              <w:top w:val="nil"/>
              <w:left w:val="nil"/>
              <w:bottom w:val="nil"/>
              <w:right w:val="nil"/>
            </w:tcBorders>
            <w:shd w:val="clear" w:color="auto" w:fill="auto"/>
            <w:noWrap/>
            <w:vAlign w:val="bottom"/>
            <w:hideMark/>
          </w:tcPr>
          <w:p w14:paraId="680D41BF" w14:textId="77777777" w:rsidR="009616CB" w:rsidRPr="00B84212" w:rsidRDefault="009616CB" w:rsidP="009616CB">
            <w:pPr>
              <w:rPr>
                <w:sz w:val="20"/>
                <w:szCs w:val="20"/>
              </w:rPr>
            </w:pPr>
          </w:p>
        </w:tc>
        <w:tc>
          <w:tcPr>
            <w:tcW w:w="2151" w:type="dxa"/>
            <w:tcBorders>
              <w:top w:val="nil"/>
              <w:left w:val="nil"/>
              <w:bottom w:val="nil"/>
              <w:right w:val="single" w:sz="8" w:space="0" w:color="auto"/>
            </w:tcBorders>
            <w:shd w:val="clear" w:color="auto" w:fill="auto"/>
            <w:noWrap/>
            <w:vAlign w:val="bottom"/>
            <w:hideMark/>
          </w:tcPr>
          <w:p w14:paraId="5FA01999" w14:textId="77777777" w:rsidR="009616CB" w:rsidRPr="00B84212" w:rsidRDefault="009616CB" w:rsidP="009616CB">
            <w:pPr>
              <w:rPr>
                <w:sz w:val="20"/>
                <w:szCs w:val="20"/>
              </w:rPr>
            </w:pPr>
            <w:r w:rsidRPr="00B84212">
              <w:rPr>
                <w:sz w:val="20"/>
                <w:szCs w:val="20"/>
              </w:rPr>
              <w:t> </w:t>
            </w:r>
          </w:p>
        </w:tc>
      </w:tr>
      <w:tr w:rsidR="009616CB" w:rsidRPr="00B84212" w14:paraId="441F7043" w14:textId="77777777" w:rsidTr="009616CB">
        <w:trPr>
          <w:trHeight w:val="300"/>
          <w:jc w:val="center"/>
        </w:trPr>
        <w:tc>
          <w:tcPr>
            <w:tcW w:w="466" w:type="dxa"/>
            <w:tcBorders>
              <w:top w:val="nil"/>
              <w:left w:val="single" w:sz="8" w:space="0" w:color="auto"/>
              <w:bottom w:val="nil"/>
              <w:right w:val="nil"/>
            </w:tcBorders>
            <w:shd w:val="clear" w:color="auto" w:fill="auto"/>
            <w:noWrap/>
            <w:vAlign w:val="bottom"/>
            <w:hideMark/>
          </w:tcPr>
          <w:p w14:paraId="34956F7E" w14:textId="77777777" w:rsidR="009616CB" w:rsidRPr="00B84212" w:rsidRDefault="009616CB" w:rsidP="009616CB">
            <w:pPr>
              <w:jc w:val="right"/>
              <w:rPr>
                <w:color w:val="000000"/>
                <w:sz w:val="20"/>
                <w:szCs w:val="20"/>
              </w:rPr>
            </w:pPr>
            <w:r w:rsidRPr="00B84212">
              <w:rPr>
                <w:color w:val="000000"/>
                <w:sz w:val="20"/>
                <w:szCs w:val="20"/>
              </w:rPr>
              <w:t>5.</w:t>
            </w:r>
          </w:p>
        </w:tc>
        <w:tc>
          <w:tcPr>
            <w:tcW w:w="3439" w:type="dxa"/>
            <w:tcBorders>
              <w:top w:val="nil"/>
              <w:left w:val="nil"/>
              <w:bottom w:val="nil"/>
              <w:right w:val="nil"/>
            </w:tcBorders>
            <w:shd w:val="clear" w:color="auto" w:fill="auto"/>
            <w:noWrap/>
            <w:vAlign w:val="bottom"/>
            <w:hideMark/>
          </w:tcPr>
          <w:p w14:paraId="63E313DB" w14:textId="77777777" w:rsidR="009616CB" w:rsidRPr="00B84212" w:rsidRDefault="009616CB" w:rsidP="009616CB">
            <w:pPr>
              <w:rPr>
                <w:color w:val="000000"/>
                <w:sz w:val="20"/>
                <w:szCs w:val="20"/>
              </w:rPr>
            </w:pPr>
            <w:r w:rsidRPr="00B84212">
              <w:rPr>
                <w:color w:val="000000"/>
                <w:sz w:val="20"/>
                <w:szCs w:val="20"/>
              </w:rPr>
              <w:t xml:space="preserve">  TAXES OTHER THAN INCOME</w:t>
            </w:r>
          </w:p>
        </w:tc>
        <w:tc>
          <w:tcPr>
            <w:tcW w:w="1690" w:type="dxa"/>
            <w:tcBorders>
              <w:top w:val="nil"/>
              <w:left w:val="nil"/>
              <w:bottom w:val="nil"/>
              <w:right w:val="nil"/>
            </w:tcBorders>
            <w:shd w:val="clear" w:color="auto" w:fill="auto"/>
            <w:noWrap/>
            <w:vAlign w:val="bottom"/>
            <w:hideMark/>
          </w:tcPr>
          <w:p w14:paraId="197DA5A8" w14:textId="77777777" w:rsidR="009616CB" w:rsidRPr="00DE2A63" w:rsidRDefault="009616CB" w:rsidP="009616CB">
            <w:pPr>
              <w:jc w:val="right"/>
              <w:rPr>
                <w:sz w:val="20"/>
                <w:szCs w:val="20"/>
              </w:rPr>
            </w:pPr>
            <w:r w:rsidRPr="00DE2A63">
              <w:rPr>
                <w:sz w:val="20"/>
                <w:szCs w:val="20"/>
              </w:rPr>
              <w:t xml:space="preserve">2,997 </w:t>
            </w:r>
          </w:p>
        </w:tc>
        <w:tc>
          <w:tcPr>
            <w:tcW w:w="1691" w:type="dxa"/>
            <w:tcBorders>
              <w:top w:val="nil"/>
              <w:left w:val="nil"/>
              <w:bottom w:val="nil"/>
              <w:right w:val="nil"/>
            </w:tcBorders>
            <w:shd w:val="clear" w:color="auto" w:fill="auto"/>
            <w:noWrap/>
            <w:vAlign w:val="bottom"/>
            <w:hideMark/>
          </w:tcPr>
          <w:p w14:paraId="0448E37E" w14:textId="77777777" w:rsidR="009616CB" w:rsidRPr="00DE2A63" w:rsidRDefault="009616CB" w:rsidP="009616CB">
            <w:pPr>
              <w:jc w:val="right"/>
              <w:rPr>
                <w:sz w:val="20"/>
                <w:szCs w:val="20"/>
              </w:rPr>
            </w:pPr>
            <w:r w:rsidRPr="00DE2A63">
              <w:rPr>
                <w:sz w:val="20"/>
                <w:szCs w:val="20"/>
              </w:rPr>
              <w:t xml:space="preserve">2,515 </w:t>
            </w:r>
          </w:p>
        </w:tc>
        <w:tc>
          <w:tcPr>
            <w:tcW w:w="1402" w:type="dxa"/>
            <w:tcBorders>
              <w:top w:val="nil"/>
              <w:left w:val="nil"/>
              <w:bottom w:val="nil"/>
              <w:right w:val="nil"/>
            </w:tcBorders>
            <w:shd w:val="clear" w:color="auto" w:fill="auto"/>
            <w:noWrap/>
            <w:vAlign w:val="bottom"/>
            <w:hideMark/>
          </w:tcPr>
          <w:p w14:paraId="7B4C1ADB" w14:textId="77777777" w:rsidR="009616CB" w:rsidRPr="00DE2A63" w:rsidRDefault="009616CB" w:rsidP="009616CB">
            <w:pPr>
              <w:jc w:val="right"/>
              <w:rPr>
                <w:sz w:val="20"/>
                <w:szCs w:val="20"/>
              </w:rPr>
            </w:pPr>
            <w:r w:rsidRPr="00DE2A63">
              <w:rPr>
                <w:sz w:val="20"/>
                <w:szCs w:val="20"/>
              </w:rPr>
              <w:t xml:space="preserve">5,512 </w:t>
            </w:r>
          </w:p>
        </w:tc>
        <w:tc>
          <w:tcPr>
            <w:tcW w:w="1287" w:type="dxa"/>
            <w:tcBorders>
              <w:top w:val="nil"/>
              <w:left w:val="nil"/>
              <w:bottom w:val="nil"/>
              <w:right w:val="nil"/>
            </w:tcBorders>
            <w:shd w:val="clear" w:color="auto" w:fill="auto"/>
            <w:noWrap/>
            <w:vAlign w:val="bottom"/>
            <w:hideMark/>
          </w:tcPr>
          <w:p w14:paraId="31AF4BB4" w14:textId="77777777" w:rsidR="009616CB" w:rsidRPr="00B84212" w:rsidRDefault="009616CB" w:rsidP="009616CB">
            <w:pPr>
              <w:jc w:val="right"/>
              <w:rPr>
                <w:sz w:val="20"/>
                <w:szCs w:val="20"/>
              </w:rPr>
            </w:pPr>
            <w:r w:rsidRPr="00B84212">
              <w:rPr>
                <w:sz w:val="20"/>
                <w:szCs w:val="20"/>
              </w:rPr>
              <w:t>1,</w:t>
            </w:r>
            <w:r>
              <w:rPr>
                <w:sz w:val="20"/>
                <w:szCs w:val="20"/>
              </w:rPr>
              <w:t>511</w:t>
            </w:r>
          </w:p>
        </w:tc>
        <w:tc>
          <w:tcPr>
            <w:tcW w:w="2151" w:type="dxa"/>
            <w:tcBorders>
              <w:top w:val="nil"/>
              <w:left w:val="nil"/>
              <w:bottom w:val="nil"/>
              <w:right w:val="single" w:sz="8" w:space="0" w:color="auto"/>
            </w:tcBorders>
            <w:shd w:val="clear" w:color="auto" w:fill="auto"/>
            <w:noWrap/>
            <w:vAlign w:val="bottom"/>
            <w:hideMark/>
          </w:tcPr>
          <w:p w14:paraId="2CF813E1" w14:textId="77777777" w:rsidR="009616CB" w:rsidRPr="00B84212" w:rsidRDefault="009616CB" w:rsidP="009616CB">
            <w:pPr>
              <w:jc w:val="right"/>
              <w:rPr>
                <w:sz w:val="20"/>
                <w:szCs w:val="20"/>
              </w:rPr>
            </w:pPr>
            <w:r w:rsidRPr="00B84212">
              <w:rPr>
                <w:sz w:val="20"/>
                <w:szCs w:val="20"/>
              </w:rPr>
              <w:t>7,</w:t>
            </w:r>
            <w:r>
              <w:rPr>
                <w:sz w:val="20"/>
                <w:szCs w:val="20"/>
              </w:rPr>
              <w:t>023</w:t>
            </w:r>
          </w:p>
        </w:tc>
      </w:tr>
      <w:tr w:rsidR="009616CB" w:rsidRPr="00B84212" w14:paraId="1ABED5F2" w14:textId="77777777" w:rsidTr="009616CB">
        <w:trPr>
          <w:trHeight w:val="300"/>
          <w:jc w:val="center"/>
        </w:trPr>
        <w:tc>
          <w:tcPr>
            <w:tcW w:w="466" w:type="dxa"/>
            <w:tcBorders>
              <w:top w:val="nil"/>
              <w:left w:val="single" w:sz="8" w:space="0" w:color="auto"/>
              <w:bottom w:val="nil"/>
              <w:right w:val="nil"/>
            </w:tcBorders>
            <w:shd w:val="clear" w:color="auto" w:fill="auto"/>
            <w:noWrap/>
            <w:vAlign w:val="bottom"/>
            <w:hideMark/>
          </w:tcPr>
          <w:p w14:paraId="052285CC" w14:textId="77777777" w:rsidR="009616CB" w:rsidRPr="00B84212" w:rsidRDefault="009616CB" w:rsidP="009616CB">
            <w:pPr>
              <w:rPr>
                <w:color w:val="000000"/>
                <w:sz w:val="20"/>
                <w:szCs w:val="20"/>
              </w:rPr>
            </w:pPr>
            <w:r w:rsidRPr="00B84212">
              <w:rPr>
                <w:color w:val="000000"/>
                <w:sz w:val="20"/>
                <w:szCs w:val="20"/>
              </w:rPr>
              <w:t> </w:t>
            </w:r>
          </w:p>
        </w:tc>
        <w:tc>
          <w:tcPr>
            <w:tcW w:w="3439" w:type="dxa"/>
            <w:tcBorders>
              <w:top w:val="nil"/>
              <w:left w:val="nil"/>
              <w:bottom w:val="nil"/>
              <w:right w:val="nil"/>
            </w:tcBorders>
            <w:shd w:val="clear" w:color="auto" w:fill="auto"/>
            <w:noWrap/>
            <w:vAlign w:val="bottom"/>
            <w:hideMark/>
          </w:tcPr>
          <w:p w14:paraId="18739337" w14:textId="77777777" w:rsidR="009616CB" w:rsidRPr="00B84212" w:rsidRDefault="009616CB" w:rsidP="009616CB">
            <w:pPr>
              <w:rPr>
                <w:color w:val="000000"/>
                <w:sz w:val="20"/>
                <w:szCs w:val="20"/>
              </w:rPr>
            </w:pPr>
          </w:p>
        </w:tc>
        <w:tc>
          <w:tcPr>
            <w:tcW w:w="1690" w:type="dxa"/>
            <w:tcBorders>
              <w:top w:val="nil"/>
              <w:left w:val="nil"/>
              <w:bottom w:val="nil"/>
              <w:right w:val="nil"/>
            </w:tcBorders>
            <w:shd w:val="clear" w:color="auto" w:fill="auto"/>
            <w:noWrap/>
            <w:vAlign w:val="bottom"/>
            <w:hideMark/>
          </w:tcPr>
          <w:p w14:paraId="24E36FFC" w14:textId="77777777" w:rsidR="009616CB" w:rsidRPr="00B84212" w:rsidRDefault="009616CB" w:rsidP="009616CB">
            <w:pPr>
              <w:rPr>
                <w:sz w:val="20"/>
                <w:szCs w:val="20"/>
                <w:u w:val="double"/>
              </w:rPr>
            </w:pPr>
          </w:p>
        </w:tc>
        <w:tc>
          <w:tcPr>
            <w:tcW w:w="1691" w:type="dxa"/>
            <w:tcBorders>
              <w:top w:val="nil"/>
              <w:left w:val="nil"/>
              <w:bottom w:val="nil"/>
              <w:right w:val="nil"/>
            </w:tcBorders>
            <w:shd w:val="clear" w:color="auto" w:fill="auto"/>
            <w:noWrap/>
            <w:vAlign w:val="bottom"/>
            <w:hideMark/>
          </w:tcPr>
          <w:p w14:paraId="444BE991" w14:textId="77777777" w:rsidR="009616CB" w:rsidRPr="00B84212" w:rsidRDefault="009616CB" w:rsidP="009616CB">
            <w:pPr>
              <w:rPr>
                <w:sz w:val="20"/>
                <w:szCs w:val="20"/>
                <w:u w:val="double"/>
              </w:rPr>
            </w:pPr>
          </w:p>
        </w:tc>
        <w:tc>
          <w:tcPr>
            <w:tcW w:w="1402" w:type="dxa"/>
            <w:tcBorders>
              <w:top w:val="nil"/>
              <w:left w:val="nil"/>
              <w:bottom w:val="nil"/>
              <w:right w:val="nil"/>
            </w:tcBorders>
            <w:shd w:val="clear" w:color="auto" w:fill="auto"/>
            <w:noWrap/>
            <w:vAlign w:val="bottom"/>
            <w:hideMark/>
          </w:tcPr>
          <w:p w14:paraId="2F4C4368" w14:textId="77777777" w:rsidR="009616CB" w:rsidRPr="00B84212" w:rsidRDefault="009616CB" w:rsidP="009616CB">
            <w:pPr>
              <w:rPr>
                <w:sz w:val="20"/>
                <w:szCs w:val="20"/>
                <w:u w:val="double"/>
              </w:rPr>
            </w:pPr>
          </w:p>
        </w:tc>
        <w:tc>
          <w:tcPr>
            <w:tcW w:w="1287" w:type="dxa"/>
            <w:tcBorders>
              <w:top w:val="nil"/>
              <w:left w:val="nil"/>
              <w:bottom w:val="nil"/>
              <w:right w:val="nil"/>
            </w:tcBorders>
            <w:shd w:val="clear" w:color="auto" w:fill="auto"/>
            <w:noWrap/>
            <w:vAlign w:val="bottom"/>
            <w:hideMark/>
          </w:tcPr>
          <w:p w14:paraId="1BC2BD8E" w14:textId="77777777" w:rsidR="009616CB" w:rsidRPr="00B84212" w:rsidRDefault="009616CB" w:rsidP="009616CB">
            <w:pPr>
              <w:rPr>
                <w:sz w:val="20"/>
                <w:szCs w:val="20"/>
              </w:rPr>
            </w:pPr>
          </w:p>
        </w:tc>
        <w:tc>
          <w:tcPr>
            <w:tcW w:w="2151" w:type="dxa"/>
            <w:tcBorders>
              <w:top w:val="nil"/>
              <w:left w:val="nil"/>
              <w:bottom w:val="nil"/>
              <w:right w:val="single" w:sz="8" w:space="0" w:color="auto"/>
            </w:tcBorders>
            <w:shd w:val="clear" w:color="auto" w:fill="auto"/>
            <w:noWrap/>
            <w:vAlign w:val="bottom"/>
            <w:hideMark/>
          </w:tcPr>
          <w:p w14:paraId="18EEC316" w14:textId="77777777" w:rsidR="009616CB" w:rsidRPr="00B84212" w:rsidRDefault="009616CB" w:rsidP="009616CB">
            <w:pPr>
              <w:rPr>
                <w:sz w:val="20"/>
                <w:szCs w:val="20"/>
              </w:rPr>
            </w:pPr>
            <w:r w:rsidRPr="00B84212">
              <w:rPr>
                <w:sz w:val="20"/>
                <w:szCs w:val="20"/>
              </w:rPr>
              <w:t> </w:t>
            </w:r>
          </w:p>
        </w:tc>
      </w:tr>
      <w:tr w:rsidR="009616CB" w:rsidRPr="00B84212" w14:paraId="32329D4F" w14:textId="77777777" w:rsidTr="009616CB">
        <w:trPr>
          <w:trHeight w:val="300"/>
          <w:jc w:val="center"/>
        </w:trPr>
        <w:tc>
          <w:tcPr>
            <w:tcW w:w="466" w:type="dxa"/>
            <w:tcBorders>
              <w:top w:val="nil"/>
              <w:left w:val="single" w:sz="8" w:space="0" w:color="auto"/>
              <w:bottom w:val="nil"/>
              <w:right w:val="nil"/>
            </w:tcBorders>
            <w:shd w:val="clear" w:color="auto" w:fill="auto"/>
            <w:noWrap/>
            <w:vAlign w:val="bottom"/>
            <w:hideMark/>
          </w:tcPr>
          <w:p w14:paraId="26226C2C" w14:textId="77777777" w:rsidR="009616CB" w:rsidRPr="00B84212" w:rsidRDefault="009616CB" w:rsidP="009616CB">
            <w:pPr>
              <w:jc w:val="right"/>
              <w:rPr>
                <w:color w:val="000000"/>
                <w:sz w:val="20"/>
                <w:szCs w:val="20"/>
              </w:rPr>
            </w:pPr>
            <w:r w:rsidRPr="00B84212">
              <w:rPr>
                <w:color w:val="000000"/>
                <w:sz w:val="20"/>
                <w:szCs w:val="20"/>
              </w:rPr>
              <w:t>6.</w:t>
            </w:r>
          </w:p>
        </w:tc>
        <w:tc>
          <w:tcPr>
            <w:tcW w:w="3439" w:type="dxa"/>
            <w:tcBorders>
              <w:top w:val="nil"/>
              <w:left w:val="nil"/>
              <w:bottom w:val="nil"/>
              <w:right w:val="nil"/>
            </w:tcBorders>
            <w:shd w:val="clear" w:color="auto" w:fill="auto"/>
            <w:noWrap/>
            <w:vAlign w:val="bottom"/>
            <w:hideMark/>
          </w:tcPr>
          <w:p w14:paraId="119CA3DC" w14:textId="77777777" w:rsidR="009616CB" w:rsidRPr="00B84212" w:rsidRDefault="009616CB" w:rsidP="009616CB">
            <w:pPr>
              <w:rPr>
                <w:color w:val="000000"/>
                <w:sz w:val="20"/>
                <w:szCs w:val="20"/>
              </w:rPr>
            </w:pPr>
            <w:r w:rsidRPr="00B84212">
              <w:rPr>
                <w:color w:val="000000"/>
                <w:sz w:val="20"/>
                <w:szCs w:val="20"/>
              </w:rPr>
              <w:t xml:space="preserve">  INCOME TAXES</w:t>
            </w:r>
          </w:p>
        </w:tc>
        <w:tc>
          <w:tcPr>
            <w:tcW w:w="1690" w:type="dxa"/>
            <w:tcBorders>
              <w:top w:val="nil"/>
              <w:left w:val="nil"/>
              <w:bottom w:val="nil"/>
              <w:right w:val="nil"/>
            </w:tcBorders>
            <w:shd w:val="clear" w:color="auto" w:fill="auto"/>
            <w:noWrap/>
            <w:vAlign w:val="bottom"/>
            <w:hideMark/>
          </w:tcPr>
          <w:p w14:paraId="4146FA86" w14:textId="77777777" w:rsidR="009616CB" w:rsidRPr="00DE2A63" w:rsidRDefault="009616CB" w:rsidP="009616CB">
            <w:pPr>
              <w:jc w:val="right"/>
              <w:rPr>
                <w:sz w:val="20"/>
                <w:szCs w:val="20"/>
                <w:u w:val="single"/>
              </w:rPr>
            </w:pPr>
            <w:r w:rsidRPr="00DE2A63">
              <w:rPr>
                <w:sz w:val="20"/>
                <w:szCs w:val="20"/>
                <w:u w:val="single"/>
              </w:rPr>
              <w:t xml:space="preserve">0 </w:t>
            </w:r>
          </w:p>
        </w:tc>
        <w:tc>
          <w:tcPr>
            <w:tcW w:w="1691" w:type="dxa"/>
            <w:tcBorders>
              <w:top w:val="nil"/>
              <w:left w:val="nil"/>
              <w:bottom w:val="nil"/>
              <w:right w:val="nil"/>
            </w:tcBorders>
            <w:shd w:val="clear" w:color="auto" w:fill="auto"/>
            <w:noWrap/>
            <w:vAlign w:val="bottom"/>
            <w:hideMark/>
          </w:tcPr>
          <w:p w14:paraId="5B05CB15" w14:textId="77777777" w:rsidR="009616CB" w:rsidRPr="00DE2A63" w:rsidRDefault="009616CB" w:rsidP="009616CB">
            <w:pPr>
              <w:jc w:val="right"/>
              <w:rPr>
                <w:sz w:val="20"/>
                <w:szCs w:val="20"/>
                <w:u w:val="single"/>
              </w:rPr>
            </w:pPr>
            <w:r w:rsidRPr="00DE2A63">
              <w:rPr>
                <w:sz w:val="20"/>
                <w:szCs w:val="20"/>
                <w:u w:val="single"/>
              </w:rPr>
              <w:t xml:space="preserve">0 </w:t>
            </w:r>
          </w:p>
        </w:tc>
        <w:tc>
          <w:tcPr>
            <w:tcW w:w="1402" w:type="dxa"/>
            <w:tcBorders>
              <w:top w:val="nil"/>
              <w:left w:val="nil"/>
              <w:bottom w:val="nil"/>
              <w:right w:val="nil"/>
            </w:tcBorders>
            <w:shd w:val="clear" w:color="auto" w:fill="auto"/>
            <w:noWrap/>
            <w:vAlign w:val="bottom"/>
            <w:hideMark/>
          </w:tcPr>
          <w:p w14:paraId="084CCDC2" w14:textId="77777777" w:rsidR="009616CB" w:rsidRPr="00DE2A63" w:rsidRDefault="009616CB" w:rsidP="009616CB">
            <w:pPr>
              <w:jc w:val="right"/>
              <w:rPr>
                <w:sz w:val="20"/>
                <w:szCs w:val="20"/>
                <w:u w:val="single"/>
              </w:rPr>
            </w:pPr>
            <w:r w:rsidRPr="00DE2A63">
              <w:rPr>
                <w:sz w:val="20"/>
                <w:szCs w:val="20"/>
                <w:u w:val="single"/>
              </w:rPr>
              <w:t xml:space="preserve">0 </w:t>
            </w:r>
          </w:p>
        </w:tc>
        <w:tc>
          <w:tcPr>
            <w:tcW w:w="1287" w:type="dxa"/>
            <w:tcBorders>
              <w:top w:val="nil"/>
              <w:left w:val="nil"/>
              <w:bottom w:val="nil"/>
              <w:right w:val="nil"/>
            </w:tcBorders>
            <w:shd w:val="clear" w:color="auto" w:fill="auto"/>
            <w:noWrap/>
            <w:vAlign w:val="bottom"/>
            <w:hideMark/>
          </w:tcPr>
          <w:p w14:paraId="057E38E3" w14:textId="77777777" w:rsidR="009616CB" w:rsidRPr="00B84212" w:rsidRDefault="009616CB" w:rsidP="009616CB">
            <w:pPr>
              <w:jc w:val="right"/>
              <w:rPr>
                <w:sz w:val="20"/>
                <w:szCs w:val="20"/>
                <w:u w:val="single"/>
              </w:rPr>
            </w:pPr>
            <w:r w:rsidRPr="00B84212">
              <w:rPr>
                <w:sz w:val="20"/>
                <w:szCs w:val="20"/>
                <w:u w:val="single"/>
              </w:rPr>
              <w:t>0</w:t>
            </w:r>
          </w:p>
        </w:tc>
        <w:tc>
          <w:tcPr>
            <w:tcW w:w="2151" w:type="dxa"/>
            <w:tcBorders>
              <w:top w:val="nil"/>
              <w:left w:val="nil"/>
              <w:bottom w:val="nil"/>
              <w:right w:val="single" w:sz="8" w:space="0" w:color="auto"/>
            </w:tcBorders>
            <w:shd w:val="clear" w:color="auto" w:fill="auto"/>
            <w:noWrap/>
            <w:vAlign w:val="bottom"/>
            <w:hideMark/>
          </w:tcPr>
          <w:p w14:paraId="565912C9" w14:textId="77777777" w:rsidR="009616CB" w:rsidRPr="00B84212" w:rsidRDefault="009616CB" w:rsidP="009616CB">
            <w:pPr>
              <w:jc w:val="right"/>
              <w:rPr>
                <w:sz w:val="20"/>
                <w:szCs w:val="20"/>
                <w:u w:val="single"/>
              </w:rPr>
            </w:pPr>
            <w:r w:rsidRPr="00B84212">
              <w:rPr>
                <w:sz w:val="20"/>
                <w:szCs w:val="20"/>
                <w:u w:val="single"/>
              </w:rPr>
              <w:t xml:space="preserve">0 </w:t>
            </w:r>
          </w:p>
        </w:tc>
      </w:tr>
      <w:tr w:rsidR="009616CB" w:rsidRPr="00B84212" w14:paraId="4713F94F" w14:textId="77777777" w:rsidTr="009616CB">
        <w:trPr>
          <w:trHeight w:val="300"/>
          <w:jc w:val="center"/>
        </w:trPr>
        <w:tc>
          <w:tcPr>
            <w:tcW w:w="466" w:type="dxa"/>
            <w:tcBorders>
              <w:top w:val="nil"/>
              <w:left w:val="single" w:sz="8" w:space="0" w:color="auto"/>
              <w:bottom w:val="nil"/>
              <w:right w:val="nil"/>
            </w:tcBorders>
            <w:shd w:val="clear" w:color="auto" w:fill="auto"/>
            <w:noWrap/>
            <w:vAlign w:val="bottom"/>
            <w:hideMark/>
          </w:tcPr>
          <w:p w14:paraId="5AC9B5F1" w14:textId="77777777" w:rsidR="009616CB" w:rsidRPr="00B84212" w:rsidRDefault="009616CB" w:rsidP="009616CB">
            <w:pPr>
              <w:rPr>
                <w:color w:val="000000"/>
                <w:sz w:val="20"/>
                <w:szCs w:val="20"/>
              </w:rPr>
            </w:pPr>
            <w:r w:rsidRPr="00B84212">
              <w:rPr>
                <w:color w:val="000000"/>
                <w:sz w:val="20"/>
                <w:szCs w:val="20"/>
              </w:rPr>
              <w:t> </w:t>
            </w:r>
          </w:p>
        </w:tc>
        <w:tc>
          <w:tcPr>
            <w:tcW w:w="3439" w:type="dxa"/>
            <w:tcBorders>
              <w:top w:val="nil"/>
              <w:left w:val="nil"/>
              <w:bottom w:val="nil"/>
              <w:right w:val="nil"/>
            </w:tcBorders>
            <w:shd w:val="clear" w:color="auto" w:fill="auto"/>
            <w:noWrap/>
            <w:vAlign w:val="bottom"/>
            <w:hideMark/>
          </w:tcPr>
          <w:p w14:paraId="0755BB04" w14:textId="77777777" w:rsidR="009616CB" w:rsidRPr="00B84212" w:rsidRDefault="009616CB" w:rsidP="009616CB">
            <w:pPr>
              <w:rPr>
                <w:color w:val="000000"/>
                <w:sz w:val="20"/>
                <w:szCs w:val="20"/>
              </w:rPr>
            </w:pPr>
          </w:p>
        </w:tc>
        <w:tc>
          <w:tcPr>
            <w:tcW w:w="1690" w:type="dxa"/>
            <w:tcBorders>
              <w:top w:val="nil"/>
              <w:left w:val="nil"/>
              <w:bottom w:val="nil"/>
              <w:right w:val="nil"/>
            </w:tcBorders>
            <w:shd w:val="clear" w:color="auto" w:fill="auto"/>
            <w:noWrap/>
            <w:vAlign w:val="bottom"/>
            <w:hideMark/>
          </w:tcPr>
          <w:p w14:paraId="7EF44178" w14:textId="77777777" w:rsidR="009616CB" w:rsidRPr="00B84212" w:rsidRDefault="009616CB" w:rsidP="009616CB">
            <w:pPr>
              <w:rPr>
                <w:sz w:val="20"/>
                <w:szCs w:val="20"/>
                <w:u w:val="double"/>
              </w:rPr>
            </w:pPr>
          </w:p>
        </w:tc>
        <w:tc>
          <w:tcPr>
            <w:tcW w:w="1691" w:type="dxa"/>
            <w:tcBorders>
              <w:top w:val="nil"/>
              <w:left w:val="nil"/>
              <w:bottom w:val="nil"/>
              <w:right w:val="nil"/>
            </w:tcBorders>
            <w:shd w:val="clear" w:color="auto" w:fill="auto"/>
            <w:noWrap/>
            <w:vAlign w:val="bottom"/>
            <w:hideMark/>
          </w:tcPr>
          <w:p w14:paraId="7B80A18F" w14:textId="77777777" w:rsidR="009616CB" w:rsidRPr="00B84212" w:rsidRDefault="009616CB" w:rsidP="009616CB">
            <w:pPr>
              <w:rPr>
                <w:sz w:val="20"/>
                <w:szCs w:val="20"/>
                <w:u w:val="double"/>
              </w:rPr>
            </w:pPr>
          </w:p>
        </w:tc>
        <w:tc>
          <w:tcPr>
            <w:tcW w:w="1402" w:type="dxa"/>
            <w:tcBorders>
              <w:top w:val="nil"/>
              <w:left w:val="nil"/>
              <w:bottom w:val="nil"/>
              <w:right w:val="nil"/>
            </w:tcBorders>
            <w:shd w:val="clear" w:color="auto" w:fill="auto"/>
            <w:noWrap/>
            <w:vAlign w:val="bottom"/>
            <w:hideMark/>
          </w:tcPr>
          <w:p w14:paraId="10C2ECA7" w14:textId="77777777" w:rsidR="009616CB" w:rsidRPr="00B84212" w:rsidRDefault="009616CB" w:rsidP="009616CB">
            <w:pPr>
              <w:rPr>
                <w:sz w:val="20"/>
                <w:szCs w:val="20"/>
                <w:u w:val="double"/>
              </w:rPr>
            </w:pPr>
          </w:p>
        </w:tc>
        <w:tc>
          <w:tcPr>
            <w:tcW w:w="1287" w:type="dxa"/>
            <w:tcBorders>
              <w:top w:val="nil"/>
              <w:left w:val="nil"/>
              <w:bottom w:val="nil"/>
              <w:right w:val="nil"/>
            </w:tcBorders>
            <w:shd w:val="clear" w:color="auto" w:fill="auto"/>
            <w:noWrap/>
            <w:vAlign w:val="bottom"/>
            <w:hideMark/>
          </w:tcPr>
          <w:p w14:paraId="20FD8655" w14:textId="77777777" w:rsidR="009616CB" w:rsidRPr="00B84212" w:rsidRDefault="009616CB" w:rsidP="009616CB">
            <w:pPr>
              <w:rPr>
                <w:sz w:val="20"/>
                <w:szCs w:val="20"/>
              </w:rPr>
            </w:pPr>
          </w:p>
        </w:tc>
        <w:tc>
          <w:tcPr>
            <w:tcW w:w="2151" w:type="dxa"/>
            <w:tcBorders>
              <w:top w:val="nil"/>
              <w:left w:val="nil"/>
              <w:bottom w:val="nil"/>
              <w:right w:val="single" w:sz="8" w:space="0" w:color="auto"/>
            </w:tcBorders>
            <w:shd w:val="clear" w:color="auto" w:fill="auto"/>
            <w:noWrap/>
            <w:vAlign w:val="bottom"/>
            <w:hideMark/>
          </w:tcPr>
          <w:p w14:paraId="39171F2E" w14:textId="77777777" w:rsidR="009616CB" w:rsidRPr="00B84212" w:rsidRDefault="009616CB" w:rsidP="009616CB">
            <w:pPr>
              <w:rPr>
                <w:sz w:val="20"/>
                <w:szCs w:val="20"/>
              </w:rPr>
            </w:pPr>
            <w:r w:rsidRPr="00B84212">
              <w:rPr>
                <w:sz w:val="20"/>
                <w:szCs w:val="20"/>
              </w:rPr>
              <w:t> </w:t>
            </w:r>
          </w:p>
        </w:tc>
      </w:tr>
      <w:tr w:rsidR="009616CB" w:rsidRPr="00B84212" w14:paraId="354AA715" w14:textId="77777777" w:rsidTr="009616CB">
        <w:trPr>
          <w:trHeight w:val="300"/>
          <w:jc w:val="center"/>
        </w:trPr>
        <w:tc>
          <w:tcPr>
            <w:tcW w:w="466" w:type="dxa"/>
            <w:tcBorders>
              <w:top w:val="nil"/>
              <w:left w:val="single" w:sz="8" w:space="0" w:color="auto"/>
              <w:bottom w:val="nil"/>
              <w:right w:val="nil"/>
            </w:tcBorders>
            <w:shd w:val="clear" w:color="auto" w:fill="auto"/>
            <w:noWrap/>
            <w:vAlign w:val="bottom"/>
            <w:hideMark/>
          </w:tcPr>
          <w:p w14:paraId="64501E1E" w14:textId="77777777" w:rsidR="009616CB" w:rsidRPr="00B84212" w:rsidRDefault="009616CB" w:rsidP="009616CB">
            <w:pPr>
              <w:jc w:val="right"/>
              <w:rPr>
                <w:color w:val="000000"/>
                <w:sz w:val="20"/>
                <w:szCs w:val="20"/>
              </w:rPr>
            </w:pPr>
            <w:r w:rsidRPr="00B84212">
              <w:rPr>
                <w:color w:val="000000"/>
                <w:sz w:val="20"/>
                <w:szCs w:val="20"/>
              </w:rPr>
              <w:t>7.</w:t>
            </w:r>
          </w:p>
        </w:tc>
        <w:tc>
          <w:tcPr>
            <w:tcW w:w="3439" w:type="dxa"/>
            <w:tcBorders>
              <w:top w:val="nil"/>
              <w:left w:val="nil"/>
              <w:bottom w:val="nil"/>
              <w:right w:val="nil"/>
            </w:tcBorders>
            <w:shd w:val="clear" w:color="auto" w:fill="auto"/>
            <w:noWrap/>
            <w:vAlign w:val="bottom"/>
            <w:hideMark/>
          </w:tcPr>
          <w:p w14:paraId="70A05D9B" w14:textId="77777777" w:rsidR="009616CB" w:rsidRPr="00B84212" w:rsidRDefault="009616CB" w:rsidP="009616CB">
            <w:pPr>
              <w:rPr>
                <w:b/>
                <w:bCs/>
                <w:color w:val="000000"/>
                <w:sz w:val="20"/>
                <w:szCs w:val="20"/>
              </w:rPr>
            </w:pPr>
            <w:r w:rsidRPr="00B84212">
              <w:rPr>
                <w:b/>
                <w:bCs/>
                <w:color w:val="000000"/>
                <w:sz w:val="20"/>
                <w:szCs w:val="20"/>
              </w:rPr>
              <w:t xml:space="preserve">TOTAL OPERATING EXPENSES    </w:t>
            </w:r>
          </w:p>
        </w:tc>
        <w:tc>
          <w:tcPr>
            <w:tcW w:w="1690" w:type="dxa"/>
            <w:tcBorders>
              <w:top w:val="nil"/>
              <w:left w:val="nil"/>
              <w:bottom w:val="nil"/>
              <w:right w:val="nil"/>
            </w:tcBorders>
            <w:shd w:val="clear" w:color="auto" w:fill="auto"/>
            <w:noWrap/>
            <w:vAlign w:val="bottom"/>
            <w:hideMark/>
          </w:tcPr>
          <w:p w14:paraId="5333F50D" w14:textId="77777777" w:rsidR="009616CB" w:rsidRPr="00DE2A63" w:rsidRDefault="009616CB" w:rsidP="009616CB">
            <w:pPr>
              <w:jc w:val="right"/>
              <w:rPr>
                <w:sz w:val="20"/>
                <w:szCs w:val="20"/>
                <w:u w:val="single"/>
              </w:rPr>
            </w:pPr>
            <w:r w:rsidRPr="00DE2A63">
              <w:rPr>
                <w:sz w:val="20"/>
                <w:szCs w:val="20"/>
                <w:u w:val="single"/>
              </w:rPr>
              <w:t>$80,73</w:t>
            </w:r>
            <w:r>
              <w:rPr>
                <w:sz w:val="20"/>
                <w:szCs w:val="20"/>
                <w:u w:val="single"/>
              </w:rPr>
              <w:t>6</w:t>
            </w:r>
            <w:r w:rsidRPr="00DE2A63">
              <w:rPr>
                <w:sz w:val="20"/>
                <w:szCs w:val="20"/>
                <w:u w:val="single"/>
              </w:rPr>
              <w:t xml:space="preserve"> </w:t>
            </w:r>
          </w:p>
        </w:tc>
        <w:tc>
          <w:tcPr>
            <w:tcW w:w="1691" w:type="dxa"/>
            <w:tcBorders>
              <w:top w:val="nil"/>
              <w:left w:val="nil"/>
              <w:bottom w:val="nil"/>
              <w:right w:val="nil"/>
            </w:tcBorders>
            <w:shd w:val="clear" w:color="auto" w:fill="auto"/>
            <w:noWrap/>
            <w:vAlign w:val="bottom"/>
            <w:hideMark/>
          </w:tcPr>
          <w:p w14:paraId="0B4CC360" w14:textId="77777777" w:rsidR="009616CB" w:rsidRPr="00DE2A63" w:rsidRDefault="009616CB" w:rsidP="009616CB">
            <w:pPr>
              <w:jc w:val="right"/>
              <w:rPr>
                <w:sz w:val="20"/>
                <w:szCs w:val="20"/>
                <w:u w:val="single"/>
              </w:rPr>
            </w:pPr>
            <w:r w:rsidRPr="00DE2A63">
              <w:rPr>
                <w:sz w:val="20"/>
                <w:szCs w:val="20"/>
                <w:u w:val="single"/>
              </w:rPr>
              <w:t>$</w:t>
            </w:r>
            <w:r>
              <w:rPr>
                <w:sz w:val="20"/>
                <w:szCs w:val="20"/>
                <w:u w:val="single"/>
              </w:rPr>
              <w:t>4,233</w:t>
            </w:r>
          </w:p>
        </w:tc>
        <w:tc>
          <w:tcPr>
            <w:tcW w:w="1402" w:type="dxa"/>
            <w:tcBorders>
              <w:top w:val="nil"/>
              <w:left w:val="nil"/>
              <w:bottom w:val="nil"/>
              <w:right w:val="nil"/>
            </w:tcBorders>
            <w:shd w:val="clear" w:color="auto" w:fill="auto"/>
            <w:noWrap/>
            <w:vAlign w:val="bottom"/>
            <w:hideMark/>
          </w:tcPr>
          <w:p w14:paraId="1AEFF093" w14:textId="77777777" w:rsidR="009616CB" w:rsidRPr="00DE2A63" w:rsidRDefault="009616CB" w:rsidP="009616CB">
            <w:pPr>
              <w:jc w:val="right"/>
              <w:rPr>
                <w:sz w:val="20"/>
                <w:szCs w:val="20"/>
                <w:u w:val="single"/>
              </w:rPr>
            </w:pPr>
            <w:r w:rsidRPr="00DE2A63">
              <w:rPr>
                <w:sz w:val="20"/>
                <w:szCs w:val="20"/>
                <w:u w:val="single"/>
              </w:rPr>
              <w:t>$8</w:t>
            </w:r>
            <w:r>
              <w:rPr>
                <w:sz w:val="20"/>
                <w:szCs w:val="20"/>
                <w:u w:val="single"/>
              </w:rPr>
              <w:t>4,969</w:t>
            </w:r>
          </w:p>
        </w:tc>
        <w:tc>
          <w:tcPr>
            <w:tcW w:w="1287" w:type="dxa"/>
            <w:tcBorders>
              <w:top w:val="nil"/>
              <w:left w:val="nil"/>
              <w:bottom w:val="nil"/>
              <w:right w:val="nil"/>
            </w:tcBorders>
            <w:shd w:val="clear" w:color="auto" w:fill="auto"/>
            <w:noWrap/>
            <w:vAlign w:val="bottom"/>
            <w:hideMark/>
          </w:tcPr>
          <w:p w14:paraId="01ED01CF" w14:textId="77777777" w:rsidR="009616CB" w:rsidRPr="00DE2A63" w:rsidRDefault="009616CB" w:rsidP="009616CB">
            <w:pPr>
              <w:jc w:val="right"/>
              <w:rPr>
                <w:sz w:val="20"/>
                <w:szCs w:val="20"/>
                <w:u w:val="single"/>
              </w:rPr>
            </w:pPr>
            <w:r w:rsidRPr="00DE2A63">
              <w:rPr>
                <w:sz w:val="20"/>
                <w:szCs w:val="20"/>
                <w:u w:val="single"/>
              </w:rPr>
              <w:t>$</w:t>
            </w:r>
            <w:r>
              <w:rPr>
                <w:sz w:val="20"/>
                <w:szCs w:val="20"/>
                <w:u w:val="single"/>
              </w:rPr>
              <w:t>2,448</w:t>
            </w:r>
          </w:p>
        </w:tc>
        <w:tc>
          <w:tcPr>
            <w:tcW w:w="2151" w:type="dxa"/>
            <w:tcBorders>
              <w:top w:val="nil"/>
              <w:left w:val="nil"/>
              <w:bottom w:val="nil"/>
              <w:right w:val="single" w:sz="8" w:space="0" w:color="auto"/>
            </w:tcBorders>
            <w:shd w:val="clear" w:color="auto" w:fill="auto"/>
            <w:noWrap/>
            <w:vAlign w:val="bottom"/>
            <w:hideMark/>
          </w:tcPr>
          <w:p w14:paraId="7C6B23D5" w14:textId="77777777" w:rsidR="009616CB" w:rsidRPr="00B84212" w:rsidRDefault="009616CB" w:rsidP="009616CB">
            <w:pPr>
              <w:jc w:val="right"/>
              <w:rPr>
                <w:sz w:val="20"/>
                <w:szCs w:val="20"/>
                <w:u w:val="single"/>
              </w:rPr>
            </w:pPr>
            <w:r w:rsidRPr="00B84212">
              <w:rPr>
                <w:sz w:val="20"/>
                <w:szCs w:val="20"/>
                <w:u w:val="single"/>
              </w:rPr>
              <w:t>$8</w:t>
            </w:r>
            <w:r>
              <w:rPr>
                <w:sz w:val="20"/>
                <w:szCs w:val="20"/>
                <w:u w:val="single"/>
              </w:rPr>
              <w:t>7,417</w:t>
            </w:r>
          </w:p>
        </w:tc>
      </w:tr>
      <w:tr w:rsidR="009616CB" w:rsidRPr="00B84212" w14:paraId="3587F765" w14:textId="77777777" w:rsidTr="009616CB">
        <w:trPr>
          <w:trHeight w:val="300"/>
          <w:jc w:val="center"/>
        </w:trPr>
        <w:tc>
          <w:tcPr>
            <w:tcW w:w="466" w:type="dxa"/>
            <w:tcBorders>
              <w:top w:val="nil"/>
              <w:left w:val="single" w:sz="8" w:space="0" w:color="auto"/>
              <w:bottom w:val="nil"/>
              <w:right w:val="nil"/>
            </w:tcBorders>
            <w:shd w:val="clear" w:color="auto" w:fill="auto"/>
            <w:noWrap/>
            <w:vAlign w:val="bottom"/>
            <w:hideMark/>
          </w:tcPr>
          <w:p w14:paraId="0BF88F0C" w14:textId="77777777" w:rsidR="009616CB" w:rsidRPr="00B84212" w:rsidRDefault="009616CB" w:rsidP="009616CB">
            <w:pPr>
              <w:rPr>
                <w:color w:val="000000"/>
                <w:sz w:val="20"/>
                <w:szCs w:val="20"/>
              </w:rPr>
            </w:pPr>
            <w:r w:rsidRPr="00B84212">
              <w:rPr>
                <w:color w:val="000000"/>
                <w:sz w:val="20"/>
                <w:szCs w:val="20"/>
              </w:rPr>
              <w:t> </w:t>
            </w:r>
          </w:p>
        </w:tc>
        <w:tc>
          <w:tcPr>
            <w:tcW w:w="3439" w:type="dxa"/>
            <w:tcBorders>
              <w:top w:val="nil"/>
              <w:left w:val="nil"/>
              <w:bottom w:val="nil"/>
              <w:right w:val="nil"/>
            </w:tcBorders>
            <w:shd w:val="clear" w:color="auto" w:fill="auto"/>
            <w:noWrap/>
            <w:vAlign w:val="bottom"/>
            <w:hideMark/>
          </w:tcPr>
          <w:p w14:paraId="59947E99" w14:textId="77777777" w:rsidR="009616CB" w:rsidRPr="00B84212" w:rsidRDefault="009616CB" w:rsidP="009616CB">
            <w:pPr>
              <w:rPr>
                <w:color w:val="000000"/>
                <w:sz w:val="20"/>
                <w:szCs w:val="20"/>
              </w:rPr>
            </w:pPr>
          </w:p>
        </w:tc>
        <w:tc>
          <w:tcPr>
            <w:tcW w:w="1690" w:type="dxa"/>
            <w:tcBorders>
              <w:top w:val="nil"/>
              <w:left w:val="nil"/>
              <w:bottom w:val="nil"/>
              <w:right w:val="nil"/>
            </w:tcBorders>
            <w:shd w:val="clear" w:color="auto" w:fill="auto"/>
            <w:noWrap/>
            <w:vAlign w:val="bottom"/>
            <w:hideMark/>
          </w:tcPr>
          <w:p w14:paraId="30C9991C" w14:textId="77777777" w:rsidR="009616CB" w:rsidRPr="00B84212" w:rsidRDefault="009616CB" w:rsidP="009616CB">
            <w:pPr>
              <w:rPr>
                <w:sz w:val="20"/>
                <w:szCs w:val="20"/>
                <w:u w:val="double"/>
              </w:rPr>
            </w:pPr>
          </w:p>
        </w:tc>
        <w:tc>
          <w:tcPr>
            <w:tcW w:w="1691" w:type="dxa"/>
            <w:tcBorders>
              <w:top w:val="nil"/>
              <w:left w:val="nil"/>
              <w:bottom w:val="nil"/>
              <w:right w:val="nil"/>
            </w:tcBorders>
            <w:shd w:val="clear" w:color="auto" w:fill="auto"/>
            <w:noWrap/>
            <w:vAlign w:val="bottom"/>
            <w:hideMark/>
          </w:tcPr>
          <w:p w14:paraId="4103A5BB" w14:textId="77777777" w:rsidR="009616CB" w:rsidRPr="00B84212" w:rsidRDefault="009616CB" w:rsidP="009616CB">
            <w:pPr>
              <w:rPr>
                <w:sz w:val="20"/>
                <w:szCs w:val="20"/>
                <w:u w:val="double"/>
              </w:rPr>
            </w:pPr>
          </w:p>
        </w:tc>
        <w:tc>
          <w:tcPr>
            <w:tcW w:w="1402" w:type="dxa"/>
            <w:tcBorders>
              <w:top w:val="nil"/>
              <w:left w:val="nil"/>
              <w:bottom w:val="nil"/>
              <w:right w:val="nil"/>
            </w:tcBorders>
            <w:shd w:val="clear" w:color="auto" w:fill="auto"/>
            <w:noWrap/>
            <w:vAlign w:val="bottom"/>
            <w:hideMark/>
          </w:tcPr>
          <w:p w14:paraId="43F9D99D" w14:textId="77777777" w:rsidR="009616CB" w:rsidRPr="00B84212" w:rsidRDefault="009616CB" w:rsidP="009616CB">
            <w:pPr>
              <w:rPr>
                <w:sz w:val="20"/>
                <w:szCs w:val="20"/>
                <w:u w:val="double"/>
              </w:rPr>
            </w:pPr>
          </w:p>
        </w:tc>
        <w:tc>
          <w:tcPr>
            <w:tcW w:w="1287" w:type="dxa"/>
            <w:tcBorders>
              <w:top w:val="nil"/>
              <w:left w:val="nil"/>
              <w:bottom w:val="nil"/>
              <w:right w:val="nil"/>
            </w:tcBorders>
            <w:shd w:val="clear" w:color="auto" w:fill="auto"/>
            <w:noWrap/>
            <w:vAlign w:val="bottom"/>
            <w:hideMark/>
          </w:tcPr>
          <w:p w14:paraId="631E3E57" w14:textId="77777777" w:rsidR="009616CB" w:rsidRPr="00B84212" w:rsidRDefault="009616CB" w:rsidP="009616CB">
            <w:pPr>
              <w:rPr>
                <w:sz w:val="20"/>
                <w:szCs w:val="20"/>
              </w:rPr>
            </w:pPr>
          </w:p>
        </w:tc>
        <w:tc>
          <w:tcPr>
            <w:tcW w:w="2151" w:type="dxa"/>
            <w:tcBorders>
              <w:top w:val="nil"/>
              <w:left w:val="nil"/>
              <w:bottom w:val="nil"/>
              <w:right w:val="single" w:sz="8" w:space="0" w:color="auto"/>
            </w:tcBorders>
            <w:shd w:val="clear" w:color="auto" w:fill="auto"/>
            <w:noWrap/>
            <w:vAlign w:val="bottom"/>
            <w:hideMark/>
          </w:tcPr>
          <w:p w14:paraId="1A4A7570" w14:textId="77777777" w:rsidR="009616CB" w:rsidRPr="00B84212" w:rsidRDefault="009616CB" w:rsidP="009616CB">
            <w:pPr>
              <w:rPr>
                <w:sz w:val="20"/>
                <w:szCs w:val="20"/>
              </w:rPr>
            </w:pPr>
            <w:r w:rsidRPr="00B84212">
              <w:rPr>
                <w:sz w:val="20"/>
                <w:szCs w:val="20"/>
              </w:rPr>
              <w:t> </w:t>
            </w:r>
          </w:p>
        </w:tc>
      </w:tr>
      <w:tr w:rsidR="009616CB" w:rsidRPr="00B84212" w14:paraId="1BD54D68" w14:textId="77777777" w:rsidTr="009616CB">
        <w:trPr>
          <w:trHeight w:val="300"/>
          <w:jc w:val="center"/>
        </w:trPr>
        <w:tc>
          <w:tcPr>
            <w:tcW w:w="466" w:type="dxa"/>
            <w:tcBorders>
              <w:top w:val="nil"/>
              <w:left w:val="single" w:sz="8" w:space="0" w:color="auto"/>
              <w:bottom w:val="nil"/>
              <w:right w:val="nil"/>
            </w:tcBorders>
            <w:shd w:val="clear" w:color="auto" w:fill="auto"/>
            <w:noWrap/>
            <w:vAlign w:val="bottom"/>
            <w:hideMark/>
          </w:tcPr>
          <w:p w14:paraId="3C2AAFE3" w14:textId="77777777" w:rsidR="009616CB" w:rsidRPr="00B84212" w:rsidRDefault="009616CB" w:rsidP="009616CB">
            <w:pPr>
              <w:jc w:val="right"/>
              <w:rPr>
                <w:color w:val="000000"/>
                <w:sz w:val="20"/>
                <w:szCs w:val="20"/>
              </w:rPr>
            </w:pPr>
            <w:r w:rsidRPr="00B84212">
              <w:rPr>
                <w:color w:val="000000"/>
                <w:sz w:val="20"/>
                <w:szCs w:val="20"/>
              </w:rPr>
              <w:t>8.</w:t>
            </w:r>
          </w:p>
        </w:tc>
        <w:tc>
          <w:tcPr>
            <w:tcW w:w="3439" w:type="dxa"/>
            <w:tcBorders>
              <w:top w:val="nil"/>
              <w:left w:val="nil"/>
              <w:bottom w:val="nil"/>
              <w:right w:val="nil"/>
            </w:tcBorders>
            <w:shd w:val="clear" w:color="auto" w:fill="auto"/>
            <w:noWrap/>
            <w:vAlign w:val="bottom"/>
            <w:hideMark/>
          </w:tcPr>
          <w:p w14:paraId="4CAA7B45" w14:textId="77777777" w:rsidR="009616CB" w:rsidRPr="00B84212" w:rsidRDefault="009616CB" w:rsidP="009616CB">
            <w:pPr>
              <w:rPr>
                <w:b/>
                <w:bCs/>
                <w:color w:val="000000"/>
                <w:sz w:val="20"/>
                <w:szCs w:val="20"/>
              </w:rPr>
            </w:pPr>
            <w:r w:rsidRPr="00B84212">
              <w:rPr>
                <w:b/>
                <w:bCs/>
                <w:color w:val="000000"/>
                <w:sz w:val="20"/>
                <w:szCs w:val="20"/>
              </w:rPr>
              <w:t xml:space="preserve">OPERATING INCOME/(LOSS)        </w:t>
            </w:r>
          </w:p>
        </w:tc>
        <w:tc>
          <w:tcPr>
            <w:tcW w:w="1690" w:type="dxa"/>
            <w:tcBorders>
              <w:top w:val="nil"/>
              <w:left w:val="nil"/>
              <w:bottom w:val="nil"/>
              <w:right w:val="nil"/>
            </w:tcBorders>
            <w:shd w:val="clear" w:color="auto" w:fill="auto"/>
            <w:noWrap/>
            <w:vAlign w:val="bottom"/>
            <w:hideMark/>
          </w:tcPr>
          <w:p w14:paraId="4347DDCF" w14:textId="77777777" w:rsidR="009616CB" w:rsidRPr="00B84212" w:rsidRDefault="009616CB" w:rsidP="009616CB">
            <w:pPr>
              <w:jc w:val="right"/>
              <w:rPr>
                <w:sz w:val="20"/>
                <w:szCs w:val="20"/>
                <w:u w:val="double"/>
              </w:rPr>
            </w:pPr>
            <w:r w:rsidRPr="00B84212">
              <w:rPr>
                <w:sz w:val="20"/>
                <w:szCs w:val="20"/>
                <w:u w:val="double"/>
              </w:rPr>
              <w:t>($14,14</w:t>
            </w:r>
            <w:r>
              <w:rPr>
                <w:sz w:val="20"/>
                <w:szCs w:val="20"/>
                <w:u w:val="double"/>
              </w:rPr>
              <w:t>1</w:t>
            </w:r>
            <w:r w:rsidRPr="00B84212">
              <w:rPr>
                <w:sz w:val="20"/>
                <w:szCs w:val="20"/>
                <w:u w:val="double"/>
              </w:rPr>
              <w:t>)</w:t>
            </w:r>
          </w:p>
        </w:tc>
        <w:tc>
          <w:tcPr>
            <w:tcW w:w="1691" w:type="dxa"/>
            <w:tcBorders>
              <w:top w:val="nil"/>
              <w:left w:val="nil"/>
              <w:bottom w:val="nil"/>
              <w:right w:val="nil"/>
            </w:tcBorders>
            <w:shd w:val="clear" w:color="auto" w:fill="auto"/>
            <w:noWrap/>
            <w:vAlign w:val="bottom"/>
            <w:hideMark/>
          </w:tcPr>
          <w:p w14:paraId="37151C93" w14:textId="77777777" w:rsidR="009616CB" w:rsidRPr="00B84212" w:rsidRDefault="009616CB" w:rsidP="009616CB">
            <w:pPr>
              <w:rPr>
                <w:sz w:val="20"/>
                <w:szCs w:val="20"/>
                <w:u w:val="double"/>
              </w:rPr>
            </w:pPr>
          </w:p>
        </w:tc>
        <w:tc>
          <w:tcPr>
            <w:tcW w:w="1402" w:type="dxa"/>
            <w:tcBorders>
              <w:top w:val="nil"/>
              <w:left w:val="nil"/>
              <w:bottom w:val="nil"/>
              <w:right w:val="nil"/>
            </w:tcBorders>
            <w:shd w:val="clear" w:color="auto" w:fill="auto"/>
            <w:noWrap/>
            <w:vAlign w:val="bottom"/>
            <w:hideMark/>
          </w:tcPr>
          <w:p w14:paraId="3FF60D18" w14:textId="77777777" w:rsidR="009616CB" w:rsidRPr="00B84212" w:rsidRDefault="009616CB" w:rsidP="009616CB">
            <w:pPr>
              <w:jc w:val="right"/>
              <w:rPr>
                <w:sz w:val="20"/>
                <w:szCs w:val="20"/>
                <w:u w:val="double"/>
              </w:rPr>
            </w:pPr>
            <w:r w:rsidRPr="00B84212">
              <w:rPr>
                <w:sz w:val="20"/>
                <w:szCs w:val="20"/>
                <w:u w:val="double"/>
              </w:rPr>
              <w:t>($1</w:t>
            </w:r>
            <w:r>
              <w:rPr>
                <w:sz w:val="20"/>
                <w:szCs w:val="20"/>
                <w:u w:val="double"/>
              </w:rPr>
              <w:t>9,311</w:t>
            </w:r>
            <w:r w:rsidRPr="00B84212">
              <w:rPr>
                <w:sz w:val="20"/>
                <w:szCs w:val="20"/>
                <w:u w:val="double"/>
              </w:rPr>
              <w:t>)</w:t>
            </w:r>
          </w:p>
        </w:tc>
        <w:tc>
          <w:tcPr>
            <w:tcW w:w="1287" w:type="dxa"/>
            <w:tcBorders>
              <w:top w:val="nil"/>
              <w:left w:val="nil"/>
              <w:bottom w:val="nil"/>
              <w:right w:val="nil"/>
            </w:tcBorders>
            <w:shd w:val="clear" w:color="auto" w:fill="auto"/>
            <w:noWrap/>
            <w:vAlign w:val="bottom"/>
            <w:hideMark/>
          </w:tcPr>
          <w:p w14:paraId="5D611574" w14:textId="77777777" w:rsidR="009616CB" w:rsidRPr="00B84212" w:rsidRDefault="009616CB" w:rsidP="009616CB">
            <w:pPr>
              <w:rPr>
                <w:sz w:val="20"/>
                <w:szCs w:val="20"/>
                <w:u w:val="double"/>
              </w:rPr>
            </w:pPr>
          </w:p>
        </w:tc>
        <w:tc>
          <w:tcPr>
            <w:tcW w:w="2151" w:type="dxa"/>
            <w:tcBorders>
              <w:top w:val="nil"/>
              <w:left w:val="nil"/>
              <w:bottom w:val="nil"/>
              <w:right w:val="single" w:sz="8" w:space="0" w:color="auto"/>
            </w:tcBorders>
            <w:shd w:val="clear" w:color="auto" w:fill="auto"/>
            <w:noWrap/>
            <w:vAlign w:val="bottom"/>
            <w:hideMark/>
          </w:tcPr>
          <w:p w14:paraId="7080E4C5" w14:textId="77777777" w:rsidR="009616CB" w:rsidRPr="00B84212" w:rsidRDefault="009616CB" w:rsidP="009616CB">
            <w:pPr>
              <w:jc w:val="right"/>
              <w:rPr>
                <w:sz w:val="20"/>
                <w:szCs w:val="20"/>
                <w:u w:val="double"/>
              </w:rPr>
            </w:pPr>
            <w:r w:rsidRPr="00B84212">
              <w:rPr>
                <w:sz w:val="20"/>
                <w:szCs w:val="20"/>
                <w:u w:val="double"/>
              </w:rPr>
              <w:t>$1</w:t>
            </w:r>
            <w:r>
              <w:rPr>
                <w:sz w:val="20"/>
                <w:szCs w:val="20"/>
                <w:u w:val="double"/>
              </w:rPr>
              <w:t>1,808</w:t>
            </w:r>
            <w:r w:rsidRPr="00B84212">
              <w:rPr>
                <w:sz w:val="20"/>
                <w:szCs w:val="20"/>
                <w:u w:val="double"/>
              </w:rPr>
              <w:t xml:space="preserve"> </w:t>
            </w:r>
          </w:p>
        </w:tc>
      </w:tr>
      <w:tr w:rsidR="009616CB" w:rsidRPr="00B84212" w14:paraId="6C5385E4" w14:textId="77777777" w:rsidTr="009616CB">
        <w:trPr>
          <w:trHeight w:val="300"/>
          <w:jc w:val="center"/>
        </w:trPr>
        <w:tc>
          <w:tcPr>
            <w:tcW w:w="466" w:type="dxa"/>
            <w:tcBorders>
              <w:top w:val="nil"/>
              <w:left w:val="single" w:sz="8" w:space="0" w:color="auto"/>
              <w:bottom w:val="nil"/>
              <w:right w:val="nil"/>
            </w:tcBorders>
            <w:shd w:val="clear" w:color="auto" w:fill="auto"/>
            <w:noWrap/>
            <w:vAlign w:val="bottom"/>
            <w:hideMark/>
          </w:tcPr>
          <w:p w14:paraId="610761BA" w14:textId="77777777" w:rsidR="009616CB" w:rsidRPr="00B84212" w:rsidRDefault="009616CB" w:rsidP="009616CB">
            <w:pPr>
              <w:rPr>
                <w:color w:val="000000"/>
                <w:sz w:val="20"/>
                <w:szCs w:val="20"/>
              </w:rPr>
            </w:pPr>
            <w:r w:rsidRPr="00B84212">
              <w:rPr>
                <w:color w:val="000000"/>
                <w:sz w:val="20"/>
                <w:szCs w:val="20"/>
              </w:rPr>
              <w:t> </w:t>
            </w:r>
          </w:p>
        </w:tc>
        <w:tc>
          <w:tcPr>
            <w:tcW w:w="3439" w:type="dxa"/>
            <w:tcBorders>
              <w:top w:val="nil"/>
              <w:left w:val="nil"/>
              <w:bottom w:val="nil"/>
              <w:right w:val="nil"/>
            </w:tcBorders>
            <w:shd w:val="clear" w:color="auto" w:fill="auto"/>
            <w:noWrap/>
            <w:vAlign w:val="bottom"/>
            <w:hideMark/>
          </w:tcPr>
          <w:p w14:paraId="733CF954" w14:textId="77777777" w:rsidR="009616CB" w:rsidRPr="00B84212" w:rsidRDefault="009616CB" w:rsidP="009616CB">
            <w:pPr>
              <w:rPr>
                <w:color w:val="000000"/>
                <w:sz w:val="20"/>
                <w:szCs w:val="20"/>
              </w:rPr>
            </w:pPr>
          </w:p>
        </w:tc>
        <w:tc>
          <w:tcPr>
            <w:tcW w:w="1690" w:type="dxa"/>
            <w:tcBorders>
              <w:top w:val="nil"/>
              <w:left w:val="nil"/>
              <w:bottom w:val="nil"/>
              <w:right w:val="nil"/>
            </w:tcBorders>
            <w:shd w:val="clear" w:color="auto" w:fill="auto"/>
            <w:noWrap/>
            <w:vAlign w:val="bottom"/>
            <w:hideMark/>
          </w:tcPr>
          <w:p w14:paraId="053606C7" w14:textId="77777777" w:rsidR="009616CB" w:rsidRPr="00B84212" w:rsidRDefault="009616CB" w:rsidP="009616CB">
            <w:pPr>
              <w:rPr>
                <w:sz w:val="20"/>
                <w:szCs w:val="20"/>
                <w:u w:val="double"/>
              </w:rPr>
            </w:pPr>
          </w:p>
        </w:tc>
        <w:tc>
          <w:tcPr>
            <w:tcW w:w="1691" w:type="dxa"/>
            <w:tcBorders>
              <w:top w:val="nil"/>
              <w:left w:val="nil"/>
              <w:bottom w:val="nil"/>
              <w:right w:val="nil"/>
            </w:tcBorders>
            <w:shd w:val="clear" w:color="auto" w:fill="auto"/>
            <w:noWrap/>
            <w:vAlign w:val="bottom"/>
            <w:hideMark/>
          </w:tcPr>
          <w:p w14:paraId="04AEAC21" w14:textId="77777777" w:rsidR="009616CB" w:rsidRPr="00B84212" w:rsidRDefault="009616CB" w:rsidP="009616CB">
            <w:pPr>
              <w:rPr>
                <w:sz w:val="20"/>
                <w:szCs w:val="20"/>
                <w:u w:val="double"/>
              </w:rPr>
            </w:pPr>
          </w:p>
        </w:tc>
        <w:tc>
          <w:tcPr>
            <w:tcW w:w="1402" w:type="dxa"/>
            <w:tcBorders>
              <w:top w:val="nil"/>
              <w:left w:val="nil"/>
              <w:bottom w:val="nil"/>
              <w:right w:val="nil"/>
            </w:tcBorders>
            <w:shd w:val="clear" w:color="auto" w:fill="auto"/>
            <w:noWrap/>
            <w:vAlign w:val="bottom"/>
            <w:hideMark/>
          </w:tcPr>
          <w:p w14:paraId="3C0E2B6E" w14:textId="77777777" w:rsidR="009616CB" w:rsidRPr="00B84212" w:rsidRDefault="009616CB" w:rsidP="009616CB">
            <w:pPr>
              <w:rPr>
                <w:sz w:val="20"/>
                <w:szCs w:val="20"/>
                <w:u w:val="double"/>
              </w:rPr>
            </w:pPr>
          </w:p>
        </w:tc>
        <w:tc>
          <w:tcPr>
            <w:tcW w:w="1287" w:type="dxa"/>
            <w:tcBorders>
              <w:top w:val="nil"/>
              <w:left w:val="nil"/>
              <w:bottom w:val="nil"/>
              <w:right w:val="nil"/>
            </w:tcBorders>
            <w:shd w:val="clear" w:color="auto" w:fill="auto"/>
            <w:noWrap/>
            <w:vAlign w:val="bottom"/>
            <w:hideMark/>
          </w:tcPr>
          <w:p w14:paraId="06A4F2B5" w14:textId="77777777" w:rsidR="009616CB" w:rsidRPr="00B84212" w:rsidRDefault="009616CB" w:rsidP="009616CB">
            <w:pPr>
              <w:rPr>
                <w:sz w:val="20"/>
                <w:szCs w:val="20"/>
              </w:rPr>
            </w:pPr>
          </w:p>
        </w:tc>
        <w:tc>
          <w:tcPr>
            <w:tcW w:w="2151" w:type="dxa"/>
            <w:tcBorders>
              <w:top w:val="nil"/>
              <w:left w:val="nil"/>
              <w:bottom w:val="nil"/>
              <w:right w:val="single" w:sz="8" w:space="0" w:color="auto"/>
            </w:tcBorders>
            <w:shd w:val="clear" w:color="auto" w:fill="auto"/>
            <w:noWrap/>
            <w:vAlign w:val="bottom"/>
            <w:hideMark/>
          </w:tcPr>
          <w:p w14:paraId="00FFB1C5" w14:textId="77777777" w:rsidR="009616CB" w:rsidRPr="00B84212" w:rsidRDefault="009616CB" w:rsidP="009616CB">
            <w:pPr>
              <w:rPr>
                <w:sz w:val="20"/>
                <w:szCs w:val="20"/>
              </w:rPr>
            </w:pPr>
            <w:r w:rsidRPr="00B84212">
              <w:rPr>
                <w:sz w:val="20"/>
                <w:szCs w:val="20"/>
              </w:rPr>
              <w:t> </w:t>
            </w:r>
          </w:p>
        </w:tc>
      </w:tr>
      <w:tr w:rsidR="009616CB" w:rsidRPr="00B84212" w14:paraId="50402588" w14:textId="77777777" w:rsidTr="009616CB">
        <w:trPr>
          <w:trHeight w:val="300"/>
          <w:jc w:val="center"/>
        </w:trPr>
        <w:tc>
          <w:tcPr>
            <w:tcW w:w="466" w:type="dxa"/>
            <w:tcBorders>
              <w:top w:val="nil"/>
              <w:left w:val="single" w:sz="8" w:space="0" w:color="auto"/>
              <w:bottom w:val="nil"/>
              <w:right w:val="nil"/>
            </w:tcBorders>
            <w:shd w:val="clear" w:color="auto" w:fill="auto"/>
            <w:noWrap/>
            <w:vAlign w:val="bottom"/>
            <w:hideMark/>
          </w:tcPr>
          <w:p w14:paraId="5B4465ED" w14:textId="77777777" w:rsidR="009616CB" w:rsidRPr="00B84212" w:rsidRDefault="009616CB" w:rsidP="009616CB">
            <w:pPr>
              <w:jc w:val="right"/>
              <w:rPr>
                <w:color w:val="000000"/>
                <w:sz w:val="20"/>
                <w:szCs w:val="20"/>
              </w:rPr>
            </w:pPr>
            <w:r w:rsidRPr="00B84212">
              <w:rPr>
                <w:color w:val="000000"/>
                <w:sz w:val="20"/>
                <w:szCs w:val="20"/>
              </w:rPr>
              <w:t>9.</w:t>
            </w:r>
          </w:p>
        </w:tc>
        <w:tc>
          <w:tcPr>
            <w:tcW w:w="3439" w:type="dxa"/>
            <w:tcBorders>
              <w:top w:val="nil"/>
              <w:left w:val="nil"/>
              <w:bottom w:val="nil"/>
              <w:right w:val="nil"/>
            </w:tcBorders>
            <w:shd w:val="clear" w:color="auto" w:fill="auto"/>
            <w:noWrap/>
            <w:vAlign w:val="bottom"/>
            <w:hideMark/>
          </w:tcPr>
          <w:p w14:paraId="6A072244" w14:textId="77777777" w:rsidR="009616CB" w:rsidRPr="00B84212" w:rsidRDefault="009616CB" w:rsidP="009616CB">
            <w:pPr>
              <w:rPr>
                <w:b/>
                <w:bCs/>
                <w:color w:val="000000"/>
                <w:sz w:val="20"/>
                <w:szCs w:val="20"/>
              </w:rPr>
            </w:pPr>
            <w:r w:rsidRPr="00B84212">
              <w:rPr>
                <w:b/>
                <w:bCs/>
                <w:color w:val="000000"/>
                <w:sz w:val="20"/>
                <w:szCs w:val="20"/>
              </w:rPr>
              <w:t xml:space="preserve">WASTEWATER RATE BASE           </w:t>
            </w:r>
          </w:p>
        </w:tc>
        <w:tc>
          <w:tcPr>
            <w:tcW w:w="1690" w:type="dxa"/>
            <w:tcBorders>
              <w:top w:val="nil"/>
              <w:left w:val="nil"/>
              <w:bottom w:val="nil"/>
              <w:right w:val="nil"/>
            </w:tcBorders>
            <w:shd w:val="clear" w:color="auto" w:fill="auto"/>
            <w:noWrap/>
            <w:vAlign w:val="bottom"/>
            <w:hideMark/>
          </w:tcPr>
          <w:p w14:paraId="2EBA7D7F" w14:textId="77777777" w:rsidR="009616CB" w:rsidRPr="00B84212" w:rsidRDefault="009616CB" w:rsidP="009616CB">
            <w:pPr>
              <w:jc w:val="right"/>
              <w:rPr>
                <w:sz w:val="20"/>
                <w:szCs w:val="20"/>
                <w:u w:val="double"/>
              </w:rPr>
            </w:pPr>
            <w:r w:rsidRPr="00B84212">
              <w:rPr>
                <w:sz w:val="20"/>
                <w:szCs w:val="20"/>
                <w:u w:val="double"/>
              </w:rPr>
              <w:t>$1</w:t>
            </w:r>
            <w:r>
              <w:rPr>
                <w:sz w:val="20"/>
                <w:szCs w:val="20"/>
                <w:u w:val="double"/>
              </w:rPr>
              <w:t>35,241</w:t>
            </w:r>
            <w:r w:rsidRPr="00B84212">
              <w:rPr>
                <w:sz w:val="20"/>
                <w:szCs w:val="20"/>
                <w:u w:val="double"/>
              </w:rPr>
              <w:t xml:space="preserve"> </w:t>
            </w:r>
          </w:p>
        </w:tc>
        <w:tc>
          <w:tcPr>
            <w:tcW w:w="1691" w:type="dxa"/>
            <w:tcBorders>
              <w:top w:val="nil"/>
              <w:left w:val="nil"/>
              <w:bottom w:val="nil"/>
              <w:right w:val="nil"/>
            </w:tcBorders>
            <w:shd w:val="clear" w:color="auto" w:fill="auto"/>
            <w:noWrap/>
            <w:vAlign w:val="bottom"/>
            <w:hideMark/>
          </w:tcPr>
          <w:p w14:paraId="436D2F1A" w14:textId="77777777" w:rsidR="009616CB" w:rsidRPr="00B84212" w:rsidRDefault="009616CB" w:rsidP="009616CB">
            <w:pPr>
              <w:rPr>
                <w:sz w:val="20"/>
                <w:szCs w:val="20"/>
                <w:u w:val="double"/>
              </w:rPr>
            </w:pPr>
          </w:p>
        </w:tc>
        <w:tc>
          <w:tcPr>
            <w:tcW w:w="1402" w:type="dxa"/>
            <w:tcBorders>
              <w:top w:val="nil"/>
              <w:left w:val="nil"/>
              <w:bottom w:val="nil"/>
              <w:right w:val="nil"/>
            </w:tcBorders>
            <w:shd w:val="clear" w:color="auto" w:fill="auto"/>
            <w:noWrap/>
            <w:vAlign w:val="bottom"/>
            <w:hideMark/>
          </w:tcPr>
          <w:p w14:paraId="4EB4DA9A" w14:textId="77777777" w:rsidR="009616CB" w:rsidRPr="00B84212" w:rsidRDefault="009616CB" w:rsidP="009616CB">
            <w:pPr>
              <w:jc w:val="right"/>
              <w:rPr>
                <w:sz w:val="20"/>
                <w:szCs w:val="20"/>
                <w:u w:val="double"/>
              </w:rPr>
            </w:pPr>
            <w:r w:rsidRPr="00B84212">
              <w:rPr>
                <w:sz w:val="20"/>
                <w:szCs w:val="20"/>
                <w:u w:val="double"/>
              </w:rPr>
              <w:t>$1</w:t>
            </w:r>
            <w:r>
              <w:rPr>
                <w:sz w:val="20"/>
                <w:szCs w:val="20"/>
                <w:u w:val="double"/>
              </w:rPr>
              <w:t>50,423</w:t>
            </w:r>
            <w:r w:rsidRPr="00B84212">
              <w:rPr>
                <w:sz w:val="20"/>
                <w:szCs w:val="20"/>
                <w:u w:val="double"/>
              </w:rPr>
              <w:t xml:space="preserve"> </w:t>
            </w:r>
          </w:p>
        </w:tc>
        <w:tc>
          <w:tcPr>
            <w:tcW w:w="1287" w:type="dxa"/>
            <w:tcBorders>
              <w:top w:val="nil"/>
              <w:left w:val="nil"/>
              <w:bottom w:val="nil"/>
              <w:right w:val="nil"/>
            </w:tcBorders>
            <w:shd w:val="clear" w:color="auto" w:fill="auto"/>
            <w:noWrap/>
            <w:vAlign w:val="bottom"/>
            <w:hideMark/>
          </w:tcPr>
          <w:p w14:paraId="0B331DD7" w14:textId="77777777" w:rsidR="009616CB" w:rsidRPr="00B84212" w:rsidRDefault="009616CB" w:rsidP="009616CB">
            <w:pPr>
              <w:rPr>
                <w:sz w:val="20"/>
                <w:szCs w:val="20"/>
                <w:u w:val="double"/>
              </w:rPr>
            </w:pPr>
          </w:p>
        </w:tc>
        <w:tc>
          <w:tcPr>
            <w:tcW w:w="2151" w:type="dxa"/>
            <w:tcBorders>
              <w:top w:val="nil"/>
              <w:left w:val="nil"/>
              <w:bottom w:val="nil"/>
              <w:right w:val="single" w:sz="8" w:space="0" w:color="auto"/>
            </w:tcBorders>
            <w:shd w:val="clear" w:color="auto" w:fill="auto"/>
            <w:noWrap/>
            <w:vAlign w:val="bottom"/>
            <w:hideMark/>
          </w:tcPr>
          <w:p w14:paraId="430C770E" w14:textId="77777777" w:rsidR="009616CB" w:rsidRPr="00B84212" w:rsidRDefault="009616CB" w:rsidP="009616CB">
            <w:pPr>
              <w:jc w:val="right"/>
              <w:rPr>
                <w:sz w:val="20"/>
                <w:szCs w:val="20"/>
                <w:u w:val="double"/>
              </w:rPr>
            </w:pPr>
            <w:r w:rsidRPr="00B84212">
              <w:rPr>
                <w:sz w:val="20"/>
                <w:szCs w:val="20"/>
                <w:u w:val="double"/>
              </w:rPr>
              <w:t>$1</w:t>
            </w:r>
            <w:r>
              <w:rPr>
                <w:sz w:val="20"/>
                <w:szCs w:val="20"/>
                <w:u w:val="double"/>
              </w:rPr>
              <w:t>50,423</w:t>
            </w:r>
            <w:r w:rsidRPr="00B84212">
              <w:rPr>
                <w:sz w:val="20"/>
                <w:szCs w:val="20"/>
                <w:u w:val="double"/>
              </w:rPr>
              <w:t xml:space="preserve"> </w:t>
            </w:r>
          </w:p>
        </w:tc>
      </w:tr>
      <w:tr w:rsidR="009616CB" w:rsidRPr="00B84212" w14:paraId="6B74FFE4" w14:textId="77777777" w:rsidTr="009616CB">
        <w:trPr>
          <w:trHeight w:val="300"/>
          <w:jc w:val="center"/>
        </w:trPr>
        <w:tc>
          <w:tcPr>
            <w:tcW w:w="466" w:type="dxa"/>
            <w:tcBorders>
              <w:top w:val="nil"/>
              <w:left w:val="single" w:sz="8" w:space="0" w:color="auto"/>
              <w:bottom w:val="nil"/>
              <w:right w:val="nil"/>
            </w:tcBorders>
            <w:shd w:val="clear" w:color="auto" w:fill="auto"/>
            <w:noWrap/>
            <w:vAlign w:val="bottom"/>
            <w:hideMark/>
          </w:tcPr>
          <w:p w14:paraId="47ECBD41" w14:textId="77777777" w:rsidR="009616CB" w:rsidRPr="00B84212" w:rsidRDefault="009616CB" w:rsidP="009616CB">
            <w:pPr>
              <w:rPr>
                <w:color w:val="000000"/>
                <w:sz w:val="20"/>
                <w:szCs w:val="20"/>
              </w:rPr>
            </w:pPr>
            <w:r w:rsidRPr="00B84212">
              <w:rPr>
                <w:color w:val="000000"/>
                <w:sz w:val="20"/>
                <w:szCs w:val="20"/>
              </w:rPr>
              <w:t> </w:t>
            </w:r>
          </w:p>
        </w:tc>
        <w:tc>
          <w:tcPr>
            <w:tcW w:w="3439" w:type="dxa"/>
            <w:tcBorders>
              <w:top w:val="nil"/>
              <w:left w:val="nil"/>
              <w:bottom w:val="nil"/>
              <w:right w:val="nil"/>
            </w:tcBorders>
            <w:shd w:val="clear" w:color="auto" w:fill="auto"/>
            <w:noWrap/>
            <w:vAlign w:val="bottom"/>
            <w:hideMark/>
          </w:tcPr>
          <w:p w14:paraId="60254133" w14:textId="77777777" w:rsidR="009616CB" w:rsidRPr="00B84212" w:rsidRDefault="009616CB" w:rsidP="009616CB">
            <w:pPr>
              <w:rPr>
                <w:color w:val="000000"/>
                <w:sz w:val="20"/>
                <w:szCs w:val="20"/>
              </w:rPr>
            </w:pPr>
          </w:p>
        </w:tc>
        <w:tc>
          <w:tcPr>
            <w:tcW w:w="1690" w:type="dxa"/>
            <w:tcBorders>
              <w:top w:val="nil"/>
              <w:left w:val="nil"/>
              <w:bottom w:val="nil"/>
              <w:right w:val="nil"/>
            </w:tcBorders>
            <w:shd w:val="clear" w:color="auto" w:fill="auto"/>
            <w:noWrap/>
            <w:vAlign w:val="bottom"/>
            <w:hideMark/>
          </w:tcPr>
          <w:p w14:paraId="10433286" w14:textId="77777777" w:rsidR="009616CB" w:rsidRPr="00B84212" w:rsidRDefault="009616CB" w:rsidP="009616CB">
            <w:pPr>
              <w:rPr>
                <w:sz w:val="20"/>
                <w:szCs w:val="20"/>
                <w:u w:val="double"/>
              </w:rPr>
            </w:pPr>
          </w:p>
        </w:tc>
        <w:tc>
          <w:tcPr>
            <w:tcW w:w="1691" w:type="dxa"/>
            <w:tcBorders>
              <w:top w:val="nil"/>
              <w:left w:val="nil"/>
              <w:bottom w:val="nil"/>
              <w:right w:val="nil"/>
            </w:tcBorders>
            <w:shd w:val="clear" w:color="auto" w:fill="auto"/>
            <w:noWrap/>
            <w:vAlign w:val="bottom"/>
            <w:hideMark/>
          </w:tcPr>
          <w:p w14:paraId="7CF5EEDB" w14:textId="77777777" w:rsidR="009616CB" w:rsidRPr="00B84212" w:rsidRDefault="009616CB" w:rsidP="009616CB">
            <w:pPr>
              <w:rPr>
                <w:sz w:val="20"/>
                <w:szCs w:val="20"/>
                <w:u w:val="double"/>
              </w:rPr>
            </w:pPr>
          </w:p>
        </w:tc>
        <w:tc>
          <w:tcPr>
            <w:tcW w:w="1402" w:type="dxa"/>
            <w:tcBorders>
              <w:top w:val="nil"/>
              <w:left w:val="nil"/>
              <w:bottom w:val="nil"/>
              <w:right w:val="nil"/>
            </w:tcBorders>
            <w:shd w:val="clear" w:color="auto" w:fill="auto"/>
            <w:noWrap/>
            <w:vAlign w:val="bottom"/>
            <w:hideMark/>
          </w:tcPr>
          <w:p w14:paraId="01D93FE6" w14:textId="77777777" w:rsidR="009616CB" w:rsidRPr="00B84212" w:rsidRDefault="009616CB" w:rsidP="009616CB">
            <w:pPr>
              <w:rPr>
                <w:sz w:val="20"/>
                <w:szCs w:val="20"/>
                <w:u w:val="double"/>
              </w:rPr>
            </w:pPr>
          </w:p>
        </w:tc>
        <w:tc>
          <w:tcPr>
            <w:tcW w:w="1287" w:type="dxa"/>
            <w:tcBorders>
              <w:top w:val="nil"/>
              <w:left w:val="nil"/>
              <w:bottom w:val="nil"/>
              <w:right w:val="nil"/>
            </w:tcBorders>
            <w:shd w:val="clear" w:color="auto" w:fill="auto"/>
            <w:noWrap/>
            <w:vAlign w:val="bottom"/>
            <w:hideMark/>
          </w:tcPr>
          <w:p w14:paraId="0675033F" w14:textId="77777777" w:rsidR="009616CB" w:rsidRPr="00B84212" w:rsidRDefault="009616CB" w:rsidP="009616CB">
            <w:pPr>
              <w:rPr>
                <w:sz w:val="20"/>
                <w:szCs w:val="20"/>
              </w:rPr>
            </w:pPr>
          </w:p>
        </w:tc>
        <w:tc>
          <w:tcPr>
            <w:tcW w:w="2151" w:type="dxa"/>
            <w:tcBorders>
              <w:top w:val="nil"/>
              <w:left w:val="nil"/>
              <w:bottom w:val="nil"/>
              <w:right w:val="single" w:sz="8" w:space="0" w:color="auto"/>
            </w:tcBorders>
            <w:shd w:val="clear" w:color="auto" w:fill="auto"/>
            <w:noWrap/>
            <w:vAlign w:val="bottom"/>
            <w:hideMark/>
          </w:tcPr>
          <w:p w14:paraId="520A2D34" w14:textId="77777777" w:rsidR="009616CB" w:rsidRPr="00B84212" w:rsidRDefault="009616CB" w:rsidP="009616CB">
            <w:pPr>
              <w:rPr>
                <w:sz w:val="20"/>
                <w:szCs w:val="20"/>
              </w:rPr>
            </w:pPr>
            <w:r w:rsidRPr="00B84212">
              <w:rPr>
                <w:sz w:val="20"/>
                <w:szCs w:val="20"/>
              </w:rPr>
              <w:t> </w:t>
            </w:r>
          </w:p>
        </w:tc>
      </w:tr>
      <w:tr w:rsidR="009616CB" w:rsidRPr="00B84212" w14:paraId="3BA38767" w14:textId="77777777" w:rsidTr="009616CB">
        <w:trPr>
          <w:trHeight w:val="300"/>
          <w:jc w:val="center"/>
        </w:trPr>
        <w:tc>
          <w:tcPr>
            <w:tcW w:w="466" w:type="dxa"/>
            <w:tcBorders>
              <w:top w:val="nil"/>
              <w:left w:val="single" w:sz="8" w:space="0" w:color="auto"/>
              <w:right w:val="nil"/>
            </w:tcBorders>
            <w:shd w:val="clear" w:color="auto" w:fill="auto"/>
            <w:noWrap/>
            <w:vAlign w:val="bottom"/>
            <w:hideMark/>
          </w:tcPr>
          <w:p w14:paraId="0289C0D9" w14:textId="77777777" w:rsidR="009616CB" w:rsidRPr="00B84212" w:rsidRDefault="009616CB" w:rsidP="009616CB">
            <w:pPr>
              <w:jc w:val="right"/>
              <w:rPr>
                <w:color w:val="000000"/>
                <w:sz w:val="20"/>
                <w:szCs w:val="20"/>
              </w:rPr>
            </w:pPr>
            <w:r w:rsidRPr="00B84212">
              <w:rPr>
                <w:color w:val="000000"/>
                <w:sz w:val="20"/>
                <w:szCs w:val="20"/>
              </w:rPr>
              <w:t>10.</w:t>
            </w:r>
          </w:p>
        </w:tc>
        <w:tc>
          <w:tcPr>
            <w:tcW w:w="3439" w:type="dxa"/>
            <w:tcBorders>
              <w:top w:val="nil"/>
              <w:left w:val="nil"/>
              <w:right w:val="nil"/>
            </w:tcBorders>
            <w:shd w:val="clear" w:color="auto" w:fill="auto"/>
            <w:noWrap/>
            <w:vAlign w:val="bottom"/>
            <w:hideMark/>
          </w:tcPr>
          <w:p w14:paraId="79B7F169" w14:textId="77777777" w:rsidR="009616CB" w:rsidRPr="00B84212" w:rsidRDefault="009616CB" w:rsidP="009616CB">
            <w:pPr>
              <w:rPr>
                <w:b/>
                <w:bCs/>
                <w:color w:val="000000"/>
                <w:sz w:val="20"/>
                <w:szCs w:val="20"/>
              </w:rPr>
            </w:pPr>
            <w:r w:rsidRPr="00B84212">
              <w:rPr>
                <w:b/>
                <w:bCs/>
                <w:color w:val="000000"/>
                <w:sz w:val="20"/>
                <w:szCs w:val="20"/>
              </w:rPr>
              <w:t>RATE OF RETURN</w:t>
            </w:r>
          </w:p>
        </w:tc>
        <w:tc>
          <w:tcPr>
            <w:tcW w:w="1690" w:type="dxa"/>
            <w:tcBorders>
              <w:top w:val="nil"/>
              <w:left w:val="nil"/>
              <w:right w:val="nil"/>
            </w:tcBorders>
            <w:shd w:val="clear" w:color="auto" w:fill="auto"/>
            <w:noWrap/>
            <w:vAlign w:val="bottom"/>
            <w:hideMark/>
          </w:tcPr>
          <w:p w14:paraId="20B54C46" w14:textId="77777777" w:rsidR="009616CB" w:rsidRPr="00B84212" w:rsidRDefault="009616CB" w:rsidP="009616CB">
            <w:pPr>
              <w:jc w:val="right"/>
              <w:rPr>
                <w:sz w:val="20"/>
                <w:szCs w:val="20"/>
                <w:u w:val="double"/>
              </w:rPr>
            </w:pPr>
            <w:r>
              <w:rPr>
                <w:sz w:val="20"/>
                <w:szCs w:val="20"/>
                <w:u w:val="double"/>
              </w:rPr>
              <w:t>(10.46</w:t>
            </w:r>
            <w:r w:rsidRPr="00B84212">
              <w:rPr>
                <w:sz w:val="20"/>
                <w:szCs w:val="20"/>
                <w:u w:val="double"/>
              </w:rPr>
              <w:t>%</w:t>
            </w:r>
            <w:r>
              <w:rPr>
                <w:sz w:val="20"/>
                <w:szCs w:val="20"/>
                <w:u w:val="double"/>
              </w:rPr>
              <w:t>)</w:t>
            </w:r>
          </w:p>
        </w:tc>
        <w:tc>
          <w:tcPr>
            <w:tcW w:w="1691" w:type="dxa"/>
            <w:tcBorders>
              <w:top w:val="nil"/>
              <w:left w:val="nil"/>
              <w:right w:val="nil"/>
            </w:tcBorders>
            <w:shd w:val="clear" w:color="auto" w:fill="auto"/>
            <w:noWrap/>
            <w:vAlign w:val="bottom"/>
            <w:hideMark/>
          </w:tcPr>
          <w:p w14:paraId="663BDF09" w14:textId="77777777" w:rsidR="009616CB" w:rsidRPr="00B84212" w:rsidRDefault="009616CB" w:rsidP="009616CB">
            <w:pPr>
              <w:rPr>
                <w:sz w:val="20"/>
                <w:szCs w:val="20"/>
                <w:u w:val="double"/>
              </w:rPr>
            </w:pPr>
          </w:p>
        </w:tc>
        <w:tc>
          <w:tcPr>
            <w:tcW w:w="1402" w:type="dxa"/>
            <w:tcBorders>
              <w:top w:val="nil"/>
              <w:left w:val="nil"/>
              <w:right w:val="nil"/>
            </w:tcBorders>
            <w:shd w:val="clear" w:color="auto" w:fill="auto"/>
            <w:noWrap/>
            <w:vAlign w:val="bottom"/>
            <w:hideMark/>
          </w:tcPr>
          <w:p w14:paraId="21E852A9" w14:textId="77777777" w:rsidR="009616CB" w:rsidRPr="00B84212" w:rsidRDefault="009616CB" w:rsidP="009616CB">
            <w:pPr>
              <w:jc w:val="right"/>
              <w:rPr>
                <w:sz w:val="20"/>
                <w:szCs w:val="20"/>
                <w:u w:val="double"/>
              </w:rPr>
            </w:pPr>
            <w:r>
              <w:rPr>
                <w:sz w:val="20"/>
                <w:szCs w:val="20"/>
                <w:u w:val="double"/>
              </w:rPr>
              <w:t>(</w:t>
            </w:r>
            <w:r w:rsidRPr="00B84212">
              <w:rPr>
                <w:sz w:val="20"/>
                <w:szCs w:val="20"/>
                <w:u w:val="double"/>
              </w:rPr>
              <w:t>1</w:t>
            </w:r>
            <w:r>
              <w:rPr>
                <w:sz w:val="20"/>
                <w:szCs w:val="20"/>
                <w:u w:val="double"/>
              </w:rPr>
              <w:t>2.84</w:t>
            </w:r>
            <w:r w:rsidRPr="00B84212">
              <w:rPr>
                <w:sz w:val="20"/>
                <w:szCs w:val="20"/>
                <w:u w:val="double"/>
              </w:rPr>
              <w:t>%</w:t>
            </w:r>
            <w:r>
              <w:rPr>
                <w:sz w:val="20"/>
                <w:szCs w:val="20"/>
                <w:u w:val="double"/>
              </w:rPr>
              <w:t>)</w:t>
            </w:r>
          </w:p>
        </w:tc>
        <w:tc>
          <w:tcPr>
            <w:tcW w:w="1287" w:type="dxa"/>
            <w:tcBorders>
              <w:top w:val="nil"/>
              <w:left w:val="nil"/>
              <w:right w:val="nil"/>
            </w:tcBorders>
            <w:shd w:val="clear" w:color="auto" w:fill="auto"/>
            <w:noWrap/>
            <w:vAlign w:val="bottom"/>
            <w:hideMark/>
          </w:tcPr>
          <w:p w14:paraId="68B7D092" w14:textId="77777777" w:rsidR="009616CB" w:rsidRPr="00B84212" w:rsidRDefault="009616CB" w:rsidP="009616CB">
            <w:pPr>
              <w:rPr>
                <w:sz w:val="20"/>
                <w:szCs w:val="20"/>
                <w:u w:val="double"/>
              </w:rPr>
            </w:pPr>
          </w:p>
        </w:tc>
        <w:tc>
          <w:tcPr>
            <w:tcW w:w="2151" w:type="dxa"/>
            <w:tcBorders>
              <w:top w:val="nil"/>
              <w:left w:val="nil"/>
              <w:right w:val="single" w:sz="8" w:space="0" w:color="auto"/>
            </w:tcBorders>
            <w:shd w:val="clear" w:color="auto" w:fill="auto"/>
            <w:noWrap/>
            <w:vAlign w:val="bottom"/>
            <w:hideMark/>
          </w:tcPr>
          <w:p w14:paraId="6EC94D33" w14:textId="77777777" w:rsidR="009616CB" w:rsidRPr="00B84212" w:rsidRDefault="009616CB" w:rsidP="009616CB">
            <w:pPr>
              <w:jc w:val="right"/>
              <w:rPr>
                <w:sz w:val="20"/>
                <w:szCs w:val="20"/>
                <w:u w:val="double"/>
              </w:rPr>
            </w:pPr>
            <w:r w:rsidRPr="00B84212">
              <w:rPr>
                <w:sz w:val="20"/>
                <w:szCs w:val="20"/>
                <w:u w:val="double"/>
              </w:rPr>
              <w:t>7.85%</w:t>
            </w:r>
          </w:p>
        </w:tc>
      </w:tr>
      <w:tr w:rsidR="009616CB" w:rsidRPr="00B84212" w14:paraId="6D96C391" w14:textId="77777777" w:rsidTr="009616CB">
        <w:trPr>
          <w:trHeight w:val="300"/>
          <w:jc w:val="center"/>
        </w:trPr>
        <w:tc>
          <w:tcPr>
            <w:tcW w:w="466" w:type="dxa"/>
            <w:tcBorders>
              <w:top w:val="nil"/>
              <w:left w:val="single" w:sz="8" w:space="0" w:color="auto"/>
              <w:bottom w:val="single" w:sz="8" w:space="0" w:color="auto"/>
              <w:right w:val="nil"/>
            </w:tcBorders>
            <w:shd w:val="clear" w:color="auto" w:fill="auto"/>
            <w:noWrap/>
            <w:vAlign w:val="bottom"/>
            <w:hideMark/>
          </w:tcPr>
          <w:p w14:paraId="0B8E4739" w14:textId="77777777" w:rsidR="009616CB" w:rsidRPr="00B84212" w:rsidRDefault="009616CB" w:rsidP="009616CB">
            <w:pPr>
              <w:jc w:val="right"/>
              <w:rPr>
                <w:color w:val="000000"/>
                <w:sz w:val="20"/>
                <w:szCs w:val="20"/>
              </w:rPr>
            </w:pPr>
            <w:r w:rsidRPr="00B84212">
              <w:rPr>
                <w:color w:val="000000"/>
                <w:sz w:val="20"/>
                <w:szCs w:val="20"/>
              </w:rPr>
              <w:t> </w:t>
            </w:r>
          </w:p>
        </w:tc>
        <w:tc>
          <w:tcPr>
            <w:tcW w:w="3439" w:type="dxa"/>
            <w:tcBorders>
              <w:top w:val="nil"/>
              <w:left w:val="nil"/>
              <w:bottom w:val="single" w:sz="8" w:space="0" w:color="auto"/>
              <w:right w:val="nil"/>
            </w:tcBorders>
            <w:shd w:val="clear" w:color="auto" w:fill="auto"/>
            <w:noWrap/>
            <w:vAlign w:val="bottom"/>
            <w:hideMark/>
          </w:tcPr>
          <w:p w14:paraId="6C4F1026" w14:textId="77777777" w:rsidR="009616CB" w:rsidRPr="00B84212" w:rsidRDefault="009616CB" w:rsidP="009616CB">
            <w:pPr>
              <w:rPr>
                <w:b/>
                <w:bCs/>
                <w:color w:val="000000"/>
                <w:sz w:val="20"/>
                <w:szCs w:val="20"/>
              </w:rPr>
            </w:pPr>
          </w:p>
        </w:tc>
        <w:tc>
          <w:tcPr>
            <w:tcW w:w="1690" w:type="dxa"/>
            <w:tcBorders>
              <w:top w:val="nil"/>
              <w:left w:val="nil"/>
              <w:bottom w:val="single" w:sz="8" w:space="0" w:color="auto"/>
              <w:right w:val="nil"/>
            </w:tcBorders>
            <w:shd w:val="clear" w:color="auto" w:fill="auto"/>
            <w:noWrap/>
            <w:vAlign w:val="bottom"/>
            <w:hideMark/>
          </w:tcPr>
          <w:p w14:paraId="302B75B8" w14:textId="77777777" w:rsidR="009616CB" w:rsidRPr="00B84212" w:rsidRDefault="009616CB" w:rsidP="009616CB">
            <w:pPr>
              <w:rPr>
                <w:sz w:val="20"/>
                <w:szCs w:val="20"/>
                <w:u w:val="double"/>
              </w:rPr>
            </w:pPr>
          </w:p>
        </w:tc>
        <w:tc>
          <w:tcPr>
            <w:tcW w:w="1691" w:type="dxa"/>
            <w:tcBorders>
              <w:top w:val="nil"/>
              <w:left w:val="nil"/>
              <w:bottom w:val="single" w:sz="8" w:space="0" w:color="auto"/>
              <w:right w:val="nil"/>
            </w:tcBorders>
            <w:shd w:val="clear" w:color="auto" w:fill="auto"/>
            <w:noWrap/>
            <w:vAlign w:val="bottom"/>
            <w:hideMark/>
          </w:tcPr>
          <w:p w14:paraId="0E4FEDB0" w14:textId="77777777" w:rsidR="009616CB" w:rsidRPr="00B84212" w:rsidRDefault="009616CB" w:rsidP="009616CB">
            <w:pPr>
              <w:rPr>
                <w:sz w:val="20"/>
                <w:szCs w:val="20"/>
                <w:u w:val="double"/>
              </w:rPr>
            </w:pPr>
          </w:p>
        </w:tc>
        <w:tc>
          <w:tcPr>
            <w:tcW w:w="1402" w:type="dxa"/>
            <w:tcBorders>
              <w:top w:val="nil"/>
              <w:left w:val="nil"/>
              <w:bottom w:val="single" w:sz="8" w:space="0" w:color="auto"/>
              <w:right w:val="nil"/>
            </w:tcBorders>
            <w:shd w:val="clear" w:color="auto" w:fill="auto"/>
            <w:noWrap/>
            <w:vAlign w:val="bottom"/>
            <w:hideMark/>
          </w:tcPr>
          <w:p w14:paraId="2B5E243F" w14:textId="77777777" w:rsidR="009616CB" w:rsidRPr="00B84212" w:rsidRDefault="009616CB" w:rsidP="009616CB">
            <w:pPr>
              <w:rPr>
                <w:sz w:val="20"/>
                <w:szCs w:val="20"/>
                <w:u w:val="double"/>
              </w:rPr>
            </w:pPr>
          </w:p>
        </w:tc>
        <w:tc>
          <w:tcPr>
            <w:tcW w:w="1287" w:type="dxa"/>
            <w:tcBorders>
              <w:top w:val="nil"/>
              <w:left w:val="nil"/>
              <w:bottom w:val="single" w:sz="8" w:space="0" w:color="auto"/>
              <w:right w:val="nil"/>
            </w:tcBorders>
            <w:shd w:val="clear" w:color="auto" w:fill="auto"/>
            <w:noWrap/>
            <w:vAlign w:val="bottom"/>
            <w:hideMark/>
          </w:tcPr>
          <w:p w14:paraId="55A15E46" w14:textId="77777777" w:rsidR="009616CB" w:rsidRPr="00B84212" w:rsidRDefault="009616CB" w:rsidP="009616CB">
            <w:pPr>
              <w:rPr>
                <w:sz w:val="20"/>
                <w:szCs w:val="20"/>
              </w:rPr>
            </w:pPr>
          </w:p>
        </w:tc>
        <w:tc>
          <w:tcPr>
            <w:tcW w:w="2151" w:type="dxa"/>
            <w:tcBorders>
              <w:top w:val="nil"/>
              <w:left w:val="nil"/>
              <w:bottom w:val="single" w:sz="8" w:space="0" w:color="auto"/>
              <w:right w:val="single" w:sz="8" w:space="0" w:color="auto"/>
            </w:tcBorders>
            <w:shd w:val="clear" w:color="auto" w:fill="auto"/>
            <w:noWrap/>
            <w:vAlign w:val="bottom"/>
            <w:hideMark/>
          </w:tcPr>
          <w:p w14:paraId="2AAA9805" w14:textId="77777777" w:rsidR="009616CB" w:rsidRPr="00B84212" w:rsidRDefault="009616CB" w:rsidP="009616CB">
            <w:pPr>
              <w:rPr>
                <w:sz w:val="20"/>
                <w:szCs w:val="20"/>
              </w:rPr>
            </w:pPr>
            <w:r w:rsidRPr="00B84212">
              <w:rPr>
                <w:sz w:val="20"/>
                <w:szCs w:val="20"/>
              </w:rPr>
              <w:t> </w:t>
            </w:r>
          </w:p>
        </w:tc>
      </w:tr>
    </w:tbl>
    <w:p w14:paraId="4BD98404" w14:textId="77777777" w:rsidR="009616CB" w:rsidRDefault="009616CB" w:rsidP="009616CB">
      <w:pPr>
        <w:sectPr w:rsidR="009616CB" w:rsidSect="009616CB">
          <w:headerReference w:type="first" r:id="rId13"/>
          <w:pgSz w:w="15840" w:h="12240" w:orient="landscape" w:code="1"/>
          <w:pgMar w:top="1440" w:right="1440" w:bottom="1440" w:left="1440" w:header="720" w:footer="720" w:gutter="0"/>
          <w:cols w:space="720"/>
          <w:titlePg/>
          <w:docGrid w:linePitch="360"/>
        </w:sectPr>
      </w:pPr>
    </w:p>
    <w:tbl>
      <w:tblPr>
        <w:tblStyle w:val="TableGrid"/>
        <w:tblW w:w="5000" w:type="pct"/>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373"/>
        <w:gridCol w:w="6485"/>
        <w:gridCol w:w="2718"/>
      </w:tblGrid>
      <w:tr w:rsidR="009616CB" w:rsidRPr="00B84212" w14:paraId="17A8AB46" w14:textId="77777777" w:rsidTr="009616CB">
        <w:trPr>
          <w:trHeight w:val="259"/>
        </w:trPr>
        <w:tc>
          <w:tcPr>
            <w:tcW w:w="195" w:type="pct"/>
            <w:tcBorders>
              <w:top w:val="single" w:sz="4" w:space="0" w:color="auto"/>
            </w:tcBorders>
            <w:vAlign w:val="center"/>
          </w:tcPr>
          <w:p w14:paraId="72AA6E7C" w14:textId="77777777" w:rsidR="009616CB" w:rsidRPr="00B84212" w:rsidRDefault="009616CB" w:rsidP="009616CB">
            <w:pPr>
              <w:rPr>
                <w:b/>
                <w:sz w:val="20"/>
                <w:szCs w:val="20"/>
              </w:rPr>
            </w:pPr>
          </w:p>
        </w:tc>
        <w:tc>
          <w:tcPr>
            <w:tcW w:w="3386" w:type="pct"/>
            <w:tcBorders>
              <w:top w:val="single" w:sz="4" w:space="0" w:color="auto"/>
            </w:tcBorders>
            <w:vAlign w:val="center"/>
          </w:tcPr>
          <w:p w14:paraId="0F5D6D82" w14:textId="77777777" w:rsidR="009616CB" w:rsidRPr="00B84212" w:rsidRDefault="009616CB" w:rsidP="009616CB">
            <w:pPr>
              <w:rPr>
                <w:b/>
                <w:sz w:val="20"/>
                <w:szCs w:val="20"/>
              </w:rPr>
            </w:pPr>
            <w:r w:rsidRPr="00B84212">
              <w:rPr>
                <w:b/>
                <w:sz w:val="20"/>
                <w:szCs w:val="20"/>
              </w:rPr>
              <w:t>MERRITT ISLAND UITLITY COMPANY, INC.</w:t>
            </w:r>
            <w:r w:rsidRPr="000F4B97">
              <w:t xml:space="preserve"> </w:t>
            </w:r>
            <w:r w:rsidRPr="000F4B97">
              <w:fldChar w:fldCharType="begin"/>
            </w:r>
            <w:r w:rsidRPr="000F4B97">
              <w:instrText xml:space="preserve"> TC "</w:instrText>
            </w:r>
            <w:bookmarkStart w:id="21" w:name="_Toc20401567"/>
            <w:bookmarkStart w:id="22" w:name="_Toc33522846"/>
            <w:r>
              <w:instrText>Schedule No. 3-B Adjustments to Operating Income</w:instrText>
            </w:r>
            <w:bookmarkEnd w:id="21"/>
            <w:bookmarkEnd w:id="22"/>
            <w:r w:rsidRPr="000F4B97">
              <w:instrText xml:space="preserve">" \l 1 </w:instrText>
            </w:r>
            <w:r w:rsidRPr="000F4B97">
              <w:fldChar w:fldCharType="end"/>
            </w:r>
          </w:p>
        </w:tc>
        <w:tc>
          <w:tcPr>
            <w:tcW w:w="1419" w:type="pct"/>
            <w:tcBorders>
              <w:top w:val="single" w:sz="4" w:space="0" w:color="auto"/>
            </w:tcBorders>
            <w:vAlign w:val="center"/>
          </w:tcPr>
          <w:p w14:paraId="0E3EBB6B" w14:textId="77777777" w:rsidR="009616CB" w:rsidRPr="00B84212" w:rsidRDefault="009616CB" w:rsidP="009616CB">
            <w:pPr>
              <w:jc w:val="right"/>
              <w:rPr>
                <w:b/>
                <w:sz w:val="20"/>
                <w:szCs w:val="20"/>
              </w:rPr>
            </w:pPr>
            <w:r w:rsidRPr="00B84212">
              <w:rPr>
                <w:b/>
                <w:sz w:val="20"/>
                <w:szCs w:val="20"/>
              </w:rPr>
              <w:t>SCHEDULE NO. 3-B</w:t>
            </w:r>
          </w:p>
        </w:tc>
      </w:tr>
      <w:tr w:rsidR="009616CB" w:rsidRPr="00B84212" w14:paraId="36F829FD" w14:textId="77777777" w:rsidTr="009616CB">
        <w:trPr>
          <w:trHeight w:val="259"/>
        </w:trPr>
        <w:tc>
          <w:tcPr>
            <w:tcW w:w="195" w:type="pct"/>
            <w:tcBorders>
              <w:bottom w:val="nil"/>
            </w:tcBorders>
            <w:vAlign w:val="center"/>
          </w:tcPr>
          <w:p w14:paraId="3CBF6722" w14:textId="77777777" w:rsidR="009616CB" w:rsidRPr="00B84212" w:rsidRDefault="009616CB" w:rsidP="009616CB">
            <w:pPr>
              <w:rPr>
                <w:b/>
                <w:sz w:val="20"/>
                <w:szCs w:val="20"/>
              </w:rPr>
            </w:pPr>
          </w:p>
        </w:tc>
        <w:tc>
          <w:tcPr>
            <w:tcW w:w="3386" w:type="pct"/>
            <w:tcBorders>
              <w:bottom w:val="nil"/>
            </w:tcBorders>
            <w:vAlign w:val="center"/>
          </w:tcPr>
          <w:p w14:paraId="15E460DD" w14:textId="77777777" w:rsidR="009616CB" w:rsidRPr="00B84212" w:rsidRDefault="009616CB" w:rsidP="009616CB">
            <w:pPr>
              <w:rPr>
                <w:b/>
                <w:sz w:val="20"/>
                <w:szCs w:val="20"/>
              </w:rPr>
            </w:pPr>
            <w:r w:rsidRPr="00B84212">
              <w:rPr>
                <w:b/>
                <w:sz w:val="20"/>
                <w:szCs w:val="20"/>
              </w:rPr>
              <w:t>TEST YEAR ENDED 3/31/2019</w:t>
            </w:r>
          </w:p>
        </w:tc>
        <w:tc>
          <w:tcPr>
            <w:tcW w:w="1419" w:type="pct"/>
            <w:tcBorders>
              <w:bottom w:val="nil"/>
            </w:tcBorders>
            <w:vAlign w:val="center"/>
          </w:tcPr>
          <w:p w14:paraId="7564CC22" w14:textId="77777777" w:rsidR="009616CB" w:rsidRPr="00B84212" w:rsidRDefault="009616CB" w:rsidP="009616CB">
            <w:pPr>
              <w:jc w:val="right"/>
              <w:rPr>
                <w:b/>
                <w:sz w:val="20"/>
                <w:szCs w:val="20"/>
              </w:rPr>
            </w:pPr>
            <w:r w:rsidRPr="00B84212">
              <w:rPr>
                <w:b/>
                <w:sz w:val="20"/>
                <w:szCs w:val="20"/>
              </w:rPr>
              <w:t>DOCKET NO. 20190116-SU</w:t>
            </w:r>
          </w:p>
        </w:tc>
      </w:tr>
      <w:tr w:rsidR="009616CB" w:rsidRPr="00B84212" w14:paraId="66DE5A14" w14:textId="77777777" w:rsidTr="009616CB">
        <w:trPr>
          <w:trHeight w:val="259"/>
        </w:trPr>
        <w:tc>
          <w:tcPr>
            <w:tcW w:w="195" w:type="pct"/>
            <w:tcBorders>
              <w:bottom w:val="single" w:sz="4" w:space="0" w:color="auto"/>
            </w:tcBorders>
            <w:vAlign w:val="center"/>
          </w:tcPr>
          <w:p w14:paraId="696FAFA4" w14:textId="77777777" w:rsidR="009616CB" w:rsidRPr="00B84212" w:rsidRDefault="009616CB" w:rsidP="009616CB">
            <w:pPr>
              <w:rPr>
                <w:b/>
                <w:sz w:val="20"/>
                <w:szCs w:val="20"/>
              </w:rPr>
            </w:pPr>
          </w:p>
        </w:tc>
        <w:tc>
          <w:tcPr>
            <w:tcW w:w="3386" w:type="pct"/>
            <w:tcBorders>
              <w:bottom w:val="single" w:sz="4" w:space="0" w:color="auto"/>
            </w:tcBorders>
            <w:vAlign w:val="center"/>
          </w:tcPr>
          <w:p w14:paraId="7CB21385" w14:textId="77777777" w:rsidR="009616CB" w:rsidRPr="00B84212" w:rsidRDefault="009616CB" w:rsidP="009616CB">
            <w:pPr>
              <w:rPr>
                <w:b/>
                <w:sz w:val="20"/>
                <w:szCs w:val="20"/>
              </w:rPr>
            </w:pPr>
            <w:r w:rsidRPr="00B84212">
              <w:rPr>
                <w:b/>
                <w:sz w:val="20"/>
                <w:szCs w:val="20"/>
              </w:rPr>
              <w:t>ADJUSTMENTS TO OPERATING INCOME</w:t>
            </w:r>
          </w:p>
        </w:tc>
        <w:tc>
          <w:tcPr>
            <w:tcW w:w="1419" w:type="pct"/>
            <w:tcBorders>
              <w:bottom w:val="single" w:sz="4" w:space="0" w:color="auto"/>
            </w:tcBorders>
            <w:vAlign w:val="center"/>
          </w:tcPr>
          <w:p w14:paraId="56A3D990" w14:textId="77777777" w:rsidR="009616CB" w:rsidRPr="00B84212" w:rsidRDefault="009616CB" w:rsidP="009616CB">
            <w:pPr>
              <w:jc w:val="right"/>
              <w:rPr>
                <w:b/>
                <w:sz w:val="20"/>
                <w:szCs w:val="20"/>
              </w:rPr>
            </w:pPr>
            <w:r>
              <w:rPr>
                <w:b/>
                <w:sz w:val="20"/>
                <w:szCs w:val="20"/>
              </w:rPr>
              <w:t>Page 1 of 2</w:t>
            </w:r>
          </w:p>
        </w:tc>
      </w:tr>
      <w:tr w:rsidR="009616CB" w:rsidRPr="00B84212" w14:paraId="15722153" w14:textId="77777777" w:rsidTr="009616CB">
        <w:trPr>
          <w:trHeight w:val="259"/>
        </w:trPr>
        <w:tc>
          <w:tcPr>
            <w:tcW w:w="195" w:type="pct"/>
            <w:tcBorders>
              <w:top w:val="single" w:sz="4" w:space="0" w:color="auto"/>
              <w:bottom w:val="nil"/>
            </w:tcBorders>
            <w:vAlign w:val="center"/>
          </w:tcPr>
          <w:p w14:paraId="7B329943" w14:textId="77777777" w:rsidR="009616CB" w:rsidRPr="00B84212" w:rsidRDefault="009616CB" w:rsidP="009616CB">
            <w:pPr>
              <w:rPr>
                <w:b/>
                <w:sz w:val="20"/>
                <w:szCs w:val="20"/>
              </w:rPr>
            </w:pPr>
          </w:p>
        </w:tc>
        <w:tc>
          <w:tcPr>
            <w:tcW w:w="3386" w:type="pct"/>
            <w:tcBorders>
              <w:top w:val="single" w:sz="4" w:space="0" w:color="auto"/>
              <w:bottom w:val="nil"/>
            </w:tcBorders>
            <w:vAlign w:val="center"/>
          </w:tcPr>
          <w:p w14:paraId="5F2EA409" w14:textId="77777777" w:rsidR="009616CB" w:rsidRPr="00B84212" w:rsidRDefault="009616CB" w:rsidP="009616CB">
            <w:pPr>
              <w:rPr>
                <w:b/>
                <w:sz w:val="20"/>
                <w:szCs w:val="20"/>
              </w:rPr>
            </w:pPr>
          </w:p>
        </w:tc>
        <w:tc>
          <w:tcPr>
            <w:tcW w:w="1419" w:type="pct"/>
            <w:tcBorders>
              <w:top w:val="single" w:sz="4" w:space="0" w:color="auto"/>
              <w:bottom w:val="nil"/>
            </w:tcBorders>
            <w:vAlign w:val="center"/>
          </w:tcPr>
          <w:p w14:paraId="1B57E17C" w14:textId="77777777" w:rsidR="009616CB" w:rsidRPr="00B84212" w:rsidRDefault="009616CB" w:rsidP="009616CB">
            <w:pPr>
              <w:jc w:val="right"/>
              <w:rPr>
                <w:b/>
                <w:sz w:val="20"/>
                <w:szCs w:val="20"/>
              </w:rPr>
            </w:pPr>
          </w:p>
        </w:tc>
      </w:tr>
      <w:tr w:rsidR="009616CB" w:rsidRPr="00B84212" w14:paraId="217BD8FF" w14:textId="77777777" w:rsidTr="009616CB">
        <w:trPr>
          <w:trHeight w:val="259"/>
        </w:trPr>
        <w:tc>
          <w:tcPr>
            <w:tcW w:w="195" w:type="pct"/>
            <w:tcBorders>
              <w:top w:val="nil"/>
            </w:tcBorders>
            <w:vAlign w:val="center"/>
          </w:tcPr>
          <w:p w14:paraId="5675275F" w14:textId="77777777" w:rsidR="009616CB" w:rsidRPr="00B84212" w:rsidRDefault="009616CB" w:rsidP="009616CB">
            <w:pPr>
              <w:rPr>
                <w:b/>
                <w:sz w:val="20"/>
                <w:szCs w:val="20"/>
              </w:rPr>
            </w:pPr>
          </w:p>
        </w:tc>
        <w:tc>
          <w:tcPr>
            <w:tcW w:w="3386" w:type="pct"/>
            <w:tcBorders>
              <w:top w:val="nil"/>
            </w:tcBorders>
            <w:vAlign w:val="center"/>
          </w:tcPr>
          <w:p w14:paraId="67744685" w14:textId="77777777" w:rsidR="009616CB" w:rsidRPr="00B84212" w:rsidRDefault="009616CB" w:rsidP="009616CB">
            <w:pPr>
              <w:rPr>
                <w:b/>
                <w:sz w:val="20"/>
                <w:szCs w:val="20"/>
              </w:rPr>
            </w:pPr>
          </w:p>
        </w:tc>
        <w:tc>
          <w:tcPr>
            <w:tcW w:w="1419" w:type="pct"/>
            <w:tcBorders>
              <w:top w:val="nil"/>
            </w:tcBorders>
            <w:vAlign w:val="center"/>
          </w:tcPr>
          <w:p w14:paraId="72C24271" w14:textId="77777777" w:rsidR="009616CB" w:rsidRPr="00B84212" w:rsidRDefault="009616CB" w:rsidP="009616CB">
            <w:pPr>
              <w:jc w:val="right"/>
              <w:rPr>
                <w:b/>
                <w:sz w:val="20"/>
                <w:szCs w:val="20"/>
                <w:u w:val="single"/>
              </w:rPr>
            </w:pPr>
            <w:r w:rsidRPr="00B84212">
              <w:rPr>
                <w:b/>
                <w:sz w:val="20"/>
                <w:szCs w:val="20"/>
                <w:u w:val="single"/>
              </w:rPr>
              <w:t>WASTEWATER</w:t>
            </w:r>
          </w:p>
        </w:tc>
      </w:tr>
      <w:tr w:rsidR="009616CB" w:rsidRPr="00B84212" w14:paraId="1A38F52D" w14:textId="77777777" w:rsidTr="009616CB">
        <w:trPr>
          <w:trHeight w:val="259"/>
        </w:trPr>
        <w:tc>
          <w:tcPr>
            <w:tcW w:w="195" w:type="pct"/>
            <w:vAlign w:val="center"/>
          </w:tcPr>
          <w:p w14:paraId="27407080" w14:textId="77777777" w:rsidR="009616CB" w:rsidRPr="00B84212" w:rsidRDefault="009616CB" w:rsidP="009616CB">
            <w:pPr>
              <w:rPr>
                <w:b/>
                <w:sz w:val="20"/>
                <w:szCs w:val="20"/>
              </w:rPr>
            </w:pPr>
          </w:p>
        </w:tc>
        <w:tc>
          <w:tcPr>
            <w:tcW w:w="3386" w:type="pct"/>
            <w:vAlign w:val="center"/>
          </w:tcPr>
          <w:p w14:paraId="6E28AB60" w14:textId="77777777" w:rsidR="009616CB" w:rsidRPr="00B84212" w:rsidRDefault="009616CB" w:rsidP="009616CB">
            <w:pPr>
              <w:rPr>
                <w:b/>
                <w:sz w:val="20"/>
                <w:szCs w:val="20"/>
              </w:rPr>
            </w:pPr>
            <w:r w:rsidRPr="00B84212">
              <w:rPr>
                <w:b/>
                <w:sz w:val="20"/>
                <w:szCs w:val="20"/>
              </w:rPr>
              <w:t>OPERATING REVENUES</w:t>
            </w:r>
          </w:p>
        </w:tc>
        <w:tc>
          <w:tcPr>
            <w:tcW w:w="1419" w:type="pct"/>
            <w:vAlign w:val="center"/>
          </w:tcPr>
          <w:p w14:paraId="294369A7" w14:textId="77777777" w:rsidR="009616CB" w:rsidRPr="00B84212" w:rsidRDefault="009616CB" w:rsidP="009616CB">
            <w:pPr>
              <w:jc w:val="right"/>
              <w:rPr>
                <w:b/>
                <w:sz w:val="20"/>
                <w:szCs w:val="20"/>
              </w:rPr>
            </w:pPr>
          </w:p>
        </w:tc>
      </w:tr>
      <w:tr w:rsidR="009616CB" w:rsidRPr="00B84212" w14:paraId="7661B563" w14:textId="77777777" w:rsidTr="009616CB">
        <w:trPr>
          <w:trHeight w:val="259"/>
        </w:trPr>
        <w:tc>
          <w:tcPr>
            <w:tcW w:w="195" w:type="pct"/>
            <w:vAlign w:val="center"/>
          </w:tcPr>
          <w:p w14:paraId="16227A18" w14:textId="77777777" w:rsidR="009616CB" w:rsidRPr="00B84212" w:rsidRDefault="009616CB" w:rsidP="009616CB">
            <w:pPr>
              <w:rPr>
                <w:sz w:val="20"/>
                <w:szCs w:val="20"/>
              </w:rPr>
            </w:pPr>
          </w:p>
        </w:tc>
        <w:tc>
          <w:tcPr>
            <w:tcW w:w="3386" w:type="pct"/>
            <w:vAlign w:val="center"/>
          </w:tcPr>
          <w:p w14:paraId="43B2ADC8" w14:textId="77777777" w:rsidR="009616CB" w:rsidRPr="00B84212" w:rsidRDefault="009616CB" w:rsidP="009616CB">
            <w:pPr>
              <w:rPr>
                <w:sz w:val="20"/>
                <w:szCs w:val="20"/>
              </w:rPr>
            </w:pPr>
            <w:r w:rsidRPr="00B84212">
              <w:rPr>
                <w:sz w:val="20"/>
                <w:szCs w:val="20"/>
              </w:rPr>
              <w:t>To reflect the appropriate test year services revenues.</w:t>
            </w:r>
          </w:p>
        </w:tc>
        <w:tc>
          <w:tcPr>
            <w:tcW w:w="1419" w:type="pct"/>
            <w:vAlign w:val="center"/>
          </w:tcPr>
          <w:p w14:paraId="38C19AF0" w14:textId="77777777" w:rsidR="009616CB" w:rsidRPr="00B84212" w:rsidRDefault="009616CB" w:rsidP="009616CB">
            <w:pPr>
              <w:jc w:val="right"/>
              <w:rPr>
                <w:sz w:val="20"/>
                <w:szCs w:val="20"/>
                <w:u w:val="double"/>
              </w:rPr>
            </w:pPr>
            <w:r w:rsidRPr="00B84212">
              <w:rPr>
                <w:sz w:val="20"/>
                <w:szCs w:val="20"/>
                <w:u w:val="double"/>
              </w:rPr>
              <w:t>($</w:t>
            </w:r>
            <w:r>
              <w:rPr>
                <w:sz w:val="20"/>
                <w:szCs w:val="20"/>
                <w:u w:val="double"/>
              </w:rPr>
              <w:t>937</w:t>
            </w:r>
            <w:r w:rsidRPr="00B84212">
              <w:rPr>
                <w:sz w:val="20"/>
                <w:szCs w:val="20"/>
                <w:u w:val="double"/>
              </w:rPr>
              <w:t>)</w:t>
            </w:r>
          </w:p>
        </w:tc>
      </w:tr>
      <w:tr w:rsidR="009616CB" w:rsidRPr="00B84212" w14:paraId="71A33B41" w14:textId="77777777" w:rsidTr="009616CB">
        <w:trPr>
          <w:trHeight w:val="259"/>
        </w:trPr>
        <w:tc>
          <w:tcPr>
            <w:tcW w:w="195" w:type="pct"/>
            <w:vAlign w:val="center"/>
          </w:tcPr>
          <w:p w14:paraId="1D788CC1" w14:textId="77777777" w:rsidR="009616CB" w:rsidRPr="00B84212" w:rsidRDefault="009616CB" w:rsidP="009616CB">
            <w:pPr>
              <w:rPr>
                <w:sz w:val="20"/>
                <w:szCs w:val="20"/>
              </w:rPr>
            </w:pPr>
          </w:p>
        </w:tc>
        <w:tc>
          <w:tcPr>
            <w:tcW w:w="3386" w:type="pct"/>
            <w:vAlign w:val="center"/>
          </w:tcPr>
          <w:p w14:paraId="34BC9045" w14:textId="77777777" w:rsidR="009616CB" w:rsidRPr="00B84212" w:rsidRDefault="009616CB" w:rsidP="009616CB">
            <w:pPr>
              <w:rPr>
                <w:sz w:val="20"/>
                <w:szCs w:val="20"/>
              </w:rPr>
            </w:pPr>
          </w:p>
        </w:tc>
        <w:tc>
          <w:tcPr>
            <w:tcW w:w="1419" w:type="pct"/>
            <w:vAlign w:val="center"/>
          </w:tcPr>
          <w:p w14:paraId="40F77DD5" w14:textId="77777777" w:rsidR="009616CB" w:rsidRPr="00B84212" w:rsidRDefault="009616CB" w:rsidP="009616CB">
            <w:pPr>
              <w:jc w:val="right"/>
              <w:rPr>
                <w:sz w:val="20"/>
                <w:szCs w:val="20"/>
              </w:rPr>
            </w:pPr>
          </w:p>
        </w:tc>
      </w:tr>
      <w:tr w:rsidR="009616CB" w:rsidRPr="00B84212" w14:paraId="3277F49F" w14:textId="77777777" w:rsidTr="009616CB">
        <w:trPr>
          <w:trHeight w:val="259"/>
        </w:trPr>
        <w:tc>
          <w:tcPr>
            <w:tcW w:w="195" w:type="pct"/>
            <w:vAlign w:val="center"/>
          </w:tcPr>
          <w:p w14:paraId="1E251584" w14:textId="77777777" w:rsidR="009616CB" w:rsidRPr="00B84212" w:rsidRDefault="009616CB" w:rsidP="009616CB">
            <w:pPr>
              <w:rPr>
                <w:b/>
                <w:sz w:val="20"/>
                <w:szCs w:val="20"/>
              </w:rPr>
            </w:pPr>
          </w:p>
        </w:tc>
        <w:tc>
          <w:tcPr>
            <w:tcW w:w="3386" w:type="pct"/>
            <w:vAlign w:val="center"/>
          </w:tcPr>
          <w:p w14:paraId="0FB727D2" w14:textId="77777777" w:rsidR="009616CB" w:rsidRPr="00B84212" w:rsidRDefault="009616CB" w:rsidP="009616CB">
            <w:pPr>
              <w:rPr>
                <w:b/>
                <w:sz w:val="20"/>
                <w:szCs w:val="20"/>
              </w:rPr>
            </w:pPr>
            <w:r w:rsidRPr="00B84212">
              <w:rPr>
                <w:b/>
                <w:sz w:val="20"/>
                <w:szCs w:val="20"/>
              </w:rPr>
              <w:t>OPERATION AND MAINTENANCE EXPENSES</w:t>
            </w:r>
          </w:p>
        </w:tc>
        <w:tc>
          <w:tcPr>
            <w:tcW w:w="1419" w:type="pct"/>
            <w:vAlign w:val="center"/>
          </w:tcPr>
          <w:p w14:paraId="007F65FB" w14:textId="77777777" w:rsidR="009616CB" w:rsidRPr="00B84212" w:rsidRDefault="009616CB" w:rsidP="009616CB">
            <w:pPr>
              <w:jc w:val="right"/>
              <w:rPr>
                <w:b/>
                <w:sz w:val="20"/>
                <w:szCs w:val="20"/>
              </w:rPr>
            </w:pPr>
          </w:p>
        </w:tc>
      </w:tr>
      <w:tr w:rsidR="009616CB" w:rsidRPr="00B84212" w14:paraId="1C80349F" w14:textId="77777777" w:rsidTr="009616CB">
        <w:trPr>
          <w:trHeight w:val="259"/>
        </w:trPr>
        <w:tc>
          <w:tcPr>
            <w:tcW w:w="195" w:type="pct"/>
            <w:vAlign w:val="center"/>
          </w:tcPr>
          <w:p w14:paraId="3EF05892" w14:textId="77777777" w:rsidR="009616CB" w:rsidRPr="00B84212" w:rsidRDefault="009616CB" w:rsidP="009616CB">
            <w:pPr>
              <w:rPr>
                <w:sz w:val="20"/>
                <w:szCs w:val="20"/>
              </w:rPr>
            </w:pPr>
            <w:r>
              <w:rPr>
                <w:sz w:val="20"/>
                <w:szCs w:val="20"/>
              </w:rPr>
              <w:t>1.</w:t>
            </w:r>
          </w:p>
        </w:tc>
        <w:tc>
          <w:tcPr>
            <w:tcW w:w="3386" w:type="pct"/>
            <w:vAlign w:val="center"/>
          </w:tcPr>
          <w:p w14:paraId="2582B218" w14:textId="77777777" w:rsidR="009616CB" w:rsidRPr="00B84212" w:rsidRDefault="009616CB" w:rsidP="009616CB">
            <w:pPr>
              <w:rPr>
                <w:sz w:val="20"/>
                <w:szCs w:val="20"/>
              </w:rPr>
            </w:pPr>
            <w:r>
              <w:rPr>
                <w:sz w:val="20"/>
                <w:szCs w:val="20"/>
              </w:rPr>
              <w:t>Purchased Power (715)</w:t>
            </w:r>
          </w:p>
        </w:tc>
        <w:tc>
          <w:tcPr>
            <w:tcW w:w="1419" w:type="pct"/>
            <w:vAlign w:val="center"/>
          </w:tcPr>
          <w:p w14:paraId="21F704CF" w14:textId="77777777" w:rsidR="009616CB" w:rsidRPr="00B84212" w:rsidRDefault="009616CB" w:rsidP="009616CB">
            <w:pPr>
              <w:jc w:val="right"/>
              <w:rPr>
                <w:sz w:val="20"/>
                <w:szCs w:val="20"/>
              </w:rPr>
            </w:pPr>
          </w:p>
        </w:tc>
      </w:tr>
      <w:tr w:rsidR="009616CB" w:rsidRPr="00B84212" w14:paraId="59AE6FEB" w14:textId="77777777" w:rsidTr="009616CB">
        <w:trPr>
          <w:trHeight w:val="259"/>
        </w:trPr>
        <w:tc>
          <w:tcPr>
            <w:tcW w:w="195" w:type="pct"/>
            <w:vAlign w:val="center"/>
          </w:tcPr>
          <w:p w14:paraId="7D6F6CCF" w14:textId="77777777" w:rsidR="009616CB" w:rsidRPr="00B84212" w:rsidRDefault="009616CB" w:rsidP="009616CB">
            <w:pPr>
              <w:rPr>
                <w:sz w:val="20"/>
                <w:szCs w:val="20"/>
              </w:rPr>
            </w:pPr>
          </w:p>
        </w:tc>
        <w:tc>
          <w:tcPr>
            <w:tcW w:w="3386" w:type="pct"/>
            <w:vAlign w:val="center"/>
          </w:tcPr>
          <w:p w14:paraId="36AE321E" w14:textId="77777777" w:rsidR="009616CB" w:rsidRPr="00B84212" w:rsidRDefault="009616CB" w:rsidP="009616CB">
            <w:pPr>
              <w:rPr>
                <w:sz w:val="20"/>
                <w:szCs w:val="20"/>
              </w:rPr>
            </w:pPr>
            <w:r>
              <w:rPr>
                <w:sz w:val="20"/>
                <w:szCs w:val="20"/>
              </w:rPr>
              <w:t>To reflect 5 percent excessive I&amp;I adjustment.</w:t>
            </w:r>
          </w:p>
        </w:tc>
        <w:tc>
          <w:tcPr>
            <w:tcW w:w="1419" w:type="pct"/>
            <w:vAlign w:val="center"/>
          </w:tcPr>
          <w:p w14:paraId="53C5788C" w14:textId="77777777" w:rsidR="009616CB" w:rsidRPr="0055506B" w:rsidRDefault="009616CB" w:rsidP="009616CB">
            <w:pPr>
              <w:jc w:val="right"/>
              <w:rPr>
                <w:sz w:val="20"/>
                <w:szCs w:val="20"/>
                <w:u w:val="double"/>
              </w:rPr>
            </w:pPr>
            <w:r w:rsidRPr="0055506B">
              <w:rPr>
                <w:sz w:val="20"/>
                <w:szCs w:val="20"/>
                <w:u w:val="double"/>
              </w:rPr>
              <w:t>($</w:t>
            </w:r>
            <w:r>
              <w:rPr>
                <w:sz w:val="20"/>
                <w:szCs w:val="20"/>
                <w:u w:val="double"/>
              </w:rPr>
              <w:t>288</w:t>
            </w:r>
            <w:r w:rsidRPr="0055506B">
              <w:rPr>
                <w:sz w:val="20"/>
                <w:szCs w:val="20"/>
                <w:u w:val="double"/>
              </w:rPr>
              <w:t>)</w:t>
            </w:r>
          </w:p>
        </w:tc>
      </w:tr>
      <w:tr w:rsidR="009616CB" w:rsidRPr="00B84212" w14:paraId="5A5B3EB3" w14:textId="77777777" w:rsidTr="009616CB">
        <w:trPr>
          <w:trHeight w:val="259"/>
        </w:trPr>
        <w:tc>
          <w:tcPr>
            <w:tcW w:w="195" w:type="pct"/>
            <w:vAlign w:val="center"/>
          </w:tcPr>
          <w:p w14:paraId="14087B24" w14:textId="77777777" w:rsidR="009616CB" w:rsidRPr="00B84212" w:rsidRDefault="009616CB" w:rsidP="009616CB">
            <w:pPr>
              <w:rPr>
                <w:sz w:val="20"/>
                <w:szCs w:val="20"/>
              </w:rPr>
            </w:pPr>
          </w:p>
        </w:tc>
        <w:tc>
          <w:tcPr>
            <w:tcW w:w="3386" w:type="pct"/>
            <w:vAlign w:val="center"/>
          </w:tcPr>
          <w:p w14:paraId="2468D5B8" w14:textId="77777777" w:rsidR="009616CB" w:rsidRPr="00B84212" w:rsidRDefault="009616CB" w:rsidP="009616CB">
            <w:pPr>
              <w:rPr>
                <w:sz w:val="20"/>
                <w:szCs w:val="20"/>
              </w:rPr>
            </w:pPr>
          </w:p>
        </w:tc>
        <w:tc>
          <w:tcPr>
            <w:tcW w:w="1419" w:type="pct"/>
            <w:vAlign w:val="center"/>
          </w:tcPr>
          <w:p w14:paraId="64DBABD0" w14:textId="77777777" w:rsidR="009616CB" w:rsidRPr="00B84212" w:rsidRDefault="009616CB" w:rsidP="009616CB">
            <w:pPr>
              <w:jc w:val="right"/>
              <w:rPr>
                <w:sz w:val="20"/>
                <w:szCs w:val="20"/>
              </w:rPr>
            </w:pPr>
          </w:p>
        </w:tc>
      </w:tr>
      <w:tr w:rsidR="009616CB" w:rsidRPr="00B84212" w14:paraId="0F49C262" w14:textId="77777777" w:rsidTr="009616CB">
        <w:trPr>
          <w:trHeight w:val="259"/>
        </w:trPr>
        <w:tc>
          <w:tcPr>
            <w:tcW w:w="195" w:type="pct"/>
            <w:vAlign w:val="center"/>
          </w:tcPr>
          <w:p w14:paraId="798147B1" w14:textId="77777777" w:rsidR="009616CB" w:rsidRPr="00B84212" w:rsidRDefault="009616CB" w:rsidP="009616CB">
            <w:pPr>
              <w:rPr>
                <w:sz w:val="20"/>
                <w:szCs w:val="20"/>
              </w:rPr>
            </w:pPr>
            <w:r>
              <w:rPr>
                <w:sz w:val="20"/>
                <w:szCs w:val="20"/>
              </w:rPr>
              <w:t>2.</w:t>
            </w:r>
          </w:p>
        </w:tc>
        <w:tc>
          <w:tcPr>
            <w:tcW w:w="3386" w:type="pct"/>
            <w:vAlign w:val="center"/>
          </w:tcPr>
          <w:p w14:paraId="6FA85C5D" w14:textId="77777777" w:rsidR="009616CB" w:rsidRPr="00B84212" w:rsidRDefault="009616CB" w:rsidP="009616CB">
            <w:pPr>
              <w:rPr>
                <w:sz w:val="20"/>
                <w:szCs w:val="20"/>
              </w:rPr>
            </w:pPr>
            <w:r>
              <w:rPr>
                <w:sz w:val="20"/>
                <w:szCs w:val="20"/>
              </w:rPr>
              <w:t>Chemicals (718)</w:t>
            </w:r>
          </w:p>
        </w:tc>
        <w:tc>
          <w:tcPr>
            <w:tcW w:w="1419" w:type="pct"/>
            <w:vAlign w:val="center"/>
          </w:tcPr>
          <w:p w14:paraId="28EC60C9" w14:textId="77777777" w:rsidR="009616CB" w:rsidRPr="00B84212" w:rsidRDefault="009616CB" w:rsidP="009616CB">
            <w:pPr>
              <w:jc w:val="right"/>
              <w:rPr>
                <w:sz w:val="20"/>
                <w:szCs w:val="20"/>
              </w:rPr>
            </w:pPr>
          </w:p>
        </w:tc>
      </w:tr>
      <w:tr w:rsidR="009616CB" w:rsidRPr="00B84212" w14:paraId="36E27B9C" w14:textId="77777777" w:rsidTr="009616CB">
        <w:trPr>
          <w:trHeight w:val="259"/>
        </w:trPr>
        <w:tc>
          <w:tcPr>
            <w:tcW w:w="195" w:type="pct"/>
            <w:vAlign w:val="center"/>
          </w:tcPr>
          <w:p w14:paraId="1BB2E865" w14:textId="77777777" w:rsidR="009616CB" w:rsidRPr="00B84212" w:rsidRDefault="009616CB" w:rsidP="009616CB">
            <w:pPr>
              <w:rPr>
                <w:sz w:val="20"/>
                <w:szCs w:val="20"/>
              </w:rPr>
            </w:pPr>
          </w:p>
        </w:tc>
        <w:tc>
          <w:tcPr>
            <w:tcW w:w="3386" w:type="pct"/>
            <w:vAlign w:val="center"/>
          </w:tcPr>
          <w:p w14:paraId="398A2669" w14:textId="77777777" w:rsidR="009616CB" w:rsidRPr="00B84212" w:rsidRDefault="009616CB" w:rsidP="009616CB">
            <w:pPr>
              <w:rPr>
                <w:sz w:val="20"/>
                <w:szCs w:val="20"/>
              </w:rPr>
            </w:pPr>
            <w:r>
              <w:rPr>
                <w:sz w:val="20"/>
                <w:szCs w:val="20"/>
              </w:rPr>
              <w:t>To reflect 5 percent excessive I&amp;I adjustment.</w:t>
            </w:r>
          </w:p>
        </w:tc>
        <w:tc>
          <w:tcPr>
            <w:tcW w:w="1419" w:type="pct"/>
            <w:vAlign w:val="center"/>
          </w:tcPr>
          <w:p w14:paraId="03F05B12" w14:textId="77777777" w:rsidR="009616CB" w:rsidRPr="0055506B" w:rsidRDefault="009616CB" w:rsidP="009616CB">
            <w:pPr>
              <w:jc w:val="right"/>
              <w:rPr>
                <w:sz w:val="20"/>
                <w:szCs w:val="20"/>
                <w:u w:val="double"/>
              </w:rPr>
            </w:pPr>
            <w:r w:rsidRPr="0055506B">
              <w:rPr>
                <w:sz w:val="20"/>
                <w:szCs w:val="20"/>
                <w:u w:val="double"/>
              </w:rPr>
              <w:t>($1</w:t>
            </w:r>
            <w:r>
              <w:rPr>
                <w:sz w:val="20"/>
                <w:szCs w:val="20"/>
                <w:u w:val="double"/>
              </w:rPr>
              <w:t>21</w:t>
            </w:r>
            <w:r w:rsidRPr="0055506B">
              <w:rPr>
                <w:sz w:val="20"/>
                <w:szCs w:val="20"/>
                <w:u w:val="double"/>
              </w:rPr>
              <w:t>)</w:t>
            </w:r>
          </w:p>
        </w:tc>
      </w:tr>
      <w:tr w:rsidR="009616CB" w:rsidRPr="00B84212" w14:paraId="56147B6F" w14:textId="77777777" w:rsidTr="009616CB">
        <w:trPr>
          <w:trHeight w:val="259"/>
        </w:trPr>
        <w:tc>
          <w:tcPr>
            <w:tcW w:w="195" w:type="pct"/>
            <w:vAlign w:val="center"/>
          </w:tcPr>
          <w:p w14:paraId="29ACE0BF" w14:textId="77777777" w:rsidR="009616CB" w:rsidRPr="00B84212" w:rsidRDefault="009616CB" w:rsidP="009616CB">
            <w:pPr>
              <w:rPr>
                <w:sz w:val="20"/>
                <w:szCs w:val="20"/>
              </w:rPr>
            </w:pPr>
          </w:p>
        </w:tc>
        <w:tc>
          <w:tcPr>
            <w:tcW w:w="3386" w:type="pct"/>
            <w:vAlign w:val="center"/>
          </w:tcPr>
          <w:p w14:paraId="6836C764" w14:textId="77777777" w:rsidR="009616CB" w:rsidRPr="00B84212" w:rsidRDefault="009616CB" w:rsidP="009616CB">
            <w:pPr>
              <w:rPr>
                <w:sz w:val="20"/>
                <w:szCs w:val="20"/>
              </w:rPr>
            </w:pPr>
          </w:p>
        </w:tc>
        <w:tc>
          <w:tcPr>
            <w:tcW w:w="1419" w:type="pct"/>
            <w:vAlign w:val="center"/>
          </w:tcPr>
          <w:p w14:paraId="188C3686" w14:textId="77777777" w:rsidR="009616CB" w:rsidRPr="00B84212" w:rsidRDefault="009616CB" w:rsidP="009616CB">
            <w:pPr>
              <w:jc w:val="right"/>
              <w:rPr>
                <w:sz w:val="20"/>
                <w:szCs w:val="20"/>
              </w:rPr>
            </w:pPr>
          </w:p>
        </w:tc>
      </w:tr>
      <w:tr w:rsidR="009616CB" w:rsidRPr="00B84212" w14:paraId="0F879A06" w14:textId="77777777" w:rsidTr="009616CB">
        <w:trPr>
          <w:trHeight w:val="259"/>
        </w:trPr>
        <w:tc>
          <w:tcPr>
            <w:tcW w:w="195" w:type="pct"/>
            <w:vAlign w:val="center"/>
          </w:tcPr>
          <w:p w14:paraId="6AD03979" w14:textId="77777777" w:rsidR="009616CB" w:rsidRPr="00B84212" w:rsidRDefault="009616CB" w:rsidP="009616CB">
            <w:pPr>
              <w:rPr>
                <w:sz w:val="20"/>
                <w:szCs w:val="20"/>
              </w:rPr>
            </w:pPr>
            <w:r>
              <w:rPr>
                <w:sz w:val="20"/>
                <w:szCs w:val="20"/>
              </w:rPr>
              <w:t>3.</w:t>
            </w:r>
          </w:p>
        </w:tc>
        <w:tc>
          <w:tcPr>
            <w:tcW w:w="3386" w:type="pct"/>
            <w:vAlign w:val="center"/>
          </w:tcPr>
          <w:p w14:paraId="5139C33A" w14:textId="77777777" w:rsidR="009616CB" w:rsidRPr="00B84212" w:rsidRDefault="009616CB" w:rsidP="009616CB">
            <w:pPr>
              <w:rPr>
                <w:sz w:val="20"/>
                <w:szCs w:val="20"/>
              </w:rPr>
            </w:pPr>
            <w:r w:rsidRPr="00B84212">
              <w:rPr>
                <w:sz w:val="20"/>
                <w:szCs w:val="20"/>
              </w:rPr>
              <w:t>Contractual Services – Engineering (731)</w:t>
            </w:r>
          </w:p>
        </w:tc>
        <w:tc>
          <w:tcPr>
            <w:tcW w:w="1419" w:type="pct"/>
            <w:vAlign w:val="center"/>
          </w:tcPr>
          <w:p w14:paraId="3003740B" w14:textId="77777777" w:rsidR="009616CB" w:rsidRPr="00B84212" w:rsidRDefault="009616CB" w:rsidP="009616CB">
            <w:pPr>
              <w:jc w:val="right"/>
              <w:rPr>
                <w:sz w:val="20"/>
                <w:szCs w:val="20"/>
              </w:rPr>
            </w:pPr>
          </w:p>
        </w:tc>
      </w:tr>
      <w:tr w:rsidR="009616CB" w:rsidRPr="00B84212" w14:paraId="726DF511" w14:textId="77777777" w:rsidTr="009616CB">
        <w:trPr>
          <w:trHeight w:val="259"/>
        </w:trPr>
        <w:tc>
          <w:tcPr>
            <w:tcW w:w="195" w:type="pct"/>
            <w:vAlign w:val="center"/>
          </w:tcPr>
          <w:p w14:paraId="602C8B5B" w14:textId="77777777" w:rsidR="009616CB" w:rsidRPr="00B84212" w:rsidRDefault="009616CB" w:rsidP="009616CB">
            <w:pPr>
              <w:rPr>
                <w:sz w:val="20"/>
                <w:szCs w:val="20"/>
              </w:rPr>
            </w:pPr>
          </w:p>
        </w:tc>
        <w:tc>
          <w:tcPr>
            <w:tcW w:w="3386" w:type="pct"/>
            <w:vAlign w:val="center"/>
          </w:tcPr>
          <w:p w14:paraId="27EAFE39" w14:textId="77777777" w:rsidR="009616CB" w:rsidRPr="00B84212" w:rsidRDefault="009616CB" w:rsidP="009616CB">
            <w:pPr>
              <w:rPr>
                <w:sz w:val="20"/>
                <w:szCs w:val="20"/>
              </w:rPr>
            </w:pPr>
            <w:r w:rsidRPr="00B84212">
              <w:rPr>
                <w:sz w:val="20"/>
                <w:szCs w:val="20"/>
              </w:rPr>
              <w:t>a. To reflect appropriate 5-year amortization of permit transfer work.</w:t>
            </w:r>
          </w:p>
        </w:tc>
        <w:tc>
          <w:tcPr>
            <w:tcW w:w="1419" w:type="pct"/>
            <w:vAlign w:val="center"/>
          </w:tcPr>
          <w:p w14:paraId="7D279437" w14:textId="77777777" w:rsidR="009616CB" w:rsidRPr="00B84212" w:rsidRDefault="009616CB" w:rsidP="009616CB">
            <w:pPr>
              <w:jc w:val="right"/>
              <w:rPr>
                <w:sz w:val="20"/>
                <w:szCs w:val="20"/>
              </w:rPr>
            </w:pPr>
            <w:r w:rsidRPr="00B84212">
              <w:rPr>
                <w:sz w:val="20"/>
                <w:szCs w:val="20"/>
              </w:rPr>
              <w:t>($960)</w:t>
            </w:r>
          </w:p>
        </w:tc>
      </w:tr>
      <w:tr w:rsidR="009616CB" w:rsidRPr="00B84212" w14:paraId="7ABB1041" w14:textId="77777777" w:rsidTr="009616CB">
        <w:trPr>
          <w:trHeight w:val="259"/>
        </w:trPr>
        <w:tc>
          <w:tcPr>
            <w:tcW w:w="195" w:type="pct"/>
            <w:vAlign w:val="center"/>
          </w:tcPr>
          <w:p w14:paraId="7F5F8D60" w14:textId="77777777" w:rsidR="009616CB" w:rsidRPr="00B84212" w:rsidRDefault="009616CB" w:rsidP="009616CB">
            <w:pPr>
              <w:rPr>
                <w:sz w:val="20"/>
                <w:szCs w:val="20"/>
              </w:rPr>
            </w:pPr>
          </w:p>
        </w:tc>
        <w:tc>
          <w:tcPr>
            <w:tcW w:w="3386" w:type="pct"/>
            <w:vAlign w:val="center"/>
          </w:tcPr>
          <w:p w14:paraId="0FBF93FD" w14:textId="77777777" w:rsidR="009616CB" w:rsidRPr="00B84212" w:rsidRDefault="009616CB" w:rsidP="009616CB">
            <w:pPr>
              <w:rPr>
                <w:sz w:val="20"/>
                <w:szCs w:val="20"/>
              </w:rPr>
            </w:pPr>
            <w:r w:rsidRPr="00B84212">
              <w:rPr>
                <w:sz w:val="20"/>
                <w:szCs w:val="20"/>
              </w:rPr>
              <w:t>b. To reflect appropriate 5-year amortization of service territory maps.</w:t>
            </w:r>
          </w:p>
        </w:tc>
        <w:tc>
          <w:tcPr>
            <w:tcW w:w="1419" w:type="pct"/>
            <w:vAlign w:val="center"/>
          </w:tcPr>
          <w:p w14:paraId="439D0AFB" w14:textId="77777777" w:rsidR="009616CB" w:rsidRPr="00B84212" w:rsidRDefault="009616CB" w:rsidP="009616CB">
            <w:pPr>
              <w:jc w:val="right"/>
              <w:rPr>
                <w:sz w:val="20"/>
                <w:szCs w:val="20"/>
                <w:u w:val="single"/>
              </w:rPr>
            </w:pPr>
            <w:r w:rsidRPr="00B84212">
              <w:rPr>
                <w:sz w:val="20"/>
                <w:szCs w:val="20"/>
                <w:u w:val="single"/>
              </w:rPr>
              <w:t>1,244</w:t>
            </w:r>
          </w:p>
        </w:tc>
      </w:tr>
      <w:tr w:rsidR="009616CB" w:rsidRPr="00B84212" w14:paraId="34AC0230" w14:textId="77777777" w:rsidTr="009616CB">
        <w:trPr>
          <w:trHeight w:val="259"/>
        </w:trPr>
        <w:tc>
          <w:tcPr>
            <w:tcW w:w="195" w:type="pct"/>
            <w:vAlign w:val="center"/>
          </w:tcPr>
          <w:p w14:paraId="756B7BFB" w14:textId="77777777" w:rsidR="009616CB" w:rsidRPr="00B84212" w:rsidRDefault="009616CB" w:rsidP="009616CB">
            <w:pPr>
              <w:rPr>
                <w:sz w:val="20"/>
                <w:szCs w:val="20"/>
              </w:rPr>
            </w:pPr>
          </w:p>
        </w:tc>
        <w:tc>
          <w:tcPr>
            <w:tcW w:w="3386" w:type="pct"/>
            <w:vAlign w:val="center"/>
          </w:tcPr>
          <w:p w14:paraId="37803B74" w14:textId="77777777" w:rsidR="009616CB" w:rsidRPr="00B84212" w:rsidRDefault="009616CB" w:rsidP="009616CB">
            <w:pPr>
              <w:rPr>
                <w:sz w:val="20"/>
                <w:szCs w:val="20"/>
              </w:rPr>
            </w:pPr>
            <w:r w:rsidRPr="00B84212">
              <w:rPr>
                <w:sz w:val="20"/>
                <w:szCs w:val="20"/>
              </w:rPr>
              <w:t xml:space="preserve">     Subtotal</w:t>
            </w:r>
          </w:p>
        </w:tc>
        <w:tc>
          <w:tcPr>
            <w:tcW w:w="1419" w:type="pct"/>
            <w:vAlign w:val="center"/>
          </w:tcPr>
          <w:p w14:paraId="4D75A0F0" w14:textId="77777777" w:rsidR="009616CB" w:rsidRPr="00B84212" w:rsidRDefault="009616CB" w:rsidP="009616CB">
            <w:pPr>
              <w:jc w:val="right"/>
              <w:rPr>
                <w:sz w:val="20"/>
                <w:szCs w:val="20"/>
                <w:u w:val="double"/>
              </w:rPr>
            </w:pPr>
            <w:r w:rsidRPr="00B84212">
              <w:rPr>
                <w:sz w:val="20"/>
                <w:szCs w:val="20"/>
                <w:u w:val="double"/>
              </w:rPr>
              <w:t>$284</w:t>
            </w:r>
          </w:p>
        </w:tc>
      </w:tr>
      <w:tr w:rsidR="009616CB" w:rsidRPr="00B84212" w14:paraId="08EE8DEB" w14:textId="77777777" w:rsidTr="009616CB">
        <w:trPr>
          <w:trHeight w:val="259"/>
        </w:trPr>
        <w:tc>
          <w:tcPr>
            <w:tcW w:w="195" w:type="pct"/>
            <w:vAlign w:val="center"/>
          </w:tcPr>
          <w:p w14:paraId="45DCAD99" w14:textId="77777777" w:rsidR="009616CB" w:rsidRPr="00B84212" w:rsidRDefault="009616CB" w:rsidP="009616CB">
            <w:pPr>
              <w:rPr>
                <w:sz w:val="20"/>
                <w:szCs w:val="20"/>
              </w:rPr>
            </w:pPr>
          </w:p>
        </w:tc>
        <w:tc>
          <w:tcPr>
            <w:tcW w:w="3386" w:type="pct"/>
            <w:vAlign w:val="center"/>
          </w:tcPr>
          <w:p w14:paraId="3DFCAF55" w14:textId="77777777" w:rsidR="009616CB" w:rsidRPr="00B84212" w:rsidRDefault="009616CB" w:rsidP="009616CB">
            <w:pPr>
              <w:rPr>
                <w:sz w:val="20"/>
                <w:szCs w:val="20"/>
              </w:rPr>
            </w:pPr>
          </w:p>
        </w:tc>
        <w:tc>
          <w:tcPr>
            <w:tcW w:w="1419" w:type="pct"/>
            <w:vAlign w:val="center"/>
          </w:tcPr>
          <w:p w14:paraId="21DF272C" w14:textId="77777777" w:rsidR="009616CB" w:rsidRPr="00B84212" w:rsidRDefault="009616CB" w:rsidP="009616CB">
            <w:pPr>
              <w:jc w:val="right"/>
              <w:rPr>
                <w:sz w:val="20"/>
                <w:szCs w:val="20"/>
              </w:rPr>
            </w:pPr>
          </w:p>
        </w:tc>
      </w:tr>
      <w:tr w:rsidR="009616CB" w:rsidRPr="00B84212" w14:paraId="1113D188" w14:textId="77777777" w:rsidTr="009616CB">
        <w:trPr>
          <w:trHeight w:val="259"/>
        </w:trPr>
        <w:tc>
          <w:tcPr>
            <w:tcW w:w="195" w:type="pct"/>
            <w:vAlign w:val="center"/>
          </w:tcPr>
          <w:p w14:paraId="42C7160F" w14:textId="77777777" w:rsidR="009616CB" w:rsidRPr="00B84212" w:rsidRDefault="009616CB" w:rsidP="009616CB">
            <w:pPr>
              <w:rPr>
                <w:sz w:val="20"/>
                <w:szCs w:val="20"/>
              </w:rPr>
            </w:pPr>
            <w:r>
              <w:rPr>
                <w:sz w:val="20"/>
                <w:szCs w:val="20"/>
              </w:rPr>
              <w:t>4</w:t>
            </w:r>
            <w:r w:rsidRPr="00B84212">
              <w:rPr>
                <w:sz w:val="20"/>
                <w:szCs w:val="20"/>
              </w:rPr>
              <w:t xml:space="preserve">. </w:t>
            </w:r>
          </w:p>
        </w:tc>
        <w:tc>
          <w:tcPr>
            <w:tcW w:w="3386" w:type="pct"/>
            <w:vAlign w:val="center"/>
          </w:tcPr>
          <w:p w14:paraId="6AA6254C" w14:textId="77777777" w:rsidR="009616CB" w:rsidRPr="00B84212" w:rsidRDefault="009616CB" w:rsidP="009616CB">
            <w:pPr>
              <w:rPr>
                <w:sz w:val="20"/>
                <w:szCs w:val="20"/>
              </w:rPr>
            </w:pPr>
            <w:r w:rsidRPr="00B84212">
              <w:rPr>
                <w:sz w:val="20"/>
                <w:szCs w:val="20"/>
              </w:rPr>
              <w:t>Contractual Services – Other (736)</w:t>
            </w:r>
          </w:p>
        </w:tc>
        <w:tc>
          <w:tcPr>
            <w:tcW w:w="1419" w:type="pct"/>
            <w:vAlign w:val="center"/>
          </w:tcPr>
          <w:p w14:paraId="02F1CB60" w14:textId="77777777" w:rsidR="009616CB" w:rsidRPr="00B84212" w:rsidRDefault="009616CB" w:rsidP="009616CB">
            <w:pPr>
              <w:jc w:val="right"/>
              <w:rPr>
                <w:sz w:val="20"/>
                <w:szCs w:val="20"/>
              </w:rPr>
            </w:pPr>
          </w:p>
        </w:tc>
      </w:tr>
      <w:tr w:rsidR="009616CB" w:rsidRPr="00B84212" w14:paraId="4102C7CA" w14:textId="77777777" w:rsidTr="009616CB">
        <w:trPr>
          <w:trHeight w:val="259"/>
        </w:trPr>
        <w:tc>
          <w:tcPr>
            <w:tcW w:w="195" w:type="pct"/>
            <w:vAlign w:val="center"/>
          </w:tcPr>
          <w:p w14:paraId="405A15F7" w14:textId="77777777" w:rsidR="009616CB" w:rsidRPr="00B84212" w:rsidRDefault="009616CB" w:rsidP="009616CB">
            <w:pPr>
              <w:rPr>
                <w:sz w:val="20"/>
                <w:szCs w:val="20"/>
              </w:rPr>
            </w:pPr>
          </w:p>
        </w:tc>
        <w:tc>
          <w:tcPr>
            <w:tcW w:w="3386" w:type="pct"/>
            <w:vAlign w:val="center"/>
          </w:tcPr>
          <w:p w14:paraId="5B09811E" w14:textId="77777777" w:rsidR="009616CB" w:rsidRPr="00B84212" w:rsidRDefault="009616CB" w:rsidP="009616CB">
            <w:pPr>
              <w:rPr>
                <w:sz w:val="20"/>
                <w:szCs w:val="20"/>
              </w:rPr>
            </w:pPr>
            <w:r>
              <w:rPr>
                <w:sz w:val="20"/>
                <w:szCs w:val="20"/>
              </w:rPr>
              <w:t>To reflect the new US Water contract amount.</w:t>
            </w:r>
          </w:p>
        </w:tc>
        <w:tc>
          <w:tcPr>
            <w:tcW w:w="1419" w:type="pct"/>
            <w:vAlign w:val="center"/>
          </w:tcPr>
          <w:p w14:paraId="16AB3451" w14:textId="77777777" w:rsidR="009616CB" w:rsidRPr="00B84212" w:rsidRDefault="009616CB" w:rsidP="009616CB">
            <w:pPr>
              <w:jc w:val="right"/>
              <w:rPr>
                <w:sz w:val="20"/>
                <w:szCs w:val="20"/>
                <w:u w:val="double"/>
              </w:rPr>
            </w:pPr>
            <w:r w:rsidRPr="00B84212">
              <w:rPr>
                <w:sz w:val="20"/>
                <w:szCs w:val="20"/>
                <w:u w:val="double"/>
              </w:rPr>
              <w:t>$1,088</w:t>
            </w:r>
          </w:p>
        </w:tc>
      </w:tr>
      <w:tr w:rsidR="009616CB" w:rsidRPr="00B84212" w14:paraId="393289C1" w14:textId="77777777" w:rsidTr="009616CB">
        <w:trPr>
          <w:trHeight w:val="259"/>
        </w:trPr>
        <w:tc>
          <w:tcPr>
            <w:tcW w:w="195" w:type="pct"/>
            <w:vAlign w:val="center"/>
          </w:tcPr>
          <w:p w14:paraId="22B76B59" w14:textId="77777777" w:rsidR="009616CB" w:rsidRPr="00B84212" w:rsidRDefault="009616CB" w:rsidP="009616CB">
            <w:pPr>
              <w:rPr>
                <w:sz w:val="20"/>
                <w:szCs w:val="20"/>
              </w:rPr>
            </w:pPr>
          </w:p>
        </w:tc>
        <w:tc>
          <w:tcPr>
            <w:tcW w:w="3386" w:type="pct"/>
            <w:vAlign w:val="center"/>
          </w:tcPr>
          <w:p w14:paraId="719DFC70" w14:textId="77777777" w:rsidR="009616CB" w:rsidRDefault="009616CB" w:rsidP="009616CB">
            <w:pPr>
              <w:rPr>
                <w:sz w:val="20"/>
                <w:szCs w:val="20"/>
              </w:rPr>
            </w:pPr>
          </w:p>
        </w:tc>
        <w:tc>
          <w:tcPr>
            <w:tcW w:w="1419" w:type="pct"/>
            <w:vAlign w:val="center"/>
          </w:tcPr>
          <w:p w14:paraId="54EA3CFD" w14:textId="77777777" w:rsidR="009616CB" w:rsidRDefault="009616CB" w:rsidP="009616CB">
            <w:pPr>
              <w:jc w:val="right"/>
              <w:rPr>
                <w:sz w:val="20"/>
                <w:szCs w:val="20"/>
              </w:rPr>
            </w:pPr>
          </w:p>
        </w:tc>
      </w:tr>
      <w:tr w:rsidR="009616CB" w:rsidRPr="00B84212" w14:paraId="702E9CED" w14:textId="77777777" w:rsidTr="009616CB">
        <w:trPr>
          <w:trHeight w:val="259"/>
        </w:trPr>
        <w:tc>
          <w:tcPr>
            <w:tcW w:w="195" w:type="pct"/>
            <w:vAlign w:val="center"/>
          </w:tcPr>
          <w:p w14:paraId="62DB94C4" w14:textId="77777777" w:rsidR="009616CB" w:rsidRPr="00B84212" w:rsidRDefault="009616CB" w:rsidP="009616CB">
            <w:pPr>
              <w:rPr>
                <w:sz w:val="20"/>
                <w:szCs w:val="20"/>
              </w:rPr>
            </w:pPr>
            <w:r>
              <w:rPr>
                <w:sz w:val="20"/>
                <w:szCs w:val="20"/>
              </w:rPr>
              <w:t>5.</w:t>
            </w:r>
          </w:p>
        </w:tc>
        <w:tc>
          <w:tcPr>
            <w:tcW w:w="3386" w:type="pct"/>
            <w:vAlign w:val="center"/>
          </w:tcPr>
          <w:p w14:paraId="1CE71360" w14:textId="77777777" w:rsidR="009616CB" w:rsidRDefault="009616CB" w:rsidP="009616CB">
            <w:pPr>
              <w:rPr>
                <w:sz w:val="20"/>
                <w:szCs w:val="20"/>
              </w:rPr>
            </w:pPr>
            <w:r>
              <w:rPr>
                <w:sz w:val="20"/>
                <w:szCs w:val="20"/>
              </w:rPr>
              <w:t>Insurance Expenses (755)</w:t>
            </w:r>
          </w:p>
        </w:tc>
        <w:tc>
          <w:tcPr>
            <w:tcW w:w="1419" w:type="pct"/>
            <w:vAlign w:val="center"/>
          </w:tcPr>
          <w:p w14:paraId="67DEFA20" w14:textId="77777777" w:rsidR="009616CB" w:rsidRDefault="009616CB" w:rsidP="009616CB">
            <w:pPr>
              <w:jc w:val="right"/>
              <w:rPr>
                <w:sz w:val="20"/>
                <w:szCs w:val="20"/>
              </w:rPr>
            </w:pPr>
          </w:p>
        </w:tc>
      </w:tr>
      <w:tr w:rsidR="009616CB" w:rsidRPr="00B84212" w14:paraId="09663022" w14:textId="77777777" w:rsidTr="009616CB">
        <w:trPr>
          <w:trHeight w:val="259"/>
        </w:trPr>
        <w:tc>
          <w:tcPr>
            <w:tcW w:w="195" w:type="pct"/>
            <w:vAlign w:val="center"/>
          </w:tcPr>
          <w:p w14:paraId="4747213D" w14:textId="77777777" w:rsidR="009616CB" w:rsidRDefault="009616CB" w:rsidP="009616CB">
            <w:pPr>
              <w:rPr>
                <w:sz w:val="20"/>
                <w:szCs w:val="20"/>
              </w:rPr>
            </w:pPr>
          </w:p>
        </w:tc>
        <w:tc>
          <w:tcPr>
            <w:tcW w:w="3386" w:type="pct"/>
            <w:vAlign w:val="center"/>
          </w:tcPr>
          <w:p w14:paraId="0ED305CB" w14:textId="77777777" w:rsidR="009616CB" w:rsidRDefault="009616CB" w:rsidP="009616CB">
            <w:pPr>
              <w:rPr>
                <w:sz w:val="20"/>
                <w:szCs w:val="20"/>
              </w:rPr>
            </w:pPr>
            <w:r>
              <w:rPr>
                <w:sz w:val="20"/>
                <w:szCs w:val="20"/>
              </w:rPr>
              <w:t>To reflect actual insurance expense.</w:t>
            </w:r>
          </w:p>
        </w:tc>
        <w:tc>
          <w:tcPr>
            <w:tcW w:w="1419" w:type="pct"/>
            <w:vAlign w:val="center"/>
          </w:tcPr>
          <w:p w14:paraId="5091EE0C" w14:textId="77777777" w:rsidR="009616CB" w:rsidRDefault="009616CB" w:rsidP="009616CB">
            <w:pPr>
              <w:jc w:val="right"/>
              <w:rPr>
                <w:sz w:val="20"/>
                <w:szCs w:val="20"/>
              </w:rPr>
            </w:pPr>
            <w:r w:rsidRPr="00B84212">
              <w:rPr>
                <w:sz w:val="20"/>
                <w:szCs w:val="20"/>
                <w:u w:val="double"/>
              </w:rPr>
              <w:t>($204)</w:t>
            </w:r>
          </w:p>
        </w:tc>
      </w:tr>
      <w:tr w:rsidR="009616CB" w:rsidRPr="00B84212" w14:paraId="2D09A17D" w14:textId="77777777" w:rsidTr="009616CB">
        <w:trPr>
          <w:trHeight w:val="259"/>
        </w:trPr>
        <w:tc>
          <w:tcPr>
            <w:tcW w:w="195" w:type="pct"/>
            <w:vAlign w:val="center"/>
          </w:tcPr>
          <w:p w14:paraId="30513FCD" w14:textId="77777777" w:rsidR="009616CB" w:rsidRDefault="009616CB" w:rsidP="009616CB">
            <w:pPr>
              <w:rPr>
                <w:sz w:val="20"/>
                <w:szCs w:val="20"/>
              </w:rPr>
            </w:pPr>
          </w:p>
        </w:tc>
        <w:tc>
          <w:tcPr>
            <w:tcW w:w="3386" w:type="pct"/>
            <w:vAlign w:val="center"/>
          </w:tcPr>
          <w:p w14:paraId="38095ED6" w14:textId="77777777" w:rsidR="009616CB" w:rsidRDefault="009616CB" w:rsidP="009616CB">
            <w:pPr>
              <w:rPr>
                <w:sz w:val="20"/>
                <w:szCs w:val="20"/>
              </w:rPr>
            </w:pPr>
          </w:p>
        </w:tc>
        <w:tc>
          <w:tcPr>
            <w:tcW w:w="1419" w:type="pct"/>
            <w:vAlign w:val="center"/>
          </w:tcPr>
          <w:p w14:paraId="5A87F688" w14:textId="77777777" w:rsidR="009616CB" w:rsidRDefault="009616CB" w:rsidP="009616CB">
            <w:pPr>
              <w:jc w:val="right"/>
              <w:rPr>
                <w:sz w:val="20"/>
                <w:szCs w:val="20"/>
              </w:rPr>
            </w:pPr>
          </w:p>
        </w:tc>
      </w:tr>
      <w:tr w:rsidR="009616CB" w:rsidRPr="00B84212" w14:paraId="4A4F4EB8" w14:textId="77777777" w:rsidTr="009616CB">
        <w:trPr>
          <w:trHeight w:val="259"/>
        </w:trPr>
        <w:tc>
          <w:tcPr>
            <w:tcW w:w="195" w:type="pct"/>
            <w:vAlign w:val="center"/>
          </w:tcPr>
          <w:p w14:paraId="65850955" w14:textId="77777777" w:rsidR="009616CB" w:rsidRDefault="009616CB" w:rsidP="009616CB">
            <w:pPr>
              <w:rPr>
                <w:sz w:val="20"/>
                <w:szCs w:val="20"/>
              </w:rPr>
            </w:pPr>
            <w:r>
              <w:rPr>
                <w:sz w:val="20"/>
                <w:szCs w:val="20"/>
              </w:rPr>
              <w:t>6.</w:t>
            </w:r>
          </w:p>
        </w:tc>
        <w:tc>
          <w:tcPr>
            <w:tcW w:w="3386" w:type="pct"/>
            <w:vAlign w:val="center"/>
          </w:tcPr>
          <w:p w14:paraId="3BC3E250" w14:textId="77777777" w:rsidR="009616CB" w:rsidRDefault="009616CB" w:rsidP="009616CB">
            <w:pPr>
              <w:rPr>
                <w:sz w:val="20"/>
                <w:szCs w:val="20"/>
              </w:rPr>
            </w:pPr>
            <w:r>
              <w:rPr>
                <w:sz w:val="20"/>
                <w:szCs w:val="20"/>
              </w:rPr>
              <w:t>Regulator Commission Expense (765)</w:t>
            </w:r>
          </w:p>
        </w:tc>
        <w:tc>
          <w:tcPr>
            <w:tcW w:w="1419" w:type="pct"/>
            <w:vAlign w:val="center"/>
          </w:tcPr>
          <w:p w14:paraId="64CDE822" w14:textId="77777777" w:rsidR="009616CB" w:rsidRDefault="009616CB" w:rsidP="009616CB">
            <w:pPr>
              <w:jc w:val="right"/>
              <w:rPr>
                <w:sz w:val="20"/>
                <w:szCs w:val="20"/>
              </w:rPr>
            </w:pPr>
          </w:p>
        </w:tc>
      </w:tr>
      <w:tr w:rsidR="009616CB" w:rsidRPr="00B84212" w14:paraId="3A330ACF" w14:textId="77777777" w:rsidTr="009616CB">
        <w:trPr>
          <w:trHeight w:val="259"/>
        </w:trPr>
        <w:tc>
          <w:tcPr>
            <w:tcW w:w="195" w:type="pct"/>
            <w:vAlign w:val="center"/>
          </w:tcPr>
          <w:p w14:paraId="5F8BD809" w14:textId="77777777" w:rsidR="009616CB" w:rsidRDefault="009616CB" w:rsidP="009616CB">
            <w:pPr>
              <w:rPr>
                <w:sz w:val="20"/>
                <w:szCs w:val="20"/>
              </w:rPr>
            </w:pPr>
          </w:p>
        </w:tc>
        <w:tc>
          <w:tcPr>
            <w:tcW w:w="3386" w:type="pct"/>
            <w:vAlign w:val="center"/>
          </w:tcPr>
          <w:p w14:paraId="12EBC064" w14:textId="77777777" w:rsidR="009616CB" w:rsidRDefault="009616CB" w:rsidP="009616CB">
            <w:pPr>
              <w:rPr>
                <w:sz w:val="20"/>
                <w:szCs w:val="20"/>
              </w:rPr>
            </w:pPr>
            <w:r>
              <w:rPr>
                <w:sz w:val="20"/>
                <w:szCs w:val="20"/>
              </w:rPr>
              <w:t>a. To reflect 5-year amortization of filing fee from transfer docket ($750 ÷ 5).</w:t>
            </w:r>
          </w:p>
        </w:tc>
        <w:tc>
          <w:tcPr>
            <w:tcW w:w="1419" w:type="pct"/>
            <w:vAlign w:val="center"/>
          </w:tcPr>
          <w:p w14:paraId="79407E1D" w14:textId="77777777" w:rsidR="009616CB" w:rsidRDefault="009616CB" w:rsidP="009616CB">
            <w:pPr>
              <w:jc w:val="right"/>
              <w:rPr>
                <w:sz w:val="20"/>
                <w:szCs w:val="20"/>
              </w:rPr>
            </w:pPr>
            <w:r>
              <w:rPr>
                <w:sz w:val="20"/>
                <w:szCs w:val="20"/>
              </w:rPr>
              <w:t>$150</w:t>
            </w:r>
          </w:p>
        </w:tc>
      </w:tr>
      <w:tr w:rsidR="009616CB" w:rsidRPr="00B84212" w14:paraId="43BAFA0C" w14:textId="77777777" w:rsidTr="009616CB">
        <w:trPr>
          <w:trHeight w:val="259"/>
        </w:trPr>
        <w:tc>
          <w:tcPr>
            <w:tcW w:w="195" w:type="pct"/>
            <w:vAlign w:val="center"/>
          </w:tcPr>
          <w:p w14:paraId="53326CCF" w14:textId="77777777" w:rsidR="009616CB" w:rsidRDefault="009616CB" w:rsidP="009616CB">
            <w:pPr>
              <w:rPr>
                <w:sz w:val="20"/>
                <w:szCs w:val="20"/>
              </w:rPr>
            </w:pPr>
          </w:p>
        </w:tc>
        <w:tc>
          <w:tcPr>
            <w:tcW w:w="3386" w:type="pct"/>
            <w:vAlign w:val="center"/>
          </w:tcPr>
          <w:p w14:paraId="50851139" w14:textId="77777777" w:rsidR="009616CB" w:rsidRDefault="009616CB" w:rsidP="009616CB">
            <w:pPr>
              <w:rPr>
                <w:sz w:val="20"/>
                <w:szCs w:val="20"/>
              </w:rPr>
            </w:pPr>
            <w:r>
              <w:rPr>
                <w:sz w:val="20"/>
                <w:szCs w:val="20"/>
              </w:rPr>
              <w:t>b. Allowance for rate case expense amortized over 4 years ($2,046 ÷ 4).</w:t>
            </w:r>
          </w:p>
        </w:tc>
        <w:tc>
          <w:tcPr>
            <w:tcW w:w="1419" w:type="pct"/>
            <w:vAlign w:val="center"/>
          </w:tcPr>
          <w:p w14:paraId="1BF29140" w14:textId="77777777" w:rsidR="009616CB" w:rsidRPr="00B84212" w:rsidRDefault="009616CB" w:rsidP="009616CB">
            <w:pPr>
              <w:jc w:val="right"/>
              <w:rPr>
                <w:sz w:val="20"/>
                <w:szCs w:val="20"/>
                <w:u w:val="single"/>
              </w:rPr>
            </w:pPr>
            <w:r>
              <w:rPr>
                <w:sz w:val="20"/>
                <w:szCs w:val="20"/>
                <w:u w:val="single"/>
              </w:rPr>
              <w:t>512</w:t>
            </w:r>
          </w:p>
        </w:tc>
      </w:tr>
      <w:tr w:rsidR="009616CB" w:rsidRPr="00B84212" w14:paraId="375E77FD" w14:textId="77777777" w:rsidTr="009616CB">
        <w:trPr>
          <w:trHeight w:val="259"/>
        </w:trPr>
        <w:tc>
          <w:tcPr>
            <w:tcW w:w="195" w:type="pct"/>
            <w:vAlign w:val="center"/>
          </w:tcPr>
          <w:p w14:paraId="7717883B" w14:textId="77777777" w:rsidR="009616CB" w:rsidRDefault="009616CB" w:rsidP="009616CB">
            <w:pPr>
              <w:rPr>
                <w:sz w:val="20"/>
                <w:szCs w:val="20"/>
              </w:rPr>
            </w:pPr>
          </w:p>
        </w:tc>
        <w:tc>
          <w:tcPr>
            <w:tcW w:w="3386" w:type="pct"/>
            <w:vAlign w:val="center"/>
          </w:tcPr>
          <w:p w14:paraId="5CD23286" w14:textId="77777777" w:rsidR="009616CB" w:rsidRDefault="009616CB" w:rsidP="009616CB">
            <w:pPr>
              <w:rPr>
                <w:sz w:val="20"/>
                <w:szCs w:val="20"/>
              </w:rPr>
            </w:pPr>
            <w:r>
              <w:rPr>
                <w:sz w:val="20"/>
                <w:szCs w:val="20"/>
              </w:rPr>
              <w:t xml:space="preserve">     Subtotal</w:t>
            </w:r>
          </w:p>
        </w:tc>
        <w:tc>
          <w:tcPr>
            <w:tcW w:w="1419" w:type="pct"/>
            <w:vAlign w:val="center"/>
          </w:tcPr>
          <w:p w14:paraId="06E91886" w14:textId="77777777" w:rsidR="009616CB" w:rsidRPr="00B84212" w:rsidRDefault="009616CB" w:rsidP="009616CB">
            <w:pPr>
              <w:jc w:val="right"/>
              <w:rPr>
                <w:sz w:val="20"/>
                <w:szCs w:val="20"/>
                <w:u w:val="double"/>
              </w:rPr>
            </w:pPr>
            <w:r w:rsidRPr="00B84212">
              <w:rPr>
                <w:sz w:val="20"/>
                <w:szCs w:val="20"/>
                <w:u w:val="double"/>
              </w:rPr>
              <w:t>$6</w:t>
            </w:r>
            <w:r>
              <w:rPr>
                <w:sz w:val="20"/>
                <w:szCs w:val="20"/>
                <w:u w:val="double"/>
              </w:rPr>
              <w:t>62</w:t>
            </w:r>
          </w:p>
        </w:tc>
      </w:tr>
      <w:tr w:rsidR="009616CB" w:rsidRPr="00B84212" w14:paraId="608F5422" w14:textId="77777777" w:rsidTr="009616CB">
        <w:trPr>
          <w:trHeight w:val="259"/>
        </w:trPr>
        <w:tc>
          <w:tcPr>
            <w:tcW w:w="195" w:type="pct"/>
            <w:vAlign w:val="center"/>
          </w:tcPr>
          <w:p w14:paraId="3E2DFE4D" w14:textId="77777777" w:rsidR="009616CB" w:rsidRDefault="009616CB" w:rsidP="009616CB">
            <w:pPr>
              <w:rPr>
                <w:sz w:val="20"/>
                <w:szCs w:val="20"/>
              </w:rPr>
            </w:pPr>
          </w:p>
        </w:tc>
        <w:tc>
          <w:tcPr>
            <w:tcW w:w="3386" w:type="pct"/>
            <w:vAlign w:val="center"/>
          </w:tcPr>
          <w:p w14:paraId="05819E34" w14:textId="77777777" w:rsidR="009616CB" w:rsidRDefault="009616CB" w:rsidP="009616CB">
            <w:pPr>
              <w:rPr>
                <w:sz w:val="20"/>
                <w:szCs w:val="20"/>
              </w:rPr>
            </w:pPr>
          </w:p>
        </w:tc>
        <w:tc>
          <w:tcPr>
            <w:tcW w:w="1419" w:type="pct"/>
            <w:vAlign w:val="center"/>
          </w:tcPr>
          <w:p w14:paraId="589ED647" w14:textId="77777777" w:rsidR="009616CB" w:rsidRDefault="009616CB" w:rsidP="009616CB">
            <w:pPr>
              <w:jc w:val="right"/>
              <w:rPr>
                <w:sz w:val="20"/>
                <w:szCs w:val="20"/>
              </w:rPr>
            </w:pPr>
          </w:p>
        </w:tc>
      </w:tr>
      <w:tr w:rsidR="009616CB" w:rsidRPr="00B84212" w14:paraId="02F5459F" w14:textId="77777777" w:rsidTr="009616CB">
        <w:trPr>
          <w:trHeight w:val="259"/>
        </w:trPr>
        <w:tc>
          <w:tcPr>
            <w:tcW w:w="195" w:type="pct"/>
            <w:vAlign w:val="center"/>
          </w:tcPr>
          <w:p w14:paraId="759B7D3B" w14:textId="77777777" w:rsidR="009616CB" w:rsidRDefault="009616CB" w:rsidP="009616CB">
            <w:pPr>
              <w:rPr>
                <w:sz w:val="20"/>
                <w:szCs w:val="20"/>
              </w:rPr>
            </w:pPr>
            <w:r>
              <w:rPr>
                <w:sz w:val="20"/>
                <w:szCs w:val="20"/>
              </w:rPr>
              <w:t>7.</w:t>
            </w:r>
          </w:p>
        </w:tc>
        <w:tc>
          <w:tcPr>
            <w:tcW w:w="3386" w:type="pct"/>
            <w:vAlign w:val="center"/>
          </w:tcPr>
          <w:p w14:paraId="69203B50" w14:textId="77777777" w:rsidR="009616CB" w:rsidRDefault="009616CB" w:rsidP="009616CB">
            <w:pPr>
              <w:rPr>
                <w:sz w:val="20"/>
                <w:szCs w:val="20"/>
              </w:rPr>
            </w:pPr>
            <w:r>
              <w:rPr>
                <w:sz w:val="20"/>
                <w:szCs w:val="20"/>
              </w:rPr>
              <w:t>Miscellaneous Expense (775)</w:t>
            </w:r>
          </w:p>
        </w:tc>
        <w:tc>
          <w:tcPr>
            <w:tcW w:w="1419" w:type="pct"/>
            <w:vAlign w:val="center"/>
          </w:tcPr>
          <w:p w14:paraId="14906812" w14:textId="77777777" w:rsidR="009616CB" w:rsidRDefault="009616CB" w:rsidP="009616CB">
            <w:pPr>
              <w:jc w:val="right"/>
              <w:rPr>
                <w:sz w:val="20"/>
                <w:szCs w:val="20"/>
              </w:rPr>
            </w:pPr>
          </w:p>
        </w:tc>
      </w:tr>
      <w:tr w:rsidR="009616CB" w:rsidRPr="00B84212" w14:paraId="7DDDF57E" w14:textId="77777777" w:rsidTr="009616CB">
        <w:trPr>
          <w:trHeight w:val="259"/>
        </w:trPr>
        <w:tc>
          <w:tcPr>
            <w:tcW w:w="195" w:type="pct"/>
            <w:vAlign w:val="center"/>
          </w:tcPr>
          <w:p w14:paraId="167C9864" w14:textId="77777777" w:rsidR="009616CB" w:rsidRDefault="009616CB" w:rsidP="009616CB">
            <w:pPr>
              <w:rPr>
                <w:sz w:val="20"/>
                <w:szCs w:val="20"/>
              </w:rPr>
            </w:pPr>
          </w:p>
        </w:tc>
        <w:tc>
          <w:tcPr>
            <w:tcW w:w="3386" w:type="pct"/>
            <w:vAlign w:val="center"/>
          </w:tcPr>
          <w:p w14:paraId="44EEED93" w14:textId="77777777" w:rsidR="009616CB" w:rsidRDefault="009616CB" w:rsidP="009616CB">
            <w:pPr>
              <w:rPr>
                <w:sz w:val="20"/>
                <w:szCs w:val="20"/>
              </w:rPr>
            </w:pPr>
            <w:r>
              <w:rPr>
                <w:sz w:val="20"/>
                <w:szCs w:val="20"/>
              </w:rPr>
              <w:t>a. To reflect appropriate test year billing fees.</w:t>
            </w:r>
          </w:p>
        </w:tc>
        <w:tc>
          <w:tcPr>
            <w:tcW w:w="1419" w:type="pct"/>
            <w:vAlign w:val="center"/>
          </w:tcPr>
          <w:p w14:paraId="1D1D088E" w14:textId="77777777" w:rsidR="009616CB" w:rsidRDefault="009616CB" w:rsidP="009616CB">
            <w:pPr>
              <w:jc w:val="right"/>
              <w:rPr>
                <w:sz w:val="20"/>
                <w:szCs w:val="20"/>
              </w:rPr>
            </w:pPr>
            <w:r>
              <w:rPr>
                <w:sz w:val="20"/>
                <w:szCs w:val="20"/>
              </w:rPr>
              <w:t>$46</w:t>
            </w:r>
          </w:p>
        </w:tc>
      </w:tr>
      <w:tr w:rsidR="009616CB" w:rsidRPr="00B84212" w14:paraId="71651388" w14:textId="77777777" w:rsidTr="009616CB">
        <w:trPr>
          <w:trHeight w:val="259"/>
        </w:trPr>
        <w:tc>
          <w:tcPr>
            <w:tcW w:w="195" w:type="pct"/>
            <w:vAlign w:val="center"/>
          </w:tcPr>
          <w:p w14:paraId="471FCEAC" w14:textId="77777777" w:rsidR="009616CB" w:rsidRDefault="009616CB" w:rsidP="009616CB">
            <w:pPr>
              <w:rPr>
                <w:sz w:val="20"/>
                <w:szCs w:val="20"/>
              </w:rPr>
            </w:pPr>
          </w:p>
        </w:tc>
        <w:tc>
          <w:tcPr>
            <w:tcW w:w="3386" w:type="pct"/>
            <w:vAlign w:val="center"/>
          </w:tcPr>
          <w:p w14:paraId="2A48658B" w14:textId="77777777" w:rsidR="009616CB" w:rsidRDefault="009616CB" w:rsidP="009616CB">
            <w:pPr>
              <w:rPr>
                <w:sz w:val="20"/>
                <w:szCs w:val="20"/>
              </w:rPr>
            </w:pPr>
            <w:r>
              <w:rPr>
                <w:sz w:val="20"/>
                <w:szCs w:val="20"/>
              </w:rPr>
              <w:t>b. To reflect pro forma adjustment to billing fees.</w:t>
            </w:r>
          </w:p>
        </w:tc>
        <w:tc>
          <w:tcPr>
            <w:tcW w:w="1419" w:type="pct"/>
            <w:vAlign w:val="center"/>
          </w:tcPr>
          <w:p w14:paraId="366C3CCB" w14:textId="77777777" w:rsidR="009616CB" w:rsidRDefault="009616CB" w:rsidP="009616CB">
            <w:pPr>
              <w:jc w:val="right"/>
              <w:rPr>
                <w:sz w:val="20"/>
                <w:szCs w:val="20"/>
              </w:rPr>
            </w:pPr>
            <w:r>
              <w:rPr>
                <w:sz w:val="20"/>
                <w:szCs w:val="20"/>
              </w:rPr>
              <w:t>88</w:t>
            </w:r>
          </w:p>
        </w:tc>
      </w:tr>
      <w:tr w:rsidR="009616CB" w:rsidRPr="00B84212" w14:paraId="1800E3C1" w14:textId="77777777" w:rsidTr="009616CB">
        <w:trPr>
          <w:trHeight w:val="259"/>
        </w:trPr>
        <w:tc>
          <w:tcPr>
            <w:tcW w:w="195" w:type="pct"/>
            <w:vAlign w:val="center"/>
          </w:tcPr>
          <w:p w14:paraId="4DAB35CD" w14:textId="77777777" w:rsidR="009616CB" w:rsidRDefault="009616CB" w:rsidP="009616CB">
            <w:pPr>
              <w:rPr>
                <w:sz w:val="20"/>
                <w:szCs w:val="20"/>
              </w:rPr>
            </w:pPr>
          </w:p>
        </w:tc>
        <w:tc>
          <w:tcPr>
            <w:tcW w:w="3386" w:type="pct"/>
            <w:vAlign w:val="center"/>
          </w:tcPr>
          <w:p w14:paraId="3C3BDACE" w14:textId="77777777" w:rsidR="009616CB" w:rsidRDefault="009616CB" w:rsidP="009616CB">
            <w:pPr>
              <w:rPr>
                <w:sz w:val="20"/>
                <w:szCs w:val="20"/>
              </w:rPr>
            </w:pPr>
            <w:r>
              <w:rPr>
                <w:sz w:val="20"/>
                <w:szCs w:val="20"/>
              </w:rPr>
              <w:t>c. To reflect expense that should be amortized over 5 years.</w:t>
            </w:r>
          </w:p>
        </w:tc>
        <w:tc>
          <w:tcPr>
            <w:tcW w:w="1419" w:type="pct"/>
            <w:vAlign w:val="center"/>
          </w:tcPr>
          <w:p w14:paraId="5F45E8CD" w14:textId="77777777" w:rsidR="009616CB" w:rsidRDefault="009616CB" w:rsidP="009616CB">
            <w:pPr>
              <w:jc w:val="right"/>
              <w:rPr>
                <w:sz w:val="20"/>
                <w:szCs w:val="20"/>
              </w:rPr>
            </w:pPr>
            <w:r>
              <w:rPr>
                <w:sz w:val="20"/>
                <w:szCs w:val="20"/>
              </w:rPr>
              <w:t>(1,284)</w:t>
            </w:r>
          </w:p>
        </w:tc>
      </w:tr>
      <w:tr w:rsidR="009616CB" w:rsidRPr="00B84212" w14:paraId="46099A60" w14:textId="77777777" w:rsidTr="009616CB">
        <w:trPr>
          <w:trHeight w:val="259"/>
        </w:trPr>
        <w:tc>
          <w:tcPr>
            <w:tcW w:w="195" w:type="pct"/>
            <w:vAlign w:val="center"/>
          </w:tcPr>
          <w:p w14:paraId="752E3070" w14:textId="77777777" w:rsidR="009616CB" w:rsidRDefault="009616CB" w:rsidP="009616CB">
            <w:pPr>
              <w:rPr>
                <w:sz w:val="20"/>
                <w:szCs w:val="20"/>
              </w:rPr>
            </w:pPr>
          </w:p>
        </w:tc>
        <w:tc>
          <w:tcPr>
            <w:tcW w:w="3386" w:type="pct"/>
            <w:vAlign w:val="center"/>
          </w:tcPr>
          <w:p w14:paraId="080523EA" w14:textId="77777777" w:rsidR="009616CB" w:rsidRDefault="009616CB" w:rsidP="009616CB">
            <w:pPr>
              <w:rPr>
                <w:sz w:val="20"/>
                <w:szCs w:val="20"/>
              </w:rPr>
            </w:pPr>
            <w:r>
              <w:rPr>
                <w:sz w:val="20"/>
                <w:szCs w:val="20"/>
              </w:rPr>
              <w:t>d. To reflect appropriate amortization of FDEP-required pond clearing.</w:t>
            </w:r>
          </w:p>
        </w:tc>
        <w:tc>
          <w:tcPr>
            <w:tcW w:w="1419" w:type="pct"/>
            <w:vAlign w:val="center"/>
          </w:tcPr>
          <w:p w14:paraId="483F78C9" w14:textId="77777777" w:rsidR="009616CB" w:rsidRPr="00B84212" w:rsidRDefault="009616CB" w:rsidP="009616CB">
            <w:pPr>
              <w:jc w:val="right"/>
              <w:rPr>
                <w:sz w:val="20"/>
                <w:szCs w:val="20"/>
                <w:u w:val="single"/>
              </w:rPr>
            </w:pPr>
            <w:r w:rsidRPr="00B84212">
              <w:rPr>
                <w:sz w:val="20"/>
                <w:szCs w:val="20"/>
                <w:u w:val="single"/>
              </w:rPr>
              <w:t>2,570</w:t>
            </w:r>
          </w:p>
        </w:tc>
      </w:tr>
      <w:tr w:rsidR="009616CB" w:rsidRPr="00B84212" w14:paraId="1AB6EE3F" w14:textId="77777777" w:rsidTr="009616CB">
        <w:trPr>
          <w:trHeight w:val="259"/>
        </w:trPr>
        <w:tc>
          <w:tcPr>
            <w:tcW w:w="195" w:type="pct"/>
            <w:vAlign w:val="center"/>
          </w:tcPr>
          <w:p w14:paraId="7974292B" w14:textId="77777777" w:rsidR="009616CB" w:rsidRDefault="009616CB" w:rsidP="009616CB">
            <w:pPr>
              <w:rPr>
                <w:sz w:val="20"/>
                <w:szCs w:val="20"/>
              </w:rPr>
            </w:pPr>
          </w:p>
        </w:tc>
        <w:tc>
          <w:tcPr>
            <w:tcW w:w="3386" w:type="pct"/>
            <w:vAlign w:val="center"/>
          </w:tcPr>
          <w:p w14:paraId="785C3DB8" w14:textId="77777777" w:rsidR="009616CB" w:rsidRDefault="009616CB" w:rsidP="009616CB">
            <w:pPr>
              <w:rPr>
                <w:sz w:val="20"/>
                <w:szCs w:val="20"/>
              </w:rPr>
            </w:pPr>
            <w:r>
              <w:rPr>
                <w:sz w:val="20"/>
                <w:szCs w:val="20"/>
              </w:rPr>
              <w:t xml:space="preserve">     Subtotal</w:t>
            </w:r>
          </w:p>
        </w:tc>
        <w:tc>
          <w:tcPr>
            <w:tcW w:w="1419" w:type="pct"/>
            <w:vAlign w:val="center"/>
          </w:tcPr>
          <w:p w14:paraId="05B8B9A7" w14:textId="77777777" w:rsidR="009616CB" w:rsidRPr="00B84212" w:rsidRDefault="009616CB" w:rsidP="009616CB">
            <w:pPr>
              <w:jc w:val="right"/>
              <w:rPr>
                <w:sz w:val="20"/>
                <w:szCs w:val="20"/>
                <w:u w:val="double"/>
              </w:rPr>
            </w:pPr>
            <w:r w:rsidRPr="00B84212">
              <w:rPr>
                <w:sz w:val="20"/>
                <w:szCs w:val="20"/>
                <w:u w:val="double"/>
              </w:rPr>
              <w:t>$1,420</w:t>
            </w:r>
          </w:p>
        </w:tc>
      </w:tr>
      <w:tr w:rsidR="009616CB" w:rsidRPr="00B84212" w14:paraId="297E3659" w14:textId="77777777" w:rsidTr="009616CB">
        <w:trPr>
          <w:trHeight w:val="259"/>
        </w:trPr>
        <w:tc>
          <w:tcPr>
            <w:tcW w:w="195" w:type="pct"/>
            <w:vAlign w:val="center"/>
          </w:tcPr>
          <w:p w14:paraId="76DEB1AA" w14:textId="77777777" w:rsidR="009616CB" w:rsidRDefault="009616CB" w:rsidP="009616CB">
            <w:pPr>
              <w:rPr>
                <w:sz w:val="20"/>
                <w:szCs w:val="20"/>
              </w:rPr>
            </w:pPr>
          </w:p>
        </w:tc>
        <w:tc>
          <w:tcPr>
            <w:tcW w:w="3386" w:type="pct"/>
            <w:vAlign w:val="center"/>
          </w:tcPr>
          <w:p w14:paraId="5852AB3C" w14:textId="77777777" w:rsidR="009616CB" w:rsidRDefault="009616CB" w:rsidP="009616CB">
            <w:pPr>
              <w:rPr>
                <w:sz w:val="20"/>
                <w:szCs w:val="20"/>
              </w:rPr>
            </w:pPr>
          </w:p>
        </w:tc>
        <w:tc>
          <w:tcPr>
            <w:tcW w:w="1419" w:type="pct"/>
            <w:vAlign w:val="center"/>
          </w:tcPr>
          <w:p w14:paraId="76800CF6" w14:textId="77777777" w:rsidR="009616CB" w:rsidRDefault="009616CB" w:rsidP="009616CB">
            <w:pPr>
              <w:jc w:val="right"/>
              <w:rPr>
                <w:sz w:val="20"/>
                <w:szCs w:val="20"/>
              </w:rPr>
            </w:pPr>
          </w:p>
        </w:tc>
      </w:tr>
      <w:tr w:rsidR="009616CB" w:rsidRPr="00B84212" w14:paraId="57C6E006" w14:textId="77777777" w:rsidTr="009616CB">
        <w:trPr>
          <w:trHeight w:val="259"/>
        </w:trPr>
        <w:tc>
          <w:tcPr>
            <w:tcW w:w="195" w:type="pct"/>
            <w:vAlign w:val="center"/>
          </w:tcPr>
          <w:p w14:paraId="69F7CD45" w14:textId="77777777" w:rsidR="009616CB" w:rsidRPr="00B84212" w:rsidRDefault="009616CB" w:rsidP="009616CB">
            <w:pPr>
              <w:rPr>
                <w:b/>
                <w:sz w:val="20"/>
                <w:szCs w:val="20"/>
              </w:rPr>
            </w:pPr>
          </w:p>
        </w:tc>
        <w:tc>
          <w:tcPr>
            <w:tcW w:w="3386" w:type="pct"/>
            <w:vAlign w:val="center"/>
          </w:tcPr>
          <w:p w14:paraId="628AC135" w14:textId="77777777" w:rsidR="009616CB" w:rsidRPr="00B84212" w:rsidRDefault="009616CB" w:rsidP="009616CB">
            <w:pPr>
              <w:rPr>
                <w:b/>
                <w:sz w:val="20"/>
                <w:szCs w:val="20"/>
              </w:rPr>
            </w:pPr>
            <w:r w:rsidRPr="00B84212">
              <w:rPr>
                <w:b/>
                <w:sz w:val="20"/>
                <w:szCs w:val="20"/>
              </w:rPr>
              <w:t>TOTAL OPERATION &amp; MAINTENANCE ADJUSTMENTS</w:t>
            </w:r>
          </w:p>
        </w:tc>
        <w:tc>
          <w:tcPr>
            <w:tcW w:w="1419" w:type="pct"/>
            <w:vAlign w:val="center"/>
          </w:tcPr>
          <w:p w14:paraId="0022F2BD" w14:textId="77777777" w:rsidR="009616CB" w:rsidRPr="00B84212" w:rsidRDefault="009616CB" w:rsidP="009616CB">
            <w:pPr>
              <w:jc w:val="right"/>
              <w:rPr>
                <w:b/>
                <w:sz w:val="20"/>
                <w:szCs w:val="20"/>
                <w:u w:val="double"/>
              </w:rPr>
            </w:pPr>
            <w:r w:rsidRPr="00B84212">
              <w:rPr>
                <w:b/>
                <w:sz w:val="20"/>
                <w:szCs w:val="20"/>
                <w:u w:val="double"/>
              </w:rPr>
              <w:t>$</w:t>
            </w:r>
            <w:r>
              <w:rPr>
                <w:b/>
                <w:sz w:val="20"/>
                <w:szCs w:val="20"/>
                <w:u w:val="double"/>
              </w:rPr>
              <w:t>2,840</w:t>
            </w:r>
          </w:p>
        </w:tc>
      </w:tr>
      <w:tr w:rsidR="009616CB" w:rsidRPr="00B84212" w14:paraId="55F6FAF2" w14:textId="77777777" w:rsidTr="009616CB">
        <w:trPr>
          <w:trHeight w:val="259"/>
        </w:trPr>
        <w:tc>
          <w:tcPr>
            <w:tcW w:w="195" w:type="pct"/>
            <w:vAlign w:val="center"/>
          </w:tcPr>
          <w:p w14:paraId="038D3C32" w14:textId="77777777" w:rsidR="009616CB" w:rsidRDefault="009616CB" w:rsidP="009616CB">
            <w:pPr>
              <w:rPr>
                <w:sz w:val="20"/>
                <w:szCs w:val="20"/>
              </w:rPr>
            </w:pPr>
          </w:p>
        </w:tc>
        <w:tc>
          <w:tcPr>
            <w:tcW w:w="3386" w:type="pct"/>
            <w:vAlign w:val="center"/>
          </w:tcPr>
          <w:p w14:paraId="5C4B0F3F" w14:textId="77777777" w:rsidR="009616CB" w:rsidRDefault="009616CB" w:rsidP="009616CB">
            <w:pPr>
              <w:rPr>
                <w:sz w:val="20"/>
                <w:szCs w:val="20"/>
              </w:rPr>
            </w:pPr>
          </w:p>
        </w:tc>
        <w:tc>
          <w:tcPr>
            <w:tcW w:w="1419" w:type="pct"/>
            <w:vAlign w:val="center"/>
          </w:tcPr>
          <w:p w14:paraId="4694CFDC" w14:textId="77777777" w:rsidR="009616CB" w:rsidRDefault="009616CB" w:rsidP="009616CB">
            <w:pPr>
              <w:jc w:val="right"/>
              <w:rPr>
                <w:sz w:val="20"/>
                <w:szCs w:val="20"/>
              </w:rPr>
            </w:pPr>
          </w:p>
        </w:tc>
      </w:tr>
      <w:tr w:rsidR="009616CB" w:rsidRPr="00B84212" w14:paraId="0F81314E" w14:textId="77777777" w:rsidTr="009616CB">
        <w:trPr>
          <w:trHeight w:val="259"/>
        </w:trPr>
        <w:tc>
          <w:tcPr>
            <w:tcW w:w="195" w:type="pct"/>
            <w:vAlign w:val="center"/>
          </w:tcPr>
          <w:p w14:paraId="7F05EF73" w14:textId="77777777" w:rsidR="009616CB" w:rsidRDefault="009616CB" w:rsidP="009616CB">
            <w:pPr>
              <w:rPr>
                <w:sz w:val="20"/>
                <w:szCs w:val="20"/>
              </w:rPr>
            </w:pPr>
          </w:p>
        </w:tc>
        <w:tc>
          <w:tcPr>
            <w:tcW w:w="3386" w:type="pct"/>
            <w:vAlign w:val="center"/>
          </w:tcPr>
          <w:p w14:paraId="21C0114E" w14:textId="77777777" w:rsidR="009616CB" w:rsidRPr="00B84212" w:rsidRDefault="009616CB" w:rsidP="009616CB">
            <w:pPr>
              <w:rPr>
                <w:b/>
                <w:sz w:val="20"/>
                <w:szCs w:val="20"/>
              </w:rPr>
            </w:pPr>
            <w:r w:rsidRPr="00B84212">
              <w:rPr>
                <w:b/>
                <w:sz w:val="20"/>
                <w:szCs w:val="20"/>
              </w:rPr>
              <w:t>DEPRECIATION EXPENSE</w:t>
            </w:r>
          </w:p>
        </w:tc>
        <w:tc>
          <w:tcPr>
            <w:tcW w:w="1419" w:type="pct"/>
            <w:vAlign w:val="center"/>
          </w:tcPr>
          <w:p w14:paraId="6064A0FF" w14:textId="77777777" w:rsidR="009616CB" w:rsidRDefault="009616CB" w:rsidP="009616CB">
            <w:pPr>
              <w:jc w:val="right"/>
              <w:rPr>
                <w:sz w:val="20"/>
                <w:szCs w:val="20"/>
              </w:rPr>
            </w:pPr>
          </w:p>
        </w:tc>
      </w:tr>
      <w:tr w:rsidR="009616CB" w:rsidRPr="00B84212" w14:paraId="4877395C" w14:textId="77777777" w:rsidTr="009616CB">
        <w:trPr>
          <w:trHeight w:val="259"/>
        </w:trPr>
        <w:tc>
          <w:tcPr>
            <w:tcW w:w="195" w:type="pct"/>
            <w:vAlign w:val="center"/>
          </w:tcPr>
          <w:p w14:paraId="6A4D2891" w14:textId="77777777" w:rsidR="009616CB" w:rsidRDefault="009616CB" w:rsidP="009616CB">
            <w:pPr>
              <w:rPr>
                <w:sz w:val="20"/>
                <w:szCs w:val="20"/>
              </w:rPr>
            </w:pPr>
            <w:r>
              <w:rPr>
                <w:sz w:val="20"/>
                <w:szCs w:val="20"/>
              </w:rPr>
              <w:t>1.</w:t>
            </w:r>
          </w:p>
        </w:tc>
        <w:tc>
          <w:tcPr>
            <w:tcW w:w="3386" w:type="pct"/>
            <w:vAlign w:val="center"/>
          </w:tcPr>
          <w:p w14:paraId="2D1A3B76" w14:textId="77777777" w:rsidR="009616CB" w:rsidRDefault="009616CB" w:rsidP="009616CB">
            <w:pPr>
              <w:rPr>
                <w:sz w:val="20"/>
                <w:szCs w:val="20"/>
              </w:rPr>
            </w:pPr>
            <w:r>
              <w:rPr>
                <w:sz w:val="20"/>
                <w:szCs w:val="20"/>
              </w:rPr>
              <w:t xml:space="preserve">To reflect appropriate test year depreciation expense. </w:t>
            </w:r>
          </w:p>
        </w:tc>
        <w:tc>
          <w:tcPr>
            <w:tcW w:w="1419" w:type="pct"/>
            <w:vAlign w:val="center"/>
          </w:tcPr>
          <w:p w14:paraId="6267F036" w14:textId="77777777" w:rsidR="009616CB" w:rsidRDefault="009616CB" w:rsidP="009616CB">
            <w:pPr>
              <w:jc w:val="right"/>
              <w:rPr>
                <w:sz w:val="20"/>
                <w:szCs w:val="20"/>
              </w:rPr>
            </w:pPr>
            <w:r>
              <w:rPr>
                <w:sz w:val="20"/>
                <w:szCs w:val="20"/>
              </w:rPr>
              <w:t>$722</w:t>
            </w:r>
          </w:p>
        </w:tc>
      </w:tr>
      <w:tr w:rsidR="009616CB" w:rsidRPr="00B84212" w14:paraId="5B9910ED" w14:textId="77777777" w:rsidTr="009616CB">
        <w:trPr>
          <w:trHeight w:val="259"/>
        </w:trPr>
        <w:tc>
          <w:tcPr>
            <w:tcW w:w="195" w:type="pct"/>
            <w:vAlign w:val="center"/>
          </w:tcPr>
          <w:p w14:paraId="20E04DEC" w14:textId="77777777" w:rsidR="009616CB" w:rsidRDefault="009616CB" w:rsidP="009616CB">
            <w:pPr>
              <w:rPr>
                <w:sz w:val="20"/>
                <w:szCs w:val="20"/>
              </w:rPr>
            </w:pPr>
            <w:r>
              <w:rPr>
                <w:sz w:val="20"/>
                <w:szCs w:val="20"/>
              </w:rPr>
              <w:t xml:space="preserve">2. </w:t>
            </w:r>
          </w:p>
        </w:tc>
        <w:tc>
          <w:tcPr>
            <w:tcW w:w="3386" w:type="pct"/>
            <w:vAlign w:val="center"/>
          </w:tcPr>
          <w:p w14:paraId="581A25DC" w14:textId="77777777" w:rsidR="009616CB" w:rsidRDefault="009616CB" w:rsidP="009616CB">
            <w:pPr>
              <w:rPr>
                <w:sz w:val="20"/>
                <w:szCs w:val="20"/>
              </w:rPr>
            </w:pPr>
            <w:r>
              <w:rPr>
                <w:sz w:val="20"/>
                <w:szCs w:val="20"/>
              </w:rPr>
              <w:t>To reflect pro forma plant addition.</w:t>
            </w:r>
          </w:p>
        </w:tc>
        <w:tc>
          <w:tcPr>
            <w:tcW w:w="1419" w:type="pct"/>
            <w:vAlign w:val="center"/>
          </w:tcPr>
          <w:p w14:paraId="7E2B3B90" w14:textId="77777777" w:rsidR="009616CB" w:rsidRPr="00B84212" w:rsidRDefault="009616CB" w:rsidP="009616CB">
            <w:pPr>
              <w:jc w:val="right"/>
              <w:rPr>
                <w:sz w:val="20"/>
                <w:szCs w:val="20"/>
                <w:u w:val="single"/>
              </w:rPr>
            </w:pPr>
            <w:r w:rsidRPr="00B84212">
              <w:rPr>
                <w:sz w:val="20"/>
                <w:szCs w:val="20"/>
                <w:u w:val="single"/>
              </w:rPr>
              <w:t>182</w:t>
            </w:r>
          </w:p>
        </w:tc>
      </w:tr>
      <w:tr w:rsidR="009616CB" w:rsidRPr="00B84212" w14:paraId="343980EC" w14:textId="77777777" w:rsidTr="009616CB">
        <w:trPr>
          <w:trHeight w:val="259"/>
        </w:trPr>
        <w:tc>
          <w:tcPr>
            <w:tcW w:w="195" w:type="pct"/>
            <w:vAlign w:val="center"/>
          </w:tcPr>
          <w:p w14:paraId="1A2B39A1" w14:textId="77777777" w:rsidR="009616CB" w:rsidRDefault="009616CB" w:rsidP="009616CB">
            <w:pPr>
              <w:rPr>
                <w:sz w:val="20"/>
                <w:szCs w:val="20"/>
              </w:rPr>
            </w:pPr>
          </w:p>
        </w:tc>
        <w:tc>
          <w:tcPr>
            <w:tcW w:w="3386" w:type="pct"/>
            <w:vAlign w:val="center"/>
          </w:tcPr>
          <w:p w14:paraId="074E8DB0" w14:textId="77777777" w:rsidR="009616CB" w:rsidRDefault="009616CB" w:rsidP="009616CB">
            <w:pPr>
              <w:rPr>
                <w:sz w:val="20"/>
                <w:szCs w:val="20"/>
              </w:rPr>
            </w:pPr>
            <w:r>
              <w:rPr>
                <w:sz w:val="20"/>
                <w:szCs w:val="20"/>
              </w:rPr>
              <w:t xml:space="preserve">     Total</w:t>
            </w:r>
          </w:p>
        </w:tc>
        <w:tc>
          <w:tcPr>
            <w:tcW w:w="1419" w:type="pct"/>
            <w:vAlign w:val="center"/>
          </w:tcPr>
          <w:p w14:paraId="6B9E5541" w14:textId="77777777" w:rsidR="009616CB" w:rsidRPr="00B84212" w:rsidRDefault="009616CB" w:rsidP="009616CB">
            <w:pPr>
              <w:jc w:val="right"/>
              <w:rPr>
                <w:sz w:val="20"/>
                <w:szCs w:val="20"/>
                <w:u w:val="double"/>
              </w:rPr>
            </w:pPr>
            <w:r w:rsidRPr="00B84212">
              <w:rPr>
                <w:sz w:val="20"/>
                <w:szCs w:val="20"/>
                <w:u w:val="double"/>
              </w:rPr>
              <w:t>$904</w:t>
            </w:r>
          </w:p>
        </w:tc>
      </w:tr>
      <w:tr w:rsidR="009616CB" w:rsidRPr="00B84212" w14:paraId="78356218" w14:textId="77777777" w:rsidTr="009616CB">
        <w:trPr>
          <w:trHeight w:val="259"/>
        </w:trPr>
        <w:tc>
          <w:tcPr>
            <w:tcW w:w="195" w:type="pct"/>
            <w:tcBorders>
              <w:bottom w:val="single" w:sz="4" w:space="0" w:color="auto"/>
            </w:tcBorders>
            <w:vAlign w:val="center"/>
          </w:tcPr>
          <w:p w14:paraId="1D139D33" w14:textId="77777777" w:rsidR="009616CB" w:rsidRDefault="009616CB" w:rsidP="009616CB">
            <w:pPr>
              <w:rPr>
                <w:sz w:val="20"/>
                <w:szCs w:val="20"/>
              </w:rPr>
            </w:pPr>
          </w:p>
        </w:tc>
        <w:tc>
          <w:tcPr>
            <w:tcW w:w="3386" w:type="pct"/>
            <w:tcBorders>
              <w:bottom w:val="single" w:sz="4" w:space="0" w:color="auto"/>
            </w:tcBorders>
            <w:vAlign w:val="center"/>
          </w:tcPr>
          <w:p w14:paraId="1482819A" w14:textId="77777777" w:rsidR="009616CB" w:rsidRPr="009160F9" w:rsidRDefault="009616CB" w:rsidP="009616CB">
            <w:pPr>
              <w:rPr>
                <w:b/>
                <w:sz w:val="20"/>
                <w:szCs w:val="20"/>
              </w:rPr>
            </w:pPr>
          </w:p>
        </w:tc>
        <w:tc>
          <w:tcPr>
            <w:tcW w:w="1419" w:type="pct"/>
            <w:tcBorders>
              <w:bottom w:val="single" w:sz="4" w:space="0" w:color="auto"/>
            </w:tcBorders>
            <w:vAlign w:val="center"/>
          </w:tcPr>
          <w:p w14:paraId="6DB29CC7" w14:textId="77777777" w:rsidR="009616CB" w:rsidRDefault="009616CB" w:rsidP="009616CB">
            <w:pPr>
              <w:jc w:val="right"/>
              <w:rPr>
                <w:sz w:val="20"/>
                <w:szCs w:val="20"/>
              </w:rPr>
            </w:pPr>
          </w:p>
        </w:tc>
      </w:tr>
    </w:tbl>
    <w:p w14:paraId="330130D3" w14:textId="77777777" w:rsidR="009616CB" w:rsidRDefault="009616CB" w:rsidP="009616CB"/>
    <w:p w14:paraId="4FBADD1A" w14:textId="77777777" w:rsidR="00712188" w:rsidRDefault="00712188" w:rsidP="009616CB"/>
    <w:p w14:paraId="4EC10F1A" w14:textId="77777777" w:rsidR="00E226FB" w:rsidRDefault="00E226FB" w:rsidP="009616CB"/>
    <w:tbl>
      <w:tblPr>
        <w:tblStyle w:val="TableGrid"/>
        <w:tblW w:w="5000" w:type="pct"/>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373"/>
        <w:gridCol w:w="6485"/>
        <w:gridCol w:w="2718"/>
      </w:tblGrid>
      <w:tr w:rsidR="009616CB" w:rsidRPr="00B84212" w14:paraId="770DFFF2" w14:textId="77777777" w:rsidTr="009616CB">
        <w:trPr>
          <w:trHeight w:val="259"/>
        </w:trPr>
        <w:tc>
          <w:tcPr>
            <w:tcW w:w="195" w:type="pct"/>
            <w:tcBorders>
              <w:top w:val="single" w:sz="4" w:space="0" w:color="auto"/>
            </w:tcBorders>
            <w:vAlign w:val="center"/>
          </w:tcPr>
          <w:p w14:paraId="5F6D3E6C" w14:textId="77777777" w:rsidR="009616CB" w:rsidRPr="00B84212" w:rsidRDefault="009616CB" w:rsidP="009616CB">
            <w:pPr>
              <w:rPr>
                <w:b/>
                <w:sz w:val="20"/>
                <w:szCs w:val="20"/>
              </w:rPr>
            </w:pPr>
          </w:p>
        </w:tc>
        <w:tc>
          <w:tcPr>
            <w:tcW w:w="3386" w:type="pct"/>
            <w:tcBorders>
              <w:top w:val="single" w:sz="4" w:space="0" w:color="auto"/>
            </w:tcBorders>
            <w:vAlign w:val="center"/>
          </w:tcPr>
          <w:p w14:paraId="7D00973D" w14:textId="77777777" w:rsidR="009616CB" w:rsidRPr="00B84212" w:rsidRDefault="009616CB" w:rsidP="009616CB">
            <w:pPr>
              <w:rPr>
                <w:b/>
                <w:sz w:val="20"/>
                <w:szCs w:val="20"/>
              </w:rPr>
            </w:pPr>
            <w:r w:rsidRPr="00B84212">
              <w:rPr>
                <w:b/>
                <w:sz w:val="20"/>
                <w:szCs w:val="20"/>
              </w:rPr>
              <w:t>MERRITT ISLAND UITLITY COMPANY, INC.</w:t>
            </w:r>
            <w:r w:rsidRPr="000F4B97">
              <w:t xml:space="preserve"> </w:t>
            </w:r>
          </w:p>
        </w:tc>
        <w:tc>
          <w:tcPr>
            <w:tcW w:w="1419" w:type="pct"/>
            <w:tcBorders>
              <w:top w:val="single" w:sz="4" w:space="0" w:color="auto"/>
            </w:tcBorders>
            <w:vAlign w:val="center"/>
          </w:tcPr>
          <w:p w14:paraId="1AB6EF7B" w14:textId="77777777" w:rsidR="009616CB" w:rsidRPr="00B84212" w:rsidRDefault="009616CB" w:rsidP="009616CB">
            <w:pPr>
              <w:jc w:val="right"/>
              <w:rPr>
                <w:b/>
                <w:sz w:val="20"/>
                <w:szCs w:val="20"/>
              </w:rPr>
            </w:pPr>
            <w:r w:rsidRPr="00B84212">
              <w:rPr>
                <w:b/>
                <w:sz w:val="20"/>
                <w:szCs w:val="20"/>
              </w:rPr>
              <w:t>SCHEDULE NO. 3-B</w:t>
            </w:r>
          </w:p>
        </w:tc>
      </w:tr>
      <w:tr w:rsidR="009616CB" w:rsidRPr="00B84212" w14:paraId="1905CCF6" w14:textId="77777777" w:rsidTr="009616CB">
        <w:trPr>
          <w:trHeight w:val="259"/>
        </w:trPr>
        <w:tc>
          <w:tcPr>
            <w:tcW w:w="195" w:type="pct"/>
            <w:tcBorders>
              <w:bottom w:val="nil"/>
            </w:tcBorders>
            <w:vAlign w:val="center"/>
          </w:tcPr>
          <w:p w14:paraId="6F20E4F1" w14:textId="77777777" w:rsidR="009616CB" w:rsidRPr="00B84212" w:rsidRDefault="009616CB" w:rsidP="009616CB">
            <w:pPr>
              <w:rPr>
                <w:b/>
                <w:sz w:val="20"/>
                <w:szCs w:val="20"/>
              </w:rPr>
            </w:pPr>
          </w:p>
        </w:tc>
        <w:tc>
          <w:tcPr>
            <w:tcW w:w="3386" w:type="pct"/>
            <w:tcBorders>
              <w:bottom w:val="nil"/>
            </w:tcBorders>
            <w:vAlign w:val="center"/>
          </w:tcPr>
          <w:p w14:paraId="5BFBDF78" w14:textId="77777777" w:rsidR="009616CB" w:rsidRPr="00B84212" w:rsidRDefault="009616CB" w:rsidP="009616CB">
            <w:pPr>
              <w:rPr>
                <w:b/>
                <w:sz w:val="20"/>
                <w:szCs w:val="20"/>
              </w:rPr>
            </w:pPr>
            <w:r w:rsidRPr="00B84212">
              <w:rPr>
                <w:b/>
                <w:sz w:val="20"/>
                <w:szCs w:val="20"/>
              </w:rPr>
              <w:t>TEST YEAR ENDED 3/31/2019</w:t>
            </w:r>
          </w:p>
        </w:tc>
        <w:tc>
          <w:tcPr>
            <w:tcW w:w="1419" w:type="pct"/>
            <w:tcBorders>
              <w:bottom w:val="nil"/>
            </w:tcBorders>
            <w:vAlign w:val="center"/>
          </w:tcPr>
          <w:p w14:paraId="68B8EA6A" w14:textId="77777777" w:rsidR="009616CB" w:rsidRPr="00B84212" w:rsidRDefault="009616CB" w:rsidP="009616CB">
            <w:pPr>
              <w:jc w:val="right"/>
              <w:rPr>
                <w:b/>
                <w:sz w:val="20"/>
                <w:szCs w:val="20"/>
              </w:rPr>
            </w:pPr>
            <w:r w:rsidRPr="00B84212">
              <w:rPr>
                <w:b/>
                <w:sz w:val="20"/>
                <w:szCs w:val="20"/>
              </w:rPr>
              <w:t>DOCKET NO. 20190116-SU</w:t>
            </w:r>
          </w:p>
        </w:tc>
      </w:tr>
      <w:tr w:rsidR="009616CB" w:rsidRPr="00B84212" w14:paraId="39BE9163" w14:textId="77777777" w:rsidTr="009616CB">
        <w:trPr>
          <w:trHeight w:val="259"/>
        </w:trPr>
        <w:tc>
          <w:tcPr>
            <w:tcW w:w="195" w:type="pct"/>
            <w:tcBorders>
              <w:bottom w:val="single" w:sz="4" w:space="0" w:color="auto"/>
            </w:tcBorders>
            <w:vAlign w:val="center"/>
          </w:tcPr>
          <w:p w14:paraId="0E94B4CA" w14:textId="77777777" w:rsidR="009616CB" w:rsidRPr="00B84212" w:rsidRDefault="009616CB" w:rsidP="009616CB">
            <w:pPr>
              <w:rPr>
                <w:b/>
                <w:sz w:val="20"/>
                <w:szCs w:val="20"/>
              </w:rPr>
            </w:pPr>
          </w:p>
        </w:tc>
        <w:tc>
          <w:tcPr>
            <w:tcW w:w="3386" w:type="pct"/>
            <w:tcBorders>
              <w:bottom w:val="single" w:sz="4" w:space="0" w:color="auto"/>
            </w:tcBorders>
            <w:vAlign w:val="center"/>
          </w:tcPr>
          <w:p w14:paraId="79E85E6E" w14:textId="77777777" w:rsidR="009616CB" w:rsidRPr="00B84212" w:rsidRDefault="009616CB" w:rsidP="009616CB">
            <w:pPr>
              <w:rPr>
                <w:b/>
                <w:sz w:val="20"/>
                <w:szCs w:val="20"/>
              </w:rPr>
            </w:pPr>
            <w:r w:rsidRPr="00B84212">
              <w:rPr>
                <w:b/>
                <w:sz w:val="20"/>
                <w:szCs w:val="20"/>
              </w:rPr>
              <w:t>ADJUSTMENTS TO OPERATING INCOME</w:t>
            </w:r>
          </w:p>
        </w:tc>
        <w:tc>
          <w:tcPr>
            <w:tcW w:w="1419" w:type="pct"/>
            <w:tcBorders>
              <w:bottom w:val="single" w:sz="4" w:space="0" w:color="auto"/>
            </w:tcBorders>
            <w:vAlign w:val="center"/>
          </w:tcPr>
          <w:p w14:paraId="627B92E0" w14:textId="77777777" w:rsidR="009616CB" w:rsidRPr="00B84212" w:rsidRDefault="009616CB" w:rsidP="009616CB">
            <w:pPr>
              <w:jc w:val="right"/>
              <w:rPr>
                <w:b/>
                <w:sz w:val="20"/>
                <w:szCs w:val="20"/>
              </w:rPr>
            </w:pPr>
            <w:r>
              <w:rPr>
                <w:b/>
                <w:sz w:val="20"/>
                <w:szCs w:val="20"/>
              </w:rPr>
              <w:t>Page 2 of 2</w:t>
            </w:r>
          </w:p>
        </w:tc>
      </w:tr>
      <w:tr w:rsidR="009616CB" w:rsidRPr="00B84212" w14:paraId="0C977459" w14:textId="77777777" w:rsidTr="009616CB">
        <w:trPr>
          <w:trHeight w:val="259"/>
        </w:trPr>
        <w:tc>
          <w:tcPr>
            <w:tcW w:w="195" w:type="pct"/>
            <w:tcBorders>
              <w:top w:val="single" w:sz="4" w:space="0" w:color="auto"/>
              <w:bottom w:val="nil"/>
            </w:tcBorders>
            <w:vAlign w:val="center"/>
          </w:tcPr>
          <w:p w14:paraId="5EDC6006" w14:textId="77777777" w:rsidR="009616CB" w:rsidRPr="00B84212" w:rsidRDefault="009616CB" w:rsidP="009616CB">
            <w:pPr>
              <w:rPr>
                <w:b/>
                <w:sz w:val="20"/>
                <w:szCs w:val="20"/>
              </w:rPr>
            </w:pPr>
          </w:p>
        </w:tc>
        <w:tc>
          <w:tcPr>
            <w:tcW w:w="3386" w:type="pct"/>
            <w:tcBorders>
              <w:top w:val="single" w:sz="4" w:space="0" w:color="auto"/>
              <w:bottom w:val="nil"/>
            </w:tcBorders>
            <w:vAlign w:val="center"/>
          </w:tcPr>
          <w:p w14:paraId="475CB6F2" w14:textId="77777777" w:rsidR="009616CB" w:rsidRPr="00B84212" w:rsidRDefault="009616CB" w:rsidP="009616CB">
            <w:pPr>
              <w:rPr>
                <w:b/>
                <w:sz w:val="20"/>
                <w:szCs w:val="20"/>
              </w:rPr>
            </w:pPr>
          </w:p>
        </w:tc>
        <w:tc>
          <w:tcPr>
            <w:tcW w:w="1419" w:type="pct"/>
            <w:tcBorders>
              <w:top w:val="single" w:sz="4" w:space="0" w:color="auto"/>
              <w:bottom w:val="nil"/>
            </w:tcBorders>
            <w:vAlign w:val="center"/>
          </w:tcPr>
          <w:p w14:paraId="4AE349EA" w14:textId="77777777" w:rsidR="009616CB" w:rsidRPr="00B84212" w:rsidRDefault="009616CB" w:rsidP="009616CB">
            <w:pPr>
              <w:jc w:val="right"/>
              <w:rPr>
                <w:b/>
                <w:sz w:val="20"/>
                <w:szCs w:val="20"/>
              </w:rPr>
            </w:pPr>
          </w:p>
        </w:tc>
      </w:tr>
      <w:tr w:rsidR="009616CB" w:rsidRPr="00B84212" w14:paraId="23496800" w14:textId="77777777" w:rsidTr="009616CB">
        <w:trPr>
          <w:trHeight w:val="259"/>
        </w:trPr>
        <w:tc>
          <w:tcPr>
            <w:tcW w:w="195" w:type="pct"/>
            <w:tcBorders>
              <w:top w:val="nil"/>
            </w:tcBorders>
            <w:vAlign w:val="center"/>
          </w:tcPr>
          <w:p w14:paraId="295721BF" w14:textId="77777777" w:rsidR="009616CB" w:rsidRPr="00B84212" w:rsidRDefault="009616CB" w:rsidP="009616CB">
            <w:pPr>
              <w:rPr>
                <w:b/>
                <w:sz w:val="20"/>
                <w:szCs w:val="20"/>
              </w:rPr>
            </w:pPr>
          </w:p>
        </w:tc>
        <w:tc>
          <w:tcPr>
            <w:tcW w:w="3386" w:type="pct"/>
            <w:tcBorders>
              <w:top w:val="nil"/>
            </w:tcBorders>
            <w:vAlign w:val="center"/>
          </w:tcPr>
          <w:p w14:paraId="0EB664B2" w14:textId="77777777" w:rsidR="009616CB" w:rsidRPr="00B84212" w:rsidRDefault="009616CB" w:rsidP="009616CB">
            <w:pPr>
              <w:rPr>
                <w:b/>
                <w:sz w:val="20"/>
                <w:szCs w:val="20"/>
              </w:rPr>
            </w:pPr>
          </w:p>
        </w:tc>
        <w:tc>
          <w:tcPr>
            <w:tcW w:w="1419" w:type="pct"/>
            <w:tcBorders>
              <w:top w:val="nil"/>
            </w:tcBorders>
            <w:vAlign w:val="center"/>
          </w:tcPr>
          <w:p w14:paraId="0641BF02" w14:textId="77777777" w:rsidR="009616CB" w:rsidRPr="00B84212" w:rsidRDefault="009616CB" w:rsidP="009616CB">
            <w:pPr>
              <w:jc w:val="right"/>
              <w:rPr>
                <w:b/>
                <w:sz w:val="20"/>
                <w:szCs w:val="20"/>
                <w:u w:val="single"/>
              </w:rPr>
            </w:pPr>
            <w:r w:rsidRPr="00B84212">
              <w:rPr>
                <w:b/>
                <w:sz w:val="20"/>
                <w:szCs w:val="20"/>
                <w:u w:val="single"/>
              </w:rPr>
              <w:t>WASTEWATER</w:t>
            </w:r>
          </w:p>
        </w:tc>
      </w:tr>
      <w:tr w:rsidR="009616CB" w:rsidRPr="00B84212" w14:paraId="7EDE0FC3" w14:textId="77777777" w:rsidTr="009616CB">
        <w:trPr>
          <w:trHeight w:val="259"/>
        </w:trPr>
        <w:tc>
          <w:tcPr>
            <w:tcW w:w="195" w:type="pct"/>
            <w:vAlign w:val="center"/>
          </w:tcPr>
          <w:p w14:paraId="52278B49" w14:textId="77777777" w:rsidR="009616CB" w:rsidRPr="00B84212" w:rsidRDefault="009616CB" w:rsidP="009616CB">
            <w:pPr>
              <w:rPr>
                <w:b/>
                <w:sz w:val="20"/>
                <w:szCs w:val="20"/>
              </w:rPr>
            </w:pPr>
          </w:p>
        </w:tc>
        <w:tc>
          <w:tcPr>
            <w:tcW w:w="3386" w:type="pct"/>
            <w:vAlign w:val="center"/>
          </w:tcPr>
          <w:p w14:paraId="52174DB4" w14:textId="77777777" w:rsidR="009616CB" w:rsidRPr="00B84212" w:rsidRDefault="009616CB" w:rsidP="009616CB">
            <w:pPr>
              <w:rPr>
                <w:b/>
                <w:sz w:val="20"/>
                <w:szCs w:val="20"/>
              </w:rPr>
            </w:pPr>
            <w:r w:rsidRPr="009160F9">
              <w:rPr>
                <w:b/>
                <w:sz w:val="20"/>
                <w:szCs w:val="20"/>
              </w:rPr>
              <w:t>AMORTIZATION</w:t>
            </w:r>
            <w:r>
              <w:rPr>
                <w:b/>
                <w:sz w:val="20"/>
                <w:szCs w:val="20"/>
              </w:rPr>
              <w:t xml:space="preserve"> - OTHER</w:t>
            </w:r>
          </w:p>
        </w:tc>
        <w:tc>
          <w:tcPr>
            <w:tcW w:w="1419" w:type="pct"/>
            <w:vAlign w:val="center"/>
          </w:tcPr>
          <w:p w14:paraId="630CD897" w14:textId="77777777" w:rsidR="009616CB" w:rsidRPr="00B84212" w:rsidRDefault="009616CB" w:rsidP="009616CB">
            <w:pPr>
              <w:jc w:val="right"/>
              <w:rPr>
                <w:b/>
                <w:sz w:val="20"/>
                <w:szCs w:val="20"/>
              </w:rPr>
            </w:pPr>
          </w:p>
        </w:tc>
      </w:tr>
      <w:tr w:rsidR="009616CB" w:rsidRPr="00B84212" w14:paraId="47C04F1F" w14:textId="77777777" w:rsidTr="009616CB">
        <w:trPr>
          <w:trHeight w:val="259"/>
        </w:trPr>
        <w:tc>
          <w:tcPr>
            <w:tcW w:w="195" w:type="pct"/>
            <w:vAlign w:val="center"/>
          </w:tcPr>
          <w:p w14:paraId="280FB629" w14:textId="77777777" w:rsidR="009616CB" w:rsidRPr="00B84212" w:rsidRDefault="009616CB" w:rsidP="009616CB">
            <w:pPr>
              <w:rPr>
                <w:sz w:val="20"/>
                <w:szCs w:val="20"/>
              </w:rPr>
            </w:pPr>
          </w:p>
        </w:tc>
        <w:tc>
          <w:tcPr>
            <w:tcW w:w="3386" w:type="pct"/>
            <w:vAlign w:val="center"/>
          </w:tcPr>
          <w:p w14:paraId="7DCC025B" w14:textId="77777777" w:rsidR="009616CB" w:rsidRPr="00B84212" w:rsidRDefault="009616CB" w:rsidP="009616CB">
            <w:pPr>
              <w:rPr>
                <w:sz w:val="20"/>
                <w:szCs w:val="20"/>
              </w:rPr>
            </w:pPr>
            <w:r>
              <w:rPr>
                <w:sz w:val="20"/>
                <w:szCs w:val="20"/>
              </w:rPr>
              <w:t>To reflect reclassification to O&amp;M expense.</w:t>
            </w:r>
          </w:p>
        </w:tc>
        <w:tc>
          <w:tcPr>
            <w:tcW w:w="1419" w:type="pct"/>
            <w:vAlign w:val="center"/>
          </w:tcPr>
          <w:p w14:paraId="1683577F" w14:textId="77777777" w:rsidR="009616CB" w:rsidRPr="00B84212" w:rsidRDefault="009616CB" w:rsidP="009616CB">
            <w:pPr>
              <w:jc w:val="right"/>
              <w:rPr>
                <w:sz w:val="20"/>
                <w:szCs w:val="20"/>
                <w:u w:val="double"/>
              </w:rPr>
            </w:pPr>
            <w:r>
              <w:rPr>
                <w:sz w:val="20"/>
                <w:szCs w:val="20"/>
                <w:u w:val="double"/>
              </w:rPr>
              <w:t>($1,089)</w:t>
            </w:r>
          </w:p>
        </w:tc>
      </w:tr>
      <w:tr w:rsidR="009616CB" w:rsidRPr="00B84212" w14:paraId="5A800EF9" w14:textId="77777777" w:rsidTr="009616CB">
        <w:trPr>
          <w:trHeight w:val="259"/>
        </w:trPr>
        <w:tc>
          <w:tcPr>
            <w:tcW w:w="195" w:type="pct"/>
            <w:vAlign w:val="center"/>
          </w:tcPr>
          <w:p w14:paraId="37A823A4" w14:textId="77777777" w:rsidR="009616CB" w:rsidRPr="00B84212" w:rsidRDefault="009616CB" w:rsidP="009616CB">
            <w:pPr>
              <w:rPr>
                <w:sz w:val="20"/>
                <w:szCs w:val="20"/>
              </w:rPr>
            </w:pPr>
          </w:p>
        </w:tc>
        <w:tc>
          <w:tcPr>
            <w:tcW w:w="3386" w:type="pct"/>
            <w:vAlign w:val="center"/>
          </w:tcPr>
          <w:p w14:paraId="486C1A14" w14:textId="77777777" w:rsidR="009616CB" w:rsidRPr="00B84212" w:rsidRDefault="009616CB" w:rsidP="009616CB">
            <w:pPr>
              <w:rPr>
                <w:sz w:val="20"/>
                <w:szCs w:val="20"/>
              </w:rPr>
            </w:pPr>
          </w:p>
        </w:tc>
        <w:tc>
          <w:tcPr>
            <w:tcW w:w="1419" w:type="pct"/>
            <w:vAlign w:val="center"/>
          </w:tcPr>
          <w:p w14:paraId="76314063" w14:textId="77777777" w:rsidR="009616CB" w:rsidRPr="00B84212" w:rsidRDefault="009616CB" w:rsidP="009616CB">
            <w:pPr>
              <w:jc w:val="right"/>
              <w:rPr>
                <w:sz w:val="20"/>
                <w:szCs w:val="20"/>
              </w:rPr>
            </w:pPr>
          </w:p>
        </w:tc>
      </w:tr>
      <w:tr w:rsidR="009616CB" w:rsidRPr="00B84212" w14:paraId="75B30165" w14:textId="77777777" w:rsidTr="009616CB">
        <w:trPr>
          <w:trHeight w:val="259"/>
        </w:trPr>
        <w:tc>
          <w:tcPr>
            <w:tcW w:w="195" w:type="pct"/>
            <w:vAlign w:val="center"/>
          </w:tcPr>
          <w:p w14:paraId="7DCB4DC8" w14:textId="77777777" w:rsidR="009616CB" w:rsidRPr="00B84212" w:rsidRDefault="009616CB" w:rsidP="009616CB">
            <w:pPr>
              <w:rPr>
                <w:b/>
                <w:sz w:val="20"/>
                <w:szCs w:val="20"/>
              </w:rPr>
            </w:pPr>
          </w:p>
        </w:tc>
        <w:tc>
          <w:tcPr>
            <w:tcW w:w="3386" w:type="pct"/>
            <w:vAlign w:val="center"/>
          </w:tcPr>
          <w:p w14:paraId="7B73DE00" w14:textId="77777777" w:rsidR="009616CB" w:rsidRPr="00B84212" w:rsidRDefault="009616CB" w:rsidP="009616CB">
            <w:pPr>
              <w:rPr>
                <w:b/>
                <w:sz w:val="20"/>
                <w:szCs w:val="20"/>
              </w:rPr>
            </w:pPr>
            <w:r w:rsidRPr="00B84212">
              <w:rPr>
                <w:b/>
                <w:sz w:val="20"/>
                <w:szCs w:val="20"/>
              </w:rPr>
              <w:t>TAXES OTHER THAN INCOME</w:t>
            </w:r>
          </w:p>
        </w:tc>
        <w:tc>
          <w:tcPr>
            <w:tcW w:w="1419" w:type="pct"/>
            <w:vAlign w:val="center"/>
          </w:tcPr>
          <w:p w14:paraId="27189904" w14:textId="77777777" w:rsidR="009616CB" w:rsidRPr="00B84212" w:rsidRDefault="009616CB" w:rsidP="009616CB">
            <w:pPr>
              <w:jc w:val="right"/>
              <w:rPr>
                <w:b/>
                <w:sz w:val="20"/>
                <w:szCs w:val="20"/>
              </w:rPr>
            </w:pPr>
          </w:p>
        </w:tc>
      </w:tr>
      <w:tr w:rsidR="009616CB" w:rsidRPr="00B84212" w14:paraId="71768EB4" w14:textId="77777777" w:rsidTr="009616CB">
        <w:trPr>
          <w:trHeight w:val="259"/>
        </w:trPr>
        <w:tc>
          <w:tcPr>
            <w:tcW w:w="195" w:type="pct"/>
            <w:vAlign w:val="center"/>
          </w:tcPr>
          <w:p w14:paraId="6F4982D0" w14:textId="77777777" w:rsidR="009616CB" w:rsidRDefault="009616CB" w:rsidP="009616CB">
            <w:pPr>
              <w:rPr>
                <w:sz w:val="20"/>
                <w:szCs w:val="20"/>
              </w:rPr>
            </w:pPr>
            <w:r>
              <w:rPr>
                <w:sz w:val="20"/>
                <w:szCs w:val="20"/>
              </w:rPr>
              <w:t>1.</w:t>
            </w:r>
          </w:p>
        </w:tc>
        <w:tc>
          <w:tcPr>
            <w:tcW w:w="3386" w:type="pct"/>
            <w:vAlign w:val="center"/>
          </w:tcPr>
          <w:p w14:paraId="722C60F7" w14:textId="77777777" w:rsidR="009616CB" w:rsidRDefault="009616CB" w:rsidP="009616CB">
            <w:pPr>
              <w:rPr>
                <w:sz w:val="20"/>
                <w:szCs w:val="20"/>
              </w:rPr>
            </w:pPr>
            <w:r>
              <w:rPr>
                <w:sz w:val="20"/>
                <w:szCs w:val="20"/>
              </w:rPr>
              <w:t>To reflect appropriate test year RAFs.</w:t>
            </w:r>
          </w:p>
        </w:tc>
        <w:tc>
          <w:tcPr>
            <w:tcW w:w="1419" w:type="pct"/>
            <w:vAlign w:val="center"/>
          </w:tcPr>
          <w:p w14:paraId="2B90EA3A" w14:textId="77777777" w:rsidR="009616CB" w:rsidRDefault="009616CB" w:rsidP="009616CB">
            <w:pPr>
              <w:jc w:val="right"/>
              <w:rPr>
                <w:sz w:val="20"/>
                <w:szCs w:val="20"/>
              </w:rPr>
            </w:pPr>
            <w:r>
              <w:rPr>
                <w:sz w:val="20"/>
                <w:szCs w:val="20"/>
              </w:rPr>
              <w:t>($106)</w:t>
            </w:r>
          </w:p>
        </w:tc>
      </w:tr>
      <w:tr w:rsidR="009616CB" w:rsidRPr="0055506B" w14:paraId="5A12FC81" w14:textId="77777777" w:rsidTr="009616CB">
        <w:trPr>
          <w:trHeight w:val="259"/>
        </w:trPr>
        <w:tc>
          <w:tcPr>
            <w:tcW w:w="195" w:type="pct"/>
            <w:vAlign w:val="center"/>
          </w:tcPr>
          <w:p w14:paraId="6C4D9536" w14:textId="77777777" w:rsidR="009616CB" w:rsidRDefault="009616CB" w:rsidP="009616CB">
            <w:pPr>
              <w:rPr>
                <w:sz w:val="20"/>
                <w:szCs w:val="20"/>
              </w:rPr>
            </w:pPr>
            <w:r>
              <w:rPr>
                <w:sz w:val="20"/>
                <w:szCs w:val="20"/>
              </w:rPr>
              <w:t xml:space="preserve">2. </w:t>
            </w:r>
          </w:p>
        </w:tc>
        <w:tc>
          <w:tcPr>
            <w:tcW w:w="3386" w:type="pct"/>
            <w:vAlign w:val="center"/>
          </w:tcPr>
          <w:p w14:paraId="77622257" w14:textId="77777777" w:rsidR="009616CB" w:rsidRDefault="009616CB" w:rsidP="009616CB">
            <w:pPr>
              <w:rPr>
                <w:sz w:val="20"/>
                <w:szCs w:val="20"/>
              </w:rPr>
            </w:pPr>
            <w:r>
              <w:rPr>
                <w:sz w:val="20"/>
                <w:szCs w:val="20"/>
              </w:rPr>
              <w:t>To reflect property taxes associated with pro forma plant addition.</w:t>
            </w:r>
          </w:p>
        </w:tc>
        <w:tc>
          <w:tcPr>
            <w:tcW w:w="1419" w:type="pct"/>
            <w:vAlign w:val="center"/>
          </w:tcPr>
          <w:p w14:paraId="0ACC48D6" w14:textId="77777777" w:rsidR="009616CB" w:rsidRDefault="009616CB" w:rsidP="009616CB">
            <w:pPr>
              <w:jc w:val="right"/>
              <w:rPr>
                <w:sz w:val="20"/>
                <w:szCs w:val="20"/>
              </w:rPr>
            </w:pPr>
            <w:r>
              <w:rPr>
                <w:sz w:val="20"/>
                <w:szCs w:val="20"/>
              </w:rPr>
              <w:t>75</w:t>
            </w:r>
          </w:p>
        </w:tc>
      </w:tr>
      <w:tr w:rsidR="009616CB" w:rsidRPr="00B84212" w14:paraId="126520B2" w14:textId="77777777" w:rsidTr="009616CB">
        <w:trPr>
          <w:trHeight w:val="259"/>
        </w:trPr>
        <w:tc>
          <w:tcPr>
            <w:tcW w:w="195" w:type="pct"/>
            <w:vAlign w:val="center"/>
          </w:tcPr>
          <w:p w14:paraId="256DB4A3" w14:textId="77777777" w:rsidR="009616CB" w:rsidRDefault="009616CB" w:rsidP="009616CB">
            <w:pPr>
              <w:rPr>
                <w:sz w:val="20"/>
                <w:szCs w:val="20"/>
              </w:rPr>
            </w:pPr>
            <w:r>
              <w:rPr>
                <w:sz w:val="20"/>
                <w:szCs w:val="20"/>
              </w:rPr>
              <w:t>3.</w:t>
            </w:r>
          </w:p>
        </w:tc>
        <w:tc>
          <w:tcPr>
            <w:tcW w:w="3386" w:type="pct"/>
            <w:vAlign w:val="center"/>
          </w:tcPr>
          <w:p w14:paraId="7CB78789" w14:textId="77777777" w:rsidR="009616CB" w:rsidRDefault="009616CB" w:rsidP="009616CB">
            <w:pPr>
              <w:rPr>
                <w:sz w:val="20"/>
                <w:szCs w:val="20"/>
              </w:rPr>
            </w:pPr>
            <w:r>
              <w:rPr>
                <w:sz w:val="20"/>
                <w:szCs w:val="20"/>
              </w:rPr>
              <w:t>To reflect pro forma Brevard County tax increase.</w:t>
            </w:r>
          </w:p>
        </w:tc>
        <w:tc>
          <w:tcPr>
            <w:tcW w:w="1419" w:type="pct"/>
            <w:vAlign w:val="center"/>
          </w:tcPr>
          <w:p w14:paraId="27D7870F" w14:textId="77777777" w:rsidR="009616CB" w:rsidRPr="00B84212" w:rsidRDefault="009616CB" w:rsidP="009616CB">
            <w:pPr>
              <w:jc w:val="right"/>
              <w:rPr>
                <w:sz w:val="20"/>
                <w:szCs w:val="20"/>
                <w:u w:val="single"/>
              </w:rPr>
            </w:pPr>
            <w:r w:rsidRPr="00B84212">
              <w:rPr>
                <w:sz w:val="20"/>
                <w:szCs w:val="20"/>
                <w:u w:val="single"/>
              </w:rPr>
              <w:t>2,546</w:t>
            </w:r>
          </w:p>
        </w:tc>
      </w:tr>
      <w:tr w:rsidR="009616CB" w:rsidRPr="00B84212" w14:paraId="36985367" w14:textId="77777777" w:rsidTr="009616CB">
        <w:trPr>
          <w:trHeight w:val="259"/>
        </w:trPr>
        <w:tc>
          <w:tcPr>
            <w:tcW w:w="195" w:type="pct"/>
            <w:tcBorders>
              <w:bottom w:val="nil"/>
            </w:tcBorders>
            <w:vAlign w:val="center"/>
          </w:tcPr>
          <w:p w14:paraId="4CA402C3" w14:textId="77777777" w:rsidR="009616CB" w:rsidRDefault="009616CB" w:rsidP="009616CB">
            <w:pPr>
              <w:rPr>
                <w:sz w:val="20"/>
                <w:szCs w:val="20"/>
              </w:rPr>
            </w:pPr>
          </w:p>
        </w:tc>
        <w:tc>
          <w:tcPr>
            <w:tcW w:w="3386" w:type="pct"/>
            <w:tcBorders>
              <w:bottom w:val="nil"/>
            </w:tcBorders>
            <w:vAlign w:val="center"/>
          </w:tcPr>
          <w:p w14:paraId="4B0AD239" w14:textId="77777777" w:rsidR="009616CB" w:rsidRDefault="009616CB" w:rsidP="009616CB">
            <w:pPr>
              <w:rPr>
                <w:sz w:val="20"/>
                <w:szCs w:val="20"/>
              </w:rPr>
            </w:pPr>
            <w:r>
              <w:rPr>
                <w:sz w:val="20"/>
                <w:szCs w:val="20"/>
              </w:rPr>
              <w:t xml:space="preserve">     Total</w:t>
            </w:r>
          </w:p>
        </w:tc>
        <w:tc>
          <w:tcPr>
            <w:tcW w:w="1419" w:type="pct"/>
            <w:tcBorders>
              <w:bottom w:val="nil"/>
            </w:tcBorders>
            <w:vAlign w:val="center"/>
          </w:tcPr>
          <w:p w14:paraId="792FB74F" w14:textId="77777777" w:rsidR="009616CB" w:rsidRPr="00B84212" w:rsidRDefault="009616CB" w:rsidP="009616CB">
            <w:pPr>
              <w:jc w:val="right"/>
              <w:rPr>
                <w:sz w:val="20"/>
                <w:szCs w:val="20"/>
                <w:u w:val="double"/>
              </w:rPr>
            </w:pPr>
            <w:r w:rsidRPr="00B84212">
              <w:rPr>
                <w:sz w:val="20"/>
                <w:szCs w:val="20"/>
                <w:u w:val="double"/>
              </w:rPr>
              <w:t>$2,515</w:t>
            </w:r>
          </w:p>
        </w:tc>
      </w:tr>
      <w:tr w:rsidR="009616CB" w:rsidRPr="0055506B" w14:paraId="5BE040DE" w14:textId="77777777" w:rsidTr="009616CB">
        <w:trPr>
          <w:trHeight w:val="259"/>
        </w:trPr>
        <w:tc>
          <w:tcPr>
            <w:tcW w:w="195" w:type="pct"/>
            <w:vAlign w:val="center"/>
          </w:tcPr>
          <w:p w14:paraId="0CC45A15" w14:textId="77777777" w:rsidR="009616CB" w:rsidRPr="00B84212" w:rsidRDefault="009616CB" w:rsidP="009616CB">
            <w:pPr>
              <w:rPr>
                <w:sz w:val="20"/>
                <w:szCs w:val="20"/>
              </w:rPr>
            </w:pPr>
          </w:p>
        </w:tc>
        <w:tc>
          <w:tcPr>
            <w:tcW w:w="3386" w:type="pct"/>
            <w:vAlign w:val="center"/>
          </w:tcPr>
          <w:p w14:paraId="63C08BED" w14:textId="77777777" w:rsidR="009616CB" w:rsidRPr="00B84212" w:rsidRDefault="009616CB" w:rsidP="009616CB">
            <w:pPr>
              <w:rPr>
                <w:sz w:val="20"/>
                <w:szCs w:val="20"/>
              </w:rPr>
            </w:pPr>
          </w:p>
        </w:tc>
        <w:tc>
          <w:tcPr>
            <w:tcW w:w="1419" w:type="pct"/>
            <w:vAlign w:val="center"/>
          </w:tcPr>
          <w:p w14:paraId="6CC4FB0E" w14:textId="77777777" w:rsidR="009616CB" w:rsidRPr="0055506B" w:rsidRDefault="009616CB" w:rsidP="009616CB">
            <w:pPr>
              <w:jc w:val="right"/>
              <w:rPr>
                <w:sz w:val="20"/>
                <w:szCs w:val="20"/>
                <w:u w:val="double"/>
              </w:rPr>
            </w:pPr>
          </w:p>
        </w:tc>
      </w:tr>
      <w:tr w:rsidR="009616CB" w:rsidRPr="0055506B" w14:paraId="6D91CF94" w14:textId="77777777" w:rsidTr="009616CB">
        <w:trPr>
          <w:trHeight w:val="259"/>
        </w:trPr>
        <w:tc>
          <w:tcPr>
            <w:tcW w:w="195" w:type="pct"/>
            <w:vAlign w:val="center"/>
          </w:tcPr>
          <w:p w14:paraId="45257D5C" w14:textId="77777777" w:rsidR="009616CB" w:rsidRPr="00B84212" w:rsidRDefault="009616CB" w:rsidP="009616CB">
            <w:pPr>
              <w:rPr>
                <w:sz w:val="20"/>
                <w:szCs w:val="20"/>
              </w:rPr>
            </w:pPr>
          </w:p>
        </w:tc>
        <w:tc>
          <w:tcPr>
            <w:tcW w:w="3386" w:type="pct"/>
            <w:vAlign w:val="center"/>
          </w:tcPr>
          <w:p w14:paraId="4A46FDCD" w14:textId="77777777" w:rsidR="009616CB" w:rsidRPr="00603DD0" w:rsidRDefault="009616CB" w:rsidP="009616CB">
            <w:pPr>
              <w:rPr>
                <w:b/>
                <w:sz w:val="20"/>
                <w:szCs w:val="20"/>
              </w:rPr>
            </w:pPr>
            <w:r w:rsidRPr="00603DD0">
              <w:rPr>
                <w:b/>
                <w:sz w:val="20"/>
                <w:szCs w:val="20"/>
              </w:rPr>
              <w:t>INCOME TAX</w:t>
            </w:r>
          </w:p>
        </w:tc>
        <w:tc>
          <w:tcPr>
            <w:tcW w:w="1419" w:type="pct"/>
            <w:vAlign w:val="center"/>
          </w:tcPr>
          <w:p w14:paraId="208370F9" w14:textId="77777777" w:rsidR="009616CB" w:rsidRPr="0055506B" w:rsidRDefault="009616CB" w:rsidP="009616CB">
            <w:pPr>
              <w:jc w:val="right"/>
              <w:rPr>
                <w:sz w:val="20"/>
                <w:szCs w:val="20"/>
                <w:u w:val="double"/>
              </w:rPr>
            </w:pPr>
            <w:r>
              <w:rPr>
                <w:sz w:val="20"/>
                <w:szCs w:val="20"/>
                <w:u w:val="double"/>
              </w:rPr>
              <w:t>$0</w:t>
            </w:r>
          </w:p>
        </w:tc>
      </w:tr>
      <w:tr w:rsidR="009616CB" w:rsidRPr="0055506B" w14:paraId="0D2A36DF" w14:textId="77777777" w:rsidTr="009616CB">
        <w:trPr>
          <w:trHeight w:val="259"/>
        </w:trPr>
        <w:tc>
          <w:tcPr>
            <w:tcW w:w="195" w:type="pct"/>
            <w:tcBorders>
              <w:bottom w:val="single" w:sz="4" w:space="0" w:color="auto"/>
            </w:tcBorders>
            <w:vAlign w:val="center"/>
          </w:tcPr>
          <w:p w14:paraId="0DD559C7" w14:textId="77777777" w:rsidR="009616CB" w:rsidRPr="00B84212" w:rsidRDefault="009616CB" w:rsidP="009616CB">
            <w:pPr>
              <w:rPr>
                <w:sz w:val="20"/>
                <w:szCs w:val="20"/>
              </w:rPr>
            </w:pPr>
          </w:p>
        </w:tc>
        <w:tc>
          <w:tcPr>
            <w:tcW w:w="3386" w:type="pct"/>
            <w:tcBorders>
              <w:bottom w:val="single" w:sz="4" w:space="0" w:color="auto"/>
            </w:tcBorders>
            <w:vAlign w:val="center"/>
          </w:tcPr>
          <w:p w14:paraId="4CE1E841" w14:textId="77777777" w:rsidR="009616CB" w:rsidRPr="00B84212" w:rsidRDefault="009616CB" w:rsidP="009616CB">
            <w:pPr>
              <w:rPr>
                <w:sz w:val="20"/>
                <w:szCs w:val="20"/>
              </w:rPr>
            </w:pPr>
          </w:p>
        </w:tc>
        <w:tc>
          <w:tcPr>
            <w:tcW w:w="1419" w:type="pct"/>
            <w:tcBorders>
              <w:bottom w:val="single" w:sz="4" w:space="0" w:color="auto"/>
            </w:tcBorders>
            <w:vAlign w:val="center"/>
          </w:tcPr>
          <w:p w14:paraId="1197F1F6" w14:textId="77777777" w:rsidR="009616CB" w:rsidRPr="0055506B" w:rsidRDefault="009616CB" w:rsidP="009616CB">
            <w:pPr>
              <w:jc w:val="right"/>
              <w:rPr>
                <w:sz w:val="20"/>
                <w:szCs w:val="20"/>
                <w:u w:val="double"/>
              </w:rPr>
            </w:pPr>
          </w:p>
        </w:tc>
      </w:tr>
    </w:tbl>
    <w:p w14:paraId="2787CDF3" w14:textId="77777777" w:rsidR="009616CB" w:rsidRDefault="009616CB" w:rsidP="009616CB"/>
    <w:p w14:paraId="1FF49AF4" w14:textId="77777777" w:rsidR="009616CB" w:rsidRDefault="009616CB" w:rsidP="009616CB">
      <w:pPr>
        <w:sectPr w:rsidR="009616CB" w:rsidSect="009616CB">
          <w:headerReference w:type="default" r:id="rId14"/>
          <w:headerReference w:type="first" r:id="rId15"/>
          <w:pgSz w:w="12240" w:h="15840" w:code="1"/>
          <w:pgMar w:top="1440" w:right="1440" w:bottom="1440" w:left="1440" w:header="720" w:footer="720" w:gutter="0"/>
          <w:cols w:space="720"/>
          <w:titlePg/>
          <w:docGrid w:linePitch="360"/>
        </w:sectPr>
      </w:pPr>
    </w:p>
    <w:tbl>
      <w:tblPr>
        <w:tblStyle w:val="TableGrid"/>
        <w:tblW w:w="5000" w:type="pct"/>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5371"/>
        <w:gridCol w:w="1061"/>
        <w:gridCol w:w="1572"/>
        <w:gridCol w:w="1572"/>
      </w:tblGrid>
      <w:tr w:rsidR="009616CB" w:rsidRPr="00B84212" w14:paraId="117F80BA" w14:textId="77777777" w:rsidTr="009616CB">
        <w:trPr>
          <w:trHeight w:val="260"/>
        </w:trPr>
        <w:tc>
          <w:tcPr>
            <w:tcW w:w="3009" w:type="pct"/>
            <w:tcBorders>
              <w:top w:val="single" w:sz="4" w:space="0" w:color="auto"/>
            </w:tcBorders>
            <w:vAlign w:val="center"/>
          </w:tcPr>
          <w:p w14:paraId="05E9348C" w14:textId="77777777" w:rsidR="009616CB" w:rsidRPr="00B84212" w:rsidRDefault="009616CB" w:rsidP="009616CB">
            <w:pPr>
              <w:rPr>
                <w:b/>
                <w:sz w:val="20"/>
                <w:szCs w:val="20"/>
              </w:rPr>
            </w:pPr>
            <w:r w:rsidRPr="00B84212">
              <w:rPr>
                <w:b/>
                <w:sz w:val="20"/>
                <w:szCs w:val="20"/>
              </w:rPr>
              <w:t>MERRITT ISLAND UTILITY COMPANY, INC.</w:t>
            </w:r>
          </w:p>
        </w:tc>
        <w:tc>
          <w:tcPr>
            <w:tcW w:w="1991" w:type="pct"/>
            <w:gridSpan w:val="3"/>
            <w:tcBorders>
              <w:top w:val="single" w:sz="4" w:space="0" w:color="auto"/>
            </w:tcBorders>
            <w:vAlign w:val="center"/>
          </w:tcPr>
          <w:p w14:paraId="5E919149" w14:textId="77777777" w:rsidR="009616CB" w:rsidRPr="00B84212" w:rsidRDefault="009616CB" w:rsidP="009616CB">
            <w:pPr>
              <w:jc w:val="right"/>
              <w:rPr>
                <w:b/>
                <w:sz w:val="20"/>
                <w:szCs w:val="20"/>
              </w:rPr>
            </w:pPr>
            <w:r w:rsidRPr="00B84212">
              <w:rPr>
                <w:b/>
                <w:sz w:val="20"/>
                <w:szCs w:val="20"/>
              </w:rPr>
              <w:t>SCHEDULE NO. 3-C</w:t>
            </w:r>
          </w:p>
        </w:tc>
      </w:tr>
      <w:tr w:rsidR="009616CB" w:rsidRPr="00B84212" w14:paraId="100199BF" w14:textId="77777777" w:rsidTr="009616CB">
        <w:trPr>
          <w:trHeight w:val="261"/>
        </w:trPr>
        <w:tc>
          <w:tcPr>
            <w:tcW w:w="3009" w:type="pct"/>
            <w:tcBorders>
              <w:bottom w:val="nil"/>
            </w:tcBorders>
            <w:vAlign w:val="center"/>
          </w:tcPr>
          <w:p w14:paraId="637A25ED" w14:textId="77777777" w:rsidR="009616CB" w:rsidRPr="00B84212" w:rsidRDefault="009616CB" w:rsidP="009616CB">
            <w:pPr>
              <w:rPr>
                <w:b/>
                <w:sz w:val="20"/>
                <w:szCs w:val="20"/>
              </w:rPr>
            </w:pPr>
            <w:r w:rsidRPr="00B84212">
              <w:rPr>
                <w:b/>
                <w:sz w:val="20"/>
                <w:szCs w:val="20"/>
              </w:rPr>
              <w:t>TEST YEAR ENDED 3/31/2019</w:t>
            </w:r>
          </w:p>
        </w:tc>
        <w:tc>
          <w:tcPr>
            <w:tcW w:w="1991" w:type="pct"/>
            <w:gridSpan w:val="3"/>
            <w:tcBorders>
              <w:bottom w:val="nil"/>
            </w:tcBorders>
            <w:vAlign w:val="center"/>
          </w:tcPr>
          <w:p w14:paraId="600DE471" w14:textId="77777777" w:rsidR="009616CB" w:rsidRPr="00B84212" w:rsidRDefault="009616CB" w:rsidP="009616CB">
            <w:pPr>
              <w:jc w:val="right"/>
              <w:rPr>
                <w:b/>
                <w:sz w:val="20"/>
                <w:szCs w:val="20"/>
              </w:rPr>
            </w:pPr>
            <w:r w:rsidRPr="00B84212">
              <w:rPr>
                <w:b/>
                <w:sz w:val="20"/>
                <w:szCs w:val="20"/>
              </w:rPr>
              <w:t>DOCKET NO. 20190116-SU</w:t>
            </w:r>
          </w:p>
        </w:tc>
      </w:tr>
      <w:tr w:rsidR="009616CB" w:rsidRPr="00B84212" w14:paraId="027BB07C" w14:textId="77777777" w:rsidTr="009616CB">
        <w:trPr>
          <w:trHeight w:val="261"/>
        </w:trPr>
        <w:tc>
          <w:tcPr>
            <w:tcW w:w="5000" w:type="pct"/>
            <w:gridSpan w:val="4"/>
            <w:tcBorders>
              <w:bottom w:val="single" w:sz="4" w:space="0" w:color="auto"/>
            </w:tcBorders>
            <w:vAlign w:val="center"/>
          </w:tcPr>
          <w:p w14:paraId="2873EDEF" w14:textId="77777777" w:rsidR="009616CB" w:rsidRPr="00B84212" w:rsidRDefault="009616CB" w:rsidP="009616CB">
            <w:pPr>
              <w:rPr>
                <w:b/>
                <w:sz w:val="20"/>
                <w:szCs w:val="20"/>
              </w:rPr>
            </w:pPr>
            <w:r w:rsidRPr="00B84212">
              <w:rPr>
                <w:b/>
                <w:sz w:val="20"/>
                <w:szCs w:val="20"/>
              </w:rPr>
              <w:t>ANALYSIS OF WASTEWATER OPERATION AND MAINTENANCE EXPENSE</w:t>
            </w:r>
          </w:p>
        </w:tc>
      </w:tr>
      <w:tr w:rsidR="009616CB" w:rsidRPr="00B84212" w14:paraId="0D5B05C7" w14:textId="77777777" w:rsidTr="009616CB">
        <w:trPr>
          <w:trHeight w:val="360"/>
        </w:trPr>
        <w:tc>
          <w:tcPr>
            <w:tcW w:w="3009" w:type="pct"/>
            <w:tcBorders>
              <w:top w:val="single" w:sz="4" w:space="0" w:color="auto"/>
            </w:tcBorders>
            <w:vAlign w:val="center"/>
          </w:tcPr>
          <w:p w14:paraId="5E2E4389" w14:textId="77777777" w:rsidR="009616CB" w:rsidRPr="00B84212" w:rsidRDefault="009616CB" w:rsidP="009616CB">
            <w:pPr>
              <w:rPr>
                <w:b/>
                <w:sz w:val="20"/>
                <w:szCs w:val="20"/>
              </w:rPr>
            </w:pPr>
          </w:p>
        </w:tc>
        <w:tc>
          <w:tcPr>
            <w:tcW w:w="690" w:type="pct"/>
            <w:tcBorders>
              <w:top w:val="single" w:sz="4" w:space="0" w:color="auto"/>
            </w:tcBorders>
            <w:vAlign w:val="center"/>
          </w:tcPr>
          <w:p w14:paraId="2FE1CB58" w14:textId="77777777" w:rsidR="009616CB" w:rsidRPr="00B84212" w:rsidRDefault="009616CB" w:rsidP="009616CB">
            <w:pPr>
              <w:jc w:val="center"/>
              <w:rPr>
                <w:b/>
                <w:sz w:val="20"/>
                <w:szCs w:val="20"/>
              </w:rPr>
            </w:pPr>
            <w:r w:rsidRPr="00B84212">
              <w:rPr>
                <w:b/>
                <w:sz w:val="20"/>
                <w:szCs w:val="20"/>
              </w:rPr>
              <w:t>TOTAL</w:t>
            </w:r>
          </w:p>
        </w:tc>
        <w:tc>
          <w:tcPr>
            <w:tcW w:w="706" w:type="pct"/>
            <w:tcBorders>
              <w:top w:val="single" w:sz="4" w:space="0" w:color="auto"/>
            </w:tcBorders>
            <w:vAlign w:val="center"/>
          </w:tcPr>
          <w:p w14:paraId="0442C105" w14:textId="77777777" w:rsidR="009616CB" w:rsidRPr="00B84212" w:rsidRDefault="00196CFC" w:rsidP="009616CB">
            <w:pPr>
              <w:jc w:val="center"/>
              <w:rPr>
                <w:b/>
                <w:sz w:val="20"/>
                <w:szCs w:val="20"/>
              </w:rPr>
            </w:pPr>
            <w:r>
              <w:rPr>
                <w:b/>
                <w:sz w:val="20"/>
                <w:szCs w:val="20"/>
              </w:rPr>
              <w:t>COMMISSION</w:t>
            </w:r>
          </w:p>
        </w:tc>
        <w:tc>
          <w:tcPr>
            <w:tcW w:w="595" w:type="pct"/>
            <w:tcBorders>
              <w:top w:val="single" w:sz="4" w:space="0" w:color="auto"/>
            </w:tcBorders>
            <w:vAlign w:val="center"/>
          </w:tcPr>
          <w:p w14:paraId="0FF38C53" w14:textId="77777777" w:rsidR="009616CB" w:rsidRPr="00B84212" w:rsidRDefault="009616CB" w:rsidP="009616CB">
            <w:pPr>
              <w:jc w:val="center"/>
              <w:rPr>
                <w:b/>
                <w:sz w:val="20"/>
                <w:szCs w:val="20"/>
              </w:rPr>
            </w:pPr>
            <w:r w:rsidRPr="00B84212">
              <w:rPr>
                <w:b/>
                <w:sz w:val="20"/>
                <w:szCs w:val="20"/>
              </w:rPr>
              <w:t>TOTAL</w:t>
            </w:r>
          </w:p>
        </w:tc>
      </w:tr>
      <w:tr w:rsidR="009616CB" w:rsidRPr="00B84212" w14:paraId="4DCAB16C" w14:textId="77777777" w:rsidTr="009616CB">
        <w:trPr>
          <w:trHeight w:val="360"/>
        </w:trPr>
        <w:tc>
          <w:tcPr>
            <w:tcW w:w="3009" w:type="pct"/>
            <w:tcBorders>
              <w:bottom w:val="nil"/>
            </w:tcBorders>
            <w:vAlign w:val="center"/>
          </w:tcPr>
          <w:p w14:paraId="77F94A8D" w14:textId="77777777" w:rsidR="009616CB" w:rsidRPr="00B84212" w:rsidRDefault="009616CB" w:rsidP="009616CB">
            <w:pPr>
              <w:rPr>
                <w:b/>
                <w:sz w:val="20"/>
                <w:szCs w:val="20"/>
              </w:rPr>
            </w:pPr>
          </w:p>
        </w:tc>
        <w:tc>
          <w:tcPr>
            <w:tcW w:w="690" w:type="pct"/>
            <w:tcBorders>
              <w:bottom w:val="nil"/>
            </w:tcBorders>
            <w:vAlign w:val="center"/>
          </w:tcPr>
          <w:p w14:paraId="31AE0A52" w14:textId="77777777" w:rsidR="009616CB" w:rsidRPr="00B84212" w:rsidRDefault="009616CB" w:rsidP="009616CB">
            <w:pPr>
              <w:jc w:val="center"/>
              <w:rPr>
                <w:b/>
                <w:sz w:val="20"/>
                <w:szCs w:val="20"/>
              </w:rPr>
            </w:pPr>
            <w:r w:rsidRPr="00B84212">
              <w:rPr>
                <w:b/>
                <w:sz w:val="20"/>
                <w:szCs w:val="20"/>
              </w:rPr>
              <w:t>PER</w:t>
            </w:r>
          </w:p>
        </w:tc>
        <w:tc>
          <w:tcPr>
            <w:tcW w:w="706" w:type="pct"/>
            <w:tcBorders>
              <w:bottom w:val="nil"/>
            </w:tcBorders>
            <w:vAlign w:val="center"/>
          </w:tcPr>
          <w:p w14:paraId="7CCEB271" w14:textId="77777777" w:rsidR="009616CB" w:rsidRPr="00B84212" w:rsidRDefault="009616CB" w:rsidP="009616CB">
            <w:pPr>
              <w:jc w:val="center"/>
              <w:rPr>
                <w:b/>
                <w:sz w:val="20"/>
                <w:szCs w:val="20"/>
              </w:rPr>
            </w:pPr>
            <w:r w:rsidRPr="00B84212">
              <w:rPr>
                <w:b/>
                <w:sz w:val="20"/>
                <w:szCs w:val="20"/>
              </w:rPr>
              <w:t>ADJUST-</w:t>
            </w:r>
          </w:p>
        </w:tc>
        <w:tc>
          <w:tcPr>
            <w:tcW w:w="595" w:type="pct"/>
            <w:tcBorders>
              <w:bottom w:val="nil"/>
            </w:tcBorders>
            <w:vAlign w:val="center"/>
          </w:tcPr>
          <w:p w14:paraId="20A0A445" w14:textId="77777777" w:rsidR="009616CB" w:rsidRPr="00B84212" w:rsidRDefault="009616CB" w:rsidP="009616CB">
            <w:pPr>
              <w:jc w:val="center"/>
              <w:rPr>
                <w:b/>
                <w:sz w:val="20"/>
                <w:szCs w:val="20"/>
              </w:rPr>
            </w:pPr>
            <w:r w:rsidRPr="00B84212">
              <w:rPr>
                <w:b/>
                <w:sz w:val="20"/>
                <w:szCs w:val="20"/>
              </w:rPr>
              <w:t>PER</w:t>
            </w:r>
          </w:p>
        </w:tc>
      </w:tr>
      <w:tr w:rsidR="009616CB" w:rsidRPr="00B84212" w14:paraId="6EC91600" w14:textId="77777777" w:rsidTr="009616CB">
        <w:trPr>
          <w:trHeight w:val="360"/>
        </w:trPr>
        <w:tc>
          <w:tcPr>
            <w:tcW w:w="3009" w:type="pct"/>
            <w:tcBorders>
              <w:bottom w:val="single" w:sz="4" w:space="0" w:color="auto"/>
            </w:tcBorders>
            <w:vAlign w:val="center"/>
          </w:tcPr>
          <w:p w14:paraId="74056B93" w14:textId="77777777" w:rsidR="009616CB" w:rsidRPr="00B84212" w:rsidRDefault="009616CB" w:rsidP="009616CB">
            <w:pPr>
              <w:rPr>
                <w:b/>
                <w:sz w:val="20"/>
                <w:szCs w:val="20"/>
              </w:rPr>
            </w:pPr>
          </w:p>
        </w:tc>
        <w:tc>
          <w:tcPr>
            <w:tcW w:w="690" w:type="pct"/>
            <w:tcBorders>
              <w:bottom w:val="single" w:sz="4" w:space="0" w:color="auto"/>
            </w:tcBorders>
            <w:vAlign w:val="center"/>
          </w:tcPr>
          <w:p w14:paraId="0EFCE376" w14:textId="77777777" w:rsidR="009616CB" w:rsidRPr="00B84212" w:rsidRDefault="009616CB" w:rsidP="009616CB">
            <w:pPr>
              <w:jc w:val="center"/>
              <w:rPr>
                <w:b/>
                <w:sz w:val="20"/>
                <w:szCs w:val="20"/>
              </w:rPr>
            </w:pPr>
            <w:r w:rsidRPr="00B84212">
              <w:rPr>
                <w:b/>
                <w:sz w:val="20"/>
                <w:szCs w:val="20"/>
              </w:rPr>
              <w:t>UTILITY</w:t>
            </w:r>
          </w:p>
        </w:tc>
        <w:tc>
          <w:tcPr>
            <w:tcW w:w="706" w:type="pct"/>
            <w:tcBorders>
              <w:bottom w:val="single" w:sz="4" w:space="0" w:color="auto"/>
            </w:tcBorders>
            <w:vAlign w:val="center"/>
          </w:tcPr>
          <w:p w14:paraId="16AEDF7D" w14:textId="77777777" w:rsidR="009616CB" w:rsidRPr="00B84212" w:rsidRDefault="009616CB" w:rsidP="009616CB">
            <w:pPr>
              <w:jc w:val="center"/>
              <w:rPr>
                <w:b/>
                <w:sz w:val="20"/>
                <w:szCs w:val="20"/>
              </w:rPr>
            </w:pPr>
            <w:r w:rsidRPr="00B84212">
              <w:rPr>
                <w:b/>
                <w:sz w:val="20"/>
                <w:szCs w:val="20"/>
              </w:rPr>
              <w:t>MENT</w:t>
            </w:r>
          </w:p>
        </w:tc>
        <w:tc>
          <w:tcPr>
            <w:tcW w:w="595" w:type="pct"/>
            <w:tcBorders>
              <w:bottom w:val="single" w:sz="4" w:space="0" w:color="auto"/>
            </w:tcBorders>
            <w:vAlign w:val="center"/>
          </w:tcPr>
          <w:p w14:paraId="4DC08C09" w14:textId="77777777" w:rsidR="009616CB" w:rsidRPr="00B84212" w:rsidRDefault="00196CFC" w:rsidP="009616CB">
            <w:pPr>
              <w:jc w:val="center"/>
              <w:rPr>
                <w:b/>
                <w:sz w:val="20"/>
                <w:szCs w:val="20"/>
              </w:rPr>
            </w:pPr>
            <w:r>
              <w:rPr>
                <w:b/>
                <w:sz w:val="20"/>
                <w:szCs w:val="20"/>
              </w:rPr>
              <w:t>COMMISSION</w:t>
            </w:r>
          </w:p>
        </w:tc>
      </w:tr>
      <w:tr w:rsidR="009616CB" w:rsidRPr="00B84212" w14:paraId="00F82DBB" w14:textId="77777777" w:rsidTr="009616CB">
        <w:trPr>
          <w:trHeight w:val="360"/>
        </w:trPr>
        <w:tc>
          <w:tcPr>
            <w:tcW w:w="3009" w:type="pct"/>
            <w:vAlign w:val="center"/>
          </w:tcPr>
          <w:p w14:paraId="335DEAF2" w14:textId="77777777" w:rsidR="009616CB" w:rsidRPr="00B84212" w:rsidRDefault="009616CB" w:rsidP="009616CB">
            <w:pPr>
              <w:rPr>
                <w:sz w:val="20"/>
                <w:szCs w:val="20"/>
              </w:rPr>
            </w:pPr>
            <w:r w:rsidRPr="00B84212">
              <w:rPr>
                <w:sz w:val="20"/>
                <w:szCs w:val="20"/>
              </w:rPr>
              <w:t>(703) SALARIES AND WAGES - OFFICERS</w:t>
            </w:r>
          </w:p>
        </w:tc>
        <w:tc>
          <w:tcPr>
            <w:tcW w:w="690" w:type="pct"/>
            <w:vAlign w:val="center"/>
          </w:tcPr>
          <w:p w14:paraId="350B23F3" w14:textId="77777777" w:rsidR="009616CB" w:rsidRPr="00B84212" w:rsidRDefault="009616CB" w:rsidP="009616CB">
            <w:pPr>
              <w:jc w:val="right"/>
              <w:rPr>
                <w:sz w:val="20"/>
                <w:szCs w:val="20"/>
              </w:rPr>
            </w:pPr>
            <w:r>
              <w:rPr>
                <w:sz w:val="20"/>
                <w:szCs w:val="20"/>
              </w:rPr>
              <w:t>$</w:t>
            </w:r>
            <w:r w:rsidRPr="00B84212">
              <w:rPr>
                <w:sz w:val="20"/>
                <w:szCs w:val="20"/>
              </w:rPr>
              <w:t xml:space="preserve">5,000 </w:t>
            </w:r>
          </w:p>
        </w:tc>
        <w:tc>
          <w:tcPr>
            <w:tcW w:w="706" w:type="pct"/>
            <w:vAlign w:val="center"/>
          </w:tcPr>
          <w:p w14:paraId="076EF98C" w14:textId="77777777" w:rsidR="009616CB" w:rsidRPr="00B84212" w:rsidRDefault="009616CB" w:rsidP="009616CB">
            <w:pPr>
              <w:jc w:val="right"/>
              <w:rPr>
                <w:sz w:val="20"/>
                <w:szCs w:val="20"/>
              </w:rPr>
            </w:pPr>
            <w:r>
              <w:rPr>
                <w:sz w:val="20"/>
                <w:szCs w:val="20"/>
              </w:rPr>
              <w:t>$</w:t>
            </w:r>
            <w:r w:rsidRPr="00B84212">
              <w:rPr>
                <w:sz w:val="20"/>
                <w:szCs w:val="20"/>
              </w:rPr>
              <w:t xml:space="preserve">0 </w:t>
            </w:r>
          </w:p>
        </w:tc>
        <w:tc>
          <w:tcPr>
            <w:tcW w:w="595" w:type="pct"/>
            <w:vAlign w:val="center"/>
          </w:tcPr>
          <w:p w14:paraId="47682249" w14:textId="77777777" w:rsidR="009616CB" w:rsidRPr="00B84212" w:rsidRDefault="009616CB" w:rsidP="009616CB">
            <w:pPr>
              <w:jc w:val="right"/>
              <w:rPr>
                <w:sz w:val="20"/>
                <w:szCs w:val="20"/>
              </w:rPr>
            </w:pPr>
            <w:r>
              <w:rPr>
                <w:sz w:val="20"/>
                <w:szCs w:val="20"/>
              </w:rPr>
              <w:t>$</w:t>
            </w:r>
            <w:r w:rsidRPr="00B84212">
              <w:rPr>
                <w:sz w:val="20"/>
                <w:szCs w:val="20"/>
              </w:rPr>
              <w:t xml:space="preserve">5,000 </w:t>
            </w:r>
          </w:p>
        </w:tc>
      </w:tr>
      <w:tr w:rsidR="009616CB" w:rsidRPr="00B84212" w14:paraId="525522C1" w14:textId="77777777" w:rsidTr="009616CB">
        <w:trPr>
          <w:trHeight w:val="360"/>
        </w:trPr>
        <w:tc>
          <w:tcPr>
            <w:tcW w:w="3009" w:type="pct"/>
            <w:vAlign w:val="center"/>
          </w:tcPr>
          <w:p w14:paraId="4BFEFEED" w14:textId="77777777" w:rsidR="009616CB" w:rsidRPr="00B84212" w:rsidRDefault="009616CB" w:rsidP="009616CB">
            <w:pPr>
              <w:rPr>
                <w:sz w:val="20"/>
                <w:szCs w:val="20"/>
              </w:rPr>
            </w:pPr>
            <w:r w:rsidRPr="00B84212">
              <w:rPr>
                <w:sz w:val="20"/>
                <w:szCs w:val="20"/>
              </w:rPr>
              <w:t>(711) SLUDGE REMOVAL</w:t>
            </w:r>
          </w:p>
        </w:tc>
        <w:tc>
          <w:tcPr>
            <w:tcW w:w="690" w:type="pct"/>
            <w:vAlign w:val="center"/>
          </w:tcPr>
          <w:p w14:paraId="1086B972" w14:textId="77777777" w:rsidR="009616CB" w:rsidRPr="00B84212" w:rsidRDefault="009616CB" w:rsidP="009616CB">
            <w:pPr>
              <w:jc w:val="right"/>
              <w:rPr>
                <w:sz w:val="20"/>
                <w:szCs w:val="20"/>
              </w:rPr>
            </w:pPr>
            <w:r w:rsidRPr="00B84212">
              <w:rPr>
                <w:sz w:val="20"/>
                <w:szCs w:val="20"/>
              </w:rPr>
              <w:t xml:space="preserve">4,000 </w:t>
            </w:r>
          </w:p>
        </w:tc>
        <w:tc>
          <w:tcPr>
            <w:tcW w:w="706" w:type="pct"/>
            <w:vAlign w:val="center"/>
          </w:tcPr>
          <w:p w14:paraId="1B850636" w14:textId="77777777" w:rsidR="009616CB" w:rsidRPr="00B84212" w:rsidRDefault="009616CB" w:rsidP="009616CB">
            <w:pPr>
              <w:jc w:val="right"/>
              <w:rPr>
                <w:sz w:val="20"/>
                <w:szCs w:val="20"/>
              </w:rPr>
            </w:pPr>
            <w:r>
              <w:rPr>
                <w:sz w:val="20"/>
                <w:szCs w:val="20"/>
              </w:rPr>
              <w:t>0</w:t>
            </w:r>
          </w:p>
        </w:tc>
        <w:tc>
          <w:tcPr>
            <w:tcW w:w="595" w:type="pct"/>
            <w:vAlign w:val="center"/>
          </w:tcPr>
          <w:p w14:paraId="594BF725" w14:textId="77777777" w:rsidR="009616CB" w:rsidRPr="00B84212" w:rsidRDefault="009616CB" w:rsidP="009616CB">
            <w:pPr>
              <w:jc w:val="right"/>
              <w:rPr>
                <w:sz w:val="20"/>
                <w:szCs w:val="20"/>
              </w:rPr>
            </w:pPr>
            <w:r>
              <w:rPr>
                <w:sz w:val="20"/>
                <w:szCs w:val="20"/>
              </w:rPr>
              <w:t>4,00</w:t>
            </w:r>
            <w:r w:rsidRPr="00B84212">
              <w:rPr>
                <w:sz w:val="20"/>
                <w:szCs w:val="20"/>
              </w:rPr>
              <w:t xml:space="preserve">0 </w:t>
            </w:r>
          </w:p>
        </w:tc>
      </w:tr>
      <w:tr w:rsidR="009616CB" w:rsidRPr="00B84212" w14:paraId="27FE5793" w14:textId="77777777" w:rsidTr="009616CB">
        <w:trPr>
          <w:trHeight w:val="360"/>
        </w:trPr>
        <w:tc>
          <w:tcPr>
            <w:tcW w:w="3009" w:type="pct"/>
            <w:vAlign w:val="center"/>
          </w:tcPr>
          <w:p w14:paraId="27231790" w14:textId="77777777" w:rsidR="009616CB" w:rsidRPr="00B84212" w:rsidRDefault="009616CB" w:rsidP="009616CB">
            <w:pPr>
              <w:rPr>
                <w:sz w:val="20"/>
                <w:szCs w:val="20"/>
              </w:rPr>
            </w:pPr>
            <w:r w:rsidRPr="00B84212">
              <w:rPr>
                <w:sz w:val="20"/>
                <w:szCs w:val="20"/>
              </w:rPr>
              <w:t>(715) PURCHASED POWER</w:t>
            </w:r>
          </w:p>
        </w:tc>
        <w:tc>
          <w:tcPr>
            <w:tcW w:w="690" w:type="pct"/>
            <w:vAlign w:val="center"/>
          </w:tcPr>
          <w:p w14:paraId="084BB3CD" w14:textId="77777777" w:rsidR="009616CB" w:rsidRPr="00B84212" w:rsidRDefault="009616CB" w:rsidP="009616CB">
            <w:pPr>
              <w:jc w:val="right"/>
              <w:rPr>
                <w:sz w:val="20"/>
                <w:szCs w:val="20"/>
              </w:rPr>
            </w:pPr>
            <w:r w:rsidRPr="00B84212">
              <w:rPr>
                <w:sz w:val="20"/>
                <w:szCs w:val="20"/>
              </w:rPr>
              <w:t xml:space="preserve">5,764 </w:t>
            </w:r>
          </w:p>
        </w:tc>
        <w:tc>
          <w:tcPr>
            <w:tcW w:w="706" w:type="pct"/>
            <w:vAlign w:val="center"/>
          </w:tcPr>
          <w:p w14:paraId="5B3D73B2" w14:textId="77777777" w:rsidR="009616CB" w:rsidRPr="00B84212" w:rsidRDefault="009616CB" w:rsidP="009616CB">
            <w:pPr>
              <w:jc w:val="right"/>
              <w:rPr>
                <w:sz w:val="20"/>
                <w:szCs w:val="20"/>
              </w:rPr>
            </w:pPr>
            <w:r>
              <w:rPr>
                <w:sz w:val="20"/>
                <w:szCs w:val="20"/>
              </w:rPr>
              <w:t>(288)</w:t>
            </w:r>
            <w:r w:rsidRPr="00B84212">
              <w:rPr>
                <w:sz w:val="20"/>
                <w:szCs w:val="20"/>
              </w:rPr>
              <w:t xml:space="preserve"> </w:t>
            </w:r>
          </w:p>
        </w:tc>
        <w:tc>
          <w:tcPr>
            <w:tcW w:w="595" w:type="pct"/>
            <w:vAlign w:val="center"/>
          </w:tcPr>
          <w:p w14:paraId="5F8C64A8" w14:textId="77777777" w:rsidR="009616CB" w:rsidRPr="00B84212" w:rsidRDefault="009616CB" w:rsidP="009616CB">
            <w:pPr>
              <w:jc w:val="right"/>
              <w:rPr>
                <w:sz w:val="20"/>
                <w:szCs w:val="20"/>
              </w:rPr>
            </w:pPr>
            <w:r>
              <w:rPr>
                <w:sz w:val="20"/>
                <w:szCs w:val="20"/>
              </w:rPr>
              <w:t>5,476</w:t>
            </w:r>
          </w:p>
        </w:tc>
      </w:tr>
      <w:tr w:rsidR="009616CB" w:rsidRPr="00B84212" w14:paraId="1F905993" w14:textId="77777777" w:rsidTr="009616CB">
        <w:trPr>
          <w:trHeight w:val="360"/>
        </w:trPr>
        <w:tc>
          <w:tcPr>
            <w:tcW w:w="3009" w:type="pct"/>
            <w:vAlign w:val="center"/>
          </w:tcPr>
          <w:p w14:paraId="6372745F" w14:textId="77777777" w:rsidR="009616CB" w:rsidRPr="00B84212" w:rsidRDefault="009616CB" w:rsidP="009616CB">
            <w:pPr>
              <w:rPr>
                <w:sz w:val="20"/>
                <w:szCs w:val="20"/>
              </w:rPr>
            </w:pPr>
            <w:r w:rsidRPr="00B84212">
              <w:rPr>
                <w:sz w:val="20"/>
                <w:szCs w:val="20"/>
              </w:rPr>
              <w:t>(718) CHEMICALS</w:t>
            </w:r>
          </w:p>
        </w:tc>
        <w:tc>
          <w:tcPr>
            <w:tcW w:w="690" w:type="pct"/>
            <w:vAlign w:val="center"/>
          </w:tcPr>
          <w:p w14:paraId="38E755C6" w14:textId="77777777" w:rsidR="009616CB" w:rsidRPr="00B84212" w:rsidRDefault="009616CB" w:rsidP="009616CB">
            <w:pPr>
              <w:jc w:val="right"/>
              <w:rPr>
                <w:sz w:val="20"/>
                <w:szCs w:val="20"/>
              </w:rPr>
            </w:pPr>
            <w:r w:rsidRPr="00B84212">
              <w:rPr>
                <w:sz w:val="20"/>
                <w:szCs w:val="20"/>
              </w:rPr>
              <w:t xml:space="preserve">2,425 </w:t>
            </w:r>
          </w:p>
        </w:tc>
        <w:tc>
          <w:tcPr>
            <w:tcW w:w="706" w:type="pct"/>
            <w:vAlign w:val="center"/>
          </w:tcPr>
          <w:p w14:paraId="1DD27109" w14:textId="77777777" w:rsidR="009616CB" w:rsidRPr="00B84212" w:rsidRDefault="009616CB" w:rsidP="009616CB">
            <w:pPr>
              <w:jc w:val="right"/>
              <w:rPr>
                <w:sz w:val="20"/>
                <w:szCs w:val="20"/>
              </w:rPr>
            </w:pPr>
            <w:r>
              <w:rPr>
                <w:sz w:val="20"/>
                <w:szCs w:val="20"/>
              </w:rPr>
              <w:t>(121)</w:t>
            </w:r>
            <w:r w:rsidRPr="00B84212">
              <w:rPr>
                <w:sz w:val="20"/>
                <w:szCs w:val="20"/>
              </w:rPr>
              <w:t xml:space="preserve"> </w:t>
            </w:r>
          </w:p>
        </w:tc>
        <w:tc>
          <w:tcPr>
            <w:tcW w:w="595" w:type="pct"/>
            <w:vAlign w:val="center"/>
          </w:tcPr>
          <w:p w14:paraId="2D473386" w14:textId="77777777" w:rsidR="009616CB" w:rsidRPr="00B84212" w:rsidRDefault="009616CB" w:rsidP="009616CB">
            <w:pPr>
              <w:jc w:val="right"/>
              <w:rPr>
                <w:sz w:val="20"/>
                <w:szCs w:val="20"/>
              </w:rPr>
            </w:pPr>
            <w:r>
              <w:rPr>
                <w:sz w:val="20"/>
                <w:szCs w:val="20"/>
              </w:rPr>
              <w:t>2,304</w:t>
            </w:r>
          </w:p>
        </w:tc>
      </w:tr>
      <w:tr w:rsidR="009616CB" w:rsidRPr="00B84212" w14:paraId="54CCF108" w14:textId="77777777" w:rsidTr="009616CB">
        <w:trPr>
          <w:trHeight w:val="360"/>
        </w:trPr>
        <w:tc>
          <w:tcPr>
            <w:tcW w:w="3009" w:type="pct"/>
            <w:vAlign w:val="center"/>
          </w:tcPr>
          <w:p w14:paraId="7FC91139" w14:textId="77777777" w:rsidR="009616CB" w:rsidRPr="00B84212" w:rsidRDefault="009616CB" w:rsidP="009616CB">
            <w:pPr>
              <w:rPr>
                <w:sz w:val="20"/>
                <w:szCs w:val="20"/>
              </w:rPr>
            </w:pPr>
            <w:r w:rsidRPr="00B84212">
              <w:rPr>
                <w:sz w:val="20"/>
                <w:szCs w:val="20"/>
              </w:rPr>
              <w:t>(731) CONTRACTUAL SERVICES - ENGINEERING</w:t>
            </w:r>
          </w:p>
        </w:tc>
        <w:tc>
          <w:tcPr>
            <w:tcW w:w="690" w:type="pct"/>
            <w:vAlign w:val="center"/>
          </w:tcPr>
          <w:p w14:paraId="5FA6BA15" w14:textId="77777777" w:rsidR="009616CB" w:rsidRPr="00B84212" w:rsidRDefault="009616CB" w:rsidP="009616CB">
            <w:pPr>
              <w:jc w:val="right"/>
              <w:rPr>
                <w:sz w:val="20"/>
                <w:szCs w:val="20"/>
              </w:rPr>
            </w:pPr>
            <w:r w:rsidRPr="00B84212">
              <w:rPr>
                <w:sz w:val="20"/>
                <w:szCs w:val="20"/>
              </w:rPr>
              <w:t xml:space="preserve">1,200 </w:t>
            </w:r>
          </w:p>
        </w:tc>
        <w:tc>
          <w:tcPr>
            <w:tcW w:w="706" w:type="pct"/>
            <w:vAlign w:val="center"/>
          </w:tcPr>
          <w:p w14:paraId="1A3D9392" w14:textId="77777777" w:rsidR="009616CB" w:rsidRPr="00B84212" w:rsidRDefault="009616CB" w:rsidP="009616CB">
            <w:pPr>
              <w:jc w:val="right"/>
              <w:rPr>
                <w:sz w:val="20"/>
                <w:szCs w:val="20"/>
              </w:rPr>
            </w:pPr>
            <w:r w:rsidRPr="00B84212">
              <w:rPr>
                <w:sz w:val="20"/>
                <w:szCs w:val="20"/>
              </w:rPr>
              <w:t xml:space="preserve">284 </w:t>
            </w:r>
          </w:p>
        </w:tc>
        <w:tc>
          <w:tcPr>
            <w:tcW w:w="595" w:type="pct"/>
            <w:vAlign w:val="center"/>
          </w:tcPr>
          <w:p w14:paraId="4752F6A5" w14:textId="77777777" w:rsidR="009616CB" w:rsidRPr="00B84212" w:rsidRDefault="009616CB" w:rsidP="009616CB">
            <w:pPr>
              <w:jc w:val="right"/>
              <w:rPr>
                <w:sz w:val="20"/>
                <w:szCs w:val="20"/>
              </w:rPr>
            </w:pPr>
            <w:r w:rsidRPr="00B84212">
              <w:rPr>
                <w:sz w:val="20"/>
                <w:szCs w:val="20"/>
              </w:rPr>
              <w:t xml:space="preserve">1,484 </w:t>
            </w:r>
          </w:p>
        </w:tc>
      </w:tr>
      <w:tr w:rsidR="009616CB" w:rsidRPr="00B84212" w14:paraId="2A980E19" w14:textId="77777777" w:rsidTr="009616CB">
        <w:trPr>
          <w:trHeight w:val="360"/>
        </w:trPr>
        <w:tc>
          <w:tcPr>
            <w:tcW w:w="3009" w:type="pct"/>
            <w:vAlign w:val="center"/>
          </w:tcPr>
          <w:p w14:paraId="5547989F" w14:textId="77777777" w:rsidR="009616CB" w:rsidRPr="00B84212" w:rsidRDefault="009616CB" w:rsidP="009616CB">
            <w:pPr>
              <w:rPr>
                <w:sz w:val="20"/>
                <w:szCs w:val="20"/>
              </w:rPr>
            </w:pPr>
            <w:r w:rsidRPr="00B84212">
              <w:rPr>
                <w:sz w:val="20"/>
                <w:szCs w:val="20"/>
              </w:rPr>
              <w:t>(732) CONTRACTUAL SERVICES - ACCOUNTING</w:t>
            </w:r>
          </w:p>
        </w:tc>
        <w:tc>
          <w:tcPr>
            <w:tcW w:w="690" w:type="pct"/>
            <w:vAlign w:val="center"/>
          </w:tcPr>
          <w:p w14:paraId="36B6E800" w14:textId="77777777" w:rsidR="009616CB" w:rsidRPr="00B84212" w:rsidRDefault="009616CB" w:rsidP="009616CB">
            <w:pPr>
              <w:jc w:val="right"/>
              <w:rPr>
                <w:sz w:val="20"/>
                <w:szCs w:val="20"/>
              </w:rPr>
            </w:pPr>
            <w:r w:rsidRPr="00B84212">
              <w:rPr>
                <w:sz w:val="20"/>
                <w:szCs w:val="20"/>
              </w:rPr>
              <w:t xml:space="preserve">400 </w:t>
            </w:r>
          </w:p>
        </w:tc>
        <w:tc>
          <w:tcPr>
            <w:tcW w:w="706" w:type="pct"/>
            <w:vAlign w:val="center"/>
          </w:tcPr>
          <w:p w14:paraId="21EF127B" w14:textId="77777777" w:rsidR="009616CB" w:rsidRPr="00B84212" w:rsidRDefault="009616CB" w:rsidP="009616CB">
            <w:pPr>
              <w:jc w:val="right"/>
              <w:rPr>
                <w:sz w:val="20"/>
                <w:szCs w:val="20"/>
              </w:rPr>
            </w:pPr>
            <w:r w:rsidRPr="00B84212">
              <w:rPr>
                <w:sz w:val="20"/>
                <w:szCs w:val="20"/>
              </w:rPr>
              <w:t xml:space="preserve">0 </w:t>
            </w:r>
          </w:p>
        </w:tc>
        <w:tc>
          <w:tcPr>
            <w:tcW w:w="595" w:type="pct"/>
            <w:vAlign w:val="center"/>
          </w:tcPr>
          <w:p w14:paraId="6BA4C149" w14:textId="77777777" w:rsidR="009616CB" w:rsidRPr="00B84212" w:rsidRDefault="009616CB" w:rsidP="009616CB">
            <w:pPr>
              <w:jc w:val="right"/>
              <w:rPr>
                <w:sz w:val="20"/>
                <w:szCs w:val="20"/>
              </w:rPr>
            </w:pPr>
            <w:r w:rsidRPr="00B84212">
              <w:rPr>
                <w:sz w:val="20"/>
                <w:szCs w:val="20"/>
              </w:rPr>
              <w:t xml:space="preserve">400 </w:t>
            </w:r>
          </w:p>
        </w:tc>
      </w:tr>
      <w:tr w:rsidR="009616CB" w:rsidRPr="00B84212" w14:paraId="2CF1D3CF" w14:textId="77777777" w:rsidTr="009616CB">
        <w:trPr>
          <w:trHeight w:val="360"/>
        </w:trPr>
        <w:tc>
          <w:tcPr>
            <w:tcW w:w="3009" w:type="pct"/>
            <w:vAlign w:val="center"/>
          </w:tcPr>
          <w:p w14:paraId="2661A33C" w14:textId="77777777" w:rsidR="009616CB" w:rsidRPr="00B84212" w:rsidRDefault="009616CB" w:rsidP="009616CB">
            <w:pPr>
              <w:rPr>
                <w:sz w:val="20"/>
                <w:szCs w:val="20"/>
              </w:rPr>
            </w:pPr>
            <w:r w:rsidRPr="00B84212">
              <w:rPr>
                <w:sz w:val="20"/>
                <w:szCs w:val="20"/>
              </w:rPr>
              <w:t>(733) CONTRACTUAL SERVICES - LEGAL</w:t>
            </w:r>
          </w:p>
        </w:tc>
        <w:tc>
          <w:tcPr>
            <w:tcW w:w="690" w:type="pct"/>
            <w:vAlign w:val="center"/>
          </w:tcPr>
          <w:p w14:paraId="0ABFF996" w14:textId="77777777" w:rsidR="009616CB" w:rsidRPr="00B84212" w:rsidRDefault="009616CB" w:rsidP="009616CB">
            <w:pPr>
              <w:jc w:val="right"/>
              <w:rPr>
                <w:sz w:val="20"/>
                <w:szCs w:val="20"/>
              </w:rPr>
            </w:pPr>
            <w:r w:rsidRPr="00B84212">
              <w:rPr>
                <w:sz w:val="20"/>
                <w:szCs w:val="20"/>
              </w:rPr>
              <w:t xml:space="preserve">366 </w:t>
            </w:r>
          </w:p>
        </w:tc>
        <w:tc>
          <w:tcPr>
            <w:tcW w:w="706" w:type="pct"/>
            <w:vAlign w:val="center"/>
          </w:tcPr>
          <w:p w14:paraId="01D6993B" w14:textId="77777777" w:rsidR="009616CB" w:rsidRPr="00B84212" w:rsidRDefault="009616CB" w:rsidP="009616CB">
            <w:pPr>
              <w:jc w:val="right"/>
              <w:rPr>
                <w:sz w:val="20"/>
                <w:szCs w:val="20"/>
              </w:rPr>
            </w:pPr>
            <w:r w:rsidRPr="00B84212">
              <w:rPr>
                <w:sz w:val="20"/>
                <w:szCs w:val="20"/>
              </w:rPr>
              <w:t xml:space="preserve">0 </w:t>
            </w:r>
          </w:p>
        </w:tc>
        <w:tc>
          <w:tcPr>
            <w:tcW w:w="595" w:type="pct"/>
            <w:vAlign w:val="center"/>
          </w:tcPr>
          <w:p w14:paraId="20C12695" w14:textId="77777777" w:rsidR="009616CB" w:rsidRPr="00B84212" w:rsidRDefault="009616CB" w:rsidP="009616CB">
            <w:pPr>
              <w:jc w:val="right"/>
              <w:rPr>
                <w:sz w:val="20"/>
                <w:szCs w:val="20"/>
              </w:rPr>
            </w:pPr>
            <w:r w:rsidRPr="00B84212">
              <w:rPr>
                <w:sz w:val="20"/>
                <w:szCs w:val="20"/>
              </w:rPr>
              <w:t xml:space="preserve">366 </w:t>
            </w:r>
          </w:p>
        </w:tc>
      </w:tr>
      <w:tr w:rsidR="009616CB" w:rsidRPr="00B84212" w14:paraId="45C28A07" w14:textId="77777777" w:rsidTr="009616CB">
        <w:trPr>
          <w:trHeight w:val="360"/>
        </w:trPr>
        <w:tc>
          <w:tcPr>
            <w:tcW w:w="3009" w:type="pct"/>
            <w:vAlign w:val="center"/>
          </w:tcPr>
          <w:p w14:paraId="54578716" w14:textId="77777777" w:rsidR="009616CB" w:rsidRPr="00B84212" w:rsidRDefault="009616CB" w:rsidP="009616CB">
            <w:pPr>
              <w:rPr>
                <w:sz w:val="20"/>
                <w:szCs w:val="20"/>
              </w:rPr>
            </w:pPr>
            <w:r w:rsidRPr="00B84212">
              <w:rPr>
                <w:sz w:val="20"/>
                <w:szCs w:val="20"/>
              </w:rPr>
              <w:t>(736) CONTRACTUAL SERVICES - OTHER</w:t>
            </w:r>
          </w:p>
        </w:tc>
        <w:tc>
          <w:tcPr>
            <w:tcW w:w="690" w:type="pct"/>
            <w:vAlign w:val="center"/>
          </w:tcPr>
          <w:p w14:paraId="3CE63D7F" w14:textId="77777777" w:rsidR="009616CB" w:rsidRPr="00B84212" w:rsidRDefault="009616CB" w:rsidP="009616CB">
            <w:pPr>
              <w:jc w:val="right"/>
              <w:rPr>
                <w:sz w:val="20"/>
                <w:szCs w:val="20"/>
              </w:rPr>
            </w:pPr>
            <w:r w:rsidRPr="00B84212">
              <w:rPr>
                <w:sz w:val="20"/>
                <w:szCs w:val="20"/>
              </w:rPr>
              <w:t xml:space="preserve">46,123 </w:t>
            </w:r>
          </w:p>
        </w:tc>
        <w:tc>
          <w:tcPr>
            <w:tcW w:w="706" w:type="pct"/>
            <w:vAlign w:val="center"/>
          </w:tcPr>
          <w:p w14:paraId="67D1F731" w14:textId="77777777" w:rsidR="009616CB" w:rsidRPr="00B84212" w:rsidRDefault="009616CB" w:rsidP="009616CB">
            <w:pPr>
              <w:jc w:val="right"/>
              <w:rPr>
                <w:sz w:val="20"/>
                <w:szCs w:val="20"/>
              </w:rPr>
            </w:pPr>
            <w:r w:rsidRPr="00B84212">
              <w:rPr>
                <w:sz w:val="20"/>
                <w:szCs w:val="20"/>
              </w:rPr>
              <w:t xml:space="preserve">1,088 </w:t>
            </w:r>
          </w:p>
        </w:tc>
        <w:tc>
          <w:tcPr>
            <w:tcW w:w="595" w:type="pct"/>
            <w:vAlign w:val="center"/>
          </w:tcPr>
          <w:p w14:paraId="7D050CA1" w14:textId="77777777" w:rsidR="009616CB" w:rsidRPr="00B84212" w:rsidRDefault="009616CB" w:rsidP="009616CB">
            <w:pPr>
              <w:jc w:val="right"/>
              <w:rPr>
                <w:sz w:val="20"/>
                <w:szCs w:val="20"/>
              </w:rPr>
            </w:pPr>
            <w:r w:rsidRPr="00B84212">
              <w:rPr>
                <w:sz w:val="20"/>
                <w:szCs w:val="20"/>
              </w:rPr>
              <w:t xml:space="preserve">47,211 </w:t>
            </w:r>
          </w:p>
        </w:tc>
      </w:tr>
      <w:tr w:rsidR="009616CB" w:rsidRPr="00B84212" w14:paraId="5504BDBB" w14:textId="77777777" w:rsidTr="009616CB">
        <w:trPr>
          <w:trHeight w:val="360"/>
        </w:trPr>
        <w:tc>
          <w:tcPr>
            <w:tcW w:w="3009" w:type="pct"/>
            <w:vAlign w:val="center"/>
          </w:tcPr>
          <w:p w14:paraId="53360D07" w14:textId="77777777" w:rsidR="009616CB" w:rsidRPr="00B84212" w:rsidRDefault="009616CB" w:rsidP="009616CB">
            <w:pPr>
              <w:rPr>
                <w:sz w:val="20"/>
                <w:szCs w:val="20"/>
              </w:rPr>
            </w:pPr>
            <w:r w:rsidRPr="00B84212">
              <w:rPr>
                <w:sz w:val="20"/>
                <w:szCs w:val="20"/>
              </w:rPr>
              <w:t>(755) INSURANCE EXPENSE</w:t>
            </w:r>
          </w:p>
        </w:tc>
        <w:tc>
          <w:tcPr>
            <w:tcW w:w="690" w:type="pct"/>
            <w:vAlign w:val="center"/>
          </w:tcPr>
          <w:p w14:paraId="5B9EA141" w14:textId="77777777" w:rsidR="009616CB" w:rsidRPr="00B84212" w:rsidRDefault="009616CB" w:rsidP="009616CB">
            <w:pPr>
              <w:jc w:val="right"/>
              <w:rPr>
                <w:sz w:val="20"/>
                <w:szCs w:val="20"/>
              </w:rPr>
            </w:pPr>
            <w:r w:rsidRPr="00B84212">
              <w:rPr>
                <w:sz w:val="20"/>
                <w:szCs w:val="20"/>
              </w:rPr>
              <w:t xml:space="preserve">1,528 </w:t>
            </w:r>
          </w:p>
        </w:tc>
        <w:tc>
          <w:tcPr>
            <w:tcW w:w="706" w:type="pct"/>
            <w:vAlign w:val="center"/>
          </w:tcPr>
          <w:p w14:paraId="6F9D210A" w14:textId="77777777" w:rsidR="009616CB" w:rsidRPr="00B84212" w:rsidRDefault="009616CB" w:rsidP="009616CB">
            <w:pPr>
              <w:jc w:val="right"/>
              <w:rPr>
                <w:sz w:val="20"/>
                <w:szCs w:val="20"/>
              </w:rPr>
            </w:pPr>
            <w:r w:rsidRPr="00B84212">
              <w:rPr>
                <w:sz w:val="20"/>
                <w:szCs w:val="20"/>
              </w:rPr>
              <w:t>(204)</w:t>
            </w:r>
          </w:p>
        </w:tc>
        <w:tc>
          <w:tcPr>
            <w:tcW w:w="595" w:type="pct"/>
            <w:vAlign w:val="center"/>
          </w:tcPr>
          <w:p w14:paraId="7A096215" w14:textId="77777777" w:rsidR="009616CB" w:rsidRPr="00B84212" w:rsidRDefault="009616CB" w:rsidP="009616CB">
            <w:pPr>
              <w:jc w:val="right"/>
              <w:rPr>
                <w:sz w:val="20"/>
                <w:szCs w:val="20"/>
              </w:rPr>
            </w:pPr>
            <w:r w:rsidRPr="00B84212">
              <w:rPr>
                <w:sz w:val="20"/>
                <w:szCs w:val="20"/>
              </w:rPr>
              <w:t xml:space="preserve">1,324 </w:t>
            </w:r>
          </w:p>
        </w:tc>
      </w:tr>
      <w:tr w:rsidR="009616CB" w:rsidRPr="00B84212" w14:paraId="22D97F30" w14:textId="77777777" w:rsidTr="009616CB">
        <w:trPr>
          <w:trHeight w:val="360"/>
        </w:trPr>
        <w:tc>
          <w:tcPr>
            <w:tcW w:w="3009" w:type="pct"/>
            <w:vAlign w:val="center"/>
          </w:tcPr>
          <w:p w14:paraId="31EFA3BF" w14:textId="77777777" w:rsidR="009616CB" w:rsidRPr="00B84212" w:rsidRDefault="009616CB" w:rsidP="009616CB">
            <w:pPr>
              <w:rPr>
                <w:sz w:val="20"/>
                <w:szCs w:val="20"/>
              </w:rPr>
            </w:pPr>
            <w:r w:rsidRPr="00B84212">
              <w:rPr>
                <w:sz w:val="20"/>
                <w:szCs w:val="20"/>
              </w:rPr>
              <w:t>(765) REGULATORY COMMISSION EXPENSE</w:t>
            </w:r>
          </w:p>
        </w:tc>
        <w:tc>
          <w:tcPr>
            <w:tcW w:w="690" w:type="pct"/>
            <w:vAlign w:val="center"/>
          </w:tcPr>
          <w:p w14:paraId="5169B70B" w14:textId="77777777" w:rsidR="009616CB" w:rsidRPr="00B84212" w:rsidRDefault="009616CB" w:rsidP="009616CB">
            <w:pPr>
              <w:jc w:val="right"/>
              <w:rPr>
                <w:sz w:val="20"/>
                <w:szCs w:val="20"/>
              </w:rPr>
            </w:pPr>
            <w:r w:rsidRPr="00B84212">
              <w:rPr>
                <w:sz w:val="20"/>
                <w:szCs w:val="20"/>
              </w:rPr>
              <w:t xml:space="preserve">0 </w:t>
            </w:r>
          </w:p>
        </w:tc>
        <w:tc>
          <w:tcPr>
            <w:tcW w:w="706" w:type="pct"/>
            <w:vAlign w:val="center"/>
          </w:tcPr>
          <w:p w14:paraId="5FA006F9" w14:textId="77777777" w:rsidR="009616CB" w:rsidRPr="00B84212" w:rsidRDefault="009616CB" w:rsidP="009616CB">
            <w:pPr>
              <w:jc w:val="right"/>
              <w:rPr>
                <w:sz w:val="20"/>
                <w:szCs w:val="20"/>
              </w:rPr>
            </w:pPr>
            <w:r>
              <w:rPr>
                <w:sz w:val="20"/>
                <w:szCs w:val="20"/>
              </w:rPr>
              <w:t>662</w:t>
            </w:r>
          </w:p>
        </w:tc>
        <w:tc>
          <w:tcPr>
            <w:tcW w:w="595" w:type="pct"/>
            <w:vAlign w:val="center"/>
          </w:tcPr>
          <w:p w14:paraId="19386077" w14:textId="77777777" w:rsidR="009616CB" w:rsidRPr="00B84212" w:rsidRDefault="009616CB" w:rsidP="009616CB">
            <w:pPr>
              <w:jc w:val="right"/>
              <w:rPr>
                <w:sz w:val="20"/>
                <w:szCs w:val="20"/>
              </w:rPr>
            </w:pPr>
            <w:r>
              <w:rPr>
                <w:sz w:val="20"/>
                <w:szCs w:val="20"/>
              </w:rPr>
              <w:t>662</w:t>
            </w:r>
            <w:r w:rsidRPr="00B84212">
              <w:rPr>
                <w:sz w:val="20"/>
                <w:szCs w:val="20"/>
              </w:rPr>
              <w:t xml:space="preserve"> </w:t>
            </w:r>
          </w:p>
        </w:tc>
      </w:tr>
      <w:tr w:rsidR="009616CB" w:rsidRPr="00B84212" w14:paraId="41633881" w14:textId="77777777" w:rsidTr="009616CB">
        <w:trPr>
          <w:trHeight w:val="360"/>
        </w:trPr>
        <w:tc>
          <w:tcPr>
            <w:tcW w:w="3009" w:type="pct"/>
            <w:vAlign w:val="center"/>
          </w:tcPr>
          <w:p w14:paraId="0CF112A2" w14:textId="77777777" w:rsidR="009616CB" w:rsidRPr="00B84212" w:rsidRDefault="009616CB" w:rsidP="009616CB">
            <w:pPr>
              <w:rPr>
                <w:sz w:val="20"/>
                <w:szCs w:val="20"/>
              </w:rPr>
            </w:pPr>
            <w:r w:rsidRPr="00B84212">
              <w:rPr>
                <w:sz w:val="20"/>
                <w:szCs w:val="20"/>
              </w:rPr>
              <w:t>(775) MISCELLANEOUS EXPENSE</w:t>
            </w:r>
          </w:p>
        </w:tc>
        <w:tc>
          <w:tcPr>
            <w:tcW w:w="690" w:type="pct"/>
            <w:vAlign w:val="center"/>
          </w:tcPr>
          <w:p w14:paraId="17647B30" w14:textId="77777777" w:rsidR="009616CB" w:rsidRPr="00B84212" w:rsidRDefault="009616CB" w:rsidP="009616CB">
            <w:pPr>
              <w:jc w:val="right"/>
              <w:rPr>
                <w:sz w:val="20"/>
                <w:szCs w:val="20"/>
                <w:u w:val="single"/>
              </w:rPr>
            </w:pPr>
            <w:r w:rsidRPr="00B84212">
              <w:rPr>
                <w:sz w:val="20"/>
                <w:szCs w:val="20"/>
                <w:u w:val="single"/>
              </w:rPr>
              <w:t xml:space="preserve">3,595 </w:t>
            </w:r>
          </w:p>
        </w:tc>
        <w:tc>
          <w:tcPr>
            <w:tcW w:w="706" w:type="pct"/>
            <w:vAlign w:val="center"/>
          </w:tcPr>
          <w:p w14:paraId="04D6ABF8" w14:textId="77777777" w:rsidR="009616CB" w:rsidRPr="00B84212" w:rsidRDefault="009616CB" w:rsidP="009616CB">
            <w:pPr>
              <w:jc w:val="right"/>
              <w:rPr>
                <w:sz w:val="20"/>
                <w:szCs w:val="20"/>
                <w:u w:val="single"/>
              </w:rPr>
            </w:pPr>
            <w:r w:rsidRPr="00B84212">
              <w:rPr>
                <w:sz w:val="20"/>
                <w:szCs w:val="20"/>
                <w:u w:val="single"/>
              </w:rPr>
              <w:t xml:space="preserve">1,420 </w:t>
            </w:r>
          </w:p>
        </w:tc>
        <w:tc>
          <w:tcPr>
            <w:tcW w:w="595" w:type="pct"/>
            <w:vAlign w:val="center"/>
          </w:tcPr>
          <w:p w14:paraId="3A90002B" w14:textId="77777777" w:rsidR="009616CB" w:rsidRPr="00B84212" w:rsidRDefault="009616CB" w:rsidP="009616CB">
            <w:pPr>
              <w:jc w:val="right"/>
              <w:rPr>
                <w:sz w:val="20"/>
                <w:szCs w:val="20"/>
                <w:u w:val="single"/>
              </w:rPr>
            </w:pPr>
            <w:r w:rsidRPr="00B84212">
              <w:rPr>
                <w:sz w:val="20"/>
                <w:szCs w:val="20"/>
                <w:u w:val="single"/>
              </w:rPr>
              <w:t xml:space="preserve">5,015 </w:t>
            </w:r>
          </w:p>
        </w:tc>
      </w:tr>
      <w:tr w:rsidR="009616CB" w:rsidRPr="00B84212" w14:paraId="04D759EC" w14:textId="77777777" w:rsidTr="009616CB">
        <w:trPr>
          <w:trHeight w:val="360"/>
        </w:trPr>
        <w:tc>
          <w:tcPr>
            <w:tcW w:w="3009" w:type="pct"/>
            <w:tcBorders>
              <w:bottom w:val="nil"/>
            </w:tcBorders>
            <w:vAlign w:val="center"/>
          </w:tcPr>
          <w:p w14:paraId="167B8043" w14:textId="77777777" w:rsidR="009616CB" w:rsidRPr="00B84212" w:rsidRDefault="009616CB" w:rsidP="009616CB">
            <w:pPr>
              <w:rPr>
                <w:sz w:val="20"/>
                <w:szCs w:val="20"/>
              </w:rPr>
            </w:pPr>
          </w:p>
        </w:tc>
        <w:tc>
          <w:tcPr>
            <w:tcW w:w="690" w:type="pct"/>
            <w:tcBorders>
              <w:bottom w:val="nil"/>
            </w:tcBorders>
            <w:vAlign w:val="center"/>
          </w:tcPr>
          <w:p w14:paraId="1AF44430" w14:textId="77777777" w:rsidR="009616CB" w:rsidRPr="00B84212" w:rsidRDefault="009616CB" w:rsidP="009616CB">
            <w:pPr>
              <w:jc w:val="right"/>
              <w:rPr>
                <w:sz w:val="20"/>
                <w:szCs w:val="20"/>
                <w:u w:val="single"/>
              </w:rPr>
            </w:pPr>
          </w:p>
        </w:tc>
        <w:tc>
          <w:tcPr>
            <w:tcW w:w="706" w:type="pct"/>
            <w:tcBorders>
              <w:bottom w:val="nil"/>
            </w:tcBorders>
            <w:vAlign w:val="center"/>
          </w:tcPr>
          <w:p w14:paraId="27E8A19B" w14:textId="77777777" w:rsidR="009616CB" w:rsidRPr="00B84212" w:rsidRDefault="009616CB" w:rsidP="009616CB">
            <w:pPr>
              <w:jc w:val="right"/>
              <w:rPr>
                <w:sz w:val="20"/>
                <w:szCs w:val="20"/>
                <w:u w:val="single"/>
              </w:rPr>
            </w:pPr>
          </w:p>
        </w:tc>
        <w:tc>
          <w:tcPr>
            <w:tcW w:w="595" w:type="pct"/>
            <w:tcBorders>
              <w:bottom w:val="nil"/>
            </w:tcBorders>
            <w:vAlign w:val="center"/>
          </w:tcPr>
          <w:p w14:paraId="228C8BAE" w14:textId="77777777" w:rsidR="009616CB" w:rsidRPr="00B84212" w:rsidRDefault="009616CB" w:rsidP="009616CB">
            <w:pPr>
              <w:jc w:val="right"/>
              <w:rPr>
                <w:sz w:val="20"/>
                <w:szCs w:val="20"/>
                <w:u w:val="single"/>
              </w:rPr>
            </w:pPr>
          </w:p>
        </w:tc>
      </w:tr>
      <w:tr w:rsidR="009616CB" w:rsidRPr="00B84212" w14:paraId="594F49AE" w14:textId="77777777" w:rsidTr="009616CB">
        <w:trPr>
          <w:trHeight w:val="360"/>
        </w:trPr>
        <w:tc>
          <w:tcPr>
            <w:tcW w:w="3009" w:type="pct"/>
            <w:tcBorders>
              <w:bottom w:val="single" w:sz="4" w:space="0" w:color="auto"/>
            </w:tcBorders>
            <w:vAlign w:val="center"/>
          </w:tcPr>
          <w:p w14:paraId="54A15FB1" w14:textId="77777777" w:rsidR="009616CB" w:rsidRPr="00B84212" w:rsidRDefault="009616CB" w:rsidP="009616CB">
            <w:pPr>
              <w:rPr>
                <w:sz w:val="20"/>
                <w:szCs w:val="20"/>
              </w:rPr>
            </w:pPr>
          </w:p>
        </w:tc>
        <w:tc>
          <w:tcPr>
            <w:tcW w:w="690" w:type="pct"/>
            <w:tcBorders>
              <w:bottom w:val="single" w:sz="4" w:space="0" w:color="auto"/>
            </w:tcBorders>
            <w:vAlign w:val="center"/>
          </w:tcPr>
          <w:p w14:paraId="4DE0E28A" w14:textId="77777777" w:rsidR="009616CB" w:rsidRPr="00DE2A63" w:rsidRDefault="009616CB" w:rsidP="009616CB">
            <w:pPr>
              <w:jc w:val="right"/>
              <w:rPr>
                <w:sz w:val="20"/>
                <w:szCs w:val="20"/>
                <w:u w:val="double"/>
              </w:rPr>
            </w:pPr>
            <w:r w:rsidRPr="00DE2A63">
              <w:rPr>
                <w:sz w:val="20"/>
                <w:szCs w:val="20"/>
                <w:u w:val="double"/>
              </w:rPr>
              <w:t>$70,40</w:t>
            </w:r>
            <w:r>
              <w:rPr>
                <w:sz w:val="20"/>
                <w:szCs w:val="20"/>
                <w:u w:val="double"/>
              </w:rPr>
              <w:t>1</w:t>
            </w:r>
          </w:p>
        </w:tc>
        <w:tc>
          <w:tcPr>
            <w:tcW w:w="706" w:type="pct"/>
            <w:tcBorders>
              <w:bottom w:val="single" w:sz="4" w:space="0" w:color="auto"/>
            </w:tcBorders>
            <w:vAlign w:val="center"/>
          </w:tcPr>
          <w:p w14:paraId="475FAEC9" w14:textId="77777777" w:rsidR="009616CB" w:rsidRPr="00DE2A63" w:rsidRDefault="009616CB" w:rsidP="009616CB">
            <w:pPr>
              <w:jc w:val="right"/>
              <w:rPr>
                <w:sz w:val="20"/>
                <w:szCs w:val="20"/>
                <w:u w:val="double"/>
              </w:rPr>
            </w:pPr>
            <w:r w:rsidRPr="00DE2A63">
              <w:rPr>
                <w:sz w:val="20"/>
                <w:szCs w:val="20"/>
                <w:u w:val="double"/>
              </w:rPr>
              <w:t>$</w:t>
            </w:r>
            <w:r>
              <w:rPr>
                <w:sz w:val="20"/>
                <w:szCs w:val="20"/>
                <w:u w:val="double"/>
              </w:rPr>
              <w:t>2,840</w:t>
            </w:r>
          </w:p>
        </w:tc>
        <w:tc>
          <w:tcPr>
            <w:tcW w:w="595" w:type="pct"/>
            <w:tcBorders>
              <w:bottom w:val="single" w:sz="4" w:space="0" w:color="auto"/>
            </w:tcBorders>
            <w:vAlign w:val="center"/>
          </w:tcPr>
          <w:p w14:paraId="3CC12904" w14:textId="77777777" w:rsidR="009616CB" w:rsidRPr="00DE2A63" w:rsidRDefault="009616CB" w:rsidP="009616CB">
            <w:pPr>
              <w:jc w:val="right"/>
              <w:rPr>
                <w:sz w:val="20"/>
                <w:szCs w:val="20"/>
                <w:u w:val="double"/>
              </w:rPr>
            </w:pPr>
            <w:r w:rsidRPr="00DE2A63">
              <w:rPr>
                <w:sz w:val="20"/>
                <w:szCs w:val="20"/>
                <w:u w:val="double"/>
              </w:rPr>
              <w:t>$7</w:t>
            </w:r>
            <w:r>
              <w:rPr>
                <w:sz w:val="20"/>
                <w:szCs w:val="20"/>
                <w:u w:val="double"/>
              </w:rPr>
              <w:t>3,241</w:t>
            </w:r>
          </w:p>
        </w:tc>
      </w:tr>
    </w:tbl>
    <w:p w14:paraId="51CA8023" w14:textId="77777777" w:rsidR="009616CB" w:rsidRDefault="009616CB" w:rsidP="009616CB"/>
    <w:p w14:paraId="60A29614" w14:textId="77777777" w:rsidR="009616CB" w:rsidRDefault="009616CB" w:rsidP="009616CB">
      <w:pPr>
        <w:sectPr w:rsidR="009616CB" w:rsidSect="009616CB">
          <w:headerReference w:type="first" r:id="rId16"/>
          <w:pgSz w:w="12240" w:h="15840" w:code="1"/>
          <w:pgMar w:top="1440" w:right="1440" w:bottom="1440" w:left="1440" w:header="720" w:footer="720" w:gutter="0"/>
          <w:cols w:space="720"/>
          <w:titlePg/>
          <w:docGrid w:linePitch="360"/>
        </w:sectPr>
      </w:pPr>
    </w:p>
    <w:p w14:paraId="58647586" w14:textId="77777777" w:rsidR="009616CB" w:rsidRDefault="004E65EB" w:rsidP="009616CB">
      <w:r>
        <w:rPr>
          <w:noProof/>
        </w:rPr>
        <w:drawing>
          <wp:inline distT="0" distB="0" distL="0" distR="0" wp14:anchorId="20FD83FA" wp14:editId="38BCCFAF">
            <wp:extent cx="5943600" cy="4998745"/>
            <wp:effectExtent l="0" t="0" r="0" b="0"/>
            <wp:docPr id="2" name="Picture 2" descr="cid:image003.png@01D5FDE3.015E2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5FDE3.015E2BD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943600" cy="4998745"/>
                    </a:xfrm>
                    <a:prstGeom prst="rect">
                      <a:avLst/>
                    </a:prstGeom>
                    <a:noFill/>
                    <a:ln>
                      <a:noFill/>
                    </a:ln>
                  </pic:spPr>
                </pic:pic>
              </a:graphicData>
            </a:graphic>
          </wp:inline>
        </w:drawing>
      </w:r>
    </w:p>
    <w:sectPr w:rsidR="009616CB" w:rsidSect="009616CB">
      <w:headerReference w:type="firs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8E666" w14:textId="77777777" w:rsidR="00CE1B94" w:rsidRDefault="00CE1B94">
      <w:r>
        <w:separator/>
      </w:r>
    </w:p>
  </w:endnote>
  <w:endnote w:type="continuationSeparator" w:id="0">
    <w:p w14:paraId="5ED42DF3" w14:textId="77777777" w:rsidR="00CE1B94" w:rsidRDefault="00CE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D4580" w14:textId="77777777" w:rsidR="00CE1B94" w:rsidRDefault="00CE1B94">
    <w:pPr>
      <w:pStyle w:val="Footer"/>
    </w:pPr>
  </w:p>
  <w:p w14:paraId="4D902E65" w14:textId="77777777" w:rsidR="00CE1B94" w:rsidRDefault="00CE1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83973" w14:textId="77777777" w:rsidR="00CE1B94" w:rsidRDefault="00CE1B94">
      <w:r>
        <w:separator/>
      </w:r>
    </w:p>
  </w:footnote>
  <w:footnote w:type="continuationSeparator" w:id="0">
    <w:p w14:paraId="43C08904" w14:textId="77777777" w:rsidR="00CE1B94" w:rsidRDefault="00CE1B94">
      <w:r>
        <w:continuationSeparator/>
      </w:r>
    </w:p>
  </w:footnote>
  <w:footnote w:id="1">
    <w:p w14:paraId="0203E038" w14:textId="77777777" w:rsidR="00CE1B94" w:rsidRDefault="00CE1B94" w:rsidP="006B02DE">
      <w:pPr>
        <w:pStyle w:val="FootnoteText"/>
      </w:pPr>
      <w:r>
        <w:rPr>
          <w:rStyle w:val="FootnoteReference"/>
        </w:rPr>
        <w:footnoteRef/>
      </w:r>
      <w:r w:rsidRPr="00167A8D">
        <w:t>O</w:t>
      </w:r>
      <w:r w:rsidRPr="0032580D">
        <w:t>rder No. 6365, issued Decemb</w:t>
      </w:r>
      <w:r>
        <w:t>er 2, 1974, in Docket No. 73</w:t>
      </w:r>
      <w:r w:rsidRPr="001E6944">
        <w:t>0</w:t>
      </w:r>
      <w:r>
        <w:t>391</w:t>
      </w:r>
      <w:r w:rsidRPr="0032580D">
        <w:t xml:space="preserve">-S, </w:t>
      </w:r>
      <w:r w:rsidRPr="006B2333">
        <w:rPr>
          <w:i/>
        </w:rPr>
        <w:t>In re:</w:t>
      </w:r>
      <w:r w:rsidRPr="0032580D">
        <w:t xml:space="preserve"> </w:t>
      </w:r>
      <w:r w:rsidRPr="0032580D">
        <w:rPr>
          <w:i/>
        </w:rPr>
        <w:t>Application of M</w:t>
      </w:r>
      <w:r>
        <w:rPr>
          <w:i/>
        </w:rPr>
        <w:t>obile</w:t>
      </w:r>
      <w:r w:rsidRPr="0032580D">
        <w:rPr>
          <w:i/>
        </w:rPr>
        <w:t xml:space="preserve"> H</w:t>
      </w:r>
      <w:r>
        <w:rPr>
          <w:i/>
        </w:rPr>
        <w:t>ome Investors</w:t>
      </w:r>
      <w:r w:rsidRPr="0032580D">
        <w:rPr>
          <w:i/>
        </w:rPr>
        <w:t>, I</w:t>
      </w:r>
      <w:r>
        <w:rPr>
          <w:i/>
        </w:rPr>
        <w:t>nc</w:t>
      </w:r>
      <w:r w:rsidRPr="0032580D">
        <w:rPr>
          <w:i/>
        </w:rPr>
        <w:t>., for a certificate to operate an existing sewer utility in Brevard County, Florida.</w:t>
      </w:r>
    </w:p>
  </w:footnote>
  <w:footnote w:id="2">
    <w:p w14:paraId="69BD7ABD" w14:textId="77777777" w:rsidR="00CE1B94" w:rsidRDefault="00CE1B94" w:rsidP="006B02DE">
      <w:pPr>
        <w:pStyle w:val="FootnoteText"/>
      </w:pPr>
      <w:r>
        <w:rPr>
          <w:rStyle w:val="FootnoteReference"/>
        </w:rPr>
        <w:footnoteRef/>
      </w:r>
      <w:r w:rsidRPr="0032580D">
        <w:t xml:space="preserve">Order No. 7296, issued June 28, 1976, in Docket No. 750664-S, </w:t>
      </w:r>
      <w:r w:rsidRPr="006B2333">
        <w:rPr>
          <w:i/>
        </w:rPr>
        <w:t>In re:</w:t>
      </w:r>
      <w:r w:rsidRPr="0032580D">
        <w:t xml:space="preserve"> </w:t>
      </w:r>
      <w:r w:rsidRPr="0032580D">
        <w:rPr>
          <w:i/>
        </w:rPr>
        <w:t>Application of M</w:t>
      </w:r>
      <w:r>
        <w:rPr>
          <w:i/>
        </w:rPr>
        <w:t>obile</w:t>
      </w:r>
      <w:r w:rsidRPr="0032580D">
        <w:rPr>
          <w:i/>
        </w:rPr>
        <w:t xml:space="preserve"> H</w:t>
      </w:r>
      <w:r>
        <w:rPr>
          <w:i/>
        </w:rPr>
        <w:t>ome Investors</w:t>
      </w:r>
      <w:r w:rsidRPr="0032580D">
        <w:rPr>
          <w:i/>
        </w:rPr>
        <w:t>, I</w:t>
      </w:r>
      <w:r>
        <w:rPr>
          <w:i/>
        </w:rPr>
        <w:t>nc</w:t>
      </w:r>
      <w:r w:rsidRPr="0032580D">
        <w:rPr>
          <w:i/>
        </w:rPr>
        <w:t>., and C</w:t>
      </w:r>
      <w:r>
        <w:rPr>
          <w:i/>
        </w:rPr>
        <w:t>olony</w:t>
      </w:r>
      <w:r w:rsidRPr="0032580D">
        <w:rPr>
          <w:i/>
        </w:rPr>
        <w:t xml:space="preserve"> P</w:t>
      </w:r>
      <w:r>
        <w:rPr>
          <w:i/>
        </w:rPr>
        <w:t>ark</w:t>
      </w:r>
      <w:r w:rsidRPr="0032580D">
        <w:rPr>
          <w:i/>
        </w:rPr>
        <w:t xml:space="preserve"> U</w:t>
      </w:r>
      <w:r>
        <w:rPr>
          <w:i/>
        </w:rPr>
        <w:t>tilities</w:t>
      </w:r>
      <w:r w:rsidRPr="0032580D">
        <w:rPr>
          <w:i/>
        </w:rPr>
        <w:t>, I</w:t>
      </w:r>
      <w:r>
        <w:rPr>
          <w:i/>
        </w:rPr>
        <w:t>nc.</w:t>
      </w:r>
      <w:r w:rsidRPr="0032580D">
        <w:rPr>
          <w:i/>
        </w:rPr>
        <w:t xml:space="preserve"> for approval of the transfer of assets and Certificate No.137-S from the former to the latter. (Section 367.07</w:t>
      </w:r>
      <w:r>
        <w:rPr>
          <w:i/>
        </w:rPr>
        <w:t>1</w:t>
      </w:r>
      <w:r w:rsidRPr="0032580D">
        <w:rPr>
          <w:i/>
        </w:rPr>
        <w:t>, Florida Statutes)</w:t>
      </w:r>
      <w:r>
        <w:rPr>
          <w:i/>
        </w:rPr>
        <w:t xml:space="preserve">; </w:t>
      </w:r>
      <w:r w:rsidRPr="0032580D">
        <w:t xml:space="preserve">Order  No. PSC-03-0320-FOF-SU, issued March 6, 2003, in Docket No. 020930-SU, </w:t>
      </w:r>
      <w:r w:rsidRPr="006B2333">
        <w:rPr>
          <w:i/>
        </w:rPr>
        <w:t>In re:</w:t>
      </w:r>
      <w:r w:rsidRPr="0032580D">
        <w:rPr>
          <w:i/>
          <w:spacing w:val="5"/>
        </w:rPr>
        <w:t xml:space="preserve"> </w:t>
      </w:r>
      <w:r w:rsidRPr="0032580D">
        <w:rPr>
          <w:i/>
          <w:w w:val="98"/>
        </w:rPr>
        <w:t>Application</w:t>
      </w:r>
      <w:r w:rsidRPr="0032580D">
        <w:rPr>
          <w:i/>
          <w:spacing w:val="-3"/>
          <w:w w:val="98"/>
        </w:rPr>
        <w:t xml:space="preserve"> </w:t>
      </w:r>
      <w:r w:rsidRPr="0032580D">
        <w:rPr>
          <w:i/>
        </w:rPr>
        <w:t>for</w:t>
      </w:r>
      <w:r w:rsidRPr="0032580D">
        <w:rPr>
          <w:i/>
          <w:spacing w:val="2"/>
        </w:rPr>
        <w:t xml:space="preserve"> </w:t>
      </w:r>
      <w:r w:rsidRPr="0032580D">
        <w:rPr>
          <w:i/>
        </w:rPr>
        <w:t>transfer of</w:t>
      </w:r>
      <w:r w:rsidRPr="0032580D">
        <w:rPr>
          <w:i/>
          <w:spacing w:val="9"/>
        </w:rPr>
        <w:t xml:space="preserve"> </w:t>
      </w:r>
      <w:r w:rsidRPr="0032580D">
        <w:rPr>
          <w:i/>
        </w:rPr>
        <w:t>majority</w:t>
      </w:r>
      <w:r w:rsidRPr="0032580D">
        <w:rPr>
          <w:i/>
          <w:spacing w:val="1"/>
        </w:rPr>
        <w:t xml:space="preserve"> </w:t>
      </w:r>
      <w:r w:rsidRPr="0032580D">
        <w:rPr>
          <w:i/>
        </w:rPr>
        <w:t>organizational</w:t>
      </w:r>
      <w:r w:rsidRPr="0032580D">
        <w:rPr>
          <w:i/>
          <w:spacing w:val="-5"/>
        </w:rPr>
        <w:t xml:space="preserve"> </w:t>
      </w:r>
      <w:r w:rsidRPr="0032580D">
        <w:rPr>
          <w:i/>
        </w:rPr>
        <w:t>control</w:t>
      </w:r>
      <w:r w:rsidRPr="0032580D">
        <w:rPr>
          <w:i/>
          <w:spacing w:val="1"/>
        </w:rPr>
        <w:t xml:space="preserve"> </w:t>
      </w:r>
      <w:r w:rsidRPr="0032580D">
        <w:rPr>
          <w:i/>
        </w:rPr>
        <w:t>of</w:t>
      </w:r>
      <w:r w:rsidRPr="0032580D">
        <w:rPr>
          <w:i/>
          <w:spacing w:val="1"/>
        </w:rPr>
        <w:t xml:space="preserve"> </w:t>
      </w:r>
      <w:r w:rsidRPr="0032580D">
        <w:rPr>
          <w:i/>
        </w:rPr>
        <w:t>Colony</w:t>
      </w:r>
      <w:r w:rsidRPr="0032580D">
        <w:rPr>
          <w:i/>
          <w:spacing w:val="19"/>
        </w:rPr>
        <w:t xml:space="preserve"> </w:t>
      </w:r>
      <w:r w:rsidRPr="0032580D">
        <w:rPr>
          <w:i/>
        </w:rPr>
        <w:t>Park</w:t>
      </w:r>
      <w:r w:rsidRPr="0032580D">
        <w:rPr>
          <w:i/>
          <w:spacing w:val="-15"/>
        </w:rPr>
        <w:t xml:space="preserve"> </w:t>
      </w:r>
      <w:r w:rsidRPr="0032580D">
        <w:rPr>
          <w:i/>
        </w:rPr>
        <w:t>Utilities,</w:t>
      </w:r>
      <w:r w:rsidRPr="0032580D">
        <w:rPr>
          <w:i/>
          <w:spacing w:val="19"/>
        </w:rPr>
        <w:t xml:space="preserve"> </w:t>
      </w:r>
      <w:r w:rsidRPr="0032580D">
        <w:rPr>
          <w:i/>
        </w:rPr>
        <w:t>Inc.</w:t>
      </w:r>
      <w:r w:rsidRPr="0032580D">
        <w:rPr>
          <w:i/>
          <w:spacing w:val="-17"/>
        </w:rPr>
        <w:t xml:space="preserve"> </w:t>
      </w:r>
      <w:r w:rsidRPr="0032580D">
        <w:rPr>
          <w:i/>
        </w:rPr>
        <w:t>holder</w:t>
      </w:r>
      <w:r w:rsidRPr="0032580D">
        <w:rPr>
          <w:i/>
          <w:spacing w:val="4"/>
        </w:rPr>
        <w:t xml:space="preserve"> </w:t>
      </w:r>
      <w:r w:rsidRPr="0032580D">
        <w:rPr>
          <w:i/>
        </w:rPr>
        <w:t>of</w:t>
      </w:r>
      <w:r w:rsidRPr="0032580D">
        <w:rPr>
          <w:i/>
          <w:spacing w:val="3"/>
        </w:rPr>
        <w:t xml:space="preserve"> </w:t>
      </w:r>
      <w:r w:rsidRPr="0032580D">
        <w:rPr>
          <w:i/>
        </w:rPr>
        <w:t>Certificate</w:t>
      </w:r>
      <w:r w:rsidRPr="0032580D">
        <w:rPr>
          <w:i/>
          <w:spacing w:val="10"/>
        </w:rPr>
        <w:t xml:space="preserve"> </w:t>
      </w:r>
      <w:r w:rsidRPr="0032580D">
        <w:rPr>
          <w:i/>
        </w:rPr>
        <w:t>No.</w:t>
      </w:r>
      <w:r w:rsidRPr="0032580D">
        <w:rPr>
          <w:i/>
          <w:spacing w:val="10"/>
        </w:rPr>
        <w:t xml:space="preserve"> </w:t>
      </w:r>
      <w:r>
        <w:rPr>
          <w:i/>
        </w:rPr>
        <w:t>1</w:t>
      </w:r>
      <w:r w:rsidRPr="0032580D">
        <w:rPr>
          <w:i/>
        </w:rPr>
        <w:t>37-S</w:t>
      </w:r>
      <w:r w:rsidRPr="0032580D">
        <w:rPr>
          <w:i/>
          <w:spacing w:val="24"/>
        </w:rPr>
        <w:t xml:space="preserve"> </w:t>
      </w:r>
      <w:r w:rsidRPr="0032580D">
        <w:rPr>
          <w:i/>
        </w:rPr>
        <w:t>in</w:t>
      </w:r>
      <w:r w:rsidRPr="0032580D">
        <w:rPr>
          <w:i/>
          <w:spacing w:val="18"/>
        </w:rPr>
        <w:t xml:space="preserve"> </w:t>
      </w:r>
      <w:r w:rsidRPr="0032580D">
        <w:rPr>
          <w:i/>
        </w:rPr>
        <w:t>Brevard</w:t>
      </w:r>
      <w:r w:rsidRPr="0032580D">
        <w:rPr>
          <w:i/>
          <w:spacing w:val="-17"/>
        </w:rPr>
        <w:t xml:space="preserve"> </w:t>
      </w:r>
      <w:r w:rsidRPr="0032580D">
        <w:rPr>
          <w:i/>
        </w:rPr>
        <w:t>County</w:t>
      </w:r>
      <w:r>
        <w:rPr>
          <w:i/>
        </w:rPr>
        <w:t xml:space="preserve">, </w:t>
      </w:r>
      <w:r w:rsidRPr="0032580D">
        <w:rPr>
          <w:i/>
        </w:rPr>
        <w:t>from</w:t>
      </w:r>
      <w:r w:rsidRPr="0032580D">
        <w:rPr>
          <w:i/>
          <w:spacing w:val="38"/>
        </w:rPr>
        <w:t xml:space="preserve"> </w:t>
      </w:r>
      <w:r w:rsidRPr="0032580D">
        <w:rPr>
          <w:i/>
        </w:rPr>
        <w:t>Robert</w:t>
      </w:r>
      <w:r w:rsidRPr="0032580D">
        <w:rPr>
          <w:i/>
          <w:spacing w:val="11"/>
        </w:rPr>
        <w:t xml:space="preserve"> </w:t>
      </w:r>
      <w:r w:rsidRPr="0032580D">
        <w:rPr>
          <w:i/>
        </w:rPr>
        <w:t>Warren,</w:t>
      </w:r>
      <w:r w:rsidRPr="0032580D">
        <w:rPr>
          <w:i/>
          <w:spacing w:val="28"/>
        </w:rPr>
        <w:t xml:space="preserve"> </w:t>
      </w:r>
      <w:r w:rsidRPr="0032580D">
        <w:rPr>
          <w:i/>
        </w:rPr>
        <w:t>Lenore</w:t>
      </w:r>
      <w:r w:rsidRPr="0032580D">
        <w:rPr>
          <w:i/>
          <w:spacing w:val="9"/>
        </w:rPr>
        <w:t xml:space="preserve"> </w:t>
      </w:r>
      <w:r w:rsidRPr="0032580D">
        <w:rPr>
          <w:i/>
        </w:rPr>
        <w:t>Warren,</w:t>
      </w:r>
      <w:r w:rsidRPr="0032580D">
        <w:rPr>
          <w:i/>
          <w:spacing w:val="25"/>
        </w:rPr>
        <w:t xml:space="preserve"> </w:t>
      </w:r>
      <w:r w:rsidRPr="0032580D">
        <w:rPr>
          <w:i/>
        </w:rPr>
        <w:t>William</w:t>
      </w:r>
      <w:r w:rsidRPr="0032580D">
        <w:rPr>
          <w:i/>
          <w:spacing w:val="21"/>
        </w:rPr>
        <w:t xml:space="preserve"> </w:t>
      </w:r>
      <w:r w:rsidRPr="0032580D">
        <w:rPr>
          <w:i/>
        </w:rPr>
        <w:t>Warren,</w:t>
      </w:r>
      <w:r w:rsidRPr="0032580D">
        <w:rPr>
          <w:i/>
          <w:spacing w:val="20"/>
        </w:rPr>
        <w:t xml:space="preserve"> </w:t>
      </w:r>
      <w:r w:rsidRPr="0032580D">
        <w:rPr>
          <w:i/>
        </w:rPr>
        <w:t>and</w:t>
      </w:r>
      <w:r w:rsidRPr="0032580D">
        <w:rPr>
          <w:i/>
          <w:spacing w:val="20"/>
        </w:rPr>
        <w:t xml:space="preserve"> </w:t>
      </w:r>
      <w:r w:rsidRPr="0032580D">
        <w:rPr>
          <w:i/>
        </w:rPr>
        <w:t>Carol</w:t>
      </w:r>
      <w:r w:rsidRPr="0032580D">
        <w:rPr>
          <w:i/>
          <w:spacing w:val="36"/>
        </w:rPr>
        <w:t xml:space="preserve"> </w:t>
      </w:r>
      <w:r w:rsidRPr="0032580D">
        <w:rPr>
          <w:i/>
        </w:rPr>
        <w:t>Kendall</w:t>
      </w:r>
      <w:r w:rsidRPr="0032580D">
        <w:rPr>
          <w:i/>
          <w:spacing w:val="3"/>
        </w:rPr>
        <w:t xml:space="preserve"> </w:t>
      </w:r>
      <w:r w:rsidRPr="0032580D">
        <w:rPr>
          <w:i/>
        </w:rPr>
        <w:t>to</w:t>
      </w:r>
      <w:r w:rsidRPr="0032580D">
        <w:rPr>
          <w:i/>
          <w:spacing w:val="45"/>
        </w:rPr>
        <w:t xml:space="preserve"> </w:t>
      </w:r>
      <w:r w:rsidRPr="0032580D">
        <w:rPr>
          <w:i/>
        </w:rPr>
        <w:t>Eileen</w:t>
      </w:r>
      <w:r w:rsidRPr="0032580D">
        <w:rPr>
          <w:i/>
          <w:spacing w:val="21"/>
        </w:rPr>
        <w:t xml:space="preserve"> </w:t>
      </w:r>
      <w:r w:rsidRPr="0032580D">
        <w:rPr>
          <w:i/>
        </w:rPr>
        <w:t>Rogow,</w:t>
      </w:r>
      <w:r w:rsidRPr="0032580D">
        <w:rPr>
          <w:i/>
          <w:spacing w:val="18"/>
        </w:rPr>
        <w:t xml:space="preserve"> </w:t>
      </w:r>
      <w:r w:rsidRPr="0032580D">
        <w:rPr>
          <w:i/>
        </w:rPr>
        <w:t>Arthur</w:t>
      </w:r>
      <w:r w:rsidRPr="0032580D">
        <w:rPr>
          <w:i/>
          <w:spacing w:val="18"/>
        </w:rPr>
        <w:t xml:space="preserve"> </w:t>
      </w:r>
      <w:r w:rsidRPr="0032580D">
        <w:rPr>
          <w:i/>
        </w:rPr>
        <w:t>Rogow,</w:t>
      </w:r>
      <w:r w:rsidRPr="0032580D">
        <w:rPr>
          <w:i/>
          <w:spacing w:val="14"/>
        </w:rPr>
        <w:t xml:space="preserve"> </w:t>
      </w:r>
      <w:r w:rsidRPr="0032580D">
        <w:rPr>
          <w:i/>
        </w:rPr>
        <w:t>and</w:t>
      </w:r>
      <w:r>
        <w:t xml:space="preserve"> </w:t>
      </w:r>
      <w:r w:rsidRPr="0032580D">
        <w:rPr>
          <w:i/>
          <w:position w:val="-1"/>
        </w:rPr>
        <w:t>Philip</w:t>
      </w:r>
      <w:r w:rsidRPr="0032580D">
        <w:rPr>
          <w:i/>
          <w:spacing w:val="-7"/>
          <w:position w:val="-1"/>
        </w:rPr>
        <w:t xml:space="preserve"> </w:t>
      </w:r>
      <w:r w:rsidRPr="0032580D">
        <w:rPr>
          <w:i/>
          <w:position w:val="-1"/>
        </w:rPr>
        <w:t>Youn</w:t>
      </w:r>
      <w:r>
        <w:rPr>
          <w:i/>
          <w:position w:val="-1"/>
        </w:rPr>
        <w:t xml:space="preserve">g; </w:t>
      </w:r>
      <w:r w:rsidRPr="0032580D">
        <w:t>Order  No. PSC-07-0420-FOF-SU</w:t>
      </w:r>
      <w:r>
        <w:t>,</w:t>
      </w:r>
      <w:r w:rsidRPr="0032580D">
        <w:t xml:space="preserve"> issued May 14, 2007, in Docket No. 060636-SU, </w:t>
      </w:r>
      <w:r w:rsidRPr="006B2333">
        <w:rPr>
          <w:i/>
        </w:rPr>
        <w:t>In re:</w:t>
      </w:r>
      <w:r w:rsidRPr="0032580D">
        <w:rPr>
          <w:i/>
          <w:spacing w:val="18"/>
        </w:rPr>
        <w:t xml:space="preserve"> </w:t>
      </w:r>
      <w:r w:rsidRPr="0032580D">
        <w:rPr>
          <w:i/>
        </w:rPr>
        <w:t>Application</w:t>
      </w:r>
      <w:r w:rsidRPr="0032580D">
        <w:rPr>
          <w:i/>
          <w:spacing w:val="-6"/>
        </w:rPr>
        <w:t xml:space="preserve"> </w:t>
      </w:r>
      <w:r w:rsidRPr="0032580D">
        <w:rPr>
          <w:i/>
        </w:rPr>
        <w:t>for</w:t>
      </w:r>
      <w:r w:rsidRPr="0032580D">
        <w:rPr>
          <w:i/>
          <w:spacing w:val="5"/>
        </w:rPr>
        <w:t xml:space="preserve"> </w:t>
      </w:r>
      <w:r w:rsidRPr="0032580D">
        <w:rPr>
          <w:i/>
        </w:rPr>
        <w:t>transfer of</w:t>
      </w:r>
      <w:r w:rsidRPr="0032580D">
        <w:rPr>
          <w:i/>
          <w:spacing w:val="13"/>
        </w:rPr>
        <w:t xml:space="preserve"> </w:t>
      </w:r>
      <w:r w:rsidRPr="0032580D">
        <w:rPr>
          <w:i/>
        </w:rPr>
        <w:t>majority</w:t>
      </w:r>
      <w:r w:rsidRPr="0032580D">
        <w:rPr>
          <w:i/>
          <w:spacing w:val="-3"/>
        </w:rPr>
        <w:t xml:space="preserve"> </w:t>
      </w:r>
      <w:r w:rsidRPr="0032580D">
        <w:rPr>
          <w:i/>
        </w:rPr>
        <w:t>organizational</w:t>
      </w:r>
      <w:r w:rsidRPr="0032580D">
        <w:rPr>
          <w:i/>
          <w:spacing w:val="-5"/>
        </w:rPr>
        <w:t xml:space="preserve"> </w:t>
      </w:r>
      <w:r w:rsidRPr="0032580D">
        <w:rPr>
          <w:i/>
        </w:rPr>
        <w:t>control</w:t>
      </w:r>
      <w:r w:rsidRPr="0032580D">
        <w:rPr>
          <w:i/>
          <w:spacing w:val="1"/>
        </w:rPr>
        <w:t xml:space="preserve"> </w:t>
      </w:r>
      <w:r w:rsidRPr="0032580D">
        <w:rPr>
          <w:i/>
        </w:rPr>
        <w:t>of</w:t>
      </w:r>
      <w:r w:rsidRPr="0032580D">
        <w:rPr>
          <w:i/>
          <w:spacing w:val="1"/>
        </w:rPr>
        <w:t xml:space="preserve"> </w:t>
      </w:r>
      <w:r w:rsidRPr="0032580D">
        <w:rPr>
          <w:i/>
        </w:rPr>
        <w:t>Colony</w:t>
      </w:r>
      <w:r w:rsidRPr="0032580D">
        <w:rPr>
          <w:i/>
          <w:spacing w:val="19"/>
        </w:rPr>
        <w:t xml:space="preserve"> </w:t>
      </w:r>
      <w:r w:rsidRPr="0032580D">
        <w:rPr>
          <w:i/>
        </w:rPr>
        <w:t>Park</w:t>
      </w:r>
      <w:r w:rsidRPr="0032580D">
        <w:rPr>
          <w:i/>
          <w:spacing w:val="-11"/>
        </w:rPr>
        <w:t xml:space="preserve"> </w:t>
      </w:r>
      <w:r w:rsidRPr="0032580D">
        <w:rPr>
          <w:i/>
        </w:rPr>
        <w:t>Utilities,</w:t>
      </w:r>
      <w:r w:rsidRPr="0032580D">
        <w:rPr>
          <w:i/>
          <w:spacing w:val="13"/>
        </w:rPr>
        <w:t xml:space="preserve"> </w:t>
      </w:r>
      <w:r w:rsidRPr="0032580D">
        <w:rPr>
          <w:i/>
        </w:rPr>
        <w:t>Inc.,</w:t>
      </w:r>
      <w:r w:rsidRPr="0032580D">
        <w:rPr>
          <w:i/>
          <w:spacing w:val="-9"/>
        </w:rPr>
        <w:t xml:space="preserve"> </w:t>
      </w:r>
      <w:r w:rsidRPr="0032580D">
        <w:rPr>
          <w:i/>
        </w:rPr>
        <w:t>holder</w:t>
      </w:r>
      <w:r w:rsidRPr="0032580D">
        <w:rPr>
          <w:i/>
          <w:spacing w:val="4"/>
        </w:rPr>
        <w:t xml:space="preserve"> </w:t>
      </w:r>
      <w:r w:rsidRPr="0032580D">
        <w:rPr>
          <w:i/>
        </w:rPr>
        <w:t>of</w:t>
      </w:r>
      <w:r w:rsidRPr="0032580D">
        <w:rPr>
          <w:i/>
          <w:spacing w:val="2"/>
        </w:rPr>
        <w:t xml:space="preserve"> </w:t>
      </w:r>
      <w:r w:rsidRPr="0032580D">
        <w:rPr>
          <w:i/>
        </w:rPr>
        <w:t>Certificate</w:t>
      </w:r>
      <w:r w:rsidRPr="0032580D">
        <w:rPr>
          <w:i/>
          <w:spacing w:val="10"/>
        </w:rPr>
        <w:t xml:space="preserve"> </w:t>
      </w:r>
      <w:r w:rsidRPr="0032580D">
        <w:rPr>
          <w:i/>
        </w:rPr>
        <w:t>No.</w:t>
      </w:r>
      <w:r w:rsidRPr="0032580D">
        <w:rPr>
          <w:i/>
          <w:spacing w:val="18"/>
        </w:rPr>
        <w:t xml:space="preserve"> </w:t>
      </w:r>
      <w:r>
        <w:rPr>
          <w:i/>
        </w:rPr>
        <w:t>1</w:t>
      </w:r>
      <w:r w:rsidRPr="0032580D">
        <w:rPr>
          <w:i/>
        </w:rPr>
        <w:t>3</w:t>
      </w:r>
      <w:r>
        <w:rPr>
          <w:i/>
          <w:spacing w:val="-17"/>
        </w:rPr>
        <w:t>7</w:t>
      </w:r>
      <w:r w:rsidRPr="006B2333">
        <w:rPr>
          <w:rFonts w:ascii="Arial" w:eastAsia="Arial" w:hAnsi="Arial" w:cs="Arial"/>
          <w:i/>
          <w:w w:val="93"/>
          <w:sz w:val="19"/>
          <w:szCs w:val="19"/>
        </w:rPr>
        <w:t>-</w:t>
      </w:r>
      <w:r w:rsidRPr="006B2333">
        <w:rPr>
          <w:i/>
        </w:rPr>
        <w:t xml:space="preserve">S </w:t>
      </w:r>
      <w:r w:rsidRPr="0032580D">
        <w:rPr>
          <w:i/>
        </w:rPr>
        <w:t>in</w:t>
      </w:r>
      <w:r w:rsidRPr="0032580D">
        <w:rPr>
          <w:i/>
          <w:spacing w:val="18"/>
        </w:rPr>
        <w:t xml:space="preserve"> </w:t>
      </w:r>
      <w:r w:rsidRPr="0032580D">
        <w:rPr>
          <w:i/>
        </w:rPr>
        <w:t>Brevard</w:t>
      </w:r>
      <w:r w:rsidRPr="0032580D">
        <w:rPr>
          <w:i/>
          <w:spacing w:val="-17"/>
        </w:rPr>
        <w:t xml:space="preserve"> </w:t>
      </w:r>
      <w:r w:rsidRPr="0032580D">
        <w:rPr>
          <w:i/>
        </w:rPr>
        <w:t>County from</w:t>
      </w:r>
      <w:r w:rsidRPr="0032580D">
        <w:rPr>
          <w:i/>
          <w:spacing w:val="9"/>
        </w:rPr>
        <w:t xml:space="preserve"> </w:t>
      </w:r>
      <w:r w:rsidRPr="0032580D">
        <w:rPr>
          <w:i/>
        </w:rPr>
        <w:t>Eileen</w:t>
      </w:r>
      <w:r w:rsidRPr="0032580D">
        <w:rPr>
          <w:i/>
          <w:spacing w:val="-3"/>
        </w:rPr>
        <w:t xml:space="preserve"> </w:t>
      </w:r>
      <w:r w:rsidRPr="0032580D">
        <w:rPr>
          <w:i/>
          <w:w w:val="98"/>
        </w:rPr>
        <w:t>Rogow</w:t>
      </w:r>
      <w:r w:rsidRPr="0032580D">
        <w:rPr>
          <w:i/>
          <w:spacing w:val="-8"/>
          <w:w w:val="98"/>
        </w:rPr>
        <w:t xml:space="preserve"> </w:t>
      </w:r>
      <w:r w:rsidRPr="0032580D">
        <w:rPr>
          <w:i/>
        </w:rPr>
        <w:t>to</w:t>
      </w:r>
      <w:r w:rsidRPr="0032580D">
        <w:rPr>
          <w:i/>
          <w:spacing w:val="11"/>
        </w:rPr>
        <w:t xml:space="preserve"> </w:t>
      </w:r>
      <w:r w:rsidRPr="0032580D">
        <w:rPr>
          <w:i/>
        </w:rPr>
        <w:t>Michael</w:t>
      </w:r>
      <w:r w:rsidRPr="0032580D">
        <w:rPr>
          <w:i/>
          <w:spacing w:val="-9"/>
        </w:rPr>
        <w:t xml:space="preserve"> </w:t>
      </w:r>
      <w:r w:rsidRPr="0032580D">
        <w:rPr>
          <w:i/>
        </w:rPr>
        <w:t>Abramowitz</w:t>
      </w:r>
      <w:r>
        <w:rPr>
          <w:i/>
        </w:rPr>
        <w:t xml:space="preserve">; </w:t>
      </w:r>
      <w:r w:rsidRPr="0032580D">
        <w:t xml:space="preserve">Order No. PSC-14-0673-PAA-SU, issued December 5, 2014, in Docket No. 120285-SU, </w:t>
      </w:r>
      <w:r w:rsidRPr="006B2333">
        <w:rPr>
          <w:i/>
        </w:rPr>
        <w:t>In re:</w:t>
      </w:r>
      <w:r w:rsidRPr="0032580D">
        <w:rPr>
          <w:i/>
          <w:spacing w:val="39"/>
        </w:rPr>
        <w:t xml:space="preserve"> </w:t>
      </w:r>
      <w:r w:rsidRPr="0032580D">
        <w:rPr>
          <w:i/>
        </w:rPr>
        <w:t>Application</w:t>
      </w:r>
      <w:r w:rsidRPr="0032580D">
        <w:rPr>
          <w:i/>
          <w:spacing w:val="16"/>
        </w:rPr>
        <w:t xml:space="preserve"> </w:t>
      </w:r>
      <w:r w:rsidRPr="0032580D">
        <w:rPr>
          <w:i/>
          <w:w w:val="102"/>
        </w:rPr>
        <w:t xml:space="preserve">to </w:t>
      </w:r>
      <w:r w:rsidRPr="0032580D">
        <w:rPr>
          <w:i/>
        </w:rPr>
        <w:t>transfer</w:t>
      </w:r>
      <w:r w:rsidRPr="0032580D">
        <w:rPr>
          <w:i/>
          <w:spacing w:val="37"/>
        </w:rPr>
        <w:t xml:space="preserve"> </w:t>
      </w:r>
      <w:r w:rsidRPr="0032580D">
        <w:rPr>
          <w:i/>
        </w:rPr>
        <w:t>wastewater</w:t>
      </w:r>
      <w:r w:rsidRPr="0032580D">
        <w:rPr>
          <w:i/>
          <w:spacing w:val="17"/>
        </w:rPr>
        <w:t xml:space="preserve"> </w:t>
      </w:r>
      <w:r w:rsidRPr="0032580D">
        <w:rPr>
          <w:i/>
        </w:rPr>
        <w:t>facilities</w:t>
      </w:r>
      <w:r w:rsidRPr="0032580D">
        <w:rPr>
          <w:i/>
          <w:spacing w:val="35"/>
        </w:rPr>
        <w:t xml:space="preserve"> </w:t>
      </w:r>
      <w:r w:rsidRPr="0032580D">
        <w:rPr>
          <w:i/>
        </w:rPr>
        <w:t>and</w:t>
      </w:r>
      <w:r w:rsidRPr="0032580D">
        <w:rPr>
          <w:i/>
          <w:spacing w:val="34"/>
        </w:rPr>
        <w:t xml:space="preserve"> </w:t>
      </w:r>
      <w:r w:rsidRPr="0032580D">
        <w:rPr>
          <w:i/>
        </w:rPr>
        <w:t>Certificate</w:t>
      </w:r>
      <w:r w:rsidRPr="0032580D">
        <w:rPr>
          <w:i/>
          <w:spacing w:val="39"/>
        </w:rPr>
        <w:t xml:space="preserve"> </w:t>
      </w:r>
      <w:r w:rsidRPr="0032580D">
        <w:rPr>
          <w:i/>
        </w:rPr>
        <w:t>No.</w:t>
      </w:r>
      <w:r w:rsidRPr="0032580D">
        <w:rPr>
          <w:i/>
          <w:spacing w:val="42"/>
        </w:rPr>
        <w:t xml:space="preserve"> </w:t>
      </w:r>
      <w:r>
        <w:rPr>
          <w:i/>
        </w:rPr>
        <w:t>1</w:t>
      </w:r>
      <w:r w:rsidRPr="0032580D">
        <w:rPr>
          <w:i/>
        </w:rPr>
        <w:t>37-S in</w:t>
      </w:r>
      <w:r w:rsidRPr="0032580D">
        <w:rPr>
          <w:i/>
          <w:spacing w:val="50"/>
        </w:rPr>
        <w:t xml:space="preserve"> </w:t>
      </w:r>
      <w:r w:rsidRPr="0032580D">
        <w:rPr>
          <w:i/>
        </w:rPr>
        <w:t>Brevard</w:t>
      </w:r>
      <w:r w:rsidRPr="0032580D">
        <w:rPr>
          <w:i/>
          <w:spacing w:val="15"/>
        </w:rPr>
        <w:t xml:space="preserve"> </w:t>
      </w:r>
      <w:r w:rsidRPr="0032580D">
        <w:rPr>
          <w:i/>
        </w:rPr>
        <w:t>County</w:t>
      </w:r>
      <w:r w:rsidRPr="0032580D">
        <w:rPr>
          <w:i/>
          <w:spacing w:val="34"/>
        </w:rPr>
        <w:t xml:space="preserve"> </w:t>
      </w:r>
      <w:r w:rsidRPr="0032580D">
        <w:rPr>
          <w:i/>
        </w:rPr>
        <w:t>from</w:t>
      </w:r>
      <w:r w:rsidRPr="0032580D">
        <w:rPr>
          <w:i/>
          <w:spacing w:val="34"/>
        </w:rPr>
        <w:t xml:space="preserve"> </w:t>
      </w:r>
      <w:r w:rsidRPr="0032580D">
        <w:rPr>
          <w:i/>
        </w:rPr>
        <w:t xml:space="preserve">Colony </w:t>
      </w:r>
      <w:r w:rsidRPr="0032580D">
        <w:rPr>
          <w:i/>
          <w:spacing w:val="1"/>
        </w:rPr>
        <w:t xml:space="preserve"> </w:t>
      </w:r>
      <w:r w:rsidRPr="0032580D">
        <w:rPr>
          <w:i/>
        </w:rPr>
        <w:t>Park</w:t>
      </w:r>
      <w:r w:rsidRPr="0032580D">
        <w:rPr>
          <w:i/>
          <w:spacing w:val="23"/>
        </w:rPr>
        <w:t xml:space="preserve"> </w:t>
      </w:r>
      <w:r w:rsidRPr="0032580D">
        <w:rPr>
          <w:i/>
        </w:rPr>
        <w:t>Utilities,</w:t>
      </w:r>
      <w:r w:rsidRPr="0032580D">
        <w:rPr>
          <w:i/>
          <w:spacing w:val="35"/>
        </w:rPr>
        <w:t xml:space="preserve"> </w:t>
      </w:r>
      <w:r w:rsidRPr="0032580D">
        <w:rPr>
          <w:i/>
        </w:rPr>
        <w:t>Inc.</w:t>
      </w:r>
      <w:r w:rsidRPr="0032580D">
        <w:rPr>
          <w:i/>
          <w:spacing w:val="14"/>
        </w:rPr>
        <w:t xml:space="preserve"> </w:t>
      </w:r>
      <w:r w:rsidRPr="0032580D">
        <w:rPr>
          <w:i/>
          <w:w w:val="102"/>
        </w:rPr>
        <w:t>to</w:t>
      </w:r>
      <w:r>
        <w:t xml:space="preserve"> </w:t>
      </w:r>
      <w:r w:rsidRPr="0032580D">
        <w:rPr>
          <w:i/>
          <w:position w:val="-1"/>
        </w:rPr>
        <w:t>Colony</w:t>
      </w:r>
      <w:r w:rsidRPr="0032580D">
        <w:rPr>
          <w:i/>
          <w:spacing w:val="15"/>
          <w:position w:val="-1"/>
        </w:rPr>
        <w:t xml:space="preserve"> </w:t>
      </w:r>
      <w:r w:rsidRPr="0032580D">
        <w:rPr>
          <w:i/>
          <w:position w:val="-1"/>
        </w:rPr>
        <w:t xml:space="preserve">Park </w:t>
      </w:r>
      <w:r w:rsidRPr="0032580D">
        <w:rPr>
          <w:i/>
          <w:w w:val="97"/>
          <w:position w:val="-1"/>
        </w:rPr>
        <w:t xml:space="preserve">Development </w:t>
      </w:r>
      <w:r w:rsidRPr="0032580D">
        <w:rPr>
          <w:i/>
          <w:position w:val="-1"/>
        </w:rPr>
        <w:t>Utilities,</w:t>
      </w:r>
      <w:r w:rsidRPr="0032580D">
        <w:rPr>
          <w:i/>
          <w:spacing w:val="2"/>
          <w:position w:val="-1"/>
        </w:rPr>
        <w:t xml:space="preserve"> </w:t>
      </w:r>
      <w:r w:rsidRPr="0032580D">
        <w:rPr>
          <w:i/>
          <w:position w:val="-1"/>
        </w:rPr>
        <w:t>LLC</w:t>
      </w:r>
      <w:r>
        <w:rPr>
          <w:i/>
          <w:position w:val="-1"/>
        </w:rPr>
        <w:t xml:space="preserve">. </w:t>
      </w:r>
    </w:p>
  </w:footnote>
  <w:footnote w:id="3">
    <w:p w14:paraId="251A9FEC" w14:textId="77777777" w:rsidR="00CE1B94" w:rsidRDefault="00CE1B94" w:rsidP="006B02DE">
      <w:pPr>
        <w:pStyle w:val="FootnoteText"/>
      </w:pPr>
      <w:r>
        <w:rPr>
          <w:rStyle w:val="FootnoteReference"/>
        </w:rPr>
        <w:footnoteRef/>
      </w:r>
      <w:r w:rsidRPr="0032580D">
        <w:t>Order No. PSC-2017-0366-PAA-SU, issued September 27,</w:t>
      </w:r>
      <w:r>
        <w:t xml:space="preserve"> </w:t>
      </w:r>
      <w:r w:rsidRPr="0032580D">
        <w:t xml:space="preserve">2017, in Docket No. 20170018-SU, </w:t>
      </w:r>
      <w:r w:rsidRPr="006B2333">
        <w:rPr>
          <w:i/>
        </w:rPr>
        <w:t>In re:</w:t>
      </w:r>
      <w:r w:rsidRPr="0032580D">
        <w:t xml:space="preserve"> </w:t>
      </w:r>
      <w:r w:rsidRPr="0032580D">
        <w:rPr>
          <w:i/>
        </w:rPr>
        <w:t xml:space="preserve">Application to </w:t>
      </w:r>
      <w:r w:rsidRPr="0032580D">
        <w:rPr>
          <w:i/>
          <w:spacing w:val="3"/>
        </w:rPr>
        <w:t xml:space="preserve"> </w:t>
      </w:r>
      <w:r w:rsidRPr="0032580D">
        <w:rPr>
          <w:i/>
        </w:rPr>
        <w:t xml:space="preserve">transfer </w:t>
      </w:r>
      <w:r w:rsidRPr="0032580D">
        <w:rPr>
          <w:i/>
          <w:spacing w:val="5"/>
        </w:rPr>
        <w:t xml:space="preserve"> </w:t>
      </w:r>
      <w:r w:rsidRPr="0032580D">
        <w:rPr>
          <w:i/>
        </w:rPr>
        <w:t>wastewater</w:t>
      </w:r>
      <w:r w:rsidRPr="0032580D">
        <w:rPr>
          <w:i/>
          <w:spacing w:val="31"/>
        </w:rPr>
        <w:t xml:space="preserve"> </w:t>
      </w:r>
      <w:r w:rsidRPr="0032580D">
        <w:rPr>
          <w:i/>
        </w:rPr>
        <w:t xml:space="preserve">system </w:t>
      </w:r>
      <w:r w:rsidRPr="0032580D">
        <w:rPr>
          <w:i/>
          <w:spacing w:val="4"/>
        </w:rPr>
        <w:t xml:space="preserve"> </w:t>
      </w:r>
      <w:r w:rsidRPr="0032580D">
        <w:rPr>
          <w:i/>
        </w:rPr>
        <w:t>and</w:t>
      </w:r>
      <w:r w:rsidRPr="0032580D">
        <w:rPr>
          <w:i/>
          <w:spacing w:val="48"/>
        </w:rPr>
        <w:t xml:space="preserve"> </w:t>
      </w:r>
      <w:r w:rsidRPr="0032580D">
        <w:rPr>
          <w:i/>
        </w:rPr>
        <w:t xml:space="preserve">Certificate </w:t>
      </w:r>
      <w:r w:rsidRPr="0032580D">
        <w:rPr>
          <w:i/>
          <w:spacing w:val="4"/>
        </w:rPr>
        <w:t xml:space="preserve"> </w:t>
      </w:r>
      <w:r w:rsidRPr="0032580D">
        <w:rPr>
          <w:i/>
        </w:rPr>
        <w:t>No.</w:t>
      </w:r>
      <w:r w:rsidRPr="0032580D">
        <w:rPr>
          <w:i/>
          <w:spacing w:val="37"/>
        </w:rPr>
        <w:t xml:space="preserve"> </w:t>
      </w:r>
      <w:r w:rsidRPr="0032580D">
        <w:rPr>
          <w:i/>
        </w:rPr>
        <w:t>137-S</w:t>
      </w:r>
      <w:r w:rsidRPr="0032580D">
        <w:rPr>
          <w:i/>
          <w:spacing w:val="44"/>
        </w:rPr>
        <w:t xml:space="preserve"> </w:t>
      </w:r>
      <w:r w:rsidRPr="0032580D">
        <w:rPr>
          <w:i/>
        </w:rPr>
        <w:t xml:space="preserve">in </w:t>
      </w:r>
      <w:r w:rsidRPr="0032580D">
        <w:rPr>
          <w:i/>
          <w:spacing w:val="11"/>
        </w:rPr>
        <w:t xml:space="preserve"> </w:t>
      </w:r>
      <w:r w:rsidRPr="0032580D">
        <w:rPr>
          <w:i/>
        </w:rPr>
        <w:t>Brevard</w:t>
      </w:r>
      <w:r w:rsidRPr="0032580D">
        <w:rPr>
          <w:i/>
          <w:spacing w:val="33"/>
        </w:rPr>
        <w:t xml:space="preserve"> </w:t>
      </w:r>
      <w:r w:rsidRPr="0032580D">
        <w:rPr>
          <w:i/>
        </w:rPr>
        <w:t xml:space="preserve">County </w:t>
      </w:r>
      <w:r w:rsidRPr="0032580D">
        <w:rPr>
          <w:i/>
          <w:spacing w:val="1"/>
        </w:rPr>
        <w:t xml:space="preserve"> </w:t>
      </w:r>
      <w:r w:rsidRPr="0032580D">
        <w:rPr>
          <w:i/>
        </w:rPr>
        <w:t>from</w:t>
      </w:r>
      <w:r w:rsidRPr="0032580D">
        <w:rPr>
          <w:i/>
          <w:spacing w:val="42"/>
        </w:rPr>
        <w:t xml:space="preserve"> </w:t>
      </w:r>
      <w:r w:rsidRPr="0032580D">
        <w:rPr>
          <w:i/>
        </w:rPr>
        <w:t xml:space="preserve">Colony </w:t>
      </w:r>
      <w:r w:rsidRPr="0032580D">
        <w:rPr>
          <w:i/>
          <w:spacing w:val="15"/>
        </w:rPr>
        <w:t xml:space="preserve"> </w:t>
      </w:r>
      <w:r w:rsidRPr="0032580D">
        <w:rPr>
          <w:i/>
        </w:rPr>
        <w:t>Park</w:t>
      </w:r>
      <w:r w:rsidRPr="0032580D">
        <w:rPr>
          <w:i/>
          <w:spacing w:val="49"/>
        </w:rPr>
        <w:t xml:space="preserve"> </w:t>
      </w:r>
      <w:r w:rsidRPr="0032580D">
        <w:rPr>
          <w:i/>
        </w:rPr>
        <w:t>Development Utilities,</w:t>
      </w:r>
      <w:r>
        <w:rPr>
          <w:i/>
        </w:rPr>
        <w:t xml:space="preserve"> </w:t>
      </w:r>
      <w:r w:rsidRPr="0032580D">
        <w:rPr>
          <w:i/>
          <w:w w:val="94"/>
        </w:rPr>
        <w:t>LLC</w:t>
      </w:r>
      <w:r w:rsidRPr="0032580D">
        <w:rPr>
          <w:i/>
          <w:spacing w:val="4"/>
          <w:w w:val="94"/>
        </w:rPr>
        <w:t xml:space="preserve"> </w:t>
      </w:r>
      <w:r w:rsidRPr="0032580D">
        <w:rPr>
          <w:i/>
        </w:rPr>
        <w:t>to</w:t>
      </w:r>
      <w:r w:rsidRPr="0032580D">
        <w:rPr>
          <w:i/>
          <w:spacing w:val="8"/>
        </w:rPr>
        <w:t xml:space="preserve"> </w:t>
      </w:r>
      <w:r w:rsidRPr="0032580D">
        <w:rPr>
          <w:i/>
        </w:rPr>
        <w:t>Merritt</w:t>
      </w:r>
      <w:r w:rsidRPr="0032580D">
        <w:rPr>
          <w:i/>
          <w:spacing w:val="2"/>
        </w:rPr>
        <w:t xml:space="preserve"> </w:t>
      </w:r>
      <w:r w:rsidRPr="0032580D">
        <w:rPr>
          <w:i/>
          <w:w w:val="96"/>
        </w:rPr>
        <w:t>Island</w:t>
      </w:r>
      <w:r w:rsidRPr="0032580D">
        <w:rPr>
          <w:i/>
          <w:spacing w:val="1"/>
          <w:w w:val="96"/>
        </w:rPr>
        <w:t xml:space="preserve"> </w:t>
      </w:r>
      <w:r w:rsidRPr="0032580D">
        <w:rPr>
          <w:i/>
        </w:rPr>
        <w:t>Utility</w:t>
      </w:r>
      <w:r w:rsidRPr="0032580D">
        <w:rPr>
          <w:i/>
          <w:spacing w:val="-11"/>
        </w:rPr>
        <w:t xml:space="preserve"> </w:t>
      </w:r>
      <w:r w:rsidRPr="0032580D">
        <w:rPr>
          <w:i/>
        </w:rPr>
        <w:t>Company,</w:t>
      </w:r>
      <w:r w:rsidRPr="0032580D">
        <w:rPr>
          <w:i/>
          <w:spacing w:val="11"/>
        </w:rPr>
        <w:t xml:space="preserve"> </w:t>
      </w:r>
      <w:r w:rsidRPr="0032580D">
        <w:rPr>
          <w:i/>
        </w:rPr>
        <w:t>Inc.</w:t>
      </w:r>
    </w:p>
  </w:footnote>
  <w:footnote w:id="4">
    <w:p w14:paraId="0975E380" w14:textId="77777777" w:rsidR="00CE1B94" w:rsidRPr="00563CE2" w:rsidRDefault="00CE1B94" w:rsidP="006B02DE">
      <w:pPr>
        <w:pStyle w:val="FootnoteText"/>
        <w:rPr>
          <w:b/>
        </w:rPr>
      </w:pPr>
      <w:r w:rsidRPr="00E5267A">
        <w:rPr>
          <w:rStyle w:val="FootnoteReference"/>
        </w:rPr>
        <w:footnoteRef/>
      </w:r>
      <w:r w:rsidRPr="00E5267A">
        <w:t xml:space="preserve">Order No. PSC-2018-0243-FOF-SU, issued May 10, 2018, in Docket No. 20170142-SU, </w:t>
      </w:r>
      <w:r w:rsidRPr="00E5267A">
        <w:rPr>
          <w:i/>
        </w:rPr>
        <w:t>In re:</w:t>
      </w:r>
      <w:r w:rsidRPr="00114F0A">
        <w:rPr>
          <w:i/>
        </w:rPr>
        <w:t xml:space="preserve"> </w:t>
      </w:r>
      <w:r w:rsidRPr="00114F0A">
        <w:rPr>
          <w:rStyle w:val="Strong"/>
          <w:b w:val="0"/>
          <w:i/>
          <w:color w:val="000000"/>
        </w:rPr>
        <w:t>Application for amendment of Certificate No. 137-S for extension of wastewater service territory in Brevard County, by Merritt Island Utility Company, Inc.</w:t>
      </w:r>
    </w:p>
  </w:footnote>
  <w:footnote w:id="5">
    <w:p w14:paraId="0AA552E9" w14:textId="77777777" w:rsidR="00CE1B94" w:rsidRDefault="00CE1B94" w:rsidP="006B02DE">
      <w:pPr>
        <w:autoSpaceDE w:val="0"/>
        <w:autoSpaceDN w:val="0"/>
        <w:adjustRightInd w:val="0"/>
        <w:jc w:val="both"/>
      </w:pPr>
      <w:r w:rsidRPr="00CD7A33">
        <w:rPr>
          <w:rStyle w:val="FootnoteReference"/>
          <w:sz w:val="20"/>
          <w:szCs w:val="20"/>
        </w:rPr>
        <w:footnoteRef/>
      </w:r>
      <w:r>
        <w:rPr>
          <w:sz w:val="20"/>
          <w:szCs w:val="20"/>
        </w:rPr>
        <w:t xml:space="preserve">Order No. PSC-08-0760-PAA-SU, issued November 17, 2008, in Docket No. 080104-SU, </w:t>
      </w:r>
      <w:r w:rsidRPr="00163F64">
        <w:rPr>
          <w:i/>
          <w:sz w:val="20"/>
          <w:szCs w:val="20"/>
        </w:rPr>
        <w:t>In re: Application for</w:t>
      </w:r>
      <w:r>
        <w:rPr>
          <w:i/>
          <w:sz w:val="20"/>
          <w:szCs w:val="20"/>
        </w:rPr>
        <w:t xml:space="preserve"> </w:t>
      </w:r>
      <w:r w:rsidRPr="00163F64">
        <w:rPr>
          <w:i/>
          <w:sz w:val="20"/>
          <w:szCs w:val="20"/>
        </w:rPr>
        <w:t>staff-assisted rate case in Brevard County by Colony Park Utilities, Inc.</w:t>
      </w:r>
    </w:p>
  </w:footnote>
  <w:footnote w:id="6">
    <w:p w14:paraId="036A6AF9" w14:textId="77777777" w:rsidR="00CE1B94" w:rsidRPr="00B93B5B" w:rsidRDefault="00CE1B94" w:rsidP="006B02DE">
      <w:pPr>
        <w:pStyle w:val="OrderBody"/>
        <w:rPr>
          <w:sz w:val="20"/>
          <w:szCs w:val="20"/>
        </w:rPr>
      </w:pPr>
      <w:r>
        <w:rPr>
          <w:rStyle w:val="FootnoteReference"/>
        </w:rPr>
        <w:footnoteRef/>
      </w:r>
      <w:r w:rsidRPr="00B93B5B">
        <w:rPr>
          <w:rFonts w:cstheme="minorHAnsi"/>
          <w:sz w:val="20"/>
          <w:szCs w:val="20"/>
        </w:rPr>
        <w:t xml:space="preserve">Order No. PSC-2019-0309-PCO-SU, issued July 29, 2019, in Docket No. </w:t>
      </w:r>
      <w:r w:rsidRPr="00B93B5B">
        <w:rPr>
          <w:sz w:val="20"/>
          <w:szCs w:val="20"/>
        </w:rPr>
        <w:t xml:space="preserve">20190116-SU, </w:t>
      </w:r>
      <w:r w:rsidRPr="00B93B5B">
        <w:rPr>
          <w:rFonts w:cstheme="minorHAnsi"/>
          <w:sz w:val="20"/>
          <w:szCs w:val="20"/>
        </w:rPr>
        <w:t xml:space="preserve"> </w:t>
      </w:r>
      <w:r w:rsidRPr="00B93B5B">
        <w:rPr>
          <w:sz w:val="20"/>
          <w:szCs w:val="20"/>
        </w:rPr>
        <w:t>In re: Application for staff-assisted rate case in Brevard County, and request for interim rate increase by Merritt Island Utility Company.</w:t>
      </w:r>
      <w:r w:rsidRPr="00B93B5B">
        <w:rPr>
          <w:rFonts w:cstheme="minorHAnsi"/>
          <w:sz w:val="20"/>
          <w:szCs w:val="20"/>
        </w:rPr>
        <w:t xml:space="preserve"> </w:t>
      </w:r>
    </w:p>
  </w:footnote>
  <w:footnote w:id="7">
    <w:p w14:paraId="24967A05" w14:textId="77777777" w:rsidR="00CE1B94" w:rsidRPr="00B268A3" w:rsidRDefault="00CE1B94" w:rsidP="006B02DE">
      <w:pPr>
        <w:pStyle w:val="FootnoteText"/>
        <w:rPr>
          <w:i/>
        </w:rPr>
      </w:pPr>
      <w:r>
        <w:rPr>
          <w:rStyle w:val="FootnoteReference"/>
        </w:rPr>
        <w:footnoteRef/>
      </w:r>
      <w:r>
        <w:t xml:space="preserve">Order No. </w:t>
      </w:r>
      <w:r w:rsidRPr="00B268A3">
        <w:t>PSC-08-0760-PAA-SU</w:t>
      </w:r>
      <w:r>
        <w:t xml:space="preserve">, issued November 17, 2008, in Docket No. 080104-SU, </w:t>
      </w:r>
      <w:r>
        <w:rPr>
          <w:i/>
        </w:rPr>
        <w:t xml:space="preserve">In re: </w:t>
      </w:r>
      <w:r w:rsidRPr="00B268A3">
        <w:rPr>
          <w:i/>
        </w:rPr>
        <w:t>Application for staff-assisted rate case in Brevard County by Colony Park Utilities, Inc.</w:t>
      </w:r>
    </w:p>
  </w:footnote>
  <w:footnote w:id="8">
    <w:p w14:paraId="3BD3E80F" w14:textId="77777777" w:rsidR="00CE1B94" w:rsidRPr="00CD7A33" w:rsidRDefault="00CE1B94" w:rsidP="006B02DE">
      <w:pPr>
        <w:autoSpaceDE w:val="0"/>
        <w:autoSpaceDN w:val="0"/>
        <w:adjustRightInd w:val="0"/>
        <w:jc w:val="both"/>
        <w:rPr>
          <w:rFonts w:cstheme="minorHAnsi"/>
          <w:sz w:val="20"/>
          <w:szCs w:val="20"/>
        </w:rPr>
      </w:pPr>
      <w:r w:rsidRPr="00CD7A33">
        <w:rPr>
          <w:rStyle w:val="FootnoteReference"/>
          <w:sz w:val="20"/>
          <w:szCs w:val="20"/>
        </w:rPr>
        <w:footnoteRef/>
      </w:r>
      <w:r w:rsidRPr="00CD7A33">
        <w:rPr>
          <w:rFonts w:cstheme="minorHAnsi"/>
          <w:sz w:val="20"/>
          <w:szCs w:val="20"/>
        </w:rPr>
        <w:t xml:space="preserve">Order No. PSC-08-0760-PAA-SU, issued November 17, 2008, in Docket No. 080104-SU, </w:t>
      </w:r>
      <w:r w:rsidRPr="00CD7A33">
        <w:rPr>
          <w:rFonts w:cstheme="minorHAnsi"/>
          <w:i/>
          <w:sz w:val="20"/>
          <w:szCs w:val="20"/>
        </w:rPr>
        <w:t>In re: Application for staff-assisted rate case in Brevard County by Colony Park Utility, Inc.</w:t>
      </w:r>
    </w:p>
  </w:footnote>
  <w:footnote w:id="9">
    <w:p w14:paraId="4B7A63E9" w14:textId="77777777" w:rsidR="00CE1B94" w:rsidRDefault="00CE1B94" w:rsidP="006B02DE">
      <w:pPr>
        <w:pStyle w:val="FootnoteText"/>
      </w:pPr>
      <w:r>
        <w:rPr>
          <w:rStyle w:val="FootnoteReference"/>
        </w:rPr>
        <w:footnoteRef/>
      </w:r>
      <w:r w:rsidRPr="006466D0">
        <w:t xml:space="preserve">Order No. PSC-2017-0366-PAA-SU, issued September 27, 2017, in Docket No. 20170018-SU, </w:t>
      </w:r>
      <w:r w:rsidRPr="006466D0">
        <w:rPr>
          <w:i/>
        </w:rPr>
        <w:t>In re: Application to transfer wastewater system and Certificate No. 137-S in Brevard County from Colony Park Development Utilities, LLC to Merritt Island Utility Company, Inc.</w:t>
      </w:r>
    </w:p>
  </w:footnote>
  <w:footnote w:id="10">
    <w:p w14:paraId="3157C108" w14:textId="77777777" w:rsidR="00CE1B94" w:rsidRPr="00CD7A33" w:rsidRDefault="00CE1B94" w:rsidP="006B02DE">
      <w:pPr>
        <w:pStyle w:val="FootnoteText"/>
      </w:pPr>
      <w:r w:rsidRPr="00CD7A33">
        <w:rPr>
          <w:rStyle w:val="FootnoteReference"/>
        </w:rPr>
        <w:footnoteRef/>
      </w:r>
      <w:r w:rsidRPr="00CD7A33">
        <w:rPr>
          <w:i/>
        </w:rPr>
        <w:t>See,</w:t>
      </w:r>
      <w:r w:rsidRPr="00CD7A33">
        <w:t xml:space="preserve"> </w:t>
      </w:r>
      <w:r w:rsidRPr="00CD7A33">
        <w:rPr>
          <w:rFonts w:eastAsiaTheme="minorEastAsia"/>
          <w:i/>
        </w:rPr>
        <w:t>Citizens of Florida v. Hawkins,</w:t>
      </w:r>
      <w:r w:rsidRPr="00CD7A33">
        <w:rPr>
          <w:rFonts w:eastAsiaTheme="minorEastAsia"/>
        </w:rPr>
        <w:t xml:space="preserve"> (F</w:t>
      </w:r>
      <w:r>
        <w:rPr>
          <w:rFonts w:eastAsiaTheme="minorEastAsia"/>
        </w:rPr>
        <w:t>la</w:t>
      </w:r>
      <w:r w:rsidRPr="00CD7A33">
        <w:rPr>
          <w:rFonts w:eastAsiaTheme="minorEastAsia"/>
        </w:rPr>
        <w:t>.1978)</w:t>
      </w:r>
      <w:r>
        <w:rPr>
          <w:rFonts w:eastAsiaTheme="minorEastAsia"/>
        </w:rPr>
        <w:t>.</w:t>
      </w:r>
      <w:r w:rsidRPr="00CD7A33">
        <w:rPr>
          <w:rFonts w:eastAsiaTheme="minorEastAsia"/>
        </w:rPr>
        <w:t xml:space="preserve"> 356 So. 2d 254.</w:t>
      </w:r>
    </w:p>
  </w:footnote>
  <w:footnote w:id="11">
    <w:p w14:paraId="0E950C27" w14:textId="77777777" w:rsidR="00CE1B94" w:rsidRPr="00F711FE" w:rsidRDefault="00CE1B94" w:rsidP="006B02DE">
      <w:pPr>
        <w:autoSpaceDE w:val="0"/>
        <w:autoSpaceDN w:val="0"/>
        <w:adjustRightInd w:val="0"/>
        <w:jc w:val="both"/>
        <w:rPr>
          <w:sz w:val="20"/>
          <w:szCs w:val="20"/>
        </w:rPr>
      </w:pPr>
      <w:r w:rsidRPr="00CD7A33">
        <w:rPr>
          <w:rStyle w:val="FootnoteReference"/>
          <w:sz w:val="20"/>
          <w:szCs w:val="20"/>
        </w:rPr>
        <w:footnoteRef/>
      </w:r>
      <w:r w:rsidRPr="00CD7A33">
        <w:rPr>
          <w:sz w:val="20"/>
          <w:szCs w:val="20"/>
        </w:rPr>
        <w:t>Order No. PSC-98-0763-FOF-SU, issue</w:t>
      </w:r>
      <w:r>
        <w:rPr>
          <w:sz w:val="20"/>
          <w:szCs w:val="20"/>
        </w:rPr>
        <w:t xml:space="preserve">d June 3, 1998, in Docket No. </w:t>
      </w:r>
      <w:r w:rsidRPr="00CD7A33">
        <w:rPr>
          <w:sz w:val="20"/>
          <w:szCs w:val="20"/>
        </w:rPr>
        <w:t xml:space="preserve">971182-SU, </w:t>
      </w:r>
      <w:r w:rsidRPr="00CD7A33">
        <w:rPr>
          <w:i/>
          <w:sz w:val="20"/>
          <w:szCs w:val="20"/>
        </w:rPr>
        <w:t>In re: Application for staff-assisted rate case in Marion County by BFF Corp.</w:t>
      </w:r>
      <w:r w:rsidRPr="00CD7A33">
        <w:rPr>
          <w:sz w:val="20"/>
          <w:szCs w:val="20"/>
        </w:rPr>
        <w:t>; Order No. PSC-00-1774-PAA-WU, issued Sept</w:t>
      </w:r>
      <w:r>
        <w:rPr>
          <w:sz w:val="20"/>
          <w:szCs w:val="20"/>
        </w:rPr>
        <w:t xml:space="preserve">ember 27, 2000, in Docket No. </w:t>
      </w:r>
      <w:r w:rsidRPr="00CD7A33">
        <w:rPr>
          <w:sz w:val="20"/>
          <w:szCs w:val="20"/>
        </w:rPr>
        <w:t xml:space="preserve">991627-WU, </w:t>
      </w:r>
      <w:r w:rsidRPr="00CD7A33">
        <w:rPr>
          <w:i/>
          <w:sz w:val="20"/>
          <w:szCs w:val="20"/>
        </w:rPr>
        <w:t>In re: Application for rate increase in Polk County by Park Water Company Inc.</w:t>
      </w:r>
      <w:r w:rsidRPr="00CD7A33">
        <w:rPr>
          <w:sz w:val="20"/>
          <w:szCs w:val="20"/>
        </w:rPr>
        <w:t>; Order No. PSC-01-0323-PAA-WU, issued Fe</w:t>
      </w:r>
      <w:r>
        <w:rPr>
          <w:sz w:val="20"/>
          <w:szCs w:val="20"/>
        </w:rPr>
        <w:t xml:space="preserve">bruary 5, 2001, in Docket No. </w:t>
      </w:r>
      <w:r w:rsidRPr="00CD7A33">
        <w:rPr>
          <w:sz w:val="20"/>
          <w:szCs w:val="20"/>
        </w:rPr>
        <w:t xml:space="preserve">000580-WU, </w:t>
      </w:r>
      <w:r w:rsidRPr="00CD7A33">
        <w:rPr>
          <w:i/>
          <w:sz w:val="20"/>
          <w:szCs w:val="20"/>
        </w:rPr>
        <w:t>In re: Application for staff-assisted rate case in Polk County by Keen Sales, Rentals and Utilities, Inc. (Alturas Water Works)</w:t>
      </w:r>
      <w:r w:rsidRPr="00CD7A33">
        <w:rPr>
          <w:sz w:val="20"/>
          <w:szCs w:val="20"/>
        </w:rPr>
        <w:t>; and Order No. PSC-02-1449-PAA-WS, issued October 21, 2002, in Docket No.</w:t>
      </w:r>
      <w:r>
        <w:rPr>
          <w:sz w:val="20"/>
          <w:szCs w:val="20"/>
        </w:rPr>
        <w:t xml:space="preserve"> </w:t>
      </w:r>
      <w:r w:rsidRPr="00CD7A33">
        <w:rPr>
          <w:sz w:val="20"/>
          <w:szCs w:val="20"/>
        </w:rPr>
        <w:t xml:space="preserve">011451-WS, </w:t>
      </w:r>
      <w:r w:rsidRPr="00CD7A33">
        <w:rPr>
          <w:i/>
          <w:sz w:val="20"/>
          <w:szCs w:val="20"/>
        </w:rPr>
        <w:t xml:space="preserve">In re: Investigation of water and wastewater rates for possible overearnings by Plantation Bay Utility Co. in Volusia County; </w:t>
      </w:r>
      <w:bookmarkStart w:id="7" w:name="OrderNo0428"/>
      <w:r w:rsidRPr="00CD7A33">
        <w:rPr>
          <w:sz w:val="20"/>
          <w:szCs w:val="20"/>
        </w:rPr>
        <w:t>Order No.</w:t>
      </w:r>
      <w:r w:rsidRPr="00CD7A33">
        <w:rPr>
          <w:i/>
          <w:sz w:val="20"/>
          <w:szCs w:val="20"/>
        </w:rPr>
        <w:t xml:space="preserve"> </w:t>
      </w:r>
      <w:r w:rsidRPr="00CD7A33">
        <w:rPr>
          <w:sz w:val="20"/>
          <w:szCs w:val="20"/>
        </w:rPr>
        <w:t>PSC-</w:t>
      </w:r>
      <w:r w:rsidRPr="00F711FE">
        <w:rPr>
          <w:sz w:val="20"/>
          <w:szCs w:val="20"/>
        </w:rPr>
        <w:t>2017-0428-PAA-WS</w:t>
      </w:r>
      <w:bookmarkEnd w:id="7"/>
      <w:r w:rsidRPr="00F711FE">
        <w:rPr>
          <w:sz w:val="20"/>
          <w:szCs w:val="20"/>
        </w:rPr>
        <w:t xml:space="preserve">, issued November 7, 2017, in Docket No. 20160195-WS, </w:t>
      </w:r>
      <w:r w:rsidRPr="00F711FE">
        <w:rPr>
          <w:i/>
          <w:sz w:val="20"/>
          <w:szCs w:val="20"/>
        </w:rPr>
        <w:t>In re: Application for staff-assisted rate case in Lake County by Lakeside Waterworks, Inc.</w:t>
      </w:r>
      <w:r w:rsidRPr="00F711FE">
        <w:rPr>
          <w:sz w:val="20"/>
          <w:szCs w:val="20"/>
        </w:rPr>
        <w:t>, and Order No. PSC-2018-0553-PAA-WS, issued</w:t>
      </w:r>
      <w:r>
        <w:rPr>
          <w:sz w:val="20"/>
          <w:szCs w:val="20"/>
        </w:rPr>
        <w:t xml:space="preserve"> November </w:t>
      </w:r>
      <w:r w:rsidRPr="00F711FE">
        <w:rPr>
          <w:sz w:val="20"/>
          <w:szCs w:val="20"/>
        </w:rPr>
        <w:t xml:space="preserve">19, 2018, in Docket No. 20180021-WU, </w:t>
      </w:r>
      <w:r w:rsidRPr="00F711FE">
        <w:rPr>
          <w:i/>
          <w:sz w:val="20"/>
          <w:szCs w:val="20"/>
        </w:rPr>
        <w:t>In re: Application for staff-assisted rate case in Highlands County by Country Walk Utilities,</w:t>
      </w:r>
      <w:r>
        <w:rPr>
          <w:i/>
          <w:sz w:val="20"/>
          <w:szCs w:val="20"/>
        </w:rPr>
        <w:t xml:space="preserve"> </w:t>
      </w:r>
      <w:r w:rsidRPr="00F711FE">
        <w:rPr>
          <w:i/>
          <w:sz w:val="20"/>
          <w:szCs w:val="20"/>
        </w:rPr>
        <w:t>Inc.</w:t>
      </w:r>
    </w:p>
  </w:footnote>
  <w:footnote w:id="12">
    <w:p w14:paraId="06FFE925" w14:textId="77777777" w:rsidR="00CE1B94" w:rsidRDefault="00CE1B94" w:rsidP="006B02DE">
      <w:pPr>
        <w:pStyle w:val="FootnoteText"/>
      </w:pPr>
      <w:r>
        <w:rPr>
          <w:rStyle w:val="FootnoteReference"/>
        </w:rPr>
        <w:footnoteRef/>
      </w:r>
      <w:r>
        <w:t>The vegetation clearing costs are discussed in Issue 7. Two of the ponds have been completed, and one is being considered as part of pro forma O&amp;M. All three projects will be amortized over a five-year period.</w:t>
      </w:r>
    </w:p>
  </w:footnote>
  <w:footnote w:id="13">
    <w:p w14:paraId="229FF407" w14:textId="77777777" w:rsidR="00CE1B94" w:rsidRDefault="00CE1B94" w:rsidP="006B02DE">
      <w:pPr>
        <w:pStyle w:val="FootnoteText"/>
      </w:pPr>
      <w:r>
        <w:rPr>
          <w:rStyle w:val="FootnoteReference"/>
        </w:rPr>
        <w:footnoteRef/>
      </w:r>
      <w:r w:rsidRPr="006466D0">
        <w:t xml:space="preserve">Order No. PSC-2017-0366-PAA-SU, issued September 27, 2017, in Docket No. 20170018-SU, </w:t>
      </w:r>
      <w:r w:rsidRPr="006466D0">
        <w:rPr>
          <w:i/>
        </w:rPr>
        <w:t>In re: Application to transfer wastewater system and Certificate No. 137-S in Brevard County from Colony Park Development Utilities, LLC to Merritt Island Utility Company, Inc.</w:t>
      </w:r>
      <w:r>
        <w:t xml:space="preserve">, p.6. </w:t>
      </w:r>
    </w:p>
  </w:footnote>
  <w:footnote w:id="14">
    <w:p w14:paraId="6D61843C" w14:textId="77777777" w:rsidR="00CE1B94" w:rsidRPr="00D65ED9" w:rsidRDefault="00CE1B94" w:rsidP="006B02DE">
      <w:pPr>
        <w:pStyle w:val="FootnoteText"/>
      </w:pPr>
      <w:r w:rsidRPr="00D65ED9">
        <w:rPr>
          <w:rStyle w:val="FootnoteReference"/>
        </w:rPr>
        <w:footnoteRef/>
      </w:r>
      <w:r w:rsidRPr="00D65ED9">
        <w:t xml:space="preserve">Order No. PSC-2017-0366-PAA-SU, issued September 27, 2017, in Docket No. 20170018-SU, </w:t>
      </w:r>
      <w:r w:rsidRPr="00D65ED9">
        <w:rPr>
          <w:i/>
        </w:rPr>
        <w:t>In re: Application to transfer wastewater system and Certificate No. 137-S in Brevard County from Colony Park Development Utilities, LLC to Merritt Island Utility Company, Inc.</w:t>
      </w:r>
    </w:p>
  </w:footnote>
  <w:footnote w:id="15">
    <w:p w14:paraId="511AEDE1" w14:textId="77777777" w:rsidR="00CE1B94" w:rsidRPr="006466D0" w:rsidRDefault="00CE1B94" w:rsidP="006B02DE">
      <w:pPr>
        <w:autoSpaceDE w:val="0"/>
        <w:autoSpaceDN w:val="0"/>
        <w:adjustRightInd w:val="0"/>
        <w:jc w:val="both"/>
        <w:rPr>
          <w:sz w:val="20"/>
          <w:szCs w:val="20"/>
        </w:rPr>
      </w:pPr>
      <w:r w:rsidRPr="00D65ED9">
        <w:rPr>
          <w:rStyle w:val="FootnoteReference"/>
          <w:sz w:val="20"/>
          <w:szCs w:val="20"/>
        </w:rPr>
        <w:footnoteRef/>
      </w:r>
      <w:r w:rsidRPr="00D65ED9">
        <w:rPr>
          <w:i/>
          <w:sz w:val="20"/>
          <w:szCs w:val="20"/>
        </w:rPr>
        <w:t>Id.</w:t>
      </w:r>
    </w:p>
  </w:footnote>
  <w:footnote w:id="16">
    <w:p w14:paraId="1124A2CA" w14:textId="77777777" w:rsidR="00CE1B94" w:rsidRDefault="00CE1B94" w:rsidP="00AA58C9">
      <w:pPr>
        <w:pStyle w:val="FootnoteText"/>
      </w:pPr>
      <w:r>
        <w:rPr>
          <w:rStyle w:val="FootnoteReference"/>
        </w:rPr>
        <w:footnoteRef/>
      </w:r>
      <w:r>
        <w:t>Order No. PSC-2019-0267-PAA-WS, issued July 1, 2019, in Docket No. 2019</w:t>
      </w:r>
      <w:r w:rsidRPr="008B0E26">
        <w:t xml:space="preserve">0006-WS, </w:t>
      </w:r>
      <w:r w:rsidRPr="008B0E26">
        <w:rPr>
          <w:i/>
        </w:rPr>
        <w:t>In re: Water and wastewater industry annual reestablishment of authorized range of return on common equity for water and wastewater utilities pursuant to Section 367.081(4)(f), F.S</w:t>
      </w:r>
      <w:r>
        <w:rPr>
          <w:i/>
        </w:rPr>
        <w:t>.</w:t>
      </w:r>
    </w:p>
  </w:footnote>
  <w:footnote w:id="17">
    <w:p w14:paraId="4585CEE3" w14:textId="77777777" w:rsidR="00CE1B94" w:rsidRPr="001E04B5" w:rsidRDefault="00CE1B94" w:rsidP="00AA58C9">
      <w:pPr>
        <w:autoSpaceDE w:val="0"/>
        <w:autoSpaceDN w:val="0"/>
        <w:adjustRightInd w:val="0"/>
        <w:jc w:val="both"/>
        <w:rPr>
          <w:rFonts w:cstheme="minorHAnsi"/>
          <w:sz w:val="20"/>
          <w:szCs w:val="20"/>
        </w:rPr>
      </w:pPr>
      <w:r w:rsidRPr="001E04B5">
        <w:rPr>
          <w:rStyle w:val="FootnoteReference"/>
          <w:sz w:val="20"/>
          <w:szCs w:val="20"/>
        </w:rPr>
        <w:footnoteRef/>
      </w:r>
      <w:r w:rsidRPr="001E04B5">
        <w:rPr>
          <w:rFonts w:cstheme="minorHAnsi"/>
          <w:sz w:val="20"/>
          <w:szCs w:val="20"/>
        </w:rPr>
        <w:t xml:space="preserve">Docket No. 20170142-SU, </w:t>
      </w:r>
      <w:r w:rsidRPr="001E04B5">
        <w:rPr>
          <w:rFonts w:cstheme="minorHAnsi"/>
          <w:i/>
          <w:sz w:val="20"/>
          <w:szCs w:val="20"/>
        </w:rPr>
        <w:t>In re: Application for amendment of Certificate No. 137-S for extension of wastewater service territory in Brevard County, by Merritt Island Utility Company, Inc.</w:t>
      </w:r>
      <w:r w:rsidRPr="001E04B5">
        <w:rPr>
          <w:rFonts w:cstheme="minorHAnsi"/>
          <w:sz w:val="20"/>
          <w:szCs w:val="20"/>
        </w:rPr>
        <w:t xml:space="preserve"> </w:t>
      </w:r>
    </w:p>
  </w:footnote>
  <w:footnote w:id="18">
    <w:p w14:paraId="395EBA73" w14:textId="77777777" w:rsidR="00CE1B94" w:rsidRDefault="00CE1B94" w:rsidP="00AA58C9">
      <w:pPr>
        <w:pStyle w:val="FootnoteText"/>
      </w:pPr>
      <w:r>
        <w:rPr>
          <w:rStyle w:val="FootnoteReference"/>
        </w:rPr>
        <w:footnoteRef/>
      </w:r>
      <w:r>
        <w:t>Document No. 07318-2019, filed August 9, 2019, p. 5.</w:t>
      </w:r>
    </w:p>
  </w:footnote>
  <w:footnote w:id="19">
    <w:p w14:paraId="02239B68" w14:textId="77777777" w:rsidR="00CE1B94" w:rsidRDefault="00CE1B94" w:rsidP="00AA58C9">
      <w:pPr>
        <w:pStyle w:val="FootnoteText"/>
      </w:pPr>
      <w:r>
        <w:rPr>
          <w:rStyle w:val="FootnoteReference"/>
        </w:rPr>
        <w:footnoteRef/>
      </w:r>
      <w:r>
        <w:t xml:space="preserve">Document No. 07318-2019. </w:t>
      </w:r>
    </w:p>
  </w:footnote>
  <w:footnote w:id="20">
    <w:p w14:paraId="2B0D9F27" w14:textId="77777777" w:rsidR="00CE1B94" w:rsidRDefault="00CE1B94" w:rsidP="00AA58C9">
      <w:pPr>
        <w:pStyle w:val="FootnoteText"/>
      </w:pPr>
      <w:r>
        <w:rPr>
          <w:rStyle w:val="FootnoteReference"/>
        </w:rPr>
        <w:footnoteRef/>
      </w:r>
      <w:r>
        <w:t>Document No. 07318-2019, p. 6.</w:t>
      </w:r>
    </w:p>
  </w:footnote>
  <w:footnote w:id="21">
    <w:p w14:paraId="449F61C1" w14:textId="77777777" w:rsidR="00CE1B94" w:rsidRDefault="00CE1B94" w:rsidP="00AA58C9">
      <w:pPr>
        <w:pStyle w:val="FootnoteText"/>
      </w:pPr>
      <w:r>
        <w:rPr>
          <w:rStyle w:val="FootnoteReference"/>
        </w:rPr>
        <w:footnoteRef/>
      </w:r>
      <w:r>
        <w:t>Tradewinds is a Class B utility.</w:t>
      </w:r>
    </w:p>
  </w:footnote>
  <w:footnote w:id="22">
    <w:p w14:paraId="3175F7A4" w14:textId="77777777" w:rsidR="00CE1B94" w:rsidRDefault="00CE1B94" w:rsidP="00AA58C9">
      <w:pPr>
        <w:pStyle w:val="FootnoteText"/>
      </w:pPr>
      <w:r>
        <w:rPr>
          <w:rStyle w:val="FootnoteReference"/>
        </w:rPr>
        <w:footnoteRef/>
      </w:r>
      <w:r>
        <w:t>Document No. 07318-2019, p. 35.</w:t>
      </w:r>
    </w:p>
  </w:footnote>
  <w:footnote w:id="23">
    <w:p w14:paraId="15AA0FD8" w14:textId="77777777" w:rsidR="00CE1B94" w:rsidRDefault="00CE1B94" w:rsidP="00AA58C9">
      <w:pPr>
        <w:pStyle w:val="FootnoteText"/>
      </w:pPr>
      <w:r w:rsidRPr="00B12999">
        <w:rPr>
          <w:rStyle w:val="FootnoteReference"/>
        </w:rPr>
        <w:footnoteRef/>
      </w:r>
      <w:r w:rsidR="00087B92">
        <w:t>We</w:t>
      </w:r>
      <w:r w:rsidRPr="00B12999">
        <w:t xml:space="preserve"> did not include </w:t>
      </w:r>
      <w:r w:rsidRPr="00B12999">
        <w:rPr>
          <w:color w:val="000000"/>
        </w:rPr>
        <w:t>West Lakeland Wastewater, LLC since three years of annual reports were not available.</w:t>
      </w:r>
    </w:p>
  </w:footnote>
  <w:footnote w:id="24">
    <w:p w14:paraId="382E8CF6" w14:textId="77777777" w:rsidR="00CE1B94" w:rsidRPr="00BB63EF" w:rsidRDefault="00CE1B94" w:rsidP="00AA58C9">
      <w:pPr>
        <w:autoSpaceDE w:val="0"/>
        <w:autoSpaceDN w:val="0"/>
        <w:adjustRightInd w:val="0"/>
        <w:jc w:val="both"/>
        <w:rPr>
          <w:i/>
          <w:sz w:val="20"/>
          <w:szCs w:val="20"/>
        </w:rPr>
      </w:pPr>
      <w:r w:rsidRPr="009E6409">
        <w:rPr>
          <w:rStyle w:val="FootnoteReference"/>
          <w:sz w:val="20"/>
          <w:szCs w:val="20"/>
        </w:rPr>
        <w:footnoteRef/>
      </w:r>
      <w:r w:rsidRPr="009E6409">
        <w:rPr>
          <w:sz w:val="20"/>
          <w:szCs w:val="20"/>
        </w:rPr>
        <w:t xml:space="preserve">Order No. PSC-14-0413-PAA-WS, issued August 14, 2014, in Docket No. 130153-WS, </w:t>
      </w:r>
      <w:r w:rsidRPr="009E6409">
        <w:rPr>
          <w:i/>
          <w:iCs/>
          <w:sz w:val="20"/>
          <w:szCs w:val="20"/>
        </w:rPr>
        <w:t>In re: Application for staff-assisted rate case in Highlands County, by L.P. Utilities Corporation c/o LP Waterworks, Inc.</w:t>
      </w:r>
      <w:r w:rsidRPr="009E6409">
        <w:rPr>
          <w:sz w:val="20"/>
          <w:szCs w:val="20"/>
        </w:rPr>
        <w:t xml:space="preserve">; Order No. PSC-15-0013-PAA-WS, issued January 2, 2015, in Docket No. 130194-WS, </w:t>
      </w:r>
      <w:r w:rsidRPr="009E6409">
        <w:rPr>
          <w:i/>
          <w:iCs/>
          <w:sz w:val="20"/>
          <w:szCs w:val="20"/>
        </w:rPr>
        <w:t>In re: Application for staff-assisted rate case in Lake County by Lakeside Waterworks, Inc.</w:t>
      </w:r>
      <w:r w:rsidRPr="009E6409">
        <w:rPr>
          <w:sz w:val="20"/>
          <w:szCs w:val="20"/>
        </w:rPr>
        <w:t xml:space="preserve">; Order No. PSC-15-0282-PAA-WS, issued July 8, 2015, in Docket No. 140158-WS, </w:t>
      </w:r>
      <w:r w:rsidRPr="009E6409">
        <w:rPr>
          <w:i/>
          <w:iCs/>
          <w:sz w:val="20"/>
          <w:szCs w:val="20"/>
        </w:rPr>
        <w:t>In re: Application for increase in water/wastewater rates in Highlands County by HC Waterworks, Inc.</w:t>
      </w:r>
      <w:r w:rsidRPr="009E6409">
        <w:rPr>
          <w:sz w:val="20"/>
          <w:szCs w:val="20"/>
        </w:rPr>
        <w:t xml:space="preserve">; Order No. PSC-15-0329-PAA-WU, issued August 14, 2015, in Docket No. 140186-WU, </w:t>
      </w:r>
      <w:r w:rsidRPr="009E6409">
        <w:rPr>
          <w:i/>
          <w:iCs/>
          <w:sz w:val="20"/>
          <w:szCs w:val="20"/>
        </w:rPr>
        <w:t>In re: Application for staff-assisted rate case in Brevard County by Brevard Waterworks, Inc.</w:t>
      </w:r>
      <w:r w:rsidRPr="009E6409">
        <w:rPr>
          <w:sz w:val="20"/>
          <w:szCs w:val="20"/>
        </w:rPr>
        <w:t xml:space="preserve">; Order No. PSC-15-0335- PAA-WS, issued August 20, 2015, in Docket No. 140147-WS, </w:t>
      </w:r>
      <w:r w:rsidRPr="009E6409">
        <w:rPr>
          <w:i/>
          <w:iCs/>
          <w:sz w:val="20"/>
          <w:szCs w:val="20"/>
        </w:rPr>
        <w:t xml:space="preserve">In re: Application for staff-assisted rate case </w:t>
      </w:r>
      <w:r w:rsidRPr="00C46C7E">
        <w:rPr>
          <w:i/>
          <w:iCs/>
          <w:sz w:val="20"/>
          <w:szCs w:val="20"/>
        </w:rPr>
        <w:t>in</w:t>
      </w:r>
      <w:r>
        <w:rPr>
          <w:i/>
          <w:iCs/>
          <w:sz w:val="20"/>
          <w:szCs w:val="20"/>
        </w:rPr>
        <w:t xml:space="preserve"> </w:t>
      </w:r>
      <w:r w:rsidRPr="00C46C7E">
        <w:rPr>
          <w:i/>
          <w:iCs/>
          <w:sz w:val="20"/>
          <w:szCs w:val="20"/>
        </w:rPr>
        <w:t>Sumter County by Jumper Creek Utility Company.</w:t>
      </w:r>
      <w:r w:rsidRPr="006F698D">
        <w:rPr>
          <w:iCs/>
          <w:sz w:val="20"/>
          <w:szCs w:val="20"/>
        </w:rPr>
        <w:t>;</w:t>
      </w:r>
      <w:r w:rsidRPr="00C46C7E">
        <w:rPr>
          <w:i/>
          <w:iCs/>
          <w:sz w:val="20"/>
          <w:szCs w:val="20"/>
        </w:rPr>
        <w:t xml:space="preserve"> </w:t>
      </w:r>
      <w:r w:rsidRPr="00C46C7E">
        <w:rPr>
          <w:sz w:val="20"/>
          <w:szCs w:val="20"/>
        </w:rPr>
        <w:t>Order No. PSC-16-0256-PAA-WU, issued June 30, 2016, in</w:t>
      </w:r>
      <w:r>
        <w:rPr>
          <w:sz w:val="20"/>
          <w:szCs w:val="20"/>
        </w:rPr>
        <w:t xml:space="preserve"> Docket No.</w:t>
      </w:r>
      <w:r w:rsidRPr="00C46C7E">
        <w:rPr>
          <w:sz w:val="20"/>
          <w:szCs w:val="20"/>
        </w:rPr>
        <w:t xml:space="preserve">150199-WU, </w:t>
      </w:r>
      <w:r w:rsidRPr="00C46C7E">
        <w:rPr>
          <w:i/>
          <w:iCs/>
          <w:sz w:val="20"/>
          <w:szCs w:val="20"/>
        </w:rPr>
        <w:t>In re: Application for staff-assisted rate case in Lake County by Raintree Waterworks,</w:t>
      </w:r>
      <w:r>
        <w:rPr>
          <w:i/>
          <w:iCs/>
          <w:sz w:val="20"/>
          <w:szCs w:val="20"/>
        </w:rPr>
        <w:t xml:space="preserve"> </w:t>
      </w:r>
      <w:r w:rsidRPr="00C46C7E">
        <w:rPr>
          <w:i/>
          <w:iCs/>
          <w:sz w:val="20"/>
          <w:szCs w:val="20"/>
        </w:rPr>
        <w:t>Inc.</w:t>
      </w:r>
      <w:r w:rsidRPr="00C46C7E">
        <w:rPr>
          <w:sz w:val="20"/>
          <w:szCs w:val="20"/>
        </w:rPr>
        <w:t xml:space="preserve">; Order No. PSC-16-0305-PAA-WU, issued July 28, 2016, in Docket No. 150236-WU, </w:t>
      </w:r>
      <w:r w:rsidRPr="00C46C7E">
        <w:rPr>
          <w:i/>
          <w:iCs/>
          <w:sz w:val="20"/>
          <w:szCs w:val="20"/>
        </w:rPr>
        <w:t>In re: Application for</w:t>
      </w:r>
      <w:r>
        <w:rPr>
          <w:i/>
          <w:iCs/>
          <w:sz w:val="20"/>
          <w:szCs w:val="20"/>
        </w:rPr>
        <w:t xml:space="preserve"> </w:t>
      </w:r>
      <w:r w:rsidRPr="00C46C7E">
        <w:rPr>
          <w:i/>
          <w:iCs/>
          <w:sz w:val="20"/>
          <w:szCs w:val="20"/>
        </w:rPr>
        <w:t>staff-assisted rate case in Lake County, by Lake Idlewild Utility Company.</w:t>
      </w:r>
      <w:r w:rsidRPr="00C46C7E">
        <w:rPr>
          <w:sz w:val="20"/>
          <w:szCs w:val="20"/>
        </w:rPr>
        <w:t>; Order No. PSC-2017-0334-PAA-WS,</w:t>
      </w:r>
      <w:r>
        <w:rPr>
          <w:sz w:val="20"/>
          <w:szCs w:val="20"/>
        </w:rPr>
        <w:t xml:space="preserve"> </w:t>
      </w:r>
      <w:r w:rsidRPr="00C46C7E">
        <w:rPr>
          <w:sz w:val="20"/>
          <w:szCs w:val="20"/>
        </w:rPr>
        <w:t xml:space="preserve">issued August 23, 2017, in Docket No. 20160222-WS, </w:t>
      </w:r>
      <w:r w:rsidRPr="00C46C7E">
        <w:rPr>
          <w:i/>
          <w:iCs/>
          <w:sz w:val="20"/>
          <w:szCs w:val="20"/>
        </w:rPr>
        <w:t>In re: Application for staff-assisted rate case in Highlands</w:t>
      </w:r>
      <w:r>
        <w:rPr>
          <w:i/>
          <w:iCs/>
          <w:sz w:val="20"/>
          <w:szCs w:val="20"/>
        </w:rPr>
        <w:t xml:space="preserve"> </w:t>
      </w:r>
      <w:r w:rsidRPr="00C46C7E">
        <w:rPr>
          <w:i/>
          <w:iCs/>
          <w:sz w:val="20"/>
          <w:szCs w:val="20"/>
        </w:rPr>
        <w:t xml:space="preserve">County by LP Waterworks, Inc.; </w:t>
      </w:r>
      <w:r w:rsidRPr="00C46C7E">
        <w:rPr>
          <w:sz w:val="20"/>
          <w:szCs w:val="20"/>
        </w:rPr>
        <w:t>Order No. PSC-2017-0428-PAA-WS, issued November 7, 2017, in Docket No.</w:t>
      </w:r>
      <w:r>
        <w:rPr>
          <w:sz w:val="20"/>
          <w:szCs w:val="20"/>
        </w:rPr>
        <w:t xml:space="preserve"> </w:t>
      </w:r>
      <w:r w:rsidRPr="00C46C7E">
        <w:rPr>
          <w:sz w:val="20"/>
          <w:szCs w:val="20"/>
        </w:rPr>
        <w:t xml:space="preserve">20160195-WS, </w:t>
      </w:r>
      <w:r w:rsidRPr="00C46C7E">
        <w:rPr>
          <w:i/>
          <w:iCs/>
          <w:sz w:val="20"/>
          <w:szCs w:val="20"/>
        </w:rPr>
        <w:t xml:space="preserve">In re: Application for staff-assisted rate case in Lake County by Lakeside Waterworks, Inc.; </w:t>
      </w:r>
      <w:r w:rsidRPr="00C46C7E">
        <w:rPr>
          <w:sz w:val="20"/>
          <w:szCs w:val="20"/>
        </w:rPr>
        <w:t xml:space="preserve">Order No. PSC-2018-0552-PAA-WU, issued November 19, 2018, in Docket No. 20180022-WU, </w:t>
      </w:r>
      <w:r w:rsidRPr="00C46C7E">
        <w:rPr>
          <w:i/>
          <w:sz w:val="20"/>
          <w:szCs w:val="20"/>
        </w:rPr>
        <w:t>In re: Application for staff-assisted rate case in Lake County by Pine Harbour Waterworks,</w:t>
      </w:r>
      <w:r>
        <w:rPr>
          <w:i/>
          <w:sz w:val="20"/>
          <w:szCs w:val="20"/>
        </w:rPr>
        <w:t xml:space="preserve"> </w:t>
      </w:r>
      <w:r w:rsidRPr="00C46C7E">
        <w:rPr>
          <w:i/>
          <w:sz w:val="20"/>
          <w:szCs w:val="20"/>
        </w:rPr>
        <w:t xml:space="preserve">Inc.; </w:t>
      </w:r>
      <w:r w:rsidRPr="00010449">
        <w:rPr>
          <w:sz w:val="20"/>
          <w:szCs w:val="20"/>
        </w:rPr>
        <w:t>and</w:t>
      </w:r>
      <w:r w:rsidRPr="00C46C7E">
        <w:rPr>
          <w:i/>
          <w:sz w:val="20"/>
          <w:szCs w:val="20"/>
        </w:rPr>
        <w:t xml:space="preserve"> </w:t>
      </w:r>
      <w:r w:rsidRPr="00C46C7E">
        <w:rPr>
          <w:sz w:val="20"/>
          <w:szCs w:val="20"/>
        </w:rPr>
        <w:t>O</w:t>
      </w:r>
      <w:r>
        <w:rPr>
          <w:sz w:val="20"/>
          <w:szCs w:val="20"/>
        </w:rPr>
        <w:t>rder</w:t>
      </w:r>
      <w:r w:rsidRPr="00C46C7E">
        <w:rPr>
          <w:sz w:val="20"/>
          <w:szCs w:val="20"/>
        </w:rPr>
        <w:t xml:space="preserve"> N</w:t>
      </w:r>
      <w:r>
        <w:rPr>
          <w:sz w:val="20"/>
          <w:szCs w:val="20"/>
        </w:rPr>
        <w:t>o</w:t>
      </w:r>
      <w:r w:rsidRPr="00C46C7E">
        <w:rPr>
          <w:sz w:val="20"/>
          <w:szCs w:val="20"/>
        </w:rPr>
        <w:t xml:space="preserve">. </w:t>
      </w:r>
      <w:bookmarkStart w:id="8" w:name="OrderNo0553"/>
      <w:r w:rsidRPr="00C46C7E">
        <w:rPr>
          <w:sz w:val="20"/>
          <w:szCs w:val="20"/>
        </w:rPr>
        <w:t>PSC-2018-0553-PAA-WU</w:t>
      </w:r>
      <w:bookmarkEnd w:id="8"/>
      <w:r w:rsidRPr="00C46C7E">
        <w:rPr>
          <w:sz w:val="20"/>
          <w:szCs w:val="20"/>
        </w:rPr>
        <w:t xml:space="preserve">, issued November 19, </w:t>
      </w:r>
      <w:r w:rsidRPr="00BB63EF">
        <w:rPr>
          <w:sz w:val="20"/>
          <w:szCs w:val="20"/>
        </w:rPr>
        <w:t xml:space="preserve">2018, in Docket No. 20180021-WU, </w:t>
      </w:r>
      <w:r w:rsidRPr="00BB63EF">
        <w:rPr>
          <w:i/>
          <w:sz w:val="20"/>
          <w:szCs w:val="20"/>
        </w:rPr>
        <w:t>In re: Application for staff-assisted rate case in Highlands County by Country Walk Utilities, Inc.</w:t>
      </w:r>
    </w:p>
  </w:footnote>
  <w:footnote w:id="25">
    <w:p w14:paraId="6CE29BBF" w14:textId="77777777" w:rsidR="00CE1B94" w:rsidRPr="00BB63EF" w:rsidRDefault="00CE1B94" w:rsidP="00AA58C9">
      <w:pPr>
        <w:pStyle w:val="FootnoteText"/>
      </w:pPr>
      <w:r w:rsidRPr="00BB63EF">
        <w:rPr>
          <w:rStyle w:val="FootnoteReference"/>
        </w:rPr>
        <w:footnoteRef/>
      </w:r>
      <w:r w:rsidRPr="00BB63EF">
        <w:t xml:space="preserve">Docket No. 20190114-WU, </w:t>
      </w:r>
      <w:r w:rsidRPr="00BB63EF">
        <w:rPr>
          <w:i/>
        </w:rPr>
        <w:t>In re: Application for staff-assisted rate case in Alachua County, and request for interim rate increase by Gator Waterworks, Inc.</w:t>
      </w:r>
      <w:r w:rsidRPr="00BB63EF">
        <w:t>; and</w:t>
      </w:r>
      <w:r w:rsidRPr="00BB63EF">
        <w:rPr>
          <w:color w:val="FF0000"/>
        </w:rPr>
        <w:t xml:space="preserve"> </w:t>
      </w:r>
      <w:r w:rsidRPr="00BB63EF">
        <w:t xml:space="preserve">Docket No. 20190125-WS, </w:t>
      </w:r>
      <w:r w:rsidRPr="00BB63EF">
        <w:rPr>
          <w:i/>
        </w:rPr>
        <w:t>In re: Application for staff-assisted rate case in Sumter County by The Woods Utility Company.</w:t>
      </w:r>
    </w:p>
  </w:footnote>
  <w:footnote w:id="26">
    <w:p w14:paraId="4C7DDB2F" w14:textId="77777777" w:rsidR="00CE1B94" w:rsidRDefault="00CE1B94" w:rsidP="00AA58C9">
      <w:pPr>
        <w:pStyle w:val="FootnoteText"/>
      </w:pPr>
      <w:r w:rsidRPr="00BB63EF">
        <w:rPr>
          <w:rStyle w:val="FootnoteReference"/>
        </w:rPr>
        <w:footnoteRef/>
      </w:r>
      <w:r w:rsidRPr="00BB63EF">
        <w:t xml:space="preserve">Docket No. 20190166-WS, </w:t>
      </w:r>
      <w:r w:rsidRPr="00BB63EF">
        <w:rPr>
          <w:i/>
        </w:rPr>
        <w:t xml:space="preserve">In re: Application for increase in water rates in Highlands County by HC Waterworks, </w:t>
      </w:r>
      <w:r w:rsidRPr="00CD3096">
        <w:rPr>
          <w:i/>
        </w:rPr>
        <w:t>Inc.</w:t>
      </w:r>
    </w:p>
  </w:footnote>
  <w:footnote w:id="27">
    <w:p w14:paraId="134E6A07" w14:textId="77777777" w:rsidR="00CE1B94" w:rsidRPr="009E6409" w:rsidRDefault="00CE1B94" w:rsidP="00AA58C9">
      <w:pPr>
        <w:autoSpaceDE w:val="0"/>
        <w:autoSpaceDN w:val="0"/>
        <w:adjustRightInd w:val="0"/>
        <w:rPr>
          <w:i/>
          <w:iCs/>
          <w:sz w:val="20"/>
          <w:szCs w:val="20"/>
        </w:rPr>
      </w:pPr>
      <w:r w:rsidRPr="009E6409">
        <w:rPr>
          <w:rStyle w:val="FootnoteReference"/>
          <w:sz w:val="20"/>
          <w:szCs w:val="20"/>
        </w:rPr>
        <w:footnoteRef/>
      </w:r>
      <w:r w:rsidRPr="009E6409">
        <w:rPr>
          <w:sz w:val="20"/>
          <w:szCs w:val="20"/>
        </w:rPr>
        <w:t xml:space="preserve">Docket No. 20170018-SU, </w:t>
      </w:r>
      <w:r w:rsidRPr="009E6409">
        <w:rPr>
          <w:i/>
          <w:iCs/>
          <w:sz w:val="20"/>
          <w:szCs w:val="20"/>
        </w:rPr>
        <w:t>In re: Application to transfer wastewater system and Certificate No. 137-S in Brevard</w:t>
      </w:r>
    </w:p>
    <w:p w14:paraId="42463AC0" w14:textId="77777777" w:rsidR="00CE1B94" w:rsidRPr="009E6409" w:rsidRDefault="00CE1B94" w:rsidP="00AA58C9">
      <w:pPr>
        <w:pStyle w:val="FootnoteText"/>
      </w:pPr>
      <w:r w:rsidRPr="009E6409">
        <w:rPr>
          <w:i/>
          <w:iCs/>
        </w:rPr>
        <w:t>County from Colony Park Development Utilities, LLC to Merritt Island Utility Company, Inc.</w:t>
      </w:r>
    </w:p>
  </w:footnote>
  <w:footnote w:id="28">
    <w:p w14:paraId="1B48B809" w14:textId="77777777" w:rsidR="00CE1B94" w:rsidRPr="009E6409" w:rsidRDefault="00CE1B94" w:rsidP="00AA58C9">
      <w:pPr>
        <w:pStyle w:val="FootnoteText"/>
      </w:pPr>
      <w:r w:rsidRPr="009E6409">
        <w:rPr>
          <w:rStyle w:val="FootnoteReference"/>
        </w:rPr>
        <w:footnoteRef/>
      </w:r>
      <w:r w:rsidRPr="009E6409">
        <w:t>Document No. 00605-2020, filed January 28, 2020.</w:t>
      </w:r>
    </w:p>
  </w:footnote>
  <w:footnote w:id="29">
    <w:p w14:paraId="4FC8F468" w14:textId="77777777" w:rsidR="00CE1B94" w:rsidRDefault="00CE1B94" w:rsidP="00AA58C9">
      <w:pPr>
        <w:pStyle w:val="FootnoteText"/>
      </w:pPr>
      <w:r>
        <w:rPr>
          <w:rStyle w:val="FootnoteReference"/>
        </w:rPr>
        <w:footnoteRef/>
      </w:r>
      <w:r w:rsidRPr="00684400">
        <w:t>Document No.</w:t>
      </w:r>
      <w:r w:rsidRPr="00684400">
        <w:rPr>
          <w:rFonts w:cstheme="minorHAnsi"/>
        </w:rPr>
        <w:t xml:space="preserve"> </w:t>
      </w:r>
      <w:r w:rsidRPr="00684400">
        <w:rPr>
          <w:rFonts w:cstheme="minorHAnsi"/>
          <w:bCs/>
        </w:rPr>
        <w:t>04960-2019, filed on June 17, 2019.</w:t>
      </w:r>
    </w:p>
  </w:footnote>
  <w:footnote w:id="30">
    <w:p w14:paraId="6B550A07" w14:textId="77777777" w:rsidR="00CE1B94" w:rsidRPr="00EC61FD" w:rsidRDefault="00CE1B94" w:rsidP="00AA58C9">
      <w:pPr>
        <w:pStyle w:val="FootnoteText"/>
        <w:rPr>
          <w:rFonts w:cstheme="minorHAnsi"/>
        </w:rPr>
      </w:pPr>
      <w:r>
        <w:rPr>
          <w:rStyle w:val="FootnoteReference"/>
        </w:rPr>
        <w:footnoteRef/>
      </w:r>
      <w:r>
        <w:t>Document No.</w:t>
      </w:r>
      <w:r w:rsidRPr="00EC61FD">
        <w:rPr>
          <w:rFonts w:cstheme="minorHAnsi"/>
        </w:rPr>
        <w:t xml:space="preserve"> </w:t>
      </w:r>
      <w:r w:rsidRPr="00EC61FD">
        <w:rPr>
          <w:rFonts w:cstheme="minorHAnsi"/>
          <w:bCs/>
        </w:rPr>
        <w:t>05392-2019, filed on July 9, 2019.</w:t>
      </w:r>
    </w:p>
  </w:footnote>
  <w:footnote w:id="31">
    <w:p w14:paraId="386E9CFD" w14:textId="77777777" w:rsidR="00CE1B94" w:rsidRPr="006466D0" w:rsidRDefault="00CE1B94" w:rsidP="00AA58C9">
      <w:pPr>
        <w:autoSpaceDE w:val="0"/>
        <w:autoSpaceDN w:val="0"/>
        <w:adjustRightInd w:val="0"/>
        <w:jc w:val="both"/>
        <w:rPr>
          <w:sz w:val="20"/>
          <w:szCs w:val="20"/>
        </w:rPr>
      </w:pPr>
      <w:r w:rsidRPr="008505B3">
        <w:rPr>
          <w:rStyle w:val="FootnoteReference"/>
          <w:sz w:val="20"/>
          <w:szCs w:val="20"/>
        </w:rPr>
        <w:footnoteRef/>
      </w:r>
      <w:r w:rsidRPr="006466D0">
        <w:rPr>
          <w:sz w:val="20"/>
          <w:szCs w:val="20"/>
        </w:rPr>
        <w:t xml:space="preserve">Order No. PSC-2017-0366-PAA-SU, issued September 27, 2017, in Docket No. 20170018-SU, </w:t>
      </w:r>
      <w:r>
        <w:rPr>
          <w:i/>
          <w:sz w:val="20"/>
          <w:szCs w:val="20"/>
        </w:rPr>
        <w:t xml:space="preserve">In re: Application to </w:t>
      </w:r>
      <w:r w:rsidRPr="006466D0">
        <w:rPr>
          <w:i/>
          <w:sz w:val="20"/>
          <w:szCs w:val="20"/>
        </w:rPr>
        <w:t>transfer wastewater system and Certificate No. 137-S in Brevard County from Colony Park Development Utilities, LLC to Merritt Island Utility Company, Inc.</w:t>
      </w:r>
    </w:p>
  </w:footnote>
  <w:footnote w:id="32">
    <w:p w14:paraId="068965DD" w14:textId="77777777" w:rsidR="00CE1B94" w:rsidRDefault="00CE1B94" w:rsidP="00AA58C9">
      <w:pPr>
        <w:pStyle w:val="FootnoteText"/>
      </w:pPr>
      <w:r>
        <w:rPr>
          <w:rStyle w:val="FootnoteReference"/>
        </w:rPr>
        <w:footnoteRef/>
      </w:r>
      <w:r>
        <w:t>Document No. 08301-2019, filed on August 21, 2019.</w:t>
      </w:r>
    </w:p>
  </w:footnote>
  <w:footnote w:id="33">
    <w:p w14:paraId="60157B7E" w14:textId="77777777" w:rsidR="00CE1B94" w:rsidRDefault="00CE1B94" w:rsidP="00AA58C9">
      <w:pPr>
        <w:pStyle w:val="FootnoteText"/>
      </w:pPr>
      <w:r>
        <w:rPr>
          <w:rStyle w:val="FootnoteReference"/>
        </w:rPr>
        <w:footnoteRef/>
      </w:r>
      <w:r>
        <w:t>Document No. 00817-2020, filed on February 6,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19BF4" w14:textId="73D0F3ED" w:rsidR="00CE1B94" w:rsidRDefault="00CE1B94">
    <w:pPr>
      <w:pStyle w:val="OrderHeader"/>
    </w:pPr>
    <w:r>
      <w:t xml:space="preserve">ORDER NO. </w:t>
    </w:r>
    <w:fldSimple w:instr=" REF OrderNo0088 ">
      <w:r w:rsidR="00CB57FE">
        <w:t>PSC-2020-0088-PAA-SU</w:t>
      </w:r>
    </w:fldSimple>
  </w:p>
  <w:p w14:paraId="5078C864" w14:textId="77777777" w:rsidR="00CE1B94" w:rsidRDefault="00CE1B94">
    <w:pPr>
      <w:pStyle w:val="OrderHeader"/>
    </w:pPr>
    <w:bookmarkStart w:id="12" w:name="HeaderDocketNo"/>
    <w:bookmarkEnd w:id="12"/>
    <w:r>
      <w:t>DOCKET NO. 20190116-SU</w:t>
    </w:r>
  </w:p>
  <w:p w14:paraId="44AC7BC5" w14:textId="62526D3E" w:rsidR="00CE1B94" w:rsidRDefault="00CE1B9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B57FE">
      <w:rPr>
        <w:rStyle w:val="PageNumber"/>
        <w:noProof/>
      </w:rPr>
      <w:t>25</w:t>
    </w:r>
    <w:r>
      <w:rPr>
        <w:rStyle w:val="PageNumber"/>
      </w:rPr>
      <w:fldChar w:fldCharType="end"/>
    </w:r>
  </w:p>
  <w:p w14:paraId="28150D6F" w14:textId="77777777" w:rsidR="00CE1B94" w:rsidRDefault="00CE1B94">
    <w:pPr>
      <w:pStyle w:val="Order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1A303" w14:textId="766AF509" w:rsidR="00CE1B94" w:rsidRDefault="00CE1B94" w:rsidP="00712188">
    <w:pPr>
      <w:pStyle w:val="OrderHeader"/>
      <w:tabs>
        <w:tab w:val="left" w:pos="7200"/>
        <w:tab w:val="left" w:pos="10080"/>
      </w:tabs>
    </w:pPr>
    <w:r>
      <w:t xml:space="preserve">ORDER NO. </w:t>
    </w:r>
    <w:r w:rsidR="00CB57FE">
      <w:fldChar w:fldCharType="begin"/>
    </w:r>
    <w:r w:rsidR="00CB57FE">
      <w:instrText xml:space="preserve"> REF OrderNo0088 </w:instrText>
    </w:r>
    <w:r w:rsidR="00CB57FE">
      <w:fldChar w:fldCharType="separate"/>
    </w:r>
    <w:r w:rsidR="00CB57FE">
      <w:t>PSC-2020-0088-PAA-SU</w:t>
    </w:r>
    <w:r w:rsidR="00CB57FE">
      <w:fldChar w:fldCharType="end"/>
    </w:r>
    <w:r>
      <w:tab/>
    </w:r>
    <w:r>
      <w:tab/>
    </w:r>
    <w:r>
      <w:tab/>
      <w:t>Schedule No. 4</w:t>
    </w:r>
  </w:p>
  <w:p w14:paraId="6D178247" w14:textId="77777777" w:rsidR="00CE1B94" w:rsidRDefault="00CE1B94" w:rsidP="009616CB">
    <w:pPr>
      <w:pStyle w:val="OrderHeader"/>
    </w:pPr>
    <w:r>
      <w:t>DOCKET NO. 20190116-SU</w:t>
    </w:r>
  </w:p>
  <w:p w14:paraId="39EDD5FB" w14:textId="2CAE14BF" w:rsidR="00CE1B94" w:rsidRDefault="00CE1B94" w:rsidP="009616C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B57FE">
      <w:rPr>
        <w:rStyle w:val="PageNumber"/>
        <w:noProof/>
      </w:rPr>
      <w:t>34</w:t>
    </w:r>
    <w:r>
      <w:rPr>
        <w:rStyle w:val="PageNumber"/>
      </w:rPr>
      <w:fldChar w:fldCharType="end"/>
    </w:r>
  </w:p>
  <w:p w14:paraId="7436BF25" w14:textId="77777777" w:rsidR="00CE1B94" w:rsidRDefault="00CE1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443F5" w14:textId="77777777" w:rsidR="00CE1B94" w:rsidRDefault="00CE1B94" w:rsidP="00712188">
    <w:pPr>
      <w:pStyle w:val="OrderHeader"/>
      <w:rPr>
        <w:rStyle w:val="PageNumber"/>
      </w:rPr>
    </w:pPr>
  </w:p>
  <w:p w14:paraId="26AFB0FF" w14:textId="77777777" w:rsidR="00CE1B94" w:rsidRDefault="00CE1B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0E875" w14:textId="7FAC1383" w:rsidR="00CE1B94" w:rsidRDefault="00CE1B94" w:rsidP="00712188">
    <w:pPr>
      <w:pStyle w:val="OrderHeader"/>
      <w:tabs>
        <w:tab w:val="left" w:pos="7200"/>
      </w:tabs>
    </w:pPr>
    <w:r>
      <w:t xml:space="preserve">ORDER NO. </w:t>
    </w:r>
    <w:r w:rsidR="00CB57FE">
      <w:fldChar w:fldCharType="begin"/>
    </w:r>
    <w:r w:rsidR="00CB57FE">
      <w:instrText xml:space="preserve"> REF OrderNo0088 </w:instrText>
    </w:r>
    <w:r w:rsidR="00CB57FE">
      <w:fldChar w:fldCharType="separate"/>
    </w:r>
    <w:r w:rsidR="00CB57FE">
      <w:t>PSC-2020-0088-PAA-SU</w:t>
    </w:r>
    <w:r w:rsidR="00CB57FE">
      <w:fldChar w:fldCharType="end"/>
    </w:r>
    <w:r>
      <w:tab/>
    </w:r>
    <w:r>
      <w:tab/>
      <w:t>Schedule No. 1-A</w:t>
    </w:r>
  </w:p>
  <w:p w14:paraId="0342BB48" w14:textId="77777777" w:rsidR="00CE1B94" w:rsidRDefault="00CE1B94" w:rsidP="009616CB">
    <w:pPr>
      <w:pStyle w:val="OrderHeader"/>
    </w:pPr>
    <w:r>
      <w:t>DOCKET NO. 20190116-SU</w:t>
    </w:r>
  </w:p>
  <w:p w14:paraId="3217666A" w14:textId="02C1890E" w:rsidR="00CE1B94" w:rsidRDefault="00CE1B94" w:rsidP="009616C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B57FE">
      <w:rPr>
        <w:rStyle w:val="PageNumber"/>
        <w:noProof/>
      </w:rPr>
      <w:t>27</w:t>
    </w:r>
    <w:r>
      <w:rPr>
        <w:rStyle w:val="PageNumber"/>
      </w:rPr>
      <w:fldChar w:fldCharType="end"/>
    </w:r>
  </w:p>
  <w:p w14:paraId="46C0BF42" w14:textId="77777777" w:rsidR="00CE1B94" w:rsidRDefault="00CE1B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B623C" w14:textId="3B1CE9B9" w:rsidR="00CE1B94" w:rsidRDefault="00CE1B94" w:rsidP="00712188">
    <w:pPr>
      <w:pStyle w:val="OrderHeader"/>
      <w:tabs>
        <w:tab w:val="left" w:pos="7200"/>
      </w:tabs>
    </w:pPr>
    <w:r>
      <w:t xml:space="preserve">ORDER NO. </w:t>
    </w:r>
    <w:r w:rsidR="00CB57FE">
      <w:fldChar w:fldCharType="begin"/>
    </w:r>
    <w:r w:rsidR="00CB57FE">
      <w:instrText xml:space="preserve"> REF OrderNo0088 </w:instrText>
    </w:r>
    <w:r w:rsidR="00CB57FE">
      <w:fldChar w:fldCharType="separate"/>
    </w:r>
    <w:r w:rsidR="00CB57FE">
      <w:t>PSC-2020-0088-PAA-SU</w:t>
    </w:r>
    <w:r w:rsidR="00CB57FE">
      <w:fldChar w:fldCharType="end"/>
    </w:r>
    <w:r>
      <w:tab/>
    </w:r>
    <w:r>
      <w:tab/>
      <w:t>Schedule No. 1-B</w:t>
    </w:r>
  </w:p>
  <w:p w14:paraId="1FB455C4" w14:textId="77777777" w:rsidR="00CE1B94" w:rsidRDefault="00CE1B94" w:rsidP="009616CB">
    <w:pPr>
      <w:pStyle w:val="OrderHeader"/>
    </w:pPr>
    <w:r>
      <w:t>DOCKET NO. 20190116-SU</w:t>
    </w:r>
  </w:p>
  <w:p w14:paraId="644AFBFE" w14:textId="2DD17DF1" w:rsidR="00CE1B94" w:rsidRDefault="00CE1B94" w:rsidP="009616C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B57FE">
      <w:rPr>
        <w:rStyle w:val="PageNumber"/>
        <w:noProof/>
      </w:rPr>
      <w:t>28</w:t>
    </w:r>
    <w:r>
      <w:rPr>
        <w:rStyle w:val="PageNumber"/>
      </w:rPr>
      <w:fldChar w:fldCharType="end"/>
    </w:r>
  </w:p>
  <w:p w14:paraId="2BB23D87" w14:textId="77777777" w:rsidR="00CE1B94" w:rsidRDefault="00CE1B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4B481" w14:textId="77312E23" w:rsidR="00CE1B94" w:rsidRDefault="00CE1B94" w:rsidP="00712188">
    <w:pPr>
      <w:pStyle w:val="OrderHeader"/>
      <w:tabs>
        <w:tab w:val="left" w:pos="7200"/>
        <w:tab w:val="left" w:pos="10080"/>
      </w:tabs>
    </w:pPr>
    <w:r>
      <w:t xml:space="preserve">ORDER NO. </w:t>
    </w:r>
    <w:r w:rsidR="00CB57FE">
      <w:fldChar w:fldCharType="begin"/>
    </w:r>
    <w:r w:rsidR="00CB57FE">
      <w:instrText xml:space="preserve"> REF OrderNo0088 </w:instrText>
    </w:r>
    <w:r w:rsidR="00CB57FE">
      <w:fldChar w:fldCharType="separate"/>
    </w:r>
    <w:r w:rsidR="00CB57FE">
      <w:t>PSC-2020-0088-PAA-SU</w:t>
    </w:r>
    <w:r w:rsidR="00CB57FE">
      <w:fldChar w:fldCharType="end"/>
    </w:r>
    <w:r>
      <w:tab/>
    </w:r>
    <w:r>
      <w:tab/>
    </w:r>
    <w:r>
      <w:tab/>
    </w:r>
    <w:r>
      <w:tab/>
      <w:t>Schedule No. 2</w:t>
    </w:r>
  </w:p>
  <w:p w14:paraId="260DA3CA" w14:textId="77777777" w:rsidR="00CE1B94" w:rsidRDefault="00CE1B94" w:rsidP="009616CB">
    <w:pPr>
      <w:pStyle w:val="OrderHeader"/>
    </w:pPr>
    <w:r>
      <w:t>DOCKET NO. 20190116-SU</w:t>
    </w:r>
  </w:p>
  <w:p w14:paraId="74513793" w14:textId="2FE538A7" w:rsidR="00CE1B94" w:rsidRDefault="00CE1B94" w:rsidP="009616C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B57FE">
      <w:rPr>
        <w:rStyle w:val="PageNumber"/>
        <w:noProof/>
      </w:rPr>
      <w:t>29</w:t>
    </w:r>
    <w:r>
      <w:rPr>
        <w:rStyle w:val="PageNumber"/>
      </w:rPr>
      <w:fldChar w:fldCharType="end"/>
    </w:r>
  </w:p>
  <w:p w14:paraId="6ACDEF45" w14:textId="77777777" w:rsidR="00CE1B94" w:rsidRDefault="00CE1B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22FBB" w14:textId="3EDE339E" w:rsidR="00CE1B94" w:rsidRDefault="00CE1B94" w:rsidP="00712188">
    <w:pPr>
      <w:pStyle w:val="OrderHeader"/>
      <w:tabs>
        <w:tab w:val="left" w:pos="7200"/>
        <w:tab w:val="left" w:pos="10080"/>
      </w:tabs>
    </w:pPr>
    <w:r>
      <w:t xml:space="preserve">ORDER NO. </w:t>
    </w:r>
    <w:r w:rsidR="00CB57FE">
      <w:fldChar w:fldCharType="begin"/>
    </w:r>
    <w:r w:rsidR="00CB57FE">
      <w:instrText xml:space="preserve"> REF OrderNo0088 </w:instrText>
    </w:r>
    <w:r w:rsidR="00CB57FE">
      <w:fldChar w:fldCharType="separate"/>
    </w:r>
    <w:r w:rsidR="00CB57FE">
      <w:t>PSC-2020-0088-PAA-SU</w:t>
    </w:r>
    <w:r w:rsidR="00CB57FE">
      <w:fldChar w:fldCharType="end"/>
    </w:r>
    <w:r>
      <w:tab/>
    </w:r>
    <w:r>
      <w:tab/>
    </w:r>
    <w:r>
      <w:tab/>
    </w:r>
    <w:r>
      <w:tab/>
      <w:t>Schedule No. 3-A</w:t>
    </w:r>
  </w:p>
  <w:p w14:paraId="635DD626" w14:textId="77777777" w:rsidR="00CE1B94" w:rsidRDefault="00CE1B94" w:rsidP="009616CB">
    <w:pPr>
      <w:pStyle w:val="OrderHeader"/>
    </w:pPr>
    <w:r>
      <w:t>DOCKET NO. 20190116-SU</w:t>
    </w:r>
  </w:p>
  <w:p w14:paraId="21ED5902" w14:textId="115F019B" w:rsidR="00CE1B94" w:rsidRDefault="00CE1B94" w:rsidP="009616C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B57FE">
      <w:rPr>
        <w:rStyle w:val="PageNumber"/>
        <w:noProof/>
      </w:rPr>
      <w:t>30</w:t>
    </w:r>
    <w:r>
      <w:rPr>
        <w:rStyle w:val="PageNumber"/>
      </w:rPr>
      <w:fldChar w:fldCharType="end"/>
    </w:r>
  </w:p>
  <w:p w14:paraId="297C561A" w14:textId="77777777" w:rsidR="00CE1B94" w:rsidRDefault="00CE1B9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3CD63" w14:textId="71053401" w:rsidR="00CE1B94" w:rsidRDefault="00CE1B94" w:rsidP="00712188">
    <w:pPr>
      <w:pStyle w:val="OrderHeader"/>
      <w:tabs>
        <w:tab w:val="left" w:pos="7200"/>
      </w:tabs>
    </w:pPr>
    <w:r>
      <w:t xml:space="preserve">ORDER NO. </w:t>
    </w:r>
    <w:r w:rsidR="00CB57FE">
      <w:fldChar w:fldCharType="begin"/>
    </w:r>
    <w:r w:rsidR="00CB57FE">
      <w:instrText xml:space="preserve"> REF OrderNo0088 </w:instrText>
    </w:r>
    <w:r w:rsidR="00CB57FE">
      <w:fldChar w:fldCharType="separate"/>
    </w:r>
    <w:r w:rsidR="00CB57FE">
      <w:t>PSC-2020-0088-PAA-SU</w:t>
    </w:r>
    <w:r w:rsidR="00CB57FE">
      <w:fldChar w:fldCharType="end"/>
    </w:r>
    <w:r>
      <w:tab/>
    </w:r>
    <w:r>
      <w:tab/>
      <w:t>Schedule No. 3-B</w:t>
    </w:r>
  </w:p>
  <w:p w14:paraId="199B480D" w14:textId="77777777" w:rsidR="00CE1B94" w:rsidRDefault="00CE1B94">
    <w:pPr>
      <w:pStyle w:val="OrderHeader"/>
    </w:pPr>
    <w:r>
      <w:t>DOCKET NO. 20190116-SU</w:t>
    </w:r>
  </w:p>
  <w:p w14:paraId="7527E293" w14:textId="4FAC070D" w:rsidR="00CE1B94" w:rsidRDefault="00CE1B9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B57FE">
      <w:rPr>
        <w:rStyle w:val="PageNumber"/>
        <w:noProof/>
      </w:rPr>
      <w:t>32</w:t>
    </w:r>
    <w:r>
      <w:rPr>
        <w:rStyle w:val="PageNumber"/>
      </w:rPr>
      <w:fldChar w:fldCharType="end"/>
    </w:r>
  </w:p>
  <w:p w14:paraId="162C2907" w14:textId="77777777" w:rsidR="00CE1B94" w:rsidRDefault="00CE1B94">
    <w:pPr>
      <w:pStyle w:val="Order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0117E" w14:textId="5A482777" w:rsidR="00CE1B94" w:rsidRDefault="00CE1B94" w:rsidP="00712188">
    <w:pPr>
      <w:pStyle w:val="OrderHeader"/>
      <w:tabs>
        <w:tab w:val="left" w:pos="7200"/>
        <w:tab w:val="left" w:pos="10080"/>
      </w:tabs>
    </w:pPr>
    <w:r>
      <w:t xml:space="preserve">ORDER NO. </w:t>
    </w:r>
    <w:r w:rsidR="00CB57FE">
      <w:fldChar w:fldCharType="begin"/>
    </w:r>
    <w:r w:rsidR="00CB57FE">
      <w:instrText xml:space="preserve"> REF OrderNo0088 </w:instrText>
    </w:r>
    <w:r w:rsidR="00CB57FE">
      <w:fldChar w:fldCharType="separate"/>
    </w:r>
    <w:r w:rsidR="00CB57FE">
      <w:t>PSC-2020-0088-PAA-SU</w:t>
    </w:r>
    <w:r w:rsidR="00CB57FE">
      <w:fldChar w:fldCharType="end"/>
    </w:r>
    <w:r>
      <w:tab/>
    </w:r>
    <w:r>
      <w:tab/>
    </w:r>
    <w:r>
      <w:tab/>
      <w:t>Schedule No. 3-B</w:t>
    </w:r>
  </w:p>
  <w:p w14:paraId="591BD37B" w14:textId="77777777" w:rsidR="00CE1B94" w:rsidRDefault="00CE1B94" w:rsidP="009616CB">
    <w:pPr>
      <w:pStyle w:val="OrderHeader"/>
    </w:pPr>
    <w:r>
      <w:t>DOCKET NO. 20190116-SU</w:t>
    </w:r>
  </w:p>
  <w:p w14:paraId="1B8D052E" w14:textId="3B099E10" w:rsidR="00CE1B94" w:rsidRDefault="00CE1B94" w:rsidP="009616C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B57FE">
      <w:rPr>
        <w:rStyle w:val="PageNumber"/>
        <w:noProof/>
      </w:rPr>
      <w:t>31</w:t>
    </w:r>
    <w:r>
      <w:rPr>
        <w:rStyle w:val="PageNumber"/>
      </w:rPr>
      <w:fldChar w:fldCharType="end"/>
    </w:r>
  </w:p>
  <w:p w14:paraId="0C0C73FB" w14:textId="77777777" w:rsidR="00CE1B94" w:rsidRDefault="00CE1B9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723D1" w14:textId="11A35D5D" w:rsidR="00CE1B94" w:rsidRDefault="00CE1B94" w:rsidP="00712188">
    <w:pPr>
      <w:pStyle w:val="OrderHeader"/>
      <w:tabs>
        <w:tab w:val="left" w:pos="7200"/>
        <w:tab w:val="left" w:pos="10080"/>
      </w:tabs>
    </w:pPr>
    <w:r>
      <w:t xml:space="preserve">ORDER NO. </w:t>
    </w:r>
    <w:r w:rsidR="00CB57FE">
      <w:fldChar w:fldCharType="begin"/>
    </w:r>
    <w:r w:rsidR="00CB57FE">
      <w:instrText xml:space="preserve"> REF OrderNo0088 </w:instrText>
    </w:r>
    <w:r w:rsidR="00CB57FE">
      <w:fldChar w:fldCharType="separate"/>
    </w:r>
    <w:r w:rsidR="00CB57FE">
      <w:t>PSC-2020-0088-PAA-SU</w:t>
    </w:r>
    <w:r w:rsidR="00CB57FE">
      <w:fldChar w:fldCharType="end"/>
    </w:r>
    <w:r>
      <w:tab/>
    </w:r>
    <w:r>
      <w:tab/>
    </w:r>
    <w:r>
      <w:tab/>
      <w:t>Schedule No. 3-C</w:t>
    </w:r>
  </w:p>
  <w:p w14:paraId="1215E6BD" w14:textId="77777777" w:rsidR="00CE1B94" w:rsidRDefault="00CE1B94" w:rsidP="009616CB">
    <w:pPr>
      <w:pStyle w:val="OrderHeader"/>
    </w:pPr>
    <w:r>
      <w:t>DOCKET NO. 20190116-SU</w:t>
    </w:r>
  </w:p>
  <w:p w14:paraId="6D41A405" w14:textId="723EBA4B" w:rsidR="00CE1B94" w:rsidRDefault="00CE1B94" w:rsidP="009616C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B57FE">
      <w:rPr>
        <w:rStyle w:val="PageNumber"/>
        <w:noProof/>
      </w:rPr>
      <w:t>33</w:t>
    </w:r>
    <w:r>
      <w:rPr>
        <w:rStyle w:val="PageNumber"/>
      </w:rPr>
      <w:fldChar w:fldCharType="end"/>
    </w:r>
  </w:p>
  <w:p w14:paraId="0A3E38F9" w14:textId="77777777" w:rsidR="00CE1B94" w:rsidRDefault="00CE1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14BA"/>
    <w:multiLevelType w:val="hybridMultilevel"/>
    <w:tmpl w:val="72708F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E491A"/>
    <w:multiLevelType w:val="hybridMultilevel"/>
    <w:tmpl w:val="85F0E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41155"/>
    <w:multiLevelType w:val="hybridMultilevel"/>
    <w:tmpl w:val="B76E9DE0"/>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F4A7F"/>
    <w:multiLevelType w:val="hybridMultilevel"/>
    <w:tmpl w:val="A6A81C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827E4"/>
    <w:multiLevelType w:val="hybridMultilevel"/>
    <w:tmpl w:val="287EB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035EA"/>
    <w:multiLevelType w:val="hybridMultilevel"/>
    <w:tmpl w:val="D77EAF2C"/>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75113F"/>
    <w:multiLevelType w:val="hybridMultilevel"/>
    <w:tmpl w:val="F154E86C"/>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FC374C"/>
    <w:multiLevelType w:val="hybridMultilevel"/>
    <w:tmpl w:val="0C8CBA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33DA7CC6"/>
    <w:multiLevelType w:val="hybridMultilevel"/>
    <w:tmpl w:val="3552E7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3D5918"/>
    <w:multiLevelType w:val="hybridMultilevel"/>
    <w:tmpl w:val="F63864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DDE5483"/>
    <w:multiLevelType w:val="hybridMultilevel"/>
    <w:tmpl w:val="4DFC0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E11225"/>
    <w:multiLevelType w:val="hybridMultilevel"/>
    <w:tmpl w:val="3F4E17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2850E6"/>
    <w:multiLevelType w:val="hybridMultilevel"/>
    <w:tmpl w:val="2D267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F7402A7"/>
    <w:multiLevelType w:val="hybridMultilevel"/>
    <w:tmpl w:val="A91AF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47536E"/>
    <w:multiLevelType w:val="hybridMultilevel"/>
    <w:tmpl w:val="037C1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736BE1"/>
    <w:multiLevelType w:val="hybridMultilevel"/>
    <w:tmpl w:val="C5D294A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47A37D5"/>
    <w:multiLevelType w:val="hybridMultilevel"/>
    <w:tmpl w:val="3B2C6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425F7C"/>
    <w:multiLevelType w:val="hybridMultilevel"/>
    <w:tmpl w:val="2A8A40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3"/>
  </w:num>
  <w:num w:numId="8">
    <w:abstractNumId w:val="3"/>
  </w:num>
  <w:num w:numId="9">
    <w:abstractNumId w:val="2"/>
  </w:num>
  <w:num w:numId="10">
    <w:abstractNumId w:val="17"/>
  </w:num>
  <w:num w:numId="11">
    <w:abstractNumId w:val="1"/>
  </w:num>
  <w:num w:numId="12">
    <w:abstractNumId w:val="14"/>
  </w:num>
  <w:num w:numId="13">
    <w:abstractNumId w:val="11"/>
  </w:num>
  <w:num w:numId="14">
    <w:abstractNumId w:val="15"/>
  </w:num>
  <w:num w:numId="15">
    <w:abstractNumId w:val="0"/>
  </w:num>
  <w:num w:numId="16">
    <w:abstractNumId w:val="5"/>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16-SU"/>
  </w:docVars>
  <w:rsids>
    <w:rsidRoot w:val="006B02DE"/>
    <w:rsid w:val="000022B8"/>
    <w:rsid w:val="0003433F"/>
    <w:rsid w:val="00034417"/>
    <w:rsid w:val="00035A8C"/>
    <w:rsid w:val="00053AB9"/>
    <w:rsid w:val="00056229"/>
    <w:rsid w:val="00057AF1"/>
    <w:rsid w:val="00065FC2"/>
    <w:rsid w:val="00067685"/>
    <w:rsid w:val="000730D7"/>
    <w:rsid w:val="00076E6B"/>
    <w:rsid w:val="0008247D"/>
    <w:rsid w:val="00087B92"/>
    <w:rsid w:val="00090AFC"/>
    <w:rsid w:val="000B783E"/>
    <w:rsid w:val="000C4B6E"/>
    <w:rsid w:val="000D02B8"/>
    <w:rsid w:val="000D06E8"/>
    <w:rsid w:val="000E050C"/>
    <w:rsid w:val="000E20F0"/>
    <w:rsid w:val="000E344D"/>
    <w:rsid w:val="000E3F6D"/>
    <w:rsid w:val="000F0552"/>
    <w:rsid w:val="000F359F"/>
    <w:rsid w:val="000F3B2C"/>
    <w:rsid w:val="000F63EB"/>
    <w:rsid w:val="000F648A"/>
    <w:rsid w:val="000F7BE3"/>
    <w:rsid w:val="001052BA"/>
    <w:rsid w:val="001107B3"/>
    <w:rsid w:val="001114B1"/>
    <w:rsid w:val="001139D8"/>
    <w:rsid w:val="00113F9A"/>
    <w:rsid w:val="00114F0A"/>
    <w:rsid w:val="00116AD3"/>
    <w:rsid w:val="00121957"/>
    <w:rsid w:val="0012387E"/>
    <w:rsid w:val="001248A7"/>
    <w:rsid w:val="00126593"/>
    <w:rsid w:val="00136087"/>
    <w:rsid w:val="00142A96"/>
    <w:rsid w:val="001513DE"/>
    <w:rsid w:val="00154A71"/>
    <w:rsid w:val="00182AF2"/>
    <w:rsid w:val="00187E32"/>
    <w:rsid w:val="00194E81"/>
    <w:rsid w:val="00196CFC"/>
    <w:rsid w:val="001A15E7"/>
    <w:rsid w:val="001A33C9"/>
    <w:rsid w:val="001A58F3"/>
    <w:rsid w:val="001B29A0"/>
    <w:rsid w:val="001C2847"/>
    <w:rsid w:val="001C3F8C"/>
    <w:rsid w:val="001C6097"/>
    <w:rsid w:val="001C7126"/>
    <w:rsid w:val="001D008A"/>
    <w:rsid w:val="001E0152"/>
    <w:rsid w:val="001E0FF5"/>
    <w:rsid w:val="001E57FA"/>
    <w:rsid w:val="001F4A11"/>
    <w:rsid w:val="001F4CA3"/>
    <w:rsid w:val="002002ED"/>
    <w:rsid w:val="002170E5"/>
    <w:rsid w:val="00220D57"/>
    <w:rsid w:val="0022721A"/>
    <w:rsid w:val="00230487"/>
    <w:rsid w:val="00230BB9"/>
    <w:rsid w:val="00241CEF"/>
    <w:rsid w:val="0025124E"/>
    <w:rsid w:val="00252B30"/>
    <w:rsid w:val="002613E4"/>
    <w:rsid w:val="0026544B"/>
    <w:rsid w:val="00270E0C"/>
    <w:rsid w:val="00276CDC"/>
    <w:rsid w:val="00277655"/>
    <w:rsid w:val="002824B7"/>
    <w:rsid w:val="00282AC4"/>
    <w:rsid w:val="002A11AC"/>
    <w:rsid w:val="002A1AD2"/>
    <w:rsid w:val="002A6F30"/>
    <w:rsid w:val="002B3111"/>
    <w:rsid w:val="002C7908"/>
    <w:rsid w:val="002D391B"/>
    <w:rsid w:val="002D4B1F"/>
    <w:rsid w:val="002D7D15"/>
    <w:rsid w:val="002E1141"/>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3D0F"/>
    <w:rsid w:val="0035495B"/>
    <w:rsid w:val="00355A93"/>
    <w:rsid w:val="00357426"/>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436B6"/>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65EB"/>
    <w:rsid w:val="004E7F4F"/>
    <w:rsid w:val="004F2DDE"/>
    <w:rsid w:val="004F7826"/>
    <w:rsid w:val="0050097F"/>
    <w:rsid w:val="00514B1F"/>
    <w:rsid w:val="00520D89"/>
    <w:rsid w:val="00525E93"/>
    <w:rsid w:val="0052671D"/>
    <w:rsid w:val="005300C0"/>
    <w:rsid w:val="0055595D"/>
    <w:rsid w:val="00556A10"/>
    <w:rsid w:val="00557F50"/>
    <w:rsid w:val="00571D3D"/>
    <w:rsid w:val="0058264B"/>
    <w:rsid w:val="005868AA"/>
    <w:rsid w:val="00590845"/>
    <w:rsid w:val="005954B3"/>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408F4"/>
    <w:rsid w:val="006531A4"/>
    <w:rsid w:val="00656691"/>
    <w:rsid w:val="00660774"/>
    <w:rsid w:val="0066389A"/>
    <w:rsid w:val="0066495C"/>
    <w:rsid w:val="00665CC7"/>
    <w:rsid w:val="00672612"/>
    <w:rsid w:val="00677F18"/>
    <w:rsid w:val="006827FF"/>
    <w:rsid w:val="00693483"/>
    <w:rsid w:val="006A0BF3"/>
    <w:rsid w:val="006B02DE"/>
    <w:rsid w:val="006B0DA6"/>
    <w:rsid w:val="006C547E"/>
    <w:rsid w:val="006D2B51"/>
    <w:rsid w:val="006D5575"/>
    <w:rsid w:val="006E42BE"/>
    <w:rsid w:val="006E5D4D"/>
    <w:rsid w:val="006E6D16"/>
    <w:rsid w:val="00700792"/>
    <w:rsid w:val="00702950"/>
    <w:rsid w:val="00704C5D"/>
    <w:rsid w:val="007072BC"/>
    <w:rsid w:val="00712188"/>
    <w:rsid w:val="00715275"/>
    <w:rsid w:val="00721B44"/>
    <w:rsid w:val="007232A2"/>
    <w:rsid w:val="00726366"/>
    <w:rsid w:val="00733B6B"/>
    <w:rsid w:val="00740808"/>
    <w:rsid w:val="007449F8"/>
    <w:rsid w:val="007467C4"/>
    <w:rsid w:val="0076170F"/>
    <w:rsid w:val="007617D2"/>
    <w:rsid w:val="0076669C"/>
    <w:rsid w:val="00766E46"/>
    <w:rsid w:val="00777727"/>
    <w:rsid w:val="00782B79"/>
    <w:rsid w:val="007865E9"/>
    <w:rsid w:val="00792383"/>
    <w:rsid w:val="00794D5A"/>
    <w:rsid w:val="00794DD9"/>
    <w:rsid w:val="007A060F"/>
    <w:rsid w:val="007B350E"/>
    <w:rsid w:val="007B5118"/>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2C20"/>
    <w:rsid w:val="00863A66"/>
    <w:rsid w:val="008703D7"/>
    <w:rsid w:val="00874429"/>
    <w:rsid w:val="00875D22"/>
    <w:rsid w:val="00883D9A"/>
    <w:rsid w:val="0089145B"/>
    <w:rsid w:val="008919EF"/>
    <w:rsid w:val="00892B20"/>
    <w:rsid w:val="00892C3C"/>
    <w:rsid w:val="008A12EC"/>
    <w:rsid w:val="008B19A6"/>
    <w:rsid w:val="008B4EFB"/>
    <w:rsid w:val="008C21C8"/>
    <w:rsid w:val="008C6375"/>
    <w:rsid w:val="008C6A5B"/>
    <w:rsid w:val="008D05B6"/>
    <w:rsid w:val="008D21C1"/>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16CB"/>
    <w:rsid w:val="00962DE3"/>
    <w:rsid w:val="00964A38"/>
    <w:rsid w:val="00966A9D"/>
    <w:rsid w:val="0096742B"/>
    <w:rsid w:val="009718C5"/>
    <w:rsid w:val="00982C1F"/>
    <w:rsid w:val="009924CF"/>
    <w:rsid w:val="00994100"/>
    <w:rsid w:val="009A6B17"/>
    <w:rsid w:val="009C0A9D"/>
    <w:rsid w:val="009D4C29"/>
    <w:rsid w:val="009F6AD2"/>
    <w:rsid w:val="00A00D8D"/>
    <w:rsid w:val="00A01BB6"/>
    <w:rsid w:val="00A0327F"/>
    <w:rsid w:val="00A04B20"/>
    <w:rsid w:val="00A15ECF"/>
    <w:rsid w:val="00A4303C"/>
    <w:rsid w:val="00A470FD"/>
    <w:rsid w:val="00A62DAB"/>
    <w:rsid w:val="00A6757A"/>
    <w:rsid w:val="00A726A6"/>
    <w:rsid w:val="00A74842"/>
    <w:rsid w:val="00A97535"/>
    <w:rsid w:val="00AA2BAA"/>
    <w:rsid w:val="00AA58C9"/>
    <w:rsid w:val="00AA73F1"/>
    <w:rsid w:val="00AB0E1A"/>
    <w:rsid w:val="00AB1A30"/>
    <w:rsid w:val="00AB3C36"/>
    <w:rsid w:val="00AD10EB"/>
    <w:rsid w:val="00AD1ED3"/>
    <w:rsid w:val="00B02001"/>
    <w:rsid w:val="00B03C50"/>
    <w:rsid w:val="00B052C1"/>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2C80"/>
    <w:rsid w:val="00B86EF0"/>
    <w:rsid w:val="00B96969"/>
    <w:rsid w:val="00B97900"/>
    <w:rsid w:val="00BA1229"/>
    <w:rsid w:val="00BA44A8"/>
    <w:rsid w:val="00BA49C5"/>
    <w:rsid w:val="00BC09C8"/>
    <w:rsid w:val="00BC786E"/>
    <w:rsid w:val="00BD5C92"/>
    <w:rsid w:val="00BE02F1"/>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4829"/>
    <w:rsid w:val="00C8524D"/>
    <w:rsid w:val="00C91123"/>
    <w:rsid w:val="00CA71FF"/>
    <w:rsid w:val="00CB1904"/>
    <w:rsid w:val="00CB5276"/>
    <w:rsid w:val="00CB57FE"/>
    <w:rsid w:val="00CB5BFC"/>
    <w:rsid w:val="00CB68D7"/>
    <w:rsid w:val="00CC7E68"/>
    <w:rsid w:val="00CD7132"/>
    <w:rsid w:val="00CE0E6F"/>
    <w:rsid w:val="00CE1B94"/>
    <w:rsid w:val="00CE3B21"/>
    <w:rsid w:val="00CE56FC"/>
    <w:rsid w:val="00CF32D2"/>
    <w:rsid w:val="00CF4CFE"/>
    <w:rsid w:val="00D02E0F"/>
    <w:rsid w:val="00D03EE8"/>
    <w:rsid w:val="00D13535"/>
    <w:rsid w:val="00D15497"/>
    <w:rsid w:val="00D163C8"/>
    <w:rsid w:val="00D173D1"/>
    <w:rsid w:val="00D17B79"/>
    <w:rsid w:val="00D23FEA"/>
    <w:rsid w:val="00D269CA"/>
    <w:rsid w:val="00D30B48"/>
    <w:rsid w:val="00D3168A"/>
    <w:rsid w:val="00D375B3"/>
    <w:rsid w:val="00D46FAA"/>
    <w:rsid w:val="00D47A40"/>
    <w:rsid w:val="00D51D33"/>
    <w:rsid w:val="00D57BB2"/>
    <w:rsid w:val="00D57E57"/>
    <w:rsid w:val="00D6213E"/>
    <w:rsid w:val="00D62A1E"/>
    <w:rsid w:val="00D67DC4"/>
    <w:rsid w:val="00D70752"/>
    <w:rsid w:val="00D71E01"/>
    <w:rsid w:val="00D80E2D"/>
    <w:rsid w:val="00D84D5E"/>
    <w:rsid w:val="00D8560E"/>
    <w:rsid w:val="00D8758F"/>
    <w:rsid w:val="00DA4EDD"/>
    <w:rsid w:val="00DA6B78"/>
    <w:rsid w:val="00DC070F"/>
    <w:rsid w:val="00DC1D94"/>
    <w:rsid w:val="00DC42CF"/>
    <w:rsid w:val="00DE057F"/>
    <w:rsid w:val="00DE2082"/>
    <w:rsid w:val="00DE2289"/>
    <w:rsid w:val="00DF09A7"/>
    <w:rsid w:val="00E001D6"/>
    <w:rsid w:val="00E03A76"/>
    <w:rsid w:val="00E04410"/>
    <w:rsid w:val="00E07484"/>
    <w:rsid w:val="00E11351"/>
    <w:rsid w:val="00E226FB"/>
    <w:rsid w:val="00E4225C"/>
    <w:rsid w:val="00E44879"/>
    <w:rsid w:val="00E72914"/>
    <w:rsid w:val="00E75AE0"/>
    <w:rsid w:val="00E83C1F"/>
    <w:rsid w:val="00E940A5"/>
    <w:rsid w:val="00E97656"/>
    <w:rsid w:val="00EA1041"/>
    <w:rsid w:val="00EA172C"/>
    <w:rsid w:val="00EA259B"/>
    <w:rsid w:val="00EA35A3"/>
    <w:rsid w:val="00EA3E6A"/>
    <w:rsid w:val="00EB18EF"/>
    <w:rsid w:val="00EB73BF"/>
    <w:rsid w:val="00EB7951"/>
    <w:rsid w:val="00ED6A79"/>
    <w:rsid w:val="00EE17DF"/>
    <w:rsid w:val="00EE65B4"/>
    <w:rsid w:val="00EF1246"/>
    <w:rsid w:val="00EF4621"/>
    <w:rsid w:val="00EF4D52"/>
    <w:rsid w:val="00EF560C"/>
    <w:rsid w:val="00EF6312"/>
    <w:rsid w:val="00F038B0"/>
    <w:rsid w:val="00F05D69"/>
    <w:rsid w:val="00F22B27"/>
    <w:rsid w:val="00F234A7"/>
    <w:rsid w:val="00F277B6"/>
    <w:rsid w:val="00F27DA5"/>
    <w:rsid w:val="00F32C4B"/>
    <w:rsid w:val="00F37E07"/>
    <w:rsid w:val="00F4182A"/>
    <w:rsid w:val="00F54380"/>
    <w:rsid w:val="00F54B47"/>
    <w:rsid w:val="00F61247"/>
    <w:rsid w:val="00F63191"/>
    <w:rsid w:val="00F6702E"/>
    <w:rsid w:val="00F70E84"/>
    <w:rsid w:val="00F723F9"/>
    <w:rsid w:val="00F75B67"/>
    <w:rsid w:val="00F816B5"/>
    <w:rsid w:val="00F87FF2"/>
    <w:rsid w:val="00F944FA"/>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F8F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6B02DE"/>
  </w:style>
  <w:style w:type="character" w:styleId="Strong">
    <w:name w:val="Strong"/>
    <w:basedOn w:val="DefaultParagraphFont"/>
    <w:uiPriority w:val="22"/>
    <w:qFormat/>
    <w:rsid w:val="006B02DE"/>
    <w:rPr>
      <w:b/>
      <w:bCs/>
    </w:rPr>
  </w:style>
  <w:style w:type="table" w:customStyle="1" w:styleId="TableGrid1">
    <w:name w:val="Table Grid1"/>
    <w:basedOn w:val="TableNormal"/>
    <w:next w:val="TableGrid"/>
    <w:uiPriority w:val="59"/>
    <w:rsid w:val="00AA58C9"/>
    <w:pPr>
      <w:jc w:val="both"/>
    </w:pPr>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9616CB"/>
    <w:rPr>
      <w:rFonts w:ascii="Tahoma" w:hAnsi="Tahoma" w:cs="Tahoma"/>
      <w:sz w:val="16"/>
      <w:szCs w:val="16"/>
    </w:rPr>
  </w:style>
  <w:style w:type="character" w:customStyle="1" w:styleId="BalloonTextChar">
    <w:name w:val="Balloon Text Char"/>
    <w:basedOn w:val="DefaultParagraphFont"/>
    <w:link w:val="BalloonText"/>
    <w:semiHidden/>
    <w:rsid w:val="009616CB"/>
    <w:rPr>
      <w:rFonts w:ascii="Tahoma" w:hAnsi="Tahoma" w:cs="Tahoma"/>
      <w:sz w:val="16"/>
      <w:szCs w:val="16"/>
    </w:rPr>
  </w:style>
  <w:style w:type="character" w:styleId="Hyperlink">
    <w:name w:val="Hyperlink"/>
    <w:basedOn w:val="DefaultParagraphFont"/>
    <w:unhideWhenUsed/>
    <w:rsid w:val="00982C1F"/>
    <w:rPr>
      <w:color w:val="0000FF" w:themeColor="hyperlink"/>
      <w:u w:val="single"/>
    </w:rPr>
  </w:style>
  <w:style w:type="paragraph" w:styleId="ListParagraph">
    <w:name w:val="List Paragraph"/>
    <w:basedOn w:val="Normal"/>
    <w:uiPriority w:val="34"/>
    <w:qFormat/>
    <w:rsid w:val="00034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image" Target="cid:image003.png@01D5FDE3.015E2BD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34</Pages>
  <Words>10377</Words>
  <Characters>59151</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2020-03-25T14:27:00Z</dcterms:created>
  <dcterms:modified xsi:type="dcterms:W3CDTF">2020-03-25T14:37:00Z</dcterms:modified>
</cp:coreProperties>
</file>