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1CC4" w:rsidP="00161CC4">
      <w:pPr>
        <w:pStyle w:val="OrderHeading"/>
      </w:pPr>
      <w:r>
        <w:t>BEFORE THE FLORIDA PUBLIC SERVICE COMMISSION</w:t>
      </w:r>
    </w:p>
    <w:p w:rsidR="00161CC4" w:rsidRDefault="00161CC4" w:rsidP="00161CC4">
      <w:pPr>
        <w:pStyle w:val="OrderBody"/>
      </w:pPr>
    </w:p>
    <w:p w:rsidR="00161CC4" w:rsidRDefault="00161CC4" w:rsidP="00161C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1CC4" w:rsidRPr="00C63FCF" w:rsidTr="00C63FCF">
        <w:trPr>
          <w:trHeight w:val="828"/>
        </w:trPr>
        <w:tc>
          <w:tcPr>
            <w:tcW w:w="4788" w:type="dxa"/>
            <w:tcBorders>
              <w:bottom w:val="single" w:sz="8" w:space="0" w:color="auto"/>
              <w:right w:val="double" w:sz="6" w:space="0" w:color="auto"/>
            </w:tcBorders>
            <w:shd w:val="clear" w:color="auto" w:fill="auto"/>
          </w:tcPr>
          <w:p w:rsidR="00161CC4" w:rsidRDefault="00161CC4"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161CC4" w:rsidRDefault="00161CC4" w:rsidP="00161CC4">
            <w:pPr>
              <w:pStyle w:val="OrderBody"/>
            </w:pPr>
            <w:r>
              <w:t xml:space="preserve">DOCKET NO. </w:t>
            </w:r>
            <w:bookmarkStart w:id="1" w:name="SSDocketNo"/>
            <w:bookmarkEnd w:id="1"/>
            <w:r>
              <w:t>20190140-EI</w:t>
            </w:r>
          </w:p>
          <w:p w:rsidR="00161CC4" w:rsidRDefault="00161CC4" w:rsidP="00C63FCF">
            <w:pPr>
              <w:pStyle w:val="OrderBody"/>
              <w:tabs>
                <w:tab w:val="center" w:pos="4320"/>
                <w:tab w:val="right" w:pos="8640"/>
              </w:tabs>
              <w:jc w:val="left"/>
            </w:pPr>
            <w:r>
              <w:t xml:space="preserve">ORDER NO. </w:t>
            </w:r>
            <w:bookmarkStart w:id="2" w:name="OrderNo0105"/>
            <w:r w:rsidR="00C95CD7">
              <w:t>PSC-2020-0105-PCO-EI</w:t>
            </w:r>
            <w:bookmarkEnd w:id="2"/>
          </w:p>
          <w:p w:rsidR="00161CC4" w:rsidRDefault="00161CC4" w:rsidP="00C63FCF">
            <w:pPr>
              <w:pStyle w:val="OrderBody"/>
              <w:tabs>
                <w:tab w:val="center" w:pos="4320"/>
                <w:tab w:val="right" w:pos="8640"/>
              </w:tabs>
              <w:jc w:val="left"/>
            </w:pPr>
            <w:r>
              <w:t xml:space="preserve">ISSUED: </w:t>
            </w:r>
            <w:r w:rsidR="00C95CD7">
              <w:t>April 15, 2020</w:t>
            </w:r>
          </w:p>
        </w:tc>
      </w:tr>
    </w:tbl>
    <w:p w:rsidR="00161CC4" w:rsidRDefault="00161CC4" w:rsidP="00161CC4">
      <w:pPr>
        <w:pStyle w:val="CenterUnderline"/>
      </w:pPr>
      <w:bookmarkStart w:id="3" w:name="Commissioners"/>
      <w:bookmarkEnd w:id="3"/>
    </w:p>
    <w:p w:rsidR="00CB5276" w:rsidRDefault="00161CC4" w:rsidP="00161CC4">
      <w:pPr>
        <w:pStyle w:val="CenterUnderline"/>
      </w:pPr>
      <w:r>
        <w:t>SECOND ORDER</w:t>
      </w:r>
      <w:bookmarkStart w:id="4" w:name="OrderTitle"/>
      <w:r>
        <w:t xml:space="preserve"> MODIFYING ORDER ESTABLISHING PROCEDURE</w:t>
      </w:r>
      <w:bookmarkEnd w:id="4"/>
    </w:p>
    <w:p w:rsidR="00161CC4" w:rsidRDefault="00161CC4" w:rsidP="00161CC4">
      <w:pPr>
        <w:pStyle w:val="CenterUnderline"/>
      </w:pPr>
    </w:p>
    <w:p w:rsidR="005A288D" w:rsidRDefault="00161CC4" w:rsidP="00161CC4">
      <w:pPr>
        <w:pStyle w:val="CenterUnderline"/>
        <w:jc w:val="both"/>
        <w:rPr>
          <w:u w:val="none"/>
        </w:rPr>
      </w:pPr>
      <w:r>
        <w:rPr>
          <w:u w:val="none"/>
        </w:rPr>
        <w:tab/>
        <w:t>On September 20, 2019, the original filing and hearing schedule established by Order No. PSC-2019-0320-PCO-EI was cancelled pending issuance by the Nuclear Regulatory Commission (NRC) of its order on the nuclear license transfer from Duke Energy Florida, LLC (DEF) to Accelerated Decommissioning Partners (ADP)</w:t>
      </w:r>
      <w:r w:rsidR="005A288D">
        <w:rPr>
          <w:u w:val="none"/>
        </w:rPr>
        <w:t>.  The NRC issued its order on April 1, 2020</w:t>
      </w:r>
      <w:r w:rsidR="00AA6DE4">
        <w:rPr>
          <w:u w:val="none"/>
        </w:rPr>
        <w:t>,</w:t>
      </w:r>
      <w:r w:rsidR="005A288D">
        <w:rPr>
          <w:u w:val="none"/>
        </w:rPr>
        <w:t xml:space="preserve"> </w:t>
      </w:r>
      <w:r w:rsidR="00AA6DE4">
        <w:rPr>
          <w:u w:val="none"/>
        </w:rPr>
        <w:t xml:space="preserve">transferring the CR3 nuclear facility operating license to ADP </w:t>
      </w:r>
      <w:r w:rsidR="005A288D">
        <w:rPr>
          <w:u w:val="none"/>
        </w:rPr>
        <w:t xml:space="preserve">and </w:t>
      </w:r>
      <w:r w:rsidR="00521F25">
        <w:rPr>
          <w:u w:val="none"/>
        </w:rPr>
        <w:t>a revised hearing schedule can be determined.</w:t>
      </w:r>
    </w:p>
    <w:p w:rsidR="00161CC4" w:rsidRDefault="00161CC4" w:rsidP="00161CC4">
      <w:pPr>
        <w:pStyle w:val="CenterUnderline"/>
        <w:jc w:val="both"/>
        <w:rPr>
          <w:u w:val="none"/>
        </w:rPr>
      </w:pPr>
      <w:r>
        <w:rPr>
          <w:u w:val="none"/>
        </w:rPr>
        <w:t xml:space="preserve">   </w:t>
      </w:r>
    </w:p>
    <w:p w:rsidR="00AA6DE4" w:rsidRDefault="00AA6DE4" w:rsidP="00161CC4">
      <w:pPr>
        <w:pStyle w:val="CenterUnderline"/>
        <w:jc w:val="both"/>
        <w:rPr>
          <w:u w:val="none"/>
        </w:rPr>
      </w:pPr>
      <w:r>
        <w:rPr>
          <w:u w:val="none"/>
        </w:rPr>
        <w:tab/>
        <w:t>Section VIII of Order No. PSC-2019-0320-PCO-EI is hereby deleted and replaced with the following:</w:t>
      </w:r>
    </w:p>
    <w:p w:rsidR="00AA6DE4" w:rsidRDefault="00AA6DE4" w:rsidP="00161CC4">
      <w:pPr>
        <w:pStyle w:val="CenterUnderline"/>
        <w:jc w:val="both"/>
        <w:rPr>
          <w:u w:val="none"/>
        </w:rPr>
      </w:pPr>
    </w:p>
    <w:p w:rsidR="00AA6DE4" w:rsidRDefault="00AA6DE4" w:rsidP="00161CC4">
      <w:pPr>
        <w:pStyle w:val="CenterUnderline"/>
        <w:jc w:val="both"/>
        <w:rPr>
          <w:b/>
          <w:u w:val="none"/>
        </w:rPr>
      </w:pPr>
      <w:r w:rsidRPr="00AA6DE4">
        <w:rPr>
          <w:b/>
          <w:u w:val="none"/>
        </w:rPr>
        <w:t>VIII.</w:t>
      </w:r>
      <w:r w:rsidRPr="00AA6DE4">
        <w:rPr>
          <w:b/>
          <w:u w:val="none"/>
        </w:rPr>
        <w:tab/>
        <w:t>Controlling Dates</w:t>
      </w:r>
    </w:p>
    <w:p w:rsidR="00AA6DE4" w:rsidRDefault="00AA6DE4" w:rsidP="00161CC4">
      <w:pPr>
        <w:pStyle w:val="CenterUnderline"/>
        <w:jc w:val="both"/>
        <w:rPr>
          <w:b/>
          <w:u w:val="none"/>
        </w:rPr>
      </w:pPr>
    </w:p>
    <w:p w:rsidR="00AA6DE4" w:rsidRDefault="00AA6DE4" w:rsidP="00161CC4">
      <w:pPr>
        <w:pStyle w:val="CenterUnderline"/>
        <w:jc w:val="both"/>
        <w:rPr>
          <w:u w:val="none"/>
        </w:rPr>
      </w:pPr>
      <w:r>
        <w:rPr>
          <w:b/>
          <w:u w:val="none"/>
        </w:rPr>
        <w:tab/>
      </w:r>
      <w:r>
        <w:rPr>
          <w:u w:val="none"/>
        </w:rPr>
        <w:t>The following dates have been established to govern the key activities of this case:</w:t>
      </w:r>
    </w:p>
    <w:p w:rsidR="00AA6DE4" w:rsidRDefault="00AA6DE4" w:rsidP="00161CC4">
      <w:pPr>
        <w:pStyle w:val="CenterUnderline"/>
        <w:jc w:val="both"/>
        <w:rPr>
          <w:u w:val="none"/>
        </w:rPr>
      </w:pPr>
    </w:p>
    <w:p w:rsidR="00AA6DE4" w:rsidRDefault="00AA6DE4" w:rsidP="00161CC4">
      <w:pPr>
        <w:pStyle w:val="CenterUnderline"/>
        <w:jc w:val="both"/>
        <w:rPr>
          <w:u w:val="none"/>
        </w:rPr>
      </w:pPr>
      <w:r>
        <w:rPr>
          <w:u w:val="none"/>
        </w:rPr>
        <w:t>(1)</w:t>
      </w:r>
      <w:r>
        <w:rPr>
          <w:u w:val="none"/>
        </w:rPr>
        <w:tab/>
        <w:t>Intervenors’ testimony and exhibits</w:t>
      </w:r>
      <w:r>
        <w:rPr>
          <w:u w:val="none"/>
        </w:rPr>
        <w:tab/>
      </w:r>
      <w:r>
        <w:rPr>
          <w:u w:val="none"/>
        </w:rPr>
        <w:tab/>
      </w:r>
      <w:r>
        <w:rPr>
          <w:u w:val="none"/>
        </w:rPr>
        <w:tab/>
      </w:r>
      <w:r>
        <w:rPr>
          <w:u w:val="none"/>
        </w:rPr>
        <w:tab/>
        <w:t>May 28, 2020</w:t>
      </w:r>
    </w:p>
    <w:p w:rsidR="00AA6DE4" w:rsidRDefault="00AA6DE4" w:rsidP="00161CC4">
      <w:pPr>
        <w:pStyle w:val="CenterUnderline"/>
        <w:jc w:val="both"/>
        <w:rPr>
          <w:u w:val="none"/>
        </w:rPr>
      </w:pPr>
      <w:r>
        <w:rPr>
          <w:u w:val="none"/>
        </w:rPr>
        <w:t>(2)</w:t>
      </w:r>
      <w:r>
        <w:rPr>
          <w:u w:val="none"/>
        </w:rPr>
        <w:tab/>
        <w:t>Staff testimony and exhibits, if any</w:t>
      </w:r>
      <w:r>
        <w:rPr>
          <w:u w:val="none"/>
        </w:rPr>
        <w:tab/>
      </w:r>
      <w:r>
        <w:rPr>
          <w:u w:val="none"/>
        </w:rPr>
        <w:tab/>
      </w:r>
      <w:r>
        <w:rPr>
          <w:u w:val="none"/>
        </w:rPr>
        <w:tab/>
      </w:r>
      <w:r>
        <w:rPr>
          <w:u w:val="none"/>
        </w:rPr>
        <w:tab/>
        <w:t xml:space="preserve">June </w:t>
      </w:r>
      <w:r w:rsidR="00EE3174">
        <w:rPr>
          <w:u w:val="none"/>
        </w:rPr>
        <w:t>8</w:t>
      </w:r>
      <w:r>
        <w:rPr>
          <w:u w:val="none"/>
        </w:rPr>
        <w:t xml:space="preserve">, 2020  </w:t>
      </w:r>
      <w:r>
        <w:rPr>
          <w:u w:val="none"/>
        </w:rPr>
        <w:tab/>
      </w:r>
    </w:p>
    <w:p w:rsidR="00AA6DE4" w:rsidRPr="00AA6DE4" w:rsidRDefault="00AA6DE4" w:rsidP="00161CC4">
      <w:pPr>
        <w:pStyle w:val="CenterUnderline"/>
        <w:jc w:val="both"/>
        <w:rPr>
          <w:u w:val="none"/>
        </w:rPr>
      </w:pPr>
      <w:r>
        <w:rPr>
          <w:u w:val="none"/>
        </w:rPr>
        <w:t>(3)</w:t>
      </w:r>
      <w:r>
        <w:rPr>
          <w:u w:val="none"/>
        </w:rPr>
        <w:tab/>
        <w:t>Rebuttal testimony and exhibits</w:t>
      </w:r>
      <w:r>
        <w:rPr>
          <w:u w:val="none"/>
        </w:rPr>
        <w:tab/>
      </w:r>
      <w:r>
        <w:rPr>
          <w:u w:val="none"/>
        </w:rPr>
        <w:tab/>
      </w:r>
      <w:r>
        <w:rPr>
          <w:u w:val="none"/>
        </w:rPr>
        <w:tab/>
      </w:r>
      <w:r>
        <w:rPr>
          <w:u w:val="none"/>
        </w:rPr>
        <w:tab/>
        <w:t>June 18, 2020</w:t>
      </w:r>
    </w:p>
    <w:p w:rsidR="00AA6DE4" w:rsidRDefault="00AA6DE4" w:rsidP="00161CC4">
      <w:pPr>
        <w:pStyle w:val="CenterUnderline"/>
        <w:jc w:val="both"/>
        <w:rPr>
          <w:u w:val="none"/>
        </w:rPr>
      </w:pPr>
      <w:r>
        <w:rPr>
          <w:u w:val="none"/>
        </w:rPr>
        <w:t>(4)</w:t>
      </w:r>
      <w:r>
        <w:rPr>
          <w:u w:val="none"/>
        </w:rPr>
        <w:tab/>
        <w:t>Prehearing Statements</w:t>
      </w:r>
      <w:r>
        <w:rPr>
          <w:u w:val="none"/>
        </w:rPr>
        <w:tab/>
      </w:r>
      <w:r>
        <w:rPr>
          <w:u w:val="none"/>
        </w:rPr>
        <w:tab/>
      </w:r>
      <w:r>
        <w:rPr>
          <w:u w:val="none"/>
        </w:rPr>
        <w:tab/>
      </w:r>
      <w:r>
        <w:rPr>
          <w:u w:val="none"/>
        </w:rPr>
        <w:tab/>
      </w:r>
      <w:r>
        <w:rPr>
          <w:u w:val="none"/>
        </w:rPr>
        <w:tab/>
      </w:r>
      <w:r>
        <w:rPr>
          <w:u w:val="none"/>
        </w:rPr>
        <w:tab/>
        <w:t>June 22, 2020</w:t>
      </w:r>
    </w:p>
    <w:p w:rsidR="00AA6DE4" w:rsidRDefault="00AA6DE4" w:rsidP="00161CC4">
      <w:pPr>
        <w:pStyle w:val="CenterUnderline"/>
        <w:jc w:val="both"/>
        <w:rPr>
          <w:u w:val="none"/>
        </w:rPr>
      </w:pPr>
      <w:r>
        <w:rPr>
          <w:u w:val="none"/>
        </w:rPr>
        <w:t>(5)</w:t>
      </w:r>
      <w:r>
        <w:rPr>
          <w:u w:val="none"/>
        </w:rPr>
        <w:tab/>
        <w:t>Discovery deadline</w:t>
      </w:r>
      <w:r>
        <w:rPr>
          <w:u w:val="none"/>
        </w:rPr>
        <w:tab/>
      </w:r>
      <w:r>
        <w:rPr>
          <w:u w:val="none"/>
        </w:rPr>
        <w:tab/>
      </w:r>
      <w:r>
        <w:rPr>
          <w:u w:val="none"/>
        </w:rPr>
        <w:tab/>
      </w:r>
      <w:r>
        <w:rPr>
          <w:u w:val="none"/>
        </w:rPr>
        <w:tab/>
      </w:r>
      <w:r>
        <w:rPr>
          <w:u w:val="none"/>
        </w:rPr>
        <w:tab/>
      </w:r>
      <w:r>
        <w:rPr>
          <w:u w:val="none"/>
        </w:rPr>
        <w:tab/>
        <w:t>June 29, 2020</w:t>
      </w:r>
    </w:p>
    <w:p w:rsidR="00AA6DE4" w:rsidRDefault="00AA6DE4" w:rsidP="00161CC4">
      <w:pPr>
        <w:pStyle w:val="CenterUnderline"/>
        <w:jc w:val="both"/>
        <w:rPr>
          <w:u w:val="none"/>
        </w:rPr>
      </w:pPr>
      <w:r>
        <w:rPr>
          <w:u w:val="none"/>
        </w:rPr>
        <w:t>(6)</w:t>
      </w:r>
      <w:r>
        <w:rPr>
          <w:u w:val="none"/>
        </w:rPr>
        <w:tab/>
        <w:t>Prehearing conference</w:t>
      </w:r>
      <w:r>
        <w:rPr>
          <w:u w:val="none"/>
        </w:rPr>
        <w:tab/>
      </w:r>
      <w:r>
        <w:rPr>
          <w:u w:val="none"/>
        </w:rPr>
        <w:tab/>
      </w:r>
      <w:r>
        <w:rPr>
          <w:u w:val="none"/>
        </w:rPr>
        <w:tab/>
      </w:r>
      <w:r>
        <w:rPr>
          <w:u w:val="none"/>
        </w:rPr>
        <w:tab/>
      </w:r>
      <w:r>
        <w:rPr>
          <w:u w:val="none"/>
        </w:rPr>
        <w:tab/>
      </w:r>
      <w:r>
        <w:rPr>
          <w:u w:val="none"/>
        </w:rPr>
        <w:tab/>
        <w:t>June 30, 2020</w:t>
      </w:r>
    </w:p>
    <w:p w:rsidR="00AA6DE4" w:rsidRDefault="00AA6DE4" w:rsidP="00161CC4">
      <w:pPr>
        <w:pStyle w:val="CenterUnderline"/>
        <w:jc w:val="both"/>
        <w:rPr>
          <w:u w:val="none"/>
        </w:rPr>
      </w:pPr>
      <w:r>
        <w:rPr>
          <w:u w:val="none"/>
        </w:rPr>
        <w:t>(7)</w:t>
      </w:r>
      <w:r>
        <w:rPr>
          <w:u w:val="none"/>
        </w:rPr>
        <w:tab/>
        <w:t xml:space="preserve">Hearing </w:t>
      </w:r>
      <w:r>
        <w:rPr>
          <w:u w:val="none"/>
        </w:rPr>
        <w:tab/>
      </w:r>
      <w:r>
        <w:rPr>
          <w:u w:val="none"/>
        </w:rPr>
        <w:tab/>
      </w:r>
      <w:r>
        <w:rPr>
          <w:u w:val="none"/>
        </w:rPr>
        <w:tab/>
      </w:r>
      <w:r>
        <w:rPr>
          <w:u w:val="none"/>
        </w:rPr>
        <w:tab/>
      </w:r>
      <w:r>
        <w:rPr>
          <w:u w:val="none"/>
        </w:rPr>
        <w:tab/>
      </w:r>
      <w:r>
        <w:rPr>
          <w:u w:val="none"/>
        </w:rPr>
        <w:tab/>
      </w:r>
      <w:r>
        <w:rPr>
          <w:u w:val="none"/>
        </w:rPr>
        <w:tab/>
        <w:t>July 7-8, 2020</w:t>
      </w:r>
    </w:p>
    <w:p w:rsidR="006548C4" w:rsidRDefault="00AA6DE4" w:rsidP="00161CC4">
      <w:pPr>
        <w:pStyle w:val="CenterUnderline"/>
        <w:jc w:val="both"/>
        <w:rPr>
          <w:u w:val="none"/>
        </w:rPr>
      </w:pPr>
      <w:r>
        <w:rPr>
          <w:u w:val="none"/>
        </w:rPr>
        <w:t>(8)</w:t>
      </w:r>
      <w:r>
        <w:rPr>
          <w:u w:val="none"/>
        </w:rPr>
        <w:tab/>
        <w:t>Briefs</w:t>
      </w:r>
      <w:r w:rsidR="006548C4">
        <w:rPr>
          <w:u w:val="none"/>
        </w:rPr>
        <w:t>, if any</w:t>
      </w:r>
      <w:r w:rsidR="006548C4">
        <w:rPr>
          <w:u w:val="none"/>
        </w:rPr>
        <w:tab/>
      </w:r>
      <w:r w:rsidR="006548C4">
        <w:rPr>
          <w:u w:val="none"/>
        </w:rPr>
        <w:tab/>
      </w:r>
      <w:r w:rsidR="006548C4">
        <w:rPr>
          <w:u w:val="none"/>
        </w:rPr>
        <w:tab/>
      </w:r>
      <w:r w:rsidR="006548C4">
        <w:rPr>
          <w:u w:val="none"/>
        </w:rPr>
        <w:tab/>
      </w:r>
      <w:r w:rsidR="006548C4">
        <w:rPr>
          <w:u w:val="none"/>
        </w:rPr>
        <w:tab/>
      </w:r>
      <w:r w:rsidR="006548C4">
        <w:rPr>
          <w:u w:val="none"/>
        </w:rPr>
        <w:tab/>
      </w:r>
      <w:r w:rsidR="006548C4">
        <w:rPr>
          <w:u w:val="none"/>
        </w:rPr>
        <w:tab/>
        <w:t>July 14, 2020</w:t>
      </w:r>
    </w:p>
    <w:p w:rsidR="006548C4" w:rsidRDefault="006548C4" w:rsidP="00161CC4">
      <w:pPr>
        <w:pStyle w:val="CenterUnderline"/>
        <w:jc w:val="both"/>
        <w:rPr>
          <w:u w:val="none"/>
        </w:rPr>
      </w:pPr>
    </w:p>
    <w:p w:rsidR="006548C4" w:rsidRDefault="006548C4" w:rsidP="00161CC4">
      <w:pPr>
        <w:pStyle w:val="CenterUnderline"/>
        <w:jc w:val="both"/>
        <w:rPr>
          <w:u w:val="none"/>
        </w:rPr>
      </w:pPr>
      <w:r>
        <w:rPr>
          <w:u w:val="none"/>
        </w:rPr>
        <w:tab/>
        <w:t>Due to the expedited schedule required in this case, Section IV.A.(6), Discovery Procedures, shall be modified as follows:</w:t>
      </w:r>
    </w:p>
    <w:p w:rsidR="006548C4" w:rsidRDefault="006548C4" w:rsidP="00161CC4">
      <w:pPr>
        <w:pStyle w:val="CenterUnderline"/>
        <w:jc w:val="both"/>
        <w:rPr>
          <w:u w:val="none"/>
        </w:rPr>
      </w:pPr>
    </w:p>
    <w:p w:rsidR="003240FE" w:rsidRDefault="006548C4" w:rsidP="00161CC4">
      <w:pPr>
        <w:pStyle w:val="CenterUnderline"/>
        <w:jc w:val="both"/>
        <w:rPr>
          <w:u w:val="none"/>
        </w:rPr>
      </w:pPr>
      <w:r>
        <w:rPr>
          <w:u w:val="none"/>
        </w:rPr>
        <w:tab/>
        <w:t>(6)</w:t>
      </w:r>
      <w:r>
        <w:rPr>
          <w:u w:val="none"/>
        </w:rPr>
        <w:tab/>
        <w:t>For discovery requests related to matters raised in the utility’s direct testimony, the responding party shall serve i</w:t>
      </w:r>
      <w:r w:rsidR="00EE3174">
        <w:rPr>
          <w:u w:val="none"/>
        </w:rPr>
        <w:t>t</w:t>
      </w:r>
      <w:r>
        <w:rPr>
          <w:u w:val="none"/>
        </w:rPr>
        <w:t xml:space="preserve">s responses to the requesting party via electronic mail within </w:t>
      </w:r>
      <w:r w:rsidR="003240FE" w:rsidRPr="003E1C2D">
        <w:rPr>
          <w:u w:val="none"/>
        </w:rPr>
        <w:t>15</w:t>
      </w:r>
      <w:r w:rsidR="003240FE">
        <w:rPr>
          <w:b/>
          <w:u w:val="none"/>
        </w:rPr>
        <w:t xml:space="preserve"> </w:t>
      </w:r>
      <w:r>
        <w:rPr>
          <w:u w:val="none"/>
        </w:rPr>
        <w:t xml:space="preserve"> days of the date of the request.  For discovery requests related to matters addressed in the intervenor and Commission staff testimony, the responding party shall serve its responses to the requesting party via electronic mail within</w:t>
      </w:r>
      <w:r w:rsidRPr="003240FE">
        <w:rPr>
          <w:b/>
          <w:u w:val="none"/>
        </w:rPr>
        <w:t xml:space="preserve"> </w:t>
      </w:r>
      <w:r w:rsidR="003240FE" w:rsidRPr="003E1C2D">
        <w:rPr>
          <w:u w:val="none"/>
        </w:rPr>
        <w:t xml:space="preserve">5 </w:t>
      </w:r>
      <w:r w:rsidRPr="003E1C2D">
        <w:rPr>
          <w:u w:val="none"/>
        </w:rPr>
        <w:t>d</w:t>
      </w:r>
      <w:r>
        <w:rPr>
          <w:u w:val="none"/>
        </w:rPr>
        <w:t xml:space="preserve">ays of the date of the request.  For discovery </w:t>
      </w:r>
      <w:r>
        <w:rPr>
          <w:u w:val="none"/>
        </w:rPr>
        <w:lastRenderedPageBreak/>
        <w:t>requests related to matters addressed in the utility’s rebuttal testimony, discovery responses shall be served within</w:t>
      </w:r>
      <w:r w:rsidR="003240FE" w:rsidRPr="003E1C2D">
        <w:rPr>
          <w:u w:val="none"/>
        </w:rPr>
        <w:t xml:space="preserve"> 5 </w:t>
      </w:r>
      <w:r>
        <w:rPr>
          <w:u w:val="none"/>
        </w:rPr>
        <w:t xml:space="preserve">days of receipt of the discovery request.  </w:t>
      </w:r>
    </w:p>
    <w:p w:rsidR="003240FE" w:rsidRDefault="003240FE" w:rsidP="00161CC4">
      <w:pPr>
        <w:pStyle w:val="CenterUnderline"/>
        <w:jc w:val="both"/>
        <w:rPr>
          <w:u w:val="none"/>
        </w:rPr>
      </w:pPr>
    </w:p>
    <w:p w:rsidR="006548C4" w:rsidRDefault="003240FE" w:rsidP="00161CC4">
      <w:pPr>
        <w:pStyle w:val="CenterUnderline"/>
        <w:jc w:val="both"/>
        <w:rPr>
          <w:u w:val="none"/>
        </w:rPr>
      </w:pPr>
      <w:r>
        <w:rPr>
          <w:u w:val="none"/>
        </w:rPr>
        <w:tab/>
        <w:t>Based on the foregoing, it is</w:t>
      </w:r>
    </w:p>
    <w:p w:rsidR="003240FE" w:rsidRDefault="003240FE" w:rsidP="00161CC4">
      <w:pPr>
        <w:pStyle w:val="CenterUnderline"/>
        <w:jc w:val="both"/>
        <w:rPr>
          <w:u w:val="none"/>
        </w:rPr>
      </w:pPr>
    </w:p>
    <w:p w:rsidR="003240FE" w:rsidRDefault="003240FE" w:rsidP="00161CC4">
      <w:pPr>
        <w:pStyle w:val="CenterUnderline"/>
        <w:jc w:val="both"/>
        <w:rPr>
          <w:u w:val="none"/>
        </w:rPr>
      </w:pPr>
      <w:r>
        <w:rPr>
          <w:u w:val="none"/>
        </w:rPr>
        <w:tab/>
        <w:t xml:space="preserve">ORDERED that </w:t>
      </w:r>
      <w:r w:rsidR="00C26473">
        <w:rPr>
          <w:u w:val="none"/>
        </w:rPr>
        <w:t xml:space="preserve">Section VIII, </w:t>
      </w:r>
      <w:r w:rsidR="00C26473" w:rsidRPr="00C26473">
        <w:rPr>
          <w:u w:val="none"/>
        </w:rPr>
        <w:t>Controlling Dates</w:t>
      </w:r>
      <w:r w:rsidR="00C26473">
        <w:rPr>
          <w:u w:val="none"/>
        </w:rPr>
        <w:t>, of Order No. PSC-2019-0320-PCO-EI is hereby replaced as stated in the body of this order.  It is further</w:t>
      </w:r>
    </w:p>
    <w:p w:rsidR="00C26473" w:rsidRDefault="00C26473" w:rsidP="00161CC4">
      <w:pPr>
        <w:pStyle w:val="CenterUnderline"/>
        <w:jc w:val="both"/>
        <w:rPr>
          <w:u w:val="none"/>
        </w:rPr>
      </w:pPr>
    </w:p>
    <w:p w:rsidR="00C26473" w:rsidRDefault="00C26473" w:rsidP="00161CC4">
      <w:pPr>
        <w:pStyle w:val="CenterUnderline"/>
        <w:jc w:val="both"/>
        <w:rPr>
          <w:u w:val="none"/>
        </w:rPr>
      </w:pPr>
      <w:r>
        <w:rPr>
          <w:u w:val="none"/>
        </w:rPr>
        <w:tab/>
        <w:t>ORDERED that Section IV.A.(6), Discovery Procedures, of Order No. PSC-2019-0320-PCO-EI is hereby modified as stated in the body of this order.  It is further</w:t>
      </w:r>
    </w:p>
    <w:p w:rsidR="00C26473" w:rsidRDefault="00C26473" w:rsidP="00161CC4">
      <w:pPr>
        <w:pStyle w:val="CenterUnderline"/>
        <w:jc w:val="both"/>
        <w:rPr>
          <w:u w:val="none"/>
        </w:rPr>
      </w:pPr>
    </w:p>
    <w:p w:rsidR="00C26473" w:rsidRDefault="00C26473" w:rsidP="00161CC4">
      <w:pPr>
        <w:pStyle w:val="CenterUnderline"/>
        <w:jc w:val="both"/>
        <w:rPr>
          <w:u w:val="none"/>
        </w:rPr>
      </w:pPr>
      <w:r>
        <w:rPr>
          <w:u w:val="none"/>
        </w:rPr>
        <w:tab/>
        <w:t>ORDERED that all other provisions of Order No. PSC-2019-0320-PCO-EI not directly affected by this order shall remain in full force and effect.</w:t>
      </w:r>
    </w:p>
    <w:p w:rsidR="00C26473" w:rsidRDefault="00C26473" w:rsidP="00161CC4">
      <w:pPr>
        <w:pStyle w:val="CenterUnderline"/>
        <w:jc w:val="both"/>
        <w:rPr>
          <w:u w:val="none"/>
        </w:rPr>
      </w:pPr>
    </w:p>
    <w:p w:rsidR="00C26473" w:rsidRDefault="00C26473" w:rsidP="00C26473">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C95CD7">
        <w:t>15th</w:t>
      </w:r>
      <w:r w:rsidR="00C95CD7">
        <w:rPr>
          <w:u w:val="none"/>
        </w:rPr>
        <w:t xml:space="preserve"> day of </w:t>
      </w:r>
      <w:r w:rsidR="00C95CD7">
        <w:t>April</w:t>
      </w:r>
      <w:r w:rsidR="00C95CD7">
        <w:rPr>
          <w:u w:val="none"/>
        </w:rPr>
        <w:t xml:space="preserve">, </w:t>
      </w:r>
      <w:r w:rsidR="00C95CD7">
        <w:t>2020</w:t>
      </w:r>
      <w:r w:rsidR="00C95CD7">
        <w:rPr>
          <w:u w:val="none"/>
        </w:rPr>
        <w:t>.</w:t>
      </w:r>
    </w:p>
    <w:p w:rsidR="00C95CD7" w:rsidRPr="00C95CD7" w:rsidRDefault="00C95CD7" w:rsidP="00C26473">
      <w:pPr>
        <w:pStyle w:val="CenterUnderline"/>
        <w:keepNext/>
        <w:keepLines/>
        <w:jc w:val="both"/>
        <w:rPr>
          <w:u w:val="none"/>
        </w:rPr>
      </w:pPr>
    </w:p>
    <w:p w:rsidR="00C26473" w:rsidRDefault="00C26473" w:rsidP="00C26473">
      <w:pPr>
        <w:pStyle w:val="CenterUnderline"/>
        <w:keepNext/>
        <w:keepLines/>
        <w:jc w:val="both"/>
        <w:rPr>
          <w:u w:val="none"/>
        </w:rPr>
      </w:pPr>
    </w:p>
    <w:p w:rsidR="00C26473" w:rsidRDefault="00C26473" w:rsidP="00C2647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26473" w:rsidTr="00C26473">
        <w:tc>
          <w:tcPr>
            <w:tcW w:w="720" w:type="dxa"/>
            <w:shd w:val="clear" w:color="auto" w:fill="auto"/>
          </w:tcPr>
          <w:p w:rsidR="00C26473" w:rsidRDefault="00C26473" w:rsidP="00C2647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26473" w:rsidRDefault="00C95CD7" w:rsidP="00C26473">
            <w:pPr>
              <w:pStyle w:val="CenterUnderline"/>
              <w:keepNext/>
              <w:keepLines/>
              <w:jc w:val="both"/>
              <w:rPr>
                <w:u w:val="none"/>
              </w:rPr>
            </w:pPr>
            <w:r>
              <w:rPr>
                <w:u w:val="none"/>
              </w:rPr>
              <w:t>/s/ Donald J. Polmann, Ph.D., P.E.</w:t>
            </w:r>
            <w:bookmarkStart w:id="7" w:name="_GoBack"/>
            <w:bookmarkEnd w:id="7"/>
          </w:p>
        </w:tc>
      </w:tr>
      <w:bookmarkEnd w:id="6"/>
      <w:tr w:rsidR="00C26473" w:rsidTr="00C26473">
        <w:tc>
          <w:tcPr>
            <w:tcW w:w="720" w:type="dxa"/>
            <w:shd w:val="clear" w:color="auto" w:fill="auto"/>
          </w:tcPr>
          <w:p w:rsidR="00C26473" w:rsidRDefault="00C26473" w:rsidP="00C26473">
            <w:pPr>
              <w:pStyle w:val="CenterUnderline"/>
              <w:keepNext/>
              <w:keepLines/>
              <w:jc w:val="both"/>
              <w:rPr>
                <w:u w:val="none"/>
              </w:rPr>
            </w:pPr>
          </w:p>
        </w:tc>
        <w:tc>
          <w:tcPr>
            <w:tcW w:w="4320" w:type="dxa"/>
            <w:tcBorders>
              <w:top w:val="single" w:sz="4" w:space="0" w:color="auto"/>
            </w:tcBorders>
            <w:shd w:val="clear" w:color="auto" w:fill="auto"/>
          </w:tcPr>
          <w:p w:rsidR="00C26473" w:rsidRDefault="00C26473" w:rsidP="00C26473">
            <w:pPr>
              <w:pStyle w:val="CenterUnderline"/>
              <w:keepNext/>
              <w:keepLines/>
              <w:jc w:val="both"/>
              <w:rPr>
                <w:u w:val="none"/>
              </w:rPr>
            </w:pPr>
            <w:r>
              <w:rPr>
                <w:u w:val="none"/>
              </w:rPr>
              <w:t>DONALD J. POLMANN, Ph.D., P.E.</w:t>
            </w:r>
          </w:p>
          <w:p w:rsidR="00C26473" w:rsidRDefault="00C26473" w:rsidP="00C26473">
            <w:pPr>
              <w:pStyle w:val="CenterUnderline"/>
              <w:keepNext/>
              <w:keepLines/>
              <w:jc w:val="both"/>
              <w:rPr>
                <w:u w:val="none"/>
              </w:rPr>
            </w:pPr>
            <w:r>
              <w:rPr>
                <w:u w:val="none"/>
              </w:rPr>
              <w:t>Commissioner and Prehearing Officer</w:t>
            </w:r>
          </w:p>
        </w:tc>
      </w:tr>
    </w:tbl>
    <w:p w:rsidR="00C26473" w:rsidRDefault="00C26473" w:rsidP="00C26473">
      <w:pPr>
        <w:pStyle w:val="OrderSigInfo"/>
        <w:keepNext/>
        <w:keepLines/>
      </w:pPr>
      <w:r>
        <w:t>Florida Public Service Commission</w:t>
      </w:r>
    </w:p>
    <w:p w:rsidR="00C26473" w:rsidRDefault="00C26473" w:rsidP="00C26473">
      <w:pPr>
        <w:pStyle w:val="OrderSigInfo"/>
        <w:keepNext/>
        <w:keepLines/>
      </w:pPr>
      <w:r>
        <w:t>2540 Shumard Oak Boulevard</w:t>
      </w:r>
    </w:p>
    <w:p w:rsidR="00C26473" w:rsidRDefault="00C26473" w:rsidP="00C26473">
      <w:pPr>
        <w:pStyle w:val="OrderSigInfo"/>
        <w:keepNext/>
        <w:keepLines/>
      </w:pPr>
      <w:r>
        <w:t>Tallahassee, Florida 32399</w:t>
      </w:r>
    </w:p>
    <w:p w:rsidR="00C26473" w:rsidRDefault="00C26473" w:rsidP="00C26473">
      <w:pPr>
        <w:pStyle w:val="OrderSigInfo"/>
        <w:keepNext/>
        <w:keepLines/>
      </w:pPr>
      <w:r>
        <w:t>(850) 413</w:t>
      </w:r>
      <w:r>
        <w:noBreakHyphen/>
        <w:t>6770</w:t>
      </w:r>
    </w:p>
    <w:p w:rsidR="00C26473" w:rsidRDefault="00C26473" w:rsidP="00C26473">
      <w:pPr>
        <w:pStyle w:val="OrderSigInfo"/>
        <w:keepNext/>
        <w:keepLines/>
      </w:pPr>
      <w:r>
        <w:t>www.floridapsc.com</w:t>
      </w:r>
    </w:p>
    <w:p w:rsidR="00C26473" w:rsidRDefault="00C26473" w:rsidP="00C26473">
      <w:pPr>
        <w:pStyle w:val="OrderSigInfo"/>
        <w:keepNext/>
        <w:keepLines/>
      </w:pPr>
    </w:p>
    <w:p w:rsidR="00C26473" w:rsidRDefault="00C26473" w:rsidP="00C26473">
      <w:pPr>
        <w:pStyle w:val="OrderSigInfo"/>
        <w:keepNext/>
        <w:keepLines/>
      </w:pPr>
      <w:r>
        <w:t>Copies furnished:  A copy of this document is provided to the parties of record at the time of issuance and, if applicable, interested persons.</w:t>
      </w:r>
    </w:p>
    <w:p w:rsidR="00C26473" w:rsidRDefault="00C26473" w:rsidP="00C26473">
      <w:pPr>
        <w:pStyle w:val="OrderBody"/>
      </w:pPr>
    </w:p>
    <w:p w:rsidR="00C26473" w:rsidRDefault="00C26473" w:rsidP="00C26473">
      <w:pPr>
        <w:pStyle w:val="CenterUnderline"/>
      </w:pPr>
      <w:r>
        <w:t>NOTICE OF FURTHER PROCEEDINGS OR JUDICIAL REVIEW</w:t>
      </w:r>
    </w:p>
    <w:p w:rsidR="00C26473" w:rsidRDefault="00C26473" w:rsidP="00C26473">
      <w:pPr>
        <w:pStyle w:val="CenterUnderline"/>
      </w:pPr>
    </w:p>
    <w:p w:rsidR="00C26473" w:rsidRDefault="00C26473" w:rsidP="00C264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6473" w:rsidRDefault="00C26473" w:rsidP="00C26473">
      <w:pPr>
        <w:pStyle w:val="OrderBody"/>
      </w:pPr>
    </w:p>
    <w:p w:rsidR="00C26473" w:rsidRDefault="00C26473" w:rsidP="00C26473">
      <w:pPr>
        <w:pStyle w:val="OrderBody"/>
      </w:pPr>
      <w:r>
        <w:tab/>
        <w:t>Mediation may be available on a case-by-case basis.  If mediation is conducted, it does not affect a substantially interested person's right to a hearing.</w:t>
      </w:r>
    </w:p>
    <w:p w:rsidR="00C26473" w:rsidRDefault="00C26473" w:rsidP="00C26473">
      <w:pPr>
        <w:pStyle w:val="OrderBody"/>
      </w:pPr>
    </w:p>
    <w:p w:rsidR="00C26473" w:rsidRDefault="00C26473" w:rsidP="00C2647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6473" w:rsidRDefault="00C26473" w:rsidP="00C26473">
      <w:pPr>
        <w:pStyle w:val="OrderBody"/>
      </w:pPr>
    </w:p>
    <w:p w:rsidR="00C26473" w:rsidRDefault="00C26473" w:rsidP="00C26473">
      <w:pPr>
        <w:pStyle w:val="OrderBody"/>
      </w:pPr>
    </w:p>
    <w:p w:rsidR="00C26473" w:rsidRPr="00C26473" w:rsidRDefault="00C26473" w:rsidP="00C26473">
      <w:pPr>
        <w:pStyle w:val="OrderBody"/>
      </w:pPr>
    </w:p>
    <w:sectPr w:rsidR="00C26473" w:rsidRPr="00C2647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C4" w:rsidRDefault="00161CC4">
      <w:r>
        <w:separator/>
      </w:r>
    </w:p>
  </w:endnote>
  <w:endnote w:type="continuationSeparator" w:id="0">
    <w:p w:rsidR="00161CC4" w:rsidRDefault="0016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C4" w:rsidRDefault="00161CC4">
      <w:r>
        <w:separator/>
      </w:r>
    </w:p>
  </w:footnote>
  <w:footnote w:type="continuationSeparator" w:id="0">
    <w:p w:rsidR="00161CC4" w:rsidRDefault="0016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5 ">
      <w:r w:rsidR="00C95CD7">
        <w:t>PSC-2020-0105-PCO-EI</w:t>
      </w:r>
    </w:fldSimple>
  </w:p>
  <w:p w:rsidR="00FA6EFD" w:rsidRDefault="00161CC4">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5C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161CC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1CC4"/>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7447"/>
    <w:rsid w:val="002F2A9D"/>
    <w:rsid w:val="002F31C2"/>
    <w:rsid w:val="002F7BF6"/>
    <w:rsid w:val="00303FDE"/>
    <w:rsid w:val="00313C5B"/>
    <w:rsid w:val="003140E8"/>
    <w:rsid w:val="003231C7"/>
    <w:rsid w:val="00323839"/>
    <w:rsid w:val="003240FE"/>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C2D"/>
    <w:rsid w:val="003E1D48"/>
    <w:rsid w:val="003E711F"/>
    <w:rsid w:val="003F1D2B"/>
    <w:rsid w:val="00401EEF"/>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1F25"/>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288D"/>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48C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17DE"/>
    <w:rsid w:val="00A726A6"/>
    <w:rsid w:val="00A74842"/>
    <w:rsid w:val="00A97535"/>
    <w:rsid w:val="00AA2BAA"/>
    <w:rsid w:val="00AA6516"/>
    <w:rsid w:val="00AA6DE4"/>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18E"/>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6473"/>
    <w:rsid w:val="00C30A4E"/>
    <w:rsid w:val="00C411F3"/>
    <w:rsid w:val="00C44105"/>
    <w:rsid w:val="00C55A33"/>
    <w:rsid w:val="00C66692"/>
    <w:rsid w:val="00C673B5"/>
    <w:rsid w:val="00C7063D"/>
    <w:rsid w:val="00C830BC"/>
    <w:rsid w:val="00C8524D"/>
    <w:rsid w:val="00C90904"/>
    <w:rsid w:val="00C91123"/>
    <w:rsid w:val="00C95CD7"/>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3174"/>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95CD7"/>
    <w:rPr>
      <w:rFonts w:ascii="Segoe UI" w:hAnsi="Segoe UI" w:cs="Segoe UI"/>
      <w:sz w:val="18"/>
      <w:szCs w:val="18"/>
    </w:rPr>
  </w:style>
  <w:style w:type="character" w:customStyle="1" w:styleId="BalloonTextChar">
    <w:name w:val="Balloon Text Char"/>
    <w:basedOn w:val="DefaultParagraphFont"/>
    <w:link w:val="BalloonText"/>
    <w:semiHidden/>
    <w:rsid w:val="00C95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2020-04-15T13:22:00Z</dcterms:created>
  <dcterms:modified xsi:type="dcterms:W3CDTF">2020-04-15T13:39:00Z</dcterms:modified>
</cp:coreProperties>
</file>