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21A8E" w:rsidP="00421A8E">
      <w:pPr>
        <w:pStyle w:val="OrderHeading"/>
      </w:pPr>
      <w:r>
        <w:t>BEFORE THE FLORIDA PUBLIC SERVICE COMMISSION</w:t>
      </w:r>
    </w:p>
    <w:p w:rsidR="00421A8E" w:rsidRDefault="00421A8E" w:rsidP="00421A8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A21F3" w:rsidRPr="00C63FCF" w:rsidTr="00676648">
        <w:trPr>
          <w:trHeight w:val="828"/>
        </w:trPr>
        <w:tc>
          <w:tcPr>
            <w:tcW w:w="4788" w:type="dxa"/>
            <w:tcBorders>
              <w:bottom w:val="nil"/>
              <w:right w:val="double" w:sz="6" w:space="0" w:color="auto"/>
            </w:tcBorders>
            <w:shd w:val="clear" w:color="auto" w:fill="auto"/>
          </w:tcPr>
          <w:p w:rsidR="002A21F3" w:rsidRDefault="002A21F3" w:rsidP="00676648">
            <w:pPr>
              <w:pStyle w:val="OrderBody"/>
              <w:tabs>
                <w:tab w:val="center" w:pos="4320"/>
                <w:tab w:val="right" w:pos="8640"/>
              </w:tabs>
              <w:jc w:val="left"/>
            </w:pPr>
            <w:r>
              <w:t xml:space="preserve">In re: </w:t>
            </w:r>
            <w:bookmarkStart w:id="0" w:name="SMInRe"/>
            <w:bookmarkEnd w:id="0"/>
            <w:r>
              <w:t>Petition to approve the 2020 settlement agreement by Tampa Electric Company.</w:t>
            </w:r>
          </w:p>
          <w:p w:rsidR="002A21F3" w:rsidRDefault="002A21F3" w:rsidP="00676648">
            <w:pPr>
              <w:pStyle w:val="OrderBody"/>
              <w:tabs>
                <w:tab w:val="center" w:pos="4320"/>
                <w:tab w:val="right" w:pos="8640"/>
              </w:tabs>
              <w:jc w:val="left"/>
            </w:pPr>
          </w:p>
        </w:tc>
        <w:tc>
          <w:tcPr>
            <w:tcW w:w="4788" w:type="dxa"/>
            <w:tcBorders>
              <w:left w:val="double" w:sz="6" w:space="0" w:color="auto"/>
              <w:bottom w:val="nil"/>
            </w:tcBorders>
            <w:shd w:val="clear" w:color="auto" w:fill="auto"/>
          </w:tcPr>
          <w:p w:rsidR="002A21F3" w:rsidRDefault="002A21F3" w:rsidP="00676648">
            <w:pPr>
              <w:pStyle w:val="OrderBody"/>
              <w:tabs>
                <w:tab w:val="center" w:pos="4320"/>
                <w:tab w:val="right" w:pos="8640"/>
              </w:tabs>
              <w:jc w:val="left"/>
            </w:pPr>
            <w:r>
              <w:t xml:space="preserve">DOCKET NO. </w:t>
            </w:r>
            <w:bookmarkStart w:id="1" w:name="SMDocketNo"/>
            <w:bookmarkEnd w:id="1"/>
            <w:r>
              <w:t>20200145-EI</w:t>
            </w:r>
          </w:p>
        </w:tc>
      </w:tr>
      <w:tr w:rsidR="002A21F3" w:rsidRPr="00C63FCF" w:rsidTr="00676648">
        <w:trPr>
          <w:trHeight w:val="828"/>
        </w:trPr>
        <w:tc>
          <w:tcPr>
            <w:tcW w:w="4788" w:type="dxa"/>
            <w:tcBorders>
              <w:bottom w:val="nil"/>
              <w:right w:val="double" w:sz="6" w:space="0" w:color="auto"/>
            </w:tcBorders>
            <w:shd w:val="clear" w:color="auto" w:fill="auto"/>
          </w:tcPr>
          <w:p w:rsidR="002A21F3" w:rsidRDefault="002A21F3" w:rsidP="00676648">
            <w:pPr>
              <w:pStyle w:val="OrderBody"/>
              <w:tabs>
                <w:tab w:val="center" w:pos="4320"/>
                <w:tab w:val="right" w:pos="8640"/>
              </w:tabs>
              <w:jc w:val="left"/>
            </w:pPr>
            <w:r>
              <w:t>In re: Petition for a limited proceeding to approve fourth SoBRA, by Tampa Electric Company.</w:t>
            </w:r>
          </w:p>
          <w:p w:rsidR="002A21F3" w:rsidRDefault="002A21F3" w:rsidP="00676648">
            <w:pPr>
              <w:pStyle w:val="OrderBody"/>
              <w:tabs>
                <w:tab w:val="center" w:pos="4320"/>
                <w:tab w:val="right" w:pos="8640"/>
              </w:tabs>
              <w:jc w:val="left"/>
            </w:pPr>
          </w:p>
        </w:tc>
        <w:tc>
          <w:tcPr>
            <w:tcW w:w="4788" w:type="dxa"/>
            <w:tcBorders>
              <w:left w:val="double" w:sz="6" w:space="0" w:color="auto"/>
              <w:bottom w:val="nil"/>
            </w:tcBorders>
            <w:shd w:val="clear" w:color="auto" w:fill="auto"/>
          </w:tcPr>
          <w:p w:rsidR="002A21F3" w:rsidRDefault="002A21F3" w:rsidP="00676648">
            <w:pPr>
              <w:pStyle w:val="OrderBody"/>
              <w:tabs>
                <w:tab w:val="center" w:pos="4320"/>
                <w:tab w:val="right" w:pos="8640"/>
              </w:tabs>
              <w:jc w:val="left"/>
            </w:pPr>
            <w:r>
              <w:t>DOCKET NO. 20200064-EI</w:t>
            </w:r>
          </w:p>
          <w:p w:rsidR="002A21F3" w:rsidRDefault="002A21F3" w:rsidP="00676648">
            <w:pPr>
              <w:pStyle w:val="OrderBody"/>
              <w:tabs>
                <w:tab w:val="center" w:pos="4320"/>
                <w:tab w:val="right" w:pos="8640"/>
              </w:tabs>
              <w:jc w:val="left"/>
            </w:pPr>
          </w:p>
        </w:tc>
      </w:tr>
      <w:tr w:rsidR="002A21F3" w:rsidRPr="00C63FCF" w:rsidTr="00676648">
        <w:trPr>
          <w:trHeight w:val="828"/>
        </w:trPr>
        <w:tc>
          <w:tcPr>
            <w:tcW w:w="4788" w:type="dxa"/>
            <w:tcBorders>
              <w:bottom w:val="nil"/>
              <w:right w:val="double" w:sz="6" w:space="0" w:color="auto"/>
            </w:tcBorders>
            <w:shd w:val="clear" w:color="auto" w:fill="auto"/>
          </w:tcPr>
          <w:p w:rsidR="002A21F3" w:rsidRDefault="002A21F3" w:rsidP="00676648">
            <w:pPr>
              <w:pStyle w:val="OrderBody"/>
              <w:tabs>
                <w:tab w:val="center" w:pos="4320"/>
                <w:tab w:val="right" w:pos="8640"/>
              </w:tabs>
              <w:jc w:val="left"/>
            </w:pPr>
            <w:r>
              <w:t>In re: Petition for a limited proceeding to eliminate accumulated amortization reserve surplus for intangible software assets, by Tampa Electric Company.</w:t>
            </w:r>
          </w:p>
          <w:p w:rsidR="002A21F3" w:rsidRDefault="002A21F3" w:rsidP="00676648">
            <w:pPr>
              <w:pStyle w:val="OrderBody"/>
              <w:tabs>
                <w:tab w:val="center" w:pos="4320"/>
                <w:tab w:val="right" w:pos="8640"/>
              </w:tabs>
              <w:jc w:val="left"/>
            </w:pPr>
          </w:p>
        </w:tc>
        <w:tc>
          <w:tcPr>
            <w:tcW w:w="4788" w:type="dxa"/>
            <w:tcBorders>
              <w:left w:val="double" w:sz="6" w:space="0" w:color="auto"/>
              <w:bottom w:val="nil"/>
            </w:tcBorders>
            <w:shd w:val="clear" w:color="auto" w:fill="auto"/>
          </w:tcPr>
          <w:p w:rsidR="002A21F3" w:rsidRDefault="002A21F3" w:rsidP="00676648">
            <w:pPr>
              <w:pStyle w:val="OrderBody"/>
              <w:tabs>
                <w:tab w:val="center" w:pos="4320"/>
                <w:tab w:val="right" w:pos="8640"/>
              </w:tabs>
              <w:jc w:val="left"/>
            </w:pPr>
            <w:r>
              <w:t>DOCKET NO. 20200065-EI</w:t>
            </w:r>
          </w:p>
          <w:p w:rsidR="002A21F3" w:rsidRDefault="002A21F3" w:rsidP="00676648">
            <w:pPr>
              <w:pStyle w:val="OrderBody"/>
              <w:tabs>
                <w:tab w:val="center" w:pos="4320"/>
                <w:tab w:val="right" w:pos="8640"/>
              </w:tabs>
              <w:jc w:val="left"/>
            </w:pPr>
          </w:p>
        </w:tc>
      </w:tr>
      <w:tr w:rsidR="002A21F3" w:rsidRPr="00C63FCF" w:rsidTr="00676648">
        <w:trPr>
          <w:trHeight w:val="828"/>
        </w:trPr>
        <w:tc>
          <w:tcPr>
            <w:tcW w:w="4788" w:type="dxa"/>
            <w:tcBorders>
              <w:bottom w:val="nil"/>
              <w:right w:val="double" w:sz="6" w:space="0" w:color="auto"/>
            </w:tcBorders>
            <w:shd w:val="clear" w:color="auto" w:fill="auto"/>
          </w:tcPr>
          <w:p w:rsidR="002A21F3" w:rsidRDefault="002A21F3" w:rsidP="00676648">
            <w:pPr>
              <w:pStyle w:val="OrderBody"/>
              <w:tabs>
                <w:tab w:val="center" w:pos="4320"/>
                <w:tab w:val="right" w:pos="8640"/>
              </w:tabs>
              <w:jc w:val="left"/>
            </w:pPr>
            <w:r>
              <w:t>In re: Review of 2020-2029 Storm Protection Plan pursuant to Rule 25-6.030, F.A.C., Tampa Electric Company.</w:t>
            </w:r>
          </w:p>
          <w:p w:rsidR="002A21F3" w:rsidRDefault="002A21F3" w:rsidP="00676648">
            <w:pPr>
              <w:pStyle w:val="OrderBody"/>
              <w:tabs>
                <w:tab w:val="center" w:pos="4320"/>
                <w:tab w:val="right" w:pos="8640"/>
              </w:tabs>
              <w:jc w:val="left"/>
            </w:pPr>
          </w:p>
        </w:tc>
        <w:tc>
          <w:tcPr>
            <w:tcW w:w="4788" w:type="dxa"/>
            <w:tcBorders>
              <w:left w:val="double" w:sz="6" w:space="0" w:color="auto"/>
              <w:bottom w:val="nil"/>
            </w:tcBorders>
            <w:shd w:val="clear" w:color="auto" w:fill="auto"/>
          </w:tcPr>
          <w:p w:rsidR="002A21F3" w:rsidRDefault="002A21F3" w:rsidP="00676648">
            <w:pPr>
              <w:pStyle w:val="OrderBody"/>
              <w:tabs>
                <w:tab w:val="center" w:pos="4320"/>
                <w:tab w:val="right" w:pos="8640"/>
              </w:tabs>
              <w:jc w:val="left"/>
            </w:pPr>
            <w:r>
              <w:t>DOCKET NO. 20200067-EI</w:t>
            </w:r>
          </w:p>
          <w:p w:rsidR="002A21F3" w:rsidRDefault="002A21F3" w:rsidP="00676648">
            <w:pPr>
              <w:pStyle w:val="OrderBody"/>
              <w:tabs>
                <w:tab w:val="center" w:pos="4320"/>
                <w:tab w:val="right" w:pos="8640"/>
              </w:tabs>
              <w:jc w:val="left"/>
            </w:pPr>
          </w:p>
        </w:tc>
      </w:tr>
      <w:tr w:rsidR="002A21F3" w:rsidRPr="00C63FCF" w:rsidTr="00676648">
        <w:trPr>
          <w:trHeight w:val="828"/>
        </w:trPr>
        <w:tc>
          <w:tcPr>
            <w:tcW w:w="4788" w:type="dxa"/>
            <w:tcBorders>
              <w:top w:val="nil"/>
              <w:bottom w:val="single" w:sz="8" w:space="0" w:color="auto"/>
              <w:right w:val="double" w:sz="6" w:space="0" w:color="auto"/>
            </w:tcBorders>
            <w:shd w:val="clear" w:color="auto" w:fill="auto"/>
          </w:tcPr>
          <w:p w:rsidR="002A21F3" w:rsidRDefault="002A21F3" w:rsidP="00676648">
            <w:pPr>
              <w:pStyle w:val="OrderBody"/>
              <w:tabs>
                <w:tab w:val="center" w:pos="4320"/>
                <w:tab w:val="right" w:pos="8640"/>
              </w:tabs>
              <w:jc w:val="left"/>
            </w:pPr>
            <w:r>
              <w:t>In re: Storm protection plan cost recovery clause.</w:t>
            </w:r>
          </w:p>
        </w:tc>
        <w:tc>
          <w:tcPr>
            <w:tcW w:w="4788" w:type="dxa"/>
            <w:tcBorders>
              <w:left w:val="double" w:sz="6" w:space="0" w:color="auto"/>
            </w:tcBorders>
            <w:shd w:val="clear" w:color="auto" w:fill="auto"/>
          </w:tcPr>
          <w:p w:rsidR="002A21F3" w:rsidRDefault="002A21F3" w:rsidP="00676648">
            <w:pPr>
              <w:pStyle w:val="OrderBody"/>
            </w:pPr>
            <w:r>
              <w:t xml:space="preserve">DOCKET NO. </w:t>
            </w:r>
            <w:bookmarkStart w:id="2" w:name="SMDocketNo2"/>
            <w:bookmarkEnd w:id="2"/>
            <w:r>
              <w:t>20200092-EI</w:t>
            </w:r>
          </w:p>
          <w:p w:rsidR="002A21F3" w:rsidRDefault="002A21F3" w:rsidP="00676648">
            <w:pPr>
              <w:pStyle w:val="OrderBody"/>
              <w:tabs>
                <w:tab w:val="center" w:pos="4320"/>
                <w:tab w:val="right" w:pos="8640"/>
              </w:tabs>
              <w:jc w:val="left"/>
            </w:pPr>
            <w:r>
              <w:t xml:space="preserve">ORDER NO. </w:t>
            </w:r>
            <w:bookmarkStart w:id="3" w:name="OrderNo0164"/>
            <w:r w:rsidR="00704C9F">
              <w:t>PSC-2020-0164-PCO-EI</w:t>
            </w:r>
            <w:bookmarkEnd w:id="3"/>
          </w:p>
          <w:p w:rsidR="002A21F3" w:rsidRDefault="002A21F3" w:rsidP="00676648">
            <w:pPr>
              <w:pStyle w:val="OrderBody"/>
              <w:tabs>
                <w:tab w:val="center" w:pos="4320"/>
                <w:tab w:val="right" w:pos="8640"/>
              </w:tabs>
              <w:jc w:val="left"/>
            </w:pPr>
            <w:r>
              <w:t xml:space="preserve">ISSUED: </w:t>
            </w:r>
            <w:r w:rsidR="00704C9F">
              <w:t>May 19, 2020</w:t>
            </w:r>
          </w:p>
          <w:p w:rsidR="002A21F3" w:rsidRDefault="002A21F3" w:rsidP="00676648">
            <w:pPr>
              <w:pStyle w:val="OrderBody"/>
              <w:tabs>
                <w:tab w:val="center" w:pos="4320"/>
                <w:tab w:val="right" w:pos="8640"/>
              </w:tabs>
              <w:jc w:val="left"/>
            </w:pPr>
          </w:p>
        </w:tc>
      </w:tr>
    </w:tbl>
    <w:p w:rsidR="00421A8E" w:rsidRDefault="00421A8E" w:rsidP="00421A8E"/>
    <w:p w:rsidR="00421A8E" w:rsidRDefault="00421A8E" w:rsidP="00421A8E"/>
    <w:p w:rsidR="00CB5276" w:rsidRDefault="00421A8E" w:rsidP="00421A8E">
      <w:pPr>
        <w:pStyle w:val="CenterUnderline"/>
      </w:pPr>
      <w:bookmarkStart w:id="4" w:name="Commissioners"/>
      <w:bookmarkEnd w:id="4"/>
      <w:r w:rsidRPr="00421A8E">
        <w:t>PROCEDURAL</w:t>
      </w:r>
      <w:r>
        <w:t xml:space="preserve"> ORDER</w:t>
      </w:r>
      <w:bookmarkStart w:id="5" w:name="OrderTitle"/>
      <w:r>
        <w:t xml:space="preserve"> </w:t>
      </w:r>
      <w:bookmarkEnd w:id="5"/>
    </w:p>
    <w:p w:rsidR="00421A8E" w:rsidRDefault="00421A8E" w:rsidP="00421A8E">
      <w:pPr>
        <w:pStyle w:val="CenterUnderline"/>
      </w:pPr>
    </w:p>
    <w:p w:rsidR="00421A8E" w:rsidRPr="00412AEA" w:rsidRDefault="00696516" w:rsidP="00421A8E">
      <w:pPr>
        <w:pStyle w:val="OrderBody"/>
        <w:rPr>
          <w:u w:val="single"/>
        </w:rPr>
      </w:pPr>
      <w:bookmarkStart w:id="6" w:name="OrderText"/>
      <w:bookmarkEnd w:id="6"/>
      <w:r>
        <w:rPr>
          <w:u w:val="single"/>
        </w:rPr>
        <w:t xml:space="preserve">Background </w:t>
      </w:r>
    </w:p>
    <w:p w:rsidR="00421A8E" w:rsidRDefault="00421A8E" w:rsidP="00421A8E">
      <w:pPr>
        <w:pStyle w:val="OrderBody"/>
      </w:pPr>
    </w:p>
    <w:p w:rsidR="00421A8E" w:rsidRPr="00696516" w:rsidRDefault="00421A8E" w:rsidP="00696516">
      <w:pPr>
        <w:pStyle w:val="OrderBody"/>
      </w:pPr>
      <w:r>
        <w:tab/>
        <w:t xml:space="preserve">On May 4, 2020, Tampa Electric Company (TECO) filed a </w:t>
      </w:r>
      <w:r w:rsidR="00E52DDE">
        <w:t>Motion to Approve 2020 Agreement</w:t>
      </w:r>
      <w:r w:rsidR="007B6969">
        <w:t xml:space="preserve"> attaching the</w:t>
      </w:r>
      <w:r w:rsidR="003736FA">
        <w:t xml:space="preserve"> 2020 Agreement</w:t>
      </w:r>
      <w:r w:rsidR="00E52DDE">
        <w:t>.</w:t>
      </w:r>
      <w:r w:rsidR="00292D55">
        <w:t xml:space="preserve"> </w:t>
      </w:r>
      <w:r w:rsidRPr="00C10154">
        <w:t>The 20</w:t>
      </w:r>
      <w:r w:rsidR="00C10154" w:rsidRPr="00C10154">
        <w:t>20</w:t>
      </w:r>
      <w:r w:rsidRPr="00C10154">
        <w:t xml:space="preserve"> Agreement is signed and executed by</w:t>
      </w:r>
      <w:r w:rsidR="00C10154">
        <w:t xml:space="preserve"> TECO,</w:t>
      </w:r>
      <w:r w:rsidRPr="00C10154">
        <w:t xml:space="preserve"> the Office of Public Counsel (OPC), the Florida Industrial Power Users Group (FIPUG), the Florida Retail Federation (FRF),</w:t>
      </w:r>
      <w:r w:rsidR="00C10154">
        <w:t xml:space="preserve"> the Federal Executive Agencies (FEA), and the West Central Florida Hospital Utility Alliance (HUA) (collectively, the </w:t>
      </w:r>
      <w:r w:rsidR="003736FA">
        <w:t>Signatories</w:t>
      </w:r>
      <w:r w:rsidR="00C10154">
        <w:t>).</w:t>
      </w:r>
      <w:r w:rsidR="003736FA">
        <w:t xml:space="preserve"> The 2020 Agreement was filed in Docket Nos. 20200064-EI,</w:t>
      </w:r>
      <w:r w:rsidR="006E401D">
        <w:rPr>
          <w:rStyle w:val="FootnoteReference"/>
        </w:rPr>
        <w:footnoteReference w:id="1"/>
      </w:r>
      <w:r w:rsidR="003736FA">
        <w:t xml:space="preserve"> 20200065-EI,</w:t>
      </w:r>
      <w:r w:rsidR="006E401D">
        <w:rPr>
          <w:rStyle w:val="FootnoteReference"/>
        </w:rPr>
        <w:footnoteReference w:id="2"/>
      </w:r>
      <w:r w:rsidR="003736FA">
        <w:t xml:space="preserve"> 20200067-EI,</w:t>
      </w:r>
      <w:r w:rsidR="006E401D">
        <w:rPr>
          <w:rStyle w:val="FootnoteReference"/>
        </w:rPr>
        <w:footnoteReference w:id="3"/>
      </w:r>
      <w:r w:rsidR="003736FA">
        <w:t xml:space="preserve"> and 202000</w:t>
      </w:r>
      <w:r w:rsidR="006E401D">
        <w:t>92</w:t>
      </w:r>
      <w:r w:rsidR="003736FA">
        <w:t>-EI</w:t>
      </w:r>
      <w:r w:rsidR="006E401D">
        <w:rPr>
          <w:rStyle w:val="FootnoteReference"/>
        </w:rPr>
        <w:footnoteReference w:id="4"/>
      </w:r>
      <w:r w:rsidR="003736FA">
        <w:t xml:space="preserve"> because it impacts, in part, all of these dockets.  Docket No. 20200145-EI was opened to have one central docket in which to address the 2020 Agreement. The Signatories are deemed parties for purposes of the proceeding described below in which the Commission will consider the 2020 Agreement. </w:t>
      </w:r>
    </w:p>
    <w:p w:rsidR="00421A8E" w:rsidRDefault="00421A8E" w:rsidP="003A3AF6">
      <w:pPr>
        <w:pStyle w:val="OrderBody"/>
        <w:rPr>
          <w:highlight w:val="yellow"/>
        </w:rPr>
      </w:pPr>
    </w:p>
    <w:p w:rsidR="004E4FEF" w:rsidRPr="004E4FEF" w:rsidRDefault="004E4FEF" w:rsidP="001C5C21">
      <w:pPr>
        <w:pStyle w:val="OrderBody"/>
        <w:ind w:firstLine="720"/>
      </w:pPr>
      <w:r>
        <w:t>TECO contends that if the 2020 Agreement is approved, it will establish, as to TECO, a series of stipulation</w:t>
      </w:r>
      <w:r w:rsidR="00BE4A8E">
        <w:t>s</w:t>
      </w:r>
      <w:r>
        <w:t xml:space="preserve"> that will reduce the issues to be litigated in Docket N</w:t>
      </w:r>
      <w:r w:rsidR="00BE4A8E">
        <w:t>os. 20200067-EI</w:t>
      </w:r>
      <w:r w:rsidR="00FE4316">
        <w:t xml:space="preserve"> and </w:t>
      </w:r>
      <w:r w:rsidR="00FE4316">
        <w:lastRenderedPageBreak/>
        <w:t>20200092-EI</w:t>
      </w:r>
      <w:r w:rsidR="003A3AF6">
        <w:t>,</w:t>
      </w:r>
      <w:r w:rsidR="00BE4A8E">
        <w:t xml:space="preserve"> thereby allowing the </w:t>
      </w:r>
      <w:r w:rsidR="003736FA">
        <w:t>Signatories</w:t>
      </w:r>
      <w:r w:rsidR="00BE4A8E">
        <w:t xml:space="preserve"> and the Commissi</w:t>
      </w:r>
      <w:r w:rsidR="00FE4316">
        <w:t>on to focus on the merits of</w:t>
      </w:r>
      <w:r w:rsidR="00BE4A8E">
        <w:t xml:space="preserve"> </w:t>
      </w:r>
      <w:r w:rsidR="001C5C21">
        <w:t>TECO</w:t>
      </w:r>
      <w:r w:rsidR="00BE4A8E">
        <w:t>’s S</w:t>
      </w:r>
      <w:r w:rsidR="00F21ABD">
        <w:t xml:space="preserve">torm </w:t>
      </w:r>
      <w:r w:rsidR="00BE4A8E">
        <w:t>P</w:t>
      </w:r>
      <w:r w:rsidR="00F21ABD">
        <w:t xml:space="preserve">rotection </w:t>
      </w:r>
      <w:r w:rsidR="00BE4A8E">
        <w:t>P</w:t>
      </w:r>
      <w:r w:rsidR="00F21ABD">
        <w:t>lan</w:t>
      </w:r>
      <w:r w:rsidR="00BE4A8E">
        <w:t xml:space="preserve"> and the recovery of the costs associated with that Plan in 2020 and 2021 in Docket No. 20200092-EI. TECO states that if the 2020 Agreement is approved, it will resolve all issues currently pending in Docket No. 20200065-EI</w:t>
      </w:r>
      <w:r w:rsidR="003A3AF6">
        <w:t>,</w:t>
      </w:r>
      <w:r w:rsidR="00BE4A8E">
        <w:t xml:space="preserve"> and reduce the issues to be litigated in Docket No. 20200064-EI.</w:t>
      </w:r>
      <w:r>
        <w:t xml:space="preserve"> </w:t>
      </w:r>
    </w:p>
    <w:p w:rsidR="00421A8E" w:rsidRPr="00745CCF" w:rsidRDefault="00421A8E" w:rsidP="00421A8E">
      <w:pPr>
        <w:pStyle w:val="OrderBody"/>
        <w:ind w:firstLine="720"/>
        <w:rPr>
          <w:highlight w:val="yellow"/>
        </w:rPr>
      </w:pPr>
    </w:p>
    <w:p w:rsidR="00421A8E" w:rsidRDefault="006D147E" w:rsidP="00421A8E">
      <w:pPr>
        <w:pStyle w:val="OrderBody"/>
        <w:ind w:firstLine="720"/>
        <w:rPr>
          <w:highlight w:val="yellow"/>
        </w:rPr>
      </w:pPr>
      <w:r w:rsidRPr="006D147E">
        <w:t>The 2020</w:t>
      </w:r>
      <w:r w:rsidR="00421A8E" w:rsidRPr="006D147E">
        <w:t xml:space="preserve"> Agreement also presents a base rate</w:t>
      </w:r>
      <w:r w:rsidRPr="006D147E">
        <w:t xml:space="preserve"> revenue reduction amount </w:t>
      </w:r>
      <w:r>
        <w:t>and</w:t>
      </w:r>
      <w:r w:rsidR="00903156">
        <w:t xml:space="preserve"> reflects a determination of </w:t>
      </w:r>
      <w:r w:rsidR="00A35EF4">
        <w:t xml:space="preserve">certain </w:t>
      </w:r>
      <w:r w:rsidR="00903156">
        <w:t xml:space="preserve">expenses </w:t>
      </w:r>
      <w:r w:rsidR="00463D4F">
        <w:t>for which</w:t>
      </w:r>
      <w:r w:rsidR="00903156">
        <w:t xml:space="preserve"> TEC</w:t>
      </w:r>
      <w:r w:rsidR="00463D4F">
        <w:t>O plans to seek cost recovery</w:t>
      </w:r>
      <w:r w:rsidR="00903156">
        <w:t xml:space="preserve"> through the Storm Protection Plan Cost Recovery Clause</w:t>
      </w:r>
      <w:r w:rsidR="00463D4F">
        <w:t>, Docket No. 20200092-EI</w:t>
      </w:r>
      <w:r w:rsidR="00903156">
        <w:t xml:space="preserve">. </w:t>
      </w:r>
      <w:r w:rsidR="00051E2F">
        <w:t>TECO contends that approval of the 2020 Agreement promotes regulatory economy and administrative efficiency, and avoid</w:t>
      </w:r>
      <w:r w:rsidR="00C42828">
        <w:t>s</w:t>
      </w:r>
      <w:r w:rsidR="00051E2F">
        <w:t xml:space="preserve"> the time and expense associated with litigating the settled issues in the vario</w:t>
      </w:r>
      <w:r w:rsidR="00C42828">
        <w:t>u</w:t>
      </w:r>
      <w:r w:rsidR="00051E2F">
        <w:t xml:space="preserve">s existing and continuing Commission dockets.  </w:t>
      </w:r>
    </w:p>
    <w:p w:rsidR="00421A8E" w:rsidRPr="00051E2F" w:rsidRDefault="00421A8E" w:rsidP="00421A8E">
      <w:pPr>
        <w:pStyle w:val="OrderBody"/>
      </w:pPr>
    </w:p>
    <w:p w:rsidR="00421A8E" w:rsidRDefault="00421A8E" w:rsidP="00421A8E">
      <w:pPr>
        <w:pStyle w:val="OrderBody"/>
      </w:pPr>
      <w:r w:rsidRPr="00051E2F">
        <w:tab/>
      </w:r>
      <w:r w:rsidR="00051E2F" w:rsidRPr="00051E2F">
        <w:t>TECO</w:t>
      </w:r>
      <w:r w:rsidR="00F21ABD">
        <w:t xml:space="preserve">, with the support of the </w:t>
      </w:r>
      <w:r w:rsidR="00463D4F">
        <w:t>Signatories</w:t>
      </w:r>
      <w:r w:rsidR="00F21ABD">
        <w:t>,</w:t>
      </w:r>
      <w:r w:rsidRPr="00051E2F">
        <w:t xml:space="preserve"> requests </w:t>
      </w:r>
      <w:r w:rsidR="00EA3473">
        <w:t>that</w:t>
      </w:r>
      <w:r w:rsidRPr="00051E2F">
        <w:t xml:space="preserve"> the Commission </w:t>
      </w:r>
      <w:r w:rsidR="00F21ABD">
        <w:t>schedule the 2020 Agreement for the Commission’s consideration as soon as possible.</w:t>
      </w:r>
      <w:r w:rsidR="00051E2F" w:rsidRPr="00051E2F">
        <w:t xml:space="preserve"> </w:t>
      </w:r>
      <w:r w:rsidRPr="00051E2F">
        <w:t xml:space="preserve"> </w:t>
      </w:r>
      <w:r w:rsidR="00051E2F">
        <w:t xml:space="preserve">TECO states </w:t>
      </w:r>
      <w:r w:rsidR="00051E2F" w:rsidRPr="00051E2F">
        <w:t xml:space="preserve">that the </w:t>
      </w:r>
      <w:r w:rsidR="00463D4F">
        <w:t>Signatories</w:t>
      </w:r>
      <w:r w:rsidR="00051E2F" w:rsidRPr="00051E2F">
        <w:t xml:space="preserve"> to the 2020</w:t>
      </w:r>
      <w:r w:rsidRPr="00051E2F">
        <w:t xml:space="preserve"> Agreement b</w:t>
      </w:r>
      <w:r w:rsidR="00051E2F" w:rsidRPr="00051E2F">
        <w:t>elieve that approval of the 2020</w:t>
      </w:r>
      <w:r w:rsidRPr="00051E2F">
        <w:t xml:space="preserve"> Agreement is in the best interests of the customers the </w:t>
      </w:r>
      <w:r w:rsidR="00463D4F">
        <w:t>Signatories</w:t>
      </w:r>
      <w:r w:rsidR="00051E2F" w:rsidRPr="00051E2F">
        <w:t xml:space="preserve"> represent, and that the 2020</w:t>
      </w:r>
      <w:r w:rsidRPr="00051E2F">
        <w:t xml:space="preserve"> Agreement in its totality</w:t>
      </w:r>
      <w:r w:rsidR="00051E2F" w:rsidRPr="00051E2F">
        <w:t xml:space="preserve"> is</w:t>
      </w:r>
      <w:r w:rsidRPr="00051E2F">
        <w:t xml:space="preserve"> in the public interest.</w:t>
      </w:r>
      <w:r w:rsidR="00396026">
        <w:t xml:space="preserve">  TECO states that the </w:t>
      </w:r>
      <w:r w:rsidR="00463D4F">
        <w:t>Signatories</w:t>
      </w:r>
      <w:r w:rsidR="00396026">
        <w:t xml:space="preserve"> agree that if the 2020 Agreement is approved, then the approval of the 2020 Agreement will resolve specified matters in Docket Nos. 20200064-EI, 20200065-EI, 20200067-EI, and 20200092-EI.  </w:t>
      </w:r>
    </w:p>
    <w:p w:rsidR="00421A8E" w:rsidRDefault="00421A8E" w:rsidP="00421A8E">
      <w:pPr>
        <w:pStyle w:val="OrderBody"/>
        <w:rPr>
          <w:u w:val="single"/>
        </w:rPr>
      </w:pPr>
    </w:p>
    <w:p w:rsidR="00421A8E" w:rsidRDefault="00421A8E" w:rsidP="00421A8E">
      <w:pPr>
        <w:ind w:firstLine="720"/>
        <w:jc w:val="both"/>
      </w:pPr>
      <w:r w:rsidRPr="00694F4F">
        <w:t xml:space="preserve">Based on its </w:t>
      </w:r>
      <w:r w:rsidR="003A3AF6">
        <w:t>Motion</w:t>
      </w:r>
      <w:r w:rsidRPr="00694F4F">
        <w:t xml:space="preserve"> and </w:t>
      </w:r>
      <w:r w:rsidR="00694F4F" w:rsidRPr="00694F4F">
        <w:t>TECO’s</w:t>
      </w:r>
      <w:r w:rsidRPr="00694F4F">
        <w:t xml:space="preserve"> representation that the </w:t>
      </w:r>
      <w:r w:rsidR="00463D4F">
        <w:t>Signatories</w:t>
      </w:r>
      <w:r w:rsidRPr="00694F4F">
        <w:t xml:space="preserve"> to the 20</w:t>
      </w:r>
      <w:r w:rsidR="00694F4F" w:rsidRPr="00694F4F">
        <w:t>20</w:t>
      </w:r>
      <w:r w:rsidRPr="00694F4F">
        <w:t xml:space="preserve"> Agreement are in support of the requested proceedings,</w:t>
      </w:r>
      <w:r w:rsidR="00D21EE7">
        <w:t xml:space="preserve"> an administrative hearing is hereby scheduled on this matter</w:t>
      </w:r>
      <w:r w:rsidR="00147719">
        <w:t xml:space="preserve">, to commence </w:t>
      </w:r>
      <w:r w:rsidR="00172881">
        <w:t xml:space="preserve">immediately </w:t>
      </w:r>
      <w:r w:rsidR="00D21EE7" w:rsidRPr="00172881">
        <w:t>following</w:t>
      </w:r>
      <w:r w:rsidR="00D21EE7">
        <w:t xml:space="preserve"> the Commission’s Agenda Conference on June 9, 2020.</w:t>
      </w:r>
    </w:p>
    <w:p w:rsidR="003A3AF6" w:rsidRPr="00745CCF" w:rsidRDefault="003A3AF6" w:rsidP="00421A8E">
      <w:pPr>
        <w:ind w:firstLine="720"/>
        <w:jc w:val="both"/>
        <w:rPr>
          <w:highlight w:val="yellow"/>
        </w:rPr>
      </w:pPr>
    </w:p>
    <w:p w:rsidR="003A3AF6" w:rsidRPr="00745CCF" w:rsidRDefault="003A3AF6" w:rsidP="003A3AF6">
      <w:pPr>
        <w:pStyle w:val="OrderBody"/>
        <w:ind w:firstLine="720"/>
        <w:rPr>
          <w:highlight w:val="yellow"/>
        </w:rPr>
      </w:pPr>
      <w:r>
        <w:t>This Order is issued pursuant to the authority granted by Rule 28-106.211, Florida Administrative Code (F.A.C.), which provides that the presiding office</w:t>
      </w:r>
      <w:r w:rsidR="00D21EE7">
        <w:t>r</w:t>
      </w:r>
      <w:r>
        <w:t xml:space="preserve"> before whom a case is pending may issue any orders necessary to effectuate discovery, prevent delay, and promote the just, speedy, an</w:t>
      </w:r>
      <w:r w:rsidR="00262B65">
        <w:t>d</w:t>
      </w:r>
      <w:r>
        <w:t xml:space="preserve"> inexpensive determination of all aspects of the case. </w:t>
      </w:r>
    </w:p>
    <w:p w:rsidR="00463D4F" w:rsidRDefault="00463D4F" w:rsidP="00463D4F">
      <w:pPr>
        <w:jc w:val="both"/>
        <w:rPr>
          <w:u w:val="single"/>
        </w:rPr>
      </w:pPr>
    </w:p>
    <w:p w:rsidR="00463D4F" w:rsidRDefault="00463D4F" w:rsidP="00463D4F">
      <w:pPr>
        <w:jc w:val="both"/>
        <w:rPr>
          <w:u w:val="single"/>
        </w:rPr>
      </w:pPr>
      <w:r>
        <w:rPr>
          <w:u w:val="single"/>
        </w:rPr>
        <w:t>Intervention</w:t>
      </w:r>
    </w:p>
    <w:p w:rsidR="00463D4F" w:rsidRDefault="00463D4F" w:rsidP="00463D4F">
      <w:pPr>
        <w:jc w:val="both"/>
        <w:rPr>
          <w:u w:val="single"/>
        </w:rPr>
      </w:pPr>
    </w:p>
    <w:p w:rsidR="00463D4F" w:rsidRPr="00B83DF2" w:rsidRDefault="00463D4F" w:rsidP="00B83DF2">
      <w:pPr>
        <w:jc w:val="both"/>
      </w:pPr>
      <w:r>
        <w:tab/>
        <w:t>Pursuant to Rule 28-106.205, F.A.C., p</w:t>
      </w:r>
      <w:r w:rsidRPr="00AD3CCB">
        <w:t>ersons other than the original parties to a pending proceeding whose substantial interest will be affected by the proceeding and who desire to become parties may move the presiding officer for leave to intervene. Except for good cause shown, motions for leave to intervene must be filed at least 20 days before the final hearing unless otherwise provided by law.</w:t>
      </w:r>
    </w:p>
    <w:p w:rsidR="00463D4F" w:rsidRPr="00745CCF" w:rsidRDefault="00463D4F" w:rsidP="00421A8E">
      <w:pPr>
        <w:pStyle w:val="OrderBody"/>
        <w:rPr>
          <w:highlight w:val="yellow"/>
          <w:u w:val="single"/>
        </w:rPr>
      </w:pPr>
    </w:p>
    <w:p w:rsidR="00421A8E" w:rsidRPr="00694F4F" w:rsidRDefault="00421A8E" w:rsidP="00421A8E">
      <w:pPr>
        <w:pStyle w:val="OrderBody"/>
        <w:rPr>
          <w:u w:val="single"/>
        </w:rPr>
      </w:pPr>
      <w:r w:rsidRPr="00694F4F">
        <w:rPr>
          <w:u w:val="single"/>
        </w:rPr>
        <w:t>Discovery</w:t>
      </w:r>
    </w:p>
    <w:p w:rsidR="00421A8E" w:rsidRPr="00694F4F" w:rsidRDefault="00421A8E" w:rsidP="00421A8E">
      <w:pPr>
        <w:pStyle w:val="OrderBody"/>
      </w:pPr>
    </w:p>
    <w:p w:rsidR="00421A8E" w:rsidRDefault="00421A8E" w:rsidP="00421A8E">
      <w:pPr>
        <w:ind w:firstLine="720"/>
        <w:jc w:val="both"/>
      </w:pPr>
      <w:r w:rsidRPr="00694F4F">
        <w:t xml:space="preserve">Commission staff and the parties shall be permitted a limited time to send no more than 150 data requests. Parties are directed to respond to the data requests in writing so the response is received within 5 days of receipt of the request. Affidavits must accompany all written data responses. All data responses must be received by </w:t>
      </w:r>
      <w:r w:rsidR="00694F4F">
        <w:t>May 29, 2020</w:t>
      </w:r>
      <w:r w:rsidRPr="00694F4F">
        <w:t>. Information obtained through data request responses may be used by the parties in their oral arguments, by staff in advising the Commission, and by the Commissioners in co</w:t>
      </w:r>
      <w:r w:rsidR="00D37DF9">
        <w:t>nsideration of the proposed 2020</w:t>
      </w:r>
      <w:r w:rsidRPr="00694F4F">
        <w:t xml:space="preserve"> Agreement.</w:t>
      </w:r>
    </w:p>
    <w:p w:rsidR="00A35EF4" w:rsidRPr="00D37DF9" w:rsidRDefault="00A35EF4" w:rsidP="00D21EE7">
      <w:pPr>
        <w:jc w:val="both"/>
      </w:pPr>
    </w:p>
    <w:p w:rsidR="00421A8E" w:rsidRPr="00D37DF9" w:rsidRDefault="00421A8E" w:rsidP="00421A8E">
      <w:pPr>
        <w:rPr>
          <w:u w:val="single"/>
        </w:rPr>
      </w:pPr>
      <w:r w:rsidRPr="00D37DF9">
        <w:rPr>
          <w:u w:val="single"/>
        </w:rPr>
        <w:t>Use of Confidential Information at Hearing</w:t>
      </w:r>
    </w:p>
    <w:p w:rsidR="00421A8E" w:rsidRPr="00D37DF9" w:rsidRDefault="00421A8E" w:rsidP="00421A8E">
      <w:pPr>
        <w:ind w:firstLine="720"/>
        <w:jc w:val="both"/>
      </w:pPr>
      <w:r w:rsidRPr="00D37DF9">
        <w:tab/>
      </w:r>
    </w:p>
    <w:p w:rsidR="00421A8E" w:rsidRPr="00D37DF9" w:rsidRDefault="00421A8E" w:rsidP="00421A8E">
      <w:pPr>
        <w:ind w:firstLine="720"/>
        <w:jc w:val="both"/>
      </w:pPr>
      <w:r w:rsidRPr="00D37DF9">
        <w:t>While it is the Commission’s policy to have all Commission hearings open to the public at all times, the Commission also recognizes its obligation pursuant to Section 366.093, F</w:t>
      </w:r>
      <w:r w:rsidR="00D21EE7">
        <w:t>lorida Statutes (F</w:t>
      </w:r>
      <w:r w:rsidRPr="00D37DF9">
        <w:t>.S.</w:t>
      </w:r>
      <w:r w:rsidR="00D21EE7">
        <w:t>)</w:t>
      </w:r>
      <w:r w:rsidRPr="00D37DF9">
        <w:t>, to protect proprietary confidential business information from disclosure outside the proceeding.  Therefore, any party wishing to use at the hearing any proprietary confidential business information, as that term is defined in Section 366.093, F.S., shall adhere to the following:</w:t>
      </w:r>
    </w:p>
    <w:p w:rsidR="00421A8E" w:rsidRPr="00D37DF9" w:rsidRDefault="00421A8E" w:rsidP="00421A8E">
      <w:pPr>
        <w:ind w:firstLine="720"/>
        <w:jc w:val="both"/>
      </w:pPr>
      <w:r w:rsidRPr="00D37DF9">
        <w:tab/>
      </w:r>
    </w:p>
    <w:p w:rsidR="00421A8E" w:rsidRPr="00D37DF9" w:rsidRDefault="00421A8E" w:rsidP="00421A8E">
      <w:pPr>
        <w:ind w:left="1440" w:right="720" w:hanging="720"/>
        <w:jc w:val="both"/>
      </w:pPr>
      <w:r w:rsidRPr="00D37DF9">
        <w:t>(1)</w:t>
      </w:r>
      <w:r w:rsidRPr="00D37DF9">
        <w:tab/>
        <w:t>When confidential information is used in the hearing,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421A8E" w:rsidRPr="00D37DF9" w:rsidRDefault="00421A8E" w:rsidP="00421A8E">
      <w:pPr>
        <w:ind w:left="720" w:right="720" w:firstLine="720"/>
        <w:jc w:val="both"/>
      </w:pPr>
    </w:p>
    <w:p w:rsidR="00421A8E" w:rsidRPr="00D37DF9" w:rsidRDefault="00421A8E" w:rsidP="00421A8E">
      <w:pPr>
        <w:ind w:left="1440" w:right="720" w:hanging="720"/>
        <w:jc w:val="both"/>
      </w:pPr>
      <w:r w:rsidRPr="00D37DF9">
        <w:t>(2)</w:t>
      </w:r>
      <w:r w:rsidRPr="00D37DF9">
        <w:tab/>
        <w:t>Counsel and witnesses are cautioned to avoid verbalizing confidential information in such a way that would compromise confidentiality.  Therefore, confidential information should be presented by written exhibit when reasonably possible.</w:t>
      </w:r>
    </w:p>
    <w:p w:rsidR="00421A8E" w:rsidRPr="00D37DF9" w:rsidRDefault="00421A8E" w:rsidP="00421A8E">
      <w:pPr>
        <w:ind w:firstLine="720"/>
      </w:pPr>
      <w:r w:rsidRPr="00D37DF9">
        <w:tab/>
      </w:r>
      <w:r w:rsidRPr="00D37DF9">
        <w:tab/>
      </w:r>
    </w:p>
    <w:p w:rsidR="00421A8E" w:rsidRDefault="00421A8E" w:rsidP="00421A8E">
      <w:pPr>
        <w:ind w:firstLine="720"/>
        <w:jc w:val="both"/>
      </w:pPr>
      <w:r w:rsidRPr="00D37DF9">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AD3CCB" w:rsidRDefault="00AD3CCB" w:rsidP="00AD3CCB">
      <w:pPr>
        <w:jc w:val="both"/>
      </w:pPr>
    </w:p>
    <w:p w:rsidR="00AD3CCB" w:rsidRDefault="00AD3CCB" w:rsidP="00AD3CCB">
      <w:pPr>
        <w:jc w:val="both"/>
      </w:pPr>
      <w:r>
        <w:rPr>
          <w:u w:val="single"/>
        </w:rPr>
        <w:t>Hearing Exhibits</w:t>
      </w:r>
    </w:p>
    <w:p w:rsidR="00AD3CCB" w:rsidRDefault="00AD3CCB" w:rsidP="00AD3CCB">
      <w:pPr>
        <w:jc w:val="both"/>
      </w:pPr>
    </w:p>
    <w:p w:rsidR="00AD3CCB" w:rsidRDefault="00AD3CCB" w:rsidP="00AD3CCB">
      <w:pPr>
        <w:ind w:firstLine="720"/>
        <w:jc w:val="both"/>
      </w:pPr>
      <w:r>
        <w:t>A</w:t>
      </w:r>
      <w:r w:rsidR="00312AF1">
        <w:t>ll</w:t>
      </w:r>
      <w:r>
        <w:t xml:space="preserve"> exhibits to be sponsored by the parties or staff, or utilized for the purposes of cross-examination </w:t>
      </w:r>
      <w:r w:rsidR="006F1BB4" w:rsidRPr="009E7340">
        <w:t>or impeachment</w:t>
      </w:r>
      <w:r w:rsidR="006F1BB4">
        <w:t xml:space="preserve"> </w:t>
      </w:r>
      <w:r>
        <w:t>at the hearing, must be filed electronically in this docket, with an electronic copy of all such documents also provided to all parties and Commission staff, no later than June 2, 2020.  Any confidential exhibits sh</w:t>
      </w:r>
      <w:r w:rsidR="00EC08D4">
        <w:t>all</w:t>
      </w:r>
      <w:r>
        <w:t xml:space="preserve"> be identified in such a way as to not disclose information for which confidential</w:t>
      </w:r>
      <w:r w:rsidR="00312AF1">
        <w:t xml:space="preserve"> treatment </w:t>
      </w:r>
      <w:r>
        <w:t>is requested</w:t>
      </w:r>
      <w:r w:rsidR="00312AF1">
        <w:t>, with the exhibits filed consistent with the requirements of Section 366.093, F.S., and Rule 25-22.006, F.A.C., with copies provided to those parties who have executed appropriate nondisclosure agreements.</w:t>
      </w:r>
    </w:p>
    <w:p w:rsidR="00463D4F" w:rsidRPr="00AD3CCB" w:rsidRDefault="00463D4F" w:rsidP="00AD3CCB">
      <w:pPr>
        <w:ind w:firstLine="720"/>
        <w:jc w:val="both"/>
      </w:pPr>
    </w:p>
    <w:p w:rsidR="00421A8E" w:rsidRPr="00D37DF9" w:rsidRDefault="00421A8E" w:rsidP="00421A8E">
      <w:pPr>
        <w:rPr>
          <w:u w:val="single"/>
        </w:rPr>
      </w:pPr>
      <w:r w:rsidRPr="00D37DF9">
        <w:rPr>
          <w:u w:val="single"/>
        </w:rPr>
        <w:t>Hearing Procedures</w:t>
      </w:r>
    </w:p>
    <w:p w:rsidR="00421A8E" w:rsidRDefault="00421A8E" w:rsidP="00421A8E"/>
    <w:p w:rsidR="00680978" w:rsidRDefault="00136C84" w:rsidP="00421A8E">
      <w:pPr>
        <w:ind w:firstLine="720"/>
        <w:jc w:val="both"/>
      </w:pPr>
      <w:r>
        <w:t xml:space="preserve">State buildings are currently closed to the public and other restrictions on gatherings remain in place due to COVID-19. Accordingly, the </w:t>
      </w:r>
      <w:r w:rsidR="006E401D">
        <w:t>hearing will be conducted remotely, and all parties and witnesses s</w:t>
      </w:r>
      <w:r w:rsidR="002376FE">
        <w:t>hall</w:t>
      </w:r>
      <w:r>
        <w:t xml:space="preserve"> be prepared to present argument and testimony by communications media technology.  </w:t>
      </w:r>
    </w:p>
    <w:p w:rsidR="00680978" w:rsidRDefault="00680978" w:rsidP="00421A8E">
      <w:pPr>
        <w:ind w:firstLine="720"/>
        <w:jc w:val="both"/>
      </w:pPr>
    </w:p>
    <w:p w:rsidR="00421A8E" w:rsidRPr="000402A4" w:rsidRDefault="00421A8E" w:rsidP="00421A8E">
      <w:pPr>
        <w:ind w:firstLine="720"/>
        <w:jc w:val="both"/>
      </w:pPr>
      <w:r w:rsidRPr="000402A4">
        <w:t xml:space="preserve">Section 120.57(4), F.S., permits the Commission to informally dispose of any proceeding by stipulation, agreed settlement, or consent order.  Pursuant to Rule 28-106.302(2), F.A.C., the purpose of this hearing is for the Commission to take oral </w:t>
      </w:r>
      <w:r w:rsidR="00657907">
        <w:t xml:space="preserve">and written </w:t>
      </w:r>
      <w:r w:rsidRPr="000402A4">
        <w:t xml:space="preserve">evidence or argument regarding </w:t>
      </w:r>
      <w:r w:rsidR="000402A4" w:rsidRPr="000402A4">
        <w:t xml:space="preserve">TECO’s </w:t>
      </w:r>
      <w:r w:rsidR="00657907">
        <w:t>Motion</w:t>
      </w:r>
      <w:r w:rsidRPr="000402A4">
        <w:t xml:space="preserve"> for a</w:t>
      </w:r>
      <w:r w:rsidR="00657907">
        <w:t>pproval of the 2020 Agreement</w:t>
      </w:r>
      <w:r w:rsidRPr="000402A4">
        <w:t xml:space="preserve"> </w:t>
      </w:r>
      <w:r w:rsidR="00F21ABD">
        <w:t>as being in the public interest</w:t>
      </w:r>
      <w:r w:rsidRPr="000402A4">
        <w:t xml:space="preserve">. </w:t>
      </w:r>
    </w:p>
    <w:p w:rsidR="00421A8E" w:rsidRPr="000402A4" w:rsidRDefault="00421A8E" w:rsidP="00421A8E">
      <w:pPr>
        <w:ind w:firstLine="720"/>
      </w:pPr>
    </w:p>
    <w:p w:rsidR="00421A8E" w:rsidRPr="00657907" w:rsidRDefault="00421A8E" w:rsidP="00421A8E">
      <w:pPr>
        <w:ind w:firstLine="720"/>
        <w:jc w:val="both"/>
      </w:pPr>
      <w:r w:rsidRPr="00657907">
        <w:t xml:space="preserve">The hearing agenda for </w:t>
      </w:r>
      <w:r w:rsidR="000402A4" w:rsidRPr="00657907">
        <w:t>June 9, 2020</w:t>
      </w:r>
      <w:r w:rsidRPr="00657907">
        <w:t>, will include the following:</w:t>
      </w:r>
    </w:p>
    <w:p w:rsidR="00421A8E" w:rsidRPr="00745CCF" w:rsidRDefault="00421A8E" w:rsidP="00421A8E">
      <w:pPr>
        <w:ind w:firstLine="720"/>
        <w:jc w:val="both"/>
        <w:rPr>
          <w:highlight w:val="yellow"/>
        </w:rPr>
      </w:pPr>
    </w:p>
    <w:p w:rsidR="00421A8E" w:rsidRPr="000402A4" w:rsidRDefault="00421A8E" w:rsidP="00421A8E">
      <w:pPr>
        <w:pStyle w:val="ListParagraph"/>
        <w:numPr>
          <w:ilvl w:val="0"/>
          <w:numId w:val="1"/>
        </w:numPr>
        <w:spacing w:line="480" w:lineRule="auto"/>
        <w:jc w:val="both"/>
      </w:pPr>
      <w:r w:rsidRPr="000402A4">
        <w:t>Parties present Opening Statements</w:t>
      </w:r>
      <w:r w:rsidR="00657907">
        <w:t xml:space="preserve"> of no more than 5</w:t>
      </w:r>
      <w:r w:rsidRPr="000402A4">
        <w:t xml:space="preserve"> minutes per party</w:t>
      </w:r>
      <w:r w:rsidR="00657907">
        <w:t>;</w:t>
      </w:r>
      <w:r w:rsidRPr="000402A4">
        <w:t xml:space="preserve"> </w:t>
      </w:r>
    </w:p>
    <w:p w:rsidR="00421A8E" w:rsidRPr="000402A4" w:rsidRDefault="00421A8E" w:rsidP="00421A8E">
      <w:pPr>
        <w:pStyle w:val="ListParagraph"/>
        <w:numPr>
          <w:ilvl w:val="0"/>
          <w:numId w:val="1"/>
        </w:numPr>
        <w:spacing w:line="480" w:lineRule="auto"/>
        <w:jc w:val="both"/>
      </w:pPr>
      <w:r w:rsidRPr="000402A4">
        <w:t>Public Testimony</w:t>
      </w:r>
      <w:r w:rsidR="00657907">
        <w:t>, if any;</w:t>
      </w:r>
    </w:p>
    <w:p w:rsidR="00421A8E" w:rsidRPr="000402A4" w:rsidRDefault="00421A8E" w:rsidP="00421A8E">
      <w:pPr>
        <w:pStyle w:val="ListParagraph"/>
        <w:numPr>
          <w:ilvl w:val="0"/>
          <w:numId w:val="1"/>
        </w:numPr>
        <w:jc w:val="both"/>
      </w:pPr>
      <w:r w:rsidRPr="000402A4">
        <w:t>Parties present evidence and respond to questions from Commissioners regarding the 20</w:t>
      </w:r>
      <w:r w:rsidR="000402A4">
        <w:t>20</w:t>
      </w:r>
      <w:r w:rsidRPr="000402A4">
        <w:t xml:space="preserve"> Agreement</w:t>
      </w:r>
      <w:r w:rsidR="00657907">
        <w:t>.</w:t>
      </w:r>
    </w:p>
    <w:p w:rsidR="00421A8E" w:rsidRPr="00745CCF" w:rsidRDefault="00421A8E" w:rsidP="00421A8E">
      <w:pPr>
        <w:pStyle w:val="ListParagraph"/>
        <w:ind w:left="1440"/>
        <w:jc w:val="both"/>
        <w:rPr>
          <w:highlight w:val="yellow"/>
        </w:rPr>
      </w:pPr>
    </w:p>
    <w:p w:rsidR="00421A8E" w:rsidRPr="000402A4" w:rsidRDefault="00657907" w:rsidP="00421A8E">
      <w:pPr>
        <w:jc w:val="both"/>
      </w:pPr>
      <w:r>
        <w:t xml:space="preserve">Upon </w:t>
      </w:r>
      <w:r w:rsidRPr="00657907">
        <w:t>the admission of all testimony and evidence, and completion of the Commission’s questions at hearing, the hearing record will be closed.</w:t>
      </w:r>
      <w:r>
        <w:t xml:space="preserve"> </w:t>
      </w:r>
      <w:r w:rsidRPr="00657907">
        <w:t>At that time, the Commission may render a bench decision, provided all parties are willing to waive filing of post-hearing briefs.</w:t>
      </w:r>
      <w:r>
        <w:t xml:space="preserve">  </w:t>
      </w:r>
      <w:r w:rsidR="00421A8E" w:rsidRPr="000402A4">
        <w:t>If a bench decision is not made, the Commission will render a decision during a</w:t>
      </w:r>
      <w:r w:rsidR="00463D4F">
        <w:t>n</w:t>
      </w:r>
      <w:r w:rsidR="00421A8E" w:rsidRPr="000402A4">
        <w:t xml:space="preserve"> Agenda Conference; date and time to be determined. Briefs, if any, will be due </w:t>
      </w:r>
      <w:r w:rsidR="000402A4" w:rsidRPr="000402A4">
        <w:t>June 23, 2020</w:t>
      </w:r>
      <w:r w:rsidR="00421A8E" w:rsidRPr="000402A4">
        <w:t>.</w:t>
      </w:r>
    </w:p>
    <w:p w:rsidR="00421A8E" w:rsidRPr="00745CCF" w:rsidRDefault="00421A8E" w:rsidP="00421A8E">
      <w:pPr>
        <w:jc w:val="both"/>
        <w:rPr>
          <w:highlight w:val="yellow"/>
        </w:rPr>
      </w:pPr>
    </w:p>
    <w:p w:rsidR="00D57E57" w:rsidRDefault="00421A8E" w:rsidP="00421A8E">
      <w:pPr>
        <w:jc w:val="both"/>
      </w:pPr>
      <w:r w:rsidRPr="00364118">
        <w:tab/>
        <w:t xml:space="preserve">The Commission has jurisdiction in this matter pursuant to Chapters 120, and 366, F.S., and is proceeding under its authority under Sections 366.04, </w:t>
      </w:r>
      <w:r w:rsidR="001773A4">
        <w:t>366.05, 366.06,</w:t>
      </w:r>
      <w:r w:rsidRPr="00364118">
        <w:t xml:space="preserve"> </w:t>
      </w:r>
      <w:r w:rsidR="00E25048">
        <w:t>and 120.57, F.S.</w:t>
      </w:r>
    </w:p>
    <w:p w:rsidR="00421A8E" w:rsidRDefault="00421A8E" w:rsidP="00D57E57"/>
    <w:p w:rsidR="00421A8E" w:rsidRDefault="00421A8E" w:rsidP="00421A8E">
      <w:pPr>
        <w:pStyle w:val="OrderBody"/>
      </w:pPr>
      <w:r>
        <w:tab/>
        <w:t>Based on the foregoing, it is</w:t>
      </w:r>
    </w:p>
    <w:p w:rsidR="00421A8E" w:rsidRDefault="00421A8E" w:rsidP="00421A8E">
      <w:pPr>
        <w:pStyle w:val="OrderBody"/>
      </w:pPr>
    </w:p>
    <w:p w:rsidR="00421A8E" w:rsidRDefault="00421A8E" w:rsidP="00421A8E">
      <w:pPr>
        <w:jc w:val="both"/>
      </w:pPr>
      <w:r>
        <w:tab/>
        <w:t>ORDERED by Chairman Gary F. Clark, as Prehearing Officer, that the provisions of this Order shall govern this proceeding unless modified by the Commission.</w:t>
      </w:r>
    </w:p>
    <w:p w:rsidR="00421A8E" w:rsidRDefault="00421A8E" w:rsidP="00421A8E"/>
    <w:p w:rsidR="00421A8E" w:rsidRDefault="00421A8E" w:rsidP="00421A8E">
      <w:pPr>
        <w:pStyle w:val="OrderBody"/>
        <w:keepNext/>
        <w:keepLines/>
      </w:pPr>
      <w:r>
        <w:tab/>
        <w:t xml:space="preserve">By ORDER of Chairman Gary F. Clark, as Prehearing Officer, this </w:t>
      </w:r>
      <w:bookmarkStart w:id="7" w:name="replaceDate"/>
      <w:bookmarkEnd w:id="7"/>
      <w:r w:rsidR="00704C9F">
        <w:rPr>
          <w:u w:val="single"/>
        </w:rPr>
        <w:t>19th</w:t>
      </w:r>
      <w:r w:rsidR="00704C9F">
        <w:t xml:space="preserve"> day of </w:t>
      </w:r>
      <w:r w:rsidR="00704C9F">
        <w:rPr>
          <w:u w:val="single"/>
        </w:rPr>
        <w:t>May</w:t>
      </w:r>
      <w:r w:rsidR="00704C9F">
        <w:t xml:space="preserve">, </w:t>
      </w:r>
      <w:r w:rsidR="00704C9F">
        <w:rPr>
          <w:u w:val="single"/>
        </w:rPr>
        <w:t>2020</w:t>
      </w:r>
      <w:r w:rsidR="00704C9F">
        <w:t>.</w:t>
      </w:r>
    </w:p>
    <w:p w:rsidR="00704C9F" w:rsidRPr="00704C9F" w:rsidRDefault="00704C9F" w:rsidP="00421A8E">
      <w:pPr>
        <w:pStyle w:val="OrderBody"/>
        <w:keepNext/>
        <w:keepLines/>
      </w:pPr>
    </w:p>
    <w:p w:rsidR="00421A8E" w:rsidRDefault="00421A8E" w:rsidP="00421A8E">
      <w:pPr>
        <w:pStyle w:val="OrderBody"/>
        <w:keepNext/>
        <w:keepLines/>
      </w:pPr>
    </w:p>
    <w:p w:rsidR="00421A8E" w:rsidRDefault="00421A8E" w:rsidP="00421A8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421A8E" w:rsidTr="00421A8E">
        <w:tc>
          <w:tcPr>
            <w:tcW w:w="720" w:type="dxa"/>
            <w:shd w:val="clear" w:color="auto" w:fill="auto"/>
          </w:tcPr>
          <w:p w:rsidR="00421A8E" w:rsidRDefault="00421A8E" w:rsidP="00421A8E">
            <w:pPr>
              <w:pStyle w:val="OrderBody"/>
              <w:keepNext/>
              <w:keepLines/>
            </w:pPr>
            <w:bookmarkStart w:id="8" w:name="bkmrkSignature" w:colFirst="0" w:colLast="0"/>
          </w:p>
        </w:tc>
        <w:tc>
          <w:tcPr>
            <w:tcW w:w="4320" w:type="dxa"/>
            <w:tcBorders>
              <w:bottom w:val="single" w:sz="4" w:space="0" w:color="auto"/>
            </w:tcBorders>
            <w:shd w:val="clear" w:color="auto" w:fill="auto"/>
          </w:tcPr>
          <w:p w:rsidR="00421A8E" w:rsidRDefault="00704C9F" w:rsidP="00421A8E">
            <w:pPr>
              <w:pStyle w:val="OrderBody"/>
              <w:keepNext/>
              <w:keepLines/>
            </w:pPr>
            <w:r>
              <w:t>/s/ Gary F. Clark</w:t>
            </w:r>
            <w:bookmarkStart w:id="9" w:name="_GoBack"/>
            <w:bookmarkEnd w:id="9"/>
          </w:p>
        </w:tc>
      </w:tr>
      <w:bookmarkEnd w:id="8"/>
      <w:tr w:rsidR="00421A8E" w:rsidTr="00421A8E">
        <w:tc>
          <w:tcPr>
            <w:tcW w:w="720" w:type="dxa"/>
            <w:shd w:val="clear" w:color="auto" w:fill="auto"/>
          </w:tcPr>
          <w:p w:rsidR="00421A8E" w:rsidRDefault="00421A8E" w:rsidP="00421A8E">
            <w:pPr>
              <w:pStyle w:val="OrderBody"/>
              <w:keepNext/>
              <w:keepLines/>
            </w:pPr>
          </w:p>
        </w:tc>
        <w:tc>
          <w:tcPr>
            <w:tcW w:w="4320" w:type="dxa"/>
            <w:tcBorders>
              <w:top w:val="single" w:sz="4" w:space="0" w:color="auto"/>
            </w:tcBorders>
            <w:shd w:val="clear" w:color="auto" w:fill="auto"/>
          </w:tcPr>
          <w:p w:rsidR="00421A8E" w:rsidRDefault="00421A8E" w:rsidP="00421A8E">
            <w:pPr>
              <w:pStyle w:val="OrderBody"/>
              <w:keepNext/>
              <w:keepLines/>
            </w:pPr>
            <w:r>
              <w:t>GARY F. CLARK</w:t>
            </w:r>
          </w:p>
          <w:p w:rsidR="00421A8E" w:rsidRDefault="00421A8E" w:rsidP="00421A8E">
            <w:pPr>
              <w:pStyle w:val="OrderBody"/>
              <w:keepNext/>
              <w:keepLines/>
            </w:pPr>
            <w:r>
              <w:t>Chairman and Prehearing Officer</w:t>
            </w:r>
          </w:p>
        </w:tc>
      </w:tr>
    </w:tbl>
    <w:p w:rsidR="00421A8E" w:rsidRDefault="00421A8E" w:rsidP="00421A8E">
      <w:pPr>
        <w:pStyle w:val="OrderSigInfo"/>
        <w:keepNext/>
        <w:keepLines/>
      </w:pPr>
      <w:r>
        <w:t>Florida Public Service Commission</w:t>
      </w:r>
    </w:p>
    <w:p w:rsidR="00421A8E" w:rsidRDefault="00421A8E" w:rsidP="00421A8E">
      <w:pPr>
        <w:pStyle w:val="OrderSigInfo"/>
        <w:keepNext/>
        <w:keepLines/>
      </w:pPr>
      <w:r>
        <w:t>2540 Shumard Oak Boulevard</w:t>
      </w:r>
    </w:p>
    <w:p w:rsidR="00421A8E" w:rsidRDefault="00421A8E" w:rsidP="00421A8E">
      <w:pPr>
        <w:pStyle w:val="OrderSigInfo"/>
        <w:keepNext/>
        <w:keepLines/>
      </w:pPr>
      <w:r>
        <w:t>Tallahassee, Florida 32399</w:t>
      </w:r>
    </w:p>
    <w:p w:rsidR="00421A8E" w:rsidRDefault="00421A8E" w:rsidP="00421A8E">
      <w:pPr>
        <w:pStyle w:val="OrderSigInfo"/>
        <w:keepNext/>
        <w:keepLines/>
      </w:pPr>
      <w:r>
        <w:t>(850) 413</w:t>
      </w:r>
      <w:r>
        <w:noBreakHyphen/>
        <w:t>6770</w:t>
      </w:r>
    </w:p>
    <w:p w:rsidR="00421A8E" w:rsidRDefault="00421A8E" w:rsidP="00421A8E">
      <w:pPr>
        <w:pStyle w:val="OrderSigInfo"/>
        <w:keepNext/>
        <w:keepLines/>
      </w:pPr>
      <w:r>
        <w:t>www.floridapsc.com</w:t>
      </w:r>
    </w:p>
    <w:p w:rsidR="00421A8E" w:rsidRDefault="00421A8E" w:rsidP="00421A8E">
      <w:pPr>
        <w:pStyle w:val="OrderSigInfo"/>
        <w:keepNext/>
        <w:keepLines/>
      </w:pPr>
    </w:p>
    <w:p w:rsidR="00421A8E" w:rsidRDefault="00421A8E" w:rsidP="00421A8E">
      <w:pPr>
        <w:pStyle w:val="OrderSigInfo"/>
        <w:keepNext/>
        <w:keepLines/>
      </w:pPr>
      <w:r>
        <w:t>Copies furnished:  A copy of this document is provided to the parties of record at the time of issuance and, if applicable, interested persons.</w:t>
      </w:r>
    </w:p>
    <w:p w:rsidR="00421A8E" w:rsidRDefault="00421A8E" w:rsidP="00421A8E">
      <w:pPr>
        <w:pStyle w:val="OrderBody"/>
        <w:keepNext/>
        <w:keepLines/>
      </w:pPr>
    </w:p>
    <w:p w:rsidR="00421A8E" w:rsidRDefault="00421A8E" w:rsidP="00421A8E">
      <w:pPr>
        <w:pStyle w:val="OrderBody"/>
        <w:keepNext/>
        <w:keepLines/>
      </w:pPr>
    </w:p>
    <w:p w:rsidR="00421A8E" w:rsidRDefault="00421A8E" w:rsidP="00421A8E">
      <w:pPr>
        <w:pStyle w:val="OrderBody"/>
        <w:keepNext/>
        <w:keepLines/>
      </w:pPr>
      <w:r>
        <w:t>BYL</w:t>
      </w:r>
    </w:p>
    <w:p w:rsidR="00396026" w:rsidRDefault="00396026" w:rsidP="00421A8E">
      <w:pPr>
        <w:pStyle w:val="OrderBody"/>
      </w:pPr>
    </w:p>
    <w:p w:rsidR="00A35EF4" w:rsidRDefault="00A35EF4" w:rsidP="00421A8E">
      <w:pPr>
        <w:pStyle w:val="OrderBody"/>
      </w:pPr>
    </w:p>
    <w:p w:rsidR="0016368F" w:rsidRDefault="0016368F" w:rsidP="00421A8E">
      <w:pPr>
        <w:pStyle w:val="OrderBody"/>
      </w:pPr>
    </w:p>
    <w:p w:rsidR="0016368F" w:rsidRDefault="0016368F" w:rsidP="00421A8E">
      <w:pPr>
        <w:pStyle w:val="OrderBody"/>
      </w:pPr>
    </w:p>
    <w:p w:rsidR="0016368F" w:rsidRDefault="0016368F" w:rsidP="00421A8E">
      <w:pPr>
        <w:pStyle w:val="OrderBody"/>
      </w:pPr>
    </w:p>
    <w:p w:rsidR="001773A4" w:rsidRDefault="001773A4" w:rsidP="00421A8E">
      <w:pPr>
        <w:pStyle w:val="CenterUnderline"/>
      </w:pPr>
    </w:p>
    <w:p w:rsidR="00AB125D" w:rsidRDefault="00AB125D">
      <w:pPr>
        <w:rPr>
          <w:u w:val="single"/>
        </w:rPr>
      </w:pPr>
      <w:r>
        <w:br w:type="page"/>
      </w:r>
    </w:p>
    <w:p w:rsidR="00421A8E" w:rsidRDefault="00421A8E" w:rsidP="00421A8E">
      <w:pPr>
        <w:pStyle w:val="CenterUnderline"/>
      </w:pPr>
      <w:r>
        <w:t>NOTICE OF FURTHER PROCEEDINGS OR JUDICIAL REVIEW</w:t>
      </w:r>
    </w:p>
    <w:p w:rsidR="00421A8E" w:rsidRDefault="00421A8E" w:rsidP="00421A8E">
      <w:pPr>
        <w:pStyle w:val="CenterUnderline"/>
      </w:pPr>
    </w:p>
    <w:p w:rsidR="00421A8E" w:rsidRDefault="00421A8E" w:rsidP="00421A8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21A8E" w:rsidRDefault="00421A8E" w:rsidP="00421A8E">
      <w:pPr>
        <w:pStyle w:val="OrderBody"/>
      </w:pPr>
    </w:p>
    <w:p w:rsidR="00421A8E" w:rsidRDefault="00421A8E" w:rsidP="00421A8E">
      <w:pPr>
        <w:pStyle w:val="OrderBody"/>
      </w:pPr>
      <w:r>
        <w:tab/>
        <w:t>Mediation may be available on a case-by-case basis.  If mediation is conducted, it does not affect a substantially interested person's right to a hearing.</w:t>
      </w:r>
    </w:p>
    <w:p w:rsidR="00421A8E" w:rsidRDefault="00421A8E" w:rsidP="00421A8E">
      <w:pPr>
        <w:pStyle w:val="OrderBody"/>
      </w:pPr>
    </w:p>
    <w:p w:rsidR="00421A8E" w:rsidRDefault="00421A8E" w:rsidP="00421A8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421A8E" w:rsidRPr="00421A8E" w:rsidRDefault="00421A8E" w:rsidP="00421A8E">
      <w:pPr>
        <w:pStyle w:val="OrderBody"/>
      </w:pPr>
    </w:p>
    <w:sectPr w:rsidR="00421A8E" w:rsidRPr="00421A8E">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A8E" w:rsidRDefault="00421A8E">
      <w:r>
        <w:separator/>
      </w:r>
    </w:p>
  </w:endnote>
  <w:endnote w:type="continuationSeparator" w:id="0">
    <w:p w:rsidR="00421A8E" w:rsidRDefault="0042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A8E" w:rsidRDefault="00421A8E">
      <w:r>
        <w:separator/>
      </w:r>
    </w:p>
  </w:footnote>
  <w:footnote w:type="continuationSeparator" w:id="0">
    <w:p w:rsidR="00421A8E" w:rsidRDefault="00421A8E">
      <w:r>
        <w:continuationSeparator/>
      </w:r>
    </w:p>
  </w:footnote>
  <w:footnote w:id="1">
    <w:p w:rsidR="006E401D" w:rsidRDefault="006E401D" w:rsidP="006E401D">
      <w:pPr>
        <w:pStyle w:val="FootnoteText"/>
      </w:pPr>
      <w:r>
        <w:rPr>
          <w:rStyle w:val="FootnoteReference"/>
        </w:rPr>
        <w:footnoteRef/>
      </w:r>
      <w:r>
        <w:t xml:space="preserve"> </w:t>
      </w:r>
      <w:r w:rsidRPr="006D5520">
        <w:rPr>
          <w:i/>
        </w:rPr>
        <w:t>In re: Petition for a limited proceeding to approve fourth SoBRA, by Tampa Electric Company.</w:t>
      </w:r>
    </w:p>
  </w:footnote>
  <w:footnote w:id="2">
    <w:p w:rsidR="006E401D" w:rsidRDefault="006E401D" w:rsidP="006E401D">
      <w:pPr>
        <w:pStyle w:val="FootnoteText"/>
      </w:pPr>
      <w:r>
        <w:rPr>
          <w:rStyle w:val="FootnoteReference"/>
        </w:rPr>
        <w:footnoteRef/>
      </w:r>
      <w:r>
        <w:t xml:space="preserve"> </w:t>
      </w:r>
      <w:r w:rsidRPr="006D5520">
        <w:rPr>
          <w:i/>
        </w:rPr>
        <w:t>In re: Petition for a limited proceeding to eliminate accumulated amortization reserve surplus for intangible software assets, by Tampa Electric Company.</w:t>
      </w:r>
    </w:p>
  </w:footnote>
  <w:footnote w:id="3">
    <w:p w:rsidR="006E401D" w:rsidRDefault="006E401D" w:rsidP="006E401D">
      <w:pPr>
        <w:pStyle w:val="FootnoteText"/>
      </w:pPr>
      <w:r>
        <w:rPr>
          <w:rStyle w:val="FootnoteReference"/>
        </w:rPr>
        <w:footnoteRef/>
      </w:r>
      <w:r>
        <w:t xml:space="preserve"> </w:t>
      </w:r>
      <w:r w:rsidRPr="00502C44">
        <w:rPr>
          <w:i/>
        </w:rPr>
        <w:t>In re: Review of 2020-2029 Storm Protection Plan pursuant to Rule 25-6.030, F.A.C., Tampa Electric Company.</w:t>
      </w:r>
    </w:p>
  </w:footnote>
  <w:footnote w:id="4">
    <w:p w:rsidR="006E401D" w:rsidRDefault="006E401D" w:rsidP="006E401D">
      <w:pPr>
        <w:pStyle w:val="FootnoteText"/>
      </w:pPr>
      <w:r>
        <w:rPr>
          <w:rStyle w:val="FootnoteReference"/>
        </w:rPr>
        <w:footnoteRef/>
      </w:r>
      <w:r>
        <w:t xml:space="preserve"> </w:t>
      </w:r>
      <w:r w:rsidRPr="00502C44">
        <w:rPr>
          <w:i/>
        </w:rPr>
        <w:t>In re: Storm protection plan cost recovery clause.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64 ">
      <w:r w:rsidR="00704C9F">
        <w:t>PSC-2020-0164-PCO-EI</w:t>
      </w:r>
    </w:fldSimple>
  </w:p>
  <w:p w:rsidR="009B01BA" w:rsidRDefault="00421A8E">
    <w:pPr>
      <w:pStyle w:val="OrderHeader"/>
    </w:pPr>
    <w:bookmarkStart w:id="10" w:name="HeaderDocketNo"/>
    <w:bookmarkEnd w:id="10"/>
    <w:r>
      <w:t>DOCKET NO. 20200145-EI</w:t>
    </w:r>
    <w:r w:rsidR="009B01BA">
      <w:t xml:space="preserve">, 20200064-EI, </w:t>
    </w:r>
  </w:p>
  <w:p w:rsidR="009B01BA" w:rsidRDefault="009B01BA">
    <w:pPr>
      <w:pStyle w:val="OrderHeader"/>
    </w:pPr>
    <w:r>
      <w:t>20200065-EI, 20200067-EI, and 20200092-EI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04C9F">
      <w:rPr>
        <w:rStyle w:val="PageNumber"/>
        <w:noProof/>
      </w:rPr>
      <w:t>5</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A6836"/>
    <w:multiLevelType w:val="hybridMultilevel"/>
    <w:tmpl w:val="A93A97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45-EI"/>
  </w:docVars>
  <w:rsids>
    <w:rsidRoot w:val="00421A8E"/>
    <w:rsid w:val="000022B8"/>
    <w:rsid w:val="00025C9D"/>
    <w:rsid w:val="0003433F"/>
    <w:rsid w:val="00035A8C"/>
    <w:rsid w:val="00036BDD"/>
    <w:rsid w:val="000402A4"/>
    <w:rsid w:val="00051E2F"/>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36C84"/>
    <w:rsid w:val="00142A96"/>
    <w:rsid w:val="00147719"/>
    <w:rsid w:val="001513DE"/>
    <w:rsid w:val="00154A71"/>
    <w:rsid w:val="0016368F"/>
    <w:rsid w:val="001655D4"/>
    <w:rsid w:val="00172881"/>
    <w:rsid w:val="001773A4"/>
    <w:rsid w:val="00185EB9"/>
    <w:rsid w:val="00187E32"/>
    <w:rsid w:val="00194A97"/>
    <w:rsid w:val="00194E81"/>
    <w:rsid w:val="001A15E7"/>
    <w:rsid w:val="001A33C9"/>
    <w:rsid w:val="001A58F3"/>
    <w:rsid w:val="001B034E"/>
    <w:rsid w:val="001C2847"/>
    <w:rsid w:val="001C3BB5"/>
    <w:rsid w:val="001C3F8C"/>
    <w:rsid w:val="001C5C21"/>
    <w:rsid w:val="001C6097"/>
    <w:rsid w:val="001C7126"/>
    <w:rsid w:val="001D008A"/>
    <w:rsid w:val="001E0152"/>
    <w:rsid w:val="001E0FF5"/>
    <w:rsid w:val="001F4CA3"/>
    <w:rsid w:val="002002ED"/>
    <w:rsid w:val="002170E5"/>
    <w:rsid w:val="00220D57"/>
    <w:rsid w:val="0022721A"/>
    <w:rsid w:val="00230BB9"/>
    <w:rsid w:val="002376FE"/>
    <w:rsid w:val="00241CEF"/>
    <w:rsid w:val="0025124E"/>
    <w:rsid w:val="00252B30"/>
    <w:rsid w:val="002613E4"/>
    <w:rsid w:val="00262B65"/>
    <w:rsid w:val="0026544B"/>
    <w:rsid w:val="00270405"/>
    <w:rsid w:val="00276CDC"/>
    <w:rsid w:val="00277655"/>
    <w:rsid w:val="002779E6"/>
    <w:rsid w:val="002824B7"/>
    <w:rsid w:val="00282AC4"/>
    <w:rsid w:val="00292D55"/>
    <w:rsid w:val="00293DC9"/>
    <w:rsid w:val="002A11AC"/>
    <w:rsid w:val="002A21F3"/>
    <w:rsid w:val="002A6F30"/>
    <w:rsid w:val="002B3111"/>
    <w:rsid w:val="002C2096"/>
    <w:rsid w:val="002C7908"/>
    <w:rsid w:val="002D391B"/>
    <w:rsid w:val="002D4B1F"/>
    <w:rsid w:val="002D7D15"/>
    <w:rsid w:val="002E1B2E"/>
    <w:rsid w:val="002E27EB"/>
    <w:rsid w:val="002F2A9D"/>
    <w:rsid w:val="002F31C2"/>
    <w:rsid w:val="002F7BF6"/>
    <w:rsid w:val="00303FDE"/>
    <w:rsid w:val="00312AF1"/>
    <w:rsid w:val="00313C5B"/>
    <w:rsid w:val="003140E8"/>
    <w:rsid w:val="003231C7"/>
    <w:rsid w:val="00323839"/>
    <w:rsid w:val="003270C4"/>
    <w:rsid w:val="00331ED0"/>
    <w:rsid w:val="00332B0A"/>
    <w:rsid w:val="00333A41"/>
    <w:rsid w:val="00345434"/>
    <w:rsid w:val="0035495B"/>
    <w:rsid w:val="0035510E"/>
    <w:rsid w:val="00355A93"/>
    <w:rsid w:val="0035677E"/>
    <w:rsid w:val="00361522"/>
    <w:rsid w:val="00364118"/>
    <w:rsid w:val="0037196E"/>
    <w:rsid w:val="003736FA"/>
    <w:rsid w:val="003744F5"/>
    <w:rsid w:val="003875A9"/>
    <w:rsid w:val="00387BDE"/>
    <w:rsid w:val="00390DD8"/>
    <w:rsid w:val="00394DC6"/>
    <w:rsid w:val="00396026"/>
    <w:rsid w:val="00397C3E"/>
    <w:rsid w:val="003A3AF6"/>
    <w:rsid w:val="003B1A09"/>
    <w:rsid w:val="003D4CCA"/>
    <w:rsid w:val="003D52A6"/>
    <w:rsid w:val="003D6416"/>
    <w:rsid w:val="003E1D48"/>
    <w:rsid w:val="003E711F"/>
    <w:rsid w:val="003F1D2B"/>
    <w:rsid w:val="00411DF2"/>
    <w:rsid w:val="00411E8F"/>
    <w:rsid w:val="00421A8E"/>
    <w:rsid w:val="004247F5"/>
    <w:rsid w:val="0042527B"/>
    <w:rsid w:val="00427EAC"/>
    <w:rsid w:val="004431B4"/>
    <w:rsid w:val="00446056"/>
    <w:rsid w:val="0045537F"/>
    <w:rsid w:val="00457DC7"/>
    <w:rsid w:val="00463D4F"/>
    <w:rsid w:val="004640B3"/>
    <w:rsid w:val="00464452"/>
    <w:rsid w:val="00472BCC"/>
    <w:rsid w:val="004A25CD"/>
    <w:rsid w:val="004A26CC"/>
    <w:rsid w:val="004A7FD7"/>
    <w:rsid w:val="004B2108"/>
    <w:rsid w:val="004B3A2B"/>
    <w:rsid w:val="004B70D3"/>
    <w:rsid w:val="004C312D"/>
    <w:rsid w:val="004D2D1B"/>
    <w:rsid w:val="004D4532"/>
    <w:rsid w:val="004D5067"/>
    <w:rsid w:val="004D6838"/>
    <w:rsid w:val="004D72BC"/>
    <w:rsid w:val="004E469D"/>
    <w:rsid w:val="004E4FEF"/>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07A38"/>
    <w:rsid w:val="00610221"/>
    <w:rsid w:val="00610E73"/>
    <w:rsid w:val="00616DF2"/>
    <w:rsid w:val="0063168D"/>
    <w:rsid w:val="00647025"/>
    <w:rsid w:val="0064730A"/>
    <w:rsid w:val="006531A4"/>
    <w:rsid w:val="00657907"/>
    <w:rsid w:val="00660774"/>
    <w:rsid w:val="0066389A"/>
    <w:rsid w:val="0066495C"/>
    <w:rsid w:val="00665CC7"/>
    <w:rsid w:val="00672612"/>
    <w:rsid w:val="00677F18"/>
    <w:rsid w:val="00680978"/>
    <w:rsid w:val="00693483"/>
    <w:rsid w:val="00694F4F"/>
    <w:rsid w:val="00696516"/>
    <w:rsid w:val="006A0BF3"/>
    <w:rsid w:val="006B0036"/>
    <w:rsid w:val="006B0DA6"/>
    <w:rsid w:val="006C547E"/>
    <w:rsid w:val="006D147E"/>
    <w:rsid w:val="006D2B51"/>
    <w:rsid w:val="006D5575"/>
    <w:rsid w:val="006D7191"/>
    <w:rsid w:val="006E401D"/>
    <w:rsid w:val="006E42BE"/>
    <w:rsid w:val="006E5D4D"/>
    <w:rsid w:val="006E6D16"/>
    <w:rsid w:val="006F1BB4"/>
    <w:rsid w:val="00703F2A"/>
    <w:rsid w:val="00704C5D"/>
    <w:rsid w:val="00704C9F"/>
    <w:rsid w:val="007072BC"/>
    <w:rsid w:val="00715275"/>
    <w:rsid w:val="00721B44"/>
    <w:rsid w:val="007232A2"/>
    <w:rsid w:val="00726366"/>
    <w:rsid w:val="00733B6B"/>
    <w:rsid w:val="00740808"/>
    <w:rsid w:val="00745CCF"/>
    <w:rsid w:val="007467C4"/>
    <w:rsid w:val="0076170F"/>
    <w:rsid w:val="0076669C"/>
    <w:rsid w:val="00766E46"/>
    <w:rsid w:val="00777727"/>
    <w:rsid w:val="0078166A"/>
    <w:rsid w:val="00782515"/>
    <w:rsid w:val="00782B79"/>
    <w:rsid w:val="00783811"/>
    <w:rsid w:val="007865E9"/>
    <w:rsid w:val="0079237D"/>
    <w:rsid w:val="00792383"/>
    <w:rsid w:val="00794D5A"/>
    <w:rsid w:val="00794DD9"/>
    <w:rsid w:val="00797F6D"/>
    <w:rsid w:val="007A060F"/>
    <w:rsid w:val="007B350E"/>
    <w:rsid w:val="007B6969"/>
    <w:rsid w:val="007C0FBC"/>
    <w:rsid w:val="007C36E3"/>
    <w:rsid w:val="007C7134"/>
    <w:rsid w:val="007C7A46"/>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187D"/>
    <w:rsid w:val="008F578F"/>
    <w:rsid w:val="00903156"/>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B01BA"/>
    <w:rsid w:val="009D4C29"/>
    <w:rsid w:val="009E7340"/>
    <w:rsid w:val="009F6AD2"/>
    <w:rsid w:val="00A00D8D"/>
    <w:rsid w:val="00A01BB6"/>
    <w:rsid w:val="00A35EF4"/>
    <w:rsid w:val="00A4303C"/>
    <w:rsid w:val="00A46CAF"/>
    <w:rsid w:val="00A470FD"/>
    <w:rsid w:val="00A50B5E"/>
    <w:rsid w:val="00A62DAB"/>
    <w:rsid w:val="00A6757A"/>
    <w:rsid w:val="00A726A6"/>
    <w:rsid w:val="00A74842"/>
    <w:rsid w:val="00A97535"/>
    <w:rsid w:val="00AA2BAA"/>
    <w:rsid w:val="00AA6516"/>
    <w:rsid w:val="00AA73F1"/>
    <w:rsid w:val="00AB0E1A"/>
    <w:rsid w:val="00AB125D"/>
    <w:rsid w:val="00AB1A30"/>
    <w:rsid w:val="00AB3C36"/>
    <w:rsid w:val="00AB3D30"/>
    <w:rsid w:val="00AD10EB"/>
    <w:rsid w:val="00AD1ED3"/>
    <w:rsid w:val="00AD3CCB"/>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3DF2"/>
    <w:rsid w:val="00B86EF0"/>
    <w:rsid w:val="00B96969"/>
    <w:rsid w:val="00B97900"/>
    <w:rsid w:val="00BA1229"/>
    <w:rsid w:val="00BA44A8"/>
    <w:rsid w:val="00BA49C5"/>
    <w:rsid w:val="00BC786E"/>
    <w:rsid w:val="00BD5C92"/>
    <w:rsid w:val="00BE4A8E"/>
    <w:rsid w:val="00BE50E6"/>
    <w:rsid w:val="00BE7A0C"/>
    <w:rsid w:val="00BF6691"/>
    <w:rsid w:val="00C028FC"/>
    <w:rsid w:val="00C037F2"/>
    <w:rsid w:val="00C0386D"/>
    <w:rsid w:val="00C065A1"/>
    <w:rsid w:val="00C10154"/>
    <w:rsid w:val="00C10ED5"/>
    <w:rsid w:val="00C151A6"/>
    <w:rsid w:val="00C24098"/>
    <w:rsid w:val="00C30A4E"/>
    <w:rsid w:val="00C411F3"/>
    <w:rsid w:val="00C42828"/>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10C6"/>
    <w:rsid w:val="00D21EE7"/>
    <w:rsid w:val="00D23FEA"/>
    <w:rsid w:val="00D269CA"/>
    <w:rsid w:val="00D30B48"/>
    <w:rsid w:val="00D3168A"/>
    <w:rsid w:val="00D37DF9"/>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7CB"/>
    <w:rsid w:val="00E03A76"/>
    <w:rsid w:val="00E04410"/>
    <w:rsid w:val="00E07484"/>
    <w:rsid w:val="00E11351"/>
    <w:rsid w:val="00E14CB4"/>
    <w:rsid w:val="00E25048"/>
    <w:rsid w:val="00E4225C"/>
    <w:rsid w:val="00E44879"/>
    <w:rsid w:val="00E52DDE"/>
    <w:rsid w:val="00E72914"/>
    <w:rsid w:val="00E75AE0"/>
    <w:rsid w:val="00E83C1F"/>
    <w:rsid w:val="00E85684"/>
    <w:rsid w:val="00E8794B"/>
    <w:rsid w:val="00E97656"/>
    <w:rsid w:val="00EA172C"/>
    <w:rsid w:val="00EA259B"/>
    <w:rsid w:val="00EA3473"/>
    <w:rsid w:val="00EA35A3"/>
    <w:rsid w:val="00EA3E6A"/>
    <w:rsid w:val="00EB18EF"/>
    <w:rsid w:val="00EB7951"/>
    <w:rsid w:val="00EC08D4"/>
    <w:rsid w:val="00ED6A79"/>
    <w:rsid w:val="00EE17DF"/>
    <w:rsid w:val="00EF1482"/>
    <w:rsid w:val="00EF4621"/>
    <w:rsid w:val="00EF4D52"/>
    <w:rsid w:val="00EF6312"/>
    <w:rsid w:val="00F038B0"/>
    <w:rsid w:val="00F05F34"/>
    <w:rsid w:val="00F21ABD"/>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24F3"/>
    <w:rsid w:val="00FE4316"/>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421A8E"/>
    <w:pPr>
      <w:ind w:left="720"/>
      <w:contextualSpacing/>
    </w:pPr>
  </w:style>
  <w:style w:type="paragraph" w:styleId="BalloonText">
    <w:name w:val="Balloon Text"/>
    <w:basedOn w:val="Normal"/>
    <w:link w:val="BalloonTextChar"/>
    <w:semiHidden/>
    <w:unhideWhenUsed/>
    <w:rsid w:val="00704C9F"/>
    <w:rPr>
      <w:rFonts w:ascii="Segoe UI" w:hAnsi="Segoe UI" w:cs="Segoe UI"/>
      <w:sz w:val="18"/>
      <w:szCs w:val="18"/>
    </w:rPr>
  </w:style>
  <w:style w:type="character" w:customStyle="1" w:styleId="BalloonTextChar">
    <w:name w:val="Balloon Text Char"/>
    <w:basedOn w:val="DefaultParagraphFont"/>
    <w:link w:val="BalloonText"/>
    <w:semiHidden/>
    <w:rsid w:val="00704C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E0DE4-DCAF-45E6-9C2C-957BF6206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6</Pages>
  <Words>1693</Words>
  <Characters>9654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2020-05-19T17:50:00Z</dcterms:created>
  <dcterms:modified xsi:type="dcterms:W3CDTF">2020-05-19T18:12:00Z</dcterms:modified>
</cp:coreProperties>
</file>