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E0C2E" w14:textId="77777777" w:rsidR="00CB5276" w:rsidRDefault="00593389" w:rsidP="00593389">
      <w:pPr>
        <w:pStyle w:val="OrderHeading"/>
      </w:pPr>
      <w:r>
        <w:t>BEFORE THE FLORIDA PUBLIC SERVICE COMMISSION</w:t>
      </w:r>
    </w:p>
    <w:p w14:paraId="334631A1" w14:textId="77777777" w:rsidR="00593389" w:rsidRDefault="00593389" w:rsidP="00593389">
      <w:pPr>
        <w:pStyle w:val="OrderBody"/>
      </w:pPr>
    </w:p>
    <w:p w14:paraId="26EABD24" w14:textId="77777777" w:rsidR="00593389" w:rsidRDefault="00593389" w:rsidP="005933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3389" w:rsidRPr="00C63FCF" w14:paraId="27DCA292" w14:textId="77777777" w:rsidTr="00C63FCF">
        <w:trPr>
          <w:trHeight w:val="828"/>
        </w:trPr>
        <w:tc>
          <w:tcPr>
            <w:tcW w:w="4788" w:type="dxa"/>
            <w:tcBorders>
              <w:bottom w:val="single" w:sz="8" w:space="0" w:color="auto"/>
              <w:right w:val="double" w:sz="6" w:space="0" w:color="auto"/>
            </w:tcBorders>
            <w:shd w:val="clear" w:color="auto" w:fill="auto"/>
          </w:tcPr>
          <w:p w14:paraId="1666C4C7" w14:textId="77777777" w:rsidR="00593389" w:rsidRDefault="00593389" w:rsidP="00C63FCF">
            <w:pPr>
              <w:pStyle w:val="OrderBody"/>
              <w:tabs>
                <w:tab w:val="center" w:pos="4320"/>
                <w:tab w:val="right" w:pos="8640"/>
              </w:tabs>
              <w:jc w:val="left"/>
            </w:pPr>
            <w:r>
              <w:t xml:space="preserve">In re: </w:t>
            </w:r>
            <w:bookmarkStart w:id="0" w:name="SSInRe"/>
            <w:bookmarkEnd w:id="0"/>
            <w:r>
              <w:t>Petition for a limited proceeding to approve third solar base rate adjustment, by Duke Energy Florida, LLC.</w:t>
            </w:r>
          </w:p>
        </w:tc>
        <w:tc>
          <w:tcPr>
            <w:tcW w:w="4788" w:type="dxa"/>
            <w:tcBorders>
              <w:left w:val="double" w:sz="6" w:space="0" w:color="auto"/>
            </w:tcBorders>
            <w:shd w:val="clear" w:color="auto" w:fill="auto"/>
          </w:tcPr>
          <w:p w14:paraId="7F97D0B1" w14:textId="11B94388" w:rsidR="00593389" w:rsidRDefault="00593389" w:rsidP="00593389">
            <w:pPr>
              <w:pStyle w:val="OrderBody"/>
            </w:pPr>
            <w:r>
              <w:t xml:space="preserve">DOCKET NO. </w:t>
            </w:r>
            <w:bookmarkStart w:id="1" w:name="SSDocketNo"/>
            <w:bookmarkEnd w:id="1"/>
            <w:r w:rsidR="004350B9">
              <w:t>20200153-EI</w:t>
            </w:r>
          </w:p>
          <w:p w14:paraId="7E2E24A9" w14:textId="2460BF9B" w:rsidR="00593389" w:rsidRDefault="00593389" w:rsidP="00C63FCF">
            <w:pPr>
              <w:pStyle w:val="OrderBody"/>
              <w:tabs>
                <w:tab w:val="center" w:pos="4320"/>
                <w:tab w:val="right" w:pos="8640"/>
              </w:tabs>
              <w:jc w:val="left"/>
            </w:pPr>
            <w:r>
              <w:t xml:space="preserve">ORDER NO. </w:t>
            </w:r>
            <w:bookmarkStart w:id="2" w:name="OrderNo0271"/>
            <w:r w:rsidR="00AE11C2">
              <w:t>PSC-2020-0271-PCO-EI</w:t>
            </w:r>
            <w:bookmarkEnd w:id="2"/>
          </w:p>
          <w:p w14:paraId="4B416C18" w14:textId="2EA35ECC" w:rsidR="00593389" w:rsidRDefault="00593389" w:rsidP="00C63FCF">
            <w:pPr>
              <w:pStyle w:val="OrderBody"/>
              <w:tabs>
                <w:tab w:val="center" w:pos="4320"/>
                <w:tab w:val="right" w:pos="8640"/>
              </w:tabs>
              <w:jc w:val="left"/>
            </w:pPr>
            <w:r>
              <w:t xml:space="preserve">ISSUED: </w:t>
            </w:r>
            <w:r w:rsidR="00AE11C2">
              <w:t>July 28, 2020</w:t>
            </w:r>
          </w:p>
        </w:tc>
      </w:tr>
    </w:tbl>
    <w:p w14:paraId="56558A50" w14:textId="77777777" w:rsidR="00593389" w:rsidRDefault="00593389" w:rsidP="00593389"/>
    <w:p w14:paraId="2AA7FFA6" w14:textId="77777777" w:rsidR="00593389" w:rsidRDefault="00593389" w:rsidP="00593389"/>
    <w:p w14:paraId="0A073BF4" w14:textId="77777777" w:rsidR="00CB5276" w:rsidRDefault="00593389" w:rsidP="00593389">
      <w:pPr>
        <w:pStyle w:val="CenterUnderline"/>
      </w:pPr>
      <w:bookmarkStart w:id="3" w:name="Commissioners"/>
      <w:bookmarkEnd w:id="3"/>
      <w:r>
        <w:t>ORDER</w:t>
      </w:r>
      <w:bookmarkStart w:id="4" w:name="OrderTitle"/>
      <w:r>
        <w:t xml:space="preserve"> DENYING</w:t>
      </w:r>
      <w:r w:rsidRPr="00593389">
        <w:t xml:space="preserve"> INTERVENTION</w:t>
      </w:r>
      <w:r>
        <w:t xml:space="preserve"> </w:t>
      </w:r>
      <w:bookmarkEnd w:id="4"/>
    </w:p>
    <w:p w14:paraId="5293BF67" w14:textId="77777777" w:rsidR="00593389" w:rsidRDefault="00593389" w:rsidP="00593389">
      <w:pPr>
        <w:pStyle w:val="CenterUnderline"/>
      </w:pPr>
    </w:p>
    <w:p w14:paraId="0922C25D" w14:textId="77777777" w:rsidR="00ED5C56" w:rsidRDefault="00643222" w:rsidP="00ED5C56">
      <w:pPr>
        <w:jc w:val="both"/>
      </w:pPr>
      <w:bookmarkStart w:id="5" w:name="OrderText"/>
      <w:bookmarkEnd w:id="5"/>
      <w:r>
        <w:tab/>
      </w:r>
      <w:r w:rsidR="00954153">
        <w:t xml:space="preserve">The Commission approved </w:t>
      </w:r>
      <w:r w:rsidR="00E35251">
        <w:t>Duke Energy Florida, LLC’s (DEF) 2017 Second Revised and Restated Sett</w:t>
      </w:r>
      <w:bookmarkStart w:id="6" w:name="_GoBack"/>
      <w:bookmarkEnd w:id="6"/>
      <w:r w:rsidR="00E35251">
        <w:t xml:space="preserve">lement Agreement (2017 Settlement) </w:t>
      </w:r>
      <w:r w:rsidR="00954153">
        <w:t xml:space="preserve">by Order No. PSC-2017-0451-AS-EU, issued </w:t>
      </w:r>
      <w:r w:rsidR="00E35251">
        <w:t>on November 20, 2017</w:t>
      </w:r>
      <w:r w:rsidR="00954153">
        <w:t>.</w:t>
      </w:r>
      <w:r w:rsidR="00E35251">
        <w:rPr>
          <w:rStyle w:val="FootnoteReference"/>
        </w:rPr>
        <w:footnoteReference w:id="1"/>
      </w:r>
      <w:r w:rsidR="00E35251">
        <w:t xml:space="preserve">  </w:t>
      </w:r>
      <w:r w:rsidR="00ED5C56">
        <w:t>The 2017 Settlement allows DEF</w:t>
      </w:r>
      <w:r w:rsidR="00E51934">
        <w:t xml:space="preserve"> to seek cost recovery for solar generation that meets the terms of Paragraph 15.  </w:t>
      </w:r>
      <w:r w:rsidR="00ED5C56">
        <w:t>DEF may construct u</w:t>
      </w:r>
      <w:r w:rsidR="00ED5C56" w:rsidRPr="00ED5C56">
        <w:t xml:space="preserve">p to 700 MW of solar generation through 2022 </w:t>
      </w:r>
      <w:r w:rsidR="00ED5C56">
        <w:t>that would b</w:t>
      </w:r>
      <w:r w:rsidR="00ED5C56" w:rsidRPr="00ED5C56">
        <w:t>e e</w:t>
      </w:r>
      <w:r w:rsidR="00ED5C56">
        <w:t>ligible for recovery through the</w:t>
      </w:r>
      <w:r w:rsidR="00ED5C56" w:rsidRPr="00ED5C56">
        <w:t xml:space="preserve"> Solar Base Rate Adjustment (SoBRA) mechanism.</w:t>
      </w:r>
    </w:p>
    <w:p w14:paraId="15872B80" w14:textId="77777777" w:rsidR="00E35251" w:rsidRDefault="00E35251" w:rsidP="00E35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9C8C70" w14:textId="1BF466A7" w:rsidR="00340BD6" w:rsidRDefault="00E51934" w:rsidP="00E51934">
      <w:pPr>
        <w:pStyle w:val="Default"/>
        <w:jc w:val="both"/>
      </w:pPr>
      <w:r>
        <w:tab/>
        <w:t>On M</w:t>
      </w:r>
      <w:r w:rsidR="00606A59">
        <w:t xml:space="preserve">ay 29, 2020, DEF filed its </w:t>
      </w:r>
      <w:r w:rsidR="00E35251">
        <w:t xml:space="preserve">petition for a limited proceeding seeking approval for its third </w:t>
      </w:r>
      <w:r w:rsidR="00ED5C56">
        <w:t>SoBRA</w:t>
      </w:r>
      <w:r w:rsidR="00E35251">
        <w:t xml:space="preserve">. </w:t>
      </w:r>
      <w:r w:rsidR="00D647EF">
        <w:t xml:space="preserve"> </w:t>
      </w:r>
      <w:r w:rsidR="00E35251">
        <w:t>In its petition, DEF seeks cost recovery for its Twin Rivers Solar Power Plant and Santa Fe Solar Power Plant (scheduled to go into service in early 2021), and Charlie Creek Solar Power Plant, Duette Solar Power Plant, and Archer Solar Power Plant (scheduled to go into service in the fourth quarter of 2021).  An Order Establishing Procedure was issued on July 10, 2020,</w:t>
      </w:r>
      <w:r w:rsidR="00E35251">
        <w:rPr>
          <w:rStyle w:val="FootnoteReference"/>
        </w:rPr>
        <w:footnoteReference w:id="2"/>
      </w:r>
      <w:r w:rsidR="00E35251">
        <w:t xml:space="preserve"> and </w:t>
      </w:r>
      <w:r w:rsidR="00F609A8">
        <w:t xml:space="preserve">an </w:t>
      </w:r>
      <w:r w:rsidR="00E35251">
        <w:t xml:space="preserve">administrative hearing is scheduled on October 6, 2020. </w:t>
      </w:r>
    </w:p>
    <w:p w14:paraId="79C494B4" w14:textId="77777777" w:rsidR="00F609A8" w:rsidRPr="00EA6197" w:rsidRDefault="00F609A8" w:rsidP="00E51934">
      <w:pPr>
        <w:pStyle w:val="Default"/>
        <w:jc w:val="both"/>
      </w:pPr>
    </w:p>
    <w:p w14:paraId="0589AC83" w14:textId="77777777" w:rsidR="00593389" w:rsidRPr="00173CF1" w:rsidRDefault="00593389" w:rsidP="00A613CE">
      <w:pPr>
        <w:keepNext/>
        <w:keepLines/>
        <w:jc w:val="both"/>
        <w:rPr>
          <w:u w:val="single"/>
        </w:rPr>
      </w:pPr>
      <w:r w:rsidRPr="00173CF1">
        <w:rPr>
          <w:u w:val="single"/>
        </w:rPr>
        <w:t>Petition for Intervention</w:t>
      </w:r>
    </w:p>
    <w:p w14:paraId="0DABDF75" w14:textId="77777777" w:rsidR="00593389" w:rsidRDefault="00593389" w:rsidP="00A613CE">
      <w:pPr>
        <w:keepNext/>
        <w:keepLines/>
        <w:jc w:val="both"/>
      </w:pPr>
    </w:p>
    <w:p w14:paraId="15A83205" w14:textId="4523B596" w:rsidR="00593389" w:rsidRDefault="00593389" w:rsidP="00A613CE">
      <w:pPr>
        <w:keepNext/>
        <w:keepLines/>
        <w:jc w:val="both"/>
      </w:pPr>
      <w:r>
        <w:tab/>
        <w:t>By motion dated</w:t>
      </w:r>
      <w:r w:rsidRPr="00593389">
        <w:t xml:space="preserve"> July 2, 2020</w:t>
      </w:r>
      <w:r>
        <w:t>, Hardee Dydo Solar LLC (Hardee)</w:t>
      </w:r>
      <w:r w:rsidRPr="00EB5771">
        <w:t xml:space="preserve"> requested permission to intervene in this proceeding</w:t>
      </w:r>
      <w:r w:rsidR="00D647EF">
        <w:t xml:space="preserve"> (Petition)</w:t>
      </w:r>
      <w:r w:rsidR="0092205D">
        <w:t>.</w:t>
      </w:r>
      <w:r w:rsidR="00A051BF" w:rsidRPr="00A051BF">
        <w:t xml:space="preserve"> </w:t>
      </w:r>
      <w:r w:rsidR="00323351">
        <w:t xml:space="preserve"> </w:t>
      </w:r>
      <w:r w:rsidR="00A051BF">
        <w:t xml:space="preserve">Hardee states that it is a developer of utility scale solar projects and that it has plants in development that are located within DEF’s service territory. </w:t>
      </w:r>
      <w:r w:rsidR="00323351">
        <w:t xml:space="preserve"> </w:t>
      </w:r>
      <w:r w:rsidR="00A051BF">
        <w:t xml:space="preserve">In seeking to intervene in this proceeding, Hardee states that it is willing to supply DEF with solar power at rates ten percent lower than the revenue requirement being sought by DEF. </w:t>
      </w:r>
      <w:r w:rsidR="00323351">
        <w:t xml:space="preserve"> </w:t>
      </w:r>
      <w:r w:rsidR="00A051BF">
        <w:t>Hardee argues that because it can provide such lower-cost power to DEF, DEF is “imprudently affecting [its own] production and operating costs, the competitiveness of industry in DEF’s service territory, the level of sustainable employment in the region and costs to ratepayers estimated at a Net Present Value of $10 - $20 million per project.”</w:t>
      </w:r>
    </w:p>
    <w:p w14:paraId="7093AB3A" w14:textId="77777777" w:rsidR="006063D2" w:rsidRDefault="006063D2" w:rsidP="005E47BC">
      <w:pPr>
        <w:keepNext/>
        <w:keepLines/>
        <w:jc w:val="both"/>
      </w:pPr>
    </w:p>
    <w:p w14:paraId="6C1CBFDC" w14:textId="77777777" w:rsidR="006063D2" w:rsidRDefault="006063D2" w:rsidP="006063D2">
      <w:pPr>
        <w:jc w:val="both"/>
        <w:rPr>
          <w:u w:val="single"/>
        </w:rPr>
      </w:pPr>
      <w:r w:rsidRPr="003851CA">
        <w:rPr>
          <w:u w:val="single"/>
        </w:rPr>
        <w:t>D</w:t>
      </w:r>
      <w:r>
        <w:rPr>
          <w:u w:val="single"/>
        </w:rPr>
        <w:t>EF’s Response in Opposition</w:t>
      </w:r>
    </w:p>
    <w:p w14:paraId="25F95B6D" w14:textId="77777777" w:rsidR="006063D2" w:rsidRDefault="006063D2" w:rsidP="006063D2">
      <w:pPr>
        <w:jc w:val="both"/>
        <w:rPr>
          <w:u w:val="single"/>
        </w:rPr>
      </w:pPr>
    </w:p>
    <w:p w14:paraId="6A352BDA" w14:textId="16F6FA7E" w:rsidR="006063D2" w:rsidRPr="005E47BC" w:rsidRDefault="00F83058" w:rsidP="00A613CE">
      <w:pPr>
        <w:ind w:firstLine="720"/>
        <w:jc w:val="both"/>
      </w:pPr>
      <w:r w:rsidRPr="00097088">
        <w:t xml:space="preserve">DEF filed its response </w:t>
      </w:r>
      <w:r>
        <w:t xml:space="preserve">in opposition </w:t>
      </w:r>
      <w:r w:rsidRPr="00097088">
        <w:t xml:space="preserve">to </w:t>
      </w:r>
      <w:r>
        <w:t>Hardee’</w:t>
      </w:r>
      <w:r w:rsidR="00D647EF">
        <w:t>s P</w:t>
      </w:r>
      <w:r w:rsidRPr="00097088">
        <w:t xml:space="preserve">etition on </w:t>
      </w:r>
      <w:r>
        <w:t>July 9, 2020 (Response)</w:t>
      </w:r>
      <w:r w:rsidR="006063D2">
        <w:t xml:space="preserve">. DEF argues that the allegations made within Hardee’s Petition do not satisfy either prong of the standing test set forth in </w:t>
      </w:r>
      <w:r w:rsidR="006063D2" w:rsidRPr="003D261A">
        <w:rPr>
          <w:u w:val="single"/>
        </w:rPr>
        <w:t>Agrico Chemical Company v. Department of Environmental Regulation</w:t>
      </w:r>
      <w:r w:rsidR="006063D2">
        <w:t xml:space="preserve">, </w:t>
      </w:r>
      <w:r w:rsidR="006063D2">
        <w:lastRenderedPageBreak/>
        <w:t xml:space="preserve">406 So. 2d 478, 482 (Fla. 2d DCA 1981). </w:t>
      </w:r>
      <w:r w:rsidR="00323351">
        <w:t xml:space="preserve"> </w:t>
      </w:r>
      <w:r w:rsidR="006063D2">
        <w:t>DEF argues that Hardee’s interest in selling undefined energy to DEF at allegedly lower rates than the rates proposed in DEF’s petition is</w:t>
      </w:r>
      <w:r w:rsidR="006063D2" w:rsidRPr="00D37CE4">
        <w:t xml:space="preserve"> too remote and speculative to confer standing to participate in this proceeding</w:t>
      </w:r>
      <w:r w:rsidR="006063D2">
        <w:t xml:space="preserve">. </w:t>
      </w:r>
      <w:r w:rsidR="00323351">
        <w:t xml:space="preserve"> </w:t>
      </w:r>
      <w:r w:rsidR="006063D2">
        <w:t xml:space="preserve">DEF states that this proceeding was established to consider DEF’s petition for its third SoBRA as permitted by, and in accordance with, the factors for review included in the 2017 Settlement. </w:t>
      </w:r>
      <w:r w:rsidR="00323351">
        <w:t xml:space="preserve"> </w:t>
      </w:r>
      <w:r w:rsidR="006063D2">
        <w:t xml:space="preserve">DEF argues that because the protection of Hardee’s economic interests is not included in these factors, an impact to those interests does not support intervenor standing in this proceeding. </w:t>
      </w:r>
      <w:r w:rsidR="00323351">
        <w:t xml:space="preserve"> </w:t>
      </w:r>
      <w:r w:rsidR="006063D2">
        <w:t>Additionally, DEF argues that even if Hardee was to be permitted to intervene in this proceeding, Hardee’s Petition raises two issues expressly questioning the prudence of DEF’s SoBRA projects, which DEF believes to be outside of the scope of the Commission’s consideration in this docket.  DEF therefore argues that Hardee’s Petition should be denied.</w:t>
      </w:r>
      <w:r w:rsidR="00D278F6">
        <w:t xml:space="preserve"> </w:t>
      </w:r>
      <w:r w:rsidR="00323351">
        <w:t xml:space="preserve"> </w:t>
      </w:r>
      <w:r w:rsidR="00D278F6">
        <w:t xml:space="preserve">On July </w:t>
      </w:r>
      <w:r w:rsidR="00595625">
        <w:t>15</w:t>
      </w:r>
      <w:r w:rsidR="00F609A8">
        <w:t>, 2020</w:t>
      </w:r>
      <w:r w:rsidR="00D278F6">
        <w:t>, Hardee filed a response to DEF’s opposition to Hardee’s intervention petition.</w:t>
      </w:r>
      <w:r w:rsidR="00D278F6">
        <w:rPr>
          <w:rStyle w:val="FootnoteReference"/>
        </w:rPr>
        <w:footnoteReference w:id="3"/>
      </w:r>
    </w:p>
    <w:p w14:paraId="14E0406F" w14:textId="77777777" w:rsidR="00593389" w:rsidRDefault="00593389" w:rsidP="00593389">
      <w:pPr>
        <w:jc w:val="both"/>
      </w:pPr>
    </w:p>
    <w:p w14:paraId="7A14ADEC" w14:textId="77777777" w:rsidR="00593389" w:rsidRPr="00173CF1" w:rsidRDefault="00593389" w:rsidP="00593389">
      <w:pPr>
        <w:jc w:val="both"/>
        <w:rPr>
          <w:u w:val="single"/>
        </w:rPr>
      </w:pPr>
      <w:r w:rsidRPr="00173CF1">
        <w:rPr>
          <w:u w:val="single"/>
        </w:rPr>
        <w:t>Standards for Intervention</w:t>
      </w:r>
    </w:p>
    <w:p w14:paraId="06614181" w14:textId="77777777" w:rsidR="00593389" w:rsidRDefault="00593389" w:rsidP="00593389">
      <w:pPr>
        <w:jc w:val="both"/>
      </w:pPr>
    </w:p>
    <w:p w14:paraId="5C1AB49F" w14:textId="77777777" w:rsidR="00593389" w:rsidRDefault="00593389" w:rsidP="00593389">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079031E6" w14:textId="77777777" w:rsidR="00593389" w:rsidRDefault="00593389" w:rsidP="00593389">
      <w:pPr>
        <w:ind w:firstLine="720"/>
        <w:jc w:val="both"/>
      </w:pPr>
    </w:p>
    <w:p w14:paraId="41D6FAE1" w14:textId="77777777" w:rsidR="00593389" w:rsidRDefault="00593389" w:rsidP="00593389">
      <w:pPr>
        <w:ind w:firstLine="720"/>
        <w:jc w:val="both"/>
      </w:pPr>
      <w:r>
        <w:t xml:space="preserve">To have standing, the intervenor must meet the two-prong standing test set forth in </w:t>
      </w:r>
      <w:r>
        <w:rPr>
          <w:u w:val="single"/>
        </w:rPr>
        <w:t>Agrico</w:t>
      </w:r>
      <w:r>
        <w:t xml:space="preserve">.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14:paraId="6F6357A9" w14:textId="77777777" w:rsidR="00593389" w:rsidRDefault="00593389" w:rsidP="00593389">
      <w:pPr>
        <w:ind w:firstLine="720"/>
        <w:jc w:val="both"/>
      </w:pPr>
    </w:p>
    <w:p w14:paraId="5126EB00" w14:textId="77777777" w:rsidR="00BC122B" w:rsidRPr="00720726" w:rsidRDefault="00BC122B" w:rsidP="00BC122B">
      <w:pPr>
        <w:jc w:val="both"/>
      </w:pPr>
      <w:r w:rsidRPr="003851CA">
        <w:rPr>
          <w:u w:val="single"/>
        </w:rPr>
        <w:t>Analysis &amp; Ruling</w:t>
      </w:r>
    </w:p>
    <w:p w14:paraId="5D123B89" w14:textId="77777777" w:rsidR="00BC122B" w:rsidRDefault="00BC122B" w:rsidP="00BC122B">
      <w:pPr>
        <w:jc w:val="both"/>
      </w:pPr>
    </w:p>
    <w:p w14:paraId="1F82DD20" w14:textId="5125CCCF" w:rsidR="00BC122B" w:rsidRDefault="00BC122B" w:rsidP="00BC122B">
      <w:pPr>
        <w:jc w:val="both"/>
      </w:pPr>
      <w:r>
        <w:tab/>
        <w:t xml:space="preserve">Hardee is not an original party to this proceeding and has not asserted that it is entitled to intervene as a matter of statutory or constitutional right. </w:t>
      </w:r>
      <w:r w:rsidR="00323351">
        <w:t xml:space="preserve"> </w:t>
      </w:r>
      <w:r>
        <w:t xml:space="preserve">Thus, Hardee must plead sufficient facts to demonstrate that its substantial interests will be affected through this proceeding in order to be granted intervention. </w:t>
      </w:r>
      <w:r w:rsidR="00323351">
        <w:t xml:space="preserve"> </w:t>
      </w:r>
      <w:r>
        <w:t xml:space="preserve">Hardee’s substantial interest in this proceeding, as demonstrated in the Petition, is that of a potential supplier of energy to DEF. </w:t>
      </w:r>
      <w:r w:rsidR="00323351">
        <w:t xml:space="preserve"> </w:t>
      </w:r>
      <w:r>
        <w:t xml:space="preserve">Given this interest, and upon review of </w:t>
      </w:r>
      <w:r>
        <w:lastRenderedPageBreak/>
        <w:t xml:space="preserve">its Petition and the facts alleged therein, Hardee does not satisfy the two-prong test established by </w:t>
      </w:r>
      <w:r w:rsidRPr="001B34CE">
        <w:rPr>
          <w:u w:val="single"/>
        </w:rPr>
        <w:t>Agrico</w:t>
      </w:r>
      <w:r w:rsidRPr="001B34CE">
        <w:t xml:space="preserve"> to establish standing </w:t>
      </w:r>
      <w:r>
        <w:t xml:space="preserve">to intervene </w:t>
      </w:r>
      <w:r w:rsidRPr="001B34CE">
        <w:t>in this proceeding.</w:t>
      </w:r>
      <w:r>
        <w:t xml:space="preserve"> </w:t>
      </w:r>
    </w:p>
    <w:p w14:paraId="7A69CCBE" w14:textId="77777777" w:rsidR="00BC122B" w:rsidRDefault="00BC122B" w:rsidP="00BC122B">
      <w:pPr>
        <w:jc w:val="both"/>
      </w:pPr>
    </w:p>
    <w:p w14:paraId="47E09719" w14:textId="35382A4B" w:rsidR="00BC122B" w:rsidRDefault="00BC122B" w:rsidP="00BC122B">
      <w:pPr>
        <w:jc w:val="both"/>
      </w:pPr>
      <w:r>
        <w:tab/>
      </w:r>
      <w:r w:rsidRPr="001B34CE">
        <w:t xml:space="preserve">The first prong established within </w:t>
      </w:r>
      <w:r w:rsidRPr="001B34CE">
        <w:rPr>
          <w:u w:val="single"/>
        </w:rPr>
        <w:t>Agrico</w:t>
      </w:r>
      <w:r w:rsidRPr="001B34CE">
        <w:t xml:space="preserve"> requires that the intervenor show that it</w:t>
      </w:r>
      <w:r>
        <w:t xml:space="preserve"> will suffer injury-in-</w:t>
      </w:r>
      <w:r w:rsidRPr="001B34CE">
        <w:t>fact, which is of sufficient immediacy to entitle it to a Section 120.57, F.S., hearing.</w:t>
      </w:r>
      <w:r>
        <w:t xml:space="preserve"> </w:t>
      </w:r>
      <w:r w:rsidR="00323351">
        <w:t xml:space="preserve"> </w:t>
      </w:r>
      <w:r>
        <w:t xml:space="preserve">Additionally, the injury-in-fact must be both real and immediate and not speculative or conjectural. </w:t>
      </w:r>
      <w:r w:rsidR="00323351">
        <w:t xml:space="preserve"> </w:t>
      </w:r>
      <w:r>
        <w:t xml:space="preserve">Hardee has not shown that it may suffer an immediate or direct injury as a result of the outcome in this proceeding. </w:t>
      </w:r>
      <w:r w:rsidR="00323351">
        <w:t xml:space="preserve"> </w:t>
      </w:r>
      <w:r>
        <w:t>Rather, Hardee simply alleges that because it can provide cheaper power to DEF and that DEF’s refusal to purchase such power will purportedly increase DEF’s costs, and the overall competitiveness of industries within DEF’s service territory and sustainable employment in DEF’s region will be impacted “imprudently.”</w:t>
      </w:r>
    </w:p>
    <w:p w14:paraId="0E118083" w14:textId="77777777" w:rsidR="00BC122B" w:rsidRDefault="00BC122B" w:rsidP="00BC122B">
      <w:pPr>
        <w:jc w:val="both"/>
      </w:pPr>
    </w:p>
    <w:p w14:paraId="507BE0AE" w14:textId="5416B6B9" w:rsidR="00BC122B" w:rsidRPr="007731F3" w:rsidRDefault="00BC122B" w:rsidP="00BC122B">
      <w:pPr>
        <w:ind w:firstLine="720"/>
        <w:jc w:val="both"/>
      </w:pPr>
      <w:r>
        <w:t xml:space="preserve">Hardee’s allegations of harm are abstract and speculative, and not direct to Hardee. </w:t>
      </w:r>
      <w:r w:rsidR="00323351">
        <w:t xml:space="preserve"> </w:t>
      </w:r>
      <w:r>
        <w:t>The</w:t>
      </w:r>
      <w:r w:rsidR="00ED5C56">
        <w:t xml:space="preserve"> First District Court of Appeal</w:t>
      </w:r>
      <w:r>
        <w:t xml:space="preserve"> stated in </w:t>
      </w:r>
      <w:r w:rsidRPr="00EB0304">
        <w:rPr>
          <w:u w:val="single"/>
        </w:rPr>
        <w:t>Village Park Mobile Home Ass’n</w:t>
      </w:r>
      <w:r>
        <w:t>, that the “petitioner must allege that [it] has sustained or is immediately in danger of sustaining some direct injury as a result of the challenged official conduct.”</w:t>
      </w:r>
      <w:r>
        <w:rPr>
          <w:rStyle w:val="FootnoteReference"/>
        </w:rPr>
        <w:footnoteReference w:id="4"/>
      </w:r>
      <w:r>
        <w:t xml:space="preserve"> </w:t>
      </w:r>
      <w:r w:rsidR="00323351">
        <w:t xml:space="preserve"> </w:t>
      </w:r>
      <w:r>
        <w:t xml:space="preserve">Hardee does not identify any direct injury to itself in its Petition, and instead relies on an abstract and speculative argument regarding negative impacts to “sustainable employment” and economic competition in DEF’s service territory. </w:t>
      </w:r>
      <w:r w:rsidR="00323351">
        <w:t xml:space="preserve"> </w:t>
      </w:r>
      <w:r>
        <w:rPr>
          <w:color w:val="000000"/>
        </w:rPr>
        <w:t xml:space="preserve">As DEF pointed out in its Response, the Commission has found that </w:t>
      </w:r>
      <w:r w:rsidRPr="00DD0659">
        <w:rPr>
          <w:color w:val="000000"/>
        </w:rPr>
        <w:t>an indirect effect on economic competition does</w:t>
      </w:r>
      <w:r>
        <w:rPr>
          <w:color w:val="000000"/>
        </w:rPr>
        <w:t xml:space="preserve"> not meet the “immediacy” test of </w:t>
      </w:r>
      <w:r w:rsidRPr="00F94224">
        <w:rPr>
          <w:color w:val="000000"/>
          <w:u w:val="single"/>
        </w:rPr>
        <w:t>Agrico</w:t>
      </w:r>
      <w:r>
        <w:rPr>
          <w:color w:val="000000"/>
        </w:rPr>
        <w:t>.</w:t>
      </w:r>
      <w:r w:rsidRPr="00DD0659">
        <w:rPr>
          <w:color w:val="000000"/>
        </w:rPr>
        <w:t xml:space="preserve"> </w:t>
      </w:r>
      <w:r w:rsidR="00323351">
        <w:rPr>
          <w:color w:val="000000"/>
        </w:rPr>
        <w:t xml:space="preserve"> </w:t>
      </w:r>
      <w:r w:rsidRPr="00DD0659">
        <w:rPr>
          <w:color w:val="000000"/>
        </w:rPr>
        <w:t>Order No. PSC-02-0324-PCO-EI</w:t>
      </w:r>
      <w:r>
        <w:rPr>
          <w:color w:val="000000"/>
        </w:rPr>
        <w:t xml:space="preserve">, issued March 13, 2002, in Docket No. 001148-EI, </w:t>
      </w:r>
      <w:r w:rsidRPr="0023506B">
        <w:rPr>
          <w:iCs/>
          <w:color w:val="000000"/>
          <w:u w:val="single"/>
        </w:rPr>
        <w:t>In re: Review of the retail rat</w:t>
      </w:r>
      <w:r w:rsidR="00A918BB">
        <w:rPr>
          <w:iCs/>
          <w:color w:val="000000"/>
          <w:u w:val="single"/>
        </w:rPr>
        <w:t>e</w:t>
      </w:r>
      <w:r w:rsidRPr="0023506B">
        <w:rPr>
          <w:iCs/>
          <w:color w:val="000000"/>
          <w:u w:val="single"/>
        </w:rPr>
        <w:t xml:space="preserve">s of Florida Power &amp; Light Company (citing </w:t>
      </w:r>
      <w:r w:rsidRPr="0023506B">
        <w:rPr>
          <w:rFonts w:ascii="Times" w:hAnsi="Times" w:cs="Times"/>
          <w:iCs/>
          <w:color w:val="000000"/>
          <w:u w:val="single"/>
        </w:rPr>
        <w:t>Fla. Soc. of Ophthalmology v. State, Bd. of Optometry</w:t>
      </w:r>
      <w:r w:rsidRPr="00DD0659">
        <w:rPr>
          <w:color w:val="000000"/>
        </w:rPr>
        <w:t>, 532 So. 2d</w:t>
      </w:r>
      <w:r>
        <w:rPr>
          <w:color w:val="000000"/>
        </w:rPr>
        <w:t xml:space="preserve"> 1279, 1285 (Fla. 1st DCA 1988)).</w:t>
      </w:r>
      <w:r w:rsidRPr="00DD0659">
        <w:rPr>
          <w:color w:val="000000"/>
        </w:rPr>
        <w:t xml:space="preserve"> </w:t>
      </w:r>
    </w:p>
    <w:p w14:paraId="3B674ACD" w14:textId="77777777" w:rsidR="00BC122B" w:rsidRDefault="00BC122B" w:rsidP="00BC122B">
      <w:pPr>
        <w:ind w:firstLine="720"/>
        <w:jc w:val="both"/>
        <w:rPr>
          <w:rFonts w:ascii="Times" w:hAnsi="Times" w:cs="Times"/>
          <w:color w:val="000000"/>
        </w:rPr>
      </w:pPr>
    </w:p>
    <w:p w14:paraId="04AD8147" w14:textId="168E1FF8" w:rsidR="00BC122B" w:rsidRDefault="00BC122B" w:rsidP="00BC122B">
      <w:pPr>
        <w:widowControl w:val="0"/>
        <w:autoSpaceDE w:val="0"/>
        <w:autoSpaceDN w:val="0"/>
        <w:adjustRightInd w:val="0"/>
        <w:spacing w:after="240"/>
        <w:ind w:firstLine="720"/>
        <w:jc w:val="both"/>
      </w:pPr>
      <w:r>
        <w:t xml:space="preserve">The second prong of the test in </w:t>
      </w:r>
      <w:r>
        <w:rPr>
          <w:u w:val="single"/>
        </w:rPr>
        <w:t>Agrico</w:t>
      </w:r>
      <w:r>
        <w:t xml:space="preserve"> requires that </w:t>
      </w:r>
      <w:r w:rsidRPr="000846B4">
        <w:rPr>
          <w:rFonts w:ascii="Times" w:hAnsi="Times" w:cs="Times"/>
          <w:color w:val="000000"/>
        </w:rPr>
        <w:t>the substantial injury</w:t>
      </w:r>
      <w:r>
        <w:rPr>
          <w:rFonts w:ascii="Times" w:hAnsi="Times" w:cs="Times"/>
          <w:color w:val="000000"/>
        </w:rPr>
        <w:t xml:space="preserve"> alleged in support of standing</w:t>
      </w:r>
      <w:r w:rsidRPr="000846B4">
        <w:rPr>
          <w:rFonts w:ascii="Times" w:hAnsi="Times" w:cs="Times"/>
          <w:color w:val="000000"/>
        </w:rPr>
        <w:t xml:space="preserve"> </w:t>
      </w:r>
      <w:r>
        <w:rPr>
          <w:rFonts w:ascii="Times" w:hAnsi="Times" w:cs="Times"/>
          <w:color w:val="000000"/>
        </w:rPr>
        <w:t>be</w:t>
      </w:r>
      <w:r w:rsidRPr="000846B4">
        <w:rPr>
          <w:rFonts w:ascii="Times" w:hAnsi="Times" w:cs="Times"/>
          <w:color w:val="000000"/>
        </w:rPr>
        <w:t xml:space="preserve"> of a type or nature which the proceeding is designed to protect</w:t>
      </w:r>
      <w:r>
        <w:rPr>
          <w:rFonts w:ascii="Times" w:hAnsi="Times" w:cs="Times"/>
          <w:color w:val="000000"/>
        </w:rPr>
        <w:t xml:space="preserve">. </w:t>
      </w:r>
      <w:r w:rsidR="00323351">
        <w:rPr>
          <w:rFonts w:ascii="Times" w:hAnsi="Times" w:cs="Times"/>
          <w:color w:val="000000"/>
        </w:rPr>
        <w:t xml:space="preserve"> </w:t>
      </w:r>
      <w:r>
        <w:t xml:space="preserve">DEF filed the petition to initiate this proceeding pursuant to Section 366.076(1), F.S., which authorizes the Commission to conduct limited proceedings on any issue within its jurisdiction and to limit the issues under consideration in those proceedings. </w:t>
      </w:r>
      <w:r w:rsidR="00323351">
        <w:t xml:space="preserve"> </w:t>
      </w:r>
      <w:r>
        <w:t xml:space="preserve">The limited purpose of this proceeding is to consider DEF’s petition for </w:t>
      </w:r>
      <w:r w:rsidR="00ED5C56">
        <w:t>its</w:t>
      </w:r>
      <w:r>
        <w:t xml:space="preserve"> third SoBRA, as permitted by the 2017 Settlement, and in accordance with the factors for review included in that Agreement.</w:t>
      </w:r>
    </w:p>
    <w:p w14:paraId="0F453C5D" w14:textId="56DD000C" w:rsidR="00BC122B" w:rsidRDefault="00BC122B" w:rsidP="00BC122B">
      <w:pPr>
        <w:widowControl w:val="0"/>
        <w:autoSpaceDE w:val="0"/>
        <w:autoSpaceDN w:val="0"/>
        <w:adjustRightInd w:val="0"/>
        <w:spacing w:after="240"/>
        <w:ind w:firstLine="720"/>
        <w:jc w:val="both"/>
      </w:pPr>
      <w:r>
        <w:rPr>
          <w:rFonts w:ascii="Times" w:hAnsi="Times" w:cs="Times"/>
          <w:color w:val="000000"/>
        </w:rPr>
        <w:t xml:space="preserve">Hardee does not address the second prong of </w:t>
      </w:r>
      <w:r w:rsidRPr="00CC2D4B">
        <w:rPr>
          <w:rFonts w:ascii="Times" w:hAnsi="Times" w:cs="Times"/>
          <w:color w:val="000000"/>
          <w:u w:val="single"/>
        </w:rPr>
        <w:t>Agrico</w:t>
      </w:r>
      <w:r>
        <w:rPr>
          <w:rFonts w:ascii="Times" w:hAnsi="Times" w:cs="Times"/>
          <w:color w:val="000000"/>
        </w:rPr>
        <w:t xml:space="preserve"> in its Petition, nor does it clearly convey what its substantial interest is in this proceeding that the proceeding is designed to protect. </w:t>
      </w:r>
      <w:r w:rsidR="00D647EF">
        <w:rPr>
          <w:rFonts w:ascii="Times" w:hAnsi="Times" w:cs="Times"/>
          <w:color w:val="000000"/>
        </w:rPr>
        <w:t xml:space="preserve"> </w:t>
      </w:r>
      <w:r>
        <w:rPr>
          <w:rFonts w:ascii="Times" w:hAnsi="Times" w:cs="Times"/>
          <w:color w:val="000000"/>
        </w:rPr>
        <w:t>However, f</w:t>
      </w:r>
      <w:r w:rsidRPr="00581874">
        <w:rPr>
          <w:rFonts w:ascii="Times" w:hAnsi="Times" w:cs="Times"/>
          <w:color w:val="000000"/>
        </w:rPr>
        <w:t>rom</w:t>
      </w:r>
      <w:r>
        <w:rPr>
          <w:rFonts w:ascii="Times" w:hAnsi="Times" w:cs="Times"/>
          <w:color w:val="000000"/>
        </w:rPr>
        <w:t xml:space="preserve"> a review of the Petition as a whole, it appears that Hardee’s alleged substantial interest is that of a potential supplier of solar power to DEF. </w:t>
      </w:r>
      <w:r w:rsidR="00D647EF">
        <w:rPr>
          <w:rFonts w:ascii="Times" w:hAnsi="Times" w:cs="Times"/>
          <w:color w:val="000000"/>
        </w:rPr>
        <w:t xml:space="preserve"> </w:t>
      </w:r>
      <w:r>
        <w:t xml:space="preserve">This proceeding is not designed to protect or consider the commercial interests of an individual potential supplier of energy to an electric utility, or broad notions of industry competitiveness or sustainable employment. </w:t>
      </w:r>
      <w:r w:rsidR="00D647EF">
        <w:t xml:space="preserve"> </w:t>
      </w:r>
      <w:r>
        <w:t xml:space="preserve">As a result, Hardee has not satisfied the second prong of </w:t>
      </w:r>
      <w:r w:rsidRPr="007F41C5">
        <w:rPr>
          <w:u w:val="single"/>
        </w:rPr>
        <w:t>Agrico</w:t>
      </w:r>
      <w:r>
        <w:t xml:space="preserve"> because </w:t>
      </w:r>
      <w:r w:rsidRPr="007F41C5">
        <w:t>the substantial injury</w:t>
      </w:r>
      <w:r>
        <w:t xml:space="preserve"> alleged</w:t>
      </w:r>
      <w:r w:rsidRPr="007F41C5">
        <w:t xml:space="preserve"> is </w:t>
      </w:r>
      <w:r>
        <w:t xml:space="preserve">not </w:t>
      </w:r>
      <w:r w:rsidRPr="007F41C5">
        <w:t>of a type or nature which th</w:t>
      </w:r>
      <w:r>
        <w:t>is</w:t>
      </w:r>
      <w:r w:rsidRPr="007F41C5">
        <w:t xml:space="preserve"> proceeding is designed to protect</w:t>
      </w:r>
      <w:r>
        <w:t>.</w:t>
      </w:r>
    </w:p>
    <w:p w14:paraId="6E297EC5" w14:textId="652B31D5" w:rsidR="00BC122B" w:rsidRDefault="00BC122B" w:rsidP="00BC122B">
      <w:pPr>
        <w:widowControl w:val="0"/>
        <w:autoSpaceDE w:val="0"/>
        <w:autoSpaceDN w:val="0"/>
        <w:adjustRightInd w:val="0"/>
        <w:spacing w:after="240"/>
        <w:ind w:firstLine="720"/>
        <w:jc w:val="both"/>
      </w:pPr>
      <w:r>
        <w:t xml:space="preserve">Agencies are directed to carefully review a petition to determine whether it is in substantial compliance with applicable procedural rules. Section 120.57(2)(c), F.S. </w:t>
      </w:r>
      <w:r w:rsidR="00D647EF">
        <w:t xml:space="preserve"> </w:t>
      </w:r>
      <w:r>
        <w:t xml:space="preserve">In this </w:t>
      </w:r>
      <w:r>
        <w:lastRenderedPageBreak/>
        <w:t>instance, one of the applicable procedural rules requires that the moving party identify a</w:t>
      </w:r>
      <w:r w:rsidRPr="009505C8">
        <w:t>llegations sufficient to demonstrate that the intervenor is entitled to participate in the proceeding as a matter of constitutional or statutory right or pursuant to agency rule, or that the substantial interests of the intervenor are subject to determination or will be affected by the proceeding</w:t>
      </w:r>
      <w:r>
        <w:t xml:space="preserve">. </w:t>
      </w:r>
      <w:r w:rsidR="00D647EF">
        <w:t xml:space="preserve"> </w:t>
      </w:r>
      <w:r w:rsidRPr="000C2E03">
        <w:t xml:space="preserve">Rule </w:t>
      </w:r>
      <w:r>
        <w:t>28-106.205</w:t>
      </w:r>
      <w:r w:rsidRPr="000C2E03">
        <w:t xml:space="preserve">, </w:t>
      </w:r>
      <w:r w:rsidRPr="003851CA">
        <w:t>F.A.C.</w:t>
      </w:r>
      <w:r>
        <w:t xml:space="preserve"> </w:t>
      </w:r>
      <w:r w:rsidR="00D647EF">
        <w:t xml:space="preserve"> </w:t>
      </w:r>
      <w:r>
        <w:t>For the reasons discussed above, Hardee has not identified in its petition a legally cognizable substantial interest to support its intervention.</w:t>
      </w:r>
    </w:p>
    <w:p w14:paraId="48F1343E" w14:textId="2F2AD0B5" w:rsidR="00BC122B" w:rsidRPr="009E021A" w:rsidRDefault="009803E2" w:rsidP="00BC122B">
      <w:pPr>
        <w:widowControl w:val="0"/>
        <w:autoSpaceDE w:val="0"/>
        <w:autoSpaceDN w:val="0"/>
        <w:adjustRightInd w:val="0"/>
        <w:spacing w:after="240"/>
        <w:ind w:firstLine="720"/>
        <w:jc w:val="both"/>
      </w:pPr>
      <w:r>
        <w:t>Pursuant to Section 120.57(2)(c), F.S., w</w:t>
      </w:r>
      <w:r w:rsidR="00BC122B" w:rsidRPr="00E76BE9">
        <w:t xml:space="preserve">here a petition fails to substantially comply with applicable procedural rules, </w:t>
      </w:r>
      <w:r w:rsidR="00BC122B" w:rsidRPr="00B13F2F">
        <w:t xml:space="preserve">an agency must dismiss that petition, with the first </w:t>
      </w:r>
      <w:r w:rsidR="00BC122B" w:rsidRPr="009E021A">
        <w:t xml:space="preserve">dismissal being without prejudice </w:t>
      </w:r>
      <w:r w:rsidR="00BC122B" w:rsidRPr="009E021A">
        <w:rPr>
          <w:rStyle w:val="text"/>
        </w:rPr>
        <w:t xml:space="preserve">unless it conclusively appears from the face of the petition that the defect cannot be cured. </w:t>
      </w:r>
    </w:p>
    <w:p w14:paraId="686DFEEB" w14:textId="77777777" w:rsidR="00BC122B" w:rsidRDefault="00BC122B" w:rsidP="00BC122B">
      <w:pPr>
        <w:ind w:firstLine="720"/>
        <w:jc w:val="both"/>
      </w:pPr>
      <w:r>
        <w:t>For the reasons stated above, Hardee has failed to meet the legal standard for intervention; therefore, its Petition to intervene is denied without prejudice.</w:t>
      </w:r>
    </w:p>
    <w:p w14:paraId="5ED979C0" w14:textId="77777777" w:rsidR="00593389" w:rsidRDefault="00593389" w:rsidP="00593389">
      <w:pPr>
        <w:ind w:firstLine="720"/>
        <w:jc w:val="both"/>
      </w:pPr>
    </w:p>
    <w:p w14:paraId="5820A8AB" w14:textId="77777777" w:rsidR="00593389" w:rsidRPr="00826D5E" w:rsidRDefault="00593389" w:rsidP="00593389">
      <w:pPr>
        <w:jc w:val="both"/>
      </w:pPr>
      <w:r w:rsidRPr="00826D5E">
        <w:tab/>
      </w:r>
      <w:r>
        <w:t>Based on the above representations,</w:t>
      </w:r>
      <w:r w:rsidRPr="00826D5E">
        <w:t xml:space="preserve"> it is</w:t>
      </w:r>
    </w:p>
    <w:p w14:paraId="77F393DD" w14:textId="77777777" w:rsidR="00593389" w:rsidRPr="00826D5E" w:rsidRDefault="00593389" w:rsidP="00593389">
      <w:pPr>
        <w:jc w:val="both"/>
      </w:pPr>
    </w:p>
    <w:p w14:paraId="567C8D21" w14:textId="77777777" w:rsidR="00EA6197" w:rsidRDefault="001125D2" w:rsidP="001125D2">
      <w:pPr>
        <w:ind w:firstLine="720"/>
        <w:jc w:val="both"/>
      </w:pPr>
      <w:r w:rsidRPr="00565168">
        <w:t xml:space="preserve">ORDERED by Commissioner </w:t>
      </w:r>
      <w:r w:rsidRPr="005C6856">
        <w:t>Julie I. Brown,</w:t>
      </w:r>
      <w:r w:rsidRPr="00565168">
        <w:t xml:space="preserve"> as Prehearing Officer, that </w:t>
      </w:r>
      <w:r w:rsidRPr="00241DA9">
        <w:t>Hardee Dydo Solar LLC</w:t>
      </w:r>
      <w:r>
        <w:t xml:space="preserve">’s </w:t>
      </w:r>
      <w:r w:rsidRPr="00565168">
        <w:t>request</w:t>
      </w:r>
      <w:r>
        <w:t xml:space="preserve"> for</w:t>
      </w:r>
      <w:r w:rsidRPr="00565168">
        <w:t xml:space="preserve"> leave to intervene in Docket No. </w:t>
      </w:r>
      <w:r>
        <w:t>20200153-EI</w:t>
      </w:r>
      <w:r w:rsidRPr="00565168">
        <w:t xml:space="preserve"> is hereby denied</w:t>
      </w:r>
      <w:r>
        <w:t xml:space="preserve"> without prejudice</w:t>
      </w:r>
      <w:r w:rsidRPr="00565168">
        <w:t>.</w:t>
      </w:r>
    </w:p>
    <w:p w14:paraId="033F10F8" w14:textId="77777777" w:rsidR="00ED5C56" w:rsidRPr="00EA6197" w:rsidRDefault="00ED5C56" w:rsidP="001125D2">
      <w:pPr>
        <w:ind w:firstLine="720"/>
        <w:jc w:val="both"/>
      </w:pPr>
    </w:p>
    <w:p w14:paraId="6F9ADD9D" w14:textId="55209767" w:rsidR="00EA6197" w:rsidRDefault="00EA6197" w:rsidP="00EA6197">
      <w:pPr>
        <w:keepNext/>
        <w:keepLines/>
        <w:jc w:val="both"/>
      </w:pPr>
      <w:r w:rsidRPr="00EA6197">
        <w:tab/>
        <w:t xml:space="preserve">By ORDER of Commissioner Julie I. Brown, as Prehearing Officer, this </w:t>
      </w:r>
      <w:bookmarkStart w:id="7" w:name="replaceDate"/>
      <w:bookmarkEnd w:id="7"/>
      <w:r w:rsidR="00AE11C2">
        <w:rPr>
          <w:u w:val="single"/>
        </w:rPr>
        <w:t>28th</w:t>
      </w:r>
      <w:r w:rsidR="00AE11C2">
        <w:t xml:space="preserve"> day of </w:t>
      </w:r>
      <w:r w:rsidR="00AE11C2">
        <w:rPr>
          <w:u w:val="single"/>
        </w:rPr>
        <w:t>July</w:t>
      </w:r>
      <w:r w:rsidR="00AE11C2">
        <w:t xml:space="preserve">, </w:t>
      </w:r>
      <w:r w:rsidR="00AE11C2">
        <w:rPr>
          <w:u w:val="single"/>
        </w:rPr>
        <w:t>2020</w:t>
      </w:r>
      <w:r w:rsidR="00AE11C2">
        <w:t>.</w:t>
      </w:r>
    </w:p>
    <w:p w14:paraId="5E5D3DF5" w14:textId="77777777" w:rsidR="00AE11C2" w:rsidRPr="00AE11C2" w:rsidRDefault="00AE11C2" w:rsidP="00EA6197">
      <w:pPr>
        <w:keepNext/>
        <w:keepLines/>
        <w:jc w:val="both"/>
      </w:pPr>
    </w:p>
    <w:p w14:paraId="2334CB98" w14:textId="77777777" w:rsidR="00EA6197" w:rsidRPr="00EA6197" w:rsidRDefault="00EA6197" w:rsidP="00EA6197">
      <w:pPr>
        <w:keepNext/>
        <w:keepLines/>
        <w:jc w:val="both"/>
      </w:pPr>
    </w:p>
    <w:p w14:paraId="3B734DED" w14:textId="77777777" w:rsidR="00EA6197" w:rsidRPr="00EA6197" w:rsidRDefault="00EA6197" w:rsidP="00EA6197">
      <w:pPr>
        <w:keepNext/>
        <w:keepLines/>
        <w:jc w:val="both"/>
      </w:pPr>
    </w:p>
    <w:p w14:paraId="5181506B" w14:textId="77777777" w:rsidR="00EA6197" w:rsidRPr="00EA6197" w:rsidRDefault="00EA6197" w:rsidP="00EA619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A6197" w:rsidRPr="00EA6197" w14:paraId="42802CA6" w14:textId="77777777" w:rsidTr="00EA6197">
        <w:tc>
          <w:tcPr>
            <w:tcW w:w="720" w:type="dxa"/>
            <w:shd w:val="clear" w:color="auto" w:fill="auto"/>
          </w:tcPr>
          <w:p w14:paraId="68F6F21C" w14:textId="77777777" w:rsidR="00EA6197" w:rsidRPr="00EA6197" w:rsidRDefault="00EA6197" w:rsidP="00EA6197">
            <w:pPr>
              <w:keepNext/>
              <w:keepLines/>
              <w:jc w:val="both"/>
            </w:pPr>
            <w:bookmarkStart w:id="8" w:name="bkmrkSignature" w:colFirst="0" w:colLast="0"/>
          </w:p>
        </w:tc>
        <w:tc>
          <w:tcPr>
            <w:tcW w:w="4320" w:type="dxa"/>
            <w:tcBorders>
              <w:bottom w:val="single" w:sz="4" w:space="0" w:color="auto"/>
            </w:tcBorders>
            <w:shd w:val="clear" w:color="auto" w:fill="auto"/>
          </w:tcPr>
          <w:p w14:paraId="64B302D2" w14:textId="7329F371" w:rsidR="00EA6197" w:rsidRPr="00EA6197" w:rsidRDefault="00AE11C2" w:rsidP="00EA6197">
            <w:pPr>
              <w:keepNext/>
              <w:keepLines/>
              <w:jc w:val="both"/>
            </w:pPr>
            <w:r w:rsidRPr="00AE11C2">
              <w:rPr>
                <w:noProof/>
              </w:rPr>
              <w:drawing>
                <wp:inline distT="0" distB="0" distL="0" distR="0" wp14:anchorId="49CDEF6B" wp14:editId="39957F5E">
                  <wp:extent cx="2247883" cy="675861"/>
                  <wp:effectExtent l="0" t="0" r="635" b="0"/>
                  <wp:docPr id="1" name="Picture 1" descr="I:\GCORDERS\Comm Sig\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Brow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7908" cy="690902"/>
                          </a:xfrm>
                          <a:prstGeom prst="rect">
                            <a:avLst/>
                          </a:prstGeom>
                          <a:noFill/>
                          <a:ln>
                            <a:noFill/>
                          </a:ln>
                        </pic:spPr>
                      </pic:pic>
                    </a:graphicData>
                  </a:graphic>
                </wp:inline>
              </w:drawing>
            </w:r>
          </w:p>
        </w:tc>
      </w:tr>
      <w:bookmarkEnd w:id="8"/>
      <w:tr w:rsidR="00EA6197" w:rsidRPr="00EA6197" w14:paraId="590C9AC8" w14:textId="77777777" w:rsidTr="00EA6197">
        <w:tc>
          <w:tcPr>
            <w:tcW w:w="720" w:type="dxa"/>
            <w:shd w:val="clear" w:color="auto" w:fill="auto"/>
          </w:tcPr>
          <w:p w14:paraId="4A3DA788" w14:textId="77777777" w:rsidR="00EA6197" w:rsidRPr="00EA6197" w:rsidRDefault="00EA6197" w:rsidP="00EA6197">
            <w:pPr>
              <w:keepNext/>
              <w:keepLines/>
              <w:jc w:val="both"/>
            </w:pPr>
          </w:p>
        </w:tc>
        <w:tc>
          <w:tcPr>
            <w:tcW w:w="4320" w:type="dxa"/>
            <w:tcBorders>
              <w:top w:val="single" w:sz="4" w:space="0" w:color="auto"/>
            </w:tcBorders>
            <w:shd w:val="clear" w:color="auto" w:fill="auto"/>
          </w:tcPr>
          <w:p w14:paraId="3A50F455" w14:textId="77777777" w:rsidR="00EA6197" w:rsidRPr="00EA6197" w:rsidRDefault="00EA6197" w:rsidP="00EA6197">
            <w:pPr>
              <w:keepNext/>
              <w:keepLines/>
              <w:jc w:val="both"/>
            </w:pPr>
            <w:r w:rsidRPr="00EA6197">
              <w:t>JULIE I. BROWN</w:t>
            </w:r>
          </w:p>
          <w:p w14:paraId="4EBA383F" w14:textId="77777777" w:rsidR="00EA6197" w:rsidRPr="00EA6197" w:rsidRDefault="00EA6197" w:rsidP="00EA6197">
            <w:pPr>
              <w:keepNext/>
              <w:keepLines/>
              <w:jc w:val="both"/>
            </w:pPr>
            <w:r w:rsidRPr="00EA6197">
              <w:t>Commissioner and Prehearing Officer</w:t>
            </w:r>
          </w:p>
        </w:tc>
      </w:tr>
    </w:tbl>
    <w:p w14:paraId="539AD8F3" w14:textId="77777777" w:rsidR="00EA6197" w:rsidRPr="00EA6197" w:rsidRDefault="00EA6197" w:rsidP="00EA6197">
      <w:pPr>
        <w:pStyle w:val="OrderSigInfo"/>
        <w:keepNext/>
        <w:keepLines/>
      </w:pPr>
      <w:r w:rsidRPr="00EA6197">
        <w:t>Florida Public Service Commission</w:t>
      </w:r>
    </w:p>
    <w:p w14:paraId="7681CA80" w14:textId="77777777" w:rsidR="00EA6197" w:rsidRPr="00EA6197" w:rsidRDefault="00EA6197" w:rsidP="00EA6197">
      <w:pPr>
        <w:pStyle w:val="OrderSigInfo"/>
        <w:keepNext/>
        <w:keepLines/>
      </w:pPr>
      <w:r w:rsidRPr="00EA6197">
        <w:t>2540 Shumard Oak Boulevard</w:t>
      </w:r>
    </w:p>
    <w:p w14:paraId="6C4283BD" w14:textId="77777777" w:rsidR="00EA6197" w:rsidRPr="00EA6197" w:rsidRDefault="00EA6197" w:rsidP="00EA6197">
      <w:pPr>
        <w:pStyle w:val="OrderSigInfo"/>
        <w:keepNext/>
        <w:keepLines/>
      </w:pPr>
      <w:r w:rsidRPr="00EA6197">
        <w:t>Tallahassee, Florida 32399</w:t>
      </w:r>
    </w:p>
    <w:p w14:paraId="4EC4D196" w14:textId="77777777" w:rsidR="00EA6197" w:rsidRPr="00EA6197" w:rsidRDefault="00EA6197" w:rsidP="00EA6197">
      <w:pPr>
        <w:pStyle w:val="OrderSigInfo"/>
        <w:keepNext/>
        <w:keepLines/>
      </w:pPr>
      <w:r w:rsidRPr="00EA6197">
        <w:t>(850) 413</w:t>
      </w:r>
      <w:r w:rsidRPr="00EA6197">
        <w:noBreakHyphen/>
        <w:t>6770</w:t>
      </w:r>
    </w:p>
    <w:p w14:paraId="6FA93EEE" w14:textId="77777777" w:rsidR="00EA6197" w:rsidRDefault="00EA6197" w:rsidP="00EA6197">
      <w:pPr>
        <w:pStyle w:val="OrderSigInfo"/>
        <w:keepNext/>
        <w:keepLines/>
      </w:pPr>
      <w:r>
        <w:t>www.floridapsc.com</w:t>
      </w:r>
    </w:p>
    <w:p w14:paraId="4AE02FB0" w14:textId="77777777" w:rsidR="00EA6197" w:rsidRDefault="00EA6197" w:rsidP="00EA6197">
      <w:pPr>
        <w:pStyle w:val="OrderSigInfo"/>
        <w:keepNext/>
        <w:keepLines/>
      </w:pPr>
    </w:p>
    <w:p w14:paraId="15925D43" w14:textId="77777777" w:rsidR="00EA6197" w:rsidRDefault="00EA6197" w:rsidP="00EA6197">
      <w:pPr>
        <w:pStyle w:val="OrderSigInfo"/>
        <w:keepNext/>
        <w:keepLines/>
      </w:pPr>
      <w:r>
        <w:t>Copies furnished:  A copy of this document is provided to the parties of record at the time of issuance and, if applicable, interested persons.</w:t>
      </w:r>
    </w:p>
    <w:p w14:paraId="2B10A384" w14:textId="77777777" w:rsidR="00EA6197" w:rsidRDefault="00EA6197" w:rsidP="00EA6197">
      <w:pPr>
        <w:pStyle w:val="OrderBody"/>
        <w:keepNext/>
        <w:keepLines/>
      </w:pPr>
    </w:p>
    <w:p w14:paraId="385DC011" w14:textId="77777777" w:rsidR="00593389" w:rsidRPr="00EA6197" w:rsidRDefault="00EA6197" w:rsidP="00593389">
      <w:r w:rsidRPr="00EA6197">
        <w:t>KMS</w:t>
      </w:r>
    </w:p>
    <w:p w14:paraId="7F9E2018" w14:textId="77777777" w:rsidR="00EA6197" w:rsidRDefault="00EA6197" w:rsidP="00593389"/>
    <w:p w14:paraId="70422357" w14:textId="77777777" w:rsidR="00EA6197" w:rsidRDefault="00EA6197" w:rsidP="00593389"/>
    <w:p w14:paraId="3452ACBA" w14:textId="77777777" w:rsidR="00EA6197" w:rsidRDefault="00EA6197" w:rsidP="00593389"/>
    <w:p w14:paraId="62B9399B" w14:textId="77777777" w:rsidR="00F609A8" w:rsidRDefault="00F609A8" w:rsidP="00593389">
      <w:pPr>
        <w:pStyle w:val="CenterUnderline"/>
      </w:pPr>
    </w:p>
    <w:p w14:paraId="1B6C2B32" w14:textId="77777777" w:rsidR="00593389" w:rsidRDefault="00593389" w:rsidP="00593389">
      <w:pPr>
        <w:pStyle w:val="CenterUnderline"/>
      </w:pPr>
      <w:r>
        <w:t>NOTICE OF FURTHER PROCEEDINGS OR JUDICIAL REVIEW</w:t>
      </w:r>
    </w:p>
    <w:p w14:paraId="1FC1DA15" w14:textId="77777777" w:rsidR="00593389" w:rsidRDefault="00593389" w:rsidP="00593389">
      <w:pPr>
        <w:pStyle w:val="CenterUnderline"/>
      </w:pPr>
    </w:p>
    <w:p w14:paraId="6AD824F4" w14:textId="77777777" w:rsidR="00593389" w:rsidRDefault="00593389" w:rsidP="005933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10E8FDE" w14:textId="77777777" w:rsidR="00593389" w:rsidRDefault="00593389" w:rsidP="00593389">
      <w:pPr>
        <w:pStyle w:val="OrderBody"/>
      </w:pPr>
    </w:p>
    <w:p w14:paraId="26B1E86E" w14:textId="77777777" w:rsidR="00593389" w:rsidRDefault="00593389" w:rsidP="00593389">
      <w:pPr>
        <w:pStyle w:val="OrderBody"/>
      </w:pPr>
      <w:r>
        <w:tab/>
        <w:t>Mediation may be available on a case-by-case basis.  If mediation is conducted, it does not affect a substantially interested person's right to a hearing.</w:t>
      </w:r>
    </w:p>
    <w:p w14:paraId="122E80F5" w14:textId="77777777" w:rsidR="00593389" w:rsidRDefault="00593389" w:rsidP="00593389">
      <w:pPr>
        <w:pStyle w:val="OrderBody"/>
      </w:pPr>
    </w:p>
    <w:p w14:paraId="1D15F070" w14:textId="77777777" w:rsidR="00593389" w:rsidRDefault="00593389" w:rsidP="0059338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DB5C812" w14:textId="77777777" w:rsidR="00D57E57" w:rsidRDefault="00D57E57" w:rsidP="00D57E57"/>
    <w:sectPr w:rsidR="00D57E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C6CBC" w14:textId="77777777" w:rsidR="001963C8" w:rsidRDefault="001963C8">
      <w:r>
        <w:separator/>
      </w:r>
    </w:p>
  </w:endnote>
  <w:endnote w:type="continuationSeparator" w:id="0">
    <w:p w14:paraId="24819C70" w14:textId="77777777" w:rsidR="001963C8" w:rsidRDefault="0019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EAFF" w14:textId="77777777" w:rsidR="00BC2703" w:rsidRDefault="00BC2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C21C" w14:textId="77777777" w:rsidR="00BC2703" w:rsidRDefault="00BC2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80AD" w14:textId="77777777" w:rsidR="00FA6EFD" w:rsidRDefault="00FA6EFD">
    <w:pPr>
      <w:pStyle w:val="Footer"/>
    </w:pPr>
  </w:p>
  <w:p w14:paraId="2F624BC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58C1" w14:textId="77777777" w:rsidR="001963C8" w:rsidRDefault="001963C8">
      <w:r>
        <w:separator/>
      </w:r>
    </w:p>
  </w:footnote>
  <w:footnote w:type="continuationSeparator" w:id="0">
    <w:p w14:paraId="54676BD5" w14:textId="77777777" w:rsidR="001963C8" w:rsidRDefault="001963C8">
      <w:r>
        <w:continuationSeparator/>
      </w:r>
    </w:p>
  </w:footnote>
  <w:footnote w:id="1">
    <w:p w14:paraId="6DA76AD3" w14:textId="77777777" w:rsidR="00E35251" w:rsidRDefault="00E35251" w:rsidP="00E35251">
      <w:pPr>
        <w:pStyle w:val="FootnoteText"/>
      </w:pPr>
      <w:r>
        <w:rPr>
          <w:rStyle w:val="FootnoteReference"/>
        </w:rPr>
        <w:footnoteRef/>
      </w:r>
      <w:r>
        <w:t xml:space="preserve"> Order No. PSC-2017-0451-AS-EU, issued November 20, 2017, in Docket No. 20170183-EI, </w:t>
      </w:r>
      <w:r>
        <w:rPr>
          <w:i/>
        </w:rPr>
        <w:t>In re: Application for limited proceeding to approve 2017 second revised and restated settlement agreement, including certain rate adjustments, by Duke Energy Florida, LLC</w:t>
      </w:r>
    </w:p>
  </w:footnote>
  <w:footnote w:id="2">
    <w:p w14:paraId="4ABA097A" w14:textId="77777777" w:rsidR="00E35251" w:rsidRPr="00541BEA" w:rsidRDefault="00E35251" w:rsidP="00E35251">
      <w:pPr>
        <w:pStyle w:val="FootnoteText"/>
        <w:rPr>
          <w:i/>
          <w:iCs/>
        </w:rPr>
      </w:pPr>
      <w:r>
        <w:rPr>
          <w:rStyle w:val="FootnoteReference"/>
        </w:rPr>
        <w:footnoteRef/>
      </w:r>
      <w:r>
        <w:t xml:space="preserve"> Order No. </w:t>
      </w:r>
      <w:r w:rsidRPr="00C902C4">
        <w:t>PSC-2020-0230-PCO-EI</w:t>
      </w:r>
      <w:r>
        <w:t xml:space="preserve">, issued July 10, 2020, in Docket No. 20200153-EI, </w:t>
      </w:r>
      <w:r>
        <w:rPr>
          <w:i/>
          <w:iCs/>
        </w:rPr>
        <w:t xml:space="preserve">In re: </w:t>
      </w:r>
      <w:r w:rsidRPr="00C04494">
        <w:rPr>
          <w:i/>
          <w:iCs/>
        </w:rPr>
        <w:t>Petition for a limited</w:t>
      </w:r>
      <w:r>
        <w:rPr>
          <w:i/>
          <w:iCs/>
        </w:rPr>
        <w:t xml:space="preserve"> </w:t>
      </w:r>
      <w:r w:rsidRPr="00C04494">
        <w:rPr>
          <w:i/>
          <w:iCs/>
        </w:rPr>
        <w:t>proceeding to</w:t>
      </w:r>
      <w:r>
        <w:rPr>
          <w:i/>
          <w:iCs/>
        </w:rPr>
        <w:t xml:space="preserve"> </w:t>
      </w:r>
      <w:r w:rsidRPr="00C04494">
        <w:rPr>
          <w:i/>
          <w:iCs/>
        </w:rPr>
        <w:t>approve third solar base rate adjustment, by</w:t>
      </w:r>
      <w:r>
        <w:rPr>
          <w:i/>
          <w:iCs/>
        </w:rPr>
        <w:t xml:space="preserve"> </w:t>
      </w:r>
      <w:r w:rsidRPr="00C04494">
        <w:rPr>
          <w:i/>
          <w:iCs/>
        </w:rPr>
        <w:t>Duke Energy Florida, LLC.</w:t>
      </w:r>
    </w:p>
  </w:footnote>
  <w:footnote w:id="3">
    <w:p w14:paraId="5E0A6BA7" w14:textId="77777777" w:rsidR="00D278F6" w:rsidRDefault="00D278F6" w:rsidP="00D278F6">
      <w:pPr>
        <w:pStyle w:val="FootnoteText"/>
      </w:pPr>
      <w:r>
        <w:rPr>
          <w:rStyle w:val="FootnoteReference"/>
        </w:rPr>
        <w:footnoteRef/>
      </w:r>
      <w:r>
        <w:t xml:space="preserve"> Our rules do not contemplate a response to a response. We consider such pleadings inappropriate, and the arguments raised are not considered herein.</w:t>
      </w:r>
    </w:p>
  </w:footnote>
  <w:footnote w:id="4">
    <w:p w14:paraId="50D0D9CE" w14:textId="77777777" w:rsidR="00BC122B" w:rsidRDefault="00BC122B" w:rsidP="00BC122B">
      <w:pPr>
        <w:pStyle w:val="FootnoteText"/>
      </w:pPr>
      <w:r>
        <w:rPr>
          <w:rStyle w:val="FootnoteReference"/>
        </w:rPr>
        <w:footnoteRef/>
      </w:r>
      <w:r>
        <w:t xml:space="preserve"> </w:t>
      </w:r>
      <w:r w:rsidRPr="00ED072B">
        <w:rPr>
          <w:u w:val="single"/>
        </w:rPr>
        <w:t>Village Park Mobile Home Assn., Inc. v. State Dept. of Business Regulation</w:t>
      </w:r>
      <w:r>
        <w:t>, 506 So. 2d 426, 433</w:t>
      </w:r>
      <w:r w:rsidRPr="00ED072B">
        <w:t xml:space="preserve"> (Fla. 1st DCA 1987)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7E40" w14:textId="77777777" w:rsidR="00BC2703" w:rsidRDefault="00BC2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9FD1" w14:textId="3EA391EB" w:rsidR="00FA6EFD" w:rsidRDefault="00FA6EFD">
    <w:pPr>
      <w:pStyle w:val="OrderHeader"/>
    </w:pPr>
    <w:r>
      <w:t xml:space="preserve">ORDER NO. </w:t>
    </w:r>
    <w:fldSimple w:instr=" REF OrderNo0271 ">
      <w:r w:rsidR="00D5136B">
        <w:t>PSC-2020-0271-PCO-EI</w:t>
      </w:r>
    </w:fldSimple>
  </w:p>
  <w:p w14:paraId="0754CE79" w14:textId="77777777" w:rsidR="00FA6EFD" w:rsidRDefault="00593389">
    <w:pPr>
      <w:pStyle w:val="OrderHeader"/>
    </w:pPr>
    <w:bookmarkStart w:id="9" w:name="HeaderDocketNo"/>
    <w:bookmarkEnd w:id="9"/>
    <w:r>
      <w:t>DOCKET NO. 20200153-EI</w:t>
    </w:r>
  </w:p>
  <w:p w14:paraId="5B81BE9D" w14:textId="7D1A185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136B">
      <w:rPr>
        <w:rStyle w:val="PageNumber"/>
        <w:noProof/>
      </w:rPr>
      <w:t>2</w:t>
    </w:r>
    <w:r>
      <w:rPr>
        <w:rStyle w:val="PageNumber"/>
      </w:rPr>
      <w:fldChar w:fldCharType="end"/>
    </w:r>
  </w:p>
  <w:p w14:paraId="1B7A71E4"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D1C" w14:textId="77777777" w:rsidR="00BC2703" w:rsidRDefault="00BC2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3-EI"/>
  </w:docVars>
  <w:rsids>
    <w:rsidRoot w:val="00593389"/>
    <w:rsid w:val="000022B8"/>
    <w:rsid w:val="00025C9D"/>
    <w:rsid w:val="0003433F"/>
    <w:rsid w:val="00035A8C"/>
    <w:rsid w:val="00036BDD"/>
    <w:rsid w:val="000523AE"/>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25D2"/>
    <w:rsid w:val="001139D8"/>
    <w:rsid w:val="00116AD3"/>
    <w:rsid w:val="00121957"/>
    <w:rsid w:val="0012387E"/>
    <w:rsid w:val="00126593"/>
    <w:rsid w:val="00136087"/>
    <w:rsid w:val="00142A96"/>
    <w:rsid w:val="001513DE"/>
    <w:rsid w:val="00154A71"/>
    <w:rsid w:val="001655D4"/>
    <w:rsid w:val="00187E32"/>
    <w:rsid w:val="00194A97"/>
    <w:rsid w:val="00194E81"/>
    <w:rsid w:val="001963C8"/>
    <w:rsid w:val="001A15E7"/>
    <w:rsid w:val="001A33C9"/>
    <w:rsid w:val="001A58F3"/>
    <w:rsid w:val="001B034E"/>
    <w:rsid w:val="001C2847"/>
    <w:rsid w:val="001C3BB5"/>
    <w:rsid w:val="001C3F8C"/>
    <w:rsid w:val="001C6097"/>
    <w:rsid w:val="001C7126"/>
    <w:rsid w:val="001D008A"/>
    <w:rsid w:val="001D172F"/>
    <w:rsid w:val="001E0152"/>
    <w:rsid w:val="001E0FF5"/>
    <w:rsid w:val="001F4CA3"/>
    <w:rsid w:val="002002ED"/>
    <w:rsid w:val="002170E5"/>
    <w:rsid w:val="00220D57"/>
    <w:rsid w:val="0022721A"/>
    <w:rsid w:val="00230BB9"/>
    <w:rsid w:val="0023506B"/>
    <w:rsid w:val="00241CEF"/>
    <w:rsid w:val="0025124E"/>
    <w:rsid w:val="00252B30"/>
    <w:rsid w:val="002613E4"/>
    <w:rsid w:val="0026544B"/>
    <w:rsid w:val="00276CDC"/>
    <w:rsid w:val="00277655"/>
    <w:rsid w:val="002824B7"/>
    <w:rsid w:val="00282AC4"/>
    <w:rsid w:val="00293DC9"/>
    <w:rsid w:val="002A11AC"/>
    <w:rsid w:val="002A6F30"/>
    <w:rsid w:val="002B1E74"/>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351"/>
    <w:rsid w:val="00323839"/>
    <w:rsid w:val="003270C4"/>
    <w:rsid w:val="00331ED0"/>
    <w:rsid w:val="00332B0A"/>
    <w:rsid w:val="00333A41"/>
    <w:rsid w:val="00340BD6"/>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75B1"/>
    <w:rsid w:val="004247F5"/>
    <w:rsid w:val="0042527B"/>
    <w:rsid w:val="00427EAC"/>
    <w:rsid w:val="004350B9"/>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3FD2"/>
    <w:rsid w:val="00514B1F"/>
    <w:rsid w:val="00523C5C"/>
    <w:rsid w:val="00525E93"/>
    <w:rsid w:val="0052671D"/>
    <w:rsid w:val="005300C0"/>
    <w:rsid w:val="00537C49"/>
    <w:rsid w:val="00540E6B"/>
    <w:rsid w:val="0055595D"/>
    <w:rsid w:val="00556A10"/>
    <w:rsid w:val="00557F50"/>
    <w:rsid w:val="00571D3D"/>
    <w:rsid w:val="0058264B"/>
    <w:rsid w:val="00582F72"/>
    <w:rsid w:val="005868AA"/>
    <w:rsid w:val="00590845"/>
    <w:rsid w:val="00593389"/>
    <w:rsid w:val="00595625"/>
    <w:rsid w:val="005963C2"/>
    <w:rsid w:val="005A0D69"/>
    <w:rsid w:val="005A31F4"/>
    <w:rsid w:val="005A73EA"/>
    <w:rsid w:val="005B45F7"/>
    <w:rsid w:val="005B63EA"/>
    <w:rsid w:val="005C0359"/>
    <w:rsid w:val="005C1A88"/>
    <w:rsid w:val="005C5033"/>
    <w:rsid w:val="005E47BC"/>
    <w:rsid w:val="005E751B"/>
    <w:rsid w:val="005F1985"/>
    <w:rsid w:val="005F3354"/>
    <w:rsid w:val="0060005E"/>
    <w:rsid w:val="0060095B"/>
    <w:rsid w:val="00601266"/>
    <w:rsid w:val="006063D2"/>
    <w:rsid w:val="00606A59"/>
    <w:rsid w:val="00610221"/>
    <w:rsid w:val="00610E73"/>
    <w:rsid w:val="00616DF2"/>
    <w:rsid w:val="0063168D"/>
    <w:rsid w:val="00643222"/>
    <w:rsid w:val="00647025"/>
    <w:rsid w:val="0064730A"/>
    <w:rsid w:val="006531A4"/>
    <w:rsid w:val="00660774"/>
    <w:rsid w:val="0066389A"/>
    <w:rsid w:val="0066495C"/>
    <w:rsid w:val="00665CC7"/>
    <w:rsid w:val="00667282"/>
    <w:rsid w:val="00672612"/>
    <w:rsid w:val="00677F18"/>
    <w:rsid w:val="00693483"/>
    <w:rsid w:val="006A0BF3"/>
    <w:rsid w:val="006B0036"/>
    <w:rsid w:val="006B0DA6"/>
    <w:rsid w:val="006C547E"/>
    <w:rsid w:val="006D2B51"/>
    <w:rsid w:val="006D5575"/>
    <w:rsid w:val="006D5E36"/>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072A"/>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3587"/>
    <w:rsid w:val="00804E7A"/>
    <w:rsid w:val="00805FBB"/>
    <w:rsid w:val="008169A4"/>
    <w:rsid w:val="008278FE"/>
    <w:rsid w:val="00832598"/>
    <w:rsid w:val="0083397E"/>
    <w:rsid w:val="0083534B"/>
    <w:rsid w:val="00842035"/>
    <w:rsid w:val="00842602"/>
    <w:rsid w:val="008449F0"/>
    <w:rsid w:val="00847B45"/>
    <w:rsid w:val="00863A66"/>
    <w:rsid w:val="008654DB"/>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05D"/>
    <w:rsid w:val="009228C7"/>
    <w:rsid w:val="00922A7F"/>
    <w:rsid w:val="00923A5E"/>
    <w:rsid w:val="00924FE7"/>
    <w:rsid w:val="00926E27"/>
    <w:rsid w:val="00931C8C"/>
    <w:rsid w:val="00943D21"/>
    <w:rsid w:val="0094504B"/>
    <w:rsid w:val="00954153"/>
    <w:rsid w:val="00964A38"/>
    <w:rsid w:val="00966A9D"/>
    <w:rsid w:val="0096742B"/>
    <w:rsid w:val="009718C5"/>
    <w:rsid w:val="00973005"/>
    <w:rsid w:val="009803E2"/>
    <w:rsid w:val="009924CF"/>
    <w:rsid w:val="00994100"/>
    <w:rsid w:val="009A6B17"/>
    <w:rsid w:val="009D4C29"/>
    <w:rsid w:val="009F6AD2"/>
    <w:rsid w:val="00A00D8D"/>
    <w:rsid w:val="00A01BB6"/>
    <w:rsid w:val="00A051BF"/>
    <w:rsid w:val="00A4303C"/>
    <w:rsid w:val="00A46CAF"/>
    <w:rsid w:val="00A470FD"/>
    <w:rsid w:val="00A50B5E"/>
    <w:rsid w:val="00A52755"/>
    <w:rsid w:val="00A613CE"/>
    <w:rsid w:val="00A62DAB"/>
    <w:rsid w:val="00A6757A"/>
    <w:rsid w:val="00A726A6"/>
    <w:rsid w:val="00A74842"/>
    <w:rsid w:val="00A80977"/>
    <w:rsid w:val="00A8775E"/>
    <w:rsid w:val="00A918BB"/>
    <w:rsid w:val="00A97535"/>
    <w:rsid w:val="00AA2BAA"/>
    <w:rsid w:val="00AA5BB6"/>
    <w:rsid w:val="00AA6516"/>
    <w:rsid w:val="00AA73F1"/>
    <w:rsid w:val="00AB0E1A"/>
    <w:rsid w:val="00AB1A30"/>
    <w:rsid w:val="00AB3C36"/>
    <w:rsid w:val="00AB3D30"/>
    <w:rsid w:val="00AB4C2A"/>
    <w:rsid w:val="00AD10EB"/>
    <w:rsid w:val="00AD1ED3"/>
    <w:rsid w:val="00AD611C"/>
    <w:rsid w:val="00AE11C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6E91"/>
    <w:rsid w:val="00B67A43"/>
    <w:rsid w:val="00B71D1F"/>
    <w:rsid w:val="00B72CFF"/>
    <w:rsid w:val="00B73DE6"/>
    <w:rsid w:val="00B761CD"/>
    <w:rsid w:val="00B86EF0"/>
    <w:rsid w:val="00B96969"/>
    <w:rsid w:val="00B97900"/>
    <w:rsid w:val="00BA1229"/>
    <w:rsid w:val="00BA44A8"/>
    <w:rsid w:val="00BA49C5"/>
    <w:rsid w:val="00BC122B"/>
    <w:rsid w:val="00BC2703"/>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278F6"/>
    <w:rsid w:val="00D30B48"/>
    <w:rsid w:val="00D3168A"/>
    <w:rsid w:val="00D46FAA"/>
    <w:rsid w:val="00D47A40"/>
    <w:rsid w:val="00D5136B"/>
    <w:rsid w:val="00D51D33"/>
    <w:rsid w:val="00D57BB2"/>
    <w:rsid w:val="00D57E57"/>
    <w:rsid w:val="00D647EF"/>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5251"/>
    <w:rsid w:val="00E4225C"/>
    <w:rsid w:val="00E44879"/>
    <w:rsid w:val="00E51934"/>
    <w:rsid w:val="00E72914"/>
    <w:rsid w:val="00E75AE0"/>
    <w:rsid w:val="00E83C1F"/>
    <w:rsid w:val="00E85684"/>
    <w:rsid w:val="00E8794B"/>
    <w:rsid w:val="00E97656"/>
    <w:rsid w:val="00EA172C"/>
    <w:rsid w:val="00EA259B"/>
    <w:rsid w:val="00EA35A3"/>
    <w:rsid w:val="00EA3E6A"/>
    <w:rsid w:val="00EA6197"/>
    <w:rsid w:val="00EB18EF"/>
    <w:rsid w:val="00EB7951"/>
    <w:rsid w:val="00ED5C56"/>
    <w:rsid w:val="00ED6A79"/>
    <w:rsid w:val="00ED70F6"/>
    <w:rsid w:val="00EE17DF"/>
    <w:rsid w:val="00EF1482"/>
    <w:rsid w:val="00EF4621"/>
    <w:rsid w:val="00EF4D52"/>
    <w:rsid w:val="00EF6312"/>
    <w:rsid w:val="00F038B0"/>
    <w:rsid w:val="00F05F34"/>
    <w:rsid w:val="00F22B27"/>
    <w:rsid w:val="00F234A7"/>
    <w:rsid w:val="00F277B6"/>
    <w:rsid w:val="00F27DA5"/>
    <w:rsid w:val="00F37E07"/>
    <w:rsid w:val="00F40A46"/>
    <w:rsid w:val="00F4182A"/>
    <w:rsid w:val="00F54380"/>
    <w:rsid w:val="00F54B47"/>
    <w:rsid w:val="00F609A8"/>
    <w:rsid w:val="00F61247"/>
    <w:rsid w:val="00F63191"/>
    <w:rsid w:val="00F6702E"/>
    <w:rsid w:val="00F70E84"/>
    <w:rsid w:val="00F83058"/>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A6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593389"/>
    <w:rPr>
      <w:color w:val="0000FF" w:themeColor="hyperlink"/>
      <w:u w:val="single"/>
    </w:rPr>
  </w:style>
  <w:style w:type="character" w:customStyle="1" w:styleId="FootnoteTextChar">
    <w:name w:val="Footnote Text Char"/>
    <w:basedOn w:val="DefaultParagraphFont"/>
    <w:link w:val="FootnoteText"/>
    <w:rsid w:val="00E35251"/>
  </w:style>
  <w:style w:type="character" w:customStyle="1" w:styleId="text">
    <w:name w:val="text"/>
    <w:basedOn w:val="DefaultParagraphFont"/>
    <w:rsid w:val="00BC122B"/>
  </w:style>
  <w:style w:type="paragraph" w:customStyle="1" w:styleId="Default">
    <w:name w:val="Default"/>
    <w:rsid w:val="00E51934"/>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F609A8"/>
    <w:rPr>
      <w:rFonts w:ascii="Tahoma" w:hAnsi="Tahoma" w:cs="Tahoma"/>
      <w:sz w:val="16"/>
      <w:szCs w:val="16"/>
    </w:rPr>
  </w:style>
  <w:style w:type="character" w:customStyle="1" w:styleId="BalloonTextChar">
    <w:name w:val="Balloon Text Char"/>
    <w:basedOn w:val="DefaultParagraphFont"/>
    <w:link w:val="BalloonText"/>
    <w:semiHidden/>
    <w:rsid w:val="00F60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1798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2804-47F3-40B0-B854-B1B6DEC4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1844</Words>
  <Characters>10514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2020-07-28T18:51:00Z</dcterms:created>
  <dcterms:modified xsi:type="dcterms:W3CDTF">2020-07-28T18:51:00Z</dcterms:modified>
</cp:coreProperties>
</file>