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10237" w:rsidP="00B10237">
      <w:pPr>
        <w:pStyle w:val="OrderHeading"/>
      </w:pPr>
      <w:r>
        <w:t>BEFORE THE FLORIDA PUBLIC SERVICE COMMISSION</w:t>
      </w:r>
    </w:p>
    <w:p w:rsidR="00B10237" w:rsidRDefault="00B10237" w:rsidP="00B10237">
      <w:pPr>
        <w:pStyle w:val="OrderBody"/>
      </w:pPr>
    </w:p>
    <w:p w:rsidR="00B10237" w:rsidRDefault="00B10237" w:rsidP="00B1023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10237" w:rsidRPr="00C63FCF" w:rsidTr="00C63FCF">
        <w:trPr>
          <w:trHeight w:val="828"/>
        </w:trPr>
        <w:tc>
          <w:tcPr>
            <w:tcW w:w="4788" w:type="dxa"/>
            <w:tcBorders>
              <w:bottom w:val="nil"/>
              <w:right w:val="double" w:sz="6" w:space="0" w:color="auto"/>
            </w:tcBorders>
            <w:shd w:val="clear" w:color="auto" w:fill="auto"/>
          </w:tcPr>
          <w:p w:rsidR="00B10237" w:rsidRDefault="00B10237" w:rsidP="00C63FCF">
            <w:pPr>
              <w:pStyle w:val="OrderBody"/>
              <w:tabs>
                <w:tab w:val="center" w:pos="4320"/>
                <w:tab w:val="right" w:pos="8640"/>
              </w:tabs>
              <w:jc w:val="left"/>
            </w:pPr>
            <w:r>
              <w:t xml:space="preserve">In re: </w:t>
            </w:r>
            <w:bookmarkStart w:id="0" w:name="SMInRe"/>
            <w:bookmarkEnd w:id="0"/>
            <w:r>
              <w:t>Review of 2020-2029 Storm Protection Plan pursuant to Rule 25-6.030, F.A.C., Duke Energy Florida, LLC</w:t>
            </w:r>
          </w:p>
          <w:p w:rsidR="00B10237" w:rsidRDefault="00B1023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10237" w:rsidRDefault="00B10237" w:rsidP="00C63FCF">
            <w:pPr>
              <w:pStyle w:val="OrderBody"/>
              <w:tabs>
                <w:tab w:val="center" w:pos="4320"/>
                <w:tab w:val="right" w:pos="8640"/>
              </w:tabs>
              <w:jc w:val="left"/>
            </w:pPr>
            <w:r>
              <w:t xml:space="preserve">DOCKET NO. </w:t>
            </w:r>
            <w:bookmarkStart w:id="1" w:name="SMDocketNo"/>
            <w:bookmarkEnd w:id="1"/>
            <w:r>
              <w:t>20200069-EI</w:t>
            </w:r>
          </w:p>
        </w:tc>
      </w:tr>
      <w:tr w:rsidR="00B10237" w:rsidRPr="00C63FCF" w:rsidTr="00C63FCF">
        <w:trPr>
          <w:trHeight w:val="828"/>
        </w:trPr>
        <w:tc>
          <w:tcPr>
            <w:tcW w:w="4788" w:type="dxa"/>
            <w:tcBorders>
              <w:top w:val="nil"/>
              <w:bottom w:val="single" w:sz="8" w:space="0" w:color="auto"/>
              <w:right w:val="double" w:sz="6" w:space="0" w:color="auto"/>
            </w:tcBorders>
            <w:shd w:val="clear" w:color="auto" w:fill="auto"/>
          </w:tcPr>
          <w:p w:rsidR="00B10237" w:rsidRDefault="00B10237" w:rsidP="00C63FCF">
            <w:pPr>
              <w:pStyle w:val="OrderBody"/>
              <w:tabs>
                <w:tab w:val="center" w:pos="4320"/>
                <w:tab w:val="right" w:pos="8640"/>
              </w:tabs>
              <w:jc w:val="left"/>
            </w:pPr>
            <w:r>
              <w:t>In re: Storm protection plan cost recovery clause.</w:t>
            </w:r>
          </w:p>
        </w:tc>
        <w:tc>
          <w:tcPr>
            <w:tcW w:w="4788" w:type="dxa"/>
            <w:tcBorders>
              <w:left w:val="double" w:sz="6" w:space="0" w:color="auto"/>
            </w:tcBorders>
            <w:shd w:val="clear" w:color="auto" w:fill="auto"/>
          </w:tcPr>
          <w:p w:rsidR="00B10237" w:rsidRDefault="00B10237" w:rsidP="00B10237">
            <w:pPr>
              <w:pStyle w:val="OrderBody"/>
            </w:pPr>
            <w:r>
              <w:t xml:space="preserve">DOCKET NO. </w:t>
            </w:r>
            <w:bookmarkStart w:id="2" w:name="SMDocketNo2"/>
            <w:bookmarkEnd w:id="2"/>
            <w:r>
              <w:t>20200092-EI</w:t>
            </w:r>
          </w:p>
          <w:p w:rsidR="00B10237" w:rsidRDefault="00B10237" w:rsidP="00C63FCF">
            <w:pPr>
              <w:pStyle w:val="OrderBody"/>
              <w:tabs>
                <w:tab w:val="center" w:pos="4320"/>
                <w:tab w:val="right" w:pos="8640"/>
              </w:tabs>
              <w:jc w:val="left"/>
            </w:pPr>
            <w:r>
              <w:t xml:space="preserve">ORDER NO. </w:t>
            </w:r>
            <w:bookmarkStart w:id="3" w:name="OrderNo0273"/>
            <w:r w:rsidR="00A85F24">
              <w:t>PSC-2020-0273-PCO-EI</w:t>
            </w:r>
            <w:bookmarkEnd w:id="3"/>
          </w:p>
          <w:p w:rsidR="00B10237" w:rsidRDefault="00B10237" w:rsidP="00C63FCF">
            <w:pPr>
              <w:pStyle w:val="OrderBody"/>
              <w:tabs>
                <w:tab w:val="center" w:pos="4320"/>
                <w:tab w:val="right" w:pos="8640"/>
              </w:tabs>
              <w:jc w:val="left"/>
            </w:pPr>
            <w:r>
              <w:t xml:space="preserve">ISSUED: </w:t>
            </w:r>
            <w:r w:rsidR="00A85F24">
              <w:t>July 31, 2020</w:t>
            </w:r>
          </w:p>
          <w:p w:rsidR="00B10237" w:rsidRDefault="00B10237" w:rsidP="00C63FCF">
            <w:pPr>
              <w:pStyle w:val="OrderBody"/>
              <w:tabs>
                <w:tab w:val="center" w:pos="4320"/>
                <w:tab w:val="right" w:pos="8640"/>
              </w:tabs>
              <w:jc w:val="left"/>
            </w:pPr>
          </w:p>
        </w:tc>
      </w:tr>
    </w:tbl>
    <w:p w:rsidR="00B10237" w:rsidRDefault="00B10237" w:rsidP="00B10237"/>
    <w:p w:rsidR="00B10237" w:rsidRDefault="00B10237" w:rsidP="00B10237"/>
    <w:p w:rsidR="00CB5276" w:rsidRDefault="00B10237" w:rsidP="00B10237">
      <w:pPr>
        <w:pStyle w:val="CenterUnderline"/>
      </w:pPr>
      <w:bookmarkStart w:id="4" w:name="Commissioners"/>
      <w:bookmarkEnd w:id="4"/>
      <w:r w:rsidRPr="00B10237">
        <w:t xml:space="preserve">PROCEDURAL </w:t>
      </w:r>
      <w:r>
        <w:t>ORDER</w:t>
      </w:r>
      <w:bookmarkStart w:id="5" w:name="OrderTitle"/>
      <w:r>
        <w:t xml:space="preserve"> </w:t>
      </w:r>
      <w:bookmarkEnd w:id="5"/>
    </w:p>
    <w:p w:rsidR="00B10237" w:rsidRDefault="00B10237" w:rsidP="00B10237">
      <w:pPr>
        <w:pStyle w:val="OrderBody"/>
      </w:pPr>
    </w:p>
    <w:p w:rsidR="00B10237" w:rsidRPr="00412AEA" w:rsidRDefault="00B10237" w:rsidP="00B10237">
      <w:pPr>
        <w:pStyle w:val="OrderBody"/>
        <w:rPr>
          <w:u w:val="single"/>
        </w:rPr>
      </w:pPr>
      <w:bookmarkStart w:id="6" w:name="OrderText"/>
      <w:bookmarkEnd w:id="6"/>
      <w:r>
        <w:rPr>
          <w:u w:val="single"/>
        </w:rPr>
        <w:t xml:space="preserve">Background </w:t>
      </w:r>
    </w:p>
    <w:p w:rsidR="00B10237" w:rsidRDefault="00B10237" w:rsidP="00B10237">
      <w:pPr>
        <w:pStyle w:val="OrderBody"/>
      </w:pPr>
    </w:p>
    <w:p w:rsidR="00B10237" w:rsidRPr="00696516" w:rsidRDefault="00B10237" w:rsidP="00B10237">
      <w:pPr>
        <w:pStyle w:val="OrderBody"/>
      </w:pPr>
      <w:r>
        <w:tab/>
        <w:t xml:space="preserve">On July 17, 2020, Duke Energy Florida, LLC (Duke) filed a Motion to Approve the 2020 </w:t>
      </w:r>
      <w:r w:rsidRPr="008535BA">
        <w:t xml:space="preserve">Storm Protection Plan </w:t>
      </w:r>
      <w:r>
        <w:t xml:space="preserve">and Storm Protection Plan Cost Recovery Clause (SPP/SPPCRC) Agreement and attached the 2020 Agreement. </w:t>
      </w:r>
      <w:r w:rsidRPr="00C10154">
        <w:t>The 2020 Agreement is signed and executed by</w:t>
      </w:r>
      <w:r>
        <w:t xml:space="preserve"> Duke,</w:t>
      </w:r>
      <w:r w:rsidRPr="00C10154">
        <w:t xml:space="preserve"> the </w:t>
      </w:r>
      <w:r>
        <w:t>Office of Public Counsel (OPC), and White Springs Agricultural Chemicals, Inc. d/b/a PCS Phosphate (PCS) (collectively, the Signatories). The 2020 Agreement was filed in Docket Nos. 20200069-EI</w:t>
      </w:r>
      <w:r>
        <w:rPr>
          <w:rStyle w:val="FootnoteReference"/>
        </w:rPr>
        <w:footnoteReference w:id="1"/>
      </w:r>
      <w:r>
        <w:t xml:space="preserve"> and 20200092-EI</w:t>
      </w:r>
      <w:r>
        <w:rPr>
          <w:rStyle w:val="FootnoteReference"/>
        </w:rPr>
        <w:footnoteReference w:id="2"/>
      </w:r>
      <w:r>
        <w:t xml:space="preserve"> because it impacts, in part, both dockets. </w:t>
      </w:r>
      <w:r w:rsidRPr="00197968">
        <w:t xml:space="preserve">The 2020 Agreement and all filed materials related thereto will be maintained in both Docket Nos. 20200069-EI and 20200092-EI. The Signatories are deemed parties for purposes of the proceeding described below in which the </w:t>
      </w:r>
      <w:r>
        <w:t>Florida Public Service Commission (</w:t>
      </w:r>
      <w:r w:rsidRPr="00197968">
        <w:t>Commission</w:t>
      </w:r>
      <w:r>
        <w:t xml:space="preserve"> or FPSC)</w:t>
      </w:r>
      <w:r w:rsidRPr="00197968">
        <w:t xml:space="preserve"> will consider the 2020 Agreement.</w:t>
      </w:r>
      <w:r>
        <w:t xml:space="preserve"> </w:t>
      </w:r>
    </w:p>
    <w:p w:rsidR="00B10237" w:rsidRDefault="00B10237" w:rsidP="00B10237">
      <w:pPr>
        <w:pStyle w:val="OrderBody"/>
        <w:rPr>
          <w:highlight w:val="yellow"/>
        </w:rPr>
      </w:pPr>
    </w:p>
    <w:p w:rsidR="00B10237" w:rsidRDefault="00B10237" w:rsidP="00B10237">
      <w:pPr>
        <w:pStyle w:val="OrderBody"/>
        <w:ind w:firstLine="720"/>
      </w:pPr>
      <w:r>
        <w:t>Duke contends that Commission approval of the 2020 Agreement would establish a series of stipulations in Docket Nos. 20200069-EI and 20200092-EI, thereby reducing the issues to be litigated, promoting regulatory economy and administrative efficiency, and conserving the time and expense that would otherwise be consumed litigating these issues. Duke, with the support of the Signatories,</w:t>
      </w:r>
      <w:r w:rsidRPr="00051E2F">
        <w:t xml:space="preserve"> requests </w:t>
      </w:r>
      <w:r>
        <w:t>that</w:t>
      </w:r>
      <w:r w:rsidRPr="00051E2F">
        <w:t xml:space="preserve"> the Commission </w:t>
      </w:r>
      <w:r>
        <w:t>schedule the 2020 Agreement for the Commission’s consideration as soon as possible.</w:t>
      </w:r>
      <w:r w:rsidRPr="00051E2F">
        <w:t xml:space="preserve"> </w:t>
      </w:r>
      <w:r>
        <w:t xml:space="preserve">Duke states </w:t>
      </w:r>
      <w:r w:rsidRPr="00051E2F">
        <w:t xml:space="preserve">that </w:t>
      </w:r>
      <w:r>
        <w:t>all</w:t>
      </w:r>
      <w:r w:rsidRPr="00051E2F">
        <w:t xml:space="preserve"> </w:t>
      </w:r>
      <w:r>
        <w:t>Signatories</w:t>
      </w:r>
      <w:r w:rsidRPr="00051E2F">
        <w:t xml:space="preserve"> </w:t>
      </w:r>
      <w:r>
        <w:t>agree</w:t>
      </w:r>
      <w:r w:rsidRPr="00051E2F">
        <w:t xml:space="preserve"> that the 2020</w:t>
      </w:r>
      <w:r>
        <w:t xml:space="preserve"> Agreement</w:t>
      </w:r>
      <w:r w:rsidRPr="00051E2F">
        <w:t xml:space="preserve"> is in the public interest.</w:t>
      </w:r>
      <w:r>
        <w:t xml:space="preserve"> </w:t>
      </w:r>
    </w:p>
    <w:p w:rsidR="00B10237" w:rsidRDefault="00B10237" w:rsidP="00B10237">
      <w:pPr>
        <w:pStyle w:val="OrderBody"/>
        <w:rPr>
          <w:u w:val="single"/>
        </w:rPr>
      </w:pPr>
    </w:p>
    <w:p w:rsidR="00B10237" w:rsidRDefault="00B10237" w:rsidP="00B10237">
      <w:pPr>
        <w:ind w:firstLine="720"/>
        <w:jc w:val="both"/>
      </w:pPr>
      <w:r>
        <w:t>Based on Duke’</w:t>
      </w:r>
      <w:r w:rsidRPr="00694F4F">
        <w:t xml:space="preserve">s </w:t>
      </w:r>
      <w:r>
        <w:t>Motion</w:t>
      </w:r>
      <w:r w:rsidRPr="00694F4F">
        <w:t xml:space="preserve"> and</w:t>
      </w:r>
      <w:r>
        <w:t xml:space="preserve"> its </w:t>
      </w:r>
      <w:r w:rsidRPr="00694F4F">
        <w:t xml:space="preserve">representation that the </w:t>
      </w:r>
      <w:r>
        <w:t>Signatories</w:t>
      </w:r>
      <w:r w:rsidRPr="00694F4F">
        <w:t xml:space="preserve"> </w:t>
      </w:r>
      <w:r>
        <w:t xml:space="preserve">support </w:t>
      </w:r>
      <w:r w:rsidRPr="00694F4F">
        <w:t>the requested proceedings,</w:t>
      </w:r>
      <w:r>
        <w:t xml:space="preserve"> an administrative hearing is hereby scheduled to consider the 2020 Agreement on September 1, 2020.</w:t>
      </w:r>
    </w:p>
    <w:p w:rsidR="00B10237" w:rsidRPr="00745CCF" w:rsidRDefault="00B10237" w:rsidP="00B10237">
      <w:pPr>
        <w:ind w:firstLine="720"/>
        <w:jc w:val="both"/>
        <w:rPr>
          <w:highlight w:val="yellow"/>
        </w:rPr>
      </w:pPr>
    </w:p>
    <w:p w:rsidR="00B10237" w:rsidRPr="00B10237" w:rsidRDefault="00B10237" w:rsidP="00B10237">
      <w:pPr>
        <w:pStyle w:val="OrderBody"/>
        <w:ind w:firstLine="720"/>
      </w:pPr>
      <w:r>
        <w:t xml:space="preserve">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 </w:t>
      </w:r>
    </w:p>
    <w:p w:rsidR="00B10237" w:rsidRDefault="00B10237" w:rsidP="00B10237">
      <w:pPr>
        <w:jc w:val="both"/>
        <w:rPr>
          <w:u w:val="single"/>
        </w:rPr>
      </w:pPr>
      <w:r>
        <w:rPr>
          <w:u w:val="single"/>
        </w:rPr>
        <w:lastRenderedPageBreak/>
        <w:t>Intervention</w:t>
      </w:r>
    </w:p>
    <w:p w:rsidR="00B10237" w:rsidRDefault="00B10237" w:rsidP="00B10237">
      <w:pPr>
        <w:jc w:val="both"/>
        <w:rPr>
          <w:u w:val="single"/>
        </w:rPr>
      </w:pPr>
    </w:p>
    <w:p w:rsidR="00B10237" w:rsidRPr="00B83DF2" w:rsidRDefault="00B10237" w:rsidP="00B10237">
      <w:pPr>
        <w:jc w:val="both"/>
      </w:pPr>
      <w:r>
        <w:tab/>
        <w:t>Pursuant to Rule 28-106.205, F.A.C., p</w:t>
      </w:r>
      <w:r w:rsidRPr="00AD3CCB">
        <w:t xml:space="preserve">ersons other than the original parties to a pending proceeding whose substantial interest will be affected by the proceeding and who desire to become parties may move the presiding officer for leave to intervene. Except for good cause shown, motions for leave to intervene must be filed at least </w:t>
      </w:r>
      <w:r w:rsidRPr="00EB0E57">
        <w:t>20 days</w:t>
      </w:r>
      <w:r w:rsidRPr="00AD3CCB">
        <w:t xml:space="preserve"> before the final hearing unless otherwise provided by law.</w:t>
      </w:r>
    </w:p>
    <w:p w:rsidR="00B10237" w:rsidRPr="00745CCF" w:rsidRDefault="00B10237" w:rsidP="00B10237">
      <w:pPr>
        <w:pStyle w:val="OrderBody"/>
        <w:rPr>
          <w:highlight w:val="yellow"/>
          <w:u w:val="single"/>
        </w:rPr>
      </w:pPr>
    </w:p>
    <w:p w:rsidR="00B10237" w:rsidRPr="00694F4F" w:rsidRDefault="00B10237" w:rsidP="00B10237">
      <w:pPr>
        <w:pStyle w:val="OrderBody"/>
        <w:rPr>
          <w:u w:val="single"/>
        </w:rPr>
      </w:pPr>
      <w:r w:rsidRPr="00694F4F">
        <w:rPr>
          <w:u w:val="single"/>
        </w:rPr>
        <w:t>Discovery</w:t>
      </w:r>
    </w:p>
    <w:p w:rsidR="00B10237" w:rsidRPr="00694F4F" w:rsidRDefault="00B10237" w:rsidP="00B10237">
      <w:pPr>
        <w:pStyle w:val="OrderBody"/>
      </w:pPr>
    </w:p>
    <w:p w:rsidR="00B10237" w:rsidRDefault="00B10237" w:rsidP="00B10237">
      <w:pPr>
        <w:ind w:firstLine="720"/>
        <w:jc w:val="both"/>
      </w:pPr>
      <w:r w:rsidRPr="00694F4F">
        <w:t xml:space="preserve">Commission staff and the parties shall be permitted a limited time to send no more than 150 data requests. Parties are directed to respond to the data requests in writing so the response is received within </w:t>
      </w:r>
      <w:r>
        <w:t>five</w:t>
      </w:r>
      <w:r w:rsidRPr="00694F4F">
        <w:t xml:space="preserve"> days of receipt of the request. Affidavits must accompany all written data responses. All data responses must be received by </w:t>
      </w:r>
      <w:r w:rsidRPr="00197968">
        <w:t>August 21, 2020.</w:t>
      </w:r>
      <w:r w:rsidRPr="00694F4F">
        <w:t xml:space="preserve"> Information obtained through data request responses may be used by the parties in their oral arguments, by staff in advising the Commission, and by the Commissioners in co</w:t>
      </w:r>
      <w:r>
        <w:t>nsideration of the proposed 2020</w:t>
      </w:r>
      <w:r w:rsidRPr="00694F4F">
        <w:t xml:space="preserve"> Agreement.</w:t>
      </w:r>
    </w:p>
    <w:p w:rsidR="00B10237" w:rsidRPr="00D37DF9" w:rsidRDefault="00B10237" w:rsidP="00B10237">
      <w:pPr>
        <w:jc w:val="both"/>
      </w:pPr>
    </w:p>
    <w:p w:rsidR="00B10237" w:rsidRPr="00D37DF9" w:rsidRDefault="00B10237" w:rsidP="00B10237">
      <w:pPr>
        <w:rPr>
          <w:u w:val="single"/>
        </w:rPr>
      </w:pPr>
      <w:r w:rsidRPr="00D37DF9">
        <w:rPr>
          <w:u w:val="single"/>
        </w:rPr>
        <w:t>Use of Confidential Information at Hearing</w:t>
      </w:r>
    </w:p>
    <w:p w:rsidR="00B10237" w:rsidRPr="00D37DF9" w:rsidRDefault="00B10237" w:rsidP="00B10237">
      <w:pPr>
        <w:ind w:firstLine="720"/>
        <w:jc w:val="both"/>
      </w:pPr>
      <w:r w:rsidRPr="00D37DF9">
        <w:tab/>
      </w:r>
    </w:p>
    <w:p w:rsidR="00B10237" w:rsidRPr="00D37DF9" w:rsidRDefault="00B10237" w:rsidP="00B10237">
      <w:pPr>
        <w:ind w:firstLine="720"/>
        <w:jc w:val="both"/>
      </w:pPr>
      <w:r w:rsidRPr="00D37DF9">
        <w:t>While it is the Commission’s policy to have all Commission hearings open to the public at all times, the Commission also recognizes its obligation pursuant to Section 366.093, F</w:t>
      </w:r>
      <w:r>
        <w:t>lorida Statutes (F</w:t>
      </w:r>
      <w:r w:rsidRPr="00D37DF9">
        <w:t>.S.</w:t>
      </w:r>
      <w:r>
        <w:t>)</w:t>
      </w:r>
      <w:r w:rsidRPr="00D37DF9">
        <w:t>,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rsidR="00B10237" w:rsidRPr="00D37DF9" w:rsidRDefault="00B10237" w:rsidP="00B10237">
      <w:pPr>
        <w:ind w:firstLine="720"/>
        <w:jc w:val="both"/>
      </w:pPr>
      <w:r w:rsidRPr="00D37DF9">
        <w:tab/>
      </w:r>
    </w:p>
    <w:p w:rsidR="00B10237" w:rsidRPr="00D37DF9" w:rsidRDefault="00B10237" w:rsidP="00B10237">
      <w:pPr>
        <w:ind w:left="1440" w:right="720" w:hanging="720"/>
        <w:jc w:val="both"/>
      </w:pPr>
      <w:r w:rsidRPr="00D37DF9">
        <w:t>(1)</w:t>
      </w:r>
      <w:r w:rsidRPr="00D37DF9">
        <w:tab/>
        <w:t>When confidential information is used in the hearing, parties must have copies for the Commissioners, necessary staff, and the court reporter,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B10237" w:rsidRPr="00D37DF9" w:rsidRDefault="00B10237" w:rsidP="00B10237">
      <w:pPr>
        <w:ind w:left="720" w:right="720" w:firstLine="720"/>
        <w:jc w:val="both"/>
      </w:pPr>
    </w:p>
    <w:p w:rsidR="00B10237" w:rsidRPr="00D37DF9" w:rsidRDefault="00B10237" w:rsidP="00B10237">
      <w:pPr>
        <w:ind w:left="1440" w:right="720" w:hanging="720"/>
        <w:jc w:val="both"/>
      </w:pPr>
      <w:r w:rsidRPr="00D37DF9">
        <w:t>(2)</w:t>
      </w:r>
      <w:r w:rsidRPr="00D37DF9">
        <w:tab/>
        <w:t>Counsel and witnesses are cautioned to avoid verbalizing confidential information in such a way that would compromise confidentiality.  Therefore, confidential information should be presented by written exhibit when reasonably possible.</w:t>
      </w:r>
    </w:p>
    <w:p w:rsidR="00B10237" w:rsidRPr="00D37DF9" w:rsidRDefault="00B10237" w:rsidP="00B10237">
      <w:pPr>
        <w:ind w:firstLine="720"/>
      </w:pPr>
      <w:r w:rsidRPr="00D37DF9">
        <w:tab/>
      </w:r>
      <w:r w:rsidRPr="00D37DF9">
        <w:tab/>
      </w:r>
    </w:p>
    <w:p w:rsidR="00B10237" w:rsidRDefault="00B10237" w:rsidP="00B10237">
      <w:pPr>
        <w:ind w:firstLine="720"/>
        <w:jc w:val="both"/>
      </w:pPr>
      <w:r>
        <w:t xml:space="preserve">All </w:t>
      </w:r>
      <w:r w:rsidRPr="00D37DF9">
        <w:t>copies of confidential exhibits</w:t>
      </w:r>
      <w:r>
        <w:t xml:space="preserve"> </w:t>
      </w:r>
      <w:r w:rsidRPr="00B17D96">
        <w:t>that are not admitted into evidence</w:t>
      </w:r>
      <w:r w:rsidRPr="00D37DF9">
        <w:t xml:space="preserve">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w:t>
      </w:r>
      <w:r w:rsidRPr="00D37DF9">
        <w:lastRenderedPageBreak/>
        <w:t>request for confidential classification of the information within 21 days of the conclusion of the hearing, as set forth in Rule 25-22.006(8)(b), F.A.C., if continued confidentiality of the information is to be maintained.</w:t>
      </w:r>
    </w:p>
    <w:p w:rsidR="00B10237" w:rsidRDefault="00B10237" w:rsidP="00B10237">
      <w:pPr>
        <w:jc w:val="both"/>
      </w:pPr>
    </w:p>
    <w:p w:rsidR="00B10237" w:rsidRDefault="00B10237" w:rsidP="00B10237">
      <w:pPr>
        <w:jc w:val="both"/>
      </w:pPr>
      <w:r>
        <w:rPr>
          <w:u w:val="single"/>
        </w:rPr>
        <w:t>Hearing Exhibits</w:t>
      </w:r>
    </w:p>
    <w:p w:rsidR="00B10237" w:rsidRDefault="00B10237" w:rsidP="00B10237">
      <w:pPr>
        <w:jc w:val="both"/>
      </w:pPr>
    </w:p>
    <w:p w:rsidR="00B10237" w:rsidRDefault="00B10237" w:rsidP="00B10237">
      <w:pPr>
        <w:ind w:firstLine="720"/>
        <w:jc w:val="both"/>
      </w:pPr>
      <w:r>
        <w:t xml:space="preserve">All exhibits to be sponsored by the parties or staff, or utilized for the purposes of cross-examination </w:t>
      </w:r>
      <w:r w:rsidRPr="009E7340">
        <w:t>or impeachment</w:t>
      </w:r>
      <w:r>
        <w:t xml:space="preserve"> at the hearing, must be filed electronically in these dockets, with an electronic copy of all such documents also provided to all parties and Commission staff, no later than </w:t>
      </w:r>
      <w:r w:rsidRPr="00197968">
        <w:t>August 25, 2020</w:t>
      </w:r>
      <w:r>
        <w:t>.  Any confidential exhibits shall be identified in such a way as to not disclose information for which confidential treatment is requested, with the exhibits filed consistent with the requirements of Section 366.093, F.S., and Rule 25-22.006, F.A.C., with copies provided to those parties who have executed appropriate nondisclosure agreements.</w:t>
      </w:r>
    </w:p>
    <w:p w:rsidR="00B10237" w:rsidRPr="00AD3CCB" w:rsidRDefault="00B10237" w:rsidP="00B10237">
      <w:pPr>
        <w:ind w:firstLine="720"/>
        <w:jc w:val="both"/>
      </w:pPr>
    </w:p>
    <w:p w:rsidR="00B10237" w:rsidRPr="00F71D45" w:rsidRDefault="00B10237" w:rsidP="00B10237">
      <w:pPr>
        <w:jc w:val="both"/>
        <w:rPr>
          <w:u w:val="single"/>
        </w:rPr>
      </w:pPr>
      <w:r w:rsidRPr="00F71D45">
        <w:rPr>
          <w:u w:val="single"/>
        </w:rPr>
        <w:t>Special Considerations Due to the COVID-19 Pandemic</w:t>
      </w:r>
    </w:p>
    <w:p w:rsidR="00B10237" w:rsidRPr="00F71D45" w:rsidRDefault="00B10237" w:rsidP="00B10237">
      <w:pPr>
        <w:jc w:val="both"/>
      </w:pPr>
    </w:p>
    <w:p w:rsidR="00B10237" w:rsidRPr="00F71D45" w:rsidRDefault="00B10237" w:rsidP="00B10237">
      <w:pPr>
        <w:ind w:firstLine="720"/>
        <w:jc w:val="both"/>
      </w:pPr>
      <w:r w:rsidRPr="00F71D45">
        <w:t>State buildings are currently closed to the public and other restrictions on gatherings remain in place due to COVID-19. Accordingly, the hearing will be conducted remotely, and all parties and witnesses shall be prepared to present argument and testimony by communications media technology.</w:t>
      </w:r>
    </w:p>
    <w:p w:rsidR="00B10237" w:rsidRPr="00F71D45" w:rsidRDefault="00B10237" w:rsidP="00B10237">
      <w:pPr>
        <w:jc w:val="both"/>
      </w:pPr>
    </w:p>
    <w:p w:rsidR="00B10237" w:rsidRPr="00F71D45" w:rsidRDefault="00B10237" w:rsidP="00B10237">
      <w:pPr>
        <w:autoSpaceDE w:val="0"/>
        <w:autoSpaceDN w:val="0"/>
        <w:ind w:firstLine="720"/>
        <w:jc w:val="both"/>
        <w:rPr>
          <w:rFonts w:ascii="TimesNewRomanPSMT" w:hAnsi="TimesNewRomanPSMT"/>
        </w:rPr>
      </w:pPr>
      <w:r w:rsidRPr="00F71D45">
        <w:rPr>
          <w:rFonts w:ascii="TimesNewRomanPSMT" w:hAnsi="TimesNewRomanPSMT"/>
        </w:rPr>
        <w:t xml:space="preserve">Members of the public who are not parties to the settlement agreement shall have an opportunity to present sworn testimony at the hearing regarding the 2020 Agreement. Because the Commission is operating under a state of emergency due to COVID-19, any member of the public who wishes to offer testimony must do so remotely by telephone or by written comment. Any written comments must be filed in the docket file no later than 12:00 p.m. on August 27, 2020. To participate telephonically, members of the public must contact the Office of General Counsel at (850) 413-6199 by noon on August 27, 2020. By providing public testimony, a person does not become a party to the proceeding. To become an official party of record, you must file a Petition for Intervention at least </w:t>
      </w:r>
      <w:r>
        <w:rPr>
          <w:rFonts w:ascii="TimesNewRomanPSMT" w:hAnsi="TimesNewRomanPSMT"/>
        </w:rPr>
        <w:t>20</w:t>
      </w:r>
      <w:r w:rsidRPr="00F71D45">
        <w:rPr>
          <w:rFonts w:ascii="TimesNewRomanPSMT" w:hAnsi="TimesNewRomanPSMT"/>
        </w:rPr>
        <w:t xml:space="preserve"> days before the final hearing, pursuant to the requirements contained in Rule 28-106.205, (F.A.C.). All witnesses shall be subject to cross-examination at the conclusion of their testimony. The hearing will be governed by the provisions of Chapter 120, Florida Statutes</w:t>
      </w:r>
      <w:r>
        <w:rPr>
          <w:rFonts w:ascii="TimesNewRomanPSMT" w:hAnsi="TimesNewRomanPSMT"/>
        </w:rPr>
        <w:t xml:space="preserve"> (F.S.)</w:t>
      </w:r>
      <w:r w:rsidRPr="00F71D45">
        <w:rPr>
          <w:rFonts w:ascii="TimesNewRomanPSMT" w:hAnsi="TimesNewRomanPSMT"/>
        </w:rPr>
        <w:t xml:space="preserve">, Chapter 366, </w:t>
      </w:r>
      <w:r>
        <w:rPr>
          <w:rFonts w:ascii="TimesNewRomanPSMT" w:hAnsi="TimesNewRomanPSMT"/>
        </w:rPr>
        <w:t>F.S.</w:t>
      </w:r>
      <w:r w:rsidRPr="00F71D45">
        <w:rPr>
          <w:rFonts w:ascii="TimesNewRomanPSMT" w:hAnsi="TimesNewRomanPSMT"/>
        </w:rPr>
        <w:t xml:space="preserve">, and Chapters 25-22 and 28-106, </w:t>
      </w:r>
      <w:r>
        <w:rPr>
          <w:rFonts w:ascii="TimesNewRomanPSMT" w:hAnsi="TimesNewRomanPSMT"/>
        </w:rPr>
        <w:t>F.A.C</w:t>
      </w:r>
      <w:r w:rsidRPr="00F71D45">
        <w:rPr>
          <w:rFonts w:ascii="TimesNewRomanPSMT" w:hAnsi="TimesNewRomanPSMT"/>
        </w:rPr>
        <w:t>.</w:t>
      </w:r>
    </w:p>
    <w:p w:rsidR="00B10237" w:rsidRPr="00F71D45" w:rsidRDefault="00B10237" w:rsidP="00B10237">
      <w:pPr>
        <w:autoSpaceDE w:val="0"/>
        <w:autoSpaceDN w:val="0"/>
        <w:jc w:val="both"/>
        <w:rPr>
          <w:rFonts w:ascii="TimesNewRomanPSMT" w:hAnsi="TimesNewRomanPSMT"/>
        </w:rPr>
      </w:pPr>
    </w:p>
    <w:p w:rsidR="00B10237" w:rsidRDefault="00B10237" w:rsidP="00B10237">
      <w:pPr>
        <w:autoSpaceDE w:val="0"/>
        <w:autoSpaceDN w:val="0"/>
        <w:ind w:firstLine="720"/>
        <w:jc w:val="both"/>
        <w:rPr>
          <w:rFonts w:ascii="TimesNewRomanPSMT" w:hAnsi="TimesNewRomanPSMT"/>
        </w:rPr>
      </w:pPr>
      <w:r w:rsidRPr="00F71D45">
        <w:rPr>
          <w:rFonts w:ascii="TimesNewRomanPSMT" w:hAnsi="TimesNewRomanPSMT"/>
        </w:rPr>
        <w:t xml:space="preserve">Any member of the public who wants to observe or listen to the proceedings may do so by accessing the live video broadcast the day of the hearing, which is available from the </w:t>
      </w:r>
      <w:r>
        <w:rPr>
          <w:rFonts w:ascii="TimesNewRomanPSMT" w:hAnsi="TimesNewRomanPSMT"/>
        </w:rPr>
        <w:t>FPSC</w:t>
      </w:r>
      <w:r w:rsidRPr="00F71D45">
        <w:rPr>
          <w:rFonts w:ascii="TimesNewRomanPSMT" w:hAnsi="TimesNewRomanPSMT"/>
        </w:rPr>
        <w:t xml:space="preserve"> website. Upon completion of the hearing, the archived video will also be available.</w:t>
      </w:r>
    </w:p>
    <w:p w:rsidR="00B10237" w:rsidRDefault="00B10237" w:rsidP="00B10237">
      <w:pPr>
        <w:jc w:val="both"/>
      </w:pPr>
    </w:p>
    <w:p w:rsidR="00B10237" w:rsidRPr="00D37DF9" w:rsidRDefault="00B10237" w:rsidP="00B10237">
      <w:pPr>
        <w:jc w:val="both"/>
        <w:rPr>
          <w:u w:val="single"/>
        </w:rPr>
      </w:pPr>
      <w:r w:rsidRPr="00D37DF9">
        <w:rPr>
          <w:u w:val="single"/>
        </w:rPr>
        <w:t>Hearing Procedures</w:t>
      </w:r>
    </w:p>
    <w:p w:rsidR="00B10237" w:rsidRDefault="00B10237" w:rsidP="00B10237">
      <w:pPr>
        <w:jc w:val="both"/>
      </w:pPr>
    </w:p>
    <w:p w:rsidR="00B10237" w:rsidRPr="000402A4" w:rsidRDefault="00B10237" w:rsidP="00B10237">
      <w:pPr>
        <w:ind w:firstLine="720"/>
        <w:jc w:val="both"/>
      </w:pPr>
      <w:r w:rsidRPr="000402A4">
        <w:t xml:space="preserve">Section 120.57(4), F.S., permits the Commission to informally dispose of any proceeding by stipulation, agreed settlement, or consent order. Pursuant to Rule 28-106.302(2), F.A.C., the purpose of this hearing is for the Commission to take oral </w:t>
      </w:r>
      <w:r>
        <w:t xml:space="preserve">and written </w:t>
      </w:r>
      <w:r w:rsidRPr="000402A4">
        <w:t xml:space="preserve">evidence or argument regarding </w:t>
      </w:r>
      <w:r>
        <w:t>Duke</w:t>
      </w:r>
      <w:r w:rsidRPr="000402A4">
        <w:t xml:space="preserve">’s </w:t>
      </w:r>
      <w:r>
        <w:t>Motion</w:t>
      </w:r>
      <w:r w:rsidRPr="000402A4">
        <w:t xml:space="preserve"> for a</w:t>
      </w:r>
      <w:r>
        <w:t>pproval of the 2020 Agreement</w:t>
      </w:r>
      <w:r w:rsidRPr="000402A4">
        <w:t xml:space="preserve"> </w:t>
      </w:r>
      <w:r>
        <w:t>as being in the public interest</w:t>
      </w:r>
      <w:r w:rsidRPr="000402A4">
        <w:t xml:space="preserve">. </w:t>
      </w:r>
    </w:p>
    <w:p w:rsidR="00B10237" w:rsidRPr="000402A4" w:rsidRDefault="00B10237" w:rsidP="00B10237">
      <w:pPr>
        <w:ind w:firstLine="720"/>
        <w:jc w:val="both"/>
      </w:pPr>
    </w:p>
    <w:p w:rsidR="00B10237" w:rsidRPr="00657907" w:rsidRDefault="00B10237" w:rsidP="00B10237">
      <w:pPr>
        <w:ind w:firstLine="720"/>
        <w:jc w:val="both"/>
      </w:pPr>
      <w:r w:rsidRPr="00657907">
        <w:lastRenderedPageBreak/>
        <w:t xml:space="preserve">The hearing agenda for </w:t>
      </w:r>
      <w:r>
        <w:t>September 1</w:t>
      </w:r>
      <w:r w:rsidRPr="00657907">
        <w:t>, 2020, will include the following:</w:t>
      </w:r>
    </w:p>
    <w:p w:rsidR="00B10237" w:rsidRPr="00745CCF" w:rsidRDefault="00B10237" w:rsidP="00B10237">
      <w:pPr>
        <w:ind w:firstLine="720"/>
        <w:jc w:val="both"/>
        <w:rPr>
          <w:highlight w:val="yellow"/>
        </w:rPr>
      </w:pPr>
    </w:p>
    <w:p w:rsidR="00B10237" w:rsidRPr="000402A4" w:rsidRDefault="00B10237" w:rsidP="00B10237">
      <w:pPr>
        <w:pStyle w:val="ListParagraph"/>
        <w:numPr>
          <w:ilvl w:val="0"/>
          <w:numId w:val="1"/>
        </w:numPr>
        <w:spacing w:line="480" w:lineRule="auto"/>
        <w:jc w:val="both"/>
      </w:pPr>
      <w:r w:rsidRPr="000402A4">
        <w:t>Parties present Opening Statements</w:t>
      </w:r>
      <w:r>
        <w:t xml:space="preserve"> of no more than five</w:t>
      </w:r>
      <w:r w:rsidRPr="000402A4">
        <w:t xml:space="preserve"> minutes per party</w:t>
      </w:r>
      <w:r>
        <w:t>;</w:t>
      </w:r>
      <w:r w:rsidRPr="000402A4">
        <w:t xml:space="preserve"> </w:t>
      </w:r>
    </w:p>
    <w:p w:rsidR="00B10237" w:rsidRPr="00B17D96" w:rsidRDefault="00B10237" w:rsidP="00B10237">
      <w:pPr>
        <w:pStyle w:val="ListParagraph"/>
        <w:numPr>
          <w:ilvl w:val="0"/>
          <w:numId w:val="1"/>
        </w:numPr>
        <w:jc w:val="both"/>
      </w:pPr>
      <w:r w:rsidRPr="00B17D96">
        <w:t>Public Testimony, if any;</w:t>
      </w:r>
    </w:p>
    <w:p w:rsidR="00B10237" w:rsidRPr="00B0366E" w:rsidRDefault="00B10237" w:rsidP="00B10237">
      <w:pPr>
        <w:pStyle w:val="ListParagraph"/>
        <w:ind w:left="1440"/>
        <w:jc w:val="both"/>
        <w:rPr>
          <w:highlight w:val="yellow"/>
        </w:rPr>
      </w:pPr>
    </w:p>
    <w:p w:rsidR="00B10237" w:rsidRPr="000402A4" w:rsidRDefault="00B10237" w:rsidP="00B10237">
      <w:pPr>
        <w:pStyle w:val="ListParagraph"/>
        <w:numPr>
          <w:ilvl w:val="0"/>
          <w:numId w:val="1"/>
        </w:numPr>
        <w:jc w:val="both"/>
      </w:pPr>
      <w:r w:rsidRPr="000402A4">
        <w:t>Parties present evidence and respond to questions from Commissioners regarding the 20</w:t>
      </w:r>
      <w:r>
        <w:t>20</w:t>
      </w:r>
      <w:r w:rsidRPr="000402A4">
        <w:t xml:space="preserve"> Agreement</w:t>
      </w:r>
      <w:r>
        <w:t>.</w:t>
      </w:r>
    </w:p>
    <w:p w:rsidR="00B10237" w:rsidRPr="005B557E" w:rsidRDefault="00B10237" w:rsidP="00B10237">
      <w:pPr>
        <w:jc w:val="both"/>
        <w:rPr>
          <w:highlight w:val="yellow"/>
        </w:rPr>
      </w:pPr>
    </w:p>
    <w:p w:rsidR="00B10237" w:rsidRPr="000402A4" w:rsidRDefault="00B10237" w:rsidP="00B10237">
      <w:pPr>
        <w:jc w:val="both"/>
      </w:pPr>
      <w:r>
        <w:t xml:space="preserve">Upon </w:t>
      </w:r>
      <w:r w:rsidRPr="00657907">
        <w:t>the admission of all testimony and evidence, and completion of the Commission’s questions at hearing, the hearing record will be closed.</w:t>
      </w:r>
      <w:r>
        <w:t xml:space="preserve"> </w:t>
      </w:r>
      <w:r w:rsidRPr="00657907">
        <w:t>At that time, the Commission may render a bench decision, provided all parties are willing to waive filing of post-hearing briefs.</w:t>
      </w:r>
      <w:r>
        <w:t xml:space="preserve"> </w:t>
      </w:r>
      <w:r w:rsidRPr="000402A4">
        <w:t>If a bench decision is not made, the Commission will render a decision during a</w:t>
      </w:r>
      <w:r>
        <w:t>n</w:t>
      </w:r>
      <w:r w:rsidRPr="000402A4">
        <w:t xml:space="preserve"> Agenda Conference; date and time to be determined. Briefs, if any, will be due </w:t>
      </w:r>
      <w:r>
        <w:t xml:space="preserve">September </w:t>
      </w:r>
      <w:r w:rsidRPr="00197968">
        <w:t>15, 2020</w:t>
      </w:r>
      <w:r w:rsidRPr="000402A4">
        <w:t>.</w:t>
      </w:r>
    </w:p>
    <w:p w:rsidR="00B10237" w:rsidRPr="00745CCF" w:rsidRDefault="00B10237" w:rsidP="00B10237">
      <w:pPr>
        <w:jc w:val="both"/>
        <w:rPr>
          <w:highlight w:val="yellow"/>
        </w:rPr>
      </w:pPr>
    </w:p>
    <w:p w:rsidR="00B10237" w:rsidRDefault="00B10237" w:rsidP="00B10237">
      <w:pPr>
        <w:jc w:val="both"/>
      </w:pPr>
      <w:r w:rsidRPr="00364118">
        <w:tab/>
        <w:t xml:space="preserve">The Commission has jurisdiction in this matter pursuant to Chapters 120, and 366, F.S., and is proceeding under its authority under Sections 366.04, </w:t>
      </w:r>
      <w:r>
        <w:t>366.05, 366.06,</w:t>
      </w:r>
      <w:r w:rsidRPr="00364118">
        <w:t xml:space="preserve"> </w:t>
      </w:r>
      <w:r>
        <w:t>366.96, and 120.57, F.S.</w:t>
      </w:r>
    </w:p>
    <w:p w:rsidR="00B10237" w:rsidRDefault="00B10237" w:rsidP="00B10237">
      <w:pPr>
        <w:pStyle w:val="OrderBody"/>
      </w:pPr>
      <w:r>
        <w:tab/>
        <w:t>Based on the foregoing, it is</w:t>
      </w:r>
    </w:p>
    <w:p w:rsidR="00B10237" w:rsidRDefault="00B10237" w:rsidP="00B10237">
      <w:pPr>
        <w:pStyle w:val="OrderBody"/>
      </w:pPr>
    </w:p>
    <w:p w:rsidR="00B10237" w:rsidRDefault="00B10237" w:rsidP="00B10237">
      <w:pPr>
        <w:jc w:val="both"/>
      </w:pPr>
      <w:r>
        <w:tab/>
        <w:t>ORDERED by Commissioner Donald J. Polmann, as Prehearing Officer, that the provisions of this Order shall govern this proceeding unless modified by the Commission.</w:t>
      </w:r>
    </w:p>
    <w:p w:rsidR="00B10237" w:rsidRDefault="00B10237" w:rsidP="00B10237">
      <w:pPr>
        <w:jc w:val="both"/>
      </w:pPr>
    </w:p>
    <w:p w:rsidR="00B10237" w:rsidRDefault="00B10237" w:rsidP="00270F3B">
      <w:pPr>
        <w:pStyle w:val="OrderBody"/>
        <w:keepNext/>
        <w:keepLines/>
        <w:ind w:firstLine="720"/>
      </w:pPr>
      <w:r>
        <w:t xml:space="preserve">By ORDER of Commissioner Donald J. Polmann, as Prehearing Officer, this </w:t>
      </w:r>
      <w:bookmarkStart w:id="7" w:name="replaceDate"/>
      <w:bookmarkEnd w:id="7"/>
      <w:r w:rsidR="00270F3B">
        <w:rPr>
          <w:u w:val="single"/>
        </w:rPr>
        <w:t>31st</w:t>
      </w:r>
      <w:r w:rsidR="00270F3B">
        <w:t xml:space="preserve"> day of </w:t>
      </w:r>
      <w:r w:rsidR="00270F3B">
        <w:rPr>
          <w:u w:val="single"/>
        </w:rPr>
        <w:t>July</w:t>
      </w:r>
      <w:r w:rsidR="00270F3B">
        <w:t xml:space="preserve">, </w:t>
      </w:r>
      <w:r w:rsidR="00270F3B">
        <w:rPr>
          <w:u w:val="single"/>
        </w:rPr>
        <w:t>2020</w:t>
      </w:r>
      <w:r w:rsidR="00270F3B">
        <w:t>.</w:t>
      </w:r>
    </w:p>
    <w:p w:rsidR="00270F3B" w:rsidRPr="00270F3B" w:rsidRDefault="00270F3B" w:rsidP="00270F3B">
      <w:pPr>
        <w:pStyle w:val="OrderBody"/>
        <w:keepNext/>
        <w:keepLines/>
        <w:ind w:firstLine="720"/>
      </w:pPr>
    </w:p>
    <w:p w:rsidR="00B10237" w:rsidRDefault="00B10237" w:rsidP="00B1023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10237" w:rsidTr="00C32C9E">
        <w:tc>
          <w:tcPr>
            <w:tcW w:w="720" w:type="dxa"/>
            <w:shd w:val="clear" w:color="auto" w:fill="auto"/>
          </w:tcPr>
          <w:p w:rsidR="00B10237" w:rsidRDefault="00B10237" w:rsidP="00C32C9E">
            <w:pPr>
              <w:pStyle w:val="OrderBody"/>
              <w:keepNext/>
              <w:keepLines/>
            </w:pPr>
            <w:bookmarkStart w:id="8" w:name="bkmrkSignature" w:colFirst="0" w:colLast="0"/>
          </w:p>
        </w:tc>
        <w:tc>
          <w:tcPr>
            <w:tcW w:w="4320" w:type="dxa"/>
            <w:tcBorders>
              <w:bottom w:val="single" w:sz="4" w:space="0" w:color="auto"/>
            </w:tcBorders>
            <w:shd w:val="clear" w:color="auto" w:fill="auto"/>
          </w:tcPr>
          <w:p w:rsidR="00522996" w:rsidRDefault="00F73ADD" w:rsidP="00C32C9E">
            <w:pPr>
              <w:pStyle w:val="OrderBody"/>
              <w:keepNext/>
              <w:keepLines/>
            </w:pPr>
            <w:r>
              <w:t>/s/ Donald J. Polmann, Ph.D., P.E.</w:t>
            </w:r>
            <w:bookmarkStart w:id="9" w:name="_GoBack"/>
            <w:bookmarkEnd w:id="9"/>
          </w:p>
        </w:tc>
      </w:tr>
      <w:bookmarkEnd w:id="8"/>
      <w:tr w:rsidR="00B10237" w:rsidTr="00C32C9E">
        <w:tc>
          <w:tcPr>
            <w:tcW w:w="720" w:type="dxa"/>
            <w:shd w:val="clear" w:color="auto" w:fill="auto"/>
          </w:tcPr>
          <w:p w:rsidR="00B10237" w:rsidRDefault="00B10237" w:rsidP="00C32C9E">
            <w:pPr>
              <w:pStyle w:val="OrderBody"/>
              <w:keepNext/>
              <w:keepLines/>
            </w:pPr>
          </w:p>
        </w:tc>
        <w:tc>
          <w:tcPr>
            <w:tcW w:w="4320" w:type="dxa"/>
            <w:tcBorders>
              <w:top w:val="single" w:sz="4" w:space="0" w:color="auto"/>
            </w:tcBorders>
            <w:shd w:val="clear" w:color="auto" w:fill="auto"/>
          </w:tcPr>
          <w:p w:rsidR="00B10237" w:rsidRDefault="00B10237" w:rsidP="00C32C9E">
            <w:pPr>
              <w:pStyle w:val="OrderBody"/>
              <w:keepNext/>
              <w:keepLines/>
            </w:pPr>
            <w:r>
              <w:t>DONALD J. POLMANN, Ph.D., P.E.</w:t>
            </w:r>
          </w:p>
          <w:p w:rsidR="00B10237" w:rsidRDefault="00B10237" w:rsidP="00C32C9E">
            <w:pPr>
              <w:pStyle w:val="OrderBody"/>
              <w:keepNext/>
              <w:keepLines/>
            </w:pPr>
            <w:r>
              <w:t>Commissioner and Prehearing Officer</w:t>
            </w:r>
          </w:p>
        </w:tc>
      </w:tr>
    </w:tbl>
    <w:p w:rsidR="00B10237" w:rsidRDefault="00B10237" w:rsidP="00B10237">
      <w:pPr>
        <w:pStyle w:val="OrderSigInfo"/>
        <w:keepNext/>
        <w:keepLines/>
      </w:pPr>
      <w:r>
        <w:t>Florida Public Service Commission</w:t>
      </w:r>
    </w:p>
    <w:p w:rsidR="00B10237" w:rsidRDefault="00B10237" w:rsidP="00B10237">
      <w:pPr>
        <w:pStyle w:val="OrderSigInfo"/>
        <w:keepNext/>
        <w:keepLines/>
      </w:pPr>
      <w:r>
        <w:t>2540 Shumard Oak Boulevard</w:t>
      </w:r>
    </w:p>
    <w:p w:rsidR="00B10237" w:rsidRDefault="00B10237" w:rsidP="00B10237">
      <w:pPr>
        <w:pStyle w:val="OrderSigInfo"/>
        <w:keepNext/>
        <w:keepLines/>
      </w:pPr>
      <w:r>
        <w:t>Tallahassee, Florida 32399</w:t>
      </w:r>
    </w:p>
    <w:p w:rsidR="00B10237" w:rsidRDefault="00B10237" w:rsidP="00B10237">
      <w:pPr>
        <w:pStyle w:val="OrderSigInfo"/>
        <w:keepNext/>
        <w:keepLines/>
      </w:pPr>
      <w:r>
        <w:t>(850) 413</w:t>
      </w:r>
      <w:r>
        <w:noBreakHyphen/>
        <w:t>6770</w:t>
      </w:r>
    </w:p>
    <w:p w:rsidR="00B10237" w:rsidRDefault="00B10237" w:rsidP="00B10237">
      <w:pPr>
        <w:pStyle w:val="OrderSigInfo"/>
        <w:keepNext/>
        <w:keepLines/>
      </w:pPr>
      <w:r>
        <w:t>www.floridapsc.com</w:t>
      </w:r>
    </w:p>
    <w:p w:rsidR="00B10237" w:rsidRDefault="00B10237" w:rsidP="00B10237">
      <w:pPr>
        <w:pStyle w:val="OrderSigInfo"/>
        <w:keepNext/>
        <w:keepLines/>
      </w:pPr>
    </w:p>
    <w:p w:rsidR="00B10237" w:rsidRDefault="00B10237" w:rsidP="00B10237">
      <w:pPr>
        <w:pStyle w:val="OrderSigInfo"/>
        <w:keepNext/>
        <w:keepLines/>
      </w:pPr>
      <w:r>
        <w:t>Copies furnished:  A copy of this document is provided to the parties of record at the time of issuance and, if applicable, interested persons.</w:t>
      </w:r>
    </w:p>
    <w:p w:rsidR="00B10237" w:rsidRDefault="00B10237" w:rsidP="00B10237">
      <w:pPr>
        <w:pStyle w:val="OrderBody"/>
        <w:keepNext/>
        <w:keepLines/>
      </w:pPr>
    </w:p>
    <w:p w:rsidR="00B10237" w:rsidRDefault="00B10237" w:rsidP="00B10237">
      <w:pPr>
        <w:pStyle w:val="OrderBody"/>
        <w:keepNext/>
        <w:keepLines/>
      </w:pPr>
    </w:p>
    <w:p w:rsidR="00B10237" w:rsidRDefault="00B10237" w:rsidP="00B10237">
      <w:pPr>
        <w:pStyle w:val="OrderBody"/>
        <w:keepNext/>
        <w:keepLines/>
      </w:pPr>
      <w:r>
        <w:t>SPS</w:t>
      </w:r>
    </w:p>
    <w:p w:rsidR="00B10237" w:rsidRDefault="00B10237" w:rsidP="00B10237">
      <w:pPr>
        <w:pStyle w:val="OrderBody"/>
      </w:pPr>
    </w:p>
    <w:p w:rsidR="00B10237" w:rsidRDefault="00B10237" w:rsidP="00B10237">
      <w:pPr>
        <w:rPr>
          <w:u w:val="single"/>
        </w:rPr>
      </w:pPr>
    </w:p>
    <w:p w:rsidR="00B10237" w:rsidRDefault="00B10237" w:rsidP="00B10237">
      <w:pPr>
        <w:pStyle w:val="CenterUnderline"/>
      </w:pPr>
      <w:r>
        <w:t>NOTICE OF FURTHER PROCEEDINGS OR JUDICIAL REVIEW</w:t>
      </w:r>
    </w:p>
    <w:p w:rsidR="00B10237" w:rsidRDefault="00B10237" w:rsidP="00B10237">
      <w:pPr>
        <w:pStyle w:val="CenterUnderline"/>
      </w:pPr>
    </w:p>
    <w:p w:rsidR="00B10237" w:rsidRDefault="00B10237" w:rsidP="00B1023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10237" w:rsidRDefault="00B10237" w:rsidP="00B10237">
      <w:pPr>
        <w:pStyle w:val="OrderBody"/>
      </w:pPr>
    </w:p>
    <w:p w:rsidR="00B10237" w:rsidRDefault="00B10237" w:rsidP="00B10237">
      <w:pPr>
        <w:pStyle w:val="OrderBody"/>
      </w:pPr>
      <w:r>
        <w:tab/>
        <w:t>Mediation may be available on a case-by-case basis.  If mediation is conducted, it does not affect a substantially interested person's right to a hearing.</w:t>
      </w:r>
    </w:p>
    <w:p w:rsidR="00B10237" w:rsidRDefault="00B10237" w:rsidP="00B10237">
      <w:pPr>
        <w:pStyle w:val="OrderBody"/>
      </w:pPr>
    </w:p>
    <w:p w:rsidR="00B10237" w:rsidRDefault="00B10237" w:rsidP="00B1023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237" w:rsidRDefault="00B10237">
      <w:r>
        <w:separator/>
      </w:r>
    </w:p>
  </w:endnote>
  <w:endnote w:type="continuationSeparator" w:id="0">
    <w:p w:rsidR="00B10237" w:rsidRDefault="00B1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237" w:rsidRDefault="00B10237">
      <w:r>
        <w:separator/>
      </w:r>
    </w:p>
  </w:footnote>
  <w:footnote w:type="continuationSeparator" w:id="0">
    <w:p w:rsidR="00B10237" w:rsidRDefault="00B10237">
      <w:r>
        <w:continuationSeparator/>
      </w:r>
    </w:p>
  </w:footnote>
  <w:footnote w:id="1">
    <w:p w:rsidR="00B10237" w:rsidRDefault="00B10237" w:rsidP="00B10237">
      <w:pPr>
        <w:pStyle w:val="OrderBody"/>
        <w:tabs>
          <w:tab w:val="center" w:pos="4320"/>
          <w:tab w:val="right" w:pos="8640"/>
        </w:tabs>
        <w:jc w:val="left"/>
      </w:pPr>
      <w:r>
        <w:rPr>
          <w:rStyle w:val="FootnoteReference"/>
        </w:rPr>
        <w:footnoteRef/>
      </w:r>
      <w:r>
        <w:t xml:space="preserve"> </w:t>
      </w:r>
      <w:r w:rsidRPr="00DF1DC5">
        <w:rPr>
          <w:i/>
          <w:sz w:val="20"/>
          <w:szCs w:val="20"/>
        </w:rPr>
        <w:t>In re: Review of 2020-2029 Storm Protection Plan pursuant to Rule 25-6.030, F.A.C., Duke Energy Florida, LLC.</w:t>
      </w:r>
    </w:p>
  </w:footnote>
  <w:footnote w:id="2">
    <w:p w:rsidR="00B10237" w:rsidRDefault="00B10237" w:rsidP="00B10237">
      <w:pPr>
        <w:pStyle w:val="FootnoteText"/>
      </w:pPr>
      <w:r>
        <w:rPr>
          <w:rStyle w:val="FootnoteReference"/>
        </w:rPr>
        <w:footnoteRef/>
      </w:r>
      <w:r>
        <w:t xml:space="preserve"> </w:t>
      </w:r>
      <w:r w:rsidRPr="00502C44">
        <w:rPr>
          <w:i/>
        </w:rPr>
        <w:t>In re: Storm protection plan cost recovery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73ADD">
      <w:fldChar w:fldCharType="begin"/>
    </w:r>
    <w:r w:rsidR="00F73ADD">
      <w:instrText xml:space="preserve"> REF OrderNo0273 </w:instrText>
    </w:r>
    <w:r w:rsidR="00F73ADD">
      <w:fldChar w:fldCharType="separate"/>
    </w:r>
    <w:r w:rsidR="00522996">
      <w:t>PSC-2020-0273-PCO-EI</w:t>
    </w:r>
    <w:r w:rsidR="00F73ADD">
      <w:fldChar w:fldCharType="end"/>
    </w:r>
  </w:p>
  <w:p w:rsidR="00FA6EFD" w:rsidRDefault="00B10237">
    <w:pPr>
      <w:pStyle w:val="OrderHeader"/>
    </w:pPr>
    <w:bookmarkStart w:id="10" w:name="HeaderDocketNo"/>
    <w:bookmarkEnd w:id="10"/>
    <w:r>
      <w:t>DOCKET NOS. 20200069-EI, 20200092-EI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3ADD">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6836"/>
    <w:multiLevelType w:val="hybridMultilevel"/>
    <w:tmpl w:val="A93A97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69-EI, 20200092-EI"/>
  </w:docVars>
  <w:rsids>
    <w:rsidRoot w:val="00B10237"/>
    <w:rsid w:val="000022B8"/>
    <w:rsid w:val="00025C9D"/>
    <w:rsid w:val="0003433F"/>
    <w:rsid w:val="00035A8C"/>
    <w:rsid w:val="00036BDD"/>
    <w:rsid w:val="00053AB9"/>
    <w:rsid w:val="00056229"/>
    <w:rsid w:val="00057AF1"/>
    <w:rsid w:val="0006057F"/>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0F3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2996"/>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85F24"/>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0237"/>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21BE8"/>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73ADD"/>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10237"/>
    <w:pPr>
      <w:ind w:left="720"/>
      <w:contextualSpacing/>
    </w:pPr>
  </w:style>
  <w:style w:type="paragraph" w:styleId="BalloonText">
    <w:name w:val="Balloon Text"/>
    <w:basedOn w:val="Normal"/>
    <w:link w:val="BalloonTextChar"/>
    <w:semiHidden/>
    <w:unhideWhenUsed/>
    <w:rsid w:val="00A85F24"/>
    <w:rPr>
      <w:rFonts w:ascii="Segoe UI" w:hAnsi="Segoe UI" w:cs="Segoe UI"/>
      <w:sz w:val="18"/>
      <w:szCs w:val="18"/>
    </w:rPr>
  </w:style>
  <w:style w:type="character" w:customStyle="1" w:styleId="BalloonTextChar">
    <w:name w:val="Balloon Text Char"/>
    <w:basedOn w:val="DefaultParagraphFont"/>
    <w:link w:val="BalloonText"/>
    <w:semiHidden/>
    <w:rsid w:val="00A85F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5</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2020-07-31T13:33:00Z</dcterms:created>
  <dcterms:modified xsi:type="dcterms:W3CDTF">2020-07-31T14:23:00Z</dcterms:modified>
</cp:coreProperties>
</file>