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45A7B" w:rsidP="00645A7B">
      <w:pPr>
        <w:pStyle w:val="OrderHeading"/>
      </w:pPr>
      <w:bookmarkStart w:id="0" w:name="_GoBack"/>
      <w:bookmarkEnd w:id="0"/>
      <w:r>
        <w:t>BEFORE THE FLORIDA PUBLIC SERVICE COMMISSION</w:t>
      </w:r>
    </w:p>
    <w:p w:rsidR="00645A7B" w:rsidRDefault="00645A7B" w:rsidP="00645A7B">
      <w:pPr>
        <w:pStyle w:val="OrderBody"/>
      </w:pPr>
    </w:p>
    <w:p w:rsidR="00645A7B" w:rsidRDefault="00645A7B" w:rsidP="00645A7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5A7B" w:rsidRPr="00C63FCF" w:rsidTr="00C63FCF">
        <w:trPr>
          <w:trHeight w:val="828"/>
        </w:trPr>
        <w:tc>
          <w:tcPr>
            <w:tcW w:w="4788" w:type="dxa"/>
            <w:tcBorders>
              <w:bottom w:val="single" w:sz="8" w:space="0" w:color="auto"/>
              <w:right w:val="double" w:sz="6" w:space="0" w:color="auto"/>
            </w:tcBorders>
            <w:shd w:val="clear" w:color="auto" w:fill="auto"/>
          </w:tcPr>
          <w:p w:rsidR="00645A7B" w:rsidRDefault="00645A7B" w:rsidP="00C63FCF">
            <w:pPr>
              <w:pStyle w:val="OrderBody"/>
              <w:tabs>
                <w:tab w:val="center" w:pos="4320"/>
                <w:tab w:val="right" w:pos="8640"/>
              </w:tabs>
              <w:jc w:val="left"/>
            </w:pPr>
            <w:r>
              <w:t xml:space="preserve">In re: </w:t>
            </w:r>
            <w:bookmarkStart w:id="1" w:name="SSInRe"/>
            <w:bookmarkEnd w:id="1"/>
            <w:r>
              <w:t>Proposed repeal of Rule 25-6.047, FAC, Constant Current Standards; Rule 25-6.081, FAC, Construction Practices; and Rule 25-6.082, FAC, Records and Reports, and amendment of Rule 25-6.054, FAC, Laboratory Standards; Rule 25-6.074, FAC, Applicability; and Rule 25-6.104, FAC, Unauthorized Use of Energy.</w:t>
            </w:r>
          </w:p>
        </w:tc>
        <w:tc>
          <w:tcPr>
            <w:tcW w:w="4788" w:type="dxa"/>
            <w:tcBorders>
              <w:left w:val="double" w:sz="6" w:space="0" w:color="auto"/>
            </w:tcBorders>
            <w:shd w:val="clear" w:color="auto" w:fill="auto"/>
          </w:tcPr>
          <w:p w:rsidR="00645A7B" w:rsidRDefault="00645A7B" w:rsidP="00645A7B">
            <w:pPr>
              <w:pStyle w:val="OrderBody"/>
            </w:pPr>
            <w:r>
              <w:t xml:space="preserve">DOCKET NO. </w:t>
            </w:r>
            <w:bookmarkStart w:id="2" w:name="SSDocketNo"/>
            <w:bookmarkEnd w:id="2"/>
            <w:r>
              <w:t>20200186-EU</w:t>
            </w:r>
          </w:p>
          <w:p w:rsidR="00645A7B" w:rsidRDefault="00645A7B" w:rsidP="00C63FCF">
            <w:pPr>
              <w:pStyle w:val="OrderBody"/>
              <w:tabs>
                <w:tab w:val="center" w:pos="4320"/>
                <w:tab w:val="right" w:pos="8640"/>
              </w:tabs>
              <w:jc w:val="left"/>
            </w:pPr>
            <w:r>
              <w:t xml:space="preserve">ORDER NO. </w:t>
            </w:r>
            <w:bookmarkStart w:id="3" w:name="OrderNo0296"/>
            <w:r w:rsidR="003C5DB7">
              <w:t>PSC-2020-0296-NOR-EU</w:t>
            </w:r>
            <w:bookmarkEnd w:id="3"/>
          </w:p>
          <w:p w:rsidR="00645A7B" w:rsidRDefault="00645A7B" w:rsidP="00C63FCF">
            <w:pPr>
              <w:pStyle w:val="OrderBody"/>
              <w:tabs>
                <w:tab w:val="center" w:pos="4320"/>
                <w:tab w:val="right" w:pos="8640"/>
              </w:tabs>
              <w:jc w:val="left"/>
            </w:pPr>
            <w:r>
              <w:t xml:space="preserve">ISSUED: </w:t>
            </w:r>
            <w:r w:rsidR="003C5DB7">
              <w:t>September 3, 2020</w:t>
            </w:r>
          </w:p>
        </w:tc>
      </w:tr>
    </w:tbl>
    <w:p w:rsidR="00645A7B" w:rsidRDefault="00645A7B" w:rsidP="00645A7B"/>
    <w:p w:rsidR="00645A7B" w:rsidRDefault="00645A7B" w:rsidP="00645A7B"/>
    <w:p w:rsidR="00645A7B" w:rsidRDefault="00645A7B" w:rsidP="00B67A43">
      <w:pPr>
        <w:ind w:firstLine="720"/>
        <w:jc w:val="both"/>
      </w:pPr>
      <w:bookmarkStart w:id="4" w:name="Commissioners"/>
      <w:bookmarkEnd w:id="4"/>
      <w:r>
        <w:t>The following Commissioners participated in the disposition of this matter:</w:t>
      </w:r>
    </w:p>
    <w:p w:rsidR="00645A7B" w:rsidRDefault="00645A7B" w:rsidP="00B67A43"/>
    <w:p w:rsidR="00645A7B" w:rsidRDefault="00645A7B" w:rsidP="00B67A43">
      <w:pPr>
        <w:jc w:val="center"/>
      </w:pPr>
      <w:r>
        <w:t>GARY F. CLARK, Chairman</w:t>
      </w:r>
    </w:p>
    <w:p w:rsidR="00645A7B" w:rsidRDefault="00645A7B" w:rsidP="00B67A43">
      <w:pPr>
        <w:jc w:val="center"/>
      </w:pPr>
      <w:r>
        <w:t>ART GRAHAM</w:t>
      </w:r>
    </w:p>
    <w:p w:rsidR="00645A7B" w:rsidRDefault="00645A7B" w:rsidP="00B67A43">
      <w:pPr>
        <w:jc w:val="center"/>
      </w:pPr>
      <w:r>
        <w:t>JULIE I. BROWN</w:t>
      </w:r>
    </w:p>
    <w:p w:rsidR="00645A7B" w:rsidRDefault="00645A7B" w:rsidP="00B67A43">
      <w:pPr>
        <w:jc w:val="center"/>
      </w:pPr>
      <w:r>
        <w:t>DONALD J. POLMANN</w:t>
      </w:r>
    </w:p>
    <w:p w:rsidR="00645A7B" w:rsidRDefault="00645A7B" w:rsidP="00B67A43">
      <w:pPr>
        <w:jc w:val="center"/>
      </w:pPr>
      <w:r>
        <w:t>ANDREW GILES FAY</w:t>
      </w:r>
    </w:p>
    <w:p w:rsidR="00CB5276" w:rsidRDefault="00CB5276">
      <w:pPr>
        <w:pStyle w:val="OrderBody"/>
      </w:pPr>
    </w:p>
    <w:p w:rsidR="00645A7B" w:rsidRDefault="00645A7B" w:rsidP="00645A7B">
      <w:pPr>
        <w:pStyle w:val="CenterUnderline"/>
      </w:pPr>
      <w:bookmarkStart w:id="5" w:name="OrderTitle"/>
      <w:r>
        <w:t xml:space="preserve">NOTICE OF RULEMAKING </w:t>
      </w:r>
      <w:bookmarkEnd w:id="5"/>
    </w:p>
    <w:p w:rsidR="00645A7B" w:rsidRDefault="00645A7B" w:rsidP="00645A7B">
      <w:pPr>
        <w:pStyle w:val="CenterUnderline"/>
      </w:pPr>
    </w:p>
    <w:p w:rsidR="00645A7B" w:rsidRDefault="00645A7B" w:rsidP="00645A7B">
      <w:pPr>
        <w:pStyle w:val="OrderBody"/>
      </w:pPr>
      <w:r>
        <w:t>BY THE COMMISSION:</w:t>
      </w:r>
    </w:p>
    <w:p w:rsidR="00645A7B" w:rsidRDefault="00645A7B" w:rsidP="00645A7B">
      <w:pPr>
        <w:jc w:val="both"/>
      </w:pPr>
      <w:bookmarkStart w:id="6" w:name="OrderText"/>
      <w:bookmarkEnd w:id="6"/>
    </w:p>
    <w:p w:rsidR="00645A7B" w:rsidRDefault="00645A7B" w:rsidP="00645A7B">
      <w:pPr>
        <w:jc w:val="both"/>
      </w:pPr>
      <w:r>
        <w:tab/>
        <w:t>NOTICE is hereby given that the Florida Public Service Commission, pursuant to Section 120.54, Florida Statutes, has proposed the repeal of</w:t>
      </w:r>
      <w:r w:rsidRPr="002A2DE7">
        <w:t xml:space="preserve"> </w:t>
      </w:r>
      <w:r>
        <w:t>Rules 25-6.047, 25-6.081, and 25-6.082, and amendment of Rules 25-6.054, 25-6.074, and 25-6.104, Florida Administrative Code, relating to constant current standards for street lighting circuits</w:t>
      </w:r>
      <w:r w:rsidR="0072200F">
        <w:t>;</w:t>
      </w:r>
      <w:r>
        <w:t xml:space="preserve"> laboratory standards for watthour meters; residential electric underground extension; construction practices</w:t>
      </w:r>
      <w:r w:rsidR="0072200F">
        <w:t>;</w:t>
      </w:r>
      <w:r>
        <w:t xml:space="preserve"> and unauthorized use of energy.  </w:t>
      </w:r>
    </w:p>
    <w:p w:rsidR="00645A7B" w:rsidRDefault="00645A7B" w:rsidP="00645A7B">
      <w:pPr>
        <w:jc w:val="both"/>
      </w:pPr>
    </w:p>
    <w:p w:rsidR="00645A7B" w:rsidRDefault="00645A7B" w:rsidP="00645A7B">
      <w:pPr>
        <w:jc w:val="both"/>
      </w:pPr>
      <w:r>
        <w:tab/>
        <w:t xml:space="preserve">The attached Notice of Proposed Rules appeared in the September </w:t>
      </w:r>
      <w:r w:rsidR="00024D97">
        <w:t>3</w:t>
      </w:r>
      <w:r>
        <w:t xml:space="preserve">, </w:t>
      </w:r>
      <w:r w:rsidRPr="008A695A">
        <w:t>2020</w:t>
      </w:r>
      <w:r>
        <w:t xml:space="preserve"> edition of the Florida Administrative Register.  </w:t>
      </w:r>
    </w:p>
    <w:p w:rsidR="00645A7B" w:rsidRDefault="00645A7B" w:rsidP="00645A7B">
      <w:pPr>
        <w:jc w:val="both"/>
      </w:pPr>
    </w:p>
    <w:p w:rsidR="00645A7B" w:rsidRDefault="00645A7B" w:rsidP="00645A7B">
      <w:pPr>
        <w:jc w:val="both"/>
      </w:pPr>
      <w:r>
        <w:tab/>
      </w:r>
      <w:r w:rsidRPr="00D5285F">
        <w:t>If timely requested, a hearing will be held at a time and place to be announced in a future notice.</w:t>
      </w:r>
    </w:p>
    <w:p w:rsidR="00645A7B" w:rsidRDefault="00645A7B" w:rsidP="00645A7B">
      <w:pPr>
        <w:jc w:val="both"/>
      </w:pPr>
    </w:p>
    <w:p w:rsidR="00645A7B" w:rsidRDefault="00645A7B" w:rsidP="00645A7B">
      <w:pPr>
        <w:jc w:val="both"/>
      </w:pPr>
      <w:r>
        <w:tab/>
        <w:t>Requests for hearing on the proposed rules, information regarding the statement of estimated regulatory costs, or proposals for a low</w:t>
      </w:r>
      <w:r w:rsidR="00696886">
        <w:t xml:space="preserve">er cost regulatory alternative </w:t>
      </w:r>
      <w:r>
        <w:t xml:space="preserve">must be provided in writing and received by the Office of Commission Clerk, Florida Public Service Commission, 2540 Shumard Oak Blvd., Tallahassee, FL 32399-0862, no later than September </w:t>
      </w:r>
      <w:r w:rsidR="00024D97">
        <w:t>24</w:t>
      </w:r>
      <w:r>
        <w:t>, 2020.</w:t>
      </w:r>
    </w:p>
    <w:p w:rsidR="00645A7B" w:rsidRDefault="00645A7B" w:rsidP="00645A7B">
      <w:pPr>
        <w:jc w:val="both"/>
      </w:pPr>
    </w:p>
    <w:p w:rsidR="00CB5276" w:rsidRDefault="00CB5276">
      <w:pPr>
        <w:pStyle w:val="OrderBody"/>
      </w:pPr>
    </w:p>
    <w:p w:rsidR="00645A7B" w:rsidRDefault="00645A7B" w:rsidP="00645A7B">
      <w:pPr>
        <w:keepNext/>
        <w:keepLines/>
        <w:jc w:val="both"/>
      </w:pPr>
      <w:r>
        <w:lastRenderedPageBreak/>
        <w:tab/>
        <w:t xml:space="preserve">By ORDER of the Florida Public Service Commission this </w:t>
      </w:r>
      <w:bookmarkStart w:id="7" w:name="replaceDate"/>
      <w:bookmarkEnd w:id="7"/>
      <w:r w:rsidR="005B441D">
        <w:rPr>
          <w:u w:val="single"/>
        </w:rPr>
        <w:t>4th</w:t>
      </w:r>
      <w:r w:rsidR="005B441D">
        <w:t xml:space="preserve"> day of </w:t>
      </w:r>
      <w:r w:rsidR="005B441D">
        <w:rPr>
          <w:u w:val="single"/>
        </w:rPr>
        <w:t>September</w:t>
      </w:r>
      <w:r w:rsidR="005B441D">
        <w:t xml:space="preserve">, </w:t>
      </w:r>
      <w:r w:rsidR="005B441D">
        <w:rPr>
          <w:u w:val="single"/>
        </w:rPr>
        <w:t>2020</w:t>
      </w:r>
      <w:r w:rsidR="005B441D">
        <w:t>.</w:t>
      </w:r>
    </w:p>
    <w:p w:rsidR="005B441D" w:rsidRPr="005B441D" w:rsidRDefault="005B441D" w:rsidP="00645A7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45A7B" w:rsidTr="00645A7B">
        <w:tc>
          <w:tcPr>
            <w:tcW w:w="720" w:type="dxa"/>
            <w:shd w:val="clear" w:color="auto" w:fill="auto"/>
          </w:tcPr>
          <w:p w:rsidR="00645A7B" w:rsidRDefault="00645A7B" w:rsidP="00645A7B">
            <w:pPr>
              <w:keepNext/>
              <w:keepLines/>
              <w:jc w:val="both"/>
            </w:pPr>
            <w:bookmarkStart w:id="8" w:name="bkmrkSignature" w:colFirst="0" w:colLast="0"/>
          </w:p>
        </w:tc>
        <w:tc>
          <w:tcPr>
            <w:tcW w:w="4320" w:type="dxa"/>
            <w:tcBorders>
              <w:bottom w:val="single" w:sz="4" w:space="0" w:color="auto"/>
            </w:tcBorders>
            <w:shd w:val="clear" w:color="auto" w:fill="auto"/>
          </w:tcPr>
          <w:p w:rsidR="00645A7B" w:rsidRDefault="00645A7B" w:rsidP="00645A7B">
            <w:pPr>
              <w:keepNext/>
              <w:keepLines/>
              <w:jc w:val="both"/>
            </w:pPr>
          </w:p>
        </w:tc>
      </w:tr>
      <w:bookmarkEnd w:id="8"/>
      <w:tr w:rsidR="00645A7B" w:rsidTr="00645A7B">
        <w:tc>
          <w:tcPr>
            <w:tcW w:w="720" w:type="dxa"/>
            <w:shd w:val="clear" w:color="auto" w:fill="auto"/>
          </w:tcPr>
          <w:p w:rsidR="00645A7B" w:rsidRDefault="00645A7B" w:rsidP="00645A7B">
            <w:pPr>
              <w:keepNext/>
              <w:keepLines/>
              <w:jc w:val="both"/>
            </w:pPr>
          </w:p>
        </w:tc>
        <w:tc>
          <w:tcPr>
            <w:tcW w:w="4320" w:type="dxa"/>
            <w:tcBorders>
              <w:top w:val="single" w:sz="4" w:space="0" w:color="auto"/>
            </w:tcBorders>
            <w:shd w:val="clear" w:color="auto" w:fill="auto"/>
          </w:tcPr>
          <w:p w:rsidR="00645A7B" w:rsidRDefault="00645A7B" w:rsidP="00645A7B">
            <w:pPr>
              <w:keepNext/>
              <w:keepLines/>
              <w:jc w:val="both"/>
            </w:pPr>
            <w:r>
              <w:t>ADAM J. TEITZMAN</w:t>
            </w:r>
          </w:p>
          <w:p w:rsidR="00645A7B" w:rsidRDefault="00645A7B" w:rsidP="00645A7B">
            <w:pPr>
              <w:keepNext/>
              <w:keepLines/>
              <w:jc w:val="both"/>
            </w:pPr>
            <w:r>
              <w:t>Commission Clerk</w:t>
            </w:r>
          </w:p>
        </w:tc>
      </w:tr>
    </w:tbl>
    <w:p w:rsidR="00645A7B" w:rsidRDefault="00645A7B" w:rsidP="00645A7B">
      <w:pPr>
        <w:pStyle w:val="OrderSigInfo"/>
        <w:keepNext/>
        <w:keepLines/>
      </w:pPr>
      <w:r>
        <w:t>Florida Public Service Commission</w:t>
      </w:r>
    </w:p>
    <w:p w:rsidR="00645A7B" w:rsidRDefault="00645A7B" w:rsidP="00645A7B">
      <w:pPr>
        <w:pStyle w:val="OrderSigInfo"/>
        <w:keepNext/>
        <w:keepLines/>
      </w:pPr>
      <w:r>
        <w:t>2540 Shumard Oak Boulevard</w:t>
      </w:r>
    </w:p>
    <w:p w:rsidR="00645A7B" w:rsidRDefault="00645A7B" w:rsidP="00645A7B">
      <w:pPr>
        <w:pStyle w:val="OrderSigInfo"/>
        <w:keepNext/>
        <w:keepLines/>
      </w:pPr>
      <w:r>
        <w:t>Tallahassee, Florida 32399</w:t>
      </w:r>
    </w:p>
    <w:p w:rsidR="00645A7B" w:rsidRDefault="00645A7B" w:rsidP="00645A7B">
      <w:pPr>
        <w:pStyle w:val="OrderSigInfo"/>
        <w:keepNext/>
        <w:keepLines/>
      </w:pPr>
      <w:r>
        <w:t>(850) 413</w:t>
      </w:r>
      <w:r>
        <w:noBreakHyphen/>
        <w:t>6770</w:t>
      </w:r>
    </w:p>
    <w:p w:rsidR="00645A7B" w:rsidRDefault="00645A7B" w:rsidP="00645A7B">
      <w:pPr>
        <w:pStyle w:val="OrderSigInfo"/>
        <w:keepNext/>
        <w:keepLines/>
      </w:pPr>
      <w:r>
        <w:t>www.floridapsc.com</w:t>
      </w:r>
    </w:p>
    <w:p w:rsidR="00645A7B" w:rsidRDefault="00645A7B" w:rsidP="00645A7B">
      <w:pPr>
        <w:pStyle w:val="OrderSigInfo"/>
        <w:keepNext/>
        <w:keepLines/>
      </w:pPr>
    </w:p>
    <w:p w:rsidR="00645A7B" w:rsidRDefault="00645A7B" w:rsidP="00645A7B">
      <w:pPr>
        <w:pStyle w:val="OrderSigInfo"/>
        <w:keepNext/>
        <w:keepLines/>
      </w:pPr>
      <w:r>
        <w:t>Copies furnished:  A copy of this document is provided to the parties of record at the time of issuance and, if applicable, interested persons.</w:t>
      </w:r>
    </w:p>
    <w:p w:rsidR="00645A7B" w:rsidRDefault="00645A7B" w:rsidP="00645A7B">
      <w:pPr>
        <w:pStyle w:val="OrderBody"/>
        <w:keepNext/>
        <w:keepLines/>
      </w:pPr>
    </w:p>
    <w:p w:rsidR="00645A7B" w:rsidRDefault="00645A7B" w:rsidP="00645A7B">
      <w:pPr>
        <w:keepNext/>
        <w:keepLines/>
        <w:jc w:val="both"/>
      </w:pPr>
    </w:p>
    <w:p w:rsidR="00645A7B" w:rsidRDefault="00645A7B" w:rsidP="00645A7B">
      <w:pPr>
        <w:keepNext/>
        <w:keepLines/>
        <w:jc w:val="both"/>
      </w:pPr>
      <w:r>
        <w:t>KGWC</w:t>
      </w:r>
    </w:p>
    <w:p w:rsidR="00645A7B" w:rsidRDefault="00645A7B" w:rsidP="00645A7B">
      <w:pPr>
        <w:jc w:val="both"/>
      </w:pPr>
    </w:p>
    <w:p w:rsidR="00B25341" w:rsidRDefault="00B25341">
      <w:r>
        <w:br w:type="page"/>
      </w:r>
    </w:p>
    <w:p w:rsidR="00D57E57" w:rsidRDefault="00D57E57" w:rsidP="00645A7B">
      <w:pPr>
        <w:jc w:val="both"/>
      </w:pPr>
    </w:p>
    <w:p w:rsidR="00FF41BD" w:rsidRPr="00FF41BD" w:rsidRDefault="00FF41BD" w:rsidP="00FF41BD">
      <w:pPr>
        <w:jc w:val="center"/>
        <w:rPr>
          <w:rFonts w:eastAsia="Calibri"/>
          <w:sz w:val="22"/>
          <w:szCs w:val="22"/>
        </w:rPr>
      </w:pPr>
      <w:r w:rsidRPr="00FF41BD">
        <w:rPr>
          <w:rFonts w:eastAsia="Calibri"/>
          <w:sz w:val="22"/>
          <w:szCs w:val="22"/>
        </w:rPr>
        <w:t>Notice of Proposed Rule</w:t>
      </w:r>
    </w:p>
    <w:p w:rsidR="00FF41BD" w:rsidRPr="00FF41BD" w:rsidRDefault="00FF41BD" w:rsidP="00FF41BD">
      <w:pPr>
        <w:rPr>
          <w:rFonts w:eastAsia="Calibri"/>
          <w:sz w:val="20"/>
          <w:szCs w:val="20"/>
        </w:rPr>
      </w:pPr>
    </w:p>
    <w:p w:rsidR="00FF41BD" w:rsidRPr="00FF41BD" w:rsidRDefault="00766775" w:rsidP="00FF41BD">
      <w:pPr>
        <w:jc w:val="both"/>
        <w:rPr>
          <w:rFonts w:eastAsia="Calibri"/>
          <w:b/>
          <w:sz w:val="20"/>
          <w:szCs w:val="20"/>
        </w:rPr>
      </w:pPr>
      <w:hyperlink r:id="rId6" w:tgtFrame="department" w:tooltip="https://www.flrules.org/gateway/department.asp?id=25" w:history="1">
        <w:r w:rsidR="00FF41BD" w:rsidRPr="00FF41BD">
          <w:rPr>
            <w:rFonts w:eastAsia="Calibri"/>
            <w:b/>
            <w:sz w:val="20"/>
            <w:szCs w:val="20"/>
          </w:rPr>
          <w:t>PUBLIC SERVICE COMMISSION</w:t>
        </w:r>
      </w:hyperlink>
    </w:p>
    <w:p w:rsidR="00FF41BD" w:rsidRPr="00FF41BD" w:rsidRDefault="00FF41BD" w:rsidP="00FF41BD">
      <w:pPr>
        <w:spacing w:line="264" w:lineRule="auto"/>
        <w:jc w:val="both"/>
        <w:rPr>
          <w:rFonts w:eastAsia="Calibri"/>
          <w:sz w:val="20"/>
          <w:szCs w:val="20"/>
        </w:rPr>
      </w:pPr>
      <w:r w:rsidRPr="00FF41BD">
        <w:rPr>
          <w:rFonts w:eastAsia="Calibri"/>
          <w:sz w:val="20"/>
          <w:szCs w:val="20"/>
        </w:rPr>
        <w:t>RULE NOS:</w:t>
      </w:r>
      <w:r w:rsidRPr="00FF41BD">
        <w:rPr>
          <w:rFonts w:eastAsia="Calibri"/>
          <w:sz w:val="20"/>
          <w:szCs w:val="20"/>
        </w:rPr>
        <w:tab/>
        <w:t>RULE TITLES</w:t>
      </w:r>
    </w:p>
    <w:p w:rsidR="00FF41BD" w:rsidRPr="00FF41BD" w:rsidRDefault="00FF41BD" w:rsidP="00FF41BD">
      <w:pPr>
        <w:spacing w:line="264" w:lineRule="auto"/>
        <w:jc w:val="both"/>
        <w:rPr>
          <w:rFonts w:eastAsia="Calibri"/>
          <w:sz w:val="20"/>
          <w:szCs w:val="20"/>
        </w:rPr>
      </w:pPr>
      <w:r w:rsidRPr="00FF41BD">
        <w:rPr>
          <w:rFonts w:eastAsia="Calibri"/>
          <w:sz w:val="20"/>
          <w:szCs w:val="20"/>
        </w:rPr>
        <w:t>25-6.047</w:t>
      </w:r>
      <w:r w:rsidRPr="00FF41BD">
        <w:rPr>
          <w:rFonts w:eastAsia="Calibri"/>
          <w:sz w:val="20"/>
          <w:szCs w:val="20"/>
        </w:rPr>
        <w:tab/>
      </w:r>
      <w:r w:rsidRPr="00FF41BD">
        <w:rPr>
          <w:rFonts w:eastAsia="Calibri"/>
          <w:sz w:val="20"/>
          <w:szCs w:val="20"/>
        </w:rPr>
        <w:tab/>
        <w:t>Constant Current Standards</w:t>
      </w:r>
    </w:p>
    <w:p w:rsidR="00FF41BD" w:rsidRPr="00FF41BD" w:rsidRDefault="00FF41BD" w:rsidP="00FF41BD">
      <w:pPr>
        <w:spacing w:line="264" w:lineRule="auto"/>
        <w:jc w:val="both"/>
        <w:rPr>
          <w:rFonts w:eastAsia="Calibri"/>
          <w:sz w:val="20"/>
          <w:szCs w:val="20"/>
        </w:rPr>
      </w:pPr>
      <w:r w:rsidRPr="00FF41BD">
        <w:rPr>
          <w:rFonts w:eastAsia="Calibri"/>
          <w:sz w:val="20"/>
          <w:szCs w:val="20"/>
        </w:rPr>
        <w:t>25-6.054</w:t>
      </w:r>
      <w:r w:rsidRPr="00FF41BD">
        <w:rPr>
          <w:rFonts w:eastAsia="Calibri"/>
          <w:sz w:val="20"/>
          <w:szCs w:val="20"/>
        </w:rPr>
        <w:tab/>
      </w:r>
      <w:r w:rsidRPr="00FF41BD">
        <w:rPr>
          <w:rFonts w:eastAsia="Calibri"/>
          <w:sz w:val="20"/>
          <w:szCs w:val="20"/>
        </w:rPr>
        <w:tab/>
        <w:t>Laboratory Standards</w:t>
      </w:r>
    </w:p>
    <w:p w:rsidR="00FF41BD" w:rsidRPr="00FF41BD" w:rsidRDefault="00FF41BD" w:rsidP="00FF41BD">
      <w:pPr>
        <w:spacing w:line="264" w:lineRule="auto"/>
        <w:jc w:val="both"/>
        <w:rPr>
          <w:rFonts w:eastAsia="Calibri"/>
          <w:sz w:val="20"/>
          <w:szCs w:val="20"/>
        </w:rPr>
      </w:pPr>
      <w:r w:rsidRPr="00FF41BD">
        <w:rPr>
          <w:rFonts w:eastAsia="Calibri"/>
          <w:sz w:val="20"/>
          <w:szCs w:val="20"/>
        </w:rPr>
        <w:t>25-6.074</w:t>
      </w:r>
      <w:r w:rsidRPr="00FF41BD">
        <w:rPr>
          <w:rFonts w:eastAsia="Calibri"/>
          <w:sz w:val="20"/>
          <w:szCs w:val="20"/>
        </w:rPr>
        <w:tab/>
      </w:r>
      <w:r w:rsidRPr="00FF41BD">
        <w:rPr>
          <w:rFonts w:eastAsia="Calibri"/>
          <w:sz w:val="20"/>
          <w:szCs w:val="20"/>
        </w:rPr>
        <w:tab/>
        <w:t>Applicability</w:t>
      </w:r>
    </w:p>
    <w:p w:rsidR="00FF41BD" w:rsidRPr="00FF41BD" w:rsidRDefault="00FF41BD" w:rsidP="00FF41BD">
      <w:pPr>
        <w:spacing w:line="264" w:lineRule="auto"/>
        <w:jc w:val="both"/>
        <w:rPr>
          <w:rFonts w:eastAsia="Calibri"/>
          <w:sz w:val="20"/>
          <w:szCs w:val="20"/>
        </w:rPr>
      </w:pPr>
      <w:r w:rsidRPr="00FF41BD">
        <w:rPr>
          <w:rFonts w:eastAsia="Calibri"/>
          <w:sz w:val="20"/>
          <w:szCs w:val="20"/>
        </w:rPr>
        <w:t>25-6.081</w:t>
      </w:r>
      <w:r w:rsidRPr="00FF41BD">
        <w:rPr>
          <w:rFonts w:eastAsia="Calibri"/>
          <w:sz w:val="20"/>
          <w:szCs w:val="20"/>
        </w:rPr>
        <w:tab/>
      </w:r>
      <w:r w:rsidRPr="00FF41BD">
        <w:rPr>
          <w:rFonts w:eastAsia="Calibri"/>
          <w:sz w:val="20"/>
          <w:szCs w:val="20"/>
        </w:rPr>
        <w:tab/>
        <w:t>Construction Practices</w:t>
      </w:r>
    </w:p>
    <w:p w:rsidR="00FF41BD" w:rsidRPr="00FF41BD" w:rsidRDefault="00FF41BD" w:rsidP="00FF41BD">
      <w:pPr>
        <w:spacing w:line="264" w:lineRule="auto"/>
        <w:jc w:val="both"/>
        <w:rPr>
          <w:rFonts w:eastAsia="Calibri"/>
          <w:sz w:val="20"/>
          <w:szCs w:val="20"/>
        </w:rPr>
      </w:pPr>
      <w:r w:rsidRPr="00FF41BD">
        <w:rPr>
          <w:rFonts w:eastAsia="Calibri"/>
          <w:sz w:val="20"/>
          <w:szCs w:val="20"/>
        </w:rPr>
        <w:t>25-6.082</w:t>
      </w:r>
      <w:r w:rsidRPr="00FF41BD">
        <w:rPr>
          <w:rFonts w:eastAsia="Calibri"/>
          <w:sz w:val="20"/>
          <w:szCs w:val="20"/>
        </w:rPr>
        <w:tab/>
      </w:r>
      <w:r w:rsidRPr="00FF41BD">
        <w:rPr>
          <w:rFonts w:eastAsia="Calibri"/>
          <w:sz w:val="20"/>
          <w:szCs w:val="20"/>
        </w:rPr>
        <w:tab/>
        <w:t>Records and Reports</w:t>
      </w:r>
    </w:p>
    <w:p w:rsidR="00FF41BD" w:rsidRPr="00FF41BD" w:rsidRDefault="00FF41BD" w:rsidP="00FF41BD">
      <w:pPr>
        <w:spacing w:line="264" w:lineRule="auto"/>
        <w:jc w:val="both"/>
        <w:rPr>
          <w:rFonts w:eastAsia="Calibri"/>
          <w:sz w:val="20"/>
          <w:szCs w:val="20"/>
        </w:rPr>
      </w:pPr>
      <w:r w:rsidRPr="00FF41BD">
        <w:rPr>
          <w:rFonts w:eastAsia="Calibri"/>
          <w:sz w:val="20"/>
          <w:szCs w:val="20"/>
        </w:rPr>
        <w:t>25-6.104</w:t>
      </w:r>
      <w:r w:rsidRPr="00FF41BD">
        <w:rPr>
          <w:rFonts w:eastAsia="Calibri"/>
          <w:sz w:val="20"/>
          <w:szCs w:val="20"/>
        </w:rPr>
        <w:tab/>
      </w:r>
      <w:r w:rsidRPr="00FF41BD">
        <w:rPr>
          <w:rFonts w:eastAsia="Calibri"/>
          <w:sz w:val="20"/>
          <w:szCs w:val="20"/>
        </w:rPr>
        <w:tab/>
        <w:t>Unauthorized Use of Energy</w:t>
      </w:r>
    </w:p>
    <w:p w:rsidR="00FF41BD" w:rsidRPr="00FF41BD" w:rsidRDefault="00FF41BD" w:rsidP="00FF41BD">
      <w:pPr>
        <w:spacing w:line="264" w:lineRule="auto"/>
        <w:jc w:val="both"/>
        <w:rPr>
          <w:rFonts w:eastAsia="Calibri"/>
          <w:sz w:val="20"/>
          <w:szCs w:val="20"/>
        </w:rPr>
      </w:pPr>
      <w:r w:rsidRPr="00FF41BD">
        <w:rPr>
          <w:rFonts w:eastAsia="Calibri"/>
          <w:sz w:val="20"/>
          <w:szCs w:val="20"/>
        </w:rPr>
        <w:t>PURPOSE AND EFFECT: Rules 25-6.047, 25-6.081, and 25-6.082, F.A.C., are repealed as obsolete and unnecessary to implement the Commission’s authority.  Rule 25-6.054, F.A.C. is amended to add specificity to the rule, which gives clarity and guidance to utilities. Rule 25-6.074, F.A.C. concerning residential electric underground extensions is amended to repeal language that is obsolete and unnecessary to implement the Commission’s authority.  Rule 25-6.104, F.A.C. is amended to identify factors that may be used by utilities in determining an estimate of the energy used for purposes of billing customers in the event of unauthorized or fraudulent use or meter tampering, which gives clarity and guidance to the utility and its customers.</w:t>
      </w:r>
    </w:p>
    <w:p w:rsidR="00FF41BD" w:rsidRPr="00FF41BD" w:rsidRDefault="00FF41BD" w:rsidP="00FF41BD">
      <w:pPr>
        <w:spacing w:line="264" w:lineRule="auto"/>
        <w:jc w:val="both"/>
        <w:rPr>
          <w:rFonts w:eastAsia="Calibri"/>
          <w:sz w:val="20"/>
          <w:szCs w:val="20"/>
        </w:rPr>
      </w:pPr>
      <w:r w:rsidRPr="00FF41BD">
        <w:rPr>
          <w:rFonts w:eastAsia="Calibri"/>
          <w:sz w:val="20"/>
          <w:szCs w:val="20"/>
        </w:rPr>
        <w:t>Docket No. 20200186-EU</w:t>
      </w:r>
    </w:p>
    <w:p w:rsidR="00FF41BD" w:rsidRPr="00FF41BD" w:rsidRDefault="00FF41BD" w:rsidP="00FF41BD">
      <w:pPr>
        <w:spacing w:line="264" w:lineRule="auto"/>
        <w:jc w:val="both"/>
        <w:rPr>
          <w:rFonts w:eastAsia="Calibri"/>
          <w:sz w:val="20"/>
          <w:szCs w:val="20"/>
        </w:rPr>
      </w:pPr>
      <w:r w:rsidRPr="00FF41BD">
        <w:rPr>
          <w:rFonts w:eastAsia="Calibri"/>
          <w:sz w:val="20"/>
          <w:szCs w:val="20"/>
        </w:rPr>
        <w:t>SUMMARY: Rules 25-6.047, 25-6.081, and 25-6.082, F.A.C. are repealed as obsolete and unnecessary. Rule 25-6.054, F.A.C. identifies a specific period of time that certain records must be maintained by electric utilities.  Rule 25-6.074, F.A.C. concerning residential electric underground extensions deletes language that is obsolete and unnecessary to implementation of the Commission’s authority.  Rule 25-6.104, F.A.C. is amended to identify factors that may be used by utilities in determining a reasonable estimate of the energy used for purposes of billing customers in the event of unauthorized or fraudulent use or meter tampering.</w:t>
      </w:r>
    </w:p>
    <w:p w:rsidR="00FF41BD" w:rsidRPr="00FF41BD" w:rsidRDefault="00FF41BD" w:rsidP="00FF41BD">
      <w:pPr>
        <w:spacing w:line="264" w:lineRule="auto"/>
        <w:jc w:val="both"/>
        <w:rPr>
          <w:rFonts w:eastAsia="Calibri"/>
          <w:sz w:val="20"/>
          <w:szCs w:val="20"/>
          <w:u w:val="single"/>
        </w:rPr>
      </w:pPr>
      <w:r w:rsidRPr="00FF41BD">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rules.  A SERC has been prepared by the agency.  The SERC examined the factors required by Section 120.541(2), FS, and concluded that the rule amendments/repeals will not have an adverse impact on economic growth, business competitiveness, or small business and that there would likely be transactional cost savings to the individual and entities, including government entities, required to comply with the rule.</w:t>
      </w:r>
    </w:p>
    <w:p w:rsidR="00FF41BD" w:rsidRPr="00FF41BD" w:rsidRDefault="00FF41BD" w:rsidP="00FF41BD">
      <w:pPr>
        <w:spacing w:line="264" w:lineRule="auto"/>
        <w:jc w:val="both"/>
        <w:rPr>
          <w:rFonts w:eastAsia="Calibri"/>
          <w:sz w:val="20"/>
          <w:szCs w:val="20"/>
        </w:rPr>
      </w:pPr>
      <w:r w:rsidRPr="00FF41BD">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FF41BD" w:rsidRPr="00FF41BD" w:rsidRDefault="00FF41BD" w:rsidP="00FF41BD">
      <w:pPr>
        <w:spacing w:line="264" w:lineRule="auto"/>
        <w:jc w:val="both"/>
        <w:rPr>
          <w:rFonts w:eastAsia="Calibri"/>
          <w:sz w:val="20"/>
          <w:szCs w:val="20"/>
        </w:rPr>
      </w:pPr>
      <w:r w:rsidRPr="00FF41BD">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FF41BD" w:rsidRPr="00FF41BD" w:rsidRDefault="00FF41BD" w:rsidP="00FF41BD">
      <w:pPr>
        <w:spacing w:line="264" w:lineRule="auto"/>
        <w:jc w:val="both"/>
        <w:rPr>
          <w:rFonts w:eastAsia="Calibri"/>
          <w:sz w:val="20"/>
          <w:szCs w:val="20"/>
        </w:rPr>
      </w:pPr>
      <w:r w:rsidRPr="00FF41BD">
        <w:rPr>
          <w:rFonts w:eastAsia="Calibri"/>
          <w:sz w:val="20"/>
          <w:szCs w:val="20"/>
        </w:rPr>
        <w:t>RULEMAKING AUTHORITY: 350.127(2), 366.04(2)(f), 366.05(1) FS</w:t>
      </w:r>
    </w:p>
    <w:p w:rsidR="00FF41BD" w:rsidRPr="00FF41BD" w:rsidRDefault="00FF41BD" w:rsidP="00FF41BD">
      <w:pPr>
        <w:spacing w:line="264" w:lineRule="auto"/>
        <w:jc w:val="both"/>
        <w:rPr>
          <w:rFonts w:eastAsia="Calibri"/>
          <w:sz w:val="20"/>
          <w:szCs w:val="20"/>
        </w:rPr>
      </w:pPr>
      <w:r w:rsidRPr="00FF41BD">
        <w:rPr>
          <w:rFonts w:eastAsia="Calibri"/>
          <w:sz w:val="20"/>
          <w:szCs w:val="20"/>
        </w:rPr>
        <w:t>LAW IMPLEMENTED: 350.115, 366.03, 366.04(2)(a), (c), (f), (5), 366.05(1), (3) FS</w:t>
      </w:r>
    </w:p>
    <w:p w:rsidR="00FF41BD" w:rsidRPr="00FF41BD" w:rsidRDefault="00FF41BD" w:rsidP="00FF41BD">
      <w:pPr>
        <w:spacing w:line="264" w:lineRule="auto"/>
        <w:jc w:val="both"/>
        <w:rPr>
          <w:rFonts w:eastAsia="Calibri"/>
          <w:sz w:val="20"/>
          <w:szCs w:val="20"/>
        </w:rPr>
      </w:pPr>
      <w:r w:rsidRPr="00FF41BD">
        <w:rPr>
          <w:rFonts w:eastAsia="Calibri"/>
          <w:sz w:val="20"/>
          <w:szCs w:val="20"/>
        </w:rPr>
        <w:t>IF REQUESTED WITHIN 21 DAYS OF THE DATE OF THIS NOTICE, A HEARING WILL BE SCHEDULED AND ANNOUNCED IN THE FAR.</w:t>
      </w:r>
    </w:p>
    <w:p w:rsidR="00FF41BD" w:rsidRPr="00FF41BD" w:rsidRDefault="00FF41BD" w:rsidP="00FF41BD">
      <w:pPr>
        <w:spacing w:line="264" w:lineRule="auto"/>
        <w:jc w:val="both"/>
        <w:rPr>
          <w:rFonts w:eastAsia="Calibri"/>
          <w:sz w:val="20"/>
          <w:szCs w:val="20"/>
        </w:rPr>
      </w:pPr>
      <w:r w:rsidRPr="00FF41BD">
        <w:rPr>
          <w:rFonts w:eastAsia="Calibri"/>
          <w:sz w:val="20"/>
          <w:szCs w:val="20"/>
        </w:rPr>
        <w:t>THE PERSON TO BE CONTACTED REGARDING THE PROPOSED RULE IS: Kathryn G.W. Cowdery, Office of General Counsel, 2540 Shumard Oak Blvd., Tallahassee, FL 32399-0850, (850)413-6216, kcowdery@psc.state.fl.us</w:t>
      </w:r>
    </w:p>
    <w:p w:rsidR="00FF41BD" w:rsidRPr="00FF41BD" w:rsidRDefault="00FF41BD" w:rsidP="00FF41BD">
      <w:pPr>
        <w:spacing w:line="264" w:lineRule="auto"/>
        <w:jc w:val="both"/>
        <w:rPr>
          <w:rFonts w:eastAsia="Calibri"/>
          <w:sz w:val="20"/>
          <w:szCs w:val="20"/>
        </w:rPr>
      </w:pPr>
    </w:p>
    <w:p w:rsidR="00FF41BD" w:rsidRPr="00FF41BD" w:rsidRDefault="00FF41BD" w:rsidP="00FF41BD">
      <w:pPr>
        <w:spacing w:line="264" w:lineRule="auto"/>
        <w:jc w:val="both"/>
        <w:rPr>
          <w:rFonts w:eastAsia="Calibri"/>
          <w:sz w:val="20"/>
          <w:szCs w:val="20"/>
        </w:rPr>
      </w:pPr>
      <w:r w:rsidRPr="00FF41BD">
        <w:rPr>
          <w:rFonts w:eastAsia="Calibri"/>
          <w:sz w:val="20"/>
          <w:szCs w:val="20"/>
        </w:rPr>
        <w:t xml:space="preserve">THE FULL TEXT OF THE PROPOSED RULE IS: </w:t>
      </w:r>
    </w:p>
    <w:p w:rsidR="00FF41BD" w:rsidRPr="00FF41BD" w:rsidRDefault="00FF41BD" w:rsidP="00FF41BD">
      <w:pPr>
        <w:spacing w:line="264" w:lineRule="auto"/>
        <w:jc w:val="both"/>
        <w:rPr>
          <w:rFonts w:eastAsia="Calibri"/>
          <w:sz w:val="20"/>
          <w:szCs w:val="20"/>
        </w:rPr>
      </w:pP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25-6.047 Constant Current Standards.</w:t>
      </w:r>
    </w:p>
    <w:p w:rsidR="00FF41BD" w:rsidRPr="00FF41BD" w:rsidRDefault="00FF41BD" w:rsidP="00FF41BD">
      <w:pPr>
        <w:spacing w:line="264" w:lineRule="auto"/>
        <w:jc w:val="both"/>
        <w:rPr>
          <w:rFonts w:eastAsia="Calibri"/>
          <w:sz w:val="18"/>
          <w:szCs w:val="20"/>
        </w:rPr>
      </w:pPr>
      <w:r w:rsidRPr="00FF41BD">
        <w:rPr>
          <w:rFonts w:eastAsia="Calibri"/>
          <w:i/>
          <w:sz w:val="18"/>
          <w:szCs w:val="20"/>
        </w:rPr>
        <w:t xml:space="preserve">Rulemaking Authority 366.05(1) FS. Law Implemented 366.03, 366.04(2)(c), (5) FS. History–New 7-29-69, Formerly 25-6.47, </w:t>
      </w:r>
      <w:r w:rsidRPr="00FF41BD">
        <w:rPr>
          <w:rFonts w:eastAsia="Calibri"/>
          <w:i/>
          <w:sz w:val="18"/>
          <w:szCs w:val="20"/>
          <w:u w:val="single"/>
        </w:rPr>
        <w:t>Repealed</w:t>
      </w:r>
      <w:r w:rsidRPr="00FF41BD">
        <w:rPr>
          <w:rFonts w:eastAsia="Calibri"/>
          <w:i/>
          <w:sz w:val="18"/>
          <w:szCs w:val="20"/>
        </w:rPr>
        <w:t>___________.</w:t>
      </w:r>
    </w:p>
    <w:p w:rsidR="00FF41BD" w:rsidRPr="00FF41BD" w:rsidRDefault="00FF41BD" w:rsidP="00FF41BD">
      <w:pPr>
        <w:spacing w:line="264" w:lineRule="auto"/>
        <w:jc w:val="both"/>
        <w:rPr>
          <w:rFonts w:eastAsia="Calibri"/>
          <w:sz w:val="20"/>
          <w:szCs w:val="20"/>
        </w:rPr>
      </w:pP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25-6.054 Laboratory Standards.</w:t>
      </w: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(1) through (3) No change.</w:t>
      </w: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 xml:space="preserve">(4) Each utility shall maintain </w:t>
      </w:r>
      <w:r w:rsidRPr="00FF41BD">
        <w:rPr>
          <w:rFonts w:eastAsia="Calibri"/>
          <w:sz w:val="20"/>
          <w:szCs w:val="20"/>
          <w:u w:val="single"/>
        </w:rPr>
        <w:t>the following</w:t>
      </w:r>
      <w:r w:rsidRPr="00FF41BD">
        <w:rPr>
          <w:rFonts w:eastAsia="Calibri"/>
          <w:sz w:val="20"/>
          <w:szCs w:val="20"/>
        </w:rPr>
        <w:t xml:space="preserve"> historical performance records for each watthour meter used as a basic reference standard </w:t>
      </w:r>
      <w:r w:rsidRPr="00FF41BD">
        <w:rPr>
          <w:rFonts w:eastAsia="Calibri"/>
          <w:sz w:val="20"/>
          <w:szCs w:val="20"/>
          <w:u w:val="single"/>
        </w:rPr>
        <w:t>until the meter is no longer in use</w:t>
      </w:r>
      <w:r w:rsidRPr="00FF41BD">
        <w:rPr>
          <w:rFonts w:eastAsia="Calibri"/>
          <w:sz w:val="20"/>
          <w:szCs w:val="20"/>
        </w:rPr>
        <w:t xml:space="preserve"> </w:t>
      </w:r>
      <w:r w:rsidRPr="00FF41BD">
        <w:rPr>
          <w:rFonts w:eastAsia="Calibri"/>
          <w:strike/>
          <w:sz w:val="20"/>
          <w:szCs w:val="20"/>
        </w:rPr>
        <w:t>for the following types of comparisons</w:t>
      </w:r>
      <w:r w:rsidRPr="00FF41BD">
        <w:rPr>
          <w:rFonts w:eastAsia="Calibri"/>
          <w:sz w:val="20"/>
          <w:szCs w:val="20"/>
        </w:rPr>
        <w:t>:</w:t>
      </w: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(a) through (b) No change</w:t>
      </w:r>
    </w:p>
    <w:p w:rsidR="00FF41BD" w:rsidRPr="00FF41BD" w:rsidRDefault="00FF41BD" w:rsidP="00FF41BD">
      <w:pPr>
        <w:spacing w:line="264" w:lineRule="auto"/>
        <w:jc w:val="both"/>
        <w:rPr>
          <w:rFonts w:eastAsia="Calibri"/>
          <w:i/>
          <w:sz w:val="18"/>
          <w:szCs w:val="20"/>
        </w:rPr>
      </w:pPr>
      <w:r w:rsidRPr="00FF41BD">
        <w:rPr>
          <w:rFonts w:eastAsia="Calibri"/>
          <w:i/>
          <w:sz w:val="18"/>
          <w:szCs w:val="20"/>
        </w:rPr>
        <w:t xml:space="preserve">Rulemaking Authority </w:t>
      </w:r>
      <w:r w:rsidRPr="00FF41BD">
        <w:rPr>
          <w:rFonts w:eastAsia="Calibri"/>
          <w:i/>
          <w:sz w:val="18"/>
          <w:szCs w:val="20"/>
          <w:u w:val="single"/>
        </w:rPr>
        <w:t>350.127(2),</w:t>
      </w:r>
      <w:r w:rsidRPr="00FF41BD">
        <w:rPr>
          <w:rFonts w:eastAsia="Calibri"/>
          <w:sz w:val="18"/>
          <w:szCs w:val="20"/>
        </w:rPr>
        <w:t xml:space="preserve"> </w:t>
      </w:r>
      <w:r w:rsidRPr="00FF41BD">
        <w:rPr>
          <w:rFonts w:eastAsia="Calibri"/>
          <w:i/>
          <w:sz w:val="18"/>
          <w:szCs w:val="20"/>
        </w:rPr>
        <w:t>366.05(1) FS. Law Implemented 366.05(1),(3) FS. History–New 7-29-69, Amended 4-13-80, 5-13-85, Formerly 25-6.54, Amended 5-19-97</w:t>
      </w:r>
      <w:r w:rsidRPr="00FF41BD">
        <w:rPr>
          <w:rFonts w:eastAsia="Calibri"/>
          <w:i/>
          <w:sz w:val="18"/>
          <w:szCs w:val="20"/>
          <w:u w:val="single"/>
        </w:rPr>
        <w:t>, _</w:t>
      </w:r>
      <w:r w:rsidRPr="00FF41BD">
        <w:rPr>
          <w:rFonts w:eastAsia="Calibri"/>
          <w:i/>
          <w:sz w:val="18"/>
          <w:szCs w:val="20"/>
        </w:rPr>
        <w:t>__________.</w:t>
      </w:r>
    </w:p>
    <w:p w:rsidR="00FF41BD" w:rsidRPr="00FF41BD" w:rsidRDefault="00FF41BD" w:rsidP="00FF41BD">
      <w:pPr>
        <w:spacing w:line="264" w:lineRule="auto"/>
        <w:jc w:val="both"/>
        <w:rPr>
          <w:rFonts w:eastAsia="Calibri"/>
          <w:i/>
          <w:sz w:val="20"/>
          <w:szCs w:val="20"/>
        </w:rPr>
      </w:pP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25-6.074 Applicability.</w:t>
      </w: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trike/>
          <w:sz w:val="20"/>
          <w:szCs w:val="20"/>
        </w:rPr>
        <w:t>(1)</w:t>
      </w:r>
      <w:r w:rsidRPr="00FF41BD">
        <w:rPr>
          <w:rFonts w:eastAsia="Calibri"/>
          <w:sz w:val="20"/>
          <w:szCs w:val="20"/>
        </w:rPr>
        <w:t xml:space="preserve"> Extensions of electric distribution lines </w:t>
      </w:r>
      <w:r w:rsidRPr="00FF41BD">
        <w:rPr>
          <w:rFonts w:eastAsia="Calibri"/>
          <w:strike/>
          <w:sz w:val="20"/>
          <w:szCs w:val="20"/>
        </w:rPr>
        <w:t>applied for after the effective date of these rules, and</w:t>
      </w:r>
      <w:r w:rsidRPr="00FF41BD">
        <w:rPr>
          <w:rFonts w:eastAsia="Calibri"/>
          <w:sz w:val="20"/>
          <w:szCs w:val="20"/>
        </w:rPr>
        <w:t xml:space="preserve"> necessary to furnish permanent electric service to all structures within a new residential subdivision, or to new multiple-occupancy buildings, shall be made underground when requested by an applicant or required by governmental authority.</w:t>
      </w:r>
    </w:p>
    <w:p w:rsidR="00FF41BD" w:rsidRPr="00FF41BD" w:rsidRDefault="00FF41BD" w:rsidP="00FF41BD">
      <w:pPr>
        <w:widowControl w:val="0"/>
        <w:tabs>
          <w:tab w:val="left" w:pos="360"/>
        </w:tabs>
        <w:spacing w:line="264" w:lineRule="auto"/>
        <w:jc w:val="both"/>
        <w:rPr>
          <w:rFonts w:eastAsia="Calibri"/>
          <w:strike/>
          <w:sz w:val="20"/>
          <w:szCs w:val="20"/>
        </w:rPr>
      </w:pPr>
      <w:r w:rsidRPr="00FF41BD">
        <w:rPr>
          <w:rFonts w:eastAsia="Calibri"/>
          <w:strike/>
          <w:sz w:val="20"/>
          <w:szCs w:val="20"/>
        </w:rPr>
        <w:t>(2) Such extensions of service shall be made by the utility in accordance with the provisions in these rules.</w:t>
      </w:r>
    </w:p>
    <w:p w:rsidR="00FF41BD" w:rsidRPr="00FF41BD" w:rsidRDefault="00FF41BD" w:rsidP="00FF41BD">
      <w:pPr>
        <w:spacing w:line="264" w:lineRule="auto"/>
        <w:jc w:val="both"/>
        <w:rPr>
          <w:rFonts w:eastAsia="Calibri"/>
          <w:i/>
          <w:sz w:val="18"/>
          <w:szCs w:val="20"/>
        </w:rPr>
      </w:pPr>
      <w:r w:rsidRPr="00FF41BD">
        <w:rPr>
          <w:rFonts w:eastAsia="Calibri"/>
          <w:i/>
          <w:sz w:val="18"/>
          <w:szCs w:val="20"/>
        </w:rPr>
        <w:t xml:space="preserve">Rulemaking Authority </w:t>
      </w:r>
      <w:r w:rsidRPr="00FF41BD">
        <w:rPr>
          <w:rFonts w:eastAsia="Calibri"/>
          <w:i/>
          <w:sz w:val="18"/>
          <w:szCs w:val="20"/>
          <w:u w:val="single"/>
        </w:rPr>
        <w:t>350.127(2),</w:t>
      </w:r>
      <w:r w:rsidRPr="00FF41BD">
        <w:rPr>
          <w:rFonts w:eastAsia="Calibri"/>
          <w:sz w:val="18"/>
          <w:szCs w:val="20"/>
        </w:rPr>
        <w:t xml:space="preserve"> </w:t>
      </w:r>
      <w:r w:rsidRPr="00FF41BD">
        <w:rPr>
          <w:rFonts w:eastAsia="Calibri"/>
          <w:i/>
          <w:sz w:val="18"/>
          <w:szCs w:val="20"/>
        </w:rPr>
        <w:t>366.05(1) FS. Law Implemented 366.03 FS. History–New 4-10-71, Formerly 25-6.74</w:t>
      </w:r>
      <w:r w:rsidRPr="00FF41BD">
        <w:rPr>
          <w:rFonts w:eastAsia="Calibri"/>
          <w:i/>
          <w:sz w:val="18"/>
          <w:szCs w:val="20"/>
          <w:u w:val="single"/>
        </w:rPr>
        <w:t>, Amended ___________</w:t>
      </w:r>
      <w:r w:rsidRPr="00FF41BD">
        <w:rPr>
          <w:rFonts w:eastAsia="Calibri"/>
          <w:i/>
          <w:sz w:val="18"/>
          <w:szCs w:val="20"/>
        </w:rPr>
        <w:t>.</w:t>
      </w:r>
    </w:p>
    <w:p w:rsidR="00FF41BD" w:rsidRPr="00FF41BD" w:rsidRDefault="00FF41BD" w:rsidP="00FF41BD">
      <w:pPr>
        <w:spacing w:line="264" w:lineRule="auto"/>
        <w:jc w:val="both"/>
        <w:rPr>
          <w:rFonts w:eastAsia="Calibri"/>
          <w:i/>
          <w:sz w:val="20"/>
          <w:szCs w:val="20"/>
        </w:rPr>
      </w:pPr>
    </w:p>
    <w:p w:rsidR="00FF41BD" w:rsidRPr="00FF41BD" w:rsidRDefault="00FF41BD" w:rsidP="00FF41BD">
      <w:pPr>
        <w:widowControl w:val="0"/>
        <w:tabs>
          <w:tab w:val="left" w:pos="360"/>
          <w:tab w:val="left" w:pos="720"/>
        </w:tabs>
        <w:spacing w:line="264" w:lineRule="auto"/>
        <w:jc w:val="both"/>
        <w:rPr>
          <w:sz w:val="20"/>
          <w:szCs w:val="20"/>
        </w:rPr>
      </w:pPr>
      <w:r w:rsidRPr="00FF41BD">
        <w:rPr>
          <w:sz w:val="20"/>
          <w:szCs w:val="20"/>
        </w:rPr>
        <w:t>25-6.081 Construction Practices.</w:t>
      </w:r>
    </w:p>
    <w:p w:rsidR="00FF41BD" w:rsidRPr="00FF41BD" w:rsidRDefault="00FF41BD" w:rsidP="00FF41BD">
      <w:pPr>
        <w:widowControl w:val="0"/>
        <w:tabs>
          <w:tab w:val="left" w:pos="360"/>
          <w:tab w:val="left" w:pos="720"/>
        </w:tabs>
        <w:spacing w:line="264" w:lineRule="auto"/>
        <w:jc w:val="both"/>
        <w:rPr>
          <w:i/>
          <w:sz w:val="18"/>
          <w:szCs w:val="20"/>
        </w:rPr>
      </w:pPr>
      <w:r w:rsidRPr="00FF41BD">
        <w:rPr>
          <w:i/>
          <w:sz w:val="18"/>
          <w:szCs w:val="20"/>
        </w:rPr>
        <w:t>Rulemaking Authority 366.05(1) FS. Law Implemented 366.03 FS. History–New 4-10-71, Formerly 25-6.81</w:t>
      </w:r>
      <w:r w:rsidRPr="00FF41BD">
        <w:rPr>
          <w:i/>
          <w:sz w:val="18"/>
          <w:szCs w:val="20"/>
          <w:u w:val="single"/>
        </w:rPr>
        <w:t>, Repealed__________.</w:t>
      </w:r>
    </w:p>
    <w:p w:rsidR="00FF41BD" w:rsidRPr="00FF41BD" w:rsidRDefault="00FF41BD" w:rsidP="00FF41BD">
      <w:pPr>
        <w:spacing w:line="264" w:lineRule="auto"/>
        <w:jc w:val="both"/>
        <w:rPr>
          <w:rFonts w:eastAsia="Calibri"/>
          <w:sz w:val="20"/>
          <w:szCs w:val="20"/>
        </w:rPr>
      </w:pP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25-6.082 Records and Reports.</w:t>
      </w:r>
    </w:p>
    <w:p w:rsidR="00FF41BD" w:rsidRPr="00FF41BD" w:rsidRDefault="00FF41BD" w:rsidP="00FF41BD">
      <w:pPr>
        <w:spacing w:line="264" w:lineRule="auto"/>
        <w:jc w:val="both"/>
        <w:rPr>
          <w:rFonts w:eastAsia="Calibri"/>
          <w:sz w:val="18"/>
          <w:szCs w:val="20"/>
        </w:rPr>
      </w:pPr>
      <w:r w:rsidRPr="00FF41BD">
        <w:rPr>
          <w:rFonts w:eastAsia="Calibri"/>
          <w:i/>
          <w:sz w:val="18"/>
          <w:szCs w:val="20"/>
        </w:rPr>
        <w:t>Rulemaking Authority 366.04(2)(f), 366.05(1) FS. Law Implemented 350.115, 366.03, 366.04(2)(a), (f) FS. History–New 4-10-71, Formerly 25-6-82, Amended 10-29-97</w:t>
      </w:r>
      <w:r w:rsidRPr="00FF41BD">
        <w:rPr>
          <w:rFonts w:eastAsia="Calibri"/>
          <w:i/>
          <w:sz w:val="18"/>
          <w:szCs w:val="20"/>
          <w:u w:val="single"/>
        </w:rPr>
        <w:t>, Repealed</w:t>
      </w:r>
      <w:r w:rsidRPr="00FF41BD">
        <w:rPr>
          <w:rFonts w:eastAsia="Calibri"/>
          <w:i/>
          <w:sz w:val="18"/>
          <w:szCs w:val="20"/>
        </w:rPr>
        <w:t>________.</w:t>
      </w:r>
    </w:p>
    <w:p w:rsidR="00FF41BD" w:rsidRPr="00FF41BD" w:rsidRDefault="00FF41BD" w:rsidP="00FF41BD">
      <w:pPr>
        <w:spacing w:line="264" w:lineRule="auto"/>
        <w:jc w:val="both"/>
        <w:rPr>
          <w:rFonts w:eastAsia="Calibri"/>
          <w:sz w:val="20"/>
          <w:szCs w:val="20"/>
        </w:rPr>
      </w:pP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25-6.104 Unauthorized Use of Energy.</w:t>
      </w: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 xml:space="preserve">In the event of unauthorized or fraudulent use, or meter tampering, the utility may bill the customer </w:t>
      </w:r>
      <w:r w:rsidRPr="00FF41BD">
        <w:rPr>
          <w:rFonts w:eastAsia="Calibri"/>
          <w:sz w:val="20"/>
          <w:szCs w:val="20"/>
          <w:u w:val="single"/>
        </w:rPr>
        <w:t>for the time period at issue using an</w:t>
      </w:r>
      <w:r w:rsidRPr="00FF41BD">
        <w:rPr>
          <w:rFonts w:eastAsia="Calibri"/>
          <w:sz w:val="20"/>
          <w:szCs w:val="20"/>
        </w:rPr>
        <w:t xml:space="preserve"> </w:t>
      </w:r>
      <w:r w:rsidRPr="00FF41BD">
        <w:rPr>
          <w:rFonts w:eastAsia="Calibri"/>
          <w:strike/>
          <w:sz w:val="20"/>
          <w:szCs w:val="20"/>
        </w:rPr>
        <w:t>on a reasonable</w:t>
      </w:r>
      <w:r w:rsidRPr="00FF41BD">
        <w:rPr>
          <w:rFonts w:eastAsia="Calibri"/>
          <w:sz w:val="20"/>
          <w:szCs w:val="20"/>
        </w:rPr>
        <w:t xml:space="preserve"> estimate of the energy used</w:t>
      </w:r>
      <w:r w:rsidRPr="00FF41BD">
        <w:rPr>
          <w:rFonts w:eastAsia="Calibri"/>
          <w:sz w:val="20"/>
          <w:szCs w:val="20"/>
          <w:u w:val="single"/>
        </w:rPr>
        <w:t>, which may include factors such as historical usage, meter data, meter test data, approximate size of the residence or building, the types of appliances and equipment using electricity, use of air conditioning and electric heating, and the number of occupants.</w:t>
      </w:r>
    </w:p>
    <w:p w:rsidR="00FF41BD" w:rsidRPr="00FF41BD" w:rsidRDefault="00FF41BD" w:rsidP="00FF41BD">
      <w:pPr>
        <w:spacing w:line="264" w:lineRule="auto"/>
        <w:jc w:val="both"/>
        <w:rPr>
          <w:rFonts w:eastAsia="Calibri"/>
          <w:sz w:val="18"/>
          <w:szCs w:val="20"/>
        </w:rPr>
      </w:pPr>
      <w:r w:rsidRPr="00FF41BD">
        <w:rPr>
          <w:rFonts w:eastAsia="Calibri"/>
          <w:i/>
          <w:sz w:val="18"/>
          <w:szCs w:val="20"/>
        </w:rPr>
        <w:t xml:space="preserve">Rulemaking Authority </w:t>
      </w:r>
      <w:r w:rsidRPr="00FF41BD">
        <w:rPr>
          <w:rFonts w:eastAsia="Calibri"/>
          <w:i/>
          <w:sz w:val="18"/>
          <w:szCs w:val="20"/>
          <w:u w:val="single"/>
        </w:rPr>
        <w:t>350.127(2),</w:t>
      </w:r>
      <w:r w:rsidRPr="00FF41BD">
        <w:rPr>
          <w:rFonts w:eastAsia="Calibri"/>
          <w:i/>
          <w:sz w:val="18"/>
          <w:szCs w:val="20"/>
        </w:rPr>
        <w:t xml:space="preserve"> 366.05(1) FS. Law Implemented 366.03, 366.05(1) FS. History–New 7-29-69, Amended 4-13-80, 5-3-82, 11-21-82</w:t>
      </w:r>
      <w:r w:rsidRPr="00FF41BD">
        <w:rPr>
          <w:rFonts w:eastAsia="Calibri"/>
          <w:i/>
          <w:sz w:val="18"/>
          <w:szCs w:val="20"/>
          <w:u w:val="single"/>
        </w:rPr>
        <w:t xml:space="preserve">, </w:t>
      </w:r>
      <w:r w:rsidRPr="00FF41BD">
        <w:rPr>
          <w:rFonts w:eastAsia="Calibri"/>
          <w:i/>
          <w:sz w:val="18"/>
          <w:szCs w:val="20"/>
        </w:rPr>
        <w:t>___________.</w:t>
      </w:r>
    </w:p>
    <w:p w:rsidR="00FF41BD" w:rsidRPr="00FF41BD" w:rsidRDefault="00FF41BD" w:rsidP="00FF41BD">
      <w:pPr>
        <w:spacing w:line="264" w:lineRule="auto"/>
        <w:jc w:val="both"/>
        <w:rPr>
          <w:rFonts w:eastAsia="Calibri"/>
          <w:sz w:val="20"/>
          <w:szCs w:val="20"/>
        </w:rPr>
      </w:pPr>
    </w:p>
    <w:p w:rsidR="00FF41BD" w:rsidRPr="00FF41BD" w:rsidRDefault="00FF41BD" w:rsidP="00FF41BD">
      <w:pPr>
        <w:spacing w:line="264" w:lineRule="auto"/>
        <w:jc w:val="both"/>
        <w:rPr>
          <w:rFonts w:eastAsia="Calibri"/>
          <w:sz w:val="20"/>
          <w:szCs w:val="20"/>
        </w:rPr>
      </w:pPr>
      <w:r w:rsidRPr="00FF41BD">
        <w:rPr>
          <w:rFonts w:eastAsia="Calibri"/>
          <w:sz w:val="20"/>
          <w:szCs w:val="20"/>
        </w:rPr>
        <w:t>NAME OF PERSON ORIGINATING PROPOSED RULE: Kathryn G.W. Cowdery</w:t>
      </w:r>
    </w:p>
    <w:p w:rsidR="00FF41BD" w:rsidRPr="00FF41BD" w:rsidRDefault="00FF41BD" w:rsidP="00FF41BD">
      <w:pPr>
        <w:spacing w:line="264" w:lineRule="auto"/>
        <w:jc w:val="both"/>
        <w:rPr>
          <w:rFonts w:eastAsia="Calibri"/>
          <w:sz w:val="20"/>
          <w:szCs w:val="20"/>
        </w:rPr>
      </w:pPr>
      <w:r w:rsidRPr="00FF41BD">
        <w:rPr>
          <w:rFonts w:eastAsia="Calibri"/>
          <w:sz w:val="20"/>
          <w:szCs w:val="20"/>
        </w:rPr>
        <w:t>NAME OF AGENCY HEAD WHO APPROVED THE PROPOSED RULE: Florida Public Service Commission</w:t>
      </w:r>
      <w:r w:rsidRPr="00FF41BD">
        <w:rPr>
          <w:rFonts w:eastAsia="Calibri"/>
          <w:sz w:val="20"/>
          <w:szCs w:val="20"/>
        </w:rPr>
        <w:br/>
        <w:t>DATE PROPOSED RULE APPROVED BY AGENCY HEAD: September 1, 2020</w:t>
      </w:r>
      <w:r w:rsidRPr="00FF41BD">
        <w:rPr>
          <w:rFonts w:eastAsia="Calibri"/>
          <w:sz w:val="20"/>
          <w:szCs w:val="20"/>
        </w:rPr>
        <w:br/>
        <w:t>DATE NOTICE OF PROPOSED RULE DEVELOPMENT PUBLISHED IN FAR: Volume 45, Number 111, June 7, 2019 and Volume 46, Number 26, February 7, 2020.</w:t>
      </w:r>
    </w:p>
    <w:p w:rsidR="00FF41BD" w:rsidRPr="00645A7B" w:rsidRDefault="00FF41BD" w:rsidP="00645A7B">
      <w:pPr>
        <w:jc w:val="both"/>
      </w:pPr>
    </w:p>
    <w:sectPr w:rsidR="00FF41BD" w:rsidRPr="00645A7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7B" w:rsidRDefault="00645A7B">
      <w:r>
        <w:separator/>
      </w:r>
    </w:p>
  </w:endnote>
  <w:endnote w:type="continuationSeparator" w:id="0">
    <w:p w:rsidR="00645A7B" w:rsidRDefault="0064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7B" w:rsidRDefault="00645A7B">
      <w:r>
        <w:separator/>
      </w:r>
    </w:p>
  </w:footnote>
  <w:footnote w:type="continuationSeparator" w:id="0">
    <w:p w:rsidR="00645A7B" w:rsidRDefault="0064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6 ">
      <w:r w:rsidR="002451F2">
        <w:t>PSC-2020-0296-NOR-EU</w:t>
      </w:r>
    </w:fldSimple>
  </w:p>
  <w:p w:rsidR="00FA6EFD" w:rsidRDefault="00645A7B">
    <w:pPr>
      <w:pStyle w:val="OrderHeader"/>
    </w:pPr>
    <w:bookmarkStart w:id="9" w:name="HeaderDocketNo"/>
    <w:bookmarkEnd w:id="9"/>
    <w:r>
      <w:t>DOCKET NO. 20200186-EU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677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6-EU"/>
  </w:docVars>
  <w:rsids>
    <w:rsidRoot w:val="00645A7B"/>
    <w:rsid w:val="000022B8"/>
    <w:rsid w:val="00024D97"/>
    <w:rsid w:val="00025C9D"/>
    <w:rsid w:val="0003433F"/>
    <w:rsid w:val="00035A8C"/>
    <w:rsid w:val="00036BDD"/>
    <w:rsid w:val="000436FF"/>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451F2"/>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5DB7"/>
    <w:rsid w:val="003D0631"/>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41D"/>
    <w:rsid w:val="005B45F7"/>
    <w:rsid w:val="005B63EA"/>
    <w:rsid w:val="005C1A88"/>
    <w:rsid w:val="005C5033"/>
    <w:rsid w:val="005E751B"/>
    <w:rsid w:val="005F3354"/>
    <w:rsid w:val="0060005E"/>
    <w:rsid w:val="0060095B"/>
    <w:rsid w:val="00601266"/>
    <w:rsid w:val="00610221"/>
    <w:rsid w:val="00610E73"/>
    <w:rsid w:val="00616DF2"/>
    <w:rsid w:val="0063168D"/>
    <w:rsid w:val="00645A7B"/>
    <w:rsid w:val="00647025"/>
    <w:rsid w:val="0064730A"/>
    <w:rsid w:val="006531A4"/>
    <w:rsid w:val="00660774"/>
    <w:rsid w:val="0066389A"/>
    <w:rsid w:val="0066495C"/>
    <w:rsid w:val="00665CC7"/>
    <w:rsid w:val="00672612"/>
    <w:rsid w:val="00677F18"/>
    <w:rsid w:val="00693483"/>
    <w:rsid w:val="00696886"/>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200F"/>
    <w:rsid w:val="007232A2"/>
    <w:rsid w:val="00726366"/>
    <w:rsid w:val="00733B6B"/>
    <w:rsid w:val="00740808"/>
    <w:rsid w:val="007467C4"/>
    <w:rsid w:val="0076170F"/>
    <w:rsid w:val="0076669C"/>
    <w:rsid w:val="00766775"/>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C76D8"/>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B1A23"/>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5341"/>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4FE"/>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249"/>
    <w:rsid w:val="00D17B79"/>
    <w:rsid w:val="00D23FEA"/>
    <w:rsid w:val="00D269CA"/>
    <w:rsid w:val="00D30B48"/>
    <w:rsid w:val="00D3168A"/>
    <w:rsid w:val="00D46FAA"/>
    <w:rsid w:val="00D47A40"/>
    <w:rsid w:val="00D51D33"/>
    <w:rsid w:val="00D5285F"/>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61BD"/>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C5DB7"/>
    <w:rPr>
      <w:rFonts w:ascii="Segoe UI" w:hAnsi="Segoe UI" w:cs="Segoe UI"/>
      <w:sz w:val="18"/>
      <w:szCs w:val="18"/>
    </w:rPr>
  </w:style>
  <w:style w:type="character" w:customStyle="1" w:styleId="BalloonTextChar">
    <w:name w:val="Balloon Text Char"/>
    <w:basedOn w:val="DefaultParagraphFont"/>
    <w:link w:val="BalloonText"/>
    <w:semiHidden/>
    <w:rsid w:val="003C5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7307">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2020-09-03T13:38:00Z</dcterms:created>
  <dcterms:modified xsi:type="dcterms:W3CDTF">2020-09-04T13:49:00Z</dcterms:modified>
</cp:coreProperties>
</file>