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96870" w:rsidP="00396870">
      <w:pPr>
        <w:pStyle w:val="OrderHeading"/>
      </w:pPr>
      <w:r>
        <w:t>BEFORE THE FLORIDA PUBLIC SERVICE COMMISSION</w:t>
      </w:r>
    </w:p>
    <w:p w:rsidR="00396870" w:rsidRDefault="00396870" w:rsidP="00396870">
      <w:pPr>
        <w:pStyle w:val="OrderBody"/>
      </w:pPr>
    </w:p>
    <w:p w:rsidR="00396870" w:rsidRDefault="00396870" w:rsidP="0039687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96870" w:rsidRPr="00C63FCF" w:rsidTr="00C63FCF">
        <w:trPr>
          <w:trHeight w:val="828"/>
        </w:trPr>
        <w:tc>
          <w:tcPr>
            <w:tcW w:w="4788" w:type="dxa"/>
            <w:tcBorders>
              <w:bottom w:val="single" w:sz="8" w:space="0" w:color="auto"/>
              <w:right w:val="double" w:sz="6" w:space="0" w:color="auto"/>
            </w:tcBorders>
            <w:shd w:val="clear" w:color="auto" w:fill="auto"/>
          </w:tcPr>
          <w:p w:rsidR="00396870" w:rsidRDefault="00396870" w:rsidP="00C63FCF">
            <w:pPr>
              <w:pStyle w:val="OrderBody"/>
              <w:tabs>
                <w:tab w:val="center" w:pos="4320"/>
                <w:tab w:val="right" w:pos="8640"/>
              </w:tabs>
              <w:jc w:val="left"/>
            </w:pPr>
            <w:r>
              <w:t xml:space="preserve">In re: </w:t>
            </w:r>
            <w:bookmarkStart w:id="0" w:name="SSInRe"/>
            <w:bookmarkEnd w:id="0"/>
            <w:r>
              <w:t>Petition for limited proceeding for recovery of incremental storm restoration costs related to Hurricane Michael, by Gulf Power Company.</w:t>
            </w:r>
          </w:p>
        </w:tc>
        <w:tc>
          <w:tcPr>
            <w:tcW w:w="4788" w:type="dxa"/>
            <w:tcBorders>
              <w:left w:val="double" w:sz="6" w:space="0" w:color="auto"/>
            </w:tcBorders>
            <w:shd w:val="clear" w:color="auto" w:fill="auto"/>
          </w:tcPr>
          <w:p w:rsidR="00396870" w:rsidRDefault="00396870" w:rsidP="00396870">
            <w:pPr>
              <w:pStyle w:val="OrderBody"/>
            </w:pPr>
            <w:r>
              <w:t xml:space="preserve">DOCKET NO. </w:t>
            </w:r>
            <w:bookmarkStart w:id="1" w:name="SSDocketNo"/>
            <w:bookmarkEnd w:id="1"/>
            <w:r>
              <w:t>20190038-EI</w:t>
            </w:r>
          </w:p>
          <w:p w:rsidR="00396870" w:rsidRDefault="00396870" w:rsidP="00C63FCF">
            <w:pPr>
              <w:pStyle w:val="OrderBody"/>
              <w:tabs>
                <w:tab w:val="center" w:pos="4320"/>
                <w:tab w:val="right" w:pos="8640"/>
              </w:tabs>
              <w:jc w:val="left"/>
            </w:pPr>
            <w:r>
              <w:t xml:space="preserve">ORDER NO. </w:t>
            </w:r>
            <w:bookmarkStart w:id="2" w:name="OrderNo0349"/>
            <w:r w:rsidR="00D42FFE">
              <w:t>PSC-2020-0349-</w:t>
            </w:r>
            <w:r w:rsidR="00251151">
              <w:t>S</w:t>
            </w:r>
            <w:r w:rsidR="0098643D">
              <w:t>-EI</w:t>
            </w:r>
            <w:bookmarkEnd w:id="2"/>
          </w:p>
          <w:p w:rsidR="00396870" w:rsidRDefault="00396870" w:rsidP="00C63FCF">
            <w:pPr>
              <w:pStyle w:val="OrderBody"/>
              <w:tabs>
                <w:tab w:val="center" w:pos="4320"/>
                <w:tab w:val="right" w:pos="8640"/>
              </w:tabs>
              <w:jc w:val="left"/>
            </w:pPr>
            <w:r>
              <w:t xml:space="preserve">ISSUED: </w:t>
            </w:r>
            <w:r w:rsidR="0098643D">
              <w:t>October 8, 2020</w:t>
            </w:r>
          </w:p>
        </w:tc>
      </w:tr>
    </w:tbl>
    <w:p w:rsidR="00396870" w:rsidRDefault="00396870" w:rsidP="00396870"/>
    <w:p w:rsidR="00396870" w:rsidRDefault="00396870" w:rsidP="00396870"/>
    <w:p w:rsidR="00396870" w:rsidRDefault="00396870" w:rsidP="00B67A43">
      <w:pPr>
        <w:ind w:firstLine="720"/>
        <w:jc w:val="both"/>
      </w:pPr>
      <w:bookmarkStart w:id="3" w:name="Commissioners"/>
      <w:bookmarkEnd w:id="3"/>
      <w:r>
        <w:t>The following Commissioners participated in the disposition of this matter:</w:t>
      </w:r>
    </w:p>
    <w:p w:rsidR="00396870" w:rsidRDefault="00396870" w:rsidP="00B67A43"/>
    <w:p w:rsidR="00396870" w:rsidRDefault="00396870" w:rsidP="00B67A43">
      <w:pPr>
        <w:jc w:val="center"/>
      </w:pPr>
      <w:r>
        <w:t>GARY F. CLARK, Chairman</w:t>
      </w:r>
    </w:p>
    <w:p w:rsidR="00396870" w:rsidRDefault="00396870" w:rsidP="00B67A43">
      <w:pPr>
        <w:jc w:val="center"/>
      </w:pPr>
      <w:r>
        <w:t>ART GRAHAM</w:t>
      </w:r>
    </w:p>
    <w:p w:rsidR="00396870" w:rsidRDefault="00396870" w:rsidP="00B67A43">
      <w:pPr>
        <w:jc w:val="center"/>
      </w:pPr>
      <w:r>
        <w:t>JULIE I. BROWN</w:t>
      </w:r>
    </w:p>
    <w:p w:rsidR="00396870" w:rsidRDefault="00396870" w:rsidP="00B67A43">
      <w:pPr>
        <w:jc w:val="center"/>
      </w:pPr>
      <w:r>
        <w:t>DONALD J. POLMANN</w:t>
      </w:r>
    </w:p>
    <w:p w:rsidR="00396870" w:rsidRDefault="00396870" w:rsidP="00B67A43">
      <w:pPr>
        <w:jc w:val="center"/>
      </w:pPr>
      <w:r>
        <w:t>ANDREW GILES FAY</w:t>
      </w:r>
    </w:p>
    <w:p w:rsidR="00396870" w:rsidRDefault="00396870" w:rsidP="00B67A43"/>
    <w:p w:rsidR="00CB5276" w:rsidRDefault="00CB5276">
      <w:pPr>
        <w:pStyle w:val="OrderBody"/>
      </w:pPr>
    </w:p>
    <w:p w:rsidR="00396870" w:rsidRDefault="00A947CE" w:rsidP="00396870">
      <w:pPr>
        <w:pStyle w:val="CenterUnderline"/>
      </w:pPr>
      <w:bookmarkStart w:id="4" w:name="OrderTitle"/>
      <w:r w:rsidRPr="00A947CE">
        <w:t xml:space="preserve">FINAL ORDER APPROVING STIPULATION AND SETTLEMENT AGREEMENT </w:t>
      </w:r>
      <w:bookmarkEnd w:id="4"/>
    </w:p>
    <w:p w:rsidR="00396870" w:rsidRDefault="00396870" w:rsidP="00396870">
      <w:pPr>
        <w:pStyle w:val="CenterUnderline"/>
      </w:pPr>
    </w:p>
    <w:p w:rsidR="00396870" w:rsidRDefault="00396870" w:rsidP="00396870">
      <w:pPr>
        <w:pStyle w:val="OrderBody"/>
      </w:pPr>
      <w:r>
        <w:t>BY THE COMMISSION:</w:t>
      </w:r>
    </w:p>
    <w:p w:rsidR="00396870" w:rsidRDefault="00396870" w:rsidP="00396870">
      <w:pPr>
        <w:pStyle w:val="OrderBody"/>
      </w:pPr>
    </w:p>
    <w:p w:rsidR="00A947CE" w:rsidRDefault="00A947CE" w:rsidP="00A947CE">
      <w:pPr>
        <w:pStyle w:val="CenterUnderline"/>
      </w:pPr>
      <w:bookmarkStart w:id="5" w:name="OrderText"/>
      <w:bookmarkEnd w:id="5"/>
      <w:r>
        <w:t>BACKGROUND</w:t>
      </w:r>
    </w:p>
    <w:p w:rsidR="00A947CE" w:rsidRPr="002C61AB" w:rsidRDefault="00A947CE" w:rsidP="00A947CE">
      <w:pPr>
        <w:pStyle w:val="CenterUnderline"/>
      </w:pPr>
    </w:p>
    <w:p w:rsidR="00A947CE" w:rsidRDefault="00B83B76" w:rsidP="000E523C">
      <w:pPr>
        <w:ind w:firstLine="720"/>
        <w:jc w:val="both"/>
      </w:pPr>
      <w:r w:rsidRPr="009B30FE">
        <w:t>On February 6, 2019, pursuant to Section 366.076(1), Florida Statutes (F.S.), and the provisions of the Stipulation and Settlement Agreement approved by Order No. PSC-2017-0178-S-EI,</w:t>
      </w:r>
      <w:r w:rsidRPr="009B30FE">
        <w:rPr>
          <w:rStyle w:val="FootnoteReference"/>
        </w:rPr>
        <w:footnoteReference w:id="1"/>
      </w:r>
      <w:r w:rsidRPr="009B30FE">
        <w:t xml:space="preserve"> Gulf Power Company (Gulf) filed its Petition for Limited Proceeding for Recovery of Incremental Storm Restoration Costs Related to Hurricane Michael. By Order No. PSC-2019-0221-PCO-EI, issued on June 3, 2019, </w:t>
      </w:r>
      <w:r w:rsidR="00436004">
        <w:t>we</w:t>
      </w:r>
      <w:r w:rsidRPr="009B30FE">
        <w:t xml:space="preserve"> approved the requested 2019 Interim Storm Restoration Recovery Charge for a period of 60 months and required Gulf to submit documentation of the actual storm costs for review and true up of any excess or shortfall. Gulf submitted its actual storm costs on November 15, 2019. The Office of Public Counsel (OPC) was acknowledged as a party to this docket by Order No. PSC-2019-0087-PCO-EI, issued on March 6, 2019. The Federal Executive Agencies (FEA) was granted intervention by Order No. PSC-2019-0512-PCO-EI, issued on December 6, 2019.</w:t>
      </w:r>
      <w:r w:rsidR="00A947CE">
        <w:tab/>
      </w:r>
      <w:r>
        <w:t xml:space="preserve">Gulf, OPC, and FEA </w:t>
      </w:r>
      <w:r w:rsidR="00BD0D32" w:rsidRPr="00BD0D32">
        <w:t xml:space="preserve">(collectively, Signatories) filed a Joint Motion for Expedited Approval of a Stipulation and Settlement Agreement (Settlement Agreement) on August 25, 2020. </w:t>
      </w:r>
      <w:r w:rsidR="0068716A">
        <w:t>The Settlement Agreement  resolved all of the outstanding issues in this docket and proposed procedures for processing invoices from third-party storm restoration contractors in the future</w:t>
      </w:r>
      <w:r w:rsidR="00B55C48">
        <w:t>.</w:t>
      </w:r>
    </w:p>
    <w:p w:rsidR="00BD0D32" w:rsidRDefault="00BD0D32" w:rsidP="00A947CE">
      <w:pPr>
        <w:pStyle w:val="CenterUnderline"/>
        <w:jc w:val="both"/>
        <w:rPr>
          <w:u w:val="none"/>
        </w:rPr>
      </w:pPr>
    </w:p>
    <w:p w:rsidR="00A947CE" w:rsidRDefault="00A947CE" w:rsidP="0068716A">
      <w:pPr>
        <w:pStyle w:val="CenterUnderline"/>
        <w:jc w:val="both"/>
        <w:rPr>
          <w:u w:val="none"/>
        </w:rPr>
      </w:pPr>
      <w:r>
        <w:rPr>
          <w:u w:val="none"/>
        </w:rPr>
        <w:tab/>
        <w:t xml:space="preserve">A final hearing was held on </w:t>
      </w:r>
      <w:r w:rsidR="0068716A">
        <w:rPr>
          <w:u w:val="none"/>
        </w:rPr>
        <w:t>September 15, 2020</w:t>
      </w:r>
      <w:r>
        <w:rPr>
          <w:u w:val="none"/>
        </w:rPr>
        <w:t xml:space="preserve">, </w:t>
      </w:r>
      <w:r w:rsidR="00B83B76">
        <w:rPr>
          <w:u w:val="none"/>
        </w:rPr>
        <w:t xml:space="preserve">in which we considered whether approval of the Settlement Agreement was in the public interest. At the hearing, </w:t>
      </w:r>
      <w:r>
        <w:rPr>
          <w:u w:val="none"/>
        </w:rPr>
        <w:t xml:space="preserve">the </w:t>
      </w:r>
      <w:r w:rsidR="0068716A" w:rsidRPr="0068716A">
        <w:rPr>
          <w:u w:val="none"/>
        </w:rPr>
        <w:t xml:space="preserve">direct </w:t>
      </w:r>
      <w:r w:rsidR="0068716A" w:rsidRPr="0068716A">
        <w:rPr>
          <w:u w:val="none"/>
        </w:rPr>
        <w:lastRenderedPageBreak/>
        <w:t xml:space="preserve">testimony </w:t>
      </w:r>
      <w:r w:rsidR="00B83B76">
        <w:rPr>
          <w:u w:val="none"/>
        </w:rPr>
        <w:t xml:space="preserve">and exhibits </w:t>
      </w:r>
      <w:r w:rsidR="0068716A" w:rsidRPr="0068716A">
        <w:rPr>
          <w:u w:val="none"/>
        </w:rPr>
        <w:t xml:space="preserve">of </w:t>
      </w:r>
      <w:r w:rsidR="00B83B76">
        <w:rPr>
          <w:u w:val="none"/>
        </w:rPr>
        <w:t>witnesses for Gulf, OPC, FEA, and Commission staff w</w:t>
      </w:r>
      <w:r w:rsidR="00F65A63">
        <w:rPr>
          <w:u w:val="none"/>
        </w:rPr>
        <w:t>ere</w:t>
      </w:r>
      <w:r w:rsidR="00B83B76">
        <w:rPr>
          <w:u w:val="none"/>
        </w:rPr>
        <w:t xml:space="preserve"> entered into the record,</w:t>
      </w:r>
      <w:r w:rsidR="00B83B76" w:rsidRPr="0068716A" w:rsidDel="00B83B76">
        <w:rPr>
          <w:u w:val="none"/>
        </w:rPr>
        <w:t xml:space="preserve"> </w:t>
      </w:r>
      <w:r w:rsidR="0068716A" w:rsidRPr="0068716A">
        <w:rPr>
          <w:u w:val="none"/>
        </w:rPr>
        <w:t xml:space="preserve">along with </w:t>
      </w:r>
      <w:r w:rsidR="00B83B76">
        <w:rPr>
          <w:u w:val="none"/>
        </w:rPr>
        <w:t xml:space="preserve">a number of </w:t>
      </w:r>
      <w:r w:rsidR="00F65A63">
        <w:rPr>
          <w:u w:val="none"/>
        </w:rPr>
        <w:t xml:space="preserve">stipulated </w:t>
      </w:r>
      <w:r w:rsidR="00B83B76">
        <w:rPr>
          <w:u w:val="none"/>
        </w:rPr>
        <w:t>discovery responses</w:t>
      </w:r>
      <w:r w:rsidR="00F65A63">
        <w:rPr>
          <w:u w:val="none"/>
        </w:rPr>
        <w:t>.</w:t>
      </w:r>
      <w:r w:rsidR="00436004">
        <w:rPr>
          <w:u w:val="none"/>
        </w:rPr>
        <w:t xml:space="preserve"> </w:t>
      </w:r>
      <w:r w:rsidR="00F65A63">
        <w:rPr>
          <w:u w:val="none"/>
        </w:rPr>
        <w:t>At the hearing</w:t>
      </w:r>
      <w:r w:rsidR="0068716A">
        <w:rPr>
          <w:u w:val="none"/>
        </w:rPr>
        <w:t xml:space="preserve">, the </w:t>
      </w:r>
      <w:r w:rsidR="008429FD">
        <w:rPr>
          <w:u w:val="none"/>
        </w:rPr>
        <w:t>Signatories</w:t>
      </w:r>
      <w:r w:rsidR="0068716A">
        <w:rPr>
          <w:u w:val="none"/>
        </w:rPr>
        <w:t xml:space="preserve"> discussed the highlights of the Settlement Agreement and how approval of the Settlement Agreement was in the public interest.</w:t>
      </w:r>
      <w:r>
        <w:rPr>
          <w:u w:val="none"/>
        </w:rPr>
        <w:t xml:space="preserve"> At the conclusion of the hearing, the </w:t>
      </w:r>
      <w:r w:rsidR="008429FD">
        <w:rPr>
          <w:u w:val="none"/>
        </w:rPr>
        <w:t>Signatories</w:t>
      </w:r>
      <w:r>
        <w:rPr>
          <w:u w:val="none"/>
        </w:rPr>
        <w:t xml:space="preserve"> waived </w:t>
      </w:r>
      <w:r w:rsidR="008429FD">
        <w:rPr>
          <w:u w:val="none"/>
        </w:rPr>
        <w:t xml:space="preserve">the filing of post-hearing </w:t>
      </w:r>
      <w:r>
        <w:rPr>
          <w:u w:val="none"/>
        </w:rPr>
        <w:t>briefs</w:t>
      </w:r>
      <w:r w:rsidR="008429FD">
        <w:rPr>
          <w:u w:val="none"/>
        </w:rPr>
        <w:t>,</w:t>
      </w:r>
      <w:r>
        <w:rPr>
          <w:u w:val="none"/>
        </w:rPr>
        <w:t xml:space="preserve"> and </w:t>
      </w:r>
      <w:r w:rsidR="00F65A63">
        <w:rPr>
          <w:u w:val="none"/>
        </w:rPr>
        <w:t>we voted to approve the Settlement Agreement</w:t>
      </w:r>
      <w:r>
        <w:rPr>
          <w:u w:val="none"/>
        </w:rPr>
        <w:t>.</w:t>
      </w:r>
    </w:p>
    <w:p w:rsidR="00A947CE" w:rsidRDefault="00A947CE" w:rsidP="00A947CE">
      <w:pPr>
        <w:pStyle w:val="CenterUnderline"/>
        <w:jc w:val="both"/>
        <w:rPr>
          <w:u w:val="none"/>
        </w:rPr>
      </w:pPr>
    </w:p>
    <w:p w:rsidR="00A947CE" w:rsidRDefault="00A947CE" w:rsidP="00A947CE">
      <w:pPr>
        <w:pStyle w:val="CenterUnderline"/>
        <w:jc w:val="both"/>
        <w:rPr>
          <w:u w:val="none"/>
        </w:rPr>
      </w:pPr>
      <w:r>
        <w:rPr>
          <w:u w:val="none"/>
        </w:rPr>
        <w:tab/>
        <w:t>We have jurisdiction pursuant to Sections 366.04, 366.05, and 366.06, Florida Statutes (F.S.).</w:t>
      </w:r>
    </w:p>
    <w:p w:rsidR="00A947CE" w:rsidRDefault="00A947CE" w:rsidP="00A947CE">
      <w:pPr>
        <w:pStyle w:val="CenterUnderline"/>
        <w:jc w:val="both"/>
        <w:rPr>
          <w:u w:val="none"/>
        </w:rPr>
      </w:pPr>
    </w:p>
    <w:p w:rsidR="00A947CE" w:rsidRDefault="00A947CE" w:rsidP="00A947CE">
      <w:pPr>
        <w:pStyle w:val="CenterUnderline"/>
      </w:pPr>
      <w:r w:rsidRPr="002C61AB">
        <w:t>Settl</w:t>
      </w:r>
      <w:r>
        <w:t>e</w:t>
      </w:r>
      <w:r w:rsidRPr="002C61AB">
        <w:t>ment</w:t>
      </w:r>
      <w:r w:rsidR="008429FD">
        <w:t xml:space="preserve"> Agreement</w:t>
      </w:r>
    </w:p>
    <w:p w:rsidR="00A947CE" w:rsidRDefault="00A947CE" w:rsidP="00A947CE">
      <w:pPr>
        <w:pStyle w:val="CenterUnderline"/>
      </w:pPr>
    </w:p>
    <w:p w:rsidR="00A947CE" w:rsidRDefault="00A947CE" w:rsidP="00A947CE">
      <w:pPr>
        <w:pStyle w:val="CenterUnderline"/>
        <w:jc w:val="both"/>
        <w:rPr>
          <w:u w:val="none"/>
        </w:rPr>
      </w:pPr>
      <w:r>
        <w:rPr>
          <w:u w:val="none"/>
        </w:rPr>
        <w:tab/>
        <w:t xml:space="preserve">The Settlement </w:t>
      </w:r>
      <w:r w:rsidR="008C1C24">
        <w:rPr>
          <w:u w:val="none"/>
        </w:rPr>
        <w:t xml:space="preserve">Agreement </w:t>
      </w:r>
      <w:r>
        <w:rPr>
          <w:u w:val="none"/>
        </w:rPr>
        <w:t>has three parts: (1) Financial Terms contained in Sections 1-</w:t>
      </w:r>
      <w:r w:rsidR="006A54DC">
        <w:rPr>
          <w:u w:val="none"/>
        </w:rPr>
        <w:t>3</w:t>
      </w:r>
      <w:r>
        <w:rPr>
          <w:u w:val="none"/>
        </w:rPr>
        <w:t>; (2) Process Provisions contained in Section</w:t>
      </w:r>
      <w:r w:rsidR="006A54DC">
        <w:rPr>
          <w:u w:val="none"/>
        </w:rPr>
        <w:t xml:space="preserve"> 4;</w:t>
      </w:r>
      <w:r>
        <w:rPr>
          <w:u w:val="none"/>
        </w:rPr>
        <w:t xml:space="preserve"> and (3) Other Provisions contained in Sections </w:t>
      </w:r>
      <w:r w:rsidR="006A54DC">
        <w:rPr>
          <w:u w:val="none"/>
        </w:rPr>
        <w:t>5</w:t>
      </w:r>
      <w:r>
        <w:rPr>
          <w:u w:val="none"/>
        </w:rPr>
        <w:t>-</w:t>
      </w:r>
      <w:r w:rsidR="006A54DC">
        <w:rPr>
          <w:u w:val="none"/>
        </w:rPr>
        <w:t>9</w:t>
      </w:r>
      <w:r>
        <w:rPr>
          <w:u w:val="none"/>
        </w:rPr>
        <w:t xml:space="preserve">. The Other Provisions are conditions associated with </w:t>
      </w:r>
      <w:r w:rsidR="008429FD">
        <w:rPr>
          <w:u w:val="none"/>
        </w:rPr>
        <w:t>our</w:t>
      </w:r>
      <w:r>
        <w:rPr>
          <w:u w:val="none"/>
        </w:rPr>
        <w:t xml:space="preserve"> approval of the Settlement </w:t>
      </w:r>
      <w:r w:rsidR="008C1C24">
        <w:rPr>
          <w:u w:val="none"/>
        </w:rPr>
        <w:t xml:space="preserve">Agreement </w:t>
      </w:r>
      <w:r>
        <w:rPr>
          <w:u w:val="none"/>
        </w:rPr>
        <w:t xml:space="preserve">itself, restrictions on the </w:t>
      </w:r>
      <w:r w:rsidR="008429FD">
        <w:rPr>
          <w:u w:val="none"/>
        </w:rPr>
        <w:t>Signatories</w:t>
      </w:r>
      <w:r>
        <w:rPr>
          <w:u w:val="none"/>
        </w:rPr>
        <w:t>’ ability to contest the Settlement</w:t>
      </w:r>
      <w:r w:rsidR="008C1C24">
        <w:rPr>
          <w:u w:val="none"/>
        </w:rPr>
        <w:t xml:space="preserve"> Agreement</w:t>
      </w:r>
      <w:r>
        <w:rPr>
          <w:u w:val="none"/>
        </w:rPr>
        <w:t xml:space="preserve">, and each </w:t>
      </w:r>
      <w:r w:rsidR="009F3EF8">
        <w:rPr>
          <w:u w:val="none"/>
        </w:rPr>
        <w:t>Signatories</w:t>
      </w:r>
      <w:r>
        <w:rPr>
          <w:u w:val="none"/>
        </w:rPr>
        <w:t>’ right to pursue its position on any issue raised in this docket in future proceedings.</w:t>
      </w:r>
    </w:p>
    <w:p w:rsidR="00A947CE" w:rsidRDefault="00A947CE" w:rsidP="00A947CE">
      <w:pPr>
        <w:pStyle w:val="CenterUnderline"/>
        <w:jc w:val="both"/>
        <w:rPr>
          <w:u w:val="none"/>
        </w:rPr>
      </w:pPr>
    </w:p>
    <w:p w:rsidR="00A947CE" w:rsidRDefault="00A947CE" w:rsidP="00A947CE">
      <w:pPr>
        <w:pStyle w:val="CenterUnderline"/>
        <w:numPr>
          <w:ilvl w:val="0"/>
          <w:numId w:val="1"/>
        </w:numPr>
        <w:jc w:val="both"/>
        <w:rPr>
          <w:u w:val="none"/>
        </w:rPr>
      </w:pPr>
      <w:r>
        <w:rPr>
          <w:u w:val="none"/>
        </w:rPr>
        <w:t xml:space="preserve">The effective date of the Settlement </w:t>
      </w:r>
      <w:r w:rsidR="008C1C24">
        <w:rPr>
          <w:u w:val="none"/>
        </w:rPr>
        <w:t xml:space="preserve">Agreement </w:t>
      </w:r>
      <w:r>
        <w:rPr>
          <w:u w:val="none"/>
        </w:rPr>
        <w:t>is the date of the Final Order issued in this docket. [Section 1]</w:t>
      </w:r>
    </w:p>
    <w:p w:rsidR="00A947CE" w:rsidRPr="00D4540C" w:rsidRDefault="00A947CE" w:rsidP="00A947CE"/>
    <w:p w:rsidR="001C7974" w:rsidRDefault="00F531AC" w:rsidP="00B55C48">
      <w:pPr>
        <w:pStyle w:val="CenterUnderline"/>
        <w:numPr>
          <w:ilvl w:val="0"/>
          <w:numId w:val="1"/>
        </w:numPr>
        <w:jc w:val="both"/>
        <w:rPr>
          <w:u w:val="none"/>
        </w:rPr>
      </w:pPr>
      <w:r w:rsidRPr="00E72896">
        <w:rPr>
          <w:u w:val="none"/>
        </w:rPr>
        <w:t xml:space="preserve">An aggregate negotiated adjustment in the amount of </w:t>
      </w:r>
      <w:r w:rsidR="00A947CE" w:rsidRPr="00E72896">
        <w:rPr>
          <w:u w:val="none"/>
        </w:rPr>
        <w:t xml:space="preserve">$5 million </w:t>
      </w:r>
      <w:r w:rsidRPr="00E72896">
        <w:rPr>
          <w:u w:val="none"/>
        </w:rPr>
        <w:t xml:space="preserve">shall be made to reduce the amount recoverable by </w:t>
      </w:r>
      <w:r w:rsidR="006A54DC">
        <w:rPr>
          <w:u w:val="none"/>
        </w:rPr>
        <w:t>Gulf</w:t>
      </w:r>
      <w:r w:rsidRPr="00E72896">
        <w:rPr>
          <w:u w:val="none"/>
        </w:rPr>
        <w:t xml:space="preserve"> through </w:t>
      </w:r>
      <w:r w:rsidR="00A947CE" w:rsidRPr="00E72896">
        <w:rPr>
          <w:u w:val="none"/>
        </w:rPr>
        <w:t xml:space="preserve">the storm </w:t>
      </w:r>
      <w:r w:rsidR="00DA24DE" w:rsidRPr="00E72896">
        <w:rPr>
          <w:u w:val="none"/>
        </w:rPr>
        <w:t>cost recovery mechanism.</w:t>
      </w:r>
      <w:r w:rsidR="00A947CE" w:rsidRPr="00E72896">
        <w:rPr>
          <w:u w:val="none"/>
        </w:rPr>
        <w:t xml:space="preserve"> </w:t>
      </w:r>
      <w:r w:rsidR="00DA24DE" w:rsidRPr="00E72896">
        <w:rPr>
          <w:u w:val="none"/>
        </w:rPr>
        <w:t xml:space="preserve">The adjustment </w:t>
      </w:r>
      <w:r w:rsidR="00B55C48">
        <w:rPr>
          <w:u w:val="none"/>
        </w:rPr>
        <w:t xml:space="preserve">includes </w:t>
      </w:r>
      <w:r w:rsidR="00DA24DE" w:rsidRPr="00E72896">
        <w:rPr>
          <w:u w:val="none"/>
        </w:rPr>
        <w:t>$2.25 million of costs recoverable in base rates, and</w:t>
      </w:r>
      <w:r w:rsidR="00A947CE" w:rsidRPr="00E72896">
        <w:rPr>
          <w:u w:val="none"/>
        </w:rPr>
        <w:tab/>
        <w:t>$2</w:t>
      </w:r>
      <w:r w:rsidR="00DA24DE" w:rsidRPr="00E72896">
        <w:rPr>
          <w:u w:val="none"/>
        </w:rPr>
        <w:t>.7</w:t>
      </w:r>
      <w:r w:rsidR="00A947CE" w:rsidRPr="00E72896">
        <w:rPr>
          <w:u w:val="none"/>
        </w:rPr>
        <w:t xml:space="preserve">5 million </w:t>
      </w:r>
      <w:r w:rsidR="00DA24DE" w:rsidRPr="00E72896">
        <w:rPr>
          <w:u w:val="none"/>
        </w:rPr>
        <w:t>of costs reclassified as capital</w:t>
      </w:r>
      <w:r w:rsidR="006A54DC">
        <w:rPr>
          <w:u w:val="none"/>
        </w:rPr>
        <w:t>.</w:t>
      </w:r>
      <w:r w:rsidR="00DA24DE" w:rsidRPr="00E72896">
        <w:rPr>
          <w:u w:val="none"/>
        </w:rPr>
        <w:t xml:space="preserve"> This adjustment resolves all issues related to contractors’</w:t>
      </w:r>
      <w:r w:rsidR="00B55C48">
        <w:rPr>
          <w:u w:val="none"/>
        </w:rPr>
        <w:t xml:space="preserve"> </w:t>
      </w:r>
      <w:r w:rsidR="00DA24DE" w:rsidRPr="00E72896">
        <w:rPr>
          <w:u w:val="none"/>
        </w:rPr>
        <w:t xml:space="preserve">costs, employee payroll, and materials and supplies cost. </w:t>
      </w:r>
      <w:r w:rsidR="00A947CE" w:rsidRPr="00E72896">
        <w:rPr>
          <w:u w:val="none"/>
        </w:rPr>
        <w:t>[Section 2]</w:t>
      </w:r>
    </w:p>
    <w:p w:rsidR="001C7974" w:rsidRDefault="001C7974" w:rsidP="001C7974">
      <w:pPr>
        <w:pStyle w:val="ListParagraph"/>
      </w:pPr>
    </w:p>
    <w:p w:rsidR="00E86301" w:rsidRDefault="001C7974" w:rsidP="00A947CE">
      <w:pPr>
        <w:pStyle w:val="CenterUnderline"/>
        <w:numPr>
          <w:ilvl w:val="0"/>
          <w:numId w:val="1"/>
        </w:numPr>
        <w:jc w:val="both"/>
        <w:rPr>
          <w:u w:val="none"/>
        </w:rPr>
      </w:pPr>
      <w:r w:rsidRPr="00E86301">
        <w:rPr>
          <w:u w:val="none"/>
        </w:rPr>
        <w:t xml:space="preserve">Beginning with the 2021 storm season, Gulf will implement </w:t>
      </w:r>
      <w:r w:rsidR="00ED7D41" w:rsidRPr="00E86301">
        <w:rPr>
          <w:u w:val="none"/>
        </w:rPr>
        <w:t>P</w:t>
      </w:r>
      <w:r w:rsidRPr="00E86301">
        <w:rPr>
          <w:u w:val="none"/>
        </w:rPr>
        <w:t>aragraphs 5 th</w:t>
      </w:r>
      <w:r w:rsidR="0096669C" w:rsidRPr="00E86301">
        <w:rPr>
          <w:u w:val="none"/>
        </w:rPr>
        <w:t>r</w:t>
      </w:r>
      <w:r w:rsidRPr="00E86301">
        <w:rPr>
          <w:u w:val="none"/>
        </w:rPr>
        <w:t xml:space="preserve">ough 20 of the Process Provisions contained in the </w:t>
      </w:r>
      <w:r w:rsidR="008C1C24">
        <w:rPr>
          <w:u w:val="none"/>
        </w:rPr>
        <w:t>Commission</w:t>
      </w:r>
      <w:r w:rsidRPr="00E86301">
        <w:rPr>
          <w:u w:val="none"/>
        </w:rPr>
        <w:t>-approved settlement in Docket No. 20180049-EI</w:t>
      </w:r>
      <w:r w:rsidR="007225A9">
        <w:rPr>
          <w:u w:val="none"/>
        </w:rPr>
        <w:t>,</w:t>
      </w:r>
      <w:r w:rsidRPr="00E86301">
        <w:rPr>
          <w:u w:val="none"/>
        </w:rPr>
        <w:t xml:space="preserve"> </w:t>
      </w:r>
      <w:r w:rsidRPr="007225A9">
        <w:rPr>
          <w:i/>
          <w:u w:val="none"/>
        </w:rPr>
        <w:t>In re: Evaluation of storm restoration costs for Florida Power and Light Company related to Hurricane Irma</w:t>
      </w:r>
      <w:r w:rsidRPr="00E86301">
        <w:rPr>
          <w:u w:val="none"/>
        </w:rPr>
        <w:t xml:space="preserve">. The threshold for the Initial Audit referenced in </w:t>
      </w:r>
      <w:r w:rsidR="00A012D5" w:rsidRPr="00E86301">
        <w:rPr>
          <w:u w:val="none"/>
        </w:rPr>
        <w:t>P</w:t>
      </w:r>
      <w:r w:rsidRPr="00E86301">
        <w:rPr>
          <w:u w:val="none"/>
        </w:rPr>
        <w:t xml:space="preserve">aragraph 18 is $150 million for Gulf. Gulf </w:t>
      </w:r>
      <w:r w:rsidR="00393668" w:rsidRPr="00E86301">
        <w:rPr>
          <w:u w:val="none"/>
        </w:rPr>
        <w:t>a</w:t>
      </w:r>
      <w:r w:rsidRPr="00E86301">
        <w:rPr>
          <w:u w:val="none"/>
        </w:rPr>
        <w:t>grees to implement these Process Provisions before the 2021 storm season to help minimize the hourly contractor costs and equipment rental rates.</w:t>
      </w:r>
      <w:r w:rsidR="007225A9">
        <w:rPr>
          <w:u w:val="none"/>
        </w:rPr>
        <w:t xml:space="preserve"> </w:t>
      </w:r>
      <w:r w:rsidR="00A947CE" w:rsidRPr="00E86301">
        <w:rPr>
          <w:u w:val="none"/>
        </w:rPr>
        <w:t>[Section 4]</w:t>
      </w:r>
    </w:p>
    <w:p w:rsidR="00E86301" w:rsidRDefault="00E86301" w:rsidP="00E86301">
      <w:pPr>
        <w:pStyle w:val="ListParagraph"/>
      </w:pPr>
    </w:p>
    <w:p w:rsidR="00A947CE" w:rsidRPr="00E86301" w:rsidRDefault="00A947CE" w:rsidP="00A947CE">
      <w:pPr>
        <w:pStyle w:val="CenterUnderline"/>
        <w:numPr>
          <w:ilvl w:val="0"/>
          <w:numId w:val="1"/>
        </w:numPr>
        <w:jc w:val="both"/>
        <w:rPr>
          <w:u w:val="none"/>
        </w:rPr>
      </w:pPr>
      <w:r w:rsidRPr="00E86301">
        <w:rPr>
          <w:u w:val="none"/>
        </w:rPr>
        <w:t xml:space="preserve">The Other Provisions </w:t>
      </w:r>
      <w:r w:rsidR="00393668" w:rsidRPr="00E86301">
        <w:rPr>
          <w:u w:val="none"/>
        </w:rPr>
        <w:t xml:space="preserve">of Gulf’s Settlement </w:t>
      </w:r>
      <w:r w:rsidR="00B838C6">
        <w:rPr>
          <w:u w:val="none"/>
        </w:rPr>
        <w:t xml:space="preserve">Agreement </w:t>
      </w:r>
      <w:r w:rsidRPr="00E86301">
        <w:rPr>
          <w:u w:val="none"/>
        </w:rPr>
        <w:t xml:space="preserve">are: (1) that the Settlement </w:t>
      </w:r>
      <w:r w:rsidR="008C1C24">
        <w:rPr>
          <w:u w:val="none"/>
        </w:rPr>
        <w:t xml:space="preserve">Agreement </w:t>
      </w:r>
      <w:r w:rsidRPr="00E86301">
        <w:rPr>
          <w:u w:val="none"/>
        </w:rPr>
        <w:t>will have no precedential value; (</w:t>
      </w:r>
      <w:r w:rsidR="00F65C22" w:rsidRPr="00E86301">
        <w:rPr>
          <w:u w:val="none"/>
        </w:rPr>
        <w:t>2</w:t>
      </w:r>
      <w:r w:rsidRPr="00E86301">
        <w:rPr>
          <w:u w:val="none"/>
        </w:rPr>
        <w:t xml:space="preserve">) that the Settlement </w:t>
      </w:r>
      <w:r w:rsidR="008C1C24">
        <w:rPr>
          <w:u w:val="none"/>
        </w:rPr>
        <w:t xml:space="preserve">Agreement </w:t>
      </w:r>
      <w:r w:rsidRPr="00E86301">
        <w:rPr>
          <w:u w:val="none"/>
        </w:rPr>
        <w:t>is contingent upon approval by the Commission in its e</w:t>
      </w:r>
      <w:r w:rsidR="00F65C22" w:rsidRPr="00E86301">
        <w:rPr>
          <w:u w:val="none"/>
        </w:rPr>
        <w:t>ntirety without modification; (3</w:t>
      </w:r>
      <w:r w:rsidRPr="00E86301">
        <w:rPr>
          <w:u w:val="none"/>
        </w:rPr>
        <w:t xml:space="preserve">) that </w:t>
      </w:r>
      <w:r w:rsidR="008C1C24">
        <w:rPr>
          <w:u w:val="none"/>
        </w:rPr>
        <w:t>Signatories</w:t>
      </w:r>
      <w:r w:rsidRPr="00E86301">
        <w:rPr>
          <w:u w:val="none"/>
        </w:rPr>
        <w:t xml:space="preserve"> to the Settlement </w:t>
      </w:r>
      <w:r w:rsidR="008C1C24">
        <w:rPr>
          <w:u w:val="none"/>
        </w:rPr>
        <w:t xml:space="preserve">Agreement </w:t>
      </w:r>
      <w:r w:rsidRPr="00E86301">
        <w:rPr>
          <w:u w:val="none"/>
        </w:rPr>
        <w:t>will supp</w:t>
      </w:r>
      <w:r w:rsidR="00F65C22" w:rsidRPr="00E86301">
        <w:rPr>
          <w:u w:val="none"/>
        </w:rPr>
        <w:t xml:space="preserve">ort it before the Commission; </w:t>
      </w:r>
      <w:r w:rsidR="00952BD9">
        <w:rPr>
          <w:u w:val="none"/>
        </w:rPr>
        <w:t xml:space="preserve">and </w:t>
      </w:r>
      <w:r w:rsidR="00F65C22" w:rsidRPr="00E86301">
        <w:rPr>
          <w:u w:val="none"/>
        </w:rPr>
        <w:t>(4</w:t>
      </w:r>
      <w:r w:rsidRPr="00E86301">
        <w:rPr>
          <w:u w:val="none"/>
        </w:rPr>
        <w:t xml:space="preserve">) that the Settlement </w:t>
      </w:r>
      <w:r w:rsidR="008C1C24">
        <w:rPr>
          <w:u w:val="none"/>
        </w:rPr>
        <w:t xml:space="preserve">Agreement </w:t>
      </w:r>
      <w:r w:rsidRPr="00E86301">
        <w:rPr>
          <w:u w:val="none"/>
        </w:rPr>
        <w:t xml:space="preserve">resolves all outstanding issues, is in the public interest, and no </w:t>
      </w:r>
      <w:r w:rsidR="004912E8">
        <w:rPr>
          <w:u w:val="none"/>
        </w:rPr>
        <w:t>signatory</w:t>
      </w:r>
      <w:r w:rsidRPr="00E86301">
        <w:rPr>
          <w:u w:val="none"/>
        </w:rPr>
        <w:t xml:space="preserve"> will file an appeal of any order issued in this docket.</w:t>
      </w:r>
      <w:r w:rsidR="00E86301">
        <w:rPr>
          <w:u w:val="none"/>
        </w:rPr>
        <w:t xml:space="preserve"> [Sections 5-9]</w:t>
      </w:r>
    </w:p>
    <w:p w:rsidR="00A947CE" w:rsidRDefault="00A947CE" w:rsidP="00A947CE">
      <w:pPr>
        <w:pStyle w:val="CenterUnderline"/>
        <w:jc w:val="both"/>
        <w:rPr>
          <w:u w:val="none"/>
        </w:rPr>
      </w:pPr>
    </w:p>
    <w:p w:rsidR="008C1C24" w:rsidRDefault="008C1C24">
      <w:r>
        <w:br w:type="page"/>
      </w:r>
    </w:p>
    <w:p w:rsidR="00A947CE" w:rsidRDefault="00A947CE" w:rsidP="00A947CE">
      <w:pPr>
        <w:pStyle w:val="CenterUnderline"/>
      </w:pPr>
      <w:r>
        <w:lastRenderedPageBreak/>
        <w:t>DECISION</w:t>
      </w:r>
    </w:p>
    <w:p w:rsidR="008C1C24" w:rsidRDefault="008C1C24" w:rsidP="00A947CE">
      <w:pPr>
        <w:pStyle w:val="CenterUnderline"/>
      </w:pPr>
    </w:p>
    <w:p w:rsidR="00A947CE" w:rsidRDefault="00A947CE" w:rsidP="00A947CE">
      <w:pPr>
        <w:pStyle w:val="CenterUnderline"/>
        <w:jc w:val="both"/>
        <w:rPr>
          <w:u w:val="none"/>
        </w:rPr>
      </w:pPr>
      <w:r>
        <w:rPr>
          <w:u w:val="none"/>
        </w:rPr>
        <w:tab/>
      </w:r>
      <w:r w:rsidRPr="00BE455E">
        <w:rPr>
          <w:u w:val="none"/>
        </w:rPr>
        <w:t>The standard for approval of a settlement agreement is whether it is in the public interest.</w:t>
      </w:r>
      <w:r w:rsidRPr="00BE455E">
        <w:rPr>
          <w:rStyle w:val="FootnoteReference"/>
          <w:u w:val="none"/>
        </w:rPr>
        <w:footnoteReference w:id="2"/>
      </w:r>
      <w:r w:rsidRPr="00BE455E">
        <w:rPr>
          <w:u w:val="none"/>
        </w:rPr>
        <w:t xml:space="preserve"> A determination of public interest requires a case-specific analysis based on consideration of the proposed settlement taken as a whole.</w:t>
      </w:r>
      <w:r w:rsidRPr="00BE455E">
        <w:rPr>
          <w:rStyle w:val="FootnoteReference"/>
          <w:u w:val="none"/>
        </w:rPr>
        <w:footnoteReference w:id="3"/>
      </w:r>
      <w:r>
        <w:rPr>
          <w:u w:val="none"/>
        </w:rPr>
        <w:t xml:space="preserve">  </w:t>
      </w:r>
    </w:p>
    <w:p w:rsidR="00A947CE" w:rsidRDefault="00A947CE" w:rsidP="00A947CE">
      <w:pPr>
        <w:pStyle w:val="CenterUnderline"/>
        <w:jc w:val="both"/>
        <w:rPr>
          <w:u w:val="none"/>
        </w:rPr>
      </w:pPr>
    </w:p>
    <w:p w:rsidR="00A947CE" w:rsidRDefault="00A947CE" w:rsidP="00A947CE">
      <w:pPr>
        <w:pStyle w:val="CenterUnderline"/>
        <w:jc w:val="both"/>
        <w:rPr>
          <w:u w:val="none"/>
        </w:rPr>
      </w:pPr>
      <w:r>
        <w:rPr>
          <w:u w:val="none"/>
        </w:rPr>
        <w:tab/>
        <w:t xml:space="preserve">The Settlement </w:t>
      </w:r>
      <w:r w:rsidR="008C1C24">
        <w:rPr>
          <w:u w:val="none"/>
        </w:rPr>
        <w:t xml:space="preserve">Agreement </w:t>
      </w:r>
      <w:r>
        <w:rPr>
          <w:u w:val="none"/>
        </w:rPr>
        <w:t xml:space="preserve">resolves all issues in this docket, </w:t>
      </w:r>
      <w:r w:rsidR="00952BD9">
        <w:rPr>
          <w:u w:val="none"/>
        </w:rPr>
        <w:t>and p</w:t>
      </w:r>
      <w:r>
        <w:rPr>
          <w:u w:val="none"/>
        </w:rPr>
        <w:t>rovid</w:t>
      </w:r>
      <w:r w:rsidR="00952BD9">
        <w:rPr>
          <w:u w:val="none"/>
        </w:rPr>
        <w:t>es</w:t>
      </w:r>
      <w:r>
        <w:rPr>
          <w:u w:val="none"/>
        </w:rPr>
        <w:t xml:space="preserve"> for significant improvements in both the real time management of restoration tasks as well as cost verification. Crew tracking, contractor invoicing, and utility billing review procedures will be improved through the smart phone Phase I and Phase II applications that are designed to better monitor and verify contractor charges during storm restoration events. The Settlement </w:t>
      </w:r>
      <w:r w:rsidR="008C1C24">
        <w:rPr>
          <w:u w:val="none"/>
        </w:rPr>
        <w:t xml:space="preserve">Agreement </w:t>
      </w:r>
      <w:r>
        <w:rPr>
          <w:u w:val="none"/>
        </w:rPr>
        <w:t xml:space="preserve">also provides for an outside audit of </w:t>
      </w:r>
      <w:r w:rsidR="00F65C22">
        <w:rPr>
          <w:u w:val="none"/>
        </w:rPr>
        <w:t>Gulf’s</w:t>
      </w:r>
      <w:r>
        <w:rPr>
          <w:u w:val="none"/>
        </w:rPr>
        <w:t xml:space="preserve"> requested storm restoration costs for the first named tropical storm whose damages exceed $</w:t>
      </w:r>
      <w:r w:rsidR="00F65C22">
        <w:rPr>
          <w:u w:val="none"/>
        </w:rPr>
        <w:t>150</w:t>
      </w:r>
      <w:r>
        <w:rPr>
          <w:u w:val="none"/>
        </w:rPr>
        <w:t xml:space="preserve"> million prior to submittal for </w:t>
      </w:r>
      <w:r w:rsidR="008C1C24">
        <w:rPr>
          <w:u w:val="none"/>
        </w:rPr>
        <w:t>our</w:t>
      </w:r>
      <w:r>
        <w:rPr>
          <w:u w:val="none"/>
        </w:rPr>
        <w:t xml:space="preserve"> approval. These procedures are the result of negotiations between OPC</w:t>
      </w:r>
      <w:r w:rsidR="00F65C22">
        <w:rPr>
          <w:u w:val="none"/>
        </w:rPr>
        <w:t>, FEA</w:t>
      </w:r>
      <w:r w:rsidR="004912E8">
        <w:rPr>
          <w:u w:val="none"/>
        </w:rPr>
        <w:t>,</w:t>
      </w:r>
      <w:r>
        <w:rPr>
          <w:u w:val="none"/>
        </w:rPr>
        <w:t xml:space="preserve"> and </w:t>
      </w:r>
      <w:r w:rsidR="00F65C22">
        <w:rPr>
          <w:u w:val="none"/>
        </w:rPr>
        <w:t>Gulf</w:t>
      </w:r>
      <w:r w:rsidR="00E86301">
        <w:rPr>
          <w:u w:val="none"/>
        </w:rPr>
        <w:t>,</w:t>
      </w:r>
      <w:r>
        <w:rPr>
          <w:u w:val="none"/>
        </w:rPr>
        <w:t xml:space="preserve"> and they are a reasonable attempt to address both the cost as well as discovery issues that are part of every storm restoration docket.</w:t>
      </w:r>
      <w:r w:rsidR="008C1C24">
        <w:rPr>
          <w:u w:val="none"/>
        </w:rPr>
        <w:t xml:space="preserve"> </w:t>
      </w:r>
      <w:r>
        <w:rPr>
          <w:u w:val="none"/>
        </w:rPr>
        <w:t xml:space="preserve">The Financial Terms contained in the Settlement </w:t>
      </w:r>
      <w:r w:rsidR="00B838C6">
        <w:rPr>
          <w:u w:val="none"/>
        </w:rPr>
        <w:t xml:space="preserve">Agreement </w:t>
      </w:r>
      <w:r>
        <w:rPr>
          <w:u w:val="none"/>
        </w:rPr>
        <w:t xml:space="preserve">will result in </w:t>
      </w:r>
      <w:r w:rsidR="008C1C24">
        <w:rPr>
          <w:u w:val="none"/>
        </w:rPr>
        <w:t xml:space="preserve">Gulf’s </w:t>
      </w:r>
      <w:r>
        <w:rPr>
          <w:u w:val="none"/>
        </w:rPr>
        <w:t xml:space="preserve">total storm restoration costs being reduced </w:t>
      </w:r>
      <w:r w:rsidR="00F65C22">
        <w:rPr>
          <w:u w:val="none"/>
        </w:rPr>
        <w:t xml:space="preserve">by </w:t>
      </w:r>
      <w:r w:rsidRPr="00832355">
        <w:rPr>
          <w:u w:val="none"/>
        </w:rPr>
        <w:t>$</w:t>
      </w:r>
      <w:r w:rsidR="00F65C22">
        <w:rPr>
          <w:u w:val="none"/>
        </w:rPr>
        <w:t>5 million.</w:t>
      </w:r>
    </w:p>
    <w:p w:rsidR="00F65C22" w:rsidRDefault="00F65C22" w:rsidP="00A947CE">
      <w:pPr>
        <w:pStyle w:val="CenterUnderline"/>
        <w:jc w:val="both"/>
        <w:rPr>
          <w:u w:val="none"/>
        </w:rPr>
      </w:pPr>
    </w:p>
    <w:p w:rsidR="00A947CE" w:rsidRDefault="00A947CE" w:rsidP="00A947CE">
      <w:pPr>
        <w:pStyle w:val="CenterUnderline"/>
        <w:jc w:val="both"/>
        <w:rPr>
          <w:u w:val="none"/>
        </w:rPr>
      </w:pPr>
      <w:r>
        <w:rPr>
          <w:u w:val="none"/>
        </w:rPr>
        <w:tab/>
        <w:t xml:space="preserve">The </w:t>
      </w:r>
      <w:r w:rsidR="008C1C24">
        <w:rPr>
          <w:u w:val="none"/>
        </w:rPr>
        <w:t>S</w:t>
      </w:r>
      <w:r>
        <w:rPr>
          <w:u w:val="none"/>
        </w:rPr>
        <w:t xml:space="preserve">ignatories represent a broad segment of </w:t>
      </w:r>
      <w:r w:rsidR="00A012D5">
        <w:rPr>
          <w:u w:val="none"/>
        </w:rPr>
        <w:t>Gulf’s</w:t>
      </w:r>
      <w:r>
        <w:rPr>
          <w:u w:val="none"/>
        </w:rPr>
        <w:t xml:space="preserve"> customer base</w:t>
      </w:r>
      <w:r w:rsidR="008C1C24">
        <w:rPr>
          <w:u w:val="none"/>
        </w:rPr>
        <w:t>,</w:t>
      </w:r>
      <w:r>
        <w:rPr>
          <w:u w:val="none"/>
        </w:rPr>
        <w:t xml:space="preserve"> including both residential and commercial classes. Having carefully reviewed the Settlement</w:t>
      </w:r>
      <w:r w:rsidR="008C1C24">
        <w:rPr>
          <w:u w:val="none"/>
        </w:rPr>
        <w:t xml:space="preserve"> Agreement</w:t>
      </w:r>
      <w:r>
        <w:rPr>
          <w:u w:val="none"/>
        </w:rPr>
        <w:t xml:space="preserve">, the exhibits entered into the record, and the testimony provided by </w:t>
      </w:r>
      <w:r w:rsidR="00F65C22">
        <w:rPr>
          <w:u w:val="none"/>
        </w:rPr>
        <w:t xml:space="preserve">Gulf, </w:t>
      </w:r>
      <w:r>
        <w:rPr>
          <w:u w:val="none"/>
        </w:rPr>
        <w:t>OPC</w:t>
      </w:r>
      <w:r w:rsidR="00F65C22">
        <w:rPr>
          <w:u w:val="none"/>
        </w:rPr>
        <w:t xml:space="preserve">, FEA, and </w:t>
      </w:r>
      <w:r w:rsidR="008C1C24">
        <w:rPr>
          <w:u w:val="none"/>
        </w:rPr>
        <w:t>Commission s</w:t>
      </w:r>
      <w:r w:rsidR="00F65C22">
        <w:rPr>
          <w:u w:val="none"/>
        </w:rPr>
        <w:t>taff</w:t>
      </w:r>
      <w:r>
        <w:rPr>
          <w:u w:val="none"/>
        </w:rPr>
        <w:t xml:space="preserve"> witnesses, we find that, taken as a whole, it provides a reasonable resolution of all issues raised in this docket.  We find, therefore, that the Settlement</w:t>
      </w:r>
      <w:r w:rsidR="008C1C24">
        <w:rPr>
          <w:u w:val="none"/>
        </w:rPr>
        <w:t xml:space="preserve"> Agreement</w:t>
      </w:r>
      <w:r>
        <w:rPr>
          <w:u w:val="none"/>
        </w:rPr>
        <w:t>, Attachment A hereto, is in the public interest, and we hereby approve it.</w:t>
      </w:r>
    </w:p>
    <w:p w:rsidR="00A947CE" w:rsidRDefault="00A947CE" w:rsidP="00A947CE">
      <w:pPr>
        <w:pStyle w:val="CenterUnderline"/>
        <w:jc w:val="both"/>
        <w:rPr>
          <w:u w:val="none"/>
        </w:rPr>
      </w:pPr>
    </w:p>
    <w:p w:rsidR="00A947CE" w:rsidRDefault="00A947CE" w:rsidP="00A947CE">
      <w:pPr>
        <w:pStyle w:val="CenterUnderline"/>
        <w:jc w:val="both"/>
        <w:rPr>
          <w:u w:val="none"/>
        </w:rPr>
      </w:pPr>
      <w:r>
        <w:rPr>
          <w:u w:val="none"/>
        </w:rPr>
        <w:tab/>
        <w:t>Based on the foregoing, it is</w:t>
      </w:r>
    </w:p>
    <w:p w:rsidR="00A947CE" w:rsidRDefault="00A947CE" w:rsidP="00A947CE">
      <w:pPr>
        <w:pStyle w:val="CenterUnderline"/>
        <w:jc w:val="both"/>
        <w:rPr>
          <w:u w:val="none"/>
        </w:rPr>
      </w:pPr>
    </w:p>
    <w:p w:rsidR="00A947CE" w:rsidRDefault="00A947CE" w:rsidP="00A947CE">
      <w:pPr>
        <w:pStyle w:val="CenterUnderline"/>
        <w:jc w:val="both"/>
        <w:rPr>
          <w:u w:val="none"/>
        </w:rPr>
      </w:pPr>
      <w:r>
        <w:rPr>
          <w:u w:val="none"/>
        </w:rPr>
        <w:tab/>
        <w:t xml:space="preserve">ORDERED by the Florida Public Service Commission that the Joint Motion of </w:t>
      </w:r>
      <w:r w:rsidR="008C1C24">
        <w:rPr>
          <w:u w:val="none"/>
        </w:rPr>
        <w:t xml:space="preserve">Gulf Power Company, </w:t>
      </w:r>
      <w:r>
        <w:rPr>
          <w:u w:val="none"/>
        </w:rPr>
        <w:t>the Office of Public Counsel</w:t>
      </w:r>
      <w:r w:rsidR="00A012D5">
        <w:rPr>
          <w:u w:val="none"/>
        </w:rPr>
        <w:t>,</w:t>
      </w:r>
      <w:r>
        <w:rPr>
          <w:u w:val="none"/>
        </w:rPr>
        <w:t xml:space="preserve"> </w:t>
      </w:r>
      <w:r w:rsidR="00A012D5">
        <w:rPr>
          <w:u w:val="none"/>
        </w:rPr>
        <w:t xml:space="preserve">and </w:t>
      </w:r>
      <w:r w:rsidR="00A012D5" w:rsidRPr="00A012D5">
        <w:rPr>
          <w:u w:val="none"/>
        </w:rPr>
        <w:t xml:space="preserve">Federal Executive Agencies </w:t>
      </w:r>
      <w:r>
        <w:rPr>
          <w:u w:val="none"/>
        </w:rPr>
        <w:t xml:space="preserve">to </w:t>
      </w:r>
      <w:r w:rsidR="00E86301">
        <w:rPr>
          <w:u w:val="none"/>
        </w:rPr>
        <w:t>a</w:t>
      </w:r>
      <w:r>
        <w:rPr>
          <w:u w:val="none"/>
        </w:rPr>
        <w:t xml:space="preserve">pprove </w:t>
      </w:r>
      <w:r w:rsidR="00A012D5">
        <w:rPr>
          <w:u w:val="none"/>
        </w:rPr>
        <w:t xml:space="preserve">the </w:t>
      </w:r>
      <w:r>
        <w:rPr>
          <w:u w:val="none"/>
        </w:rPr>
        <w:t xml:space="preserve">Stipulation and Settlement Agreement is hereby granted. It is further </w:t>
      </w:r>
    </w:p>
    <w:p w:rsidR="00A947CE" w:rsidRDefault="00A947CE" w:rsidP="00A947CE">
      <w:pPr>
        <w:pStyle w:val="CenterUnderline"/>
        <w:jc w:val="both"/>
        <w:rPr>
          <w:u w:val="none"/>
        </w:rPr>
      </w:pPr>
    </w:p>
    <w:p w:rsidR="00A947CE" w:rsidRDefault="00A947CE" w:rsidP="00A947CE">
      <w:pPr>
        <w:pStyle w:val="CenterUnderline"/>
        <w:jc w:val="both"/>
        <w:rPr>
          <w:u w:val="none"/>
        </w:rPr>
      </w:pPr>
      <w:r>
        <w:rPr>
          <w:u w:val="none"/>
        </w:rPr>
        <w:lastRenderedPageBreak/>
        <w:tab/>
        <w:t xml:space="preserve">ORDERED that the Stipulation and Settlement filed on </w:t>
      </w:r>
      <w:r w:rsidR="00A012D5">
        <w:rPr>
          <w:u w:val="none"/>
        </w:rPr>
        <w:t>August 2</w:t>
      </w:r>
      <w:r w:rsidR="00E36D9F">
        <w:rPr>
          <w:u w:val="none"/>
        </w:rPr>
        <w:t>5</w:t>
      </w:r>
      <w:r w:rsidR="00A012D5">
        <w:rPr>
          <w:u w:val="none"/>
        </w:rPr>
        <w:t>,</w:t>
      </w:r>
      <w:r>
        <w:rPr>
          <w:u w:val="none"/>
        </w:rPr>
        <w:t xml:space="preserve"> 20</w:t>
      </w:r>
      <w:r w:rsidR="00A012D5">
        <w:rPr>
          <w:u w:val="none"/>
        </w:rPr>
        <w:t>20</w:t>
      </w:r>
      <w:r>
        <w:rPr>
          <w:u w:val="none"/>
        </w:rPr>
        <w:t xml:space="preserve">, referred to herein as </w:t>
      </w:r>
      <w:r w:rsidR="008C1C24">
        <w:rPr>
          <w:u w:val="none"/>
        </w:rPr>
        <w:t>the</w:t>
      </w:r>
      <w:r>
        <w:rPr>
          <w:u w:val="none"/>
        </w:rPr>
        <w:t xml:space="preserve"> Settlement</w:t>
      </w:r>
      <w:r w:rsidR="008C1C24">
        <w:rPr>
          <w:u w:val="none"/>
        </w:rPr>
        <w:t xml:space="preserve"> Agreement</w:t>
      </w:r>
      <w:r>
        <w:rPr>
          <w:u w:val="none"/>
        </w:rPr>
        <w:t>, attached hereto as Attachment A, and incorporated by reference, is hereby approved. It is further</w:t>
      </w:r>
    </w:p>
    <w:p w:rsidR="00A947CE" w:rsidRDefault="00A947CE" w:rsidP="00A947CE">
      <w:pPr>
        <w:pStyle w:val="CenterUnderline"/>
        <w:jc w:val="both"/>
        <w:rPr>
          <w:u w:val="none"/>
        </w:rPr>
      </w:pPr>
    </w:p>
    <w:p w:rsidR="00A947CE" w:rsidRDefault="00A947CE" w:rsidP="00A947CE">
      <w:pPr>
        <w:pStyle w:val="CenterUnderline"/>
        <w:jc w:val="both"/>
        <w:rPr>
          <w:u w:val="none"/>
        </w:rPr>
      </w:pPr>
      <w:r>
        <w:rPr>
          <w:u w:val="none"/>
        </w:rPr>
        <w:tab/>
        <w:t>ORDERED that in the event no timely appeal is filed, Docket No 201</w:t>
      </w:r>
      <w:r w:rsidR="00E36D9F">
        <w:rPr>
          <w:u w:val="none"/>
        </w:rPr>
        <w:t>9</w:t>
      </w:r>
      <w:r>
        <w:rPr>
          <w:u w:val="none"/>
        </w:rPr>
        <w:t>00</w:t>
      </w:r>
      <w:r w:rsidR="00E36D9F">
        <w:rPr>
          <w:u w:val="none"/>
        </w:rPr>
        <w:t>38</w:t>
      </w:r>
      <w:r>
        <w:rPr>
          <w:u w:val="none"/>
        </w:rPr>
        <w:t>-EI shall be closed.</w:t>
      </w:r>
    </w:p>
    <w:p w:rsidR="00A947CE" w:rsidRDefault="00A947CE" w:rsidP="00A947CE">
      <w:pPr>
        <w:pStyle w:val="CenterUnderline"/>
        <w:jc w:val="both"/>
        <w:rPr>
          <w:u w:val="none"/>
        </w:rPr>
      </w:pPr>
    </w:p>
    <w:p w:rsidR="00396870" w:rsidRDefault="00396870" w:rsidP="00396870">
      <w:pPr>
        <w:pStyle w:val="OrderBody"/>
        <w:keepNext/>
        <w:keepLines/>
      </w:pPr>
      <w:r>
        <w:tab/>
        <w:t xml:space="preserve">By ORDER of the Florida Public Service Commission this </w:t>
      </w:r>
      <w:bookmarkStart w:id="6" w:name="replaceDate"/>
      <w:bookmarkEnd w:id="6"/>
      <w:r w:rsidR="0098643D">
        <w:rPr>
          <w:u w:val="single"/>
        </w:rPr>
        <w:t>8th</w:t>
      </w:r>
      <w:r w:rsidR="0098643D">
        <w:t xml:space="preserve"> day of </w:t>
      </w:r>
      <w:r w:rsidR="0098643D">
        <w:rPr>
          <w:u w:val="single"/>
        </w:rPr>
        <w:t>October</w:t>
      </w:r>
      <w:r w:rsidR="0098643D">
        <w:t xml:space="preserve">, </w:t>
      </w:r>
      <w:r w:rsidR="0098643D">
        <w:rPr>
          <w:u w:val="single"/>
        </w:rPr>
        <w:t>2020</w:t>
      </w:r>
      <w:r w:rsidR="0098643D">
        <w:t>.</w:t>
      </w:r>
    </w:p>
    <w:p w:rsidR="0098643D" w:rsidRPr="0098643D" w:rsidRDefault="0098643D" w:rsidP="00396870">
      <w:pPr>
        <w:pStyle w:val="OrderBody"/>
        <w:keepNext/>
        <w:keepLines/>
      </w:pPr>
    </w:p>
    <w:p w:rsidR="00396870" w:rsidRDefault="00396870" w:rsidP="00396870">
      <w:pPr>
        <w:pStyle w:val="OrderBody"/>
        <w:keepNext/>
        <w:keepLines/>
      </w:pPr>
    </w:p>
    <w:p w:rsidR="00396870" w:rsidRDefault="00396870" w:rsidP="00396870">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96870" w:rsidTr="00396870">
        <w:tc>
          <w:tcPr>
            <w:tcW w:w="720" w:type="dxa"/>
            <w:shd w:val="clear" w:color="auto" w:fill="auto"/>
          </w:tcPr>
          <w:p w:rsidR="00396870" w:rsidRDefault="00396870" w:rsidP="00396870">
            <w:pPr>
              <w:pStyle w:val="OrderBody"/>
              <w:keepNext/>
              <w:keepLines/>
            </w:pPr>
            <w:bookmarkStart w:id="7" w:name="bkmrkSignature" w:colFirst="0" w:colLast="0"/>
          </w:p>
        </w:tc>
        <w:tc>
          <w:tcPr>
            <w:tcW w:w="4320" w:type="dxa"/>
            <w:tcBorders>
              <w:bottom w:val="single" w:sz="4" w:space="0" w:color="auto"/>
            </w:tcBorders>
            <w:shd w:val="clear" w:color="auto" w:fill="auto"/>
          </w:tcPr>
          <w:p w:rsidR="00396870" w:rsidRDefault="00EB1E72" w:rsidP="00396870">
            <w:pPr>
              <w:pStyle w:val="OrderBody"/>
              <w:keepNext/>
              <w:keepLines/>
            </w:pPr>
            <w:r>
              <w:t>/s/ Adam J. Teitzman</w:t>
            </w:r>
            <w:bookmarkStart w:id="8" w:name="_GoBack"/>
            <w:bookmarkEnd w:id="8"/>
          </w:p>
        </w:tc>
      </w:tr>
      <w:bookmarkEnd w:id="7"/>
      <w:tr w:rsidR="00396870" w:rsidTr="00396870">
        <w:tc>
          <w:tcPr>
            <w:tcW w:w="720" w:type="dxa"/>
            <w:shd w:val="clear" w:color="auto" w:fill="auto"/>
          </w:tcPr>
          <w:p w:rsidR="00396870" w:rsidRDefault="00396870" w:rsidP="00396870">
            <w:pPr>
              <w:pStyle w:val="OrderBody"/>
              <w:keepNext/>
              <w:keepLines/>
            </w:pPr>
          </w:p>
        </w:tc>
        <w:tc>
          <w:tcPr>
            <w:tcW w:w="4320" w:type="dxa"/>
            <w:tcBorders>
              <w:top w:val="single" w:sz="4" w:space="0" w:color="auto"/>
            </w:tcBorders>
            <w:shd w:val="clear" w:color="auto" w:fill="auto"/>
          </w:tcPr>
          <w:p w:rsidR="00396870" w:rsidRDefault="00396870" w:rsidP="00396870">
            <w:pPr>
              <w:pStyle w:val="OrderBody"/>
              <w:keepNext/>
              <w:keepLines/>
            </w:pPr>
            <w:r>
              <w:t>ADAM J. TEITZMAN</w:t>
            </w:r>
          </w:p>
          <w:p w:rsidR="00396870" w:rsidRDefault="00396870" w:rsidP="00396870">
            <w:pPr>
              <w:pStyle w:val="OrderBody"/>
              <w:keepNext/>
              <w:keepLines/>
            </w:pPr>
            <w:r>
              <w:t>Commission Clerk</w:t>
            </w:r>
          </w:p>
        </w:tc>
      </w:tr>
    </w:tbl>
    <w:p w:rsidR="00396870" w:rsidRDefault="00396870" w:rsidP="00396870">
      <w:pPr>
        <w:pStyle w:val="OrderSigInfo"/>
        <w:keepNext/>
        <w:keepLines/>
      </w:pPr>
      <w:r>
        <w:t>Florida Public Service Commission</w:t>
      </w:r>
    </w:p>
    <w:p w:rsidR="00396870" w:rsidRDefault="00396870" w:rsidP="00396870">
      <w:pPr>
        <w:pStyle w:val="OrderSigInfo"/>
        <w:keepNext/>
        <w:keepLines/>
      </w:pPr>
      <w:r>
        <w:t>2540 Shumard Oak Boulevard</w:t>
      </w:r>
    </w:p>
    <w:p w:rsidR="00396870" w:rsidRDefault="00396870" w:rsidP="00396870">
      <w:pPr>
        <w:pStyle w:val="OrderSigInfo"/>
        <w:keepNext/>
        <w:keepLines/>
      </w:pPr>
      <w:r>
        <w:t>Tallahassee, Florida 32399</w:t>
      </w:r>
    </w:p>
    <w:p w:rsidR="00396870" w:rsidRDefault="00396870" w:rsidP="00396870">
      <w:pPr>
        <w:pStyle w:val="OrderSigInfo"/>
        <w:keepNext/>
        <w:keepLines/>
      </w:pPr>
      <w:r>
        <w:t>(850) 413</w:t>
      </w:r>
      <w:r>
        <w:noBreakHyphen/>
        <w:t>6770</w:t>
      </w:r>
    </w:p>
    <w:p w:rsidR="00396870" w:rsidRDefault="00396870" w:rsidP="00396870">
      <w:pPr>
        <w:pStyle w:val="OrderSigInfo"/>
        <w:keepNext/>
        <w:keepLines/>
      </w:pPr>
      <w:r>
        <w:t>www.floridapsc.com</w:t>
      </w:r>
    </w:p>
    <w:p w:rsidR="00396870" w:rsidRDefault="00396870" w:rsidP="00396870">
      <w:pPr>
        <w:pStyle w:val="OrderSigInfo"/>
        <w:keepNext/>
        <w:keepLines/>
      </w:pPr>
    </w:p>
    <w:p w:rsidR="00396870" w:rsidRDefault="00396870" w:rsidP="00396870">
      <w:pPr>
        <w:pStyle w:val="OrderSigInfo"/>
        <w:keepNext/>
        <w:keepLines/>
      </w:pPr>
      <w:r>
        <w:t>Copies furnished:  A copy of this document is provided to the parties of record at the time of issuance and, if applicable, interested persons.</w:t>
      </w:r>
    </w:p>
    <w:p w:rsidR="00396870" w:rsidRDefault="00396870" w:rsidP="00396870">
      <w:pPr>
        <w:pStyle w:val="OrderBody"/>
        <w:keepNext/>
        <w:keepLines/>
      </w:pPr>
    </w:p>
    <w:p w:rsidR="00396870" w:rsidRDefault="00396870" w:rsidP="00396870">
      <w:pPr>
        <w:pStyle w:val="OrderBody"/>
        <w:keepNext/>
        <w:keepLines/>
      </w:pPr>
    </w:p>
    <w:p w:rsidR="00396870" w:rsidRDefault="00396870" w:rsidP="00396870">
      <w:pPr>
        <w:pStyle w:val="OrderBody"/>
        <w:keepNext/>
        <w:keepLines/>
      </w:pPr>
      <w:r>
        <w:t>WLT</w:t>
      </w:r>
    </w:p>
    <w:p w:rsidR="00396870" w:rsidRDefault="00396870"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E86301" w:rsidRDefault="00E86301" w:rsidP="00396870">
      <w:pPr>
        <w:pStyle w:val="OrderBody"/>
      </w:pPr>
    </w:p>
    <w:p w:rsidR="00251151" w:rsidRDefault="00251151">
      <w:pPr>
        <w:rPr>
          <w:u w:val="single"/>
        </w:rPr>
      </w:pPr>
      <w:r>
        <w:br w:type="page"/>
      </w:r>
    </w:p>
    <w:p w:rsidR="00396870" w:rsidRDefault="00396870" w:rsidP="00396870">
      <w:pPr>
        <w:pStyle w:val="CenterUnderline"/>
      </w:pPr>
      <w:r>
        <w:lastRenderedPageBreak/>
        <w:t>NOTICE OF FURTHER PROCEEDINGS OR JUDICIAL REVIEW</w:t>
      </w:r>
    </w:p>
    <w:p w:rsidR="00D57E57" w:rsidRDefault="00D57E57" w:rsidP="00396870">
      <w:pPr>
        <w:pStyle w:val="CenterUnderline"/>
      </w:pPr>
    </w:p>
    <w:p w:rsidR="00396870" w:rsidRDefault="00396870" w:rsidP="00396870">
      <w:pPr>
        <w:pStyle w:val="OrderBody"/>
      </w:pPr>
    </w:p>
    <w:p w:rsidR="00396870" w:rsidRDefault="00396870" w:rsidP="00396870">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396870" w:rsidRDefault="00396870" w:rsidP="00396870">
      <w:pPr>
        <w:pStyle w:val="OrderBody"/>
      </w:pPr>
    </w:p>
    <w:p w:rsidR="00396870" w:rsidRDefault="00396870" w:rsidP="00396870">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396870" w:rsidRDefault="00396870" w:rsidP="00396870">
      <w:pPr>
        <w:pStyle w:val="OrderBody"/>
      </w:pPr>
    </w:p>
    <w:p w:rsidR="00AF54FB" w:rsidRDefault="00AF54FB" w:rsidP="00396870">
      <w:pPr>
        <w:pStyle w:val="OrderBody"/>
        <w:sectPr w:rsidR="00AF54FB">
          <w:headerReference w:type="default" r:id="rId8"/>
          <w:footerReference w:type="first" r:id="rId9"/>
          <w:pgSz w:w="12240" w:h="15840" w:code="1"/>
          <w:pgMar w:top="1440" w:right="1440" w:bottom="1440" w:left="1440" w:header="720" w:footer="720" w:gutter="0"/>
          <w:cols w:space="720"/>
          <w:titlePg/>
          <w:docGrid w:linePitch="360"/>
        </w:sectPr>
      </w:pPr>
    </w:p>
    <w:p w:rsidR="00AF54FB" w:rsidRDefault="00AF54FB" w:rsidP="00396870">
      <w:pPr>
        <w:pStyle w:val="OrderBody"/>
      </w:pPr>
      <w:r>
        <w:rPr>
          <w:noProof/>
        </w:rPr>
        <w:lastRenderedPageBreak/>
        <w:drawing>
          <wp:inline distT="0" distB="0" distL="0" distR="0">
            <wp:extent cx="5943600" cy="76841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84135"/>
                    </a:xfrm>
                    <a:prstGeom prst="rect">
                      <a:avLst/>
                    </a:prstGeom>
                  </pic:spPr>
                </pic:pic>
              </a:graphicData>
            </a:graphic>
          </wp:inline>
        </w:drawing>
      </w:r>
    </w:p>
    <w:p w:rsidR="00AF54FB" w:rsidRDefault="00AF54FB">
      <w:r>
        <w:br w:type="page"/>
      </w:r>
    </w:p>
    <w:p w:rsidR="00AF54FB" w:rsidRDefault="00AF54FB" w:rsidP="00396870">
      <w:pPr>
        <w:pStyle w:val="OrderBody"/>
      </w:pPr>
      <w:r>
        <w:rPr>
          <w:noProof/>
        </w:rPr>
        <w:lastRenderedPageBreak/>
        <w:drawing>
          <wp:inline distT="0" distB="0" distL="0" distR="0">
            <wp:extent cx="5943600" cy="76841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84135"/>
                    </a:xfrm>
                    <a:prstGeom prst="rect">
                      <a:avLst/>
                    </a:prstGeom>
                  </pic:spPr>
                </pic:pic>
              </a:graphicData>
            </a:graphic>
          </wp:inline>
        </w:drawing>
      </w:r>
    </w:p>
    <w:p w:rsidR="00AF54FB" w:rsidRDefault="00AF54FB">
      <w:r>
        <w:br w:type="page"/>
      </w:r>
    </w:p>
    <w:p w:rsidR="00396870" w:rsidRDefault="00AF54FB" w:rsidP="00396870">
      <w:pPr>
        <w:pStyle w:val="OrderBody"/>
      </w:pPr>
      <w:r>
        <w:rPr>
          <w:noProof/>
        </w:rPr>
        <w:lastRenderedPageBreak/>
        <w:drawing>
          <wp:inline distT="0" distB="0" distL="0" distR="0">
            <wp:extent cx="5943600" cy="768413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84135"/>
                    </a:xfrm>
                    <a:prstGeom prst="rect">
                      <a:avLst/>
                    </a:prstGeom>
                  </pic:spPr>
                </pic:pic>
              </a:graphicData>
            </a:graphic>
          </wp:inline>
        </w:drawing>
      </w:r>
    </w:p>
    <w:sectPr w:rsidR="00396870">
      <w:headerReference w:type="default" r:id="rId23"/>
      <w:head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185" w:rsidRDefault="00ED7185">
      <w:r>
        <w:separator/>
      </w:r>
    </w:p>
  </w:endnote>
  <w:endnote w:type="continuationSeparator" w:id="0">
    <w:p w:rsidR="00ED7185" w:rsidRDefault="00ED7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185" w:rsidRDefault="00ED7185">
      <w:r>
        <w:separator/>
      </w:r>
    </w:p>
  </w:footnote>
  <w:footnote w:type="continuationSeparator" w:id="0">
    <w:p w:rsidR="00ED7185" w:rsidRDefault="00ED7185">
      <w:r>
        <w:continuationSeparator/>
      </w:r>
    </w:p>
  </w:footnote>
  <w:footnote w:id="1">
    <w:p w:rsidR="00B83B76" w:rsidRDefault="00B83B76" w:rsidP="00B83B76">
      <w:pPr>
        <w:pStyle w:val="FootnoteText"/>
      </w:pPr>
      <w:r>
        <w:rPr>
          <w:rStyle w:val="FootnoteReference"/>
        </w:rPr>
        <w:footnoteRef/>
      </w:r>
      <w:r>
        <w:t xml:space="preserve"> Order No. PSC-2017-0178-S-EI, issued May 16, 2017, in Docket No. 20160186-EI, </w:t>
      </w:r>
      <w:r w:rsidRPr="007F6182">
        <w:rPr>
          <w:i/>
        </w:rPr>
        <w:t>In re: Petition for rate increase by Gulf Power Company</w:t>
      </w:r>
      <w:r>
        <w:t xml:space="preserve"> and Docket No. 20160170-EI, </w:t>
      </w:r>
      <w:r w:rsidRPr="007F6182">
        <w:rPr>
          <w:i/>
        </w:rPr>
        <w:t>In re: Petition for approval of 2016 depreciation and dismantlement studies, approval of proposed depreciation rates and annual dismantlemen</w:t>
      </w:r>
      <w:r>
        <w:rPr>
          <w:i/>
        </w:rPr>
        <w:t>t accruals and</w:t>
      </w:r>
      <w:r w:rsidRPr="007F6182">
        <w:rPr>
          <w:i/>
        </w:rPr>
        <w:t xml:space="preserve"> Plant Smith Units 1 and 2 regulatory asset amortization, by Gulf Power Company.</w:t>
      </w:r>
      <w:r>
        <w:t xml:space="preserve"> </w:t>
      </w:r>
    </w:p>
  </w:footnote>
  <w:footnote w:id="2">
    <w:p w:rsidR="00A947CE" w:rsidRDefault="00A947CE" w:rsidP="00A947CE">
      <w:pPr>
        <w:pStyle w:val="FootnoteText"/>
      </w:pPr>
      <w:r>
        <w:rPr>
          <w:rStyle w:val="FootnoteReference"/>
        </w:rPr>
        <w:footnoteRef/>
      </w:r>
      <w:r>
        <w:t xml:space="preserve"> </w:t>
      </w:r>
      <w:r>
        <w:rPr>
          <w:u w:val="single"/>
        </w:rPr>
        <w:t>Sierra Club v. Brown</w:t>
      </w:r>
      <w:r>
        <w:t xml:space="preserve">, 243 So. 3d 903, 910-913 (Fla. 2018); Order No.  PSC-13-0023-S-EI, issued on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3">
    <w:p w:rsidR="00A947CE" w:rsidRDefault="00A947CE" w:rsidP="00A947CE">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349 ">
      <w:r w:rsidR="00251151">
        <w:t>PSC-2020-0349-S-EI</w:t>
      </w:r>
    </w:fldSimple>
  </w:p>
  <w:p w:rsidR="00FA6EFD" w:rsidRDefault="00396870">
    <w:pPr>
      <w:pStyle w:val="OrderHeader"/>
    </w:pPr>
    <w:bookmarkStart w:id="9" w:name="HeaderDocketNo"/>
    <w:bookmarkEnd w:id="9"/>
    <w:r>
      <w:t>DOCKET NO. 20190038-EI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1E72">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C0C" w:rsidRDefault="00140C0C">
    <w:pPr>
      <w:pStyle w:val="OrderHeader"/>
    </w:pPr>
    <w:r>
      <w:t xml:space="preserve">ORDER NO. </w:t>
    </w:r>
    <w:r w:rsidR="00EB1E72">
      <w:fldChar w:fldCharType="begin"/>
    </w:r>
    <w:r w:rsidR="00EB1E72">
      <w:instrText xml:space="preserve"> REF OrderNo0349 </w:instrText>
    </w:r>
    <w:r w:rsidR="00EB1E72">
      <w:fldChar w:fldCharType="separate"/>
    </w:r>
    <w:r w:rsidR="00251151">
      <w:t>PSC-2020-0349-S-EI</w:t>
    </w:r>
    <w:r w:rsidR="00EB1E72">
      <w:fldChar w:fldCharType="end"/>
    </w:r>
  </w:p>
  <w:p w:rsidR="00140C0C" w:rsidRDefault="00140C0C">
    <w:pPr>
      <w:pStyle w:val="OrderHeader"/>
    </w:pPr>
    <w:r>
      <w:t>DOCKET NO. 20190038-EI</w:t>
    </w:r>
    <w:r>
      <w:tab/>
    </w:r>
    <w:r>
      <w:tab/>
      <w:t>Attachment A</w:t>
    </w:r>
  </w:p>
  <w:p w:rsidR="00140C0C" w:rsidRDefault="00140C0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B1E72">
      <w:rPr>
        <w:rStyle w:val="PageNumber"/>
        <w:noProof/>
      </w:rPr>
      <w:t>18</w:t>
    </w:r>
    <w:r>
      <w:rPr>
        <w:rStyle w:val="PageNumber"/>
      </w:rPr>
      <w:fldChar w:fldCharType="end"/>
    </w:r>
  </w:p>
  <w:p w:rsidR="00140C0C" w:rsidRDefault="00140C0C">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4FB" w:rsidRDefault="00AF54FB" w:rsidP="0098643D">
    <w:pPr>
      <w:pStyle w:val="OrderHeader"/>
    </w:pPr>
    <w:r>
      <w:t xml:space="preserve">ORDER NO. </w:t>
    </w:r>
    <w:r w:rsidR="00EB1E72">
      <w:fldChar w:fldCharType="begin"/>
    </w:r>
    <w:r w:rsidR="00EB1E72">
      <w:instrText xml:space="preserve"> REF OrderNo0349 </w:instrText>
    </w:r>
    <w:r w:rsidR="00EB1E72">
      <w:fldChar w:fldCharType="separate"/>
    </w:r>
    <w:r w:rsidR="00251151">
      <w:t>PSC-2020-0349-S-EI</w:t>
    </w:r>
    <w:r w:rsidR="00EB1E72">
      <w:fldChar w:fldCharType="end"/>
    </w:r>
  </w:p>
  <w:p w:rsidR="00AF54FB" w:rsidRDefault="00AF54FB" w:rsidP="00AF54FB">
    <w:pPr>
      <w:pStyle w:val="Header"/>
    </w:pPr>
    <w:r>
      <w:t>DOCKET NO. 20190038-EI</w:t>
    </w:r>
    <w:r>
      <w:tab/>
    </w:r>
    <w:r>
      <w:tab/>
      <w:t>Attachment A</w:t>
    </w:r>
  </w:p>
  <w:p w:rsidR="00AF54FB" w:rsidRDefault="00AF54FB" w:rsidP="00AF54FB">
    <w:pPr>
      <w:pStyle w:val="Header"/>
    </w:pPr>
    <w:r>
      <w:t>PAGE 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8F0AAD"/>
    <w:multiLevelType w:val="hybridMultilevel"/>
    <w:tmpl w:val="5516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387CCE"/>
    <w:multiLevelType w:val="hybridMultilevel"/>
    <w:tmpl w:val="7624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38-EI"/>
  </w:docVars>
  <w:rsids>
    <w:rsidRoot w:val="00396870"/>
    <w:rsid w:val="000022B8"/>
    <w:rsid w:val="00025C9D"/>
    <w:rsid w:val="0003433F"/>
    <w:rsid w:val="00035A8C"/>
    <w:rsid w:val="00036BDD"/>
    <w:rsid w:val="00053AB9"/>
    <w:rsid w:val="00056229"/>
    <w:rsid w:val="00057AF1"/>
    <w:rsid w:val="00065FC2"/>
    <w:rsid w:val="00067685"/>
    <w:rsid w:val="00067B07"/>
    <w:rsid w:val="000730D7"/>
    <w:rsid w:val="00074EB7"/>
    <w:rsid w:val="00076E6B"/>
    <w:rsid w:val="00081AE4"/>
    <w:rsid w:val="0008247D"/>
    <w:rsid w:val="00090AFC"/>
    <w:rsid w:val="00092F79"/>
    <w:rsid w:val="00096507"/>
    <w:rsid w:val="000B783E"/>
    <w:rsid w:val="000B7D81"/>
    <w:rsid w:val="000C1994"/>
    <w:rsid w:val="000C6926"/>
    <w:rsid w:val="000D02B8"/>
    <w:rsid w:val="000D06E8"/>
    <w:rsid w:val="000D7732"/>
    <w:rsid w:val="000D78FB"/>
    <w:rsid w:val="000E050C"/>
    <w:rsid w:val="000E20F0"/>
    <w:rsid w:val="000E344D"/>
    <w:rsid w:val="000E3F6D"/>
    <w:rsid w:val="000E523C"/>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0C0C"/>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C7974"/>
    <w:rsid w:val="001D008A"/>
    <w:rsid w:val="001E0152"/>
    <w:rsid w:val="001E0FF5"/>
    <w:rsid w:val="001F4CA3"/>
    <w:rsid w:val="002002ED"/>
    <w:rsid w:val="002170E5"/>
    <w:rsid w:val="00220D57"/>
    <w:rsid w:val="0022721A"/>
    <w:rsid w:val="00230BB9"/>
    <w:rsid w:val="00241CEF"/>
    <w:rsid w:val="00251151"/>
    <w:rsid w:val="0025124E"/>
    <w:rsid w:val="00252B30"/>
    <w:rsid w:val="002613E4"/>
    <w:rsid w:val="0026544B"/>
    <w:rsid w:val="00266309"/>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3727"/>
    <w:rsid w:val="0035495B"/>
    <w:rsid w:val="00355A93"/>
    <w:rsid w:val="00361522"/>
    <w:rsid w:val="0037196E"/>
    <w:rsid w:val="003744F5"/>
    <w:rsid w:val="003875A9"/>
    <w:rsid w:val="00387BDE"/>
    <w:rsid w:val="00390DD8"/>
    <w:rsid w:val="00393668"/>
    <w:rsid w:val="00394DC6"/>
    <w:rsid w:val="00396870"/>
    <w:rsid w:val="00397C3E"/>
    <w:rsid w:val="003B1A09"/>
    <w:rsid w:val="003D1B0C"/>
    <w:rsid w:val="003D4CCA"/>
    <w:rsid w:val="003D52A6"/>
    <w:rsid w:val="003D6416"/>
    <w:rsid w:val="003E1D48"/>
    <w:rsid w:val="003E711F"/>
    <w:rsid w:val="003F1D2B"/>
    <w:rsid w:val="00411DF2"/>
    <w:rsid w:val="00411E8F"/>
    <w:rsid w:val="004247F5"/>
    <w:rsid w:val="0042527B"/>
    <w:rsid w:val="00427EAC"/>
    <w:rsid w:val="00436004"/>
    <w:rsid w:val="004431B4"/>
    <w:rsid w:val="0045537F"/>
    <w:rsid w:val="00457DC7"/>
    <w:rsid w:val="004640B3"/>
    <w:rsid w:val="00472BCC"/>
    <w:rsid w:val="00480B14"/>
    <w:rsid w:val="004912E8"/>
    <w:rsid w:val="0049622D"/>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84AA3"/>
    <w:rsid w:val="0068716A"/>
    <w:rsid w:val="00693483"/>
    <w:rsid w:val="006A0BF3"/>
    <w:rsid w:val="006A3624"/>
    <w:rsid w:val="006A54DC"/>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25A9"/>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29FD"/>
    <w:rsid w:val="008449F0"/>
    <w:rsid w:val="00847B45"/>
    <w:rsid w:val="00863A66"/>
    <w:rsid w:val="00866CF7"/>
    <w:rsid w:val="008703D7"/>
    <w:rsid w:val="00874429"/>
    <w:rsid w:val="00875D22"/>
    <w:rsid w:val="00883D9A"/>
    <w:rsid w:val="008919EF"/>
    <w:rsid w:val="00892B20"/>
    <w:rsid w:val="008931BC"/>
    <w:rsid w:val="0089695B"/>
    <w:rsid w:val="008A12EC"/>
    <w:rsid w:val="008A7184"/>
    <w:rsid w:val="008B19A6"/>
    <w:rsid w:val="008B4EFB"/>
    <w:rsid w:val="008C1C24"/>
    <w:rsid w:val="008C21C8"/>
    <w:rsid w:val="008C6375"/>
    <w:rsid w:val="008C65DC"/>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52BD9"/>
    <w:rsid w:val="00964A38"/>
    <w:rsid w:val="0096669C"/>
    <w:rsid w:val="00966A9D"/>
    <w:rsid w:val="0096742B"/>
    <w:rsid w:val="009718C5"/>
    <w:rsid w:val="0098643D"/>
    <w:rsid w:val="009924CF"/>
    <w:rsid w:val="00994100"/>
    <w:rsid w:val="009A6B17"/>
    <w:rsid w:val="009D4C29"/>
    <w:rsid w:val="009F3EF8"/>
    <w:rsid w:val="009F6AD2"/>
    <w:rsid w:val="00A00D8D"/>
    <w:rsid w:val="00A012D5"/>
    <w:rsid w:val="00A01BB6"/>
    <w:rsid w:val="00A4303C"/>
    <w:rsid w:val="00A46CAF"/>
    <w:rsid w:val="00A470FD"/>
    <w:rsid w:val="00A50B5E"/>
    <w:rsid w:val="00A62DAB"/>
    <w:rsid w:val="00A6757A"/>
    <w:rsid w:val="00A726A6"/>
    <w:rsid w:val="00A74842"/>
    <w:rsid w:val="00A947CE"/>
    <w:rsid w:val="00A97535"/>
    <w:rsid w:val="00AA2BAA"/>
    <w:rsid w:val="00AA6516"/>
    <w:rsid w:val="00AA73F1"/>
    <w:rsid w:val="00AB0E1A"/>
    <w:rsid w:val="00AB1A30"/>
    <w:rsid w:val="00AB3C36"/>
    <w:rsid w:val="00AB3D30"/>
    <w:rsid w:val="00AD10EB"/>
    <w:rsid w:val="00AD1ED3"/>
    <w:rsid w:val="00AF54FB"/>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C48"/>
    <w:rsid w:val="00B55EE5"/>
    <w:rsid w:val="00B67A43"/>
    <w:rsid w:val="00B71D1F"/>
    <w:rsid w:val="00B72CFF"/>
    <w:rsid w:val="00B73DE6"/>
    <w:rsid w:val="00B73F82"/>
    <w:rsid w:val="00B761CD"/>
    <w:rsid w:val="00B838C6"/>
    <w:rsid w:val="00B83B76"/>
    <w:rsid w:val="00B86EF0"/>
    <w:rsid w:val="00B96969"/>
    <w:rsid w:val="00B97900"/>
    <w:rsid w:val="00BA1229"/>
    <w:rsid w:val="00BA44A8"/>
    <w:rsid w:val="00BA49C5"/>
    <w:rsid w:val="00BC786E"/>
    <w:rsid w:val="00BD0D32"/>
    <w:rsid w:val="00BD3A00"/>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1219"/>
    <w:rsid w:val="00CB5276"/>
    <w:rsid w:val="00CB5BFC"/>
    <w:rsid w:val="00CB68D7"/>
    <w:rsid w:val="00CB785B"/>
    <w:rsid w:val="00CC7E68"/>
    <w:rsid w:val="00CD455B"/>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2FFE"/>
    <w:rsid w:val="00D46FAA"/>
    <w:rsid w:val="00D47A40"/>
    <w:rsid w:val="00D51D33"/>
    <w:rsid w:val="00D57BB2"/>
    <w:rsid w:val="00D57E57"/>
    <w:rsid w:val="00D70752"/>
    <w:rsid w:val="00D80E2D"/>
    <w:rsid w:val="00D84D5E"/>
    <w:rsid w:val="00D8560E"/>
    <w:rsid w:val="00D8758F"/>
    <w:rsid w:val="00DA24DE"/>
    <w:rsid w:val="00DA4EDD"/>
    <w:rsid w:val="00DA6B78"/>
    <w:rsid w:val="00DB13A1"/>
    <w:rsid w:val="00DC1D94"/>
    <w:rsid w:val="00DC42CF"/>
    <w:rsid w:val="00DE057F"/>
    <w:rsid w:val="00DE2082"/>
    <w:rsid w:val="00DE2289"/>
    <w:rsid w:val="00DF09A7"/>
    <w:rsid w:val="00DF2B51"/>
    <w:rsid w:val="00E001D6"/>
    <w:rsid w:val="00E03A76"/>
    <w:rsid w:val="00E04410"/>
    <w:rsid w:val="00E07484"/>
    <w:rsid w:val="00E11351"/>
    <w:rsid w:val="00E36D9F"/>
    <w:rsid w:val="00E4225C"/>
    <w:rsid w:val="00E44879"/>
    <w:rsid w:val="00E72896"/>
    <w:rsid w:val="00E72914"/>
    <w:rsid w:val="00E75AE0"/>
    <w:rsid w:val="00E83C1F"/>
    <w:rsid w:val="00E85684"/>
    <w:rsid w:val="00E86301"/>
    <w:rsid w:val="00E8794B"/>
    <w:rsid w:val="00E97656"/>
    <w:rsid w:val="00EA172C"/>
    <w:rsid w:val="00EA259B"/>
    <w:rsid w:val="00EA35A3"/>
    <w:rsid w:val="00EA3E6A"/>
    <w:rsid w:val="00EB18EF"/>
    <w:rsid w:val="00EB1E72"/>
    <w:rsid w:val="00EB7951"/>
    <w:rsid w:val="00ED6A79"/>
    <w:rsid w:val="00ED7185"/>
    <w:rsid w:val="00ED7D41"/>
    <w:rsid w:val="00EE17DF"/>
    <w:rsid w:val="00EF1482"/>
    <w:rsid w:val="00EF4621"/>
    <w:rsid w:val="00EF4D52"/>
    <w:rsid w:val="00EF6312"/>
    <w:rsid w:val="00F038B0"/>
    <w:rsid w:val="00F05F34"/>
    <w:rsid w:val="00F22B27"/>
    <w:rsid w:val="00F234A7"/>
    <w:rsid w:val="00F277B6"/>
    <w:rsid w:val="00F27DA5"/>
    <w:rsid w:val="00F364E2"/>
    <w:rsid w:val="00F37E07"/>
    <w:rsid w:val="00F4182A"/>
    <w:rsid w:val="00F531AC"/>
    <w:rsid w:val="00F54380"/>
    <w:rsid w:val="00F54B47"/>
    <w:rsid w:val="00F61247"/>
    <w:rsid w:val="00F63191"/>
    <w:rsid w:val="00F65A63"/>
    <w:rsid w:val="00F65C22"/>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A947CE"/>
  </w:style>
  <w:style w:type="paragraph" w:styleId="ListParagraph">
    <w:name w:val="List Paragraph"/>
    <w:basedOn w:val="Normal"/>
    <w:uiPriority w:val="34"/>
    <w:qFormat/>
    <w:rsid w:val="00E72896"/>
    <w:pPr>
      <w:ind w:left="720"/>
      <w:contextualSpacing/>
    </w:pPr>
  </w:style>
  <w:style w:type="paragraph" w:styleId="BalloonText">
    <w:name w:val="Balloon Text"/>
    <w:basedOn w:val="Normal"/>
    <w:link w:val="BalloonTextChar"/>
    <w:semiHidden/>
    <w:unhideWhenUsed/>
    <w:rsid w:val="00AF54FB"/>
    <w:rPr>
      <w:rFonts w:ascii="Tahoma" w:hAnsi="Tahoma" w:cs="Tahoma"/>
      <w:sz w:val="16"/>
      <w:szCs w:val="16"/>
    </w:rPr>
  </w:style>
  <w:style w:type="character" w:customStyle="1" w:styleId="BalloonTextChar">
    <w:name w:val="Balloon Text Char"/>
    <w:basedOn w:val="DefaultParagraphFont"/>
    <w:link w:val="BalloonText"/>
    <w:semiHidden/>
    <w:rsid w:val="00AF54FB"/>
    <w:rPr>
      <w:rFonts w:ascii="Tahoma" w:hAnsi="Tahoma" w:cs="Tahoma"/>
      <w:sz w:val="16"/>
      <w:szCs w:val="16"/>
    </w:rPr>
  </w:style>
  <w:style w:type="character" w:styleId="CommentReference">
    <w:name w:val="annotation reference"/>
    <w:basedOn w:val="DefaultParagraphFont"/>
    <w:semiHidden/>
    <w:unhideWhenUsed/>
    <w:rsid w:val="00B83B76"/>
    <w:rPr>
      <w:sz w:val="16"/>
      <w:szCs w:val="16"/>
    </w:rPr>
  </w:style>
  <w:style w:type="paragraph" w:styleId="CommentText">
    <w:name w:val="annotation text"/>
    <w:basedOn w:val="Normal"/>
    <w:link w:val="CommentTextChar"/>
    <w:semiHidden/>
    <w:unhideWhenUsed/>
    <w:rsid w:val="00B83B76"/>
    <w:rPr>
      <w:rFonts w:asciiTheme="minorHAnsi" w:eastAsiaTheme="minorHAnsi" w:hAnsiTheme="minorHAnsi"/>
      <w:sz w:val="20"/>
      <w:szCs w:val="20"/>
    </w:rPr>
  </w:style>
  <w:style w:type="character" w:customStyle="1" w:styleId="CommentTextChar">
    <w:name w:val="Comment Text Char"/>
    <w:basedOn w:val="DefaultParagraphFont"/>
    <w:link w:val="CommentText"/>
    <w:semiHidden/>
    <w:rsid w:val="00B83B76"/>
    <w:rPr>
      <w:rFonts w:asciiTheme="minorHAnsi" w:eastAsiaTheme="minorHAnsi" w:hAnsiTheme="minorHAnsi"/>
    </w:rPr>
  </w:style>
  <w:style w:type="paragraph" w:styleId="CommentSubject">
    <w:name w:val="annotation subject"/>
    <w:basedOn w:val="CommentText"/>
    <w:next w:val="CommentText"/>
    <w:link w:val="CommentSubjectChar"/>
    <w:semiHidden/>
    <w:unhideWhenUsed/>
    <w:rsid w:val="008429FD"/>
    <w:rPr>
      <w:rFonts w:ascii="Times New Roman" w:eastAsia="Times New Roman" w:hAnsi="Times New Roman"/>
      <w:b/>
      <w:bCs/>
    </w:rPr>
  </w:style>
  <w:style w:type="character" w:customStyle="1" w:styleId="CommentSubjectChar">
    <w:name w:val="Comment Subject Char"/>
    <w:basedOn w:val="CommentTextChar"/>
    <w:link w:val="CommentSubject"/>
    <w:semiHidden/>
    <w:rsid w:val="008429FD"/>
    <w:rPr>
      <w:rFonts w:asciiTheme="minorHAnsi" w:eastAsia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02082-9191-4267-9E67-9C36EE91C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18</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2020-10-08T16:13:00Z</dcterms:created>
  <dcterms:modified xsi:type="dcterms:W3CDTF">2020-10-08T21:20:00Z</dcterms:modified>
</cp:coreProperties>
</file>