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C435A" w:rsidP="006C435A">
      <w:pPr>
        <w:pStyle w:val="OrderHeading"/>
      </w:pPr>
      <w:r>
        <w:t>BEFORE THE FLORIDA PUBLIC SERVICE COMMISSION</w:t>
      </w:r>
    </w:p>
    <w:p w:rsidR="006C435A" w:rsidRDefault="006C435A" w:rsidP="006C435A">
      <w:pPr>
        <w:pStyle w:val="OrderBody"/>
      </w:pPr>
    </w:p>
    <w:p w:rsidR="006C435A" w:rsidRDefault="006C435A" w:rsidP="006C435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C435A" w:rsidRPr="00C63FCF" w:rsidTr="006540B3">
        <w:trPr>
          <w:trHeight w:val="828"/>
        </w:trPr>
        <w:tc>
          <w:tcPr>
            <w:tcW w:w="4788" w:type="dxa"/>
            <w:tcBorders>
              <w:bottom w:val="single" w:sz="8" w:space="0" w:color="auto"/>
              <w:right w:val="double" w:sz="6" w:space="0" w:color="auto"/>
            </w:tcBorders>
            <w:shd w:val="clear" w:color="auto" w:fill="auto"/>
          </w:tcPr>
          <w:p w:rsidR="006C435A" w:rsidRDefault="006C435A" w:rsidP="006540B3">
            <w:pPr>
              <w:pStyle w:val="OrderBody"/>
              <w:tabs>
                <w:tab w:val="center" w:pos="4320"/>
                <w:tab w:val="right" w:pos="8640"/>
              </w:tabs>
              <w:jc w:val="left"/>
            </w:pPr>
            <w:r>
              <w:t xml:space="preserve">In re: </w:t>
            </w:r>
            <w:bookmarkStart w:id="0" w:name="SSInRe"/>
            <w:bookmarkEnd w:id="0"/>
            <w:r>
              <w:t>Application for authority to issue and sell securities during calendar years 2020 and 2021, pursuant to Section 366.04, F.S., and Chapter 25-8, F.A.C., by Florida Power &amp; Light Company and Florida City Gas.</w:t>
            </w:r>
          </w:p>
        </w:tc>
        <w:tc>
          <w:tcPr>
            <w:tcW w:w="4788" w:type="dxa"/>
            <w:tcBorders>
              <w:left w:val="double" w:sz="6" w:space="0" w:color="auto"/>
            </w:tcBorders>
            <w:shd w:val="clear" w:color="auto" w:fill="auto"/>
          </w:tcPr>
          <w:p w:rsidR="006C435A" w:rsidRDefault="006C435A" w:rsidP="006C435A">
            <w:pPr>
              <w:pStyle w:val="OrderBody"/>
            </w:pPr>
            <w:r>
              <w:t xml:space="preserve">DOCKET NO. </w:t>
            </w:r>
            <w:bookmarkStart w:id="1" w:name="SSDocketNo"/>
            <w:bookmarkEnd w:id="1"/>
            <w:r>
              <w:t>20200188-EI</w:t>
            </w:r>
          </w:p>
          <w:p w:rsidR="006C435A" w:rsidRDefault="006C435A" w:rsidP="006540B3">
            <w:pPr>
              <w:pStyle w:val="OrderBody"/>
              <w:tabs>
                <w:tab w:val="center" w:pos="4320"/>
                <w:tab w:val="right" w:pos="8640"/>
              </w:tabs>
              <w:jc w:val="left"/>
            </w:pPr>
            <w:r>
              <w:t xml:space="preserve">ORDER NO. </w:t>
            </w:r>
            <w:bookmarkStart w:id="2" w:name="OrderNo0401"/>
            <w:r w:rsidR="00366891">
              <w:t>PSC-2020-0401-FOF-EI</w:t>
            </w:r>
            <w:bookmarkEnd w:id="2"/>
          </w:p>
          <w:p w:rsidR="006C435A" w:rsidRDefault="006C435A" w:rsidP="006540B3">
            <w:pPr>
              <w:pStyle w:val="OrderBody"/>
              <w:tabs>
                <w:tab w:val="center" w:pos="4320"/>
                <w:tab w:val="right" w:pos="8640"/>
              </w:tabs>
              <w:jc w:val="left"/>
            </w:pPr>
            <w:r>
              <w:t xml:space="preserve">ISSUED: </w:t>
            </w:r>
            <w:r w:rsidR="00366891">
              <w:t>October 26, 2020</w:t>
            </w:r>
          </w:p>
        </w:tc>
      </w:tr>
    </w:tbl>
    <w:p w:rsidR="006C435A" w:rsidRDefault="006C435A" w:rsidP="006C435A"/>
    <w:p w:rsidR="006C435A" w:rsidRDefault="006C435A" w:rsidP="006C435A"/>
    <w:p w:rsidR="006C435A" w:rsidRDefault="006C435A" w:rsidP="00B67A43">
      <w:pPr>
        <w:ind w:firstLine="720"/>
        <w:jc w:val="both"/>
      </w:pPr>
      <w:bookmarkStart w:id="3" w:name="Commissioners"/>
      <w:bookmarkEnd w:id="3"/>
      <w:r>
        <w:t>The following Commissioners participated in the disposition of this matter:</w:t>
      </w:r>
    </w:p>
    <w:p w:rsidR="006C435A" w:rsidRDefault="006C435A" w:rsidP="00B67A43"/>
    <w:p w:rsidR="006C435A" w:rsidRDefault="006C435A" w:rsidP="00B67A43">
      <w:pPr>
        <w:jc w:val="center"/>
      </w:pPr>
      <w:r>
        <w:t>GARY F. CLARK, Chairman</w:t>
      </w:r>
    </w:p>
    <w:p w:rsidR="006C435A" w:rsidRDefault="006C435A" w:rsidP="00B67A43">
      <w:pPr>
        <w:jc w:val="center"/>
      </w:pPr>
      <w:r>
        <w:t>ART GRAHAM</w:t>
      </w:r>
    </w:p>
    <w:p w:rsidR="006C435A" w:rsidRDefault="006C435A" w:rsidP="00B67A43">
      <w:pPr>
        <w:jc w:val="center"/>
      </w:pPr>
      <w:r>
        <w:t>JULIE I. BROWN</w:t>
      </w:r>
    </w:p>
    <w:p w:rsidR="006C435A" w:rsidRDefault="006C435A" w:rsidP="00B67A43">
      <w:pPr>
        <w:jc w:val="center"/>
      </w:pPr>
      <w:r>
        <w:t>DONALD J. POLMANN</w:t>
      </w:r>
    </w:p>
    <w:p w:rsidR="006C435A" w:rsidRDefault="006C435A" w:rsidP="00B67A43">
      <w:pPr>
        <w:jc w:val="center"/>
      </w:pPr>
      <w:r>
        <w:t>ANDREW GILES FAY</w:t>
      </w:r>
    </w:p>
    <w:p w:rsidR="00CB5276" w:rsidRDefault="00CB5276">
      <w:pPr>
        <w:pStyle w:val="OrderBody"/>
      </w:pPr>
    </w:p>
    <w:p w:rsidR="006C435A" w:rsidRDefault="00576057" w:rsidP="00576057">
      <w:pPr>
        <w:pStyle w:val="CenterUnderline"/>
      </w:pPr>
      <w:r>
        <w:t xml:space="preserve">FINAL </w:t>
      </w:r>
      <w:r w:rsidR="006C435A">
        <w:t>ORDER</w:t>
      </w:r>
      <w:bookmarkStart w:id="4" w:name="OrderTitle"/>
      <w:r w:rsidR="006C435A">
        <w:t xml:space="preserve"> </w:t>
      </w:r>
      <w:r>
        <w:t xml:space="preserve">GRANTING FLORIDA POWER &amp; LIGHT COMPANY AND FLORIDA CITY GAS APPROVAL FOR AUTHORITY TO ISSUE AND SELL SECURITIES </w:t>
      </w:r>
      <w:r w:rsidR="006C435A">
        <w:t xml:space="preserve"> </w:t>
      </w:r>
      <w:bookmarkEnd w:id="4"/>
    </w:p>
    <w:p w:rsidR="006C435A" w:rsidRDefault="006C435A" w:rsidP="006C435A">
      <w:pPr>
        <w:pStyle w:val="CenterUnderline"/>
      </w:pPr>
    </w:p>
    <w:p w:rsidR="006C435A" w:rsidRDefault="006C435A" w:rsidP="006C435A">
      <w:pPr>
        <w:pStyle w:val="OrderBody"/>
      </w:pPr>
      <w:r>
        <w:t>BY THE COMMISSION:</w:t>
      </w:r>
    </w:p>
    <w:p w:rsidR="006C435A" w:rsidRDefault="006C435A" w:rsidP="006C435A">
      <w:pPr>
        <w:pStyle w:val="OrderBody"/>
      </w:pPr>
    </w:p>
    <w:p w:rsidR="006C435A" w:rsidRDefault="006C435A" w:rsidP="006C435A">
      <w:pPr>
        <w:autoSpaceDE w:val="0"/>
        <w:autoSpaceDN w:val="0"/>
        <w:adjustRightInd w:val="0"/>
        <w:jc w:val="both"/>
      </w:pPr>
      <w:bookmarkStart w:id="5" w:name="OrderText"/>
      <w:bookmarkEnd w:id="5"/>
      <w:r>
        <w:tab/>
      </w:r>
      <w:r w:rsidRPr="006C435A">
        <w:t>Florida Power &amp; Light Company (FPL or Company)</w:t>
      </w:r>
      <w:r w:rsidR="00AF46FB">
        <w:t xml:space="preserve"> and </w:t>
      </w:r>
      <w:r w:rsidR="00AF46FB" w:rsidRPr="006C435A">
        <w:t>Florida City Gas (FCG)</w:t>
      </w:r>
      <w:r w:rsidR="00AF46FB">
        <w:t xml:space="preserve"> filed an application on July 31, 2020, seeking authority </w:t>
      </w:r>
      <w:r w:rsidR="00AF46FB" w:rsidRPr="006C435A">
        <w:t>issue and sell and/or exchange any combination of long-term debt and equities; and issue and sell short-term debt securities during 2021.</w:t>
      </w:r>
      <w:r w:rsidR="00AF46FB">
        <w:t xml:space="preserve"> </w:t>
      </w:r>
      <w:r w:rsidRPr="006C435A">
        <w:t>As part of this application, Florida City Gas (FCG) requests authorization to make long-term and short-term borrowings from FPL. In addition, FPL and its affiliate, Gulf Power Company (Gulf), currently have a merger application pending before the Federal Energy Regulatory Commission (FERC). Contingent upon the closing of the merger, the regulated activities and operations of Gulf acquired by FPL as a result the merger will be financed by FPL.</w:t>
      </w:r>
      <w:r w:rsidRPr="006C435A">
        <w:rPr>
          <w:vertAlign w:val="superscript"/>
        </w:rPr>
        <w:footnoteReference w:id="1"/>
      </w:r>
    </w:p>
    <w:p w:rsidR="00AF46FB" w:rsidRDefault="00AF46FB" w:rsidP="006C435A">
      <w:pPr>
        <w:autoSpaceDE w:val="0"/>
        <w:autoSpaceDN w:val="0"/>
        <w:adjustRightInd w:val="0"/>
        <w:jc w:val="both"/>
      </w:pPr>
    </w:p>
    <w:p w:rsidR="00AF46FB" w:rsidRDefault="00322358" w:rsidP="006C435A">
      <w:pPr>
        <w:autoSpaceDE w:val="0"/>
        <w:autoSpaceDN w:val="0"/>
        <w:adjustRightInd w:val="0"/>
        <w:jc w:val="both"/>
      </w:pPr>
      <w:r>
        <w:tab/>
        <w:t xml:space="preserve">Notice of FPL’s application was given in the Florida Administrative Register on September 28, 2020. </w:t>
      </w:r>
    </w:p>
    <w:p w:rsidR="00322358" w:rsidRDefault="00322358" w:rsidP="006C435A">
      <w:pPr>
        <w:autoSpaceDE w:val="0"/>
        <w:autoSpaceDN w:val="0"/>
        <w:adjustRightInd w:val="0"/>
        <w:jc w:val="both"/>
      </w:pPr>
    </w:p>
    <w:p w:rsidR="00322358" w:rsidRPr="00EC369B" w:rsidRDefault="00EC369B" w:rsidP="00EC369B">
      <w:pPr>
        <w:pStyle w:val="ListParagraph"/>
        <w:numPr>
          <w:ilvl w:val="0"/>
          <w:numId w:val="1"/>
        </w:numPr>
        <w:autoSpaceDE w:val="0"/>
        <w:autoSpaceDN w:val="0"/>
        <w:adjustRightInd w:val="0"/>
        <w:jc w:val="both"/>
        <w:rPr>
          <w:b/>
        </w:rPr>
      </w:pPr>
      <w:r w:rsidRPr="00EC369B">
        <w:rPr>
          <w:b/>
        </w:rPr>
        <w:t xml:space="preserve">Proposed Transactions </w:t>
      </w:r>
    </w:p>
    <w:p w:rsidR="00AF46FB" w:rsidRDefault="00AF46FB" w:rsidP="006C435A">
      <w:pPr>
        <w:autoSpaceDE w:val="0"/>
        <w:autoSpaceDN w:val="0"/>
        <w:adjustRightInd w:val="0"/>
        <w:jc w:val="both"/>
      </w:pPr>
    </w:p>
    <w:p w:rsidR="00AF46FB" w:rsidRDefault="00EC369B" w:rsidP="00EC369B">
      <w:pPr>
        <w:autoSpaceDE w:val="0"/>
        <w:autoSpaceDN w:val="0"/>
        <w:adjustRightInd w:val="0"/>
        <w:ind w:firstLine="720"/>
        <w:jc w:val="both"/>
      </w:pPr>
      <w:r>
        <w:t>FPL and FCG seek authority for the following:</w:t>
      </w:r>
    </w:p>
    <w:p w:rsidR="00EC369B" w:rsidRDefault="00EC369B" w:rsidP="00EC369B">
      <w:pPr>
        <w:autoSpaceDE w:val="0"/>
        <w:autoSpaceDN w:val="0"/>
        <w:adjustRightInd w:val="0"/>
        <w:ind w:firstLine="720"/>
        <w:jc w:val="both"/>
      </w:pPr>
    </w:p>
    <w:p w:rsidR="00E004F5" w:rsidRDefault="00E004F5" w:rsidP="00E004F5">
      <w:pPr>
        <w:pStyle w:val="ListParagraph"/>
        <w:numPr>
          <w:ilvl w:val="0"/>
          <w:numId w:val="2"/>
        </w:numPr>
        <w:ind w:left="720"/>
        <w:jc w:val="both"/>
      </w:pPr>
      <w:r w:rsidRPr="00E004F5">
        <w:t>FPL to (i) issue and sell and/or exchange any combination of the long-term debt and equity</w:t>
      </w:r>
      <w:r>
        <w:t xml:space="preserve"> </w:t>
      </w:r>
      <w:r w:rsidRPr="00E004F5">
        <w:t>securities described below and/or to assume liabilities or obligations as guarantor, endorser or</w:t>
      </w:r>
      <w:r>
        <w:t xml:space="preserve"> </w:t>
      </w:r>
      <w:r w:rsidRPr="00E004F5">
        <w:t>surety in an aggregate amount not to exceed $6.35 billion during calendar year 2021 and (ii)</w:t>
      </w:r>
      <w:r>
        <w:t xml:space="preserve"> </w:t>
      </w:r>
      <w:r w:rsidRPr="00E004F5">
        <w:t xml:space="preserve">issue and sell short-term securities during calendar year 2021 in an </w:t>
      </w:r>
      <w:r w:rsidRPr="00E004F5">
        <w:lastRenderedPageBreak/>
        <w:t>amount or amounts such</w:t>
      </w:r>
      <w:r>
        <w:t xml:space="preserve"> </w:t>
      </w:r>
      <w:r w:rsidRPr="00E004F5">
        <w:t>that the aggregate principal amount of short-term securities outstanding at the time of and</w:t>
      </w:r>
      <w:r>
        <w:t xml:space="preserve"> </w:t>
      </w:r>
      <w:r w:rsidRPr="00E004F5">
        <w:t>including any such sale shall not exceed $4 .</w:t>
      </w:r>
      <w:r>
        <w:t>1 billion</w:t>
      </w:r>
      <w:r w:rsidRPr="00E004F5">
        <w:t>.</w:t>
      </w:r>
    </w:p>
    <w:p w:rsidR="00E004F5" w:rsidRDefault="00E004F5" w:rsidP="00E004F5">
      <w:pPr>
        <w:pStyle w:val="ListParagraph"/>
        <w:jc w:val="both"/>
      </w:pPr>
    </w:p>
    <w:p w:rsidR="00E004F5" w:rsidRDefault="00E004F5" w:rsidP="00E004F5">
      <w:pPr>
        <w:pStyle w:val="ListParagraph"/>
        <w:numPr>
          <w:ilvl w:val="0"/>
          <w:numId w:val="2"/>
        </w:numPr>
        <w:ind w:left="720"/>
        <w:jc w:val="both"/>
      </w:pPr>
      <w:r>
        <w:t xml:space="preserve">FCG to make (i) long-term borrowings from FPL described below in an aggregate principal amount not to exceed $300 million during calendar year 2021 and (ii) short-term borrowings </w:t>
      </w:r>
      <w:r w:rsidRPr="00E004F5">
        <w:t>from FPL described below in an aggregate principal amount not to exceed $150 million at</w:t>
      </w:r>
      <w:r>
        <w:t xml:space="preserve"> </w:t>
      </w:r>
      <w:r w:rsidRPr="00E004F5">
        <w:t>any one time during calendar year 2021</w:t>
      </w:r>
      <w:r>
        <w:t>.</w:t>
      </w:r>
    </w:p>
    <w:p w:rsidR="00E004F5" w:rsidRDefault="00E004F5" w:rsidP="00E004F5">
      <w:pPr>
        <w:pStyle w:val="ListParagraph"/>
      </w:pPr>
    </w:p>
    <w:p w:rsidR="00E004F5" w:rsidRDefault="00E004F5" w:rsidP="00E004F5">
      <w:pPr>
        <w:pStyle w:val="ListParagraph"/>
        <w:numPr>
          <w:ilvl w:val="0"/>
          <w:numId w:val="2"/>
        </w:numPr>
        <w:ind w:left="720"/>
        <w:jc w:val="both"/>
      </w:pPr>
      <w:r>
        <w:t>Contingent upon the effectiveness of the merger of Gulf with and into FPL, as discussed below, FPL to (i) issue and sell and/or exchange any combination of the long-term debt and equity securities described below and/or to assume liabilities or obligations as guarantor, endorser or surety, together with the aggregate principal amount of long-term debt and equity securities issued by Gulf and liabilities and obligations assumed by Gulf as guarantor, endorser or surety, in each case issued or assumed by Gulf during calendar year 2021 prior to the effectiveness of the merger, in an aggregate principal amount not to exceed $7.85 billion, and (ii) issue and sell short-term securities during calendar year 2021 in an amount or amounts such that the aggregate principal amount of short-term securities outstanding at the time of and including any such sale shall not exceed $4.9 billion.</w:t>
      </w:r>
    </w:p>
    <w:p w:rsidR="00E004F5" w:rsidRDefault="00E004F5" w:rsidP="00E004F5">
      <w:pPr>
        <w:pStyle w:val="ListParagraph"/>
      </w:pPr>
    </w:p>
    <w:p w:rsidR="00E004F5" w:rsidRDefault="00E004F5" w:rsidP="00E004F5">
      <w:pPr>
        <w:jc w:val="both"/>
      </w:pPr>
      <w:r>
        <w:tab/>
      </w:r>
      <w:r w:rsidRPr="00E004F5">
        <w:t>The long-term debt securities may include first mortgage bonds, medium-term notes, extendible</w:t>
      </w:r>
      <w:r>
        <w:t xml:space="preserve"> commercial notes, debentures</w:t>
      </w:r>
      <w:r w:rsidRPr="00E004F5">
        <w:t>, convertible or exchangeable debentures, notes, convertible or exchangeable</w:t>
      </w:r>
      <w:r>
        <w:t xml:space="preserve"> </w:t>
      </w:r>
      <w:r w:rsidRPr="00E004F5">
        <w:t>notes or other similar rights exercisable for or convertible into debt securities, or other straight debt or hybrid</w:t>
      </w:r>
      <w:r>
        <w:t xml:space="preserve"> </w:t>
      </w:r>
      <w:r w:rsidRPr="00E004F5">
        <w:t>debt securities, whether subordinated or unsubordinated, secured or unsecured, including renewals and</w:t>
      </w:r>
      <w:r>
        <w:t xml:space="preserve"> </w:t>
      </w:r>
      <w:r w:rsidRPr="00E004F5">
        <w:t>extensions thereof, with maturities ranging from one to one hundred years. FPL may issue long-term debt</w:t>
      </w:r>
      <w:r>
        <w:t xml:space="preserve"> </w:t>
      </w:r>
      <w:r w:rsidRPr="00E004F5">
        <w:t>securities by extending the maturity of short-term securities. FPL may enter into warrants, options, rights,</w:t>
      </w:r>
      <w:r>
        <w:t xml:space="preserve"> interest rate swaps</w:t>
      </w:r>
      <w:r w:rsidRPr="00E004F5">
        <w:t>, currency swaps or other derivative instruments, or other arrangements. FPL may also</w:t>
      </w:r>
      <w:r>
        <w:t xml:space="preserve"> </w:t>
      </w:r>
      <w:r w:rsidRPr="00E004F5">
        <w:t xml:space="preserve">enter into debt purchase contracts, obligating holders to purchase from </w:t>
      </w:r>
      <w:r>
        <w:t>FPL, and obligating FPL to sell</w:t>
      </w:r>
      <w:r w:rsidRPr="00E004F5">
        <w:t>, debt</w:t>
      </w:r>
      <w:r>
        <w:t xml:space="preserve"> </w:t>
      </w:r>
      <w:r w:rsidRPr="00E004F5">
        <w:t>securities at a future date or dates.</w:t>
      </w:r>
    </w:p>
    <w:p w:rsidR="00EC369B" w:rsidRDefault="00EC369B" w:rsidP="00EC369B">
      <w:pPr>
        <w:autoSpaceDE w:val="0"/>
        <w:autoSpaceDN w:val="0"/>
        <w:adjustRightInd w:val="0"/>
        <w:ind w:firstLine="720"/>
        <w:jc w:val="both"/>
      </w:pPr>
    </w:p>
    <w:p w:rsidR="005F787C" w:rsidRDefault="005F787C" w:rsidP="005F787C">
      <w:pPr>
        <w:autoSpaceDE w:val="0"/>
        <w:autoSpaceDN w:val="0"/>
        <w:adjustRightInd w:val="0"/>
        <w:ind w:firstLine="720"/>
        <w:jc w:val="both"/>
      </w:pPr>
      <w:r w:rsidRPr="005F787C">
        <w:t>In addition, FPL may enter into forward refunding or forward swap contracts during calendar year</w:t>
      </w:r>
      <w:r>
        <w:t xml:space="preserve"> </w:t>
      </w:r>
      <w:r w:rsidRPr="005F787C">
        <w:t>2021. In conjunction with these forward contracts, FPL may issue and sell long-term debt through December</w:t>
      </w:r>
      <w:r>
        <w:t xml:space="preserve"> </w:t>
      </w:r>
      <w:r w:rsidRPr="005F787C">
        <w:t>31, 2021, which FPL may commit to deliver under these forward contracts. Moreover, FPL may enter into</w:t>
      </w:r>
      <w:r>
        <w:t xml:space="preserve"> </w:t>
      </w:r>
      <w:r w:rsidRPr="005F787C">
        <w:t>installment purchase and security agreements, loan agreements, or other arrangements with political</w:t>
      </w:r>
      <w:r>
        <w:t xml:space="preserve"> </w:t>
      </w:r>
      <w:r w:rsidRPr="005F787C">
        <w:t>subdivisions of the States of Florida, Georgia, or other states, if any, where FPL becomes qualified to do</w:t>
      </w:r>
      <w:r>
        <w:t xml:space="preserve"> </w:t>
      </w:r>
      <w:r w:rsidRPr="005F787C">
        <w:t>business, and/or pledge debt securities and/or issue guaranties in connection w</w:t>
      </w:r>
      <w:r>
        <w:t xml:space="preserve">ith such political subdivisions’ </w:t>
      </w:r>
      <w:r w:rsidRPr="005F787C">
        <w:t xml:space="preserve">issuance, for the ultimate benefit of </w:t>
      </w:r>
      <w:r>
        <w:t>FPL, of Revenue Bonds or other “private activity bonds”</w:t>
      </w:r>
      <w:r w:rsidRPr="005F787C">
        <w:t xml:space="preserve"> with maturities</w:t>
      </w:r>
      <w:r>
        <w:t xml:space="preserve"> </w:t>
      </w:r>
      <w:r w:rsidRPr="005F787C">
        <w:t>ranging from one to one hundred years, bond anticipation notes or commercial paper. Such obligations may</w:t>
      </w:r>
      <w:r>
        <w:t xml:space="preserve"> </w:t>
      </w:r>
      <w:r w:rsidRPr="005F787C">
        <w:t>or may not bear interest exempt from federal, state or local tax.</w:t>
      </w:r>
    </w:p>
    <w:p w:rsidR="005F787C" w:rsidRPr="005F787C" w:rsidRDefault="005F787C" w:rsidP="005F787C">
      <w:pPr>
        <w:autoSpaceDE w:val="0"/>
        <w:autoSpaceDN w:val="0"/>
        <w:adjustRightInd w:val="0"/>
        <w:ind w:firstLine="720"/>
        <w:jc w:val="both"/>
      </w:pPr>
    </w:p>
    <w:p w:rsidR="00AF46FB" w:rsidRDefault="005F787C" w:rsidP="005F787C">
      <w:pPr>
        <w:autoSpaceDE w:val="0"/>
        <w:autoSpaceDN w:val="0"/>
        <w:adjustRightInd w:val="0"/>
        <w:ind w:firstLine="720"/>
        <w:jc w:val="both"/>
      </w:pPr>
      <w:r w:rsidRPr="005F787C">
        <w:t>Contemplated to be included as long-term or short-term debt securities, as appropriate, are</w:t>
      </w:r>
      <w:r>
        <w:t xml:space="preserve"> </w:t>
      </w:r>
      <w:r w:rsidRPr="005F787C">
        <w:t>borrowings from banks and other lenders, and obligations pursuant to issuances of letters of credit, obtained</w:t>
      </w:r>
      <w:r>
        <w:t xml:space="preserve"> under FPL’</w:t>
      </w:r>
      <w:r w:rsidRPr="005F787C">
        <w:t xml:space="preserve">s various credit facilities and other loan agreements, as those may be </w:t>
      </w:r>
      <w:r w:rsidRPr="005F787C">
        <w:lastRenderedPageBreak/>
        <w:t>entered into and amended</w:t>
      </w:r>
      <w:r>
        <w:t xml:space="preserve"> </w:t>
      </w:r>
      <w:r w:rsidRPr="005F787C">
        <w:t>from time to time. Also contemplated to be included as long-term or short-term debt securities, as appropriate,</w:t>
      </w:r>
      <w:r>
        <w:t xml:space="preserve"> </w:t>
      </w:r>
      <w:r w:rsidRPr="005F787C">
        <w:t>are borrowings from banks and other lenders, and obligations pursuant to issuances of letters of credit,</w:t>
      </w:r>
      <w:r>
        <w:t xml:space="preserve"> </w:t>
      </w:r>
      <w:r w:rsidRPr="005F787C">
        <w:t>obtained under credit facilities and other loan agreements or other arran</w:t>
      </w:r>
      <w:r>
        <w:t xml:space="preserve">gements, as those may be entered </w:t>
      </w:r>
      <w:r w:rsidRPr="005F787C">
        <w:t>into and amended from time to time by one or more wholly-owned, special purpose subsidiaries of FPL, with</w:t>
      </w:r>
      <w:r>
        <w:t xml:space="preserve"> </w:t>
      </w:r>
      <w:r w:rsidRPr="005F787C">
        <w:t>the proceeds of such borrowings to be used sol</w:t>
      </w:r>
      <w:r w:rsidR="00BE4F0B">
        <w:t>ely for the benefit of: (1) FPL’</w:t>
      </w:r>
      <w:r w:rsidRPr="005F787C">
        <w:t>s regulated utility operations; (2)</w:t>
      </w:r>
      <w:r>
        <w:t xml:space="preserve"> </w:t>
      </w:r>
      <w:r w:rsidRPr="005F787C">
        <w:t>short-term and long-term funding of the regu</w:t>
      </w:r>
      <w:r w:rsidR="00BE4F0B">
        <w:t>lated utility operations of FCG; (3) FPL’s or FCG’</w:t>
      </w:r>
      <w:r w:rsidRPr="005F787C">
        <w:t>s customers;</w:t>
      </w:r>
      <w:r>
        <w:t xml:space="preserve"> </w:t>
      </w:r>
      <w:r w:rsidRPr="005F787C">
        <w:t>and (4) upon the effectiveness of the merger of Gulf with and into FPL, the regulated utility operations and</w:t>
      </w:r>
      <w:r>
        <w:t xml:space="preserve"> </w:t>
      </w:r>
      <w:r w:rsidRPr="005F787C">
        <w:t>customers of Gulf acquired by FPL as a result of the merger.</w:t>
      </w:r>
      <w:r>
        <w:rPr>
          <w:rStyle w:val="FootnoteReference"/>
        </w:rPr>
        <w:footnoteReference w:id="2"/>
      </w:r>
      <w:r w:rsidRPr="005F787C">
        <w:t xml:space="preserve"> In furtherance of the foregoing:</w:t>
      </w:r>
    </w:p>
    <w:p w:rsidR="005F787C" w:rsidRDefault="005F787C" w:rsidP="005F787C">
      <w:pPr>
        <w:autoSpaceDE w:val="0"/>
        <w:autoSpaceDN w:val="0"/>
        <w:adjustRightInd w:val="0"/>
        <w:jc w:val="both"/>
      </w:pPr>
    </w:p>
    <w:p w:rsidR="005F787C" w:rsidRDefault="005F787C" w:rsidP="005F787C">
      <w:pPr>
        <w:pStyle w:val="ListParagraph"/>
        <w:numPr>
          <w:ilvl w:val="0"/>
          <w:numId w:val="3"/>
        </w:numPr>
        <w:autoSpaceDE w:val="0"/>
        <w:autoSpaceDN w:val="0"/>
        <w:adjustRightInd w:val="0"/>
        <w:jc w:val="both"/>
      </w:pPr>
      <w:r>
        <w:t>On February 8, 2013, FPL entered into an amended and restated syndicated revolving credit and letter of credit agreement (as amended, referred to as the 2013 Revolving Credit Agreement) which, as amended, provides for approximately $2.413 billion of commitments. As of June 30, 2020, approximately $2.314 billion will expire on February 8, 2025, $74.825 million will expire on February 8, 2023, $9.375 million will expire on February 8, 2022, and $15 million will expire on February 8, 2021. Borrowings and letter of credit issuances under the 2013 Revolving Credit Agreement are available for general corporate purposes, including, without limitation, to pay any interest or fees owing under that agreement, provide backup for FPL's self-insurance program covering its and its subsidiaries’ operating facilities, and fund the cost of the prompt restoration, reconstruction and/or repair of facilities that may be damaged or destroyed due to the occurrence of any man-made or natural disaster or event or otherwise.</w:t>
      </w:r>
    </w:p>
    <w:p w:rsidR="005F787C" w:rsidRDefault="005F787C" w:rsidP="005F787C">
      <w:pPr>
        <w:autoSpaceDE w:val="0"/>
        <w:autoSpaceDN w:val="0"/>
        <w:adjustRightInd w:val="0"/>
        <w:jc w:val="both"/>
      </w:pPr>
    </w:p>
    <w:p w:rsidR="005F787C" w:rsidRDefault="005F787C" w:rsidP="005F787C">
      <w:pPr>
        <w:pStyle w:val="ListParagraph"/>
        <w:numPr>
          <w:ilvl w:val="0"/>
          <w:numId w:val="3"/>
        </w:numPr>
        <w:jc w:val="both"/>
      </w:pPr>
      <w:r>
        <w:t xml:space="preserve">On April 30, 2019, FPL entered into a $500 million syndicated revolving credit agreement (referred to as the 2019 Revolving Credit Agreement) with an expiration date of April 30, 2022. </w:t>
      </w:r>
      <w:r w:rsidRPr="005F787C">
        <w:t>The proceeds of borrowings under the 2019 Revolving Credit Agreement are available fo</w:t>
      </w:r>
      <w:r>
        <w:t>r FPL’</w:t>
      </w:r>
      <w:r w:rsidRPr="005F787C">
        <w:t>s</w:t>
      </w:r>
      <w:r>
        <w:t xml:space="preserve"> </w:t>
      </w:r>
      <w:r w:rsidRPr="005F787C">
        <w:t>general corporate purposes, including to provide additional liquidity</w:t>
      </w:r>
      <w:r>
        <w:t xml:space="preserve"> in the event of a loss to FPL’s operating facilit</w:t>
      </w:r>
      <w:r w:rsidRPr="005F787C">
        <w:t>ies, including a transmission and distribution property loss.</w:t>
      </w:r>
    </w:p>
    <w:p w:rsidR="005F787C" w:rsidRDefault="005F787C" w:rsidP="005F787C">
      <w:pPr>
        <w:pStyle w:val="ListParagraph"/>
      </w:pPr>
    </w:p>
    <w:p w:rsidR="005F787C" w:rsidRDefault="005F787C" w:rsidP="005F787C">
      <w:pPr>
        <w:pStyle w:val="ListParagraph"/>
        <w:numPr>
          <w:ilvl w:val="0"/>
          <w:numId w:val="3"/>
        </w:numPr>
        <w:jc w:val="both"/>
      </w:pPr>
      <w:r>
        <w:t xml:space="preserve">Borrowings </w:t>
      </w:r>
      <w:r w:rsidRPr="005F787C">
        <w:t>and/or letter of credit issuances available to FPL under the 2013 Revolving Credit</w:t>
      </w:r>
      <w:r>
        <w:t xml:space="preserve"> </w:t>
      </w:r>
      <w:r w:rsidRPr="005F787C">
        <w:t>Agreement and the 2019 Revolving Credit Agreement also can be used to support the purchase</w:t>
      </w:r>
      <w:r>
        <w:t xml:space="preserve"> </w:t>
      </w:r>
      <w:r w:rsidRPr="005F787C">
        <w:t>of Revenue Bonds that are tendered by individual bond holders and not remarketed prior to</w:t>
      </w:r>
      <w:r>
        <w:t xml:space="preserve"> </w:t>
      </w:r>
      <w:r w:rsidRPr="005F787C">
        <w:t>maturity.</w:t>
      </w:r>
    </w:p>
    <w:p w:rsidR="005F787C" w:rsidRDefault="005F787C" w:rsidP="005F787C">
      <w:pPr>
        <w:pStyle w:val="ListParagraph"/>
      </w:pPr>
    </w:p>
    <w:p w:rsidR="005F787C" w:rsidRDefault="005F787C" w:rsidP="005F787C">
      <w:pPr>
        <w:pStyle w:val="ListParagraph"/>
        <w:numPr>
          <w:ilvl w:val="0"/>
          <w:numId w:val="3"/>
        </w:numPr>
        <w:jc w:val="both"/>
      </w:pPr>
      <w:r>
        <w:t xml:space="preserve">On </w:t>
      </w:r>
      <w:r w:rsidRPr="005F787C">
        <w:t>November 24, 2015, FPL entered into a term loan with a commercial bank, which facility was</w:t>
      </w:r>
      <w:r>
        <w:t xml:space="preserve"> </w:t>
      </w:r>
      <w:r w:rsidRPr="005F787C">
        <w:t>amended a</w:t>
      </w:r>
      <w:r>
        <w:t>nd converted on August 25, 2016</w:t>
      </w:r>
      <w:r w:rsidRPr="005F787C">
        <w:t>, to a $200 million revolving loan credit commitment</w:t>
      </w:r>
      <w:r>
        <w:t xml:space="preserve"> </w:t>
      </w:r>
      <w:r w:rsidRPr="005F787C">
        <w:t>and has</w:t>
      </w:r>
      <w:r>
        <w:t xml:space="preserve"> a maturity date of December 30</w:t>
      </w:r>
      <w:r w:rsidRPr="005F787C">
        <w:t>, 2021</w:t>
      </w:r>
      <w:r>
        <w:t>.</w:t>
      </w:r>
    </w:p>
    <w:p w:rsidR="00B81834" w:rsidRDefault="00B81834" w:rsidP="00B81834">
      <w:pPr>
        <w:pStyle w:val="ListParagraph"/>
      </w:pPr>
    </w:p>
    <w:p w:rsidR="00B81834" w:rsidRDefault="00B81834" w:rsidP="00B81834">
      <w:pPr>
        <w:pStyle w:val="ListParagraph"/>
        <w:numPr>
          <w:ilvl w:val="0"/>
          <w:numId w:val="3"/>
        </w:numPr>
        <w:jc w:val="both"/>
      </w:pPr>
      <w:r>
        <w:lastRenderedPageBreak/>
        <w:t>On November 25</w:t>
      </w:r>
      <w:r w:rsidRPr="00B81834">
        <w:t>, 2015, FPL entered into a term loan with a commercial bank, which facility was</w:t>
      </w:r>
      <w:r>
        <w:t xml:space="preserve"> </w:t>
      </w:r>
      <w:r w:rsidRPr="00B81834">
        <w:t>amended and converted on November 3, 2016, to a $100 million revolving loan credit commitment</w:t>
      </w:r>
      <w:r>
        <w:t xml:space="preserve"> </w:t>
      </w:r>
      <w:r w:rsidRPr="00B81834">
        <w:t>with a maturity date of July 5, 2022.</w:t>
      </w:r>
    </w:p>
    <w:p w:rsidR="00B81834" w:rsidRDefault="00B81834" w:rsidP="00B81834">
      <w:pPr>
        <w:pStyle w:val="ListParagraph"/>
      </w:pPr>
    </w:p>
    <w:p w:rsidR="00B81834" w:rsidRDefault="00B81834" w:rsidP="00B81834">
      <w:pPr>
        <w:pStyle w:val="ListParagraph"/>
        <w:numPr>
          <w:ilvl w:val="0"/>
          <w:numId w:val="3"/>
        </w:numPr>
        <w:jc w:val="both"/>
      </w:pPr>
      <w:r>
        <w:t>On March 31</w:t>
      </w:r>
      <w:r w:rsidRPr="00B81834">
        <w:t>, 2016, FPL entered into a term loan with a commercial bank, which facility was</w:t>
      </w:r>
      <w:r>
        <w:t xml:space="preserve"> </w:t>
      </w:r>
      <w:r w:rsidRPr="00B81834">
        <w:t>amended and converted on August 26, 2016, to a $100 million revolving loan credit commitment</w:t>
      </w:r>
      <w:r>
        <w:t xml:space="preserve"> </w:t>
      </w:r>
      <w:r w:rsidRPr="00B81834">
        <w:t xml:space="preserve">and has a </w:t>
      </w:r>
      <w:r>
        <w:t>maturity date of March 29, 2021</w:t>
      </w:r>
      <w:r w:rsidRPr="00B81834">
        <w:t>.</w:t>
      </w:r>
    </w:p>
    <w:p w:rsidR="00B81834" w:rsidRDefault="00B81834" w:rsidP="00B81834">
      <w:pPr>
        <w:pStyle w:val="ListParagraph"/>
      </w:pPr>
    </w:p>
    <w:p w:rsidR="00B81834" w:rsidRDefault="00B81834" w:rsidP="00B81834">
      <w:pPr>
        <w:pStyle w:val="ListParagraph"/>
        <w:numPr>
          <w:ilvl w:val="0"/>
          <w:numId w:val="3"/>
        </w:numPr>
        <w:jc w:val="both"/>
      </w:pPr>
      <w:r>
        <w:t xml:space="preserve">On </w:t>
      </w:r>
      <w:r w:rsidRPr="00B81834">
        <w:t>September 27, 2016, FPL entered into a revolving credit agreement with a commercial bank</w:t>
      </w:r>
      <w:r>
        <w:t xml:space="preserve"> </w:t>
      </w:r>
      <w:r w:rsidRPr="00B81834">
        <w:t>which provides a $150 million commitment and has a maturity date of August 30 , 2022.</w:t>
      </w:r>
    </w:p>
    <w:p w:rsidR="00B81834" w:rsidRDefault="00B81834" w:rsidP="00B81834">
      <w:pPr>
        <w:pStyle w:val="ListParagraph"/>
      </w:pPr>
    </w:p>
    <w:p w:rsidR="00B81834" w:rsidRDefault="00B81834" w:rsidP="00B81834">
      <w:pPr>
        <w:pStyle w:val="ListParagraph"/>
        <w:numPr>
          <w:ilvl w:val="0"/>
          <w:numId w:val="3"/>
        </w:numPr>
        <w:jc w:val="both"/>
      </w:pPr>
      <w:r>
        <w:t>On November 30</w:t>
      </w:r>
      <w:r w:rsidRPr="00B81834">
        <w:t>, 2016, FPL entered into a revolving credit agreement with a commercial bank</w:t>
      </w:r>
      <w:r>
        <w:t xml:space="preserve"> </w:t>
      </w:r>
      <w:r w:rsidRPr="00B81834">
        <w:t>which provides a $75 million commitment and h</w:t>
      </w:r>
      <w:r>
        <w:t>as a maturity date of August 30</w:t>
      </w:r>
      <w:r w:rsidRPr="00B81834">
        <w:t xml:space="preserve">, </w:t>
      </w:r>
      <w:r>
        <w:t>2022</w:t>
      </w:r>
      <w:r w:rsidRPr="00B81834">
        <w:t>.</w:t>
      </w:r>
    </w:p>
    <w:p w:rsidR="00B81834" w:rsidRDefault="00B81834" w:rsidP="00B81834">
      <w:pPr>
        <w:pStyle w:val="ListParagraph"/>
      </w:pPr>
    </w:p>
    <w:p w:rsidR="00B81834" w:rsidRDefault="00B81834" w:rsidP="00B81834">
      <w:pPr>
        <w:pStyle w:val="ListParagraph"/>
        <w:numPr>
          <w:ilvl w:val="0"/>
          <w:numId w:val="3"/>
        </w:numPr>
        <w:jc w:val="both"/>
      </w:pPr>
      <w:r>
        <w:t xml:space="preserve">On </w:t>
      </w:r>
      <w:r w:rsidRPr="00B81834">
        <w:t>July 24, 2019, FPL entered into a revolving credit agreement with a commercial bank which</w:t>
      </w:r>
      <w:r>
        <w:t xml:space="preserve"> </w:t>
      </w:r>
      <w:r w:rsidRPr="00B81834">
        <w:t>provides a $55 million commitment and has a</w:t>
      </w:r>
      <w:r>
        <w:t xml:space="preserve"> maturity date of July 24, 2022</w:t>
      </w:r>
      <w:r w:rsidRPr="00B81834">
        <w:t>.</w:t>
      </w:r>
    </w:p>
    <w:p w:rsidR="00B81834" w:rsidRDefault="00B81834" w:rsidP="00B81834">
      <w:pPr>
        <w:pStyle w:val="ListParagraph"/>
      </w:pPr>
    </w:p>
    <w:p w:rsidR="00B81834" w:rsidRDefault="00B81834" w:rsidP="00B81834">
      <w:pPr>
        <w:pStyle w:val="ListParagraph"/>
        <w:numPr>
          <w:ilvl w:val="0"/>
          <w:numId w:val="3"/>
        </w:numPr>
        <w:jc w:val="both"/>
      </w:pPr>
      <w:r>
        <w:t>On May 31, 2020</w:t>
      </w:r>
      <w:r w:rsidRPr="00B81834">
        <w:t>, FPL entered into a revolving credit agreement with a commercial bank which</w:t>
      </w:r>
      <w:r>
        <w:t xml:space="preserve"> </w:t>
      </w:r>
      <w:r w:rsidRPr="00B81834">
        <w:t>provides a $250 million commitment and has a maturity date of November 30, 2020.</w:t>
      </w:r>
    </w:p>
    <w:p w:rsidR="00B81834" w:rsidRDefault="00B81834" w:rsidP="00B81834">
      <w:pPr>
        <w:pStyle w:val="ListParagraph"/>
      </w:pPr>
    </w:p>
    <w:p w:rsidR="00AA2DDB" w:rsidRDefault="00AA2DDB" w:rsidP="00AA2DDB">
      <w:pPr>
        <w:pStyle w:val="ListParagraph"/>
        <w:numPr>
          <w:ilvl w:val="0"/>
          <w:numId w:val="3"/>
        </w:numPr>
        <w:jc w:val="both"/>
      </w:pPr>
      <w:r>
        <w:t>On</w:t>
      </w:r>
      <w:r w:rsidRPr="00AA2DDB">
        <w:t xml:space="preserve"> May 31, 2020, FPL entered into a revolving credit agreement with a commercial bank which</w:t>
      </w:r>
      <w:r>
        <w:t xml:space="preserve"> </w:t>
      </w:r>
      <w:r w:rsidRPr="00AA2DDB">
        <w:t>provides a $250 million commitment and has</w:t>
      </w:r>
      <w:r>
        <w:t xml:space="preserve"> a maturity date of November 30</w:t>
      </w:r>
      <w:r w:rsidRPr="00AA2DDB">
        <w:t>, 2020</w:t>
      </w:r>
      <w:r>
        <w:t xml:space="preserve">. </w:t>
      </w:r>
    </w:p>
    <w:p w:rsidR="00AA2DDB" w:rsidRDefault="00AA2DDB" w:rsidP="00AA2DDB">
      <w:pPr>
        <w:pStyle w:val="ListParagraph"/>
      </w:pPr>
    </w:p>
    <w:p w:rsidR="00AA2DDB" w:rsidRDefault="00AA2DDB" w:rsidP="00AA2DDB">
      <w:pPr>
        <w:pStyle w:val="ListParagraph"/>
        <w:numPr>
          <w:ilvl w:val="0"/>
          <w:numId w:val="3"/>
        </w:numPr>
        <w:jc w:val="both"/>
      </w:pPr>
      <w:r>
        <w:t>On May 31, 2020, FPL entered into a revolving credit agreement with a commercial bank which provides a $250 million commitment and has a maturity date of November 30, 2020.</w:t>
      </w:r>
    </w:p>
    <w:p w:rsidR="00AA2DDB" w:rsidRDefault="00AA2DDB" w:rsidP="00AA2DDB">
      <w:pPr>
        <w:pStyle w:val="ListParagraph"/>
      </w:pPr>
    </w:p>
    <w:p w:rsidR="00AA2DDB" w:rsidRDefault="007E7DFD" w:rsidP="00AA2DDB">
      <w:pPr>
        <w:pStyle w:val="ListParagraph"/>
        <w:numPr>
          <w:ilvl w:val="0"/>
          <w:numId w:val="3"/>
        </w:numPr>
        <w:jc w:val="both"/>
      </w:pPr>
      <w:r>
        <w:t>On</w:t>
      </w:r>
      <w:r w:rsidR="00AA2DDB" w:rsidRPr="00AA2DDB">
        <w:t xml:space="preserve"> May 31, 2020, FPL entered into a revolving credit agreement with a commercial bank which</w:t>
      </w:r>
      <w:r w:rsidR="00AA2DDB">
        <w:t xml:space="preserve"> </w:t>
      </w:r>
      <w:r w:rsidR="00AA2DDB" w:rsidRPr="00AA2DDB">
        <w:t>provides a $200 million commitment and has a maturity date of November 30, 2020.</w:t>
      </w:r>
    </w:p>
    <w:p w:rsidR="00AA2DDB" w:rsidRDefault="00AA2DDB" w:rsidP="00AA2DDB">
      <w:pPr>
        <w:pStyle w:val="ListParagraph"/>
      </w:pPr>
    </w:p>
    <w:p w:rsidR="00AA2DDB" w:rsidRDefault="00AA2DDB" w:rsidP="00AA2DDB">
      <w:pPr>
        <w:pStyle w:val="ListParagraph"/>
        <w:numPr>
          <w:ilvl w:val="0"/>
          <w:numId w:val="3"/>
        </w:numPr>
        <w:jc w:val="both"/>
      </w:pPr>
      <w:r>
        <w:t xml:space="preserve">Borrowings </w:t>
      </w:r>
      <w:r w:rsidRPr="00AA2DDB">
        <w:t>under each of the bilateral credit facilities described above may be used for general</w:t>
      </w:r>
      <w:r>
        <w:t xml:space="preserve"> </w:t>
      </w:r>
      <w:r w:rsidRPr="00AA2DDB">
        <w:t>corporate purposes.</w:t>
      </w:r>
    </w:p>
    <w:p w:rsidR="00AA2DDB" w:rsidRDefault="00AA2DDB" w:rsidP="00AA2DDB">
      <w:pPr>
        <w:pStyle w:val="ListParagraph"/>
      </w:pPr>
    </w:p>
    <w:p w:rsidR="00AA2DDB" w:rsidRDefault="00AA2DDB" w:rsidP="00AA2DDB">
      <w:pPr>
        <w:pStyle w:val="ListParagraph"/>
        <w:numPr>
          <w:ilvl w:val="0"/>
          <w:numId w:val="3"/>
        </w:numPr>
        <w:jc w:val="both"/>
      </w:pPr>
      <w:r>
        <w:t xml:space="preserve">In </w:t>
      </w:r>
      <w:r w:rsidRPr="00AA2DDB">
        <w:t>In addition, FPL has established an uncommitted credit facility with a bank. The bank may, at its</w:t>
      </w:r>
      <w:r>
        <w:t xml:space="preserve"> </w:t>
      </w:r>
      <w:r w:rsidRPr="00AA2DDB">
        <w:t>discretion upon the request of FPL, make a short-term loan or loans to FPL in an aggregate amount</w:t>
      </w:r>
      <w:r>
        <w:t xml:space="preserve"> </w:t>
      </w:r>
      <w:r w:rsidRPr="00AA2DDB">
        <w:t>determined by the bank, which is subject to change at any time. The terms of specific borrowings</w:t>
      </w:r>
      <w:r>
        <w:t xml:space="preserve"> </w:t>
      </w:r>
      <w:r w:rsidRPr="00AA2DDB">
        <w:t>under the uncommitted credit facility, including maturities, are set at the time borrowing requests</w:t>
      </w:r>
      <w:r>
        <w:t xml:space="preserve"> </w:t>
      </w:r>
      <w:r w:rsidRPr="00AA2DDB">
        <w:t>are made by FPL. Borrowings under the uncommitted credit facility may be used for general</w:t>
      </w:r>
      <w:r>
        <w:t xml:space="preserve"> </w:t>
      </w:r>
      <w:r w:rsidRPr="00AA2DDB">
        <w:t>corporate purposes.</w:t>
      </w:r>
    </w:p>
    <w:p w:rsidR="00AA2DDB" w:rsidRDefault="00AA2DDB" w:rsidP="00AA2DDB">
      <w:pPr>
        <w:pStyle w:val="ListParagraph"/>
      </w:pPr>
    </w:p>
    <w:p w:rsidR="00AA2DDB" w:rsidRDefault="00AA2DDB" w:rsidP="00AA2DDB">
      <w:pPr>
        <w:jc w:val="both"/>
      </w:pPr>
      <w:r>
        <w:tab/>
      </w:r>
      <w:r w:rsidRPr="00AA2DDB">
        <w:t>Additionally, debt securities may be issued by FPL or its affiliates or subsidiaries in connection with</w:t>
      </w:r>
      <w:r>
        <w:t xml:space="preserve"> </w:t>
      </w:r>
      <w:r w:rsidRPr="00AA2DDB">
        <w:t>one or more facilities secured by accounts receivable or involving the sale of accounts receivable or interests</w:t>
      </w:r>
      <w:r>
        <w:t xml:space="preserve"> </w:t>
      </w:r>
      <w:r w:rsidRPr="00AA2DDB">
        <w:t xml:space="preserve">therein to be used solely </w:t>
      </w:r>
      <w:r>
        <w:t>for the benefit of FPL’s or FCG’</w:t>
      </w:r>
      <w:r w:rsidRPr="00AA2DDB">
        <w:t>s regulated utility operations.</w:t>
      </w:r>
    </w:p>
    <w:p w:rsidR="00AA2DDB" w:rsidRPr="00AA2DDB" w:rsidRDefault="00AA2DDB" w:rsidP="00AA2DDB">
      <w:pPr>
        <w:jc w:val="both"/>
      </w:pPr>
      <w:r>
        <w:t xml:space="preserve"> </w:t>
      </w:r>
    </w:p>
    <w:p w:rsidR="00AA2DDB" w:rsidRDefault="00AA2DDB" w:rsidP="00AA2DDB">
      <w:pPr>
        <w:ind w:firstLine="720"/>
        <w:jc w:val="both"/>
      </w:pPr>
      <w:r w:rsidRPr="00AA2DDB">
        <w:t>Equity securities that may be issued by FPL include preferred stock, preference stock, convertible</w:t>
      </w:r>
      <w:r>
        <w:t xml:space="preserve"> </w:t>
      </w:r>
      <w:r w:rsidRPr="00AA2DDB">
        <w:t>preferred or preference stock, or warrants, options or rights to acquire such securities, or other similar rights</w:t>
      </w:r>
      <w:r>
        <w:t xml:space="preserve"> </w:t>
      </w:r>
      <w:r w:rsidRPr="00AA2DDB">
        <w:t>exercisable for or convertible into preferred or preference stock, or purchase contracts obligating holders to</w:t>
      </w:r>
      <w:r>
        <w:t xml:space="preserve"> </w:t>
      </w:r>
      <w:r w:rsidRPr="00AA2DDB">
        <w:t>purchase such securities, or other equity securities, with such par values, terms and conditions and relative</w:t>
      </w:r>
      <w:r>
        <w:t xml:space="preserve"> </w:t>
      </w:r>
      <w:r w:rsidRPr="00AA2DDB">
        <w:t>rights and preferences as deemed appropriate by FPL and as are permitted by its Restated Articles of</w:t>
      </w:r>
      <w:r>
        <w:t xml:space="preserve"> </w:t>
      </w:r>
      <w:r w:rsidRPr="00AA2DDB">
        <w:t>Incorporation, as the same may be amended from time to time.</w:t>
      </w:r>
    </w:p>
    <w:p w:rsidR="00AA2DDB" w:rsidRPr="00AA2DDB" w:rsidRDefault="00AA2DDB" w:rsidP="00AA2DDB">
      <w:pPr>
        <w:ind w:firstLine="720"/>
        <w:jc w:val="both"/>
      </w:pPr>
    </w:p>
    <w:p w:rsidR="00AA2DDB" w:rsidRDefault="00AA2DDB" w:rsidP="00182A94">
      <w:pPr>
        <w:ind w:firstLine="720"/>
        <w:jc w:val="both"/>
      </w:pPr>
      <w:r w:rsidRPr="00AA2DDB">
        <w:t>FPL may also enter into financings, whereby FPL would establish and make an equity investment</w:t>
      </w:r>
      <w:r>
        <w:t xml:space="preserve"> </w:t>
      </w:r>
      <w:r w:rsidRPr="00AA2DDB">
        <w:t>in one or more special purpose limited partnerships, limited liability companies, statutory trusts or other entities.</w:t>
      </w:r>
      <w:r>
        <w:t xml:space="preserve"> </w:t>
      </w:r>
      <w:r w:rsidRPr="00AA2DDB">
        <w:t>FPL, or a wholly-owned subsidiary of FPL, would act as or appoint the general partner, managing member,</w:t>
      </w:r>
      <w:r>
        <w:t xml:space="preserve"> </w:t>
      </w:r>
      <w:r w:rsidRPr="00AA2DDB">
        <w:t>sponsor or other members of each such entity. The entity would offer preferred or debt securities to the public</w:t>
      </w:r>
      <w:r>
        <w:t xml:space="preserve"> </w:t>
      </w:r>
      <w:r w:rsidRPr="00AA2DDB">
        <w:t>and use the proceeds to acquire debt securities from FPL. FPL would issue debt securities to the entity equal</w:t>
      </w:r>
      <w:r>
        <w:t xml:space="preserve"> </w:t>
      </w:r>
      <w:r w:rsidRPr="00AA2DDB">
        <w:t>to the aggregate of FPL's equity investment and the amount of preferred or debt securities sold to the public</w:t>
      </w:r>
      <w:r>
        <w:t xml:space="preserve"> </w:t>
      </w:r>
      <w:r w:rsidRPr="00AA2DDB">
        <w:t>by the entity. FPL may also guarantee, among other things, the distributions to be paid by the affiliated entity</w:t>
      </w:r>
      <w:r>
        <w:t xml:space="preserve"> </w:t>
      </w:r>
      <w:r w:rsidRPr="00AA2DDB">
        <w:t>to the preferred or debt securities holders. Payments by FPL on the debt securities sold to the entity would</w:t>
      </w:r>
      <w:r>
        <w:t xml:space="preserve"> </w:t>
      </w:r>
      <w:r w:rsidRPr="00AA2DDB">
        <w:t>be used by that entity to make payments on the preferred or de</w:t>
      </w:r>
      <w:r>
        <w:t>bt securities as well as on FPL’</w:t>
      </w:r>
      <w:r w:rsidRPr="00AA2DDB">
        <w:t>s equity</w:t>
      </w:r>
      <w:r>
        <w:t xml:space="preserve"> </w:t>
      </w:r>
      <w:r w:rsidRPr="00AA2DDB">
        <w:t>investment. Consequently, in the event of such a financing, to avoid double-counting, FPL would only count</w:t>
      </w:r>
      <w:r>
        <w:t xml:space="preserve"> </w:t>
      </w:r>
      <w:r w:rsidRPr="00AA2DDB">
        <w:t>the total amount of its debt securities issued to the entity, and would not count the equity securities issued by</w:t>
      </w:r>
      <w:r>
        <w:t xml:space="preserve"> </w:t>
      </w:r>
      <w:r w:rsidRPr="00AA2DDB">
        <w:t>the entity to FPL, the preferred or debt securities issued by the entity to the public, or the related FPL</w:t>
      </w:r>
      <w:r>
        <w:t xml:space="preserve"> </w:t>
      </w:r>
      <w:r w:rsidRPr="00AA2DDB">
        <w:t>guaranties with respect to such preferred or debt securities issued by the entity to the public, against the total</w:t>
      </w:r>
      <w:r w:rsidR="00182A94">
        <w:t xml:space="preserve"> </w:t>
      </w:r>
      <w:r w:rsidRPr="00AA2DDB">
        <w:t>amount of proposed long-term debt and equity securities.</w:t>
      </w:r>
    </w:p>
    <w:p w:rsidR="00182A94" w:rsidRPr="00AA2DDB" w:rsidRDefault="00182A94" w:rsidP="00182A94">
      <w:pPr>
        <w:ind w:firstLine="720"/>
        <w:jc w:val="both"/>
      </w:pPr>
    </w:p>
    <w:p w:rsidR="00AA2DDB" w:rsidRDefault="00AA2DDB" w:rsidP="00182A94">
      <w:pPr>
        <w:ind w:firstLine="720"/>
        <w:jc w:val="both"/>
      </w:pPr>
      <w:r w:rsidRPr="00AA2DDB">
        <w:t>In connection with the issuance (i) by FPL of long-term or short-term debt securities or preferred or</w:t>
      </w:r>
      <w:r w:rsidR="00182A94">
        <w:t xml:space="preserve"> </w:t>
      </w:r>
      <w:r w:rsidRPr="00AA2DDB">
        <w:t>preference stock, or (ii) by an affiliated entity of preferred or debt securities, the terms of which preferred or</w:t>
      </w:r>
      <w:r w:rsidR="00182A94">
        <w:t xml:space="preserve"> </w:t>
      </w:r>
      <w:r w:rsidRPr="00AA2DDB">
        <w:t>debt securities or stock permit FPL or the affiliated entity (as applicable) to defer principal, interest or other</w:t>
      </w:r>
      <w:r w:rsidR="00182A94">
        <w:t xml:space="preserve"> </w:t>
      </w:r>
      <w:r w:rsidRPr="00AA2DDB">
        <w:t>distributions for certain payment periods, FPL may agree to sell additional equity securities and/or long</w:t>
      </w:r>
      <w:r w:rsidR="00182A94">
        <w:t>-</w:t>
      </w:r>
      <w:r w:rsidRPr="00AA2DDB">
        <w:t>term</w:t>
      </w:r>
      <w:r w:rsidR="00182A94">
        <w:t xml:space="preserve"> </w:t>
      </w:r>
      <w:r w:rsidRPr="00AA2DDB">
        <w:t>or short-term debt securities and to use the proceeds from the sale of those other securities to make</w:t>
      </w:r>
      <w:r w:rsidR="00182A94">
        <w:t xml:space="preserve"> </w:t>
      </w:r>
      <w:r w:rsidRPr="00AA2DDB">
        <w:t>principal, interest or other distributions on such preferred or debt securities or stock as to which such</w:t>
      </w:r>
      <w:r w:rsidR="00182A94">
        <w:t xml:space="preserve"> </w:t>
      </w:r>
      <w:r w:rsidRPr="00AA2DDB">
        <w:t>principal, interest or other distributions have been deferred</w:t>
      </w:r>
      <w:r w:rsidR="00182A94">
        <w:t>.</w:t>
      </w:r>
      <w:r w:rsidRPr="00AA2DDB">
        <w:t xml:space="preserve"> In addition, in connection with the issuance (i)</w:t>
      </w:r>
      <w:r w:rsidR="00182A94">
        <w:t xml:space="preserve"> </w:t>
      </w:r>
      <w:r w:rsidRPr="00AA2DDB">
        <w:t>by FPL of long-term or short-term debt securities or preferred or preference stock or (ii) by an affiliated entity</w:t>
      </w:r>
      <w:r w:rsidR="00182A94">
        <w:t xml:space="preserve"> </w:t>
      </w:r>
      <w:r w:rsidRPr="00AA2DDB">
        <w:t>of preferred or debt securities, FPL may covenant, pledge or make other commitments in favor of holders of</w:t>
      </w:r>
      <w:r w:rsidR="00182A94">
        <w:t xml:space="preserve"> </w:t>
      </w:r>
      <w:r w:rsidRPr="00AA2DDB">
        <w:t>such new stock or preferred or debt securities or the holders of previously-issued stock or preferred or debt</w:t>
      </w:r>
      <w:r w:rsidR="00182A94">
        <w:t xml:space="preserve"> securities</w:t>
      </w:r>
      <w:r w:rsidRPr="00AA2DDB">
        <w:t>, providing that such stock or preferred or debt securities will not be acquired (by redemption,</w:t>
      </w:r>
      <w:r w:rsidR="00182A94">
        <w:t xml:space="preserve"> </w:t>
      </w:r>
      <w:r w:rsidRPr="00AA2DDB">
        <w:t xml:space="preserve">purchase, exchange or otherwise), or otherwise </w:t>
      </w:r>
      <w:r w:rsidR="00182A94">
        <w:t>satisfied</w:t>
      </w:r>
      <w:r w:rsidRPr="00AA2DDB">
        <w:t>, discharged or defeased, in certain circumstances</w:t>
      </w:r>
      <w:r w:rsidR="00182A94">
        <w:t xml:space="preserve"> </w:t>
      </w:r>
      <w:r w:rsidRPr="00AA2DDB">
        <w:t xml:space="preserve">unless such acquisition (by </w:t>
      </w:r>
      <w:r w:rsidRPr="00AA2DDB">
        <w:lastRenderedPageBreak/>
        <w:t>redemption, purchase, exchange or otherwise), satisfaction, discharge or</w:t>
      </w:r>
      <w:r w:rsidR="00182A94">
        <w:t xml:space="preserve"> </w:t>
      </w:r>
      <w:r w:rsidRPr="00AA2DDB">
        <w:t>defeasance is accomplished by (1) the issuance of, or (2) proceeds from the issuance of, a security or</w:t>
      </w:r>
      <w:r w:rsidR="00182A94">
        <w:t xml:space="preserve"> </w:t>
      </w:r>
      <w:r w:rsidRPr="00AA2DDB">
        <w:t>securities satisfying the provisions set forth in such covenant, pledge or other commitment.</w:t>
      </w:r>
    </w:p>
    <w:p w:rsidR="00182A94" w:rsidRPr="00AA2DDB" w:rsidRDefault="00182A94" w:rsidP="00182A94">
      <w:pPr>
        <w:ind w:firstLine="720"/>
        <w:jc w:val="both"/>
      </w:pPr>
    </w:p>
    <w:p w:rsidR="00816BD3" w:rsidRPr="00816BD3" w:rsidRDefault="00816BD3" w:rsidP="00816BD3">
      <w:pPr>
        <w:ind w:firstLine="720"/>
        <w:jc w:val="both"/>
      </w:pPr>
      <w:r>
        <w:t>The exchange of FPL’</w:t>
      </w:r>
      <w:r w:rsidRPr="00816BD3">
        <w:t>s securities may be by way of an exchange of a security of FPL for another</w:t>
      </w:r>
      <w:r>
        <w:t xml:space="preserve"> </w:t>
      </w:r>
      <w:r w:rsidRPr="00816BD3">
        <w:t>security or securities of FPL or of one of its subsidiaries or affiliates, or the exchange of a security of FPL or</w:t>
      </w:r>
      <w:r>
        <w:t xml:space="preserve"> </w:t>
      </w:r>
      <w:r w:rsidRPr="00816BD3">
        <w:t>of one of its subsidiaries or affiliates for the security or securities of another entity.</w:t>
      </w:r>
    </w:p>
    <w:p w:rsidR="00816BD3" w:rsidRDefault="00816BD3" w:rsidP="00816BD3">
      <w:pPr>
        <w:jc w:val="both"/>
      </w:pPr>
    </w:p>
    <w:p w:rsidR="00816BD3" w:rsidRPr="00816BD3" w:rsidRDefault="00816BD3" w:rsidP="00816BD3">
      <w:pPr>
        <w:ind w:firstLine="720"/>
        <w:jc w:val="both"/>
      </w:pPr>
      <w:r w:rsidRPr="00816BD3">
        <w:t>The manner of issuance and sale and/or exchange of securities will be dependent upon the type</w:t>
      </w:r>
      <w:r>
        <w:t xml:space="preserve"> </w:t>
      </w:r>
      <w:r w:rsidRPr="00816BD3">
        <w:t>of security being offered, the type of transaction in which the securities are being issued and sold and/or</w:t>
      </w:r>
      <w:r>
        <w:t xml:space="preserve"> </w:t>
      </w:r>
      <w:r w:rsidRPr="00816BD3">
        <w:t>exchanged and market conditions at the time of the is</w:t>
      </w:r>
      <w:r>
        <w:t>suance and sale and/or exchange</w:t>
      </w:r>
      <w:r w:rsidRPr="00816BD3">
        <w:t>.</w:t>
      </w:r>
    </w:p>
    <w:p w:rsidR="00816BD3" w:rsidRDefault="00816BD3" w:rsidP="00816BD3">
      <w:pPr>
        <w:jc w:val="both"/>
      </w:pPr>
    </w:p>
    <w:p w:rsidR="00816BD3" w:rsidRDefault="00816BD3" w:rsidP="00816BD3">
      <w:pPr>
        <w:ind w:firstLine="720"/>
        <w:jc w:val="both"/>
      </w:pPr>
      <w:r w:rsidRPr="00816BD3">
        <w:t>The short-term securities will have maturities of not more than twelve months and may be secured</w:t>
      </w:r>
      <w:r>
        <w:t xml:space="preserve"> </w:t>
      </w:r>
      <w:r w:rsidRPr="00816BD3">
        <w:t>or unsecured, subordinated or unsubordinated. FPL may enter into warrants, options, rights, interest rate</w:t>
      </w:r>
      <w:r w:rsidRPr="00816BD3">
        <w:rPr>
          <w:rFonts w:ascii="Arial" w:hAnsi="Arial" w:cs="Arial"/>
          <w:color w:val="242424"/>
          <w:sz w:val="19"/>
          <w:szCs w:val="19"/>
        </w:rPr>
        <w:t xml:space="preserve"> </w:t>
      </w:r>
      <w:r w:rsidRPr="00816BD3">
        <w:t>swaps, currency swaps or other derivative instruments, refunding transactions or other arrangements relating</w:t>
      </w:r>
      <w:r>
        <w:t xml:space="preserve"> </w:t>
      </w:r>
      <w:r w:rsidRPr="00816BD3">
        <w:t>to, as well as contracts for the purchase or sale of, short-term securities. Consistent with Securities and</w:t>
      </w:r>
      <w:r>
        <w:t xml:space="preserve"> Exchange Commission “no-action”</w:t>
      </w:r>
      <w:r w:rsidRPr="00816BD3">
        <w:t xml:space="preserve"> letters, FPL may issue and sell commercial paper without compliance with</w:t>
      </w:r>
      <w:r>
        <w:t xml:space="preserve"> </w:t>
      </w:r>
      <w:r w:rsidRPr="00816BD3">
        <w:t>the registration requirements of the Securities Act of 1933, as amended, subject to certain conditions.</w:t>
      </w:r>
    </w:p>
    <w:p w:rsidR="00816BD3" w:rsidRPr="00816BD3" w:rsidRDefault="00816BD3" w:rsidP="00816BD3">
      <w:pPr>
        <w:ind w:firstLine="720"/>
        <w:jc w:val="both"/>
      </w:pPr>
    </w:p>
    <w:p w:rsidR="00816BD3" w:rsidRDefault="00816BD3" w:rsidP="00816BD3">
      <w:pPr>
        <w:ind w:firstLine="720"/>
        <w:jc w:val="both"/>
      </w:pPr>
      <w:r w:rsidRPr="00816BD3">
        <w:t>The short-term securities are issued to provide funds to temp</w:t>
      </w:r>
      <w:r>
        <w:t>orarily finance portions of FPL’</w:t>
      </w:r>
      <w:r w:rsidRPr="00816BD3">
        <w:t>s or</w:t>
      </w:r>
      <w:r>
        <w:t xml:space="preserve"> FCG’</w:t>
      </w:r>
      <w:r w:rsidRPr="00816BD3">
        <w:t>s construction program and capital commitments and for other corporate purposes. Also, during 2021,</w:t>
      </w:r>
      <w:r>
        <w:t xml:space="preserve"> </w:t>
      </w:r>
      <w:r w:rsidRPr="00816BD3">
        <w:t>FPL may need short-term financing for, among other purposes, seasonal fuel requirements, for contingency</w:t>
      </w:r>
      <w:r>
        <w:t xml:space="preserve"> </w:t>
      </w:r>
      <w:r w:rsidRPr="00816BD3">
        <w:t>financing such as fuel adjustment under-recoveries or storm restoration costs, and for the temporary funding</w:t>
      </w:r>
      <w:r>
        <w:t xml:space="preserve"> </w:t>
      </w:r>
      <w:r w:rsidRPr="00816BD3">
        <w:t>of maturing or called long-term debt or equity securities.</w:t>
      </w:r>
    </w:p>
    <w:p w:rsidR="00816BD3" w:rsidRPr="00816BD3" w:rsidRDefault="00816BD3" w:rsidP="00816BD3">
      <w:pPr>
        <w:ind w:firstLine="720"/>
        <w:jc w:val="both"/>
      </w:pPr>
    </w:p>
    <w:p w:rsidR="00AA2DDB" w:rsidRDefault="00816BD3" w:rsidP="00816BD3">
      <w:pPr>
        <w:ind w:firstLine="720"/>
        <w:jc w:val="both"/>
      </w:pPr>
      <w:r w:rsidRPr="00816BD3">
        <w:t>The interest rate that FPL could pay on debt securities will vary depending on the type of debt</w:t>
      </w:r>
      <w:r>
        <w:t xml:space="preserve"> </w:t>
      </w:r>
      <w:r w:rsidRPr="00816BD3">
        <w:t>instruments and the terms thereof, incl</w:t>
      </w:r>
      <w:r>
        <w:t>uding specifically the tenor (i</w:t>
      </w:r>
      <w:r w:rsidRPr="00816BD3">
        <w:t>.</w:t>
      </w:r>
      <w:r>
        <w:t>e.</w:t>
      </w:r>
      <w:r w:rsidRPr="00816BD3">
        <w:t>, the term) of the debt and whether the</w:t>
      </w:r>
      <w:r>
        <w:t xml:space="preserve"> </w:t>
      </w:r>
      <w:r w:rsidRPr="00816BD3">
        <w:t>debt is secured or unsecured and subordinated or unsubordinated, as well as market conditions. A new series</w:t>
      </w:r>
      <w:r>
        <w:t xml:space="preserve"> </w:t>
      </w:r>
      <w:r w:rsidRPr="00816BD3">
        <w:t>of 5-year first mortgage bonds was issued by FPL on March 27, 2020, and upon issuance carried a yield to</w:t>
      </w:r>
      <w:r>
        <w:t xml:space="preserve"> maturity of approximately 2</w:t>
      </w:r>
      <w:r w:rsidRPr="00816BD3">
        <w:t>.872%. A new series of 50-year variable rate notes was issued by FPL on March</w:t>
      </w:r>
      <w:r>
        <w:t xml:space="preserve"> </w:t>
      </w:r>
      <w:r w:rsidRPr="00816BD3">
        <w:t>13, 2020, which variable rate is based on the three-month London Interbank Offered Rate minus 0.30%.</w:t>
      </w:r>
      <w:r>
        <w:t xml:space="preserve"> </w:t>
      </w:r>
      <w:r w:rsidRPr="00816BD3">
        <w:t>A new</w:t>
      </w:r>
      <w:r>
        <w:t xml:space="preserve"> </w:t>
      </w:r>
      <w:r w:rsidRPr="00816BD3">
        <w:t>series of 3-year variable rate not</w:t>
      </w:r>
      <w:r w:rsidR="00BE4F0B">
        <w:t>es was issued by FPL on July 31</w:t>
      </w:r>
      <w:r w:rsidRPr="00816BD3">
        <w:t>, 2020, which variable rate is based on the</w:t>
      </w:r>
      <w:r>
        <w:t xml:space="preserve"> </w:t>
      </w:r>
      <w:r w:rsidRPr="00816BD3">
        <w:t>three-month London In</w:t>
      </w:r>
      <w:r w:rsidR="00BE4F0B">
        <w:t>terbank Offered Rate plus 0.38%</w:t>
      </w:r>
      <w:r w:rsidRPr="00816BD3">
        <w:t>. The dividend rate for preferred or preference stock is</w:t>
      </w:r>
      <w:r>
        <w:t xml:space="preserve"> </w:t>
      </w:r>
      <w:r w:rsidRPr="00816BD3">
        <w:t>similarly affected by the terms of the offering. It is estimated that a new issue of FPL preferred stock as of June</w:t>
      </w:r>
      <w:r>
        <w:t xml:space="preserve"> </w:t>
      </w:r>
      <w:r w:rsidRPr="00816BD3">
        <w:t xml:space="preserve">30, 2020, would have carried a dividend yield </w:t>
      </w:r>
      <w:r>
        <w:t>of approximately 4.75% to 5.25%</w:t>
      </w:r>
      <w:r w:rsidRPr="00816BD3">
        <w:t>.</w:t>
      </w:r>
    </w:p>
    <w:p w:rsidR="004802CC" w:rsidRDefault="004802CC" w:rsidP="00816BD3">
      <w:pPr>
        <w:ind w:firstLine="720"/>
        <w:jc w:val="both"/>
      </w:pPr>
    </w:p>
    <w:p w:rsidR="004802CC" w:rsidRDefault="004802CC" w:rsidP="004802CC">
      <w:pPr>
        <w:ind w:firstLine="720"/>
        <w:jc w:val="both"/>
      </w:pPr>
      <w:r w:rsidRPr="004802CC">
        <w:t>In addition, FPL may from time to time issue instruments of guaranty, collateralize debt and other</w:t>
      </w:r>
      <w:r>
        <w:t xml:space="preserve"> </w:t>
      </w:r>
      <w:r w:rsidRPr="004802CC">
        <w:t>obligations, issue other securities, and arrange for the issuance of letters of credit and guaranties, in any such</w:t>
      </w:r>
      <w:r>
        <w:t xml:space="preserve"> </w:t>
      </w:r>
      <w:r w:rsidRPr="004802CC">
        <w:t xml:space="preserve">case to be issued or arranged by FPL or by one or more of its subsidiaries </w:t>
      </w:r>
      <w:r w:rsidR="007E7DFD">
        <w:lastRenderedPageBreak/>
        <w:t>for the benefit of FPL’</w:t>
      </w:r>
      <w:r>
        <w:t>s or FCG’</w:t>
      </w:r>
      <w:r w:rsidRPr="004802CC">
        <w:t>s</w:t>
      </w:r>
      <w:r>
        <w:t xml:space="preserve"> </w:t>
      </w:r>
      <w:r w:rsidRPr="004802CC">
        <w:t>regulated utility operations. FPL confirms that any such issuances described above will be used in connection</w:t>
      </w:r>
      <w:r>
        <w:t xml:space="preserve"> </w:t>
      </w:r>
      <w:r w:rsidRPr="004802CC">
        <w:t>with the regulated activities of</w:t>
      </w:r>
      <w:r>
        <w:t xml:space="preserve"> </w:t>
      </w:r>
      <w:r w:rsidRPr="004802CC">
        <w:t>FPL or FCG, including, upon the effectiveness of the merger of Gulf with and into</w:t>
      </w:r>
      <w:r>
        <w:t xml:space="preserve"> </w:t>
      </w:r>
      <w:r w:rsidRPr="004802CC">
        <w:t>FPL, the regulated activities of Gulf acquired by FPL pursuant to the merger, and not the nonregulated activities</w:t>
      </w:r>
      <w:r>
        <w:t xml:space="preserve"> </w:t>
      </w:r>
      <w:r w:rsidRPr="004802CC">
        <w:t>of its affiliates.</w:t>
      </w:r>
    </w:p>
    <w:p w:rsidR="004802CC" w:rsidRPr="004802CC" w:rsidRDefault="004802CC" w:rsidP="004802CC">
      <w:pPr>
        <w:ind w:firstLine="720"/>
        <w:jc w:val="both"/>
      </w:pPr>
    </w:p>
    <w:p w:rsidR="004802CC" w:rsidRDefault="004802CC" w:rsidP="004802CC">
      <w:pPr>
        <w:ind w:firstLine="720"/>
        <w:jc w:val="both"/>
      </w:pPr>
      <w:r w:rsidRPr="004802CC">
        <w:t xml:space="preserve">FPL expects that Gulf will </w:t>
      </w:r>
      <w:r>
        <w:t>merge with and into FPL in 2021</w:t>
      </w:r>
      <w:r w:rsidRPr="004802CC">
        <w:t>, with FPL being the surviving legal entity.</w:t>
      </w:r>
      <w:r>
        <w:t xml:space="preserve"> </w:t>
      </w:r>
      <w:r w:rsidRPr="004802CC">
        <w:t>FPL seeks authority to issue additional long-term and short-term securities, contingent on the closing of the</w:t>
      </w:r>
      <w:r>
        <w:t xml:space="preserve"> </w:t>
      </w:r>
      <w:r w:rsidRPr="004802CC">
        <w:t>merger, to finance the additional working capital and capital expenditure requirements in respect of the</w:t>
      </w:r>
      <w:r>
        <w:t xml:space="preserve"> </w:t>
      </w:r>
      <w:r w:rsidRPr="004802CC">
        <w:t>operations of Gulf acquired by FPL as a result of the merger. Contingent upon the closing of the merger, (i)</w:t>
      </w:r>
      <w:r>
        <w:t xml:space="preserve"> </w:t>
      </w:r>
      <w:r w:rsidRPr="004802CC">
        <w:t>the additional amount of long-term debt and equity to be issued by FPL and/or liabilities or obligations</w:t>
      </w:r>
      <w:r>
        <w:t xml:space="preserve"> </w:t>
      </w:r>
      <w:r w:rsidRPr="004802CC">
        <w:t>assumed by FPL as guarantor, endorser or surety during calendar year 2021 in respect of the operations of</w:t>
      </w:r>
      <w:r>
        <w:t xml:space="preserve"> </w:t>
      </w:r>
      <w:r w:rsidRPr="004802CC">
        <w:t>Gulf acquired by FPL as a result of the merger will be in an aggregate principal amount not to exceed $1.5</w:t>
      </w:r>
      <w:r>
        <w:t xml:space="preserve"> </w:t>
      </w:r>
      <w:r w:rsidRPr="004802CC">
        <w:t>billion and (ii) the additional aggregate principal amount of short-term debt incurred in respect of the</w:t>
      </w:r>
      <w:r>
        <w:t xml:space="preserve"> </w:t>
      </w:r>
      <w:r w:rsidRPr="004802CC">
        <w:t>operations of Gulf acquired by FPL as a result of the merger outstanding at the time of and including any</w:t>
      </w:r>
      <w:r>
        <w:t xml:space="preserve"> </w:t>
      </w:r>
      <w:r w:rsidRPr="004802CC">
        <w:t>such sale of short-term debt during calendar year 2021 shall not exceed $800 million. The interest rate on</w:t>
      </w:r>
      <w:r>
        <w:t xml:space="preserve"> </w:t>
      </w:r>
      <w:r w:rsidRPr="004802CC">
        <w:t>any short-term or long-term borrowings in respect of the operations of Gulf acquired by FPL as a result of the</w:t>
      </w:r>
      <w:r>
        <w:t xml:space="preserve"> </w:t>
      </w:r>
      <w:r w:rsidRPr="004802CC">
        <w:t>merger is expec</w:t>
      </w:r>
      <w:r w:rsidR="007E7DFD">
        <w:t>ted to be a pass-through of FPL’</w:t>
      </w:r>
      <w:r w:rsidRPr="004802CC">
        <w:t>s average weighted cost for borrowing these funds and will</w:t>
      </w:r>
      <w:r>
        <w:t xml:space="preserve"> </w:t>
      </w:r>
      <w:r w:rsidRPr="004802CC">
        <w:t>vary depending on the terms of the debt and whether the debt is secured or unsecured and subordinated or</w:t>
      </w:r>
      <w:r>
        <w:t xml:space="preserve"> </w:t>
      </w:r>
      <w:r w:rsidRPr="004802CC">
        <w:t>unsubordinated, as well as market conditions. In addition, upon the effectiveness of the merger of Gulf with</w:t>
      </w:r>
      <w:r>
        <w:t xml:space="preserve"> </w:t>
      </w:r>
      <w:r w:rsidRPr="004802CC">
        <w:t>and into FPL, all outstanding debt, liabilities or other obligations of Gulf will become debts, liabilities and</w:t>
      </w:r>
      <w:r>
        <w:t xml:space="preserve"> </w:t>
      </w:r>
      <w:r w:rsidRPr="004802CC">
        <w:t>obligations of FPL by operation of law. For the avoidance of doubt, none of such debt, liabilities or other</w:t>
      </w:r>
      <w:r>
        <w:t xml:space="preserve"> </w:t>
      </w:r>
      <w:r w:rsidRPr="004802CC">
        <w:t>obligations of Gulf outstanding immediately prior the effectiveness of the merger of Gulf with and into FPL shall</w:t>
      </w:r>
      <w:r>
        <w:t xml:space="preserve"> </w:t>
      </w:r>
      <w:r w:rsidRPr="004802CC">
        <w:t>count against the authority requested by FPL in this application. Unless an</w:t>
      </w:r>
      <w:r>
        <w:t xml:space="preserve">d until otherwise ordered by this </w:t>
      </w:r>
      <w:r w:rsidRPr="004802CC">
        <w:t>Commission, FPL will maintain separate books and records for the operations of Gulf acquired by FPL as a</w:t>
      </w:r>
      <w:r>
        <w:t xml:space="preserve"> </w:t>
      </w:r>
      <w:r w:rsidRPr="004802CC">
        <w:t>result of the merger for all regulatory and ratemaking purposes.</w:t>
      </w:r>
    </w:p>
    <w:p w:rsidR="004802CC" w:rsidRDefault="004802CC" w:rsidP="004802CC">
      <w:pPr>
        <w:jc w:val="both"/>
      </w:pPr>
    </w:p>
    <w:p w:rsidR="005A3737" w:rsidRDefault="004802CC" w:rsidP="005A3737">
      <w:pPr>
        <w:ind w:firstLine="720"/>
        <w:jc w:val="both"/>
      </w:pPr>
      <w:r w:rsidRPr="004802CC">
        <w:t>In addition, FCG seeks authority to finance its working capital and capital expenditure</w:t>
      </w:r>
      <w:r>
        <w:t xml:space="preserve"> </w:t>
      </w:r>
      <w:r w:rsidRPr="004802CC">
        <w:t>requirements through short-term and long-term borrowings from FPL. The timing of any borrowings made</w:t>
      </w:r>
      <w:r>
        <w:t xml:space="preserve"> </w:t>
      </w:r>
      <w:r w:rsidRPr="004802CC">
        <w:t xml:space="preserve">by </w:t>
      </w:r>
      <w:r>
        <w:t>FCG from FPL will depend on FCG’</w:t>
      </w:r>
      <w:r w:rsidRPr="004802CC">
        <w:t>s cash flow projections and othe</w:t>
      </w:r>
      <w:r>
        <w:t>r factors impacting FCG’</w:t>
      </w:r>
      <w:r w:rsidRPr="004802CC">
        <w:t>s cash and</w:t>
      </w:r>
      <w:r>
        <w:t xml:space="preserve"> </w:t>
      </w:r>
      <w:r w:rsidRPr="004802CC">
        <w:t>working capital requirements. The amount of short-term borrowings by FCG from FPL during calendar year</w:t>
      </w:r>
      <w:r>
        <w:t xml:space="preserve"> </w:t>
      </w:r>
      <w:r w:rsidRPr="004802CC">
        <w:t>2021 will be an aggregate principal amount not to exceed $150 million at any one time. In addition, the</w:t>
      </w:r>
      <w:r>
        <w:t xml:space="preserve"> </w:t>
      </w:r>
      <w:r w:rsidRPr="004802CC">
        <w:t>amount of long-term borrowings by FCG from FPL during calendar year 2021 will be an aggregate principal</w:t>
      </w:r>
      <w:r>
        <w:t xml:space="preserve"> </w:t>
      </w:r>
      <w:r w:rsidRPr="004802CC">
        <w:t>amount not to exceed $300 million at any one time. The interest rate on any short-term or long-term</w:t>
      </w:r>
      <w:r>
        <w:t xml:space="preserve"> </w:t>
      </w:r>
      <w:r w:rsidRPr="004802CC">
        <w:t>borrowings from FPL is expec</w:t>
      </w:r>
      <w:r w:rsidR="00BE4F0B">
        <w:t>ted to be a pass-through of FPL’</w:t>
      </w:r>
      <w:r w:rsidRPr="004802CC">
        <w:t>s average weighted cost for borrowing these</w:t>
      </w:r>
      <w:r>
        <w:t xml:space="preserve"> </w:t>
      </w:r>
      <w:r w:rsidRPr="004802CC">
        <w:t>funds and will vary depending on the term of the debt and whether the debt is secured or unsecured and</w:t>
      </w:r>
      <w:r>
        <w:t xml:space="preserve"> </w:t>
      </w:r>
      <w:r w:rsidRPr="004802CC">
        <w:t>subordinated or unsubordinated, as well as market conditions. Any borrowings made by FCG from FPL</w:t>
      </w:r>
      <w:r w:rsidR="005A3737">
        <w:t xml:space="preserve"> </w:t>
      </w:r>
      <w:r w:rsidR="005A3737" w:rsidRPr="005A3737">
        <w:t>will be unsecured and may be subordinated or unsubordinated. Short-term borrowings from FPL will have</w:t>
      </w:r>
      <w:r w:rsidR="005A3737">
        <w:t xml:space="preserve"> </w:t>
      </w:r>
      <w:r w:rsidR="005A3737" w:rsidRPr="005A3737">
        <w:t>maturities not to exceed one year. Long-term borrowings from FPL will have maturities ranging from more</w:t>
      </w:r>
      <w:r w:rsidR="005A3737">
        <w:t xml:space="preserve"> </w:t>
      </w:r>
      <w:r w:rsidR="005A3737" w:rsidRPr="005A3737">
        <w:t>than one year to one hundred years.</w:t>
      </w:r>
    </w:p>
    <w:p w:rsidR="005A3737" w:rsidRPr="005A3737" w:rsidRDefault="005A3737" w:rsidP="005A3737">
      <w:pPr>
        <w:ind w:firstLine="720"/>
        <w:jc w:val="both"/>
      </w:pPr>
    </w:p>
    <w:p w:rsidR="004802CC" w:rsidRDefault="005A3737" w:rsidP="005A3737">
      <w:pPr>
        <w:ind w:firstLine="720"/>
        <w:jc w:val="both"/>
      </w:pPr>
      <w:r w:rsidRPr="005A3737">
        <w:lastRenderedPageBreak/>
        <w:t xml:space="preserve">FPL and FCG </w:t>
      </w:r>
      <w:r>
        <w:t>shall</w:t>
      </w:r>
      <w:r w:rsidRPr="005A3737">
        <w:t xml:space="preserve"> fil</w:t>
      </w:r>
      <w:r>
        <w:t>e a consummation report with this</w:t>
      </w:r>
      <w:r w:rsidRPr="005A3737">
        <w:t xml:space="preserve"> </w:t>
      </w:r>
      <w:r>
        <w:t>Commission</w:t>
      </w:r>
      <w:r w:rsidRPr="005A3737">
        <w:t xml:space="preserve"> in compliance with Rule 25-8.009, Florida Administrative Code, within 90 days after the end of</w:t>
      </w:r>
      <w:r>
        <w:t xml:space="preserve"> </w:t>
      </w:r>
      <w:r w:rsidRPr="005A3737">
        <w:t>any fiscal year in which FPL and/or FCG issue securities.</w:t>
      </w:r>
    </w:p>
    <w:p w:rsidR="005A3737" w:rsidRDefault="005A3737" w:rsidP="005A3737">
      <w:pPr>
        <w:jc w:val="both"/>
      </w:pPr>
    </w:p>
    <w:p w:rsidR="005A3737" w:rsidRDefault="005A3737" w:rsidP="005A3737">
      <w:pPr>
        <w:pStyle w:val="ListParagraph"/>
        <w:numPr>
          <w:ilvl w:val="0"/>
          <w:numId w:val="1"/>
        </w:numPr>
        <w:jc w:val="both"/>
        <w:rPr>
          <w:b/>
        </w:rPr>
      </w:pPr>
      <w:r w:rsidRPr="005A3737">
        <w:rPr>
          <w:b/>
        </w:rPr>
        <w:t>Purpose</w:t>
      </w:r>
      <w:r>
        <w:rPr>
          <w:b/>
        </w:rPr>
        <w:t>s</w:t>
      </w:r>
      <w:r w:rsidRPr="005A3737">
        <w:rPr>
          <w:b/>
        </w:rPr>
        <w:t xml:space="preserve"> of Issues</w:t>
      </w:r>
    </w:p>
    <w:p w:rsidR="005A3737" w:rsidRPr="005A3737" w:rsidRDefault="005A3737" w:rsidP="005A3737">
      <w:pPr>
        <w:jc w:val="both"/>
        <w:rPr>
          <w:b/>
        </w:rPr>
      </w:pPr>
    </w:p>
    <w:p w:rsidR="005A3737" w:rsidRDefault="005A3737" w:rsidP="005A3737">
      <w:pPr>
        <w:pStyle w:val="ListParagraph"/>
        <w:numPr>
          <w:ilvl w:val="1"/>
          <w:numId w:val="1"/>
        </w:numPr>
        <w:jc w:val="both"/>
        <w:rPr>
          <w:b/>
        </w:rPr>
      </w:pPr>
      <w:r>
        <w:rPr>
          <w:b/>
        </w:rPr>
        <w:t>FPL</w:t>
      </w:r>
    </w:p>
    <w:p w:rsidR="005A3737" w:rsidRDefault="005A3737" w:rsidP="005A3737">
      <w:pPr>
        <w:jc w:val="both"/>
        <w:rPr>
          <w:b/>
        </w:rPr>
      </w:pPr>
    </w:p>
    <w:p w:rsidR="006540B3" w:rsidRDefault="006540B3" w:rsidP="006540B3">
      <w:pPr>
        <w:ind w:firstLine="720"/>
        <w:jc w:val="both"/>
      </w:pPr>
      <w:r w:rsidRPr="006540B3">
        <w:t>It is expected that the net proceeds to be received from the issuance and sale and/or exchange (if</w:t>
      </w:r>
      <w:r>
        <w:t xml:space="preserve"> </w:t>
      </w:r>
      <w:r w:rsidRPr="006540B3">
        <w:t>there are any net proceeds from an exchange) of the additional long-term debt and equity securities (with the</w:t>
      </w:r>
      <w:r>
        <w:t xml:space="preserve"> </w:t>
      </w:r>
      <w:r w:rsidRPr="006540B3">
        <w:t xml:space="preserve">exception of the proceeds of the issuance and sale of any Revenue Bonds or other </w:t>
      </w:r>
      <w:r>
        <w:t xml:space="preserve">“private activity bonds” </w:t>
      </w:r>
      <w:r w:rsidRPr="006540B3">
        <w:t>(whether structured as variable rate demand notes or otherwise) or similar securities which will be used for</w:t>
      </w:r>
      <w:r>
        <w:t xml:space="preserve"> </w:t>
      </w:r>
      <w:r w:rsidRPr="006540B3">
        <w:t>specific</w:t>
      </w:r>
      <w:r>
        <w:t xml:space="preserve"> purposes) will be added to FPL’</w:t>
      </w:r>
      <w:r w:rsidRPr="006540B3">
        <w:t>s general funds and will be used to finance the acquisition or</w:t>
      </w:r>
      <w:r>
        <w:t xml:space="preserve"> </w:t>
      </w:r>
      <w:r w:rsidRPr="006540B3">
        <w:t>construction of additional regulated utility facilities and equipment, as well as capital improvements to and</w:t>
      </w:r>
      <w:r>
        <w:t xml:space="preserve"> </w:t>
      </w:r>
      <w:r w:rsidRPr="006540B3">
        <w:t>maintenance of existing facili</w:t>
      </w:r>
      <w:r>
        <w:t>ties; to acquire (by redemption</w:t>
      </w:r>
      <w:r w:rsidRPr="006540B3">
        <w:t>, purchase, exchange or otherwise), or to</w:t>
      </w:r>
      <w:r>
        <w:t xml:space="preserve"> </w:t>
      </w:r>
      <w:r w:rsidRPr="006540B3">
        <w:t>otherwise satisfy, discharge or defease, any of its outstanding debt securities or equity securities; to repay all</w:t>
      </w:r>
      <w:r>
        <w:t xml:space="preserve"> </w:t>
      </w:r>
      <w:r w:rsidRPr="006540B3">
        <w:t>or a portion of any matu</w:t>
      </w:r>
      <w:r>
        <w:t>ring long-term debt obligations; to satisfy FPL’</w:t>
      </w:r>
      <w:r w:rsidRPr="006540B3">
        <w:t>s obligations under guaranties; to repay</w:t>
      </w:r>
      <w:r>
        <w:t xml:space="preserve"> </w:t>
      </w:r>
      <w:r w:rsidRPr="006540B3">
        <w:t>all or a portion of short-term bank borrowings, commercial paper and other short-term debt outstanding at the</w:t>
      </w:r>
      <w:r>
        <w:t xml:space="preserve"> </w:t>
      </w:r>
      <w:r w:rsidRPr="006540B3">
        <w:t>time of such transactions, and/</w:t>
      </w:r>
      <w:r>
        <w:t>or for other corporate purposes. Proceeds, if any</w:t>
      </w:r>
      <w:r w:rsidRPr="006540B3">
        <w:t>, may be temporarily invested</w:t>
      </w:r>
      <w:r>
        <w:t xml:space="preserve"> </w:t>
      </w:r>
      <w:r w:rsidRPr="006540B3">
        <w:t>in short-term instruments pending their application to the fo</w:t>
      </w:r>
      <w:r>
        <w:t>regoing purposes. As of June 30</w:t>
      </w:r>
      <w:r w:rsidRPr="006540B3">
        <w:t>, 2020,</w:t>
      </w:r>
      <w:r>
        <w:t xml:space="preserve"> </w:t>
      </w:r>
      <w:r w:rsidRPr="006540B3">
        <w:t>a</w:t>
      </w:r>
      <w:r w:rsidR="007E7DFD">
        <w:t>pproximately $82 million of FPL’</w:t>
      </w:r>
      <w:r w:rsidRPr="006540B3">
        <w:t>s long-term debt will mature during 2021.</w:t>
      </w:r>
    </w:p>
    <w:p w:rsidR="006540B3" w:rsidRPr="006540B3" w:rsidRDefault="006540B3" w:rsidP="006540B3">
      <w:pPr>
        <w:ind w:firstLine="720"/>
        <w:jc w:val="both"/>
      </w:pPr>
    </w:p>
    <w:p w:rsidR="006540B3" w:rsidRDefault="006540B3" w:rsidP="006540B3">
      <w:pPr>
        <w:ind w:firstLine="720"/>
        <w:jc w:val="both"/>
      </w:pPr>
      <w:r w:rsidRPr="006540B3">
        <w:t>In addition, upon the effectiveness of the merger of Gulf with and into FPL, FPL plans to use a</w:t>
      </w:r>
      <w:r>
        <w:t xml:space="preserve"> </w:t>
      </w:r>
      <w:r w:rsidRPr="006540B3">
        <w:t>portion of such proceeds to provide both short-term and long -term funding during 2021 for the regulated utility</w:t>
      </w:r>
      <w:r>
        <w:t xml:space="preserve"> </w:t>
      </w:r>
      <w:r w:rsidRPr="006540B3">
        <w:t>operations of Gulf acquired by FPL as a result of the merger during 2021 as discussed above.</w:t>
      </w:r>
    </w:p>
    <w:p w:rsidR="006540B3" w:rsidRDefault="006540B3" w:rsidP="006540B3">
      <w:pPr>
        <w:ind w:firstLine="720"/>
        <w:jc w:val="both"/>
      </w:pPr>
    </w:p>
    <w:p w:rsidR="006540B3" w:rsidRDefault="006540B3" w:rsidP="006540B3">
      <w:pPr>
        <w:ind w:firstLine="720"/>
        <w:jc w:val="both"/>
      </w:pPr>
      <w:r w:rsidRPr="006540B3">
        <w:t>FPL plans to use a portion of such proceeds discussed to provide both short-term and long-term</w:t>
      </w:r>
      <w:r>
        <w:t xml:space="preserve"> </w:t>
      </w:r>
      <w:r w:rsidRPr="006540B3">
        <w:t>funding for the regu</w:t>
      </w:r>
      <w:r>
        <w:t>lated utility operations of FCG</w:t>
      </w:r>
      <w:r w:rsidRPr="006540B3">
        <w:t>. Each loan made by FPL to FCG will consist of one or more</w:t>
      </w:r>
      <w:r>
        <w:t xml:space="preserve"> </w:t>
      </w:r>
      <w:r w:rsidRPr="006540B3">
        <w:t xml:space="preserve">tranches. The timing of any loans made by FPL </w:t>
      </w:r>
      <w:r>
        <w:t>to FCG will be dependent on FCG’</w:t>
      </w:r>
      <w:r w:rsidRPr="006540B3">
        <w:t>s cash flow projections and</w:t>
      </w:r>
      <w:r>
        <w:t xml:space="preserve"> </w:t>
      </w:r>
      <w:r w:rsidRPr="006540B3">
        <w:t>other factors for availability by FCG to meet its cash a</w:t>
      </w:r>
      <w:r>
        <w:t>nd working capital requirements</w:t>
      </w:r>
      <w:r w:rsidRPr="006540B3">
        <w:t>. FPL will provide short</w:t>
      </w:r>
      <w:r>
        <w:t xml:space="preserve">-term </w:t>
      </w:r>
      <w:r w:rsidRPr="006540B3">
        <w:t>and long-term funding to FCG from (1) surplus funds in the treasury of FPL and (2) proceeds from FPL</w:t>
      </w:r>
      <w:r>
        <w:t>’</w:t>
      </w:r>
      <w:r w:rsidRPr="006540B3">
        <w:t>s</w:t>
      </w:r>
      <w:r>
        <w:t xml:space="preserve"> </w:t>
      </w:r>
      <w:r w:rsidRPr="006540B3">
        <w:t>borrowi</w:t>
      </w:r>
      <w:r>
        <w:t>ngs under its credit facilities</w:t>
      </w:r>
      <w:r w:rsidR="007E7DFD">
        <w:t>, FPL’</w:t>
      </w:r>
      <w:r w:rsidRPr="006540B3">
        <w:t>s debt securities or FPL's issuance of commercial paper.</w:t>
      </w:r>
    </w:p>
    <w:p w:rsidR="0084194D" w:rsidRPr="006540B3" w:rsidRDefault="0084194D" w:rsidP="006540B3">
      <w:pPr>
        <w:ind w:firstLine="720"/>
        <w:jc w:val="both"/>
      </w:pPr>
    </w:p>
    <w:p w:rsidR="006540B3" w:rsidRDefault="006540B3" w:rsidP="006540B3">
      <w:pPr>
        <w:ind w:firstLine="720"/>
        <w:jc w:val="both"/>
      </w:pPr>
      <w:r>
        <w:t>FPL ma</w:t>
      </w:r>
      <w:r w:rsidRPr="006540B3">
        <w:t>intains a continuous construction program, prin</w:t>
      </w:r>
      <w:r>
        <w:t>cipally for electric generation</w:t>
      </w:r>
      <w:r w:rsidRPr="006540B3">
        <w:t>,</w:t>
      </w:r>
      <w:r>
        <w:t xml:space="preserve"> </w:t>
      </w:r>
      <w:r w:rsidRPr="006540B3">
        <w:t>transmission a</w:t>
      </w:r>
      <w:r>
        <w:t>nd distribution facilities. FPL’</w:t>
      </w:r>
      <w:r w:rsidRPr="006540B3">
        <w:t>s long-range construction program is subject to periodic review</w:t>
      </w:r>
      <w:r>
        <w:t xml:space="preserve"> </w:t>
      </w:r>
      <w:r w:rsidRPr="006540B3">
        <w:t>and revision. The construction program referred to herein has been necessitated by continued growth in</w:t>
      </w:r>
      <w:r>
        <w:t xml:space="preserve"> </w:t>
      </w:r>
      <w:r w:rsidR="007E7DFD">
        <w:t>the demand for service on FPL’</w:t>
      </w:r>
      <w:r w:rsidRPr="006540B3">
        <w:t>s system and the replacement and improvements required to its existing</w:t>
      </w:r>
      <w:r>
        <w:t xml:space="preserve"> </w:t>
      </w:r>
      <w:r w:rsidRPr="006540B3">
        <w:t>system. It is manifestly in the public interest for FPL to raise the funds which a re required to perform such</w:t>
      </w:r>
      <w:r>
        <w:t xml:space="preserve"> service</w:t>
      </w:r>
      <w:r w:rsidRPr="006540B3">
        <w:t>. A more detailed description of th</w:t>
      </w:r>
      <w:r>
        <w:t>ese projects is provided in FPL’</w:t>
      </w:r>
      <w:r w:rsidRPr="006540B3">
        <w:t>s 2020 Ten-Year Site Plan on file</w:t>
      </w:r>
      <w:r>
        <w:t xml:space="preserve"> with this Commission</w:t>
      </w:r>
      <w:r w:rsidRPr="006540B3">
        <w:t>. As of June 30, 2020, FPL estimated that capital expenditures under its 2021</w:t>
      </w:r>
      <w:r>
        <w:t xml:space="preserve"> </w:t>
      </w:r>
      <w:r w:rsidRPr="006540B3">
        <w:t>construction p</w:t>
      </w:r>
      <w:r>
        <w:t xml:space="preserve">rogram will be </w:t>
      </w:r>
      <w:r>
        <w:lastRenderedPageBreak/>
        <w:t>approximately $6</w:t>
      </w:r>
      <w:r w:rsidRPr="006540B3">
        <w:t>.6 billion, including Allowance for Funds Used During</w:t>
      </w:r>
      <w:r>
        <w:t xml:space="preserve"> Construction (AFUDC) (see Exhibit B attached to FPL’s Application</w:t>
      </w:r>
      <w:r w:rsidRPr="006540B3">
        <w:t>).</w:t>
      </w:r>
    </w:p>
    <w:p w:rsidR="006540B3" w:rsidRDefault="006540B3" w:rsidP="006540B3">
      <w:pPr>
        <w:jc w:val="both"/>
      </w:pPr>
    </w:p>
    <w:p w:rsidR="006540B3" w:rsidRDefault="006540B3" w:rsidP="00D13030">
      <w:pPr>
        <w:ind w:firstLine="720"/>
        <w:jc w:val="both"/>
      </w:pPr>
      <w:r w:rsidRPr="006540B3">
        <w:t>At present, one project with anticipated construction expenditures during 2021 involves a</w:t>
      </w:r>
      <w:r>
        <w:t xml:space="preserve"> </w:t>
      </w:r>
      <w:r w:rsidR="003644A5">
        <w:t>certification of need by this</w:t>
      </w:r>
      <w:r w:rsidRPr="006540B3">
        <w:t xml:space="preserve"> Commission under the Florida Electrical Power Plant Siting Act or the</w:t>
      </w:r>
      <w:r>
        <w:t xml:space="preserve"> </w:t>
      </w:r>
      <w:r w:rsidRPr="006540B3">
        <w:t>Transmission Line Siting Act: the Dania Beach Clean Energy Center, a 1,163 megawatt (summer) natural</w:t>
      </w:r>
      <w:r w:rsidR="00D13030">
        <w:t xml:space="preserve"> </w:t>
      </w:r>
      <w:r w:rsidRPr="006540B3">
        <w:t>gas-fired generating unit. The need for the Dania Beach Clean E</w:t>
      </w:r>
      <w:r w:rsidR="00D13030">
        <w:t xml:space="preserve">nergy Center was approved by this </w:t>
      </w:r>
      <w:r w:rsidRPr="006540B3">
        <w:t xml:space="preserve">Commission </w:t>
      </w:r>
      <w:r w:rsidR="00D13030">
        <w:t>in Order No</w:t>
      </w:r>
      <w:r w:rsidRPr="006540B3">
        <w:t>. PSC-2018-0150-</w:t>
      </w:r>
      <w:r w:rsidR="00D13030">
        <w:t>FOF-EI issued on March 19, 2018</w:t>
      </w:r>
      <w:r w:rsidRPr="006540B3">
        <w:t>. The estimated construction</w:t>
      </w:r>
      <w:r w:rsidR="00D13030">
        <w:t xml:space="preserve"> </w:t>
      </w:r>
      <w:r w:rsidRPr="006540B3">
        <w:t>cost for the Dania Beach Clean</w:t>
      </w:r>
      <w:r w:rsidR="00D13030">
        <w:t xml:space="preserve"> Energy Center is $888 million, </w:t>
      </w:r>
      <w:r w:rsidRPr="006540B3">
        <w:t>including AFUDC and transmission</w:t>
      </w:r>
      <w:r w:rsidR="00D13030">
        <w:t xml:space="preserve"> interconnection costs</w:t>
      </w:r>
      <w:r w:rsidRPr="006540B3">
        <w:t>. As of June 30, 2020, development, design and con</w:t>
      </w:r>
      <w:r w:rsidR="00591787">
        <w:t>struction costs</w:t>
      </w:r>
      <w:r w:rsidRPr="006540B3">
        <w:t>, including AFUDC</w:t>
      </w:r>
      <w:r w:rsidR="00D13030">
        <w:t xml:space="preserve"> </w:t>
      </w:r>
      <w:r w:rsidRPr="006540B3">
        <w:t>and transmission interconnection costs, expended on the Dania Beach Clean Energy Center were</w:t>
      </w:r>
      <w:r w:rsidR="00D13030">
        <w:t xml:space="preserve"> </w:t>
      </w:r>
      <w:r w:rsidRPr="006540B3">
        <w:t>approximately $553 million. A more detailed description of t</w:t>
      </w:r>
      <w:r w:rsidR="00D13030">
        <w:t>his project is provided in FPL’</w:t>
      </w:r>
      <w:r w:rsidRPr="006540B3">
        <w:t>s 2020 Ten-Year</w:t>
      </w:r>
      <w:r w:rsidR="00D13030">
        <w:t xml:space="preserve"> </w:t>
      </w:r>
      <w:r w:rsidRPr="006540B3">
        <w:t>Site Plan on file wit</w:t>
      </w:r>
      <w:r w:rsidR="00D13030">
        <w:t>h this</w:t>
      </w:r>
      <w:r w:rsidRPr="006540B3">
        <w:t xml:space="preserve"> Commission.</w:t>
      </w:r>
    </w:p>
    <w:p w:rsidR="006540B3" w:rsidRDefault="006540B3" w:rsidP="006540B3">
      <w:pPr>
        <w:ind w:firstLine="720"/>
        <w:jc w:val="both"/>
      </w:pPr>
    </w:p>
    <w:p w:rsidR="00D13030" w:rsidRDefault="00D13030" w:rsidP="00D13030">
      <w:pPr>
        <w:ind w:firstLine="720"/>
        <w:jc w:val="both"/>
      </w:pPr>
      <w:r w:rsidRPr="00D13030">
        <w:t>Under future market conditions, the interest rate on new issue long-term debt or the dividend rate</w:t>
      </w:r>
      <w:r>
        <w:t xml:space="preserve"> </w:t>
      </w:r>
      <w:r w:rsidRPr="00D13030">
        <w:t>on new issue preferred or preference stock of FPL and its subsidiaries may be such that it becomes</w:t>
      </w:r>
      <w:r>
        <w:t xml:space="preserve"> </w:t>
      </w:r>
      <w:r w:rsidRPr="00D13030">
        <w:t>economically attractive to a</w:t>
      </w:r>
      <w:r>
        <w:t>cquire (by redemption, purchase</w:t>
      </w:r>
      <w:r w:rsidRPr="00D13030">
        <w:t>, exchange or otherwise), or otherwise satisfy,</w:t>
      </w:r>
      <w:r>
        <w:t xml:space="preserve"> </w:t>
      </w:r>
      <w:r w:rsidRPr="00D13030">
        <w:t>discharge or defease, a portion or all of certain of its or its subsidiaries long-term debt securities or equity</w:t>
      </w:r>
      <w:r>
        <w:t xml:space="preserve"> </w:t>
      </w:r>
      <w:r w:rsidRPr="00D13030">
        <w:t>securities, providing an opportunity for FPL to reduce interest or dividend expense even after accounting for</w:t>
      </w:r>
      <w:r>
        <w:t xml:space="preserve"> </w:t>
      </w:r>
      <w:r w:rsidRPr="00D13030">
        <w:t>such other considerations as the (i) redemption or other reacquisition premium, (ii) other associated</w:t>
      </w:r>
      <w:r>
        <w:t xml:space="preserve"> </w:t>
      </w:r>
      <w:r w:rsidRPr="00D13030">
        <w:t>reacquisition or discharge expenses and (iii) related income tax effects. This reduction would be beneficial to</w:t>
      </w:r>
      <w:r w:rsidR="007E7DFD">
        <w:t xml:space="preserve"> FPL’</w:t>
      </w:r>
      <w:r>
        <w:t>s customers and</w:t>
      </w:r>
      <w:r w:rsidRPr="00D13030">
        <w:t xml:space="preserve">, with proper regulatory treatment, </w:t>
      </w:r>
      <w:r>
        <w:t>would not be detrimental to FPL’</w:t>
      </w:r>
      <w:r w:rsidRPr="00D13030">
        <w:t>s common</w:t>
      </w:r>
      <w:r>
        <w:t xml:space="preserve"> </w:t>
      </w:r>
      <w:r w:rsidRPr="00D13030">
        <w:t>shareholder. Other important considerations in making such a decision would include an assessment of</w:t>
      </w:r>
      <w:r>
        <w:t xml:space="preserve"> </w:t>
      </w:r>
      <w:r w:rsidRPr="00D13030">
        <w:t>anticipated future inte</w:t>
      </w:r>
      <w:r w:rsidR="007E7DFD">
        <w:t>rest and dividend rates and FPL’</w:t>
      </w:r>
      <w:r w:rsidRPr="00D13030">
        <w:t>s ability to raise enough new capital to finance its</w:t>
      </w:r>
      <w:r>
        <w:t xml:space="preserve"> construction program whil</w:t>
      </w:r>
      <w:r w:rsidRPr="00D13030">
        <w:t xml:space="preserve">e concurrently pursuing </w:t>
      </w:r>
      <w:r>
        <w:t>any refinancing opportunities</w:t>
      </w:r>
      <w:r w:rsidRPr="00D13030">
        <w:t>. FPL might also consider</w:t>
      </w:r>
      <w:r>
        <w:t xml:space="preserve"> </w:t>
      </w:r>
      <w:r w:rsidRPr="00D13030">
        <w:t>acquiring or otherwise satisfying, discharging or defeasing a portion or all of certain of its or its subsidiaries</w:t>
      </w:r>
      <w:r>
        <w:t xml:space="preserve"> </w:t>
      </w:r>
      <w:r w:rsidRPr="00D13030">
        <w:t>long-term debt securities or equity securities for reasons other than interest or div</w:t>
      </w:r>
      <w:r>
        <w:t>idend expense reduction</w:t>
      </w:r>
      <w:r w:rsidRPr="00D13030">
        <w:t>.</w:t>
      </w:r>
    </w:p>
    <w:p w:rsidR="00D13030" w:rsidRPr="00D13030" w:rsidRDefault="00D13030" w:rsidP="00D13030">
      <w:pPr>
        <w:ind w:firstLine="720"/>
        <w:jc w:val="both"/>
      </w:pPr>
    </w:p>
    <w:p w:rsidR="006540B3" w:rsidRDefault="00D13030" w:rsidP="00D13030">
      <w:pPr>
        <w:ind w:firstLine="720"/>
        <w:jc w:val="both"/>
      </w:pPr>
      <w:r w:rsidRPr="00D13030">
        <w:t>Under future market conditions, it may be economical to enter into forward refunding or forward</w:t>
      </w:r>
      <w:r>
        <w:t xml:space="preserve"> </w:t>
      </w:r>
      <w:r w:rsidRPr="00D13030">
        <w:t>swap contracts. The forward refunding contracts would be for the purpose of refunding long-term debt</w:t>
      </w:r>
      <w:r>
        <w:t xml:space="preserve"> </w:t>
      </w:r>
      <w:r w:rsidRPr="00D13030">
        <w:t>(including but not limited to refunding Revenue Bo</w:t>
      </w:r>
      <w:r w:rsidR="007E7DFD">
        <w:t>nds) which may be issued on FPL’</w:t>
      </w:r>
      <w:r w:rsidRPr="00D13030">
        <w:t>s behalf and which can</w:t>
      </w:r>
      <w:r>
        <w:t xml:space="preserve"> </w:t>
      </w:r>
      <w:r w:rsidRPr="00D13030">
        <w:t>be callable. Under federal tax law, the refunding of Revenue Bonds with tax-exempt bonds issued more than</w:t>
      </w:r>
      <w:r>
        <w:t xml:space="preserve"> </w:t>
      </w:r>
      <w:r w:rsidRPr="00D13030">
        <w:t>90 days prior to the redemption or retirement of the outstanding issue is heavily restricted. However, through</w:t>
      </w:r>
      <w:r>
        <w:t xml:space="preserve"> </w:t>
      </w:r>
      <w:r w:rsidRPr="00D13030">
        <w:t>a forward refunding contract, FPL could lock-in prevailing tax-exempt fixed rates for refunding Revenue Bonds</w:t>
      </w:r>
      <w:r>
        <w:t xml:space="preserve"> </w:t>
      </w:r>
      <w:r w:rsidRPr="00D13030">
        <w:t>which would be issued 90 days prior to a call date of the o</w:t>
      </w:r>
      <w:r w:rsidR="007E7DFD">
        <w:t>utstanding issue. Alternatively</w:t>
      </w:r>
      <w:r w:rsidRPr="00D13030">
        <w:t>, FPL could enter</w:t>
      </w:r>
      <w:r>
        <w:t xml:space="preserve"> </w:t>
      </w:r>
      <w:r w:rsidRPr="00D13030">
        <w:t>into a forward swap contract, to become effective on a call date of the outstanding issue, to lock-in prevailing</w:t>
      </w:r>
      <w:r>
        <w:t xml:space="preserve"> tax-exempt fixed rates</w:t>
      </w:r>
      <w:r w:rsidRPr="00D13030">
        <w:t>. Any anticipated savings generated by such forward transactions would be spread</w:t>
      </w:r>
      <w:r>
        <w:t xml:space="preserve"> </w:t>
      </w:r>
      <w:r w:rsidRPr="00D13030">
        <w:t>over the combined life of the outstanding bonds and the refunding bonds starting with the execution of the</w:t>
      </w:r>
      <w:r>
        <w:t xml:space="preserve"> </w:t>
      </w:r>
      <w:r w:rsidRPr="00D13030">
        <w:t>forward contract.</w:t>
      </w:r>
    </w:p>
    <w:p w:rsidR="00D13030" w:rsidRDefault="00D13030" w:rsidP="00D13030">
      <w:pPr>
        <w:ind w:firstLine="720"/>
        <w:jc w:val="both"/>
      </w:pPr>
    </w:p>
    <w:p w:rsidR="00D13030" w:rsidRPr="006540B3" w:rsidRDefault="00D13030" w:rsidP="00D13030">
      <w:pPr>
        <w:ind w:firstLine="720"/>
        <w:jc w:val="both"/>
      </w:pPr>
      <w:r w:rsidRPr="00D13030">
        <w:lastRenderedPageBreak/>
        <w:t xml:space="preserve">In connection with </w:t>
      </w:r>
      <w:r>
        <w:t>its</w:t>
      </w:r>
      <w:r w:rsidRPr="00D13030">
        <w:t xml:space="preserve"> application, FPL confirms that the capital raised pursuant to </w:t>
      </w:r>
      <w:r>
        <w:t>its</w:t>
      </w:r>
      <w:r w:rsidRPr="00D13030">
        <w:t xml:space="preserve"> application</w:t>
      </w:r>
      <w:r>
        <w:t xml:space="preserve"> </w:t>
      </w:r>
      <w:r w:rsidRPr="00D13030">
        <w:t>will be used in connection with the regulated activities of FPL and FP</w:t>
      </w:r>
      <w:r>
        <w:t>L’s subsidiaries, including FCG</w:t>
      </w:r>
      <w:r w:rsidRPr="00D13030">
        <w:t>, as</w:t>
      </w:r>
      <w:r>
        <w:t xml:space="preserve"> described herein</w:t>
      </w:r>
      <w:r w:rsidRPr="00D13030">
        <w:t>, and not the nonregulated activities of its affiliates</w:t>
      </w:r>
      <w:r>
        <w:t>.</w:t>
      </w:r>
    </w:p>
    <w:p w:rsidR="006540B3" w:rsidRPr="005A3737" w:rsidRDefault="006540B3" w:rsidP="005A3737">
      <w:pPr>
        <w:jc w:val="both"/>
        <w:rPr>
          <w:b/>
        </w:rPr>
      </w:pPr>
    </w:p>
    <w:p w:rsidR="005A3737" w:rsidRDefault="005A3737" w:rsidP="005A3737">
      <w:pPr>
        <w:pStyle w:val="ListParagraph"/>
        <w:numPr>
          <w:ilvl w:val="1"/>
          <w:numId w:val="1"/>
        </w:numPr>
        <w:jc w:val="both"/>
        <w:rPr>
          <w:b/>
        </w:rPr>
      </w:pPr>
      <w:r>
        <w:rPr>
          <w:b/>
        </w:rPr>
        <w:t>Operations of Gulf Acquired by FPL as a Result of the Merger</w:t>
      </w:r>
    </w:p>
    <w:p w:rsidR="005A3737" w:rsidRPr="00D13030" w:rsidRDefault="005A3737" w:rsidP="005A3737">
      <w:pPr>
        <w:jc w:val="both"/>
      </w:pPr>
    </w:p>
    <w:p w:rsidR="00D13030" w:rsidRDefault="00D13030" w:rsidP="00D13030">
      <w:pPr>
        <w:ind w:firstLine="720"/>
        <w:jc w:val="both"/>
      </w:pPr>
      <w:r w:rsidRPr="00D13030">
        <w:t>It is anticipated in 2021 that Gulf will merge with and into FPL, with FPL being the surviving legal</w:t>
      </w:r>
      <w:r>
        <w:t xml:space="preserve"> </w:t>
      </w:r>
      <w:r w:rsidRPr="00D13030">
        <w:t>entity. As explained above, FPL seeks authority to issue additional long-term and short-term securities,</w:t>
      </w:r>
      <w:r>
        <w:t xml:space="preserve"> </w:t>
      </w:r>
      <w:r w:rsidRPr="00D13030">
        <w:t>contingent on the closing of the merger, to finance additional working capital and capital expenditure</w:t>
      </w:r>
      <w:r>
        <w:t xml:space="preserve"> </w:t>
      </w:r>
      <w:r w:rsidRPr="00D13030">
        <w:t>requirements of FPL during 2021 after giving effect to the merger. FPL will cause such proceeds to be</w:t>
      </w:r>
      <w:r>
        <w:t xml:space="preserve"> used for capital expenditures</w:t>
      </w:r>
      <w:r w:rsidRPr="00D13030">
        <w:t xml:space="preserve">, </w:t>
      </w:r>
      <w:r>
        <w:t>working capital requirements</w:t>
      </w:r>
      <w:r w:rsidRPr="00D13030">
        <w:t>, and general corporate purposes related to the</w:t>
      </w:r>
      <w:r>
        <w:t xml:space="preserve"> </w:t>
      </w:r>
      <w:r w:rsidRPr="00D13030">
        <w:t>regulated utility operations of Gulf acquired by FPL as a result of the merger. Unless and until otherwise</w:t>
      </w:r>
      <w:r>
        <w:t xml:space="preserve"> ordered by this</w:t>
      </w:r>
      <w:r w:rsidRPr="00D13030">
        <w:t xml:space="preserve"> Commission, FPL will maintain separate books and records for the operations of Gulf acquired</w:t>
      </w:r>
      <w:r>
        <w:t xml:space="preserve"> </w:t>
      </w:r>
      <w:r w:rsidRPr="00D13030">
        <w:t>by FPL as a result of the merger for all reg</w:t>
      </w:r>
      <w:r>
        <w:t>ulatory and ratemaking purposes</w:t>
      </w:r>
      <w:r w:rsidRPr="00D13030">
        <w:t>.</w:t>
      </w:r>
    </w:p>
    <w:p w:rsidR="00D13030" w:rsidRPr="00D13030" w:rsidRDefault="00D13030" w:rsidP="00D13030">
      <w:pPr>
        <w:ind w:firstLine="720"/>
        <w:jc w:val="both"/>
      </w:pPr>
    </w:p>
    <w:p w:rsidR="00D13030" w:rsidRPr="00D13030" w:rsidRDefault="00D13030" w:rsidP="00D13030">
      <w:pPr>
        <w:ind w:firstLine="720"/>
        <w:jc w:val="both"/>
      </w:pPr>
      <w:r w:rsidRPr="00D13030">
        <w:t>Gulf maintains a continuous construction program, principally for electric generation,</w:t>
      </w:r>
      <w:r>
        <w:t xml:space="preserve"> </w:t>
      </w:r>
      <w:r w:rsidRPr="00D13030">
        <w:t>transmission and distribution facilities. Gulf</w:t>
      </w:r>
      <w:r w:rsidR="007B3B44">
        <w:t>’</w:t>
      </w:r>
      <w:r w:rsidRPr="00D13030">
        <w:t>s long-range construction program is subject to periodic review</w:t>
      </w:r>
      <w:r>
        <w:t xml:space="preserve"> </w:t>
      </w:r>
      <w:r w:rsidRPr="00D13030">
        <w:t>and revision. The construction program referred to herein has been necessitated by continued growth in</w:t>
      </w:r>
      <w:r>
        <w:t xml:space="preserve"> the demand for service on Gulf’</w:t>
      </w:r>
      <w:r w:rsidRPr="00D13030">
        <w:t>s system and the replacement and improvements required to its existing</w:t>
      </w:r>
      <w:r>
        <w:t xml:space="preserve"> </w:t>
      </w:r>
      <w:r w:rsidRPr="00D13030">
        <w:t>system. Following the effectiveness of the merger, it is manifestly in the public interest for FPL, as</w:t>
      </w:r>
      <w:r>
        <w:t xml:space="preserve"> </w:t>
      </w:r>
      <w:r w:rsidRPr="00D13030">
        <w:t>successor to Gulf, to raise the funds which are required to perform such service. A more detailed</w:t>
      </w:r>
      <w:r>
        <w:t xml:space="preserve"> </w:t>
      </w:r>
      <w:r w:rsidRPr="00D13030">
        <w:t>description of the</w:t>
      </w:r>
      <w:r>
        <w:t>se projects is provided in Gulf’</w:t>
      </w:r>
      <w:r w:rsidRPr="00D13030">
        <w:t>s 2020 Ten-Year Site P</w:t>
      </w:r>
      <w:r w:rsidR="003644A5">
        <w:t>lan on file with this</w:t>
      </w:r>
      <w:r>
        <w:t xml:space="preserve"> Commission</w:t>
      </w:r>
      <w:r w:rsidRPr="00D13030">
        <w:t>. As</w:t>
      </w:r>
      <w:r>
        <w:t xml:space="preserve"> </w:t>
      </w:r>
      <w:r w:rsidRPr="00D13030">
        <w:t>of June 30, 2020, Gulf estimated its capital expenditures under its 2021 construction program to be</w:t>
      </w:r>
      <w:r>
        <w:t xml:space="preserve"> </w:t>
      </w:r>
      <w:r w:rsidRPr="00D13030">
        <w:t>approximately $840 million, including AFUDC (see Exhibit B</w:t>
      </w:r>
      <w:r w:rsidR="00591787">
        <w:t xml:space="preserve"> attached to FPL’s Application)</w:t>
      </w:r>
      <w:r w:rsidRPr="00D13030">
        <w:t>.</w:t>
      </w:r>
    </w:p>
    <w:p w:rsidR="00591787" w:rsidRDefault="00591787" w:rsidP="00591787">
      <w:pPr>
        <w:ind w:firstLine="720"/>
        <w:jc w:val="both"/>
      </w:pPr>
    </w:p>
    <w:p w:rsidR="00D13030" w:rsidRPr="00D13030" w:rsidRDefault="00D13030" w:rsidP="00591787">
      <w:pPr>
        <w:ind w:firstLine="720"/>
        <w:jc w:val="both"/>
      </w:pPr>
      <w:r w:rsidRPr="00D13030">
        <w:t>At present, none of the planned expenditures in 2021 requir</w:t>
      </w:r>
      <w:r w:rsidR="00591787">
        <w:t xml:space="preserve">e a certification of need by this </w:t>
      </w:r>
      <w:r w:rsidRPr="00D13030">
        <w:t>Commission under the Florida Electrical Power Plant Siting Act or the Transmission Line Siting Act.</w:t>
      </w:r>
    </w:p>
    <w:p w:rsidR="00591787" w:rsidRDefault="00591787" w:rsidP="00D13030">
      <w:pPr>
        <w:ind w:firstLine="720"/>
        <w:jc w:val="both"/>
      </w:pPr>
    </w:p>
    <w:p w:rsidR="00D13030" w:rsidRPr="00D13030" w:rsidRDefault="00D13030" w:rsidP="00591787">
      <w:pPr>
        <w:ind w:firstLine="720"/>
        <w:jc w:val="both"/>
      </w:pPr>
      <w:r w:rsidRPr="00D13030">
        <w:t xml:space="preserve">In connection with </w:t>
      </w:r>
      <w:r w:rsidR="00591787">
        <w:t>its</w:t>
      </w:r>
      <w:r w:rsidRPr="00D13030">
        <w:t xml:space="preserve"> application, FPL confirms that the</w:t>
      </w:r>
      <w:r w:rsidR="00591787">
        <w:t xml:space="preserve"> capital raised pursuant to its </w:t>
      </w:r>
      <w:r w:rsidRPr="00D13030">
        <w:t>application will be used in connection with the regu</w:t>
      </w:r>
      <w:r w:rsidR="00591787">
        <w:t>lated activities of FPL and FPL’</w:t>
      </w:r>
      <w:r w:rsidRPr="00D13030">
        <w:t>s subsidiaries, and upon</w:t>
      </w:r>
      <w:r w:rsidR="00591787">
        <w:t xml:space="preserve"> </w:t>
      </w:r>
      <w:r w:rsidRPr="00D13030">
        <w:t>effectiveness of the merger of Gulf with and into FPL, the regulated activities of Gulf acquired by FPL as a</w:t>
      </w:r>
      <w:r w:rsidR="00591787">
        <w:t xml:space="preserve"> </w:t>
      </w:r>
      <w:r w:rsidRPr="00D13030">
        <w:t>result of the merger, and not the non regulated activities of its affiliates.</w:t>
      </w:r>
    </w:p>
    <w:p w:rsidR="00D13030" w:rsidRPr="005A3737" w:rsidRDefault="00D13030" w:rsidP="005A3737">
      <w:pPr>
        <w:jc w:val="both"/>
        <w:rPr>
          <w:b/>
        </w:rPr>
      </w:pPr>
    </w:p>
    <w:p w:rsidR="005A3737" w:rsidRPr="005A3737" w:rsidRDefault="005A3737" w:rsidP="005A3737">
      <w:pPr>
        <w:pStyle w:val="ListParagraph"/>
        <w:numPr>
          <w:ilvl w:val="1"/>
          <w:numId w:val="1"/>
        </w:numPr>
        <w:jc w:val="both"/>
        <w:rPr>
          <w:b/>
        </w:rPr>
      </w:pPr>
      <w:r>
        <w:rPr>
          <w:b/>
        </w:rPr>
        <w:t>FCG</w:t>
      </w:r>
    </w:p>
    <w:p w:rsidR="005A3737" w:rsidRPr="00591787" w:rsidRDefault="005A3737" w:rsidP="005A3737">
      <w:pPr>
        <w:jc w:val="both"/>
      </w:pPr>
    </w:p>
    <w:p w:rsidR="00591787" w:rsidRPr="00591787" w:rsidRDefault="00591787" w:rsidP="00591787">
      <w:pPr>
        <w:ind w:firstLine="720"/>
        <w:jc w:val="both"/>
      </w:pPr>
      <w:r w:rsidRPr="00591787">
        <w:t>FCG will cause the proceeds from any borrowings made by FCG to be used for capital expenditures,</w:t>
      </w:r>
      <w:r>
        <w:t xml:space="preserve"> </w:t>
      </w:r>
      <w:r w:rsidRPr="00591787">
        <w:t>working capital requirements, and general co</w:t>
      </w:r>
      <w:r>
        <w:t>rporate purposes related to FCG’</w:t>
      </w:r>
      <w:r w:rsidRPr="00591787">
        <w:t>s regulated utility operations.</w:t>
      </w:r>
      <w:r>
        <w:t xml:space="preserve"> As of June 30</w:t>
      </w:r>
      <w:r w:rsidRPr="00591787">
        <w:t>, 2020, FCG estimated that capital expenditures under its 2021 construction program will be</w:t>
      </w:r>
      <w:r>
        <w:t xml:space="preserve"> </w:t>
      </w:r>
      <w:r w:rsidRPr="00591787">
        <w:t>approximately $85 million, including AFUDC (see Exhibit B</w:t>
      </w:r>
      <w:r>
        <w:t xml:space="preserve"> </w:t>
      </w:r>
      <w:r w:rsidRPr="00591787">
        <w:t>attached to FPL’s Application).</w:t>
      </w:r>
    </w:p>
    <w:p w:rsidR="00591787" w:rsidRDefault="00591787" w:rsidP="00591787">
      <w:pPr>
        <w:jc w:val="both"/>
      </w:pPr>
    </w:p>
    <w:p w:rsidR="00591787" w:rsidRDefault="00591787" w:rsidP="00591787">
      <w:pPr>
        <w:ind w:firstLine="720"/>
        <w:jc w:val="both"/>
      </w:pPr>
      <w:r w:rsidRPr="00591787">
        <w:t>Although it does not require a certificate of need, the proceeds from the loans made by FPL will be</w:t>
      </w:r>
      <w:r>
        <w:t xml:space="preserve"> </w:t>
      </w:r>
      <w:r w:rsidRPr="00591787">
        <w:t xml:space="preserve">used , in part, for the anticipated construction of a </w:t>
      </w:r>
      <w:r>
        <w:t xml:space="preserve">new Liquefied Natural Gas (LNG) </w:t>
      </w:r>
      <w:r w:rsidRPr="00591787">
        <w:t>Facility in southern</w:t>
      </w:r>
      <w:r>
        <w:t xml:space="preserve"> </w:t>
      </w:r>
      <w:r w:rsidRPr="00591787">
        <w:t>Florida in the 2021 period. As approved by th</w:t>
      </w:r>
      <w:r>
        <w:t>is</w:t>
      </w:r>
      <w:r w:rsidRPr="00591787">
        <w:t xml:space="preserve"> Commission in Order No. PSC-2018-0190-FOF-GU issued</w:t>
      </w:r>
      <w:r>
        <w:t xml:space="preserve"> </w:t>
      </w:r>
      <w:r w:rsidRPr="00591787">
        <w:t xml:space="preserve">April 20, 2018, the new LNG Facility will be capable of </w:t>
      </w:r>
      <w:r>
        <w:t>providing an additional 10,000 D</w:t>
      </w:r>
      <w:r w:rsidRPr="00591787">
        <w:t>th/day of capacity</w:t>
      </w:r>
      <w:r>
        <w:t xml:space="preserve"> </w:t>
      </w:r>
      <w:r w:rsidRPr="00591787">
        <w:t xml:space="preserve">and will include the following: (i) truck loading facilities; (ii) three storage tanks holding </w:t>
      </w:r>
      <w:r>
        <w:t>a total of 270</w:t>
      </w:r>
      <w:r w:rsidRPr="00591787">
        <w:t>,000</w:t>
      </w:r>
      <w:r>
        <w:t xml:space="preserve"> </w:t>
      </w:r>
      <w:r w:rsidRPr="00591787">
        <w:t>gallons of LNG; (iii) vaporization equipment; and (iv) other related facilities. The estimated construction</w:t>
      </w:r>
      <w:r>
        <w:t xml:space="preserve"> </w:t>
      </w:r>
      <w:r w:rsidRPr="00591787">
        <w:t>cost for the new LNG Facility is $58 million. As of June 30, 2020, development, design and construction</w:t>
      </w:r>
      <w:r>
        <w:t xml:space="preserve"> </w:t>
      </w:r>
      <w:r w:rsidRPr="00591787">
        <w:t>costs expended on the new LNG Facility were approximately $15.8 million.</w:t>
      </w:r>
    </w:p>
    <w:p w:rsidR="00591787" w:rsidRPr="00591787" w:rsidRDefault="00591787" w:rsidP="00591787">
      <w:pPr>
        <w:ind w:firstLine="720"/>
        <w:jc w:val="both"/>
      </w:pPr>
    </w:p>
    <w:p w:rsidR="005A3737" w:rsidRDefault="00591787" w:rsidP="00591787">
      <w:pPr>
        <w:ind w:firstLine="720"/>
        <w:jc w:val="both"/>
      </w:pPr>
      <w:r w:rsidRPr="00591787">
        <w:t>In connection with this application, FCG confirms that the capital raised pursuant to this application</w:t>
      </w:r>
      <w:r>
        <w:t xml:space="preserve"> </w:t>
      </w:r>
      <w:r w:rsidRPr="00591787">
        <w:t>will be used in connectio</w:t>
      </w:r>
      <w:r>
        <w:t>n with its regulated activities</w:t>
      </w:r>
      <w:r w:rsidRPr="00591787">
        <w:t>, and not the nonregulat</w:t>
      </w:r>
      <w:r>
        <w:t>ed activities of its affiliates</w:t>
      </w:r>
      <w:r w:rsidRPr="00591787">
        <w:t>.</w:t>
      </w:r>
    </w:p>
    <w:p w:rsidR="00591787" w:rsidRDefault="00591787" w:rsidP="00591787">
      <w:pPr>
        <w:jc w:val="both"/>
      </w:pPr>
    </w:p>
    <w:p w:rsidR="00591787" w:rsidRPr="00591787" w:rsidRDefault="00591787" w:rsidP="00591787">
      <w:pPr>
        <w:pStyle w:val="ListParagraph"/>
        <w:numPr>
          <w:ilvl w:val="0"/>
          <w:numId w:val="1"/>
        </w:numPr>
        <w:jc w:val="both"/>
        <w:rPr>
          <w:b/>
        </w:rPr>
      </w:pPr>
      <w:r w:rsidRPr="00591787">
        <w:rPr>
          <w:b/>
        </w:rPr>
        <w:t>Conclusion</w:t>
      </w:r>
    </w:p>
    <w:p w:rsidR="005F787C" w:rsidRPr="00591787" w:rsidRDefault="005F787C" w:rsidP="006C435A">
      <w:pPr>
        <w:autoSpaceDE w:val="0"/>
        <w:autoSpaceDN w:val="0"/>
        <w:adjustRightInd w:val="0"/>
        <w:jc w:val="both"/>
      </w:pPr>
    </w:p>
    <w:p w:rsidR="00322358" w:rsidRPr="00591787" w:rsidRDefault="005D3291" w:rsidP="005D3291">
      <w:pPr>
        <w:autoSpaceDE w:val="0"/>
        <w:autoSpaceDN w:val="0"/>
        <w:adjustRightInd w:val="0"/>
        <w:ind w:firstLine="720"/>
        <w:jc w:val="both"/>
      </w:pPr>
      <w:r>
        <w:t xml:space="preserve">Having reviewed the application, it is the finding of this Commission that the transaction described in the application will not impair the ability of FPL and FCG to perform the services of a public utility. These transactions are for such lawful purposes within the FPL and FCG’s corporate powers and, as such, the application is granted. </w:t>
      </w:r>
    </w:p>
    <w:p w:rsidR="00322358" w:rsidRPr="00591787" w:rsidRDefault="00322358" w:rsidP="005D3291">
      <w:pPr>
        <w:autoSpaceDE w:val="0"/>
        <w:autoSpaceDN w:val="0"/>
        <w:adjustRightInd w:val="0"/>
        <w:ind w:firstLine="720"/>
        <w:jc w:val="both"/>
      </w:pPr>
    </w:p>
    <w:p w:rsidR="005D3291" w:rsidRDefault="005D3291" w:rsidP="005D3291">
      <w:pPr>
        <w:autoSpaceDE w:val="0"/>
        <w:autoSpaceDN w:val="0"/>
        <w:adjustRightInd w:val="0"/>
        <w:ind w:firstLine="720"/>
        <w:jc w:val="both"/>
      </w:pPr>
      <w:r>
        <w:t xml:space="preserve">Our approval of the </w:t>
      </w:r>
      <w:r w:rsidRPr="00F1000D">
        <w:t>proposed issuance and/or sale of securities does not indicate</w:t>
      </w:r>
      <w:r>
        <w:t xml:space="preserve"> </w:t>
      </w:r>
      <w:r w:rsidRPr="00F1000D">
        <w:t>specific approval of any rates, terms, or conditions associated with the issuance. Such matters are</w:t>
      </w:r>
      <w:r>
        <w:t xml:space="preserve"> </w:t>
      </w:r>
      <w:r w:rsidRPr="00F1000D">
        <w:t>properly reserved for our review within the context of a rate proceeding. Our approval of the</w:t>
      </w:r>
      <w:r>
        <w:t xml:space="preserve"> </w:t>
      </w:r>
      <w:r w:rsidRPr="00F1000D">
        <w:t>issuance of securities constitutes approval only as to the legality of the issue. In approving the</w:t>
      </w:r>
      <w:r>
        <w:t xml:space="preserve"> </w:t>
      </w:r>
      <w:r w:rsidRPr="00F1000D">
        <w:t>subject financing, we retain the right to disallow any of the costs incurred for ratemaking</w:t>
      </w:r>
      <w:r>
        <w:t xml:space="preserve"> </w:t>
      </w:r>
      <w:r w:rsidRPr="00F1000D">
        <w:t>purposes.</w:t>
      </w:r>
    </w:p>
    <w:p w:rsidR="006C435A" w:rsidRDefault="006C435A" w:rsidP="0060449B">
      <w:pPr>
        <w:pStyle w:val="OrderBody"/>
      </w:pPr>
    </w:p>
    <w:p w:rsidR="006C435A" w:rsidRDefault="006C435A" w:rsidP="006C435A">
      <w:pPr>
        <w:pStyle w:val="OrderBody"/>
      </w:pPr>
      <w:r>
        <w:tab/>
        <w:t>Based on the foregoing, it is</w:t>
      </w:r>
    </w:p>
    <w:p w:rsidR="006C435A" w:rsidRDefault="006C435A" w:rsidP="006C435A">
      <w:pPr>
        <w:pStyle w:val="OrderBody"/>
      </w:pPr>
    </w:p>
    <w:p w:rsidR="005D3291" w:rsidRDefault="006C435A" w:rsidP="005D3291">
      <w:pPr>
        <w:pStyle w:val="OrderBody"/>
      </w:pPr>
      <w:r>
        <w:tab/>
        <w:t>ORDERED by the Florida Public Service Commission that</w:t>
      </w:r>
      <w:r w:rsidR="005D3291">
        <w:t xml:space="preserve"> the application by Florida Power &amp; Light Company and Florida City Gas to issue and sell securities pursuant to Section 366.04, Florida Statutes, and Chapter 25-8, Florida Administrative Code, is granted as set forth herein.  It is further</w:t>
      </w:r>
    </w:p>
    <w:p w:rsidR="005D3291" w:rsidRDefault="005D3291" w:rsidP="005D3291">
      <w:pPr>
        <w:pStyle w:val="OrderBody"/>
      </w:pPr>
    </w:p>
    <w:p w:rsidR="005D3291" w:rsidRDefault="005D3291" w:rsidP="005D3291">
      <w:pPr>
        <w:pStyle w:val="OrderBody"/>
        <w:ind w:firstLine="720"/>
      </w:pPr>
      <w:r>
        <w:t>ORDERED that FPL is hereby authorized to issue and sell and/or exchange any combination of long-term debt and equity securities and/or to assume liabilities or obligations as guarantor, endorser or surety in an aggregate amount not to exceed $6.35 billion during calendar year 2021, for the purposes and in the manner described in FPL’s Application.  It is further</w:t>
      </w:r>
    </w:p>
    <w:p w:rsidR="005D3291" w:rsidRDefault="005D3291" w:rsidP="005D3291">
      <w:pPr>
        <w:pStyle w:val="OrderBody"/>
      </w:pPr>
    </w:p>
    <w:p w:rsidR="005D3291" w:rsidRDefault="005D3291" w:rsidP="005D3291">
      <w:pPr>
        <w:pStyle w:val="OrderBody"/>
        <w:ind w:firstLine="720"/>
      </w:pPr>
      <w:r>
        <w:t>ORDERED that FPL is hereby authorized to issue and sell short-term securities in an amount or amounts such that the aggregate principal amount of short-term securities outstanding at the time of and including any such sale shall not exceed $4.1 billion during calendar year 2021, for the purposes and in the manner described in FPL’s Application.  It is further</w:t>
      </w:r>
    </w:p>
    <w:p w:rsidR="005D3291" w:rsidRDefault="005D3291" w:rsidP="005D3291">
      <w:pPr>
        <w:pStyle w:val="OrderBody"/>
      </w:pPr>
    </w:p>
    <w:p w:rsidR="005D3291" w:rsidRDefault="005D3291" w:rsidP="005D3291">
      <w:pPr>
        <w:pStyle w:val="OrderBody"/>
        <w:ind w:firstLine="720"/>
      </w:pPr>
      <w:r>
        <w:t>ORDERED that FCG is hereby authorized to make long-term borrowings from FPL in an aggregate principal amount not to exceed $300 million during calendar year 2021, for the purposes and in the manner described in FPL’s Application.  It is further</w:t>
      </w:r>
    </w:p>
    <w:p w:rsidR="005D3291" w:rsidRDefault="005D3291" w:rsidP="005D3291">
      <w:pPr>
        <w:pStyle w:val="OrderBody"/>
      </w:pPr>
    </w:p>
    <w:p w:rsidR="005D3291" w:rsidRDefault="005D3291" w:rsidP="005D3291">
      <w:pPr>
        <w:pStyle w:val="OrderBody"/>
        <w:ind w:firstLine="720"/>
      </w:pPr>
      <w:r>
        <w:t>ORDERED that FCG is hereby authorized to make short-term borrowings from FPL in an aggregate principal amount not to exceed $150 million at any one time during calendar year 2021, for the purposes and in the manner described in FPL’s Application.  It is further</w:t>
      </w:r>
    </w:p>
    <w:p w:rsidR="005D3291" w:rsidRDefault="005D3291" w:rsidP="005D3291">
      <w:pPr>
        <w:pStyle w:val="OrderBody"/>
      </w:pPr>
    </w:p>
    <w:p w:rsidR="005D3291" w:rsidRDefault="005D3291" w:rsidP="005D3291">
      <w:pPr>
        <w:pStyle w:val="OrderBody"/>
        <w:ind w:firstLine="720"/>
      </w:pPr>
      <w:r>
        <w:t>ORDERED that, upon the effectiveness of the merger of Gulf</w:t>
      </w:r>
      <w:r w:rsidR="00BE4F0B">
        <w:t xml:space="preserve"> </w:t>
      </w:r>
      <w:r w:rsidR="00BE4F0B" w:rsidRPr="006C435A">
        <w:t>Power Company</w:t>
      </w:r>
      <w:r>
        <w:t xml:space="preserve"> with and into FPL, FPL is authorized to:  (i) issue and sell and/or exchange any combination of long-term debt and equity securities and/or to assume liabilities or obligations as guarantor, endorser or surety, together with the aggregate principal amount of long-term debt and equity securities issued by Gulf and liabilities and obligations assumed by Gulf as guarantor, endorser or surety, in each case issued or assumed by Gulf during calendar year 2021 prior to the effectiveness of the merger, in an aggregate principal amount not to exceed $7.85 billion for the purposes and in the manner described in FPL’s Application; and (ii) issue and sell short-term securities during calendar year 2021 in an amount or amounts such that the aggregate principal amount of short-term securities outstanding at the time of and including any such sale shall not exceed $4.9 billion for the purposes and in the manner described in FPL’s Application.  It is further</w:t>
      </w:r>
    </w:p>
    <w:p w:rsidR="009128FF" w:rsidRDefault="009128FF" w:rsidP="005D3291">
      <w:pPr>
        <w:pStyle w:val="OrderBody"/>
        <w:ind w:firstLine="720"/>
      </w:pPr>
    </w:p>
    <w:p w:rsidR="009128FF" w:rsidRPr="009128FF" w:rsidRDefault="009128FF" w:rsidP="009128FF">
      <w:pPr>
        <w:pStyle w:val="OrderBody"/>
        <w:ind w:firstLine="720"/>
      </w:pPr>
      <w:r>
        <w:t xml:space="preserve">ORDERED that, </w:t>
      </w:r>
      <w:r w:rsidRPr="009128FF">
        <w:t xml:space="preserve">if and when the merger of Gulf with and into Florida Power &amp; Light Company occurs, </w:t>
      </w:r>
      <w:r>
        <w:t>FPL</w:t>
      </w:r>
      <w:r w:rsidRPr="009128FF">
        <w:t xml:space="preserve"> shall provide the Commission with prompt notice of the effective date of closing of the merger and, upon such notice, the authority granted </w:t>
      </w:r>
      <w:r w:rsidR="00982196">
        <w:t xml:space="preserve">under the Commission Order </w:t>
      </w:r>
      <w:r>
        <w:t>in Docket No. 20200187-EI</w:t>
      </w:r>
      <w:r w:rsidRPr="009128FF">
        <w:t xml:space="preserve"> shall terminate as of the effective date of the closing of the merger.  It is further</w:t>
      </w:r>
    </w:p>
    <w:p w:rsidR="005D3291" w:rsidRDefault="005D3291" w:rsidP="005D3291">
      <w:pPr>
        <w:pStyle w:val="OrderBody"/>
      </w:pPr>
    </w:p>
    <w:p w:rsidR="005D3291" w:rsidRDefault="005D3291" w:rsidP="005D3291">
      <w:pPr>
        <w:pStyle w:val="OrderBody"/>
        <w:ind w:firstLine="720"/>
      </w:pPr>
      <w:r>
        <w:t>ORDERED that the Applicants shall file a consummation report in compliance with Rule 25-8.009, Florida Administrative Code, within 90 days of the end of any fiscal year in which it issues any securities authorized by this Order. It is further</w:t>
      </w:r>
    </w:p>
    <w:p w:rsidR="005D3291" w:rsidRDefault="005D3291" w:rsidP="005D3291">
      <w:pPr>
        <w:pStyle w:val="OrderBody"/>
      </w:pPr>
    </w:p>
    <w:p w:rsidR="005D3291" w:rsidRDefault="005D3291" w:rsidP="005D3291">
      <w:pPr>
        <w:pStyle w:val="OrderBody"/>
        <w:ind w:firstLine="720"/>
      </w:pPr>
      <w:r>
        <w:t>ORDERED that this docket shall remain open until May 2, 2022, to monitor the issuance and/or sale of securities until the Applicants submit and Commission staff has reviewed the Consummation Report, at which time it shall be closed administratively.</w:t>
      </w:r>
    </w:p>
    <w:p w:rsidR="006C435A" w:rsidRDefault="006C435A" w:rsidP="006C435A">
      <w:pPr>
        <w:pStyle w:val="OrderBody"/>
        <w:keepNext/>
        <w:keepLines/>
      </w:pPr>
      <w:r>
        <w:lastRenderedPageBreak/>
        <w:tab/>
        <w:t xml:space="preserve">By ORDER of the Florida Public Service Commission this </w:t>
      </w:r>
      <w:bookmarkStart w:id="6" w:name="replaceDate"/>
      <w:bookmarkEnd w:id="6"/>
      <w:r w:rsidR="00366891">
        <w:rPr>
          <w:u w:val="single"/>
        </w:rPr>
        <w:t>26th</w:t>
      </w:r>
      <w:r w:rsidR="00366891">
        <w:t xml:space="preserve"> day of </w:t>
      </w:r>
      <w:r w:rsidR="00366891">
        <w:rPr>
          <w:u w:val="single"/>
        </w:rPr>
        <w:t>October</w:t>
      </w:r>
      <w:r w:rsidR="00366891">
        <w:t xml:space="preserve">, </w:t>
      </w:r>
      <w:r w:rsidR="00366891">
        <w:rPr>
          <w:u w:val="single"/>
        </w:rPr>
        <w:t>2020</w:t>
      </w:r>
      <w:r w:rsidR="00366891">
        <w:t>.</w:t>
      </w:r>
    </w:p>
    <w:p w:rsidR="00366891" w:rsidRPr="00366891" w:rsidRDefault="00366891" w:rsidP="006C435A">
      <w:pPr>
        <w:pStyle w:val="OrderBody"/>
        <w:keepNext/>
        <w:keepLines/>
      </w:pPr>
    </w:p>
    <w:p w:rsidR="006C435A" w:rsidRDefault="006C435A" w:rsidP="006C435A">
      <w:pPr>
        <w:pStyle w:val="OrderBody"/>
        <w:keepNext/>
        <w:keepLines/>
      </w:pPr>
    </w:p>
    <w:p w:rsidR="006C435A" w:rsidRDefault="006C435A" w:rsidP="006C435A">
      <w:pPr>
        <w:pStyle w:val="OrderBody"/>
        <w:keepNext/>
        <w:keepLines/>
      </w:pPr>
    </w:p>
    <w:p w:rsidR="00366891" w:rsidRDefault="00366891" w:rsidP="006C435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C435A" w:rsidTr="006C435A">
        <w:tc>
          <w:tcPr>
            <w:tcW w:w="720" w:type="dxa"/>
            <w:shd w:val="clear" w:color="auto" w:fill="auto"/>
          </w:tcPr>
          <w:p w:rsidR="006C435A" w:rsidRDefault="006C435A" w:rsidP="006C435A">
            <w:pPr>
              <w:pStyle w:val="OrderBody"/>
              <w:keepNext/>
              <w:keepLines/>
            </w:pPr>
            <w:bookmarkStart w:id="7" w:name="bkmrkSignature" w:colFirst="0" w:colLast="0"/>
          </w:p>
        </w:tc>
        <w:tc>
          <w:tcPr>
            <w:tcW w:w="4320" w:type="dxa"/>
            <w:tcBorders>
              <w:bottom w:val="single" w:sz="4" w:space="0" w:color="auto"/>
            </w:tcBorders>
            <w:shd w:val="clear" w:color="auto" w:fill="auto"/>
          </w:tcPr>
          <w:p w:rsidR="006C435A" w:rsidRDefault="006A3507" w:rsidP="006C435A">
            <w:pPr>
              <w:pStyle w:val="OrderBody"/>
              <w:keepNext/>
              <w:keepLines/>
            </w:pPr>
            <w:r>
              <w:t>/s/ Adam J. Teitzman</w:t>
            </w:r>
            <w:bookmarkStart w:id="8" w:name="_GoBack"/>
            <w:bookmarkEnd w:id="8"/>
          </w:p>
        </w:tc>
      </w:tr>
      <w:bookmarkEnd w:id="7"/>
      <w:tr w:rsidR="006C435A" w:rsidTr="006C435A">
        <w:tc>
          <w:tcPr>
            <w:tcW w:w="720" w:type="dxa"/>
            <w:shd w:val="clear" w:color="auto" w:fill="auto"/>
          </w:tcPr>
          <w:p w:rsidR="006C435A" w:rsidRDefault="006C435A" w:rsidP="006C435A">
            <w:pPr>
              <w:pStyle w:val="OrderBody"/>
              <w:keepNext/>
              <w:keepLines/>
            </w:pPr>
          </w:p>
        </w:tc>
        <w:tc>
          <w:tcPr>
            <w:tcW w:w="4320" w:type="dxa"/>
            <w:tcBorders>
              <w:top w:val="single" w:sz="4" w:space="0" w:color="auto"/>
            </w:tcBorders>
            <w:shd w:val="clear" w:color="auto" w:fill="auto"/>
          </w:tcPr>
          <w:p w:rsidR="006C435A" w:rsidRDefault="006C435A" w:rsidP="006C435A">
            <w:pPr>
              <w:pStyle w:val="OrderBody"/>
              <w:keepNext/>
              <w:keepLines/>
            </w:pPr>
            <w:r>
              <w:t>ADAM J. TEITZMAN</w:t>
            </w:r>
          </w:p>
          <w:p w:rsidR="006C435A" w:rsidRDefault="006C435A" w:rsidP="006C435A">
            <w:pPr>
              <w:pStyle w:val="OrderBody"/>
              <w:keepNext/>
              <w:keepLines/>
            </w:pPr>
            <w:r>
              <w:t>Commission Clerk</w:t>
            </w:r>
          </w:p>
        </w:tc>
      </w:tr>
    </w:tbl>
    <w:p w:rsidR="006C435A" w:rsidRDefault="006C435A" w:rsidP="006C435A">
      <w:pPr>
        <w:pStyle w:val="OrderSigInfo"/>
        <w:keepNext/>
        <w:keepLines/>
      </w:pPr>
      <w:r>
        <w:t>Florida Public Service Commission</w:t>
      </w:r>
    </w:p>
    <w:p w:rsidR="006C435A" w:rsidRDefault="006C435A" w:rsidP="006C435A">
      <w:pPr>
        <w:pStyle w:val="OrderSigInfo"/>
        <w:keepNext/>
        <w:keepLines/>
      </w:pPr>
      <w:r>
        <w:t>2540 Shumard Oak Boulevard</w:t>
      </w:r>
    </w:p>
    <w:p w:rsidR="006C435A" w:rsidRDefault="006C435A" w:rsidP="006C435A">
      <w:pPr>
        <w:pStyle w:val="OrderSigInfo"/>
        <w:keepNext/>
        <w:keepLines/>
      </w:pPr>
      <w:r>
        <w:t>Tallahassee, Florida 32399</w:t>
      </w:r>
    </w:p>
    <w:p w:rsidR="006C435A" w:rsidRDefault="006C435A" w:rsidP="006C435A">
      <w:pPr>
        <w:pStyle w:val="OrderSigInfo"/>
        <w:keepNext/>
        <w:keepLines/>
      </w:pPr>
      <w:r>
        <w:t>(850) 413</w:t>
      </w:r>
      <w:r>
        <w:noBreakHyphen/>
        <w:t>6770</w:t>
      </w:r>
    </w:p>
    <w:p w:rsidR="006C435A" w:rsidRDefault="006C435A" w:rsidP="006C435A">
      <w:pPr>
        <w:pStyle w:val="OrderSigInfo"/>
        <w:keepNext/>
        <w:keepLines/>
      </w:pPr>
      <w:r>
        <w:t>www.floridapsc.com</w:t>
      </w:r>
    </w:p>
    <w:p w:rsidR="006C435A" w:rsidRDefault="006C435A" w:rsidP="006C435A">
      <w:pPr>
        <w:pStyle w:val="OrderSigInfo"/>
        <w:keepNext/>
        <w:keepLines/>
      </w:pPr>
    </w:p>
    <w:p w:rsidR="006C435A" w:rsidRDefault="006C435A" w:rsidP="006C435A">
      <w:pPr>
        <w:pStyle w:val="OrderSigInfo"/>
        <w:keepNext/>
        <w:keepLines/>
      </w:pPr>
      <w:r>
        <w:t>Copies furnished:  A copy of this document is provided to the parties of record at the time of issuance and, if applicable, interested persons.</w:t>
      </w:r>
    </w:p>
    <w:p w:rsidR="006C435A" w:rsidRDefault="006C435A" w:rsidP="006C435A">
      <w:pPr>
        <w:pStyle w:val="OrderBody"/>
        <w:keepNext/>
        <w:keepLines/>
      </w:pPr>
    </w:p>
    <w:p w:rsidR="006C435A" w:rsidRDefault="006C435A" w:rsidP="006C435A">
      <w:pPr>
        <w:pStyle w:val="OrderBody"/>
        <w:keepNext/>
        <w:keepLines/>
      </w:pPr>
    </w:p>
    <w:p w:rsidR="006C435A" w:rsidRDefault="006C435A" w:rsidP="006C435A">
      <w:pPr>
        <w:pStyle w:val="OrderBody"/>
        <w:keepNext/>
        <w:keepLines/>
      </w:pPr>
      <w:r>
        <w:t>BYL</w:t>
      </w:r>
    </w:p>
    <w:p w:rsidR="006C435A" w:rsidRDefault="006C435A" w:rsidP="006C435A">
      <w:pPr>
        <w:pStyle w:val="OrderBody"/>
      </w:pPr>
    </w:p>
    <w:p w:rsidR="006C435A" w:rsidRDefault="006C435A" w:rsidP="006C435A">
      <w:pPr>
        <w:pStyle w:val="OrderBody"/>
      </w:pPr>
    </w:p>
    <w:p w:rsidR="006C435A" w:rsidRDefault="006C435A" w:rsidP="006C435A">
      <w:pPr>
        <w:pStyle w:val="CenterUnderline"/>
      </w:pPr>
      <w:r>
        <w:t>NOTICE OF FURTHER PROCEEDINGS OR JUDICIAL REVIEW</w:t>
      </w:r>
    </w:p>
    <w:p w:rsidR="00D57E57" w:rsidRDefault="00D57E57" w:rsidP="006C435A">
      <w:pPr>
        <w:pStyle w:val="CenterUnderline"/>
      </w:pPr>
    </w:p>
    <w:p w:rsidR="006C435A" w:rsidRDefault="006C435A" w:rsidP="006C435A">
      <w:pPr>
        <w:pStyle w:val="OrderBody"/>
      </w:pPr>
    </w:p>
    <w:p w:rsidR="006C435A" w:rsidRDefault="006C435A" w:rsidP="006C435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C435A" w:rsidRDefault="006C435A" w:rsidP="006C435A">
      <w:pPr>
        <w:pStyle w:val="OrderBody"/>
      </w:pPr>
    </w:p>
    <w:p w:rsidR="006C435A" w:rsidRDefault="006C435A" w:rsidP="006C435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C435A" w:rsidRDefault="006C435A" w:rsidP="006C435A">
      <w:pPr>
        <w:pStyle w:val="OrderBody"/>
      </w:pPr>
    </w:p>
    <w:p w:rsidR="006C435A" w:rsidRDefault="006C435A" w:rsidP="006C435A">
      <w:pPr>
        <w:pStyle w:val="OrderBody"/>
      </w:pPr>
    </w:p>
    <w:sectPr w:rsidR="006C435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0B3" w:rsidRDefault="006540B3">
      <w:r>
        <w:separator/>
      </w:r>
    </w:p>
  </w:endnote>
  <w:endnote w:type="continuationSeparator" w:id="0">
    <w:p w:rsidR="006540B3" w:rsidRDefault="0065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0B3" w:rsidRDefault="006540B3">
    <w:pPr>
      <w:pStyle w:val="Footer"/>
    </w:pPr>
  </w:p>
  <w:p w:rsidR="006540B3" w:rsidRDefault="00654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0B3" w:rsidRDefault="006540B3">
      <w:r>
        <w:separator/>
      </w:r>
    </w:p>
  </w:footnote>
  <w:footnote w:type="continuationSeparator" w:id="0">
    <w:p w:rsidR="006540B3" w:rsidRDefault="006540B3">
      <w:r>
        <w:continuationSeparator/>
      </w:r>
    </w:p>
  </w:footnote>
  <w:footnote w:id="1">
    <w:p w:rsidR="006540B3" w:rsidRDefault="006540B3" w:rsidP="006C435A">
      <w:pPr>
        <w:pStyle w:val="FootnoteText"/>
      </w:pPr>
      <w:r>
        <w:rPr>
          <w:rStyle w:val="FootnoteReference"/>
        </w:rPr>
        <w:footnoteRef/>
      </w:r>
      <w:r>
        <w:t xml:space="preserve"> The companion securities docket for Gulf is Docket No. 20200187-EI, </w:t>
      </w:r>
      <w:r w:rsidRPr="00F247AB">
        <w:rPr>
          <w:i/>
        </w:rPr>
        <w:t>In re: Application for authority to issue and sell securities during calendar year 2021, pursuant to Section 366.04, F.S., and Chapter 25-8, F.A.C., by Gulf Power Company</w:t>
      </w:r>
      <w:r>
        <w:t>.</w:t>
      </w:r>
    </w:p>
  </w:footnote>
  <w:footnote w:id="2">
    <w:p w:rsidR="006540B3" w:rsidRDefault="006540B3" w:rsidP="005F787C">
      <w:pPr>
        <w:pStyle w:val="FootnoteText"/>
      </w:pPr>
      <w:r>
        <w:rPr>
          <w:rStyle w:val="FootnoteReference"/>
        </w:rPr>
        <w:footnoteRef/>
      </w:r>
      <w:r>
        <w:t xml:space="preserve"> </w:t>
      </w:r>
      <w:r w:rsidRPr="005F787C">
        <w:t xml:space="preserve">Following the legal merger, FPL </w:t>
      </w:r>
      <w:r>
        <w:t>shall</w:t>
      </w:r>
      <w:r w:rsidRPr="005F787C">
        <w:t>, unless an</w:t>
      </w:r>
      <w:r>
        <w:t>d until otherwise ordered by this</w:t>
      </w:r>
      <w:r w:rsidRPr="005F787C">
        <w:t xml:space="preserve"> Commission, maintain</w:t>
      </w:r>
      <w:r>
        <w:t xml:space="preserve"> </w:t>
      </w:r>
      <w:r w:rsidRPr="005F787C">
        <w:t>separate books and records for the operations of Gulf acquired by FPL as a result of the merger for all</w:t>
      </w:r>
      <w:r>
        <w:t xml:space="preserve"> </w:t>
      </w:r>
      <w:r w:rsidRPr="005F787C">
        <w:t>regulatory and ratemaking purposes, and Gulf will continue to be operated as a separate regulatory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0B3" w:rsidRDefault="006540B3">
    <w:pPr>
      <w:pStyle w:val="OrderHeader"/>
    </w:pPr>
    <w:r>
      <w:t xml:space="preserve">ORDER NO. </w:t>
    </w:r>
    <w:r w:rsidR="006A3507">
      <w:fldChar w:fldCharType="begin"/>
    </w:r>
    <w:r w:rsidR="006A3507">
      <w:instrText xml:space="preserve"> REF OrderNo0401 </w:instrText>
    </w:r>
    <w:r w:rsidR="006A3507">
      <w:fldChar w:fldCharType="separate"/>
    </w:r>
    <w:r w:rsidR="006A3507">
      <w:t>PSC-2020-0401-FOF-EI</w:t>
    </w:r>
    <w:r w:rsidR="006A3507">
      <w:fldChar w:fldCharType="end"/>
    </w:r>
  </w:p>
  <w:p w:rsidR="006540B3" w:rsidRDefault="006540B3">
    <w:pPr>
      <w:pStyle w:val="OrderHeader"/>
    </w:pPr>
    <w:bookmarkStart w:id="9" w:name="HeaderDocketNo"/>
    <w:bookmarkEnd w:id="9"/>
    <w:r>
      <w:t>DOCKET NO. 20200188-EI</w:t>
    </w:r>
  </w:p>
  <w:p w:rsidR="006540B3" w:rsidRDefault="006540B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3507">
      <w:rPr>
        <w:rStyle w:val="PageNumber"/>
        <w:noProof/>
      </w:rPr>
      <w:t>13</w:t>
    </w:r>
    <w:r>
      <w:rPr>
        <w:rStyle w:val="PageNumber"/>
      </w:rPr>
      <w:fldChar w:fldCharType="end"/>
    </w:r>
  </w:p>
  <w:p w:rsidR="006540B3" w:rsidRDefault="006540B3">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25F12"/>
    <w:multiLevelType w:val="hybridMultilevel"/>
    <w:tmpl w:val="F60E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F366C"/>
    <w:multiLevelType w:val="hybridMultilevel"/>
    <w:tmpl w:val="10AC0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AF81EEF"/>
    <w:multiLevelType w:val="hybridMultilevel"/>
    <w:tmpl w:val="B074FBE4"/>
    <w:lvl w:ilvl="0" w:tplc="E99209C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88-EI"/>
  </w:docVars>
  <w:rsids>
    <w:rsidRoot w:val="006C435A"/>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2A9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2A37"/>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2358"/>
    <w:rsid w:val="003231C7"/>
    <w:rsid w:val="00323839"/>
    <w:rsid w:val="003270C4"/>
    <w:rsid w:val="00331ED0"/>
    <w:rsid w:val="00332B0A"/>
    <w:rsid w:val="00333A41"/>
    <w:rsid w:val="00345434"/>
    <w:rsid w:val="0035495B"/>
    <w:rsid w:val="00355A93"/>
    <w:rsid w:val="00361522"/>
    <w:rsid w:val="003644A5"/>
    <w:rsid w:val="00366891"/>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802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76057"/>
    <w:rsid w:val="0058264B"/>
    <w:rsid w:val="005868AA"/>
    <w:rsid w:val="00590845"/>
    <w:rsid w:val="00591787"/>
    <w:rsid w:val="005963C2"/>
    <w:rsid w:val="005A0D69"/>
    <w:rsid w:val="005A31F4"/>
    <w:rsid w:val="005A3737"/>
    <w:rsid w:val="005A73EA"/>
    <w:rsid w:val="005B45F7"/>
    <w:rsid w:val="005B63EA"/>
    <w:rsid w:val="005C1A88"/>
    <w:rsid w:val="005C5033"/>
    <w:rsid w:val="005D3291"/>
    <w:rsid w:val="005E751B"/>
    <w:rsid w:val="005F3354"/>
    <w:rsid w:val="005F787C"/>
    <w:rsid w:val="0060005E"/>
    <w:rsid w:val="0060095B"/>
    <w:rsid w:val="00601266"/>
    <w:rsid w:val="0060449B"/>
    <w:rsid w:val="00610221"/>
    <w:rsid w:val="00610E73"/>
    <w:rsid w:val="00616DF2"/>
    <w:rsid w:val="0063168D"/>
    <w:rsid w:val="00647025"/>
    <w:rsid w:val="0064730A"/>
    <w:rsid w:val="006531A4"/>
    <w:rsid w:val="006540B3"/>
    <w:rsid w:val="00660774"/>
    <w:rsid w:val="0066389A"/>
    <w:rsid w:val="0066495C"/>
    <w:rsid w:val="00665CC7"/>
    <w:rsid w:val="00672612"/>
    <w:rsid w:val="00677F18"/>
    <w:rsid w:val="00693483"/>
    <w:rsid w:val="006A0BF3"/>
    <w:rsid w:val="006A3507"/>
    <w:rsid w:val="006B0036"/>
    <w:rsid w:val="006B0DA6"/>
    <w:rsid w:val="006C435A"/>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B3B44"/>
    <w:rsid w:val="007C0FBC"/>
    <w:rsid w:val="007C36E3"/>
    <w:rsid w:val="007C7134"/>
    <w:rsid w:val="007D3D20"/>
    <w:rsid w:val="007D742E"/>
    <w:rsid w:val="007E3AFD"/>
    <w:rsid w:val="007E7DFD"/>
    <w:rsid w:val="00801DAD"/>
    <w:rsid w:val="00803189"/>
    <w:rsid w:val="00804E7A"/>
    <w:rsid w:val="00805FBB"/>
    <w:rsid w:val="008169A4"/>
    <w:rsid w:val="00816BD3"/>
    <w:rsid w:val="008278FE"/>
    <w:rsid w:val="00832598"/>
    <w:rsid w:val="0083397E"/>
    <w:rsid w:val="0083534B"/>
    <w:rsid w:val="0084194D"/>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28FF"/>
    <w:rsid w:val="009163E8"/>
    <w:rsid w:val="009228C7"/>
    <w:rsid w:val="00922A7F"/>
    <w:rsid w:val="00923A5E"/>
    <w:rsid w:val="00924FE7"/>
    <w:rsid w:val="00926E27"/>
    <w:rsid w:val="00931C8C"/>
    <w:rsid w:val="00943D21"/>
    <w:rsid w:val="0094504B"/>
    <w:rsid w:val="00964A38"/>
    <w:rsid w:val="00966A9D"/>
    <w:rsid w:val="0096742B"/>
    <w:rsid w:val="009718C5"/>
    <w:rsid w:val="00982196"/>
    <w:rsid w:val="009924CF"/>
    <w:rsid w:val="00994100"/>
    <w:rsid w:val="009A6B17"/>
    <w:rsid w:val="009D4C29"/>
    <w:rsid w:val="009F6AD2"/>
    <w:rsid w:val="00A00D8D"/>
    <w:rsid w:val="00A01BB6"/>
    <w:rsid w:val="00A20A24"/>
    <w:rsid w:val="00A4303C"/>
    <w:rsid w:val="00A46CAF"/>
    <w:rsid w:val="00A470FD"/>
    <w:rsid w:val="00A50B5E"/>
    <w:rsid w:val="00A62DAB"/>
    <w:rsid w:val="00A6757A"/>
    <w:rsid w:val="00A726A6"/>
    <w:rsid w:val="00A74842"/>
    <w:rsid w:val="00A97535"/>
    <w:rsid w:val="00AA2BAA"/>
    <w:rsid w:val="00AA2DDB"/>
    <w:rsid w:val="00AA6516"/>
    <w:rsid w:val="00AA73F1"/>
    <w:rsid w:val="00AB0E1A"/>
    <w:rsid w:val="00AB1A30"/>
    <w:rsid w:val="00AB3C36"/>
    <w:rsid w:val="00AB3D30"/>
    <w:rsid w:val="00AD10EB"/>
    <w:rsid w:val="00AD1ED3"/>
    <w:rsid w:val="00AF46FB"/>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1834"/>
    <w:rsid w:val="00B86EF0"/>
    <w:rsid w:val="00B96969"/>
    <w:rsid w:val="00B97900"/>
    <w:rsid w:val="00BA1229"/>
    <w:rsid w:val="00BA44A8"/>
    <w:rsid w:val="00BA49C5"/>
    <w:rsid w:val="00BC786E"/>
    <w:rsid w:val="00BD5C92"/>
    <w:rsid w:val="00BE4F0B"/>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030"/>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87A2F"/>
    <w:rsid w:val="00DA4EDD"/>
    <w:rsid w:val="00DA6B78"/>
    <w:rsid w:val="00DC1D94"/>
    <w:rsid w:val="00DC42CF"/>
    <w:rsid w:val="00DE057F"/>
    <w:rsid w:val="00DE2082"/>
    <w:rsid w:val="00DE2289"/>
    <w:rsid w:val="00DF09A7"/>
    <w:rsid w:val="00DF2B51"/>
    <w:rsid w:val="00E001D6"/>
    <w:rsid w:val="00E004F5"/>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C369B"/>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EC369B"/>
    <w:pPr>
      <w:ind w:left="720"/>
      <w:contextualSpacing/>
    </w:pPr>
  </w:style>
  <w:style w:type="paragraph" w:styleId="BalloonText">
    <w:name w:val="Balloon Text"/>
    <w:basedOn w:val="Normal"/>
    <w:link w:val="BalloonTextChar"/>
    <w:semiHidden/>
    <w:unhideWhenUsed/>
    <w:rsid w:val="006A3507"/>
    <w:rPr>
      <w:rFonts w:ascii="Segoe UI" w:hAnsi="Segoe UI" w:cs="Segoe UI"/>
      <w:sz w:val="18"/>
      <w:szCs w:val="18"/>
    </w:rPr>
  </w:style>
  <w:style w:type="character" w:customStyle="1" w:styleId="BalloonTextChar">
    <w:name w:val="Balloon Text Char"/>
    <w:basedOn w:val="DefaultParagraphFont"/>
    <w:link w:val="BalloonText"/>
    <w:semiHidden/>
    <w:rsid w:val="006A35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91295-0CA3-4C6E-9B0E-40490936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13</Pages>
  <Words>5732</Words>
  <Characters>32679</Characters>
  <Application>Microsoft Office Word</Application>
  <DocSecurity>0</DocSecurity>
  <Lines>272</Lines>
  <Paragraphs>76</Paragraphs>
  <ScaleCrop>false</ScaleCrop>
  <Company/>
  <LinksUpToDate>false</LinksUpToDate>
  <CharactersWithSpaces>38335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2020-10-26T15:36:00Z</dcterms:created>
  <dcterms:modified xsi:type="dcterms:W3CDTF">2020-10-26T19:33:00Z</dcterms:modified>
</cp:coreProperties>
</file>