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B14A7" w:rsidP="00FB14A7">
      <w:pPr>
        <w:pStyle w:val="OrderHeading"/>
      </w:pPr>
      <w:r>
        <w:t>BEFORE THE FLORIDA PUBLIC SERVICE COMMISSION</w:t>
      </w:r>
    </w:p>
    <w:p w:rsidR="00FB14A7" w:rsidRDefault="00FB14A7" w:rsidP="00FB14A7">
      <w:pPr>
        <w:pStyle w:val="OrderBody"/>
      </w:pPr>
    </w:p>
    <w:p w:rsidR="00FB14A7" w:rsidRDefault="00FB14A7" w:rsidP="00FB14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B14A7" w:rsidRPr="00C63FCF" w:rsidTr="00C63FCF">
        <w:trPr>
          <w:trHeight w:val="828"/>
        </w:trPr>
        <w:tc>
          <w:tcPr>
            <w:tcW w:w="4788" w:type="dxa"/>
            <w:tcBorders>
              <w:bottom w:val="single" w:sz="8" w:space="0" w:color="auto"/>
              <w:right w:val="double" w:sz="6" w:space="0" w:color="auto"/>
            </w:tcBorders>
            <w:shd w:val="clear" w:color="auto" w:fill="auto"/>
          </w:tcPr>
          <w:p w:rsidR="00FB14A7" w:rsidRDefault="00FB14A7"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FB14A7" w:rsidRDefault="00FB14A7" w:rsidP="00FB14A7">
            <w:pPr>
              <w:pStyle w:val="OrderBody"/>
            </w:pPr>
            <w:r>
              <w:t xml:space="preserve">DOCKET NO. </w:t>
            </w:r>
            <w:bookmarkStart w:id="1" w:name="SSDocketNo"/>
            <w:bookmarkEnd w:id="1"/>
            <w:r>
              <w:t>20220069-GU</w:t>
            </w:r>
          </w:p>
          <w:p w:rsidR="00FB14A7" w:rsidRDefault="00FB14A7" w:rsidP="00C63FCF">
            <w:pPr>
              <w:pStyle w:val="OrderBody"/>
              <w:tabs>
                <w:tab w:val="center" w:pos="4320"/>
                <w:tab w:val="right" w:pos="8640"/>
              </w:tabs>
              <w:jc w:val="left"/>
            </w:pPr>
            <w:r>
              <w:t xml:space="preserve">ORDER NO. </w:t>
            </w:r>
            <w:bookmarkStart w:id="2" w:name="OrderNo0224"/>
            <w:r w:rsidR="00FD0D4E">
              <w:t>PSC-2022-0224-PCO-GU</w:t>
            </w:r>
            <w:bookmarkEnd w:id="2"/>
          </w:p>
          <w:p w:rsidR="00FB14A7" w:rsidRDefault="00FB14A7" w:rsidP="00C63FCF">
            <w:pPr>
              <w:pStyle w:val="OrderBody"/>
              <w:tabs>
                <w:tab w:val="center" w:pos="4320"/>
                <w:tab w:val="right" w:pos="8640"/>
              </w:tabs>
              <w:jc w:val="left"/>
            </w:pPr>
            <w:r>
              <w:t xml:space="preserve">ISSUED: </w:t>
            </w:r>
            <w:r w:rsidR="00FD0D4E">
              <w:t>June 22, 2022</w:t>
            </w:r>
          </w:p>
        </w:tc>
      </w:tr>
    </w:tbl>
    <w:p w:rsidR="00FB14A7" w:rsidRDefault="00FB14A7" w:rsidP="00FB14A7"/>
    <w:p w:rsidR="00FB14A7" w:rsidRDefault="00FB14A7" w:rsidP="00FB14A7"/>
    <w:p w:rsidR="00CB5276" w:rsidRDefault="00FB14A7" w:rsidP="00FB14A7">
      <w:pPr>
        <w:pStyle w:val="CenterUnderline"/>
      </w:pPr>
      <w:bookmarkStart w:id="3" w:name="Commissioners"/>
      <w:bookmarkEnd w:id="3"/>
      <w:r>
        <w:t>ORDER</w:t>
      </w:r>
      <w:bookmarkStart w:id="4" w:name="OrderTitle"/>
      <w:r>
        <w:t xml:space="preserve"> ESTABLISHING PROCEDURE </w:t>
      </w:r>
      <w:bookmarkEnd w:id="4"/>
    </w:p>
    <w:p w:rsidR="00FB14A7" w:rsidRDefault="00FB14A7" w:rsidP="00FB14A7">
      <w:pPr>
        <w:pStyle w:val="CenterUnderline"/>
      </w:pPr>
    </w:p>
    <w:p w:rsidR="00FB14A7" w:rsidRDefault="00FB14A7" w:rsidP="00FB14A7">
      <w:pPr>
        <w:pStyle w:val="OrderBody"/>
      </w:pPr>
    </w:p>
    <w:p w:rsidR="00FB14A7" w:rsidRDefault="00FB14A7"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Pr>
          <w:b/>
          <w:bCs/>
        </w:rPr>
        <w:t>I.</w:t>
      </w:r>
      <w:r>
        <w:rPr>
          <w:b/>
          <w:bCs/>
        </w:rPr>
        <w:tab/>
      </w:r>
      <w:r>
        <w:rPr>
          <w:b/>
          <w:bCs/>
          <w:u w:val="single"/>
        </w:rPr>
        <w:t>Case Background</w:t>
      </w:r>
    </w:p>
    <w:p w:rsidR="00FB14A7" w:rsidRDefault="00FB14A7"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2078B" w:rsidRDefault="00FB14A7" w:rsidP="00420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2078B" w:rsidRPr="004F5D71">
        <w:rPr>
          <w:rFonts w:eastAsiaTheme="minorEastAsia"/>
        </w:rPr>
        <w:t>Florida City Gas (</w:t>
      </w:r>
      <w:r w:rsidR="0042078B">
        <w:rPr>
          <w:rFonts w:eastAsiaTheme="minorEastAsia"/>
        </w:rPr>
        <w:t>“</w:t>
      </w:r>
      <w:r w:rsidR="0042078B" w:rsidRPr="004F5D71">
        <w:rPr>
          <w:rFonts w:eastAsiaTheme="minorEastAsia"/>
        </w:rPr>
        <w:t>FCG</w:t>
      </w:r>
      <w:r w:rsidR="0042078B">
        <w:rPr>
          <w:rFonts w:eastAsiaTheme="minorEastAsia"/>
        </w:rPr>
        <w:t>”</w:t>
      </w:r>
      <w:r w:rsidR="0042078B" w:rsidRPr="004F5D71">
        <w:rPr>
          <w:rFonts w:eastAsiaTheme="minorEastAsia"/>
        </w:rPr>
        <w:t xml:space="preserve"> or the </w:t>
      </w:r>
      <w:r w:rsidR="0042078B">
        <w:rPr>
          <w:rFonts w:eastAsiaTheme="minorEastAsia"/>
        </w:rPr>
        <w:t>“</w:t>
      </w:r>
      <w:r w:rsidR="0042078B" w:rsidRPr="004F5D71">
        <w:rPr>
          <w:rFonts w:eastAsiaTheme="minorEastAsia"/>
        </w:rPr>
        <w:t>Utility</w:t>
      </w:r>
      <w:r w:rsidR="0042078B">
        <w:rPr>
          <w:rFonts w:eastAsiaTheme="minorEastAsia"/>
        </w:rPr>
        <w:t>”</w:t>
      </w:r>
      <w:r w:rsidR="0042078B" w:rsidRPr="004F5D71">
        <w:rPr>
          <w:rFonts w:eastAsiaTheme="minorEastAsia"/>
        </w:rPr>
        <w:t>) operates as a natural gas utili</w:t>
      </w:r>
      <w:r w:rsidR="0042078B">
        <w:rPr>
          <w:rFonts w:eastAsiaTheme="minorEastAsia"/>
        </w:rPr>
        <w:t>ty that serves approximately 116</w:t>
      </w:r>
      <w:r w:rsidR="0042078B" w:rsidRPr="004F5D71">
        <w:rPr>
          <w:rFonts w:eastAsiaTheme="minorEastAsia"/>
        </w:rPr>
        <w:t>,000 customers in the southeastern portions of Florida, including Miami-Dade, Broward, Palm Beach, Brevard, Indian River, St. Lucie, Martin and Hendry counties. FCG</w:t>
      </w:r>
      <w:r w:rsidR="0042078B" w:rsidRPr="004F5D71">
        <w:t xml:space="preserve"> filed its Minimum Filin</w:t>
      </w:r>
      <w:r w:rsidR="0042078B">
        <w:t>g Requirements (MFRs) on May 31, 2022</w:t>
      </w:r>
      <w:r w:rsidR="0042078B" w:rsidRPr="004F5D71">
        <w:t>, based on a historic test y</w:t>
      </w:r>
      <w:r w:rsidR="0042078B">
        <w:t>ear that ended December 31, 2021</w:t>
      </w:r>
      <w:r w:rsidR="0042078B" w:rsidRPr="004F5D71">
        <w:t>. The Utility proposes to utilize a projected 12-month test year p</w:t>
      </w:r>
      <w:r w:rsidR="0042078B">
        <w:t>eriod ending December 31, 2022</w:t>
      </w:r>
      <w:r w:rsidR="0042078B" w:rsidRPr="004F5D71">
        <w:t>, for the permanent rate increase proceeding. Accordingly, in complia</w:t>
      </w:r>
      <w:r w:rsidR="00D10232">
        <w:t>nce with Section 366.06(2), Florida Statutes (F.S.)</w:t>
      </w:r>
      <w:r w:rsidR="0042078B" w:rsidRPr="004F5D71">
        <w:t xml:space="preserve">, an administrative hearing has been scheduled for this matter from </w:t>
      </w:r>
      <w:r w:rsidR="00935563">
        <w:t xml:space="preserve">December 12, 2022 to December 16, 2022, if needed. </w:t>
      </w:r>
    </w:p>
    <w:p w:rsidR="00FB14A7" w:rsidRDefault="00FB14A7"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B14A7" w:rsidRDefault="00FB14A7"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FB14A7" w:rsidRDefault="00FB14A7"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FB14A7" w:rsidRDefault="00FB14A7"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FB14A7" w:rsidRDefault="00FB14A7"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B14A7" w:rsidRPr="00C75702"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t>. If filing via</w:t>
      </w:r>
      <w:r w:rsidRPr="00C75702">
        <w:t xml:space="preserve"> mail, hand delivery, or courier service</w:t>
      </w:r>
      <w:r>
        <w:t>, the filing should be</w:t>
      </w:r>
      <w:r w:rsidRPr="00C75702">
        <w:t xml:space="preserve"> addressed to:</w:t>
      </w:r>
    </w:p>
    <w:p w:rsidR="00FB14A7" w:rsidRPr="00C75702"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Pr="00C75702"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FB14A7" w:rsidRPr="00C75702"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FB14A7" w:rsidRPr="00C75702"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FB14A7" w:rsidRPr="00C75702"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FB14A7" w:rsidRPr="00C75702"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 xml:space="preserve">staff in </w:t>
      </w:r>
      <w:r w:rsidRPr="007659C3">
        <w:lastRenderedPageBreak/>
        <w:t>Microsoft Word format and all schedules shall be provided in Microsoft Excel format with formulas intact and unlocked.</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Pr>
          <w:b/>
        </w:rPr>
        <w:t>III.</w:t>
      </w:r>
      <w:r>
        <w:rPr>
          <w:b/>
        </w:rPr>
        <w:tab/>
      </w:r>
      <w:r>
        <w:rPr>
          <w:b/>
          <w:u w:val="single"/>
        </w:rPr>
        <w:t>Notice and Public Information</w:t>
      </w:r>
    </w:p>
    <w:p w:rsidR="0042078B" w:rsidRDefault="0042078B"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2078B">
        <w:t>The utility shall comply with the requirements of Rule 25-22.0406, F.A.C.</w:t>
      </w:r>
      <w:r w:rsidR="00D10232">
        <w:t xml:space="preserve"> </w:t>
      </w:r>
      <w:r w:rsidR="0042078B">
        <w:t>The notice required by Rule 25-22.0406,</w:t>
      </w:r>
      <w:r>
        <w:t xml:space="preserve"> F.A.C., shall also include a statement that any customer comments regarding the utility's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Pr="006C48FA" w:rsidRDefault="00FB14A7" w:rsidP="006C48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to the requirements of Rule </w:t>
      </w:r>
      <w:r w:rsidR="0042078B">
        <w:t>25-22.0406</w:t>
      </w:r>
      <w:r>
        <w:t>, F.A.C., the utility shall give written notice of the date, time, location, and purpose of the hearing to each of its customers no less than fourteen days prior to the first day of the hearing. The utility shall utilize first class mail for notices sent to customers with out-of-town mailing addresses.</w:t>
      </w:r>
    </w:p>
    <w:p w:rsidR="00FB14A7" w:rsidRDefault="00FB14A7"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FB14A7" w:rsidRDefault="006C48FA"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FB14A7">
        <w:rPr>
          <w:b/>
        </w:rPr>
        <w:t>V.</w:t>
      </w:r>
      <w:r w:rsidR="00FB14A7">
        <w:rPr>
          <w:b/>
        </w:rPr>
        <w:tab/>
      </w:r>
      <w:r w:rsidR="00FB14A7">
        <w:rPr>
          <w:b/>
          <w:u w:val="single"/>
        </w:rPr>
        <w:t>Prefiled Testimony and Exhibits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Pr="00C75702"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Each party shall file all testimony and exhibits that it intends to sponsor, pursuant to the schedule set forth in Section</w:t>
      </w:r>
      <w:r w:rsidR="006C48FA">
        <w:rPr>
          <w:b/>
          <w:i/>
        </w:rPr>
        <w:t xml:space="preserve"> </w:t>
      </w:r>
      <w:r w:rsidR="006C48FA">
        <w:t xml:space="preserve">IX </w:t>
      </w:r>
      <w:r w:rsidRPr="00C75702">
        <w:t>of this Order.</w:t>
      </w:r>
      <w:r>
        <w:t xml:space="preserve"> Testimony and exhibits may be filed electronically.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FB14A7" w:rsidRPr="00C75702"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FB14A7" w:rsidRDefault="00FB14A7" w:rsidP="00FB14A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FB14A7" w:rsidRDefault="00FB14A7" w:rsidP="00FB14A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tab/>
        <w:t>Each exhibit sponsored by a witness in support of his or her prefiled testimony shall be:</w:t>
      </w:r>
    </w:p>
    <w:p w:rsidR="00FB14A7" w:rsidRDefault="00FB14A7" w:rsidP="00FB14A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B14A7" w:rsidRDefault="00FB14A7" w:rsidP="00FB14A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FB14A7" w:rsidRPr="00C75702" w:rsidRDefault="00FB14A7" w:rsidP="00FB14A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FB14A7" w:rsidRDefault="00FB14A7" w:rsidP="00FB14A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FB14A7" w:rsidRDefault="00FB14A7" w:rsidP="00FB14A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FB14A7" w:rsidRDefault="00FB14A7" w:rsidP="00FB14A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FB14A7" w:rsidRDefault="00FB14A7" w:rsidP="00FB14A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B14A7" w:rsidRDefault="00FB14A7" w:rsidP="00FB14A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tab/>
        <w:t>An example of the information to appear in the upper right-hand corner of the exhibit is as follows: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6C48FA"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FB14A7">
        <w:rPr>
          <w:b/>
        </w:rPr>
        <w:t>.</w:t>
      </w:r>
      <w:r w:rsidR="00FB14A7">
        <w:rPr>
          <w:b/>
        </w:rPr>
        <w:tab/>
      </w:r>
      <w:r w:rsidR="00FB14A7">
        <w:rPr>
          <w:b/>
          <w:u w:val="single"/>
        </w:rPr>
        <w:t>Discovery Procedures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w:t>
      </w:r>
      <w:r w:rsidR="00D10232">
        <w:t>ter 120, F.S.</w:t>
      </w:r>
      <w:r>
        <w:t xml:space="preserve">, and the relevant provisions of Chapter </w:t>
      </w:r>
      <w:r w:rsidR="00D06A64" w:rsidRPr="004B11E9">
        <w:t>366 and 368</w:t>
      </w:r>
      <w:r w:rsidR="00D06A64">
        <w:t>, F.S.</w:t>
      </w:r>
      <w:r>
        <w:t>, Rules 25-22, 25-40, and 28-106, F.A.C., and the Florida Rules of Civil Procedure (as applicable), as modified herein or as may be subsequently modified by the Prehearing Officer.</w:t>
      </w:r>
    </w:p>
    <w:p w:rsidR="00FB14A7" w:rsidRDefault="00FB14A7" w:rsidP="00FB14A7">
      <w:pPr>
        <w:jc w:val="both"/>
        <w:rPr>
          <w:rFonts w:cs="Courier New"/>
        </w:rPr>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spacing w:line="2" w:lineRule="exact"/>
        <w:jc w:val="both"/>
      </w:pPr>
    </w:p>
    <w:p w:rsidR="00FB14A7" w:rsidRDefault="00FB14A7" w:rsidP="00FB14A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w:t>
      </w:r>
      <w:r w:rsidR="00D06A64">
        <w:t xml:space="preserve">scovery shall be completed by </w:t>
      </w:r>
      <w:r w:rsidR="0011167A" w:rsidRPr="0011167A">
        <w:t>November 15</w:t>
      </w:r>
      <w:r w:rsidR="00D06A64" w:rsidRPr="0011167A">
        <w:t>, 2022.</w:t>
      </w:r>
    </w:p>
    <w:p w:rsidR="00FB14A7" w:rsidRPr="007659C3" w:rsidRDefault="00FB14A7" w:rsidP="00FB14A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FB14A7" w:rsidRDefault="00FB14A7" w:rsidP="00FB14A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FB14A7" w:rsidRDefault="00FB14A7" w:rsidP="00FB14A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FB14A7" w:rsidRDefault="00FB14A7" w:rsidP="00FB14A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FB14A7" w:rsidRPr="00F777E6" w:rsidRDefault="00FB14A7" w:rsidP="00FB14A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777E6">
        <w:t>For discovery requests made prior to the filing of the utility’s rebuttal testimony, discovery res</w:t>
      </w:r>
      <w:r w:rsidR="00B90E7C">
        <w:t>ponses shall be served within 20</w:t>
      </w:r>
      <w:r w:rsidRPr="00F777E6">
        <w:t xml:space="preserve"> days (inclusive of mailing) of receipt of the discovery request. For discovery requests related to matters addressed in the utility’s rebuttal testimony, discovery responses shall be served within</w:t>
      </w:r>
      <w:r w:rsidR="00D06A64" w:rsidRPr="00F777E6">
        <w:rPr>
          <w:b/>
        </w:rPr>
        <w:t xml:space="preserve"> </w:t>
      </w:r>
      <w:r w:rsidR="00D06A64" w:rsidRPr="00F777E6">
        <w:t>10</w:t>
      </w:r>
      <w:r w:rsidRPr="00F777E6">
        <w:t xml:space="preserve"> days of receipt of the discovery request.</w:t>
      </w:r>
    </w:p>
    <w:p w:rsidR="00FB14A7" w:rsidRDefault="00FB14A7" w:rsidP="00FB14A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777E6">
        <w:t>Each page of every document produce</w:t>
      </w:r>
      <w:r>
        <w:t xml:space="preserve">d pursuant to requests for production of documents shall be identified individually through the use of a Bates Stamp or other equivalent method of sequential identification. Parties should </w:t>
      </w:r>
      <w:r w:rsidR="00D06A64">
        <w:t>number produced</w:t>
      </w:r>
      <w:r>
        <w:t xml:space="preserve"> documents in an unbroken sequence through the final hearing.</w:t>
      </w:r>
    </w:p>
    <w:p w:rsidR="00FB14A7" w:rsidRPr="007E338F" w:rsidRDefault="00FB14A7" w:rsidP="00FB14A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In addition, copies of all responses to requests for production of documents shall be provided to the Commission staff at its Tallahassee office unless otherwise agreed.</w:t>
      </w:r>
    </w:p>
    <w:p w:rsidR="00FB14A7" w:rsidRPr="00972F91" w:rsidRDefault="00FB14A7" w:rsidP="00FB14A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spacing w:line="2" w:lineRule="exact"/>
        <w:jc w:val="both"/>
      </w:pPr>
    </w:p>
    <w:p w:rsidR="00FB14A7" w:rsidRPr="00F777E6" w:rsidRDefault="00FB14A7" w:rsidP="00FB14A7">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w:t>
      </w:r>
      <w:r w:rsidRPr="00F777E6">
        <w:t>nterrogatories, including al</w:t>
      </w:r>
      <w:r w:rsidR="00D06A64" w:rsidRPr="00F777E6">
        <w:t>l subparts, shall be limited to 300.</w:t>
      </w:r>
    </w:p>
    <w:p w:rsidR="00FB14A7" w:rsidRPr="00F777E6" w:rsidRDefault="00FB14A7" w:rsidP="00FB14A7">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777E6">
        <w:t>Requests for production of documents, including all</w:t>
      </w:r>
      <w:r w:rsidR="00D06A64" w:rsidRPr="00F777E6">
        <w:t xml:space="preserve"> subparts, shall be limited to 300.</w:t>
      </w:r>
    </w:p>
    <w:p w:rsidR="00FB14A7" w:rsidRPr="00F777E6" w:rsidRDefault="00FB14A7" w:rsidP="00FB14A7">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777E6">
        <w:t>Requests for admissions, including al</w:t>
      </w:r>
      <w:r w:rsidR="00D06A64" w:rsidRPr="00F777E6">
        <w:t>l subparts, shall be limited to 200.</w:t>
      </w:r>
    </w:p>
    <w:p w:rsidR="00FB14A7" w:rsidRPr="00F777E6" w:rsidRDefault="00FB14A7" w:rsidP="00FB14A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B14A7" w:rsidRDefault="00FB14A7" w:rsidP="00B90E7C">
      <w:pPr>
        <w:ind w:firstLine="720"/>
        <w:jc w:val="both"/>
        <w:rPr>
          <w:rFonts w:cs="Courier New"/>
        </w:rPr>
      </w:pPr>
      <w:r w:rsidRPr="00F777E6">
        <w:rPr>
          <w:rFonts w:cs="Courier New"/>
        </w:rPr>
        <w:t>When a discovery request is served and the respondent intends to seek clarification of any portion of the discovery request, the respondent shall re</w:t>
      </w:r>
      <w:r w:rsidR="00D06A64" w:rsidRPr="00F777E6">
        <w:rPr>
          <w:rFonts w:cs="Courier New"/>
        </w:rPr>
        <w:t xml:space="preserve">quest such clarification within 8 </w:t>
      </w:r>
      <w:r w:rsidRPr="00F777E6">
        <w:rPr>
          <w:rFonts w:cs="Courier New"/>
        </w:rPr>
        <w:t>days of serv</w:t>
      </w:r>
      <w:r w:rsidR="00D06A64" w:rsidRPr="00F777E6">
        <w:rPr>
          <w:rFonts w:cs="Courier New"/>
        </w:rPr>
        <w:t xml:space="preserve">ice of the discovery request. </w:t>
      </w:r>
      <w:r w:rsidRPr="00F777E6">
        <w:rPr>
          <w:rFonts w:cs="Courier New"/>
        </w:rPr>
        <w:t>For discovery requests served after the date for rebuttal testimony, such clarifi</w:t>
      </w:r>
      <w:r w:rsidR="00D06A64" w:rsidRPr="00F777E6">
        <w:rPr>
          <w:rFonts w:cs="Courier New"/>
        </w:rPr>
        <w:t>c</w:t>
      </w:r>
      <w:r w:rsidR="004D1E3B">
        <w:rPr>
          <w:rFonts w:cs="Courier New"/>
        </w:rPr>
        <w:t>a</w:t>
      </w:r>
      <w:r w:rsidR="00BC01FE">
        <w:rPr>
          <w:rFonts w:cs="Courier New"/>
        </w:rPr>
        <w:t>tion must be requested within 4</w:t>
      </w:r>
      <w:r w:rsidR="004D1E3B">
        <w:rPr>
          <w:rFonts w:cs="Courier New"/>
        </w:rPr>
        <w:t xml:space="preserve"> </w:t>
      </w:r>
      <w:r w:rsidRPr="00F777E6">
        <w:rPr>
          <w:rFonts w:cs="Courier New"/>
        </w:rPr>
        <w:t>days. This</w:t>
      </w:r>
      <w:r>
        <w:rPr>
          <w:rFonts w:cs="Courier New"/>
        </w:rPr>
        <w:t xml:space="preserve"> procedure is intended to reduce delay in resolving discovery disputes.</w:t>
      </w:r>
    </w:p>
    <w:p w:rsidR="00FB14A7" w:rsidRDefault="00FB14A7" w:rsidP="00FB14A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B14A7" w:rsidRDefault="00FB14A7" w:rsidP="00FB14A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FB14A7" w:rsidRDefault="00FB14A7" w:rsidP="00FB14A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D06A64">
        <w:t>368.108</w:t>
      </w:r>
      <w:r>
        <w:t xml:space="preserve">, F.S., and Rule 25-22.006, F.A.C., shall be treated by </w:t>
      </w:r>
      <w:r w:rsidR="00D06A64">
        <w:t xml:space="preserve">the Commission as confidential. </w:t>
      </w:r>
      <w:r>
        <w:t xml:space="preserve">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w:t>
      </w:r>
      <w:r w:rsidR="00D06A64">
        <w:t>Section 368.108, F.S.</w:t>
      </w:r>
      <w:r>
        <w:t xml:space="preserve"> The Commission may determine that continued possession of the information is necessary for the Commission to conduct its business.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AC0639" w:rsidRPr="00AD5F83" w:rsidRDefault="00AC0639"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B14A7" w:rsidRDefault="006C48FA"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rsidR="00FB14A7">
        <w:rPr>
          <w:b/>
          <w:bCs/>
        </w:rPr>
        <w:t>.</w:t>
      </w:r>
      <w:r w:rsidR="00FB14A7">
        <w:tab/>
      </w:r>
      <w:r w:rsidR="00FB14A7">
        <w:rPr>
          <w:b/>
          <w:bCs/>
          <w:u w:val="single"/>
        </w:rPr>
        <w:t>Prehearing Procedures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Section</w:t>
      </w:r>
      <w:r w:rsidR="00D06A64">
        <w:rPr>
          <w:b/>
          <w:i/>
        </w:rPr>
        <w:t xml:space="preserve"> </w:t>
      </w:r>
      <w:r w:rsidR="00D06A64">
        <w:t xml:space="preserve">IX </w:t>
      </w:r>
      <w:r>
        <w:t xml:space="preserve">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FB14A7" w:rsidTr="003177C0">
        <w:tc>
          <w:tcPr>
            <w:tcW w:w="3060" w:type="dxa"/>
            <w:shd w:val="clear" w:color="auto" w:fill="auto"/>
          </w:tcPr>
          <w:p w:rsidR="00FB14A7" w:rsidRPr="004306A8" w:rsidRDefault="00FB14A7" w:rsidP="003177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FB14A7" w:rsidRPr="004306A8" w:rsidRDefault="00FB14A7" w:rsidP="003177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FB14A7" w:rsidRPr="004306A8" w:rsidRDefault="00FB14A7" w:rsidP="003177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FB14A7" w:rsidTr="003177C0">
        <w:tc>
          <w:tcPr>
            <w:tcW w:w="3060" w:type="dxa"/>
            <w:shd w:val="clear" w:color="auto" w:fill="auto"/>
          </w:tcPr>
          <w:p w:rsidR="00FB14A7" w:rsidRPr="004306A8" w:rsidRDefault="00FB14A7" w:rsidP="003177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FB14A7" w:rsidRPr="00A2428E" w:rsidRDefault="00FB14A7" w:rsidP="003177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FB14A7" w:rsidRPr="00A2428E" w:rsidRDefault="00FB14A7" w:rsidP="003177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B14A7" w:rsidTr="003177C0">
        <w:tc>
          <w:tcPr>
            <w:tcW w:w="3060" w:type="dxa"/>
            <w:shd w:val="clear" w:color="auto" w:fill="auto"/>
          </w:tcPr>
          <w:p w:rsidR="00FB14A7" w:rsidRPr="00A2428E" w:rsidRDefault="00FB14A7" w:rsidP="003177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FB14A7" w:rsidRPr="00A2428E" w:rsidRDefault="00FB14A7" w:rsidP="003177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FB14A7" w:rsidRPr="00A2428E" w:rsidRDefault="00FB14A7" w:rsidP="003177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3011E" w:rsidRDefault="00FB14A7" w:rsidP="00993C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993C75" w:rsidRDefault="00993C75" w:rsidP="00993C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120"/>
        <w:gridCol w:w="1055"/>
        <w:gridCol w:w="2123"/>
        <w:gridCol w:w="1502"/>
      </w:tblGrid>
      <w:tr w:rsidR="00FB14A7" w:rsidRPr="00B95E83" w:rsidTr="00993C75">
        <w:tc>
          <w:tcPr>
            <w:tcW w:w="1750" w:type="dxa"/>
            <w:shd w:val="clear" w:color="auto" w:fill="auto"/>
          </w:tcPr>
          <w:p w:rsidR="00FB14A7" w:rsidRPr="00B95E83" w:rsidRDefault="00FB14A7" w:rsidP="003177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120" w:type="dxa"/>
            <w:tcBorders>
              <w:bottom w:val="single" w:sz="4" w:space="0" w:color="auto"/>
            </w:tcBorders>
            <w:shd w:val="clear" w:color="auto" w:fill="auto"/>
          </w:tcPr>
          <w:p w:rsidR="00FB14A7" w:rsidRPr="00B95E83" w:rsidRDefault="00FB14A7" w:rsidP="003177C0">
            <w:pPr>
              <w:rPr>
                <w:b/>
              </w:rPr>
            </w:pPr>
            <w:r w:rsidRPr="00B95E83">
              <w:rPr>
                <w:b/>
              </w:rPr>
              <w:t>Proffered By</w:t>
            </w:r>
          </w:p>
        </w:tc>
        <w:tc>
          <w:tcPr>
            <w:tcW w:w="1055" w:type="dxa"/>
            <w:shd w:val="clear" w:color="auto" w:fill="auto"/>
          </w:tcPr>
          <w:p w:rsidR="00FB14A7" w:rsidRPr="00B95E83" w:rsidRDefault="00FB14A7" w:rsidP="003177C0">
            <w:pPr>
              <w:rPr>
                <w:b/>
              </w:rPr>
            </w:pPr>
            <w:r w:rsidRPr="00B95E83">
              <w:rPr>
                <w:b/>
              </w:rPr>
              <w:t>Exhibit No.</w:t>
            </w:r>
          </w:p>
        </w:tc>
        <w:tc>
          <w:tcPr>
            <w:tcW w:w="2123" w:type="dxa"/>
            <w:shd w:val="clear" w:color="auto" w:fill="auto"/>
          </w:tcPr>
          <w:p w:rsidR="00FB14A7" w:rsidRPr="00B95E83" w:rsidRDefault="00FB14A7" w:rsidP="003177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502" w:type="dxa"/>
            <w:shd w:val="clear" w:color="auto" w:fill="auto"/>
          </w:tcPr>
          <w:p w:rsidR="00FB14A7" w:rsidRPr="00B95E83" w:rsidRDefault="00FB14A7" w:rsidP="00A0782B">
            <w:pPr>
              <w:rPr>
                <w:b/>
              </w:rPr>
            </w:pPr>
            <w:r w:rsidRPr="00B95E83">
              <w:rPr>
                <w:b/>
              </w:rPr>
              <w:t>Issue #</w:t>
            </w:r>
          </w:p>
        </w:tc>
      </w:tr>
      <w:tr w:rsidR="00FB14A7" w:rsidRPr="00B95E83" w:rsidTr="00993C75">
        <w:tc>
          <w:tcPr>
            <w:tcW w:w="1750" w:type="dxa"/>
            <w:shd w:val="clear" w:color="auto" w:fill="auto"/>
          </w:tcPr>
          <w:p w:rsidR="00FB14A7" w:rsidRPr="00B95E83" w:rsidRDefault="00FB14A7" w:rsidP="003177C0">
            <w:pPr>
              <w:jc w:val="center"/>
              <w:rPr>
                <w:b/>
              </w:rPr>
            </w:pPr>
            <w:r w:rsidRPr="00B95E83">
              <w:rPr>
                <w:b/>
              </w:rPr>
              <w:t>Direct</w:t>
            </w:r>
          </w:p>
        </w:tc>
        <w:tc>
          <w:tcPr>
            <w:tcW w:w="2120" w:type="dxa"/>
            <w:tcBorders>
              <w:top w:val="single" w:sz="4" w:space="0" w:color="auto"/>
            </w:tcBorders>
            <w:shd w:val="clear" w:color="auto" w:fill="auto"/>
          </w:tcPr>
          <w:p w:rsidR="00FB14A7" w:rsidRPr="00B95E83" w:rsidRDefault="00FB14A7" w:rsidP="003177C0"/>
        </w:tc>
        <w:tc>
          <w:tcPr>
            <w:tcW w:w="1055" w:type="dxa"/>
            <w:shd w:val="clear" w:color="auto" w:fill="auto"/>
          </w:tcPr>
          <w:p w:rsidR="00FB14A7" w:rsidRPr="00B95E83" w:rsidRDefault="00FB14A7" w:rsidP="003177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FB14A7" w:rsidRPr="00B95E83" w:rsidRDefault="00FB14A7" w:rsidP="003177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502" w:type="dxa"/>
            <w:shd w:val="clear" w:color="auto" w:fill="auto"/>
          </w:tcPr>
          <w:p w:rsidR="00FB14A7" w:rsidRPr="00B95E83" w:rsidRDefault="00FB14A7" w:rsidP="003177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B14A7" w:rsidRPr="00B95E83" w:rsidTr="00993C75">
        <w:tc>
          <w:tcPr>
            <w:tcW w:w="1750" w:type="dxa"/>
            <w:shd w:val="clear" w:color="auto" w:fill="auto"/>
          </w:tcPr>
          <w:p w:rsidR="00FB14A7" w:rsidRPr="00B95E83" w:rsidRDefault="00FB14A7" w:rsidP="003177C0">
            <w:r w:rsidRPr="00B95E83">
              <w:t>John Smith</w:t>
            </w:r>
          </w:p>
        </w:tc>
        <w:tc>
          <w:tcPr>
            <w:tcW w:w="2120" w:type="dxa"/>
            <w:shd w:val="clear" w:color="auto" w:fill="auto"/>
          </w:tcPr>
          <w:p w:rsidR="00FB14A7" w:rsidRPr="00B95E83" w:rsidRDefault="00FB14A7" w:rsidP="003177C0">
            <w:r w:rsidRPr="00B95E83">
              <w:t>Party/Utility Name</w:t>
            </w:r>
          </w:p>
        </w:tc>
        <w:tc>
          <w:tcPr>
            <w:tcW w:w="1055" w:type="dxa"/>
            <w:shd w:val="clear" w:color="auto" w:fill="auto"/>
          </w:tcPr>
          <w:p w:rsidR="00FB14A7" w:rsidRPr="00B95E83" w:rsidRDefault="00FB14A7" w:rsidP="003177C0">
            <w:r w:rsidRPr="00B95E83">
              <w:t>ABC-1</w:t>
            </w:r>
          </w:p>
        </w:tc>
        <w:tc>
          <w:tcPr>
            <w:tcW w:w="2123" w:type="dxa"/>
            <w:shd w:val="clear" w:color="auto" w:fill="auto"/>
          </w:tcPr>
          <w:p w:rsidR="00FB14A7" w:rsidRPr="00B95E83" w:rsidRDefault="00FB14A7" w:rsidP="003177C0">
            <w:r w:rsidRPr="00B95E83">
              <w:t>Title ......</w:t>
            </w:r>
          </w:p>
        </w:tc>
        <w:tc>
          <w:tcPr>
            <w:tcW w:w="1502" w:type="dxa"/>
            <w:shd w:val="clear" w:color="auto" w:fill="auto"/>
          </w:tcPr>
          <w:p w:rsidR="00FB14A7" w:rsidRPr="00B95E83" w:rsidRDefault="00FB14A7" w:rsidP="003177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FB14A7" w:rsidRDefault="00FB14A7" w:rsidP="00FB14A7">
      <w:pPr>
        <w:spacing w:line="2" w:lineRule="exact"/>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80354"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w:t>
      </w:r>
      <w:r w:rsidR="00935563">
        <w:t xml:space="preserve">hearing Conference will be held November 29, 2022 </w:t>
      </w:r>
      <w:r>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w:t>
      </w:r>
      <w:r>
        <w:tab/>
      </w:r>
      <w:r>
        <w:rPr>
          <w:u w:val="single"/>
        </w:rPr>
        <w:t>Waiver of Issues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spacing w:line="2" w:lineRule="exact"/>
        <w:jc w:val="both"/>
      </w:pPr>
    </w:p>
    <w:p w:rsidR="00FB14A7" w:rsidRDefault="00FB14A7" w:rsidP="00FB14A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FB14A7" w:rsidRDefault="00FB14A7" w:rsidP="00FB14A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FB14A7" w:rsidRDefault="00FB14A7" w:rsidP="00FB14A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FB14A7" w:rsidRDefault="00FB14A7" w:rsidP="00FB14A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FB14A7" w:rsidRDefault="00FB14A7" w:rsidP="00FB14A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FB14A7" w:rsidRDefault="00FB14A7"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80354" w:rsidRDefault="00FB14A7" w:rsidP="004D1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w:t>
      </w:r>
      <w:r w:rsidR="004D1E3B">
        <w:t>ade in writing no later than three business days prior to the prehearing conference, and identify with specificity the page and line numbers of the information to be stricken</w:t>
      </w:r>
      <w:r>
        <w:t>. Motions to strike any portion of prefiled testimony and related portions of exhibits at hearing shall be considered untimely, absent good cause shown.</w:t>
      </w:r>
    </w:p>
    <w:p w:rsidR="00080354" w:rsidRDefault="00080354"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FB14A7" w:rsidRDefault="00FB14A7"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AC0639" w:rsidRDefault="00AC0639"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C0639" w:rsidRDefault="00AC0639"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C0639" w:rsidRDefault="00AC0639"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Commission staff in writing no later than </w:t>
      </w:r>
      <w:r w:rsidR="00D06A64">
        <w:t xml:space="preserve">two business days </w:t>
      </w:r>
      <w:r>
        <w:t>prior to the first scheduled hearing date. Such notification shall identify all materials for which the party seeks official recognition, and such materials shall be provided along with the notification.</w:t>
      </w:r>
    </w:p>
    <w:p w:rsidR="00FB14A7" w:rsidRDefault="00FB14A7" w:rsidP="00FB14A7"/>
    <w:p w:rsidR="00FB14A7" w:rsidRPr="00205CA9" w:rsidRDefault="00FB14A7"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F93E26">
        <w:rPr>
          <w:b/>
          <w:i/>
        </w:rPr>
        <w:t xml:space="preserve"> </w:t>
      </w:r>
      <w:r w:rsidR="00F93E26" w:rsidRPr="00F93E26">
        <w:t>IV</w:t>
      </w:r>
      <w:r>
        <w:t xml:space="preserve"> of this Order. The Notice shall include the following information for each deposition:</w:t>
      </w:r>
    </w:p>
    <w:p w:rsidR="00FB14A7" w:rsidRDefault="00FB14A7" w:rsidP="00FB14A7">
      <w:pPr>
        <w:pStyle w:val="ListParagraph"/>
        <w:ind w:left="1080"/>
        <w:jc w:val="both"/>
      </w:pPr>
    </w:p>
    <w:p w:rsidR="00FB14A7" w:rsidRDefault="00FB14A7" w:rsidP="00FB14A7">
      <w:pPr>
        <w:pStyle w:val="ListParagraph"/>
        <w:numPr>
          <w:ilvl w:val="0"/>
          <w:numId w:val="8"/>
        </w:numPr>
        <w:jc w:val="both"/>
      </w:pPr>
      <w:r>
        <w:t>Name of witness deposed;</w:t>
      </w:r>
    </w:p>
    <w:p w:rsidR="00FB14A7" w:rsidRDefault="00FB14A7" w:rsidP="00FB14A7">
      <w:pPr>
        <w:pStyle w:val="ListParagraph"/>
        <w:numPr>
          <w:ilvl w:val="0"/>
          <w:numId w:val="8"/>
        </w:numPr>
        <w:jc w:val="both"/>
      </w:pPr>
      <w:r>
        <w:t>Date deposition was taken; and</w:t>
      </w:r>
    </w:p>
    <w:p w:rsidR="00FB14A7" w:rsidRDefault="00FB14A7" w:rsidP="00FB14A7">
      <w:pPr>
        <w:pStyle w:val="ListParagraph"/>
        <w:numPr>
          <w:ilvl w:val="0"/>
          <w:numId w:val="8"/>
        </w:numPr>
        <w:jc w:val="both"/>
      </w:pPr>
      <w:r>
        <w:t>Page and line numbers of each deposition the party seeks to introduce</w:t>
      </w:r>
      <w:r w:rsidRPr="00F93E26">
        <w:t>, when available.</w:t>
      </w:r>
      <w:r>
        <w:t xml:space="preserve"> </w:t>
      </w:r>
    </w:p>
    <w:p w:rsidR="00FB14A7" w:rsidRDefault="00FB14A7" w:rsidP="00FB14A7"/>
    <w:p w:rsidR="00FB14A7" w:rsidRDefault="00FB14A7" w:rsidP="00B90E7C">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FB14A7" w:rsidRDefault="00FB14A7" w:rsidP="00FB1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6C48FA"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FB14A7">
        <w:rPr>
          <w:b/>
          <w:bCs/>
        </w:rPr>
        <w:t>.</w:t>
      </w:r>
      <w:r w:rsidR="00FB14A7">
        <w:rPr>
          <w:b/>
          <w:bCs/>
        </w:rPr>
        <w:tab/>
      </w:r>
      <w:r w:rsidR="00FB14A7">
        <w:rPr>
          <w:b/>
          <w:bCs/>
          <w:u w:val="single"/>
        </w:rPr>
        <w:t>Hearing Procedures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spacing w:line="2" w:lineRule="exact"/>
        <w:jc w:val="both"/>
      </w:pPr>
    </w:p>
    <w:p w:rsidR="00FB14A7" w:rsidRDefault="00FB14A7" w:rsidP="00FB14A7">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FB14A7" w:rsidRDefault="00FB14A7" w:rsidP="00FB14A7">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ind w:firstLine="720"/>
        <w:jc w:val="both"/>
        <w:rPr>
          <w:color w:val="1F497D"/>
          <w:sz w:val="22"/>
          <w:szCs w:val="22"/>
        </w:rPr>
      </w:pPr>
      <w:r>
        <w:t xml:space="preserve">Each party shall be required to provide by a time certain and in a manner to be announced at a later date, all exhibits (whether for substantive, corroborative, impeachment, or rebuttal purposes, including deposition transcripts that may be used for impeachment) </w:t>
      </w:r>
      <w:r w:rsidRPr="000F636E">
        <w:t>reasonably expected or intended</w:t>
      </w:r>
      <w:r>
        <w:rPr>
          <w:color w:val="1F497D"/>
        </w:rPr>
        <w:t xml:space="preserve"> </w:t>
      </w:r>
      <w:r>
        <w:t>to be offered at the hearing.</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Section </w:t>
      </w:r>
      <w:r w:rsidR="00F93E26">
        <w:t>368.108</w:t>
      </w:r>
      <w:r>
        <w:t>, F.S., to protect proprietary confidential business information from disclosure outside the proceeding. Therefore, any party wishing to use at the hearing any proprietary confidential business information, as that term is defined in Section</w:t>
      </w:r>
      <w:r w:rsidR="00F93E26">
        <w:t xml:space="preserve"> 368.108</w:t>
      </w:r>
      <w:r>
        <w:t>, F.S., shall adhere to the following:</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spacing w:line="2" w:lineRule="exact"/>
        <w:jc w:val="both"/>
      </w:pPr>
    </w:p>
    <w:p w:rsidR="00FB14A7" w:rsidRDefault="00FB14A7" w:rsidP="00FB14A7">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B14A7" w:rsidRPr="00904F1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FB14A7" w:rsidRDefault="006C48FA"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FB14A7">
        <w:rPr>
          <w:b/>
          <w:bCs/>
        </w:rPr>
        <w:t>.</w:t>
      </w:r>
      <w:r w:rsidR="00FB14A7">
        <w:rPr>
          <w:b/>
          <w:bCs/>
        </w:rPr>
        <w:tab/>
      </w:r>
      <w:r w:rsidR="00FB14A7">
        <w:rPr>
          <w:b/>
          <w:bCs/>
          <w:u w:val="single"/>
        </w:rPr>
        <w:t>Post-Hearing Procedures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F93E26" w:rsidRPr="00F93E26">
        <w:t>IX</w:t>
      </w:r>
      <w:r w:rsidR="00F93E26">
        <w:rPr>
          <w:b/>
          <w:i/>
        </w:rPr>
        <w:t xml:space="preserve"> </w:t>
      </w:r>
      <w:r>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pursuant to Rule 28-106.215, F.A.C., a party’s proposed findings of fact and conclus</w:t>
      </w:r>
      <w:r w:rsidRPr="00F777E6">
        <w:t>ions of law, if any, statement of issues and positions, and brief, shall together total no more than</w:t>
      </w:r>
      <w:r w:rsidR="00F93E26" w:rsidRPr="00F777E6">
        <w:rPr>
          <w:b/>
          <w:i/>
        </w:rPr>
        <w:t xml:space="preserve"> </w:t>
      </w:r>
      <w:r w:rsidR="00F93E26" w:rsidRPr="00F777E6">
        <w:t xml:space="preserve">50 </w:t>
      </w:r>
      <w:r w:rsidRPr="00F777E6">
        <w:t>pages and shall be filed at the same time, unless modified by the Presiding Officer.</w:t>
      </w:r>
      <w:r>
        <w:t xml:space="preserve"> </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B14A7" w:rsidRDefault="006C48FA"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FB14A7">
        <w:rPr>
          <w:b/>
          <w:bCs/>
        </w:rPr>
        <w:t>X.</w:t>
      </w:r>
      <w:r w:rsidR="00FB14A7">
        <w:rPr>
          <w:b/>
          <w:bCs/>
        </w:rPr>
        <w:tab/>
      </w:r>
      <w:r w:rsidR="00FB14A7">
        <w:rPr>
          <w:b/>
          <w:bCs/>
          <w:u w:val="single"/>
        </w:rPr>
        <w:t>Controlling Dates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FB14A7" w:rsidTr="00222C47">
        <w:trPr>
          <w:cantSplit/>
        </w:trPr>
        <w:tc>
          <w:tcPr>
            <w:tcW w:w="720" w:type="dxa"/>
            <w:tcBorders>
              <w:top w:val="nil"/>
              <w:left w:val="nil"/>
              <w:bottom w:val="nil"/>
              <w:right w:val="nil"/>
            </w:tcBorders>
          </w:tcPr>
          <w:p w:rsidR="00FB14A7" w:rsidRDefault="00FB14A7" w:rsidP="003177C0">
            <w:pPr>
              <w:numPr>
                <w:ilvl w:val="12"/>
                <w:numId w:val="0"/>
              </w:numPr>
              <w:tabs>
                <w:tab w:val="left" w:pos="0"/>
              </w:tabs>
              <w:spacing w:before="120" w:after="57"/>
              <w:jc w:val="both"/>
            </w:pPr>
            <w:r>
              <w:t>(1)</w:t>
            </w:r>
          </w:p>
        </w:tc>
        <w:tc>
          <w:tcPr>
            <w:tcW w:w="5220" w:type="dxa"/>
            <w:tcBorders>
              <w:top w:val="nil"/>
              <w:left w:val="nil"/>
              <w:bottom w:val="nil"/>
              <w:right w:val="nil"/>
            </w:tcBorders>
          </w:tcPr>
          <w:p w:rsidR="00FB14A7" w:rsidRDefault="00FB14A7" w:rsidP="003177C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FB14A7" w:rsidRDefault="00935563" w:rsidP="003177C0">
            <w:pPr>
              <w:numPr>
                <w:ilvl w:val="12"/>
                <w:numId w:val="0"/>
              </w:numPr>
              <w:tabs>
                <w:tab w:val="left" w:pos="0"/>
                <w:tab w:val="left" w:pos="720"/>
                <w:tab w:val="left" w:pos="1440"/>
                <w:tab w:val="left" w:pos="2160"/>
                <w:tab w:val="left" w:pos="2880"/>
              </w:tabs>
              <w:spacing w:before="120" w:after="57"/>
              <w:jc w:val="both"/>
            </w:pPr>
            <w:r>
              <w:t>May 31, 2022</w:t>
            </w:r>
          </w:p>
        </w:tc>
      </w:tr>
      <w:tr w:rsidR="00FB14A7" w:rsidTr="00222C47">
        <w:trPr>
          <w:cantSplit/>
        </w:trPr>
        <w:tc>
          <w:tcPr>
            <w:tcW w:w="720" w:type="dxa"/>
            <w:tcBorders>
              <w:top w:val="nil"/>
              <w:left w:val="nil"/>
              <w:bottom w:val="nil"/>
              <w:right w:val="nil"/>
            </w:tcBorders>
          </w:tcPr>
          <w:p w:rsidR="00FB14A7" w:rsidRDefault="00FB14A7" w:rsidP="003177C0">
            <w:pPr>
              <w:numPr>
                <w:ilvl w:val="12"/>
                <w:numId w:val="0"/>
              </w:numPr>
              <w:tabs>
                <w:tab w:val="left" w:pos="0"/>
              </w:tabs>
              <w:spacing w:before="120" w:after="57"/>
              <w:jc w:val="both"/>
            </w:pPr>
            <w:r>
              <w:t>(2)</w:t>
            </w:r>
          </w:p>
        </w:tc>
        <w:tc>
          <w:tcPr>
            <w:tcW w:w="5220" w:type="dxa"/>
            <w:tcBorders>
              <w:top w:val="nil"/>
              <w:left w:val="nil"/>
              <w:bottom w:val="nil"/>
              <w:right w:val="nil"/>
            </w:tcBorders>
          </w:tcPr>
          <w:p w:rsidR="00FB14A7" w:rsidRDefault="00FB14A7" w:rsidP="003177C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FB14A7" w:rsidRPr="0011167A" w:rsidRDefault="0011167A" w:rsidP="003177C0">
            <w:pPr>
              <w:numPr>
                <w:ilvl w:val="12"/>
                <w:numId w:val="0"/>
              </w:numPr>
              <w:tabs>
                <w:tab w:val="left" w:pos="0"/>
                <w:tab w:val="left" w:pos="720"/>
                <w:tab w:val="left" w:pos="1440"/>
                <w:tab w:val="left" w:pos="2160"/>
                <w:tab w:val="left" w:pos="2880"/>
              </w:tabs>
              <w:spacing w:before="120" w:after="57"/>
              <w:jc w:val="both"/>
            </w:pPr>
            <w:r w:rsidRPr="0011167A">
              <w:t>August 16</w:t>
            </w:r>
            <w:r w:rsidR="004C6892" w:rsidRPr="0011167A">
              <w:t>, 2022</w:t>
            </w:r>
          </w:p>
        </w:tc>
      </w:tr>
      <w:tr w:rsidR="00FB14A7" w:rsidTr="00222C47">
        <w:trPr>
          <w:cantSplit/>
        </w:trPr>
        <w:tc>
          <w:tcPr>
            <w:tcW w:w="720" w:type="dxa"/>
            <w:tcBorders>
              <w:top w:val="nil"/>
              <w:left w:val="nil"/>
              <w:bottom w:val="nil"/>
              <w:right w:val="nil"/>
            </w:tcBorders>
          </w:tcPr>
          <w:p w:rsidR="00FB14A7" w:rsidRDefault="00FB14A7" w:rsidP="003177C0">
            <w:pPr>
              <w:numPr>
                <w:ilvl w:val="12"/>
                <w:numId w:val="0"/>
              </w:numPr>
              <w:tabs>
                <w:tab w:val="left" w:pos="0"/>
              </w:tabs>
              <w:spacing w:before="120" w:after="57"/>
              <w:jc w:val="both"/>
            </w:pPr>
            <w:r>
              <w:t>(3)</w:t>
            </w:r>
          </w:p>
        </w:tc>
        <w:tc>
          <w:tcPr>
            <w:tcW w:w="5220" w:type="dxa"/>
            <w:tcBorders>
              <w:top w:val="nil"/>
              <w:left w:val="nil"/>
              <w:bottom w:val="nil"/>
              <w:right w:val="nil"/>
            </w:tcBorders>
          </w:tcPr>
          <w:p w:rsidR="00FB14A7" w:rsidRDefault="00FB14A7" w:rsidP="003177C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FB14A7" w:rsidRPr="0011167A" w:rsidRDefault="0011167A" w:rsidP="003177C0">
            <w:pPr>
              <w:numPr>
                <w:ilvl w:val="12"/>
                <w:numId w:val="0"/>
              </w:numPr>
              <w:tabs>
                <w:tab w:val="left" w:pos="0"/>
                <w:tab w:val="left" w:pos="720"/>
                <w:tab w:val="left" w:pos="1440"/>
                <w:tab w:val="left" w:pos="2160"/>
                <w:tab w:val="left" w:pos="2880"/>
              </w:tabs>
              <w:spacing w:before="120" w:after="57"/>
              <w:jc w:val="both"/>
            </w:pPr>
            <w:r w:rsidRPr="0011167A">
              <w:t>September 1</w:t>
            </w:r>
            <w:r w:rsidR="004C6892" w:rsidRPr="0011167A">
              <w:t>, 2022</w:t>
            </w:r>
          </w:p>
        </w:tc>
      </w:tr>
      <w:tr w:rsidR="00222C47" w:rsidTr="00222C47">
        <w:trPr>
          <w:cantSplit/>
        </w:trPr>
        <w:tc>
          <w:tcPr>
            <w:tcW w:w="720" w:type="dxa"/>
            <w:tcBorders>
              <w:top w:val="nil"/>
              <w:left w:val="nil"/>
              <w:bottom w:val="nil"/>
              <w:right w:val="nil"/>
            </w:tcBorders>
          </w:tcPr>
          <w:p w:rsidR="00222C47" w:rsidRDefault="00222C47" w:rsidP="003177C0">
            <w:pPr>
              <w:numPr>
                <w:ilvl w:val="12"/>
                <w:numId w:val="0"/>
              </w:numPr>
              <w:tabs>
                <w:tab w:val="left" w:pos="0"/>
              </w:tabs>
              <w:spacing w:before="120" w:after="57"/>
              <w:jc w:val="both"/>
            </w:pPr>
            <w:r>
              <w:t>(4)</w:t>
            </w:r>
          </w:p>
        </w:tc>
        <w:tc>
          <w:tcPr>
            <w:tcW w:w="5220" w:type="dxa"/>
            <w:tcBorders>
              <w:top w:val="nil"/>
              <w:left w:val="nil"/>
              <w:bottom w:val="nil"/>
              <w:right w:val="nil"/>
            </w:tcBorders>
          </w:tcPr>
          <w:p w:rsidR="00222C47" w:rsidRDefault="00222C47" w:rsidP="003177C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222C47" w:rsidRPr="0011167A" w:rsidRDefault="00222C47" w:rsidP="003177C0">
            <w:pPr>
              <w:numPr>
                <w:ilvl w:val="12"/>
                <w:numId w:val="0"/>
              </w:numPr>
              <w:tabs>
                <w:tab w:val="left" w:pos="0"/>
                <w:tab w:val="left" w:pos="720"/>
                <w:tab w:val="left" w:pos="1440"/>
                <w:tab w:val="left" w:pos="2160"/>
                <w:tab w:val="left" w:pos="2880"/>
              </w:tabs>
              <w:spacing w:before="120" w:after="57"/>
              <w:jc w:val="both"/>
            </w:pPr>
            <w:r w:rsidRPr="0011167A">
              <w:t>September 23, 2022</w:t>
            </w:r>
          </w:p>
        </w:tc>
      </w:tr>
      <w:tr w:rsidR="00222C47" w:rsidTr="00222C47">
        <w:trPr>
          <w:cantSplit/>
        </w:trPr>
        <w:tc>
          <w:tcPr>
            <w:tcW w:w="720" w:type="dxa"/>
            <w:tcBorders>
              <w:top w:val="nil"/>
              <w:left w:val="nil"/>
              <w:bottom w:val="nil"/>
              <w:right w:val="nil"/>
            </w:tcBorders>
          </w:tcPr>
          <w:p w:rsidR="00222C47" w:rsidRDefault="00222C47" w:rsidP="003177C0">
            <w:pPr>
              <w:numPr>
                <w:ilvl w:val="12"/>
                <w:numId w:val="0"/>
              </w:numPr>
              <w:tabs>
                <w:tab w:val="left" w:pos="0"/>
              </w:tabs>
              <w:spacing w:before="120" w:after="57"/>
              <w:jc w:val="both"/>
            </w:pPr>
            <w:r>
              <w:t>(5)</w:t>
            </w:r>
          </w:p>
        </w:tc>
        <w:tc>
          <w:tcPr>
            <w:tcW w:w="5220" w:type="dxa"/>
            <w:tcBorders>
              <w:top w:val="nil"/>
              <w:left w:val="nil"/>
              <w:bottom w:val="nil"/>
              <w:right w:val="nil"/>
            </w:tcBorders>
          </w:tcPr>
          <w:p w:rsidR="00222C47" w:rsidRDefault="00222C47" w:rsidP="003177C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222C47" w:rsidRPr="0011167A" w:rsidRDefault="00222C47" w:rsidP="003177C0">
            <w:pPr>
              <w:numPr>
                <w:ilvl w:val="12"/>
                <w:numId w:val="0"/>
              </w:numPr>
              <w:tabs>
                <w:tab w:val="left" w:pos="0"/>
                <w:tab w:val="left" w:pos="720"/>
                <w:tab w:val="left" w:pos="1440"/>
                <w:tab w:val="left" w:pos="2160"/>
                <w:tab w:val="left" w:pos="2880"/>
              </w:tabs>
              <w:spacing w:before="120" w:after="57"/>
              <w:jc w:val="both"/>
            </w:pPr>
            <w:r>
              <w:t>November 15, 2022</w:t>
            </w:r>
          </w:p>
        </w:tc>
      </w:tr>
      <w:tr w:rsidR="00222C47" w:rsidTr="00222C47">
        <w:trPr>
          <w:cantSplit/>
        </w:trPr>
        <w:tc>
          <w:tcPr>
            <w:tcW w:w="720" w:type="dxa"/>
            <w:tcBorders>
              <w:top w:val="nil"/>
              <w:left w:val="nil"/>
              <w:bottom w:val="nil"/>
              <w:right w:val="nil"/>
            </w:tcBorders>
          </w:tcPr>
          <w:p w:rsidR="00222C47" w:rsidRDefault="00222C47" w:rsidP="003177C0">
            <w:pPr>
              <w:numPr>
                <w:ilvl w:val="12"/>
                <w:numId w:val="0"/>
              </w:numPr>
              <w:tabs>
                <w:tab w:val="left" w:pos="0"/>
              </w:tabs>
              <w:spacing w:before="120" w:after="57"/>
              <w:jc w:val="both"/>
            </w:pPr>
            <w:r>
              <w:t>(6)</w:t>
            </w:r>
          </w:p>
        </w:tc>
        <w:tc>
          <w:tcPr>
            <w:tcW w:w="5220" w:type="dxa"/>
            <w:tcBorders>
              <w:top w:val="nil"/>
              <w:left w:val="nil"/>
              <w:bottom w:val="nil"/>
              <w:right w:val="nil"/>
            </w:tcBorders>
          </w:tcPr>
          <w:p w:rsidR="00222C47" w:rsidRDefault="00222C47" w:rsidP="003177C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222C47" w:rsidRPr="0011167A" w:rsidRDefault="00222C47" w:rsidP="003177C0">
            <w:pPr>
              <w:numPr>
                <w:ilvl w:val="12"/>
                <w:numId w:val="0"/>
              </w:numPr>
              <w:tabs>
                <w:tab w:val="left" w:pos="0"/>
                <w:tab w:val="left" w:pos="720"/>
                <w:tab w:val="left" w:pos="1440"/>
                <w:tab w:val="left" w:pos="2160"/>
                <w:tab w:val="left" w:pos="2880"/>
              </w:tabs>
              <w:spacing w:before="120" w:after="57"/>
              <w:jc w:val="both"/>
            </w:pPr>
            <w:r w:rsidRPr="0011167A">
              <w:t>November 15, 2022</w:t>
            </w:r>
          </w:p>
        </w:tc>
      </w:tr>
      <w:tr w:rsidR="00222C47" w:rsidTr="002A745B">
        <w:trPr>
          <w:cantSplit/>
          <w:trHeight w:val="450"/>
        </w:trPr>
        <w:tc>
          <w:tcPr>
            <w:tcW w:w="720" w:type="dxa"/>
            <w:tcBorders>
              <w:top w:val="nil"/>
              <w:left w:val="nil"/>
              <w:bottom w:val="nil"/>
              <w:right w:val="nil"/>
            </w:tcBorders>
          </w:tcPr>
          <w:p w:rsidR="00222C47" w:rsidRDefault="00222C47" w:rsidP="003177C0">
            <w:pPr>
              <w:numPr>
                <w:ilvl w:val="12"/>
                <w:numId w:val="0"/>
              </w:numPr>
              <w:tabs>
                <w:tab w:val="left" w:pos="0"/>
              </w:tabs>
              <w:spacing w:before="120" w:after="57"/>
              <w:jc w:val="both"/>
            </w:pPr>
            <w:r>
              <w:t>(7)</w:t>
            </w:r>
          </w:p>
        </w:tc>
        <w:tc>
          <w:tcPr>
            <w:tcW w:w="5220" w:type="dxa"/>
            <w:tcBorders>
              <w:top w:val="nil"/>
              <w:left w:val="nil"/>
              <w:bottom w:val="nil"/>
              <w:right w:val="nil"/>
            </w:tcBorders>
          </w:tcPr>
          <w:p w:rsidR="00222C47" w:rsidRDefault="00222C47" w:rsidP="003177C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222C47" w:rsidRPr="0011167A" w:rsidRDefault="00222C47" w:rsidP="003177C0">
            <w:pPr>
              <w:numPr>
                <w:ilvl w:val="12"/>
                <w:numId w:val="0"/>
              </w:numPr>
              <w:tabs>
                <w:tab w:val="left" w:pos="0"/>
                <w:tab w:val="left" w:pos="720"/>
                <w:tab w:val="left" w:pos="1440"/>
                <w:tab w:val="left" w:pos="2160"/>
                <w:tab w:val="left" w:pos="2880"/>
              </w:tabs>
              <w:spacing w:before="120" w:after="57"/>
              <w:jc w:val="both"/>
            </w:pPr>
            <w:r w:rsidRPr="0011167A">
              <w:t>November 29, 2022</w:t>
            </w:r>
          </w:p>
        </w:tc>
      </w:tr>
      <w:tr w:rsidR="00222C47" w:rsidTr="00222C47">
        <w:trPr>
          <w:cantSplit/>
        </w:trPr>
        <w:tc>
          <w:tcPr>
            <w:tcW w:w="720" w:type="dxa"/>
            <w:tcBorders>
              <w:top w:val="nil"/>
              <w:left w:val="nil"/>
              <w:bottom w:val="nil"/>
              <w:right w:val="nil"/>
            </w:tcBorders>
          </w:tcPr>
          <w:p w:rsidR="00222C47" w:rsidRDefault="00222C47" w:rsidP="003177C0">
            <w:pPr>
              <w:numPr>
                <w:ilvl w:val="12"/>
                <w:numId w:val="0"/>
              </w:numPr>
              <w:tabs>
                <w:tab w:val="left" w:pos="0"/>
              </w:tabs>
              <w:spacing w:before="120" w:after="57"/>
              <w:jc w:val="both"/>
            </w:pPr>
            <w:r>
              <w:t>(8)</w:t>
            </w:r>
          </w:p>
        </w:tc>
        <w:tc>
          <w:tcPr>
            <w:tcW w:w="5220" w:type="dxa"/>
            <w:tcBorders>
              <w:top w:val="nil"/>
              <w:left w:val="nil"/>
              <w:bottom w:val="nil"/>
              <w:right w:val="nil"/>
            </w:tcBorders>
          </w:tcPr>
          <w:p w:rsidR="00222C47" w:rsidRDefault="00222C47" w:rsidP="003177C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222C47" w:rsidRPr="0011167A" w:rsidRDefault="00222C47" w:rsidP="003177C0">
            <w:pPr>
              <w:numPr>
                <w:ilvl w:val="12"/>
                <w:numId w:val="0"/>
              </w:numPr>
              <w:tabs>
                <w:tab w:val="left" w:pos="0"/>
                <w:tab w:val="left" w:pos="720"/>
                <w:tab w:val="left" w:pos="1440"/>
                <w:tab w:val="left" w:pos="2160"/>
                <w:tab w:val="left" w:pos="2880"/>
              </w:tabs>
              <w:spacing w:before="120" w:after="57"/>
              <w:jc w:val="both"/>
            </w:pPr>
            <w:r w:rsidRPr="0011167A">
              <w:t>December 12 – 16, 2022</w:t>
            </w:r>
          </w:p>
        </w:tc>
      </w:tr>
      <w:tr w:rsidR="00222C47" w:rsidTr="00222C47">
        <w:trPr>
          <w:cantSplit/>
          <w:trHeight w:val="454"/>
        </w:trPr>
        <w:tc>
          <w:tcPr>
            <w:tcW w:w="720" w:type="dxa"/>
            <w:tcBorders>
              <w:top w:val="nil"/>
              <w:left w:val="nil"/>
              <w:bottom w:val="nil"/>
              <w:right w:val="nil"/>
            </w:tcBorders>
          </w:tcPr>
          <w:p w:rsidR="00222C47" w:rsidRDefault="00222C47" w:rsidP="003177C0">
            <w:pPr>
              <w:numPr>
                <w:ilvl w:val="12"/>
                <w:numId w:val="0"/>
              </w:numPr>
              <w:tabs>
                <w:tab w:val="left" w:pos="0"/>
              </w:tabs>
              <w:spacing w:before="120" w:after="57"/>
              <w:jc w:val="both"/>
            </w:pPr>
            <w:r>
              <w:t>(9)</w:t>
            </w:r>
          </w:p>
        </w:tc>
        <w:tc>
          <w:tcPr>
            <w:tcW w:w="5220" w:type="dxa"/>
            <w:tcBorders>
              <w:top w:val="nil"/>
              <w:left w:val="nil"/>
              <w:bottom w:val="nil"/>
              <w:right w:val="nil"/>
            </w:tcBorders>
          </w:tcPr>
          <w:p w:rsidR="00222C47" w:rsidRDefault="00222C47" w:rsidP="003177C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222C47" w:rsidRDefault="00222C47" w:rsidP="003177C0">
            <w:pPr>
              <w:numPr>
                <w:ilvl w:val="12"/>
                <w:numId w:val="0"/>
              </w:numPr>
              <w:tabs>
                <w:tab w:val="left" w:pos="0"/>
                <w:tab w:val="left" w:pos="720"/>
                <w:tab w:val="left" w:pos="1440"/>
                <w:tab w:val="left" w:pos="2160"/>
                <w:tab w:val="left" w:pos="2880"/>
              </w:tabs>
              <w:spacing w:before="120" w:after="57"/>
              <w:jc w:val="both"/>
            </w:pPr>
            <w:r w:rsidRPr="0011167A">
              <w:t>January 9, 2023</w:t>
            </w:r>
          </w:p>
          <w:p w:rsidR="00B90E7C" w:rsidRPr="0011167A" w:rsidRDefault="00B90E7C" w:rsidP="003177C0">
            <w:pPr>
              <w:numPr>
                <w:ilvl w:val="12"/>
                <w:numId w:val="0"/>
              </w:numPr>
              <w:tabs>
                <w:tab w:val="left" w:pos="0"/>
                <w:tab w:val="left" w:pos="720"/>
                <w:tab w:val="left" w:pos="1440"/>
                <w:tab w:val="left" w:pos="2160"/>
                <w:tab w:val="left" w:pos="2880"/>
              </w:tabs>
              <w:spacing w:before="120" w:after="57"/>
              <w:jc w:val="both"/>
            </w:pPr>
          </w:p>
        </w:tc>
      </w:tr>
    </w:tbl>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addition, all parties should be on notice that the Prehearing Officer may exercise the discretion to schedule additional Prehearing Conferences or meetings of the parties as deemed appropriate. Such meetings will be properly noticed to afford the partie</w:t>
      </w:r>
      <w:r w:rsidR="008A653B">
        <w:t>s an opportunity to attend.</w:t>
      </w:r>
      <w:r>
        <w:tab/>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C0639" w:rsidRDefault="00AC0639"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45B" w:rsidRDefault="002A745B"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ORDERED by Commissioner Gary F. Clark, as Prehearing Officer, that the provisions of this Order shall govern this proceeding unless modified by the Commission.</w:t>
      </w:r>
    </w:p>
    <w:p w:rsidR="00FB14A7" w:rsidRDefault="00FB14A7"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D0D4E" w:rsidRDefault="00FB14A7" w:rsidP="00FB14A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Gary F. Clark, as Prehearing Officer, this </w:t>
      </w:r>
      <w:bookmarkStart w:id="6" w:name="replaceDate"/>
      <w:bookmarkEnd w:id="6"/>
      <w:r w:rsidR="00CF31CB">
        <w:rPr>
          <w:u w:val="single"/>
        </w:rPr>
        <w:t>22nd</w:t>
      </w:r>
      <w:r w:rsidR="00CF31CB">
        <w:t xml:space="preserve"> day of </w:t>
      </w:r>
      <w:r w:rsidR="00CF31CB">
        <w:rPr>
          <w:u w:val="single"/>
        </w:rPr>
        <w:t>June</w:t>
      </w:r>
      <w:r w:rsidR="00CF31CB">
        <w:t xml:space="preserve">, </w:t>
      </w:r>
      <w:r w:rsidR="00CF31CB">
        <w:rPr>
          <w:u w:val="single"/>
        </w:rPr>
        <w:t>2022</w:t>
      </w:r>
      <w:r w:rsidR="00CF31CB">
        <w:t>.</w:t>
      </w:r>
    </w:p>
    <w:p w:rsidR="00CF31CB" w:rsidRPr="00CF31CB" w:rsidRDefault="00CF31CB" w:rsidP="00FB14A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FB14A7" w:rsidTr="00FB14A7">
        <w:tc>
          <w:tcPr>
            <w:tcW w:w="720" w:type="dxa"/>
            <w:shd w:val="clear" w:color="auto" w:fill="auto"/>
          </w:tcPr>
          <w:p w:rsidR="00FB14A7" w:rsidRDefault="00FB14A7" w:rsidP="00FB14A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FB14A7" w:rsidRDefault="00CF31CB" w:rsidP="00FB14A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Gary F. Clark</w:t>
            </w:r>
            <w:bookmarkStart w:id="8" w:name="_GoBack"/>
            <w:bookmarkEnd w:id="8"/>
          </w:p>
        </w:tc>
      </w:tr>
      <w:bookmarkEnd w:id="7"/>
      <w:tr w:rsidR="00FB14A7" w:rsidTr="00FB14A7">
        <w:tc>
          <w:tcPr>
            <w:tcW w:w="720" w:type="dxa"/>
            <w:shd w:val="clear" w:color="auto" w:fill="auto"/>
          </w:tcPr>
          <w:p w:rsidR="00FB14A7" w:rsidRDefault="00FB14A7" w:rsidP="00FB14A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FB14A7" w:rsidRDefault="00FB14A7" w:rsidP="00FB14A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GARY F. CLARK</w:t>
            </w:r>
          </w:p>
          <w:p w:rsidR="00FB14A7" w:rsidRDefault="00FB14A7" w:rsidP="00FB14A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FB14A7" w:rsidRDefault="00FB14A7" w:rsidP="00FB14A7">
      <w:pPr>
        <w:pStyle w:val="OrderSigInfo"/>
        <w:keepNext/>
        <w:keepLines/>
      </w:pPr>
      <w:r>
        <w:t>Florida Public Service Commission</w:t>
      </w:r>
    </w:p>
    <w:p w:rsidR="00FB14A7" w:rsidRDefault="00FB14A7" w:rsidP="00FB14A7">
      <w:pPr>
        <w:pStyle w:val="OrderSigInfo"/>
        <w:keepNext/>
        <w:keepLines/>
      </w:pPr>
      <w:r>
        <w:t>2540 Shumard Oak Boulevard</w:t>
      </w:r>
    </w:p>
    <w:p w:rsidR="00FB14A7" w:rsidRDefault="00FB14A7" w:rsidP="00FB14A7">
      <w:pPr>
        <w:pStyle w:val="OrderSigInfo"/>
        <w:keepNext/>
        <w:keepLines/>
      </w:pPr>
      <w:r>
        <w:t>Tallahassee, Florida 32399</w:t>
      </w:r>
    </w:p>
    <w:p w:rsidR="00FB14A7" w:rsidRDefault="00FB14A7" w:rsidP="00FB14A7">
      <w:pPr>
        <w:pStyle w:val="OrderSigInfo"/>
        <w:keepNext/>
        <w:keepLines/>
      </w:pPr>
      <w:r>
        <w:t>(850) 413</w:t>
      </w:r>
      <w:r>
        <w:noBreakHyphen/>
        <w:t>6770</w:t>
      </w:r>
    </w:p>
    <w:p w:rsidR="00FB14A7" w:rsidRDefault="00FB14A7" w:rsidP="00FB14A7">
      <w:pPr>
        <w:pStyle w:val="OrderSigInfo"/>
        <w:keepNext/>
        <w:keepLines/>
      </w:pPr>
      <w:r>
        <w:t>www.floridapsc.com</w:t>
      </w:r>
    </w:p>
    <w:p w:rsidR="00FB14A7" w:rsidRDefault="00FB14A7" w:rsidP="00FB14A7">
      <w:pPr>
        <w:pStyle w:val="OrderSigInfo"/>
        <w:keepNext/>
        <w:keepLines/>
      </w:pPr>
    </w:p>
    <w:p w:rsidR="00FB14A7" w:rsidRDefault="00FB14A7" w:rsidP="00FB14A7">
      <w:pPr>
        <w:pStyle w:val="OrderSigInfo"/>
        <w:keepNext/>
        <w:keepLines/>
      </w:pPr>
      <w:r>
        <w:t>Copies furnished: A copy of this document is provided to the parties of record at the time of issuance and, if applicable, interested persons.</w:t>
      </w:r>
    </w:p>
    <w:p w:rsidR="00FB14A7" w:rsidRDefault="00FB14A7" w:rsidP="00FB14A7">
      <w:pPr>
        <w:pStyle w:val="OrderBody"/>
        <w:keepNext/>
        <w:keepLines/>
      </w:pPr>
    </w:p>
    <w:p w:rsidR="00993C75" w:rsidRDefault="002A745B"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WLT/MJJ</w:t>
      </w:r>
    </w:p>
    <w:p w:rsidR="008A653B" w:rsidRDefault="008A653B" w:rsidP="00FB14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4A7" w:rsidRDefault="00FB14A7" w:rsidP="00FB14A7">
      <w:pPr>
        <w:pStyle w:val="CenterUnderline"/>
      </w:pPr>
      <w:r>
        <w:t>NOTICE OF FURTHER PROCEEDINGS OR JUDICIAL REVIEW</w:t>
      </w:r>
    </w:p>
    <w:p w:rsidR="00FB14A7" w:rsidRDefault="00FB14A7" w:rsidP="00FB14A7">
      <w:pPr>
        <w:pStyle w:val="CenterUnderline"/>
      </w:pPr>
    </w:p>
    <w:p w:rsidR="00FB14A7" w:rsidRDefault="00FB14A7" w:rsidP="00FB14A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B14A7" w:rsidRDefault="00FB14A7" w:rsidP="00FB14A7">
      <w:pPr>
        <w:pStyle w:val="OrderBody"/>
      </w:pPr>
    </w:p>
    <w:p w:rsidR="00FB14A7" w:rsidRDefault="00FB14A7" w:rsidP="00FB14A7">
      <w:pPr>
        <w:pStyle w:val="OrderBody"/>
      </w:pPr>
      <w:r>
        <w:tab/>
        <w:t>Mediation may be available on a case-by-case basis. If mediation is conducted, it does not affect a substantially interested person's right to a hearing.</w:t>
      </w:r>
    </w:p>
    <w:p w:rsidR="00FB14A7" w:rsidRDefault="00FB14A7" w:rsidP="00FB14A7">
      <w:pPr>
        <w:pStyle w:val="OrderBody"/>
      </w:pPr>
    </w:p>
    <w:p w:rsidR="005F2751" w:rsidRDefault="00FB14A7" w:rsidP="002A745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E77" w:rsidRDefault="00552E77">
      <w:r>
        <w:separator/>
      </w:r>
    </w:p>
  </w:endnote>
  <w:endnote w:type="continuationSeparator" w:id="0">
    <w:p w:rsidR="00552E77" w:rsidRDefault="0055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E77" w:rsidRDefault="00552E77">
      <w:r>
        <w:separator/>
      </w:r>
    </w:p>
  </w:footnote>
  <w:footnote w:type="continuationSeparator" w:id="0">
    <w:p w:rsidR="00552E77" w:rsidRDefault="00552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4 ">
      <w:r w:rsidR="00CF31CB">
        <w:t>PSC-2022-0224-PCO-GU</w:t>
      </w:r>
    </w:fldSimple>
  </w:p>
  <w:p w:rsidR="00FA6EFD" w:rsidRDefault="00FB14A7">
    <w:pPr>
      <w:pStyle w:val="OrderHeader"/>
    </w:pPr>
    <w:bookmarkStart w:id="9" w:name="HeaderDocketNo"/>
    <w:bookmarkEnd w:id="9"/>
    <w:r>
      <w:t>DOCKET NO. 20220069-GU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31CB">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FB14A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0354"/>
    <w:rsid w:val="00081AE4"/>
    <w:rsid w:val="0008247D"/>
    <w:rsid w:val="00090AFC"/>
    <w:rsid w:val="00096507"/>
    <w:rsid w:val="000A774F"/>
    <w:rsid w:val="000B783E"/>
    <w:rsid w:val="000B7D81"/>
    <w:rsid w:val="000C1994"/>
    <w:rsid w:val="000C57F1"/>
    <w:rsid w:val="000C6926"/>
    <w:rsid w:val="000D02B8"/>
    <w:rsid w:val="000D06E8"/>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167A"/>
    <w:rsid w:val="001139D8"/>
    <w:rsid w:val="00116AD3"/>
    <w:rsid w:val="00121957"/>
    <w:rsid w:val="0012387E"/>
    <w:rsid w:val="001259EC"/>
    <w:rsid w:val="00126593"/>
    <w:rsid w:val="00134177"/>
    <w:rsid w:val="00136087"/>
    <w:rsid w:val="00142A96"/>
    <w:rsid w:val="001513DE"/>
    <w:rsid w:val="00154A71"/>
    <w:rsid w:val="001655D4"/>
    <w:rsid w:val="00165803"/>
    <w:rsid w:val="001752D8"/>
    <w:rsid w:val="00187E32"/>
    <w:rsid w:val="00194A97"/>
    <w:rsid w:val="00194E81"/>
    <w:rsid w:val="001A15E7"/>
    <w:rsid w:val="001A33C9"/>
    <w:rsid w:val="001A58F3"/>
    <w:rsid w:val="001B034E"/>
    <w:rsid w:val="001B2560"/>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2C4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45B"/>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012"/>
    <w:rsid w:val="003C29BB"/>
    <w:rsid w:val="003D3989"/>
    <w:rsid w:val="003D4CCA"/>
    <w:rsid w:val="003D52A6"/>
    <w:rsid w:val="003D6416"/>
    <w:rsid w:val="003E1D48"/>
    <w:rsid w:val="003E711F"/>
    <w:rsid w:val="003F1D2B"/>
    <w:rsid w:val="003F49A6"/>
    <w:rsid w:val="003F518F"/>
    <w:rsid w:val="003F7445"/>
    <w:rsid w:val="00411DF2"/>
    <w:rsid w:val="00411E8F"/>
    <w:rsid w:val="0042078B"/>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C6892"/>
    <w:rsid w:val="004D1E3B"/>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2E77"/>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011E"/>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4D2"/>
    <w:rsid w:val="006B0DA6"/>
    <w:rsid w:val="006B3FA9"/>
    <w:rsid w:val="006C48FA"/>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03ED"/>
    <w:rsid w:val="0079237D"/>
    <w:rsid w:val="00792383"/>
    <w:rsid w:val="00794D5A"/>
    <w:rsid w:val="00794DD9"/>
    <w:rsid w:val="007A01A3"/>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653B"/>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4F17"/>
    <w:rsid w:val="009057FD"/>
    <w:rsid w:val="00906FBA"/>
    <w:rsid w:val="009163E8"/>
    <w:rsid w:val="00921BD3"/>
    <w:rsid w:val="009228C7"/>
    <w:rsid w:val="00922A7F"/>
    <w:rsid w:val="00923A5E"/>
    <w:rsid w:val="00924FE7"/>
    <w:rsid w:val="00926E27"/>
    <w:rsid w:val="00931C8C"/>
    <w:rsid w:val="00935563"/>
    <w:rsid w:val="00943D21"/>
    <w:rsid w:val="0094504B"/>
    <w:rsid w:val="00964A38"/>
    <w:rsid w:val="00966A9D"/>
    <w:rsid w:val="0096742B"/>
    <w:rsid w:val="009718C5"/>
    <w:rsid w:val="00976AFF"/>
    <w:rsid w:val="00986AED"/>
    <w:rsid w:val="009924CF"/>
    <w:rsid w:val="00993C75"/>
    <w:rsid w:val="00994100"/>
    <w:rsid w:val="009A04B7"/>
    <w:rsid w:val="009A6B17"/>
    <w:rsid w:val="009B052E"/>
    <w:rsid w:val="009D4C29"/>
    <w:rsid w:val="009E58E9"/>
    <w:rsid w:val="009E6803"/>
    <w:rsid w:val="009F30C0"/>
    <w:rsid w:val="009F6AD2"/>
    <w:rsid w:val="009F7C1B"/>
    <w:rsid w:val="00A00B5B"/>
    <w:rsid w:val="00A00D8D"/>
    <w:rsid w:val="00A01BB6"/>
    <w:rsid w:val="00A0782B"/>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0639"/>
    <w:rsid w:val="00AC4A9C"/>
    <w:rsid w:val="00AC4B09"/>
    <w:rsid w:val="00AC5A01"/>
    <w:rsid w:val="00AD10EB"/>
    <w:rsid w:val="00AD1ED3"/>
    <w:rsid w:val="00AD3717"/>
    <w:rsid w:val="00AF78CF"/>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0E7C"/>
    <w:rsid w:val="00B96969"/>
    <w:rsid w:val="00B97900"/>
    <w:rsid w:val="00BA1229"/>
    <w:rsid w:val="00BA44A8"/>
    <w:rsid w:val="00BA49C5"/>
    <w:rsid w:val="00BB0182"/>
    <w:rsid w:val="00BC01FE"/>
    <w:rsid w:val="00BC786E"/>
    <w:rsid w:val="00BD220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1CB"/>
    <w:rsid w:val="00CF32D2"/>
    <w:rsid w:val="00CF4CFE"/>
    <w:rsid w:val="00D00E8E"/>
    <w:rsid w:val="00D02E0F"/>
    <w:rsid w:val="00D03EE8"/>
    <w:rsid w:val="00D06A64"/>
    <w:rsid w:val="00D10232"/>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1743"/>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77E6"/>
    <w:rsid w:val="00F93E26"/>
    <w:rsid w:val="00F94968"/>
    <w:rsid w:val="00FA092B"/>
    <w:rsid w:val="00FA4F6C"/>
    <w:rsid w:val="00FA6EFD"/>
    <w:rsid w:val="00FB14A7"/>
    <w:rsid w:val="00FB3791"/>
    <w:rsid w:val="00FB6780"/>
    <w:rsid w:val="00FB74EA"/>
    <w:rsid w:val="00FD0ADB"/>
    <w:rsid w:val="00FD0D4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FB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FB14A7"/>
    <w:pPr>
      <w:autoSpaceDE w:val="0"/>
      <w:autoSpaceDN w:val="0"/>
      <w:adjustRightInd w:val="0"/>
      <w:ind w:left="720"/>
    </w:pPr>
    <w:rPr>
      <w:sz w:val="24"/>
      <w:szCs w:val="24"/>
    </w:rPr>
  </w:style>
  <w:style w:type="paragraph" w:customStyle="1" w:styleId="Level2">
    <w:name w:val="Level 2"/>
    <w:rsid w:val="00FB14A7"/>
    <w:pPr>
      <w:autoSpaceDE w:val="0"/>
      <w:autoSpaceDN w:val="0"/>
      <w:adjustRightInd w:val="0"/>
      <w:ind w:left="1440"/>
    </w:pPr>
    <w:rPr>
      <w:sz w:val="24"/>
      <w:szCs w:val="24"/>
    </w:rPr>
  </w:style>
  <w:style w:type="character" w:styleId="Hyperlink">
    <w:name w:val="Hyperlink"/>
    <w:uiPriority w:val="99"/>
    <w:unhideWhenUsed/>
    <w:rsid w:val="00FB14A7"/>
    <w:rPr>
      <w:color w:val="0000FF"/>
      <w:u w:val="single"/>
    </w:rPr>
  </w:style>
  <w:style w:type="paragraph" w:styleId="ListParagraph">
    <w:name w:val="List Paragraph"/>
    <w:basedOn w:val="Normal"/>
    <w:uiPriority w:val="34"/>
    <w:qFormat/>
    <w:rsid w:val="00FB14A7"/>
    <w:pPr>
      <w:ind w:left="720"/>
      <w:contextualSpacing/>
    </w:pPr>
  </w:style>
  <w:style w:type="paragraph" w:styleId="BalloonText">
    <w:name w:val="Balloon Text"/>
    <w:basedOn w:val="Normal"/>
    <w:link w:val="BalloonTextChar"/>
    <w:semiHidden/>
    <w:unhideWhenUsed/>
    <w:rsid w:val="00B90E7C"/>
    <w:rPr>
      <w:rFonts w:ascii="Segoe UI" w:hAnsi="Segoe UI" w:cs="Segoe UI"/>
      <w:sz w:val="18"/>
      <w:szCs w:val="18"/>
    </w:rPr>
  </w:style>
  <w:style w:type="character" w:customStyle="1" w:styleId="BalloonTextChar">
    <w:name w:val="Balloon Text Char"/>
    <w:basedOn w:val="DefaultParagraphFont"/>
    <w:link w:val="BalloonText"/>
    <w:semiHidden/>
    <w:rsid w:val="00B90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11</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2022-06-22T13:39:00Z</dcterms:created>
  <dcterms:modified xsi:type="dcterms:W3CDTF">2022-06-22T13:54:00Z</dcterms:modified>
</cp:coreProperties>
</file>