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2C01FE" w14:textId="77777777" w:rsidR="00CB5276" w:rsidRDefault="00B07764" w:rsidP="00B07764">
      <w:pPr>
        <w:pStyle w:val="OrderHeading"/>
      </w:pPr>
      <w:r>
        <w:t>BEFORE THE FLORIDA PUBLIC SERVICE COMMISSION</w:t>
      </w:r>
    </w:p>
    <w:p w14:paraId="5D553BA6" w14:textId="77777777" w:rsidR="00B07764" w:rsidRDefault="00B07764" w:rsidP="00B07764">
      <w:pPr>
        <w:pStyle w:val="OrderBody"/>
      </w:pPr>
    </w:p>
    <w:p w14:paraId="29DE28FF" w14:textId="77777777" w:rsidR="00B07764" w:rsidRDefault="00B07764" w:rsidP="00B07764">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B07764" w:rsidRPr="00C63FCF" w14:paraId="1198B273" w14:textId="77777777" w:rsidTr="00661127">
        <w:trPr>
          <w:trHeight w:val="828"/>
        </w:trPr>
        <w:tc>
          <w:tcPr>
            <w:tcW w:w="4788" w:type="dxa"/>
            <w:tcBorders>
              <w:bottom w:val="single" w:sz="8" w:space="0" w:color="auto"/>
              <w:right w:val="double" w:sz="6" w:space="0" w:color="auto"/>
            </w:tcBorders>
            <w:shd w:val="clear" w:color="auto" w:fill="auto"/>
          </w:tcPr>
          <w:p w14:paraId="4AD7825F" w14:textId="77777777" w:rsidR="00B07764" w:rsidRDefault="00B07764" w:rsidP="00661127">
            <w:pPr>
              <w:pStyle w:val="OrderBody"/>
              <w:tabs>
                <w:tab w:val="center" w:pos="4320"/>
                <w:tab w:val="right" w:pos="8640"/>
              </w:tabs>
              <w:jc w:val="left"/>
            </w:pPr>
            <w:r>
              <w:t xml:space="preserve">In re: </w:t>
            </w:r>
            <w:bookmarkStart w:id="0" w:name="SSInRe"/>
            <w:bookmarkEnd w:id="0"/>
            <w:r>
              <w:t>Petition for rate increase by Florida Power &amp; Light Company.</w:t>
            </w:r>
          </w:p>
        </w:tc>
        <w:tc>
          <w:tcPr>
            <w:tcW w:w="4788" w:type="dxa"/>
            <w:tcBorders>
              <w:left w:val="double" w:sz="6" w:space="0" w:color="auto"/>
            </w:tcBorders>
            <w:shd w:val="clear" w:color="auto" w:fill="auto"/>
          </w:tcPr>
          <w:p w14:paraId="48B15825" w14:textId="77777777" w:rsidR="00B07764" w:rsidRDefault="00B07764" w:rsidP="00B07764">
            <w:pPr>
              <w:pStyle w:val="OrderBody"/>
            </w:pPr>
            <w:r>
              <w:t xml:space="preserve">DOCKET NO. </w:t>
            </w:r>
            <w:bookmarkStart w:id="1" w:name="SSDocketNo"/>
            <w:bookmarkEnd w:id="1"/>
            <w:r>
              <w:t>20210015-EI</w:t>
            </w:r>
          </w:p>
          <w:p w14:paraId="568F50EB" w14:textId="786F76D6" w:rsidR="00B07764" w:rsidRDefault="00B07764" w:rsidP="00661127">
            <w:pPr>
              <w:pStyle w:val="OrderBody"/>
              <w:tabs>
                <w:tab w:val="center" w:pos="4320"/>
                <w:tab w:val="right" w:pos="8640"/>
              </w:tabs>
              <w:jc w:val="left"/>
            </w:pPr>
            <w:r>
              <w:t xml:space="preserve">ORDER NO. </w:t>
            </w:r>
            <w:bookmarkStart w:id="2" w:name="OrderNo0078"/>
            <w:r w:rsidR="006552A6">
              <w:t>PSC-2024-0078-FOF-EI</w:t>
            </w:r>
            <w:bookmarkEnd w:id="2"/>
          </w:p>
          <w:p w14:paraId="53201A2A" w14:textId="672EED3F" w:rsidR="00B07764" w:rsidRDefault="00B07764" w:rsidP="00661127">
            <w:pPr>
              <w:pStyle w:val="OrderBody"/>
              <w:tabs>
                <w:tab w:val="center" w:pos="4320"/>
                <w:tab w:val="right" w:pos="8640"/>
              </w:tabs>
              <w:jc w:val="left"/>
            </w:pPr>
            <w:r>
              <w:t xml:space="preserve">ISSUED: </w:t>
            </w:r>
            <w:r w:rsidR="006552A6">
              <w:t>March 25, 2024</w:t>
            </w:r>
          </w:p>
        </w:tc>
      </w:tr>
    </w:tbl>
    <w:p w14:paraId="2A029C8D" w14:textId="77777777" w:rsidR="00CE39C8" w:rsidRDefault="00CE39C8" w:rsidP="00CE39C8"/>
    <w:p w14:paraId="413C9E98" w14:textId="77777777" w:rsidR="00CE39C8" w:rsidRDefault="00CE39C8" w:rsidP="00CE39C8">
      <w:pPr>
        <w:ind w:firstLine="720"/>
        <w:jc w:val="both"/>
      </w:pPr>
      <w:r>
        <w:t>The following Commissioners participated in the disposition of this matter:</w:t>
      </w:r>
    </w:p>
    <w:p w14:paraId="4D9D1119" w14:textId="77777777" w:rsidR="00CE39C8" w:rsidRDefault="00CE39C8" w:rsidP="00CE39C8"/>
    <w:p w14:paraId="1DA5CACB" w14:textId="77777777" w:rsidR="00CE39C8" w:rsidRDefault="00CE39C8" w:rsidP="00CE39C8">
      <w:pPr>
        <w:jc w:val="center"/>
      </w:pPr>
      <w:r>
        <w:t>MIKE LA ROSA, Chairman</w:t>
      </w:r>
    </w:p>
    <w:p w14:paraId="7C6197FF" w14:textId="77777777" w:rsidR="00CE39C8" w:rsidRDefault="00CE39C8" w:rsidP="00CE39C8">
      <w:pPr>
        <w:jc w:val="center"/>
      </w:pPr>
      <w:r>
        <w:t>ART GRAHAM</w:t>
      </w:r>
    </w:p>
    <w:p w14:paraId="47111210" w14:textId="77777777" w:rsidR="00CE39C8" w:rsidRDefault="00CE39C8" w:rsidP="00CE39C8">
      <w:pPr>
        <w:jc w:val="center"/>
      </w:pPr>
      <w:r>
        <w:t>GARY F. CLARK</w:t>
      </w:r>
    </w:p>
    <w:p w14:paraId="74EED689" w14:textId="77777777" w:rsidR="00CE39C8" w:rsidRDefault="00CE39C8" w:rsidP="00CE39C8">
      <w:pPr>
        <w:jc w:val="center"/>
      </w:pPr>
      <w:r>
        <w:t>ANDREW GILES FAY</w:t>
      </w:r>
    </w:p>
    <w:p w14:paraId="09A94719" w14:textId="77777777" w:rsidR="00CE39C8" w:rsidRDefault="00CE39C8" w:rsidP="00CE39C8">
      <w:pPr>
        <w:jc w:val="center"/>
      </w:pPr>
      <w:r w:rsidRPr="005F2751">
        <w:t>GABRIELLA PASSIDOMO</w:t>
      </w:r>
    </w:p>
    <w:p w14:paraId="3E195157" w14:textId="77777777" w:rsidR="00CE39C8" w:rsidRDefault="00CE39C8" w:rsidP="00CE39C8">
      <w:pPr>
        <w:jc w:val="center"/>
      </w:pPr>
    </w:p>
    <w:p w14:paraId="6C52467A" w14:textId="77777777" w:rsidR="00CE39C8" w:rsidRDefault="00CE39C8" w:rsidP="00CE39C8">
      <w:pPr>
        <w:jc w:val="center"/>
      </w:pPr>
    </w:p>
    <w:p w14:paraId="2B66A84A" w14:textId="77777777" w:rsidR="00CE39C8" w:rsidRPr="00701945" w:rsidRDefault="00CE39C8" w:rsidP="00CE39C8">
      <w:pPr>
        <w:jc w:val="both"/>
      </w:pPr>
      <w:r w:rsidRPr="00701945">
        <w:t>APPEARANCES:</w:t>
      </w:r>
    </w:p>
    <w:p w14:paraId="1C52DD00" w14:textId="77777777" w:rsidR="00CE39C8" w:rsidRPr="00701945" w:rsidRDefault="00CE39C8" w:rsidP="00CE39C8">
      <w:pPr>
        <w:jc w:val="both"/>
      </w:pPr>
    </w:p>
    <w:p w14:paraId="31F512BB" w14:textId="77777777" w:rsidR="00CE39C8" w:rsidRDefault="00CE39C8" w:rsidP="00CE39C8">
      <w:pPr>
        <w:ind w:left="1440"/>
        <w:jc w:val="both"/>
      </w:pPr>
      <w:r w:rsidRPr="00281042">
        <w:t>R. WADE LITCHFIELD</w:t>
      </w:r>
      <w:r>
        <w:t xml:space="preserve">, </w:t>
      </w:r>
      <w:r w:rsidRPr="00281042">
        <w:t>Vice President and General Counsel</w:t>
      </w:r>
      <w:r>
        <w:t xml:space="preserve">; </w:t>
      </w:r>
      <w:r w:rsidRPr="00281042">
        <w:t>JOHN T. BURNETT</w:t>
      </w:r>
      <w:r>
        <w:t xml:space="preserve">, </w:t>
      </w:r>
      <w:r w:rsidRPr="00281042">
        <w:t>Vice President and Deputy General Counsel</w:t>
      </w:r>
      <w:r>
        <w:t xml:space="preserve">; </w:t>
      </w:r>
      <w:r w:rsidRPr="00281042">
        <w:t>MARIA J. MONCADA</w:t>
      </w:r>
      <w:r>
        <w:t xml:space="preserve">, </w:t>
      </w:r>
      <w:r w:rsidRPr="00281042">
        <w:t>Senior Attorney</w:t>
      </w:r>
      <w:r>
        <w:t xml:space="preserve">, and CHRISTOPHER WRIGHT, ESQUIRE, </w:t>
      </w:r>
      <w:r w:rsidRPr="00281042">
        <w:t>Florida Power &amp; Light Company</w:t>
      </w:r>
      <w:r>
        <w:t xml:space="preserve">, </w:t>
      </w:r>
      <w:r w:rsidRPr="00281042">
        <w:t>700 Universe Boulevard</w:t>
      </w:r>
      <w:r>
        <w:t xml:space="preserve">, </w:t>
      </w:r>
      <w:r w:rsidRPr="00281042">
        <w:t>Juno Beach, FL 33408</w:t>
      </w:r>
    </w:p>
    <w:p w14:paraId="21DC5F96" w14:textId="77777777" w:rsidR="00CE39C8" w:rsidRDefault="00CE39C8" w:rsidP="00CE39C8">
      <w:pPr>
        <w:ind w:left="720" w:firstLine="720"/>
        <w:jc w:val="both"/>
        <w:rPr>
          <w:u w:val="single"/>
        </w:rPr>
      </w:pPr>
      <w:r>
        <w:rPr>
          <w:u w:val="single"/>
        </w:rPr>
        <w:t>On behalf of Florida Power &amp; Light Company (FPL)</w:t>
      </w:r>
      <w:r w:rsidRPr="0064383B">
        <w:t>.</w:t>
      </w:r>
    </w:p>
    <w:p w14:paraId="1E4BB431" w14:textId="77777777" w:rsidR="00CE39C8" w:rsidRDefault="00CE39C8" w:rsidP="00CE39C8">
      <w:pPr>
        <w:jc w:val="both"/>
        <w:rPr>
          <w:u w:val="single"/>
        </w:rPr>
      </w:pPr>
    </w:p>
    <w:p w14:paraId="594C8634" w14:textId="77777777" w:rsidR="00CE39C8" w:rsidRPr="00D77FAB" w:rsidRDefault="00CE39C8" w:rsidP="00CE39C8">
      <w:pPr>
        <w:widowControl w:val="0"/>
        <w:tabs>
          <w:tab w:val="left" w:pos="720"/>
        </w:tabs>
        <w:autoSpaceDE w:val="0"/>
        <w:autoSpaceDN w:val="0"/>
        <w:adjustRightInd w:val="0"/>
        <w:ind w:left="1440" w:hanging="1440"/>
        <w:jc w:val="both"/>
        <w:rPr>
          <w:bCs/>
        </w:rPr>
      </w:pPr>
      <w:r>
        <w:tab/>
      </w:r>
      <w:r>
        <w:tab/>
      </w:r>
      <w:r w:rsidRPr="00D77FAB">
        <w:t>RICHARD GENTRY</w:t>
      </w:r>
      <w:r>
        <w:t xml:space="preserve">, </w:t>
      </w:r>
      <w:r w:rsidRPr="00D77FAB">
        <w:t>Public Counsel</w:t>
      </w:r>
      <w:r>
        <w:t xml:space="preserve">; </w:t>
      </w:r>
      <w:r w:rsidRPr="00D77FAB">
        <w:t>PATRICIA A. CHRISTENSEN</w:t>
      </w:r>
      <w:r>
        <w:t xml:space="preserve">, </w:t>
      </w:r>
      <w:r w:rsidRPr="00D77FAB">
        <w:t>Associate Public Counsel</w:t>
      </w:r>
      <w:r>
        <w:t xml:space="preserve">; </w:t>
      </w:r>
      <w:r w:rsidRPr="00D77FAB">
        <w:t>ANASTACIA PIRRELLO</w:t>
      </w:r>
      <w:r>
        <w:t xml:space="preserve">, </w:t>
      </w:r>
      <w:r w:rsidRPr="00D77FAB">
        <w:t>Associate Public Counsel</w:t>
      </w:r>
      <w:r>
        <w:t xml:space="preserve">; and </w:t>
      </w:r>
      <w:r w:rsidRPr="00D77FAB">
        <w:t>CHARLES REHWINKEL</w:t>
      </w:r>
      <w:r>
        <w:t xml:space="preserve">, </w:t>
      </w:r>
      <w:r w:rsidRPr="00D77FAB">
        <w:t>Deputy Public Counsel</w:t>
      </w:r>
      <w:r>
        <w:t xml:space="preserve">; Office of Public Counsel, </w:t>
      </w:r>
      <w:r w:rsidRPr="00D77FAB">
        <w:rPr>
          <w:bCs/>
        </w:rPr>
        <w:t>c/o The Florida Legislature</w:t>
      </w:r>
      <w:r>
        <w:rPr>
          <w:bCs/>
        </w:rPr>
        <w:t xml:space="preserve">, </w:t>
      </w:r>
      <w:r w:rsidRPr="00D77FAB">
        <w:rPr>
          <w:bCs/>
        </w:rPr>
        <w:t>111 West Madison Street, Room 812</w:t>
      </w:r>
      <w:r>
        <w:rPr>
          <w:bCs/>
        </w:rPr>
        <w:t xml:space="preserve">, </w:t>
      </w:r>
      <w:r w:rsidRPr="00D77FAB">
        <w:rPr>
          <w:bCs/>
        </w:rPr>
        <w:t>Tallahassee, Florida 32399-1400</w:t>
      </w:r>
    </w:p>
    <w:p w14:paraId="67C560E4" w14:textId="77777777" w:rsidR="00CE39C8" w:rsidRDefault="00CE39C8" w:rsidP="00CE39C8">
      <w:pPr>
        <w:ind w:left="720" w:firstLine="720"/>
        <w:jc w:val="both"/>
      </w:pPr>
      <w:r w:rsidRPr="00701945">
        <w:rPr>
          <w:u w:val="single"/>
        </w:rPr>
        <w:t xml:space="preserve">On behalf of </w:t>
      </w:r>
      <w:r>
        <w:rPr>
          <w:u w:val="single"/>
        </w:rPr>
        <w:t>Office of the Public Counsel (OPC)</w:t>
      </w:r>
      <w:r w:rsidRPr="00701945">
        <w:t xml:space="preserve">. </w:t>
      </w:r>
    </w:p>
    <w:p w14:paraId="1A22E92A" w14:textId="77777777" w:rsidR="00CE39C8" w:rsidRDefault="00CE39C8" w:rsidP="00CE39C8">
      <w:pPr>
        <w:jc w:val="both"/>
      </w:pPr>
    </w:p>
    <w:p w14:paraId="4857BE08" w14:textId="77777777" w:rsidR="00CE39C8" w:rsidRDefault="00CE39C8" w:rsidP="00CE39C8">
      <w:pPr>
        <w:ind w:left="1440"/>
        <w:jc w:val="both"/>
      </w:pPr>
      <w:r w:rsidRPr="00EB7FD3">
        <w:t xml:space="preserve">WILLIAM C. GARNER, </w:t>
      </w:r>
      <w:r>
        <w:t xml:space="preserve">ESQUIRE, </w:t>
      </w:r>
      <w:r w:rsidRPr="00EB7FD3">
        <w:t>Law Office of William C. Garner, PLLC</w:t>
      </w:r>
      <w:r>
        <w:t xml:space="preserve">, </w:t>
      </w:r>
      <w:r w:rsidRPr="00EB7FD3">
        <w:t>3425 Bannerman Road</w:t>
      </w:r>
      <w:r>
        <w:t xml:space="preserve">, </w:t>
      </w:r>
      <w:r w:rsidRPr="00EB7FD3">
        <w:t>Unit 105, #414</w:t>
      </w:r>
      <w:r>
        <w:t xml:space="preserve">, </w:t>
      </w:r>
      <w:r w:rsidRPr="00EB7FD3">
        <w:t>Tallahassee, FL 32312</w:t>
      </w:r>
    </w:p>
    <w:p w14:paraId="69222793" w14:textId="77777777" w:rsidR="00CE39C8" w:rsidRDefault="00CE39C8" w:rsidP="00CE39C8">
      <w:pPr>
        <w:ind w:left="1440"/>
        <w:jc w:val="both"/>
        <w:rPr>
          <w:u w:val="single"/>
        </w:rPr>
      </w:pPr>
      <w:r>
        <w:rPr>
          <w:u w:val="single"/>
        </w:rPr>
        <w:t>On behalf of the CLEO Institute Inc. (CLEO)</w:t>
      </w:r>
      <w:r w:rsidRPr="0064383B">
        <w:t>.</w:t>
      </w:r>
    </w:p>
    <w:p w14:paraId="5E55171B" w14:textId="77777777" w:rsidR="00CE39C8" w:rsidRDefault="00CE39C8" w:rsidP="00CE39C8">
      <w:pPr>
        <w:jc w:val="both"/>
        <w:rPr>
          <w:u w:val="single"/>
        </w:rPr>
      </w:pPr>
    </w:p>
    <w:p w14:paraId="01644572" w14:textId="77777777" w:rsidR="00CE39C8" w:rsidRDefault="00CE39C8" w:rsidP="00CE39C8">
      <w:pPr>
        <w:ind w:left="1440"/>
        <w:jc w:val="both"/>
      </w:pPr>
      <w:r w:rsidRPr="001A58B4">
        <w:t>ROBERT SCHEFFEL WRIGHT and JOHN T. LAVIA, III, ESQUIRES, Gardner, Bist, Bowden, Dee, LaVia, Wright, Perry &amp; Harper, P.A., 1300 Thomaswood Drive, Tallahassee, Florida 32308</w:t>
      </w:r>
    </w:p>
    <w:p w14:paraId="7EC8E9B2" w14:textId="77777777" w:rsidR="00CE39C8" w:rsidRPr="00E824AF" w:rsidRDefault="00CE39C8" w:rsidP="00CE39C8">
      <w:pPr>
        <w:ind w:left="1440"/>
        <w:jc w:val="both"/>
        <w:rPr>
          <w:u w:val="single"/>
        </w:rPr>
      </w:pPr>
      <w:r>
        <w:rPr>
          <w:u w:val="single"/>
        </w:rPr>
        <w:t>On behalf of Floridians Against Increased Rates, Inc. (FAIR)</w:t>
      </w:r>
      <w:r w:rsidRPr="0064383B">
        <w:t>.</w:t>
      </w:r>
    </w:p>
    <w:p w14:paraId="7CBA5636" w14:textId="77777777" w:rsidR="00CE39C8" w:rsidRDefault="00CE39C8" w:rsidP="00CE39C8"/>
    <w:p w14:paraId="138A4770" w14:textId="77777777" w:rsidR="00CE39C8" w:rsidRDefault="00CE39C8" w:rsidP="00CE39C8">
      <w:pPr>
        <w:ind w:left="1440"/>
        <w:rPr>
          <w:bCs/>
        </w:rPr>
      </w:pPr>
      <w:r w:rsidRPr="00C7108D">
        <w:t>SCOTT L. KIRK, MAJ, USAF</w:t>
      </w:r>
      <w:r>
        <w:t xml:space="preserve">, </w:t>
      </w:r>
      <w:r w:rsidRPr="001A58B4">
        <w:t>AF/JAOE-ULFSC</w:t>
      </w:r>
      <w:r>
        <w:t xml:space="preserve">, </w:t>
      </w:r>
      <w:r w:rsidRPr="001A58B4">
        <w:tab/>
      </w:r>
      <w:r>
        <w:t xml:space="preserve">ESQUIRE, </w:t>
      </w:r>
      <w:r w:rsidRPr="001A58B4">
        <w:t>139 Barnes Drive, Suite 1</w:t>
      </w:r>
      <w:r>
        <w:t xml:space="preserve">, </w:t>
      </w:r>
      <w:r w:rsidRPr="00C7108D">
        <w:rPr>
          <w:bCs/>
        </w:rPr>
        <w:t>Tyndall Air Force Base, FL 32403</w:t>
      </w:r>
    </w:p>
    <w:p w14:paraId="3AE343DE" w14:textId="77777777" w:rsidR="00CE39C8" w:rsidRDefault="00CE39C8" w:rsidP="00CE39C8">
      <w:pPr>
        <w:ind w:left="1440"/>
        <w:rPr>
          <w:bCs/>
          <w:u w:val="single"/>
        </w:rPr>
      </w:pPr>
      <w:r>
        <w:rPr>
          <w:bCs/>
          <w:u w:val="single"/>
        </w:rPr>
        <w:t>On behalf of the Federal Executive Agencies (FEA)</w:t>
      </w:r>
      <w:r w:rsidRPr="0064383B">
        <w:rPr>
          <w:bCs/>
        </w:rPr>
        <w:t>.</w:t>
      </w:r>
    </w:p>
    <w:p w14:paraId="3BAF6D9F" w14:textId="77777777" w:rsidR="00CE39C8" w:rsidRPr="001A58B4" w:rsidRDefault="00CE39C8" w:rsidP="00CE39C8"/>
    <w:p w14:paraId="540D3BA9" w14:textId="77777777" w:rsidR="00CE39C8" w:rsidRDefault="00CE39C8" w:rsidP="00CE39C8">
      <w:pPr>
        <w:ind w:left="1440"/>
        <w:jc w:val="both"/>
        <w:rPr>
          <w:rFonts w:eastAsia="Calibri"/>
          <w:bCs/>
        </w:rPr>
      </w:pPr>
      <w:r w:rsidRPr="00464F69">
        <w:rPr>
          <w:rFonts w:eastAsia="Calibri"/>
          <w:bCs/>
          <w:lang w:val="fr-FR"/>
        </w:rPr>
        <w:lastRenderedPageBreak/>
        <w:t>JON C. MOYLE, JR.</w:t>
      </w:r>
      <w:r>
        <w:rPr>
          <w:rFonts w:eastAsia="Calibri"/>
          <w:bCs/>
          <w:lang w:val="fr-FR"/>
        </w:rPr>
        <w:t xml:space="preserve"> and </w:t>
      </w:r>
      <w:r w:rsidRPr="001A3A7C">
        <w:rPr>
          <w:rFonts w:eastAsia="Calibri"/>
          <w:bCs/>
        </w:rPr>
        <w:t>KAREN PUTNAL</w:t>
      </w:r>
      <w:r>
        <w:rPr>
          <w:rFonts w:eastAsia="Calibri"/>
          <w:bCs/>
        </w:rPr>
        <w:t xml:space="preserve">, ESQUIRES, </w:t>
      </w:r>
      <w:r w:rsidRPr="001A3A7C">
        <w:rPr>
          <w:rFonts w:eastAsia="Calibri"/>
          <w:bCs/>
        </w:rPr>
        <w:tab/>
        <w:t>Moyle Law Firm, P.A.</w:t>
      </w:r>
      <w:r>
        <w:rPr>
          <w:rFonts w:eastAsia="Calibri"/>
          <w:bCs/>
        </w:rPr>
        <w:t>, 1</w:t>
      </w:r>
      <w:r w:rsidRPr="001A3A7C">
        <w:rPr>
          <w:rFonts w:eastAsia="Calibri"/>
          <w:bCs/>
        </w:rPr>
        <w:t>18 North Gadsden Street</w:t>
      </w:r>
      <w:r>
        <w:rPr>
          <w:rFonts w:eastAsia="Calibri"/>
          <w:bCs/>
        </w:rPr>
        <w:t xml:space="preserve">, </w:t>
      </w:r>
      <w:r w:rsidRPr="001A3A7C">
        <w:rPr>
          <w:rFonts w:eastAsia="Calibri"/>
          <w:bCs/>
        </w:rPr>
        <w:t>Tallahassee, FL 32312</w:t>
      </w:r>
    </w:p>
    <w:p w14:paraId="1AB6A680" w14:textId="77777777" w:rsidR="00CE39C8" w:rsidRPr="00E824AF" w:rsidRDefault="00CE39C8" w:rsidP="00CE39C8">
      <w:pPr>
        <w:ind w:left="1440"/>
        <w:jc w:val="both"/>
        <w:rPr>
          <w:rFonts w:eastAsia="Calibri"/>
          <w:bCs/>
          <w:u w:val="single"/>
        </w:rPr>
      </w:pPr>
      <w:r>
        <w:rPr>
          <w:rFonts w:eastAsia="Calibri"/>
          <w:bCs/>
          <w:u w:val="single"/>
        </w:rPr>
        <w:t>On behalf of the Florida Industrial Power Users Group (FIPUG)</w:t>
      </w:r>
      <w:r w:rsidRPr="0064383B">
        <w:rPr>
          <w:rFonts w:eastAsia="Calibri"/>
          <w:bCs/>
        </w:rPr>
        <w:t>.</w:t>
      </w:r>
    </w:p>
    <w:p w14:paraId="6C1E49C0" w14:textId="77777777" w:rsidR="00CE39C8" w:rsidRDefault="00CE39C8" w:rsidP="00CE39C8">
      <w:pPr>
        <w:rPr>
          <w:bCs/>
          <w:u w:val="single"/>
        </w:rPr>
      </w:pPr>
    </w:p>
    <w:p w14:paraId="61002F01" w14:textId="77777777" w:rsidR="00CE39C8" w:rsidRDefault="00CE39C8" w:rsidP="00CE39C8">
      <w:pPr>
        <w:ind w:left="1426"/>
        <w:jc w:val="both"/>
      </w:pPr>
      <w:r w:rsidRPr="00F82FCA">
        <w:rPr>
          <w:color w:val="000000"/>
        </w:rPr>
        <w:t>FLOYD R. SELF,</w:t>
      </w:r>
      <w:r>
        <w:rPr>
          <w:color w:val="000000"/>
        </w:rPr>
        <w:t xml:space="preserve"> ESQUIRE, </w:t>
      </w:r>
      <w:r w:rsidRPr="00F82FCA">
        <w:rPr>
          <w:color w:val="000000"/>
        </w:rPr>
        <w:t>Berger Singerman, LLP</w:t>
      </w:r>
      <w:r>
        <w:rPr>
          <w:color w:val="000000"/>
        </w:rPr>
        <w:t xml:space="preserve">, </w:t>
      </w:r>
      <w:r w:rsidRPr="00F82FCA">
        <w:rPr>
          <w:color w:val="000000"/>
        </w:rPr>
        <w:t>313 North Monroe Street, Suite 301</w:t>
      </w:r>
      <w:r>
        <w:rPr>
          <w:color w:val="000000"/>
        </w:rPr>
        <w:t>, T</w:t>
      </w:r>
      <w:r w:rsidRPr="00F82FCA">
        <w:rPr>
          <w:color w:val="000000"/>
        </w:rPr>
        <w:t>allahassee, FL 32301</w:t>
      </w:r>
      <w:r>
        <w:rPr>
          <w:color w:val="000000"/>
        </w:rPr>
        <w:t xml:space="preserve"> and </w:t>
      </w:r>
      <w:r w:rsidRPr="001A58B4">
        <w:t xml:space="preserve">T. SCOTT THOMPSON, </w:t>
      </w:r>
      <w:r>
        <w:t xml:space="preserve">ESQUIRE, </w:t>
      </w:r>
      <w:r w:rsidRPr="00F82FCA">
        <w:t>Mintz, Levin, Cohn, Ferris, Glovsky and Popeo, P.C.</w:t>
      </w:r>
      <w:r>
        <w:t xml:space="preserve">, </w:t>
      </w:r>
      <w:r w:rsidRPr="00680271">
        <w:t>555 12</w:t>
      </w:r>
      <w:r w:rsidRPr="00680271">
        <w:rPr>
          <w:vertAlign w:val="superscript"/>
        </w:rPr>
        <w:t>th</w:t>
      </w:r>
      <w:r w:rsidRPr="00680271">
        <w:t xml:space="preserve"> Street NW, Suite 1100</w:t>
      </w:r>
      <w:r>
        <w:t xml:space="preserve">, </w:t>
      </w:r>
      <w:r w:rsidRPr="00F82FCA">
        <w:t>Washington, DC 20004</w:t>
      </w:r>
    </w:p>
    <w:p w14:paraId="5F1814B3" w14:textId="77777777" w:rsidR="00CE39C8" w:rsidRPr="00CA6839" w:rsidRDefault="00CE39C8" w:rsidP="00CE39C8">
      <w:pPr>
        <w:ind w:left="1426"/>
        <w:jc w:val="both"/>
        <w:rPr>
          <w:u w:val="single"/>
        </w:rPr>
      </w:pPr>
      <w:r>
        <w:rPr>
          <w:u w:val="single"/>
        </w:rPr>
        <w:t>On behalf of Florida Internet &amp; Television Association, Inc. (FIT)</w:t>
      </w:r>
      <w:r w:rsidRPr="0064383B">
        <w:t>.</w:t>
      </w:r>
    </w:p>
    <w:p w14:paraId="39DF00FA" w14:textId="77777777" w:rsidR="00CE39C8" w:rsidRDefault="00CE39C8" w:rsidP="00CE39C8">
      <w:pPr>
        <w:rPr>
          <w:bCs/>
          <w:u w:val="single"/>
        </w:rPr>
      </w:pPr>
    </w:p>
    <w:p w14:paraId="3B354A84" w14:textId="77777777" w:rsidR="00CE39C8" w:rsidRDefault="00CE39C8" w:rsidP="00CE39C8">
      <w:pPr>
        <w:ind w:left="1440" w:hanging="14"/>
        <w:jc w:val="both"/>
        <w:rPr>
          <w:bCs/>
          <w:u w:val="single"/>
        </w:rPr>
      </w:pPr>
      <w:r w:rsidRPr="0029207E">
        <w:t>JAMES W. BREW</w:t>
      </w:r>
      <w:r>
        <w:t xml:space="preserve"> and </w:t>
      </w:r>
      <w:r w:rsidRPr="0029207E">
        <w:t>LAURA WYNN BAKER</w:t>
      </w:r>
      <w:r>
        <w:t xml:space="preserve">, ESQUIRES, </w:t>
      </w:r>
      <w:r w:rsidRPr="0029207E">
        <w:t>Stone Mattheis Xenopoulos &amp; Brew, PC</w:t>
      </w:r>
      <w:r>
        <w:t xml:space="preserve">, </w:t>
      </w:r>
      <w:r w:rsidRPr="0029207E">
        <w:t>1025 Thomas Jefferson Street, NW</w:t>
      </w:r>
      <w:r>
        <w:t xml:space="preserve">, </w:t>
      </w:r>
      <w:r w:rsidRPr="0029207E">
        <w:t>Eighth Floor, West Tower</w:t>
      </w:r>
      <w:r>
        <w:t xml:space="preserve">, </w:t>
      </w:r>
      <w:r w:rsidRPr="0029207E">
        <w:t>Washington, D.C. 20007</w:t>
      </w:r>
    </w:p>
    <w:p w14:paraId="06787FAD" w14:textId="77777777" w:rsidR="00CE39C8" w:rsidRDefault="00CE39C8" w:rsidP="00CE39C8">
      <w:pPr>
        <w:ind w:left="1440"/>
        <w:jc w:val="both"/>
        <w:rPr>
          <w:bCs/>
          <w:u w:val="single"/>
        </w:rPr>
      </w:pPr>
      <w:r>
        <w:rPr>
          <w:bCs/>
          <w:u w:val="single"/>
        </w:rPr>
        <w:t>On behalf of Florida Retail Federation (FRF)</w:t>
      </w:r>
      <w:r w:rsidRPr="0064383B">
        <w:rPr>
          <w:bCs/>
        </w:rPr>
        <w:t>.</w:t>
      </w:r>
    </w:p>
    <w:p w14:paraId="57C6BB88" w14:textId="77777777" w:rsidR="00CE39C8" w:rsidRDefault="00CE39C8" w:rsidP="00CE39C8">
      <w:pPr>
        <w:rPr>
          <w:bCs/>
          <w:u w:val="single"/>
        </w:rPr>
      </w:pPr>
    </w:p>
    <w:p w14:paraId="7E152645" w14:textId="517E2F36" w:rsidR="00CE39C8" w:rsidRDefault="00CE39C8" w:rsidP="00CE39C8">
      <w:pPr>
        <w:suppressAutoHyphens/>
        <w:ind w:left="1440"/>
        <w:jc w:val="both"/>
        <w:rPr>
          <w:rFonts w:eastAsia="MS Mincho"/>
          <w:lang w:eastAsia="ar-SA"/>
        </w:rPr>
      </w:pPr>
      <w:r w:rsidRPr="002E061B">
        <w:rPr>
          <w:lang w:eastAsia="ar-SA"/>
        </w:rPr>
        <w:t>BRADLEY MARSHALL</w:t>
      </w:r>
      <w:r>
        <w:rPr>
          <w:lang w:eastAsia="ar-SA"/>
        </w:rPr>
        <w:t xml:space="preserve"> and JORDAN LUEBKEMANN, ESQUIRES, </w:t>
      </w:r>
      <w:r w:rsidRPr="008C48ED">
        <w:rPr>
          <w:rFonts w:eastAsia="MS Mincho"/>
          <w:lang w:eastAsia="ar-SA"/>
        </w:rPr>
        <w:t>Earthjustice</w:t>
      </w:r>
      <w:r>
        <w:rPr>
          <w:rFonts w:eastAsia="MS Mincho"/>
          <w:lang w:eastAsia="ar-SA"/>
        </w:rPr>
        <w:t xml:space="preserve">, </w:t>
      </w:r>
      <w:r w:rsidRPr="008C48ED">
        <w:rPr>
          <w:rFonts w:eastAsia="MS Mincho"/>
          <w:lang w:eastAsia="ar-SA"/>
        </w:rPr>
        <w:t>111 S. Martin Luther King Jr. Blvd.</w:t>
      </w:r>
      <w:r>
        <w:rPr>
          <w:rFonts w:eastAsia="MS Mincho"/>
          <w:lang w:eastAsia="ar-SA"/>
        </w:rPr>
        <w:t xml:space="preserve">, </w:t>
      </w:r>
      <w:r w:rsidRPr="008C48ED">
        <w:rPr>
          <w:rFonts w:eastAsia="MS Mincho"/>
          <w:lang w:eastAsia="ar-SA"/>
        </w:rPr>
        <w:t>Tallahassee, Florida 32301</w:t>
      </w:r>
      <w:r>
        <w:rPr>
          <w:rFonts w:eastAsia="MS Mincho"/>
          <w:lang w:eastAsia="ar-SA"/>
        </w:rPr>
        <w:t xml:space="preserve"> and </w:t>
      </w:r>
      <w:r w:rsidRPr="008C48ED">
        <w:rPr>
          <w:lang w:eastAsia="ar-SA"/>
        </w:rPr>
        <w:t>CHRISTINA I. REICHERT</w:t>
      </w:r>
      <w:r>
        <w:rPr>
          <w:lang w:eastAsia="ar-SA"/>
        </w:rPr>
        <w:t xml:space="preserve">, ESQUIRE, </w:t>
      </w:r>
      <w:r w:rsidRPr="008C48ED">
        <w:rPr>
          <w:rFonts w:eastAsia="MS Mincho"/>
          <w:lang w:eastAsia="ar-SA"/>
        </w:rPr>
        <w:t>Earthjustice</w:t>
      </w:r>
      <w:r>
        <w:rPr>
          <w:rFonts w:eastAsia="MS Mincho"/>
          <w:lang w:eastAsia="ar-SA"/>
        </w:rPr>
        <w:t xml:space="preserve">, </w:t>
      </w:r>
      <w:r w:rsidRPr="008C48ED">
        <w:rPr>
          <w:rFonts w:eastAsia="MS Mincho"/>
          <w:lang w:eastAsia="ar-SA"/>
        </w:rPr>
        <w:t>4500 Biscayne Blvd., Ste. 201</w:t>
      </w:r>
      <w:r>
        <w:rPr>
          <w:rFonts w:eastAsia="MS Mincho"/>
          <w:lang w:eastAsia="ar-SA"/>
        </w:rPr>
        <w:t xml:space="preserve">, </w:t>
      </w:r>
      <w:r w:rsidRPr="008C48ED">
        <w:rPr>
          <w:rFonts w:eastAsia="MS Mincho"/>
          <w:lang w:eastAsia="ar-SA"/>
        </w:rPr>
        <w:t>Miami, Florida 33137</w:t>
      </w:r>
    </w:p>
    <w:p w14:paraId="0C6A2B6B" w14:textId="77777777" w:rsidR="00CE39C8" w:rsidRPr="00FC4666" w:rsidRDefault="00CE39C8" w:rsidP="00CE39C8">
      <w:pPr>
        <w:suppressAutoHyphens/>
        <w:ind w:left="1440"/>
        <w:jc w:val="both"/>
        <w:rPr>
          <w:rFonts w:eastAsia="MS Mincho"/>
          <w:u w:val="single"/>
          <w:lang w:eastAsia="ar-SA"/>
        </w:rPr>
      </w:pPr>
      <w:r>
        <w:rPr>
          <w:rFonts w:eastAsia="MS Mincho"/>
          <w:u w:val="single"/>
          <w:lang w:eastAsia="ar-SA"/>
        </w:rPr>
        <w:t>On behalf of Florida Rising, Inc., League of United Latin American Citizens of Florida, and Environmental Confederation of Southwest Florida, Inc. (Fla. Rising, LULAC, ECOSWF)</w:t>
      </w:r>
      <w:r w:rsidRPr="0064383B">
        <w:rPr>
          <w:rFonts w:eastAsia="MS Mincho"/>
          <w:lang w:eastAsia="ar-SA"/>
        </w:rPr>
        <w:t>.</w:t>
      </w:r>
    </w:p>
    <w:p w14:paraId="60104F35" w14:textId="77777777" w:rsidR="00CE39C8" w:rsidRPr="00CA6839" w:rsidRDefault="00CE39C8" w:rsidP="00CE39C8">
      <w:pPr>
        <w:rPr>
          <w:bCs/>
          <w:u w:val="single"/>
        </w:rPr>
      </w:pPr>
    </w:p>
    <w:p w14:paraId="6CBB8BF4" w14:textId="77777777" w:rsidR="00CE39C8" w:rsidRPr="004A35E8" w:rsidRDefault="00CE39C8" w:rsidP="00CE39C8">
      <w:pPr>
        <w:autoSpaceDE w:val="0"/>
        <w:autoSpaceDN w:val="0"/>
        <w:adjustRightInd w:val="0"/>
        <w:ind w:left="720" w:firstLine="720"/>
        <w:jc w:val="both"/>
        <w:rPr>
          <w:color w:val="252525"/>
        </w:rPr>
      </w:pPr>
      <w:r w:rsidRPr="004A35E8">
        <w:rPr>
          <w:color w:val="111111"/>
        </w:rPr>
        <w:t xml:space="preserve">NATHAN </w:t>
      </w:r>
      <w:r w:rsidRPr="004A35E8">
        <w:rPr>
          <w:color w:val="252525"/>
        </w:rPr>
        <w:t xml:space="preserve">A. </w:t>
      </w:r>
      <w:r w:rsidRPr="004A35E8">
        <w:rPr>
          <w:color w:val="111111"/>
        </w:rPr>
        <w:t>SKOP</w:t>
      </w:r>
      <w:r w:rsidRPr="004A35E8">
        <w:rPr>
          <w:color w:val="363636"/>
        </w:rPr>
        <w:t xml:space="preserve">, </w:t>
      </w:r>
      <w:r w:rsidRPr="004A35E8">
        <w:rPr>
          <w:color w:val="252525"/>
        </w:rPr>
        <w:t xml:space="preserve">ESQUIRE, </w:t>
      </w:r>
      <w:r w:rsidRPr="004A35E8">
        <w:rPr>
          <w:color w:val="111111"/>
        </w:rPr>
        <w:t xml:space="preserve">420 </w:t>
      </w:r>
      <w:r w:rsidRPr="004A35E8">
        <w:rPr>
          <w:color w:val="252525"/>
        </w:rPr>
        <w:t xml:space="preserve">NW </w:t>
      </w:r>
      <w:r w:rsidRPr="004A35E8">
        <w:rPr>
          <w:color w:val="111111"/>
        </w:rPr>
        <w:t>50</w:t>
      </w:r>
      <w:r w:rsidRPr="004A35E8">
        <w:rPr>
          <w:color w:val="363636"/>
        </w:rPr>
        <w:t>t</w:t>
      </w:r>
      <w:r w:rsidRPr="004A35E8">
        <w:rPr>
          <w:color w:val="111111"/>
        </w:rPr>
        <w:t xml:space="preserve">h Boulevard, </w:t>
      </w:r>
      <w:r w:rsidRPr="004A35E8">
        <w:rPr>
          <w:color w:val="252525"/>
        </w:rPr>
        <w:t xml:space="preserve">Gainesville, </w:t>
      </w:r>
      <w:r w:rsidRPr="004A35E8">
        <w:rPr>
          <w:color w:val="111111"/>
        </w:rPr>
        <w:t xml:space="preserve">FL </w:t>
      </w:r>
      <w:r w:rsidRPr="004A35E8">
        <w:rPr>
          <w:color w:val="252525"/>
        </w:rPr>
        <w:t>32607</w:t>
      </w:r>
    </w:p>
    <w:p w14:paraId="71F4F876" w14:textId="77777777" w:rsidR="00CE39C8" w:rsidRPr="004A35E8" w:rsidRDefault="00CE39C8" w:rsidP="00CE39C8">
      <w:pPr>
        <w:ind w:left="1440"/>
        <w:jc w:val="both"/>
        <w:rPr>
          <w:color w:val="252525"/>
          <w:u w:val="single"/>
        </w:rPr>
      </w:pPr>
      <w:r w:rsidRPr="004A35E8">
        <w:rPr>
          <w:color w:val="252525"/>
          <w:u w:val="single"/>
        </w:rPr>
        <w:t>On behalf of Daniel and Alexandria Larson (Larsons)</w:t>
      </w:r>
      <w:r w:rsidRPr="004A35E8">
        <w:rPr>
          <w:color w:val="252525"/>
        </w:rPr>
        <w:t>.</w:t>
      </w:r>
    </w:p>
    <w:p w14:paraId="5DECCB90" w14:textId="77777777" w:rsidR="00CE39C8" w:rsidRDefault="00CE39C8" w:rsidP="00CE39C8">
      <w:pPr>
        <w:jc w:val="both"/>
        <w:rPr>
          <w:color w:val="252525"/>
          <w:sz w:val="23"/>
          <w:szCs w:val="23"/>
          <w:u w:val="single"/>
        </w:rPr>
      </w:pPr>
    </w:p>
    <w:p w14:paraId="604A4786" w14:textId="77777777" w:rsidR="00CE39C8" w:rsidRDefault="00CE39C8" w:rsidP="00CE39C8">
      <w:pPr>
        <w:autoSpaceDE w:val="0"/>
        <w:autoSpaceDN w:val="0"/>
        <w:adjustRightInd w:val="0"/>
        <w:ind w:left="1440"/>
        <w:jc w:val="both"/>
        <w:rPr>
          <w:color w:val="252525"/>
          <w:sz w:val="23"/>
          <w:szCs w:val="23"/>
          <w:u w:val="single"/>
        </w:rPr>
      </w:pPr>
      <w:r w:rsidRPr="009841F1">
        <w:t>GEORGE CAVROS</w:t>
      </w:r>
      <w:r>
        <w:t xml:space="preserve">, ESQUIRE, </w:t>
      </w:r>
      <w:r w:rsidRPr="009841F1">
        <w:t>Southern Alliance for Clean Energy</w:t>
      </w:r>
      <w:r>
        <w:t xml:space="preserve">, </w:t>
      </w:r>
      <w:r w:rsidRPr="009841F1">
        <w:t>120 E. Oakland Park Blvd., Suite 105</w:t>
      </w:r>
      <w:r>
        <w:t xml:space="preserve">, </w:t>
      </w:r>
      <w:r w:rsidRPr="009841F1">
        <w:t>Fort Lauderdale, FL 33334</w:t>
      </w:r>
      <w:r w:rsidRPr="009841F1">
        <w:rPr>
          <w:color w:val="252525"/>
          <w:sz w:val="23"/>
          <w:szCs w:val="23"/>
          <w:u w:val="single"/>
        </w:rPr>
        <w:t xml:space="preserve"> </w:t>
      </w:r>
    </w:p>
    <w:p w14:paraId="1CA6D552" w14:textId="77777777" w:rsidR="00CE39C8" w:rsidRPr="009841F1" w:rsidRDefault="00CE39C8" w:rsidP="00CE39C8">
      <w:pPr>
        <w:autoSpaceDE w:val="0"/>
        <w:autoSpaceDN w:val="0"/>
        <w:adjustRightInd w:val="0"/>
        <w:ind w:left="720" w:firstLine="720"/>
        <w:jc w:val="both"/>
        <w:rPr>
          <w:u w:val="single"/>
        </w:rPr>
      </w:pPr>
      <w:r w:rsidRPr="009841F1">
        <w:rPr>
          <w:color w:val="252525"/>
          <w:sz w:val="23"/>
          <w:szCs w:val="23"/>
          <w:u w:val="single"/>
        </w:rPr>
        <w:t>On behalf of Southern Alliance for Clean Energy</w:t>
      </w:r>
      <w:r>
        <w:rPr>
          <w:color w:val="252525"/>
          <w:sz w:val="23"/>
          <w:szCs w:val="23"/>
          <w:u w:val="single"/>
        </w:rPr>
        <w:t xml:space="preserve"> (SACE)</w:t>
      </w:r>
      <w:r w:rsidRPr="0064383B">
        <w:rPr>
          <w:color w:val="252525"/>
          <w:sz w:val="23"/>
          <w:szCs w:val="23"/>
        </w:rPr>
        <w:t>.</w:t>
      </w:r>
    </w:p>
    <w:p w14:paraId="47526502" w14:textId="77777777" w:rsidR="00CE39C8" w:rsidRDefault="00CE39C8" w:rsidP="00CE39C8">
      <w:pPr>
        <w:jc w:val="both"/>
      </w:pPr>
    </w:p>
    <w:p w14:paraId="3EF9DCBC" w14:textId="77777777" w:rsidR="00CE39C8" w:rsidRDefault="00CE39C8" w:rsidP="00CE39C8">
      <w:pPr>
        <w:ind w:left="1440"/>
        <w:jc w:val="both"/>
      </w:pPr>
      <w:r>
        <w:t>KATIE CHILES OTTENWELLER, ESQUIRE, Southeast Director, Vote Solar, 838 Barton Woods Road, Atlanta, GA 30307</w:t>
      </w:r>
    </w:p>
    <w:p w14:paraId="1295FE6D" w14:textId="77777777" w:rsidR="00CE39C8" w:rsidRDefault="00CE39C8" w:rsidP="00CE39C8">
      <w:pPr>
        <w:ind w:left="1440"/>
        <w:jc w:val="both"/>
        <w:rPr>
          <w:u w:val="single"/>
        </w:rPr>
      </w:pPr>
      <w:r>
        <w:rPr>
          <w:u w:val="single"/>
        </w:rPr>
        <w:t>On behalf of Vote Solar</w:t>
      </w:r>
      <w:r w:rsidRPr="0064383B">
        <w:t>.</w:t>
      </w:r>
    </w:p>
    <w:p w14:paraId="1F4E652E" w14:textId="77777777" w:rsidR="00CE39C8" w:rsidRPr="003A5E1F" w:rsidRDefault="00CE39C8" w:rsidP="00CE39C8">
      <w:pPr>
        <w:jc w:val="both"/>
        <w:rPr>
          <w:u w:val="single"/>
        </w:rPr>
      </w:pPr>
    </w:p>
    <w:p w14:paraId="1D8C576D" w14:textId="77777777" w:rsidR="00CE39C8" w:rsidRDefault="00CE39C8" w:rsidP="00CE39C8">
      <w:pPr>
        <w:autoSpaceDE w:val="0"/>
        <w:autoSpaceDN w:val="0"/>
        <w:adjustRightInd w:val="0"/>
        <w:ind w:left="1440"/>
        <w:jc w:val="both"/>
      </w:pPr>
      <w:r>
        <w:t>STEPHANIE U. EATON, ESQUIRE, Spilman Thomas &amp; Battle, PLLC, 110 Oakwood Drive, Suite 500, Winston-Salem, NC 27103</w:t>
      </w:r>
    </w:p>
    <w:p w14:paraId="2C02AF8A" w14:textId="77777777" w:rsidR="00CE39C8" w:rsidRPr="004569DE" w:rsidRDefault="00CE39C8" w:rsidP="00CE39C8">
      <w:pPr>
        <w:autoSpaceDE w:val="0"/>
        <w:autoSpaceDN w:val="0"/>
        <w:adjustRightInd w:val="0"/>
        <w:ind w:left="1440"/>
        <w:jc w:val="both"/>
        <w:rPr>
          <w:u w:val="single"/>
        </w:rPr>
      </w:pPr>
      <w:r>
        <w:rPr>
          <w:u w:val="single"/>
        </w:rPr>
        <w:t>On behalf of Walmart Inc. (Walmart)</w:t>
      </w:r>
      <w:r w:rsidRPr="0064383B">
        <w:t>.</w:t>
      </w:r>
    </w:p>
    <w:p w14:paraId="7E150AC9" w14:textId="77777777" w:rsidR="00CE39C8" w:rsidRDefault="00CE39C8" w:rsidP="00CE39C8">
      <w:pPr>
        <w:jc w:val="both"/>
      </w:pPr>
    </w:p>
    <w:p w14:paraId="084BB011" w14:textId="77777777" w:rsidR="00CE39C8" w:rsidRPr="00701945" w:rsidRDefault="00CE39C8" w:rsidP="00CE39C8">
      <w:pPr>
        <w:ind w:left="1440"/>
        <w:jc w:val="both"/>
      </w:pPr>
      <w:r>
        <w:t>SUZANNE S. BROWNLESS, SHAW P. STILLER, and BIANCA LHERISSON</w:t>
      </w:r>
      <w:r w:rsidRPr="00701945">
        <w:t>, ESQUIRE</w:t>
      </w:r>
      <w:r>
        <w:t>S</w:t>
      </w:r>
      <w:r w:rsidRPr="00701945">
        <w:t xml:space="preserve">, </w:t>
      </w:r>
      <w:smartTag w:uri="urn:schemas-microsoft-com:office:smarttags" w:element="State">
        <w:smartTag w:uri="urn:schemas-microsoft-com:office:smarttags" w:element="place">
          <w:r w:rsidRPr="00701945">
            <w:t>Florida</w:t>
          </w:r>
        </w:smartTag>
      </w:smartTag>
      <w:r w:rsidRPr="00701945">
        <w:t xml:space="preserve"> Public Service Commission, </w:t>
      </w:r>
      <w:smartTag w:uri="urn:schemas-microsoft-com:office:smarttags" w:element="address">
        <w:smartTag w:uri="urn:schemas-microsoft-com:office:smarttags" w:element="Street">
          <w:r w:rsidRPr="00701945">
            <w:t>2540 Shumard Oak Boulevard</w:t>
          </w:r>
        </w:smartTag>
        <w:r w:rsidRPr="00701945">
          <w:t xml:space="preserve">, </w:t>
        </w:r>
        <w:smartTag w:uri="urn:schemas-microsoft-com:office:smarttags" w:element="City">
          <w:r w:rsidRPr="00701945">
            <w:t>Tallahassee</w:t>
          </w:r>
        </w:smartTag>
        <w:r w:rsidRPr="00701945">
          <w:t xml:space="preserve">, </w:t>
        </w:r>
        <w:smartTag w:uri="urn:schemas-microsoft-com:office:smarttags" w:element="State">
          <w:r w:rsidRPr="00701945">
            <w:t>Florida</w:t>
          </w:r>
        </w:smartTag>
        <w:r w:rsidRPr="00701945">
          <w:t xml:space="preserve"> </w:t>
        </w:r>
        <w:smartTag w:uri="urn:schemas-microsoft-com:office:smarttags" w:element="PostalCode">
          <w:r w:rsidRPr="00701945">
            <w:t>32399-0850</w:t>
          </w:r>
        </w:smartTag>
      </w:smartTag>
    </w:p>
    <w:p w14:paraId="5AAE3725" w14:textId="77777777" w:rsidR="00CE39C8" w:rsidRPr="00701945" w:rsidRDefault="00CE39C8" w:rsidP="00CE39C8">
      <w:pPr>
        <w:ind w:left="720" w:firstLine="720"/>
        <w:jc w:val="both"/>
      </w:pPr>
      <w:r w:rsidRPr="00701945">
        <w:rPr>
          <w:u w:val="single"/>
        </w:rPr>
        <w:t>On behalf of the Florida Public Service Commission</w:t>
      </w:r>
      <w:r>
        <w:rPr>
          <w:u w:val="single"/>
        </w:rPr>
        <w:t xml:space="preserve"> (Staff)</w:t>
      </w:r>
      <w:r w:rsidRPr="00701945">
        <w:t>.</w:t>
      </w:r>
    </w:p>
    <w:p w14:paraId="68865E68" w14:textId="77777777" w:rsidR="00CE39C8" w:rsidRPr="00701945" w:rsidRDefault="00CE39C8" w:rsidP="00CE39C8">
      <w:pPr>
        <w:jc w:val="both"/>
      </w:pPr>
    </w:p>
    <w:p w14:paraId="05E09F11" w14:textId="77777777" w:rsidR="00CE39C8" w:rsidRPr="00701945" w:rsidRDefault="00CE39C8" w:rsidP="00CE39C8">
      <w:pPr>
        <w:ind w:left="1440"/>
        <w:jc w:val="both"/>
      </w:pPr>
      <w:r>
        <w:t xml:space="preserve">MARY ANNE HELTON, ESQUIRE, </w:t>
      </w:r>
      <w:smartTag w:uri="urn:schemas-microsoft-com:office:smarttags" w:element="place">
        <w:smartTag w:uri="urn:schemas-microsoft-com:office:smarttags" w:element="City">
          <w:r>
            <w:t>Deputy General</w:t>
          </w:r>
        </w:smartTag>
        <w:r>
          <w:t xml:space="preserve"> </w:t>
        </w:r>
        <w:smartTag w:uri="urn:schemas-microsoft-com:office:smarttags" w:element="State">
          <w:r>
            <w:t>Counsel</w:t>
          </w:r>
        </w:smartTag>
        <w:r>
          <w:t>,</w:t>
        </w:r>
        <w:r w:rsidRPr="00701945">
          <w:t xml:space="preserve"> </w:t>
        </w:r>
        <w:smartTag w:uri="urn:schemas-microsoft-com:office:smarttags" w:element="State">
          <w:r w:rsidRPr="00701945">
            <w:t>Florida</w:t>
          </w:r>
        </w:smartTag>
      </w:smartTag>
      <w:r w:rsidRPr="00701945">
        <w:t xml:space="preserve"> Public Service Commission, </w:t>
      </w:r>
      <w:smartTag w:uri="urn:schemas-microsoft-com:office:smarttags" w:element="address">
        <w:smartTag w:uri="urn:schemas-microsoft-com:office:smarttags" w:element="Street">
          <w:r w:rsidRPr="00701945">
            <w:t>2540 Shumard Oak Boulevard</w:t>
          </w:r>
        </w:smartTag>
        <w:r w:rsidRPr="00701945">
          <w:t xml:space="preserve">, </w:t>
        </w:r>
        <w:smartTag w:uri="urn:schemas-microsoft-com:office:smarttags" w:element="City">
          <w:r w:rsidRPr="00701945">
            <w:t>Tallahassee</w:t>
          </w:r>
        </w:smartTag>
        <w:r w:rsidRPr="00701945">
          <w:t xml:space="preserve">, </w:t>
        </w:r>
        <w:smartTag w:uri="urn:schemas-microsoft-com:office:smarttags" w:element="State">
          <w:r w:rsidRPr="00701945">
            <w:t>Florida</w:t>
          </w:r>
        </w:smartTag>
        <w:r w:rsidRPr="00701945">
          <w:t xml:space="preserve"> </w:t>
        </w:r>
        <w:smartTag w:uri="urn:schemas-microsoft-com:office:smarttags" w:element="PostalCode">
          <w:r w:rsidRPr="00701945">
            <w:t>32399-0850</w:t>
          </w:r>
        </w:smartTag>
      </w:smartTag>
    </w:p>
    <w:p w14:paraId="1542F624" w14:textId="77777777" w:rsidR="00CE39C8" w:rsidRDefault="00CE39C8" w:rsidP="00CE39C8">
      <w:pPr>
        <w:ind w:left="720" w:firstLine="720"/>
        <w:jc w:val="both"/>
      </w:pPr>
      <w:r>
        <w:rPr>
          <w:u w:val="single"/>
        </w:rPr>
        <w:t>Advisor to the</w:t>
      </w:r>
      <w:r w:rsidRPr="00701945">
        <w:rPr>
          <w:u w:val="single"/>
        </w:rPr>
        <w:t xml:space="preserve"> Florida Public Service Commission</w:t>
      </w:r>
      <w:r w:rsidRPr="00701945">
        <w:t>.</w:t>
      </w:r>
    </w:p>
    <w:p w14:paraId="44E987F0" w14:textId="77777777" w:rsidR="00CE39C8" w:rsidRPr="00701945" w:rsidRDefault="00CE39C8" w:rsidP="00CE39C8">
      <w:pPr>
        <w:ind w:left="720" w:firstLine="720"/>
        <w:jc w:val="both"/>
        <w:rPr>
          <w:b/>
          <w:bCs/>
          <w:u w:val="single"/>
        </w:rPr>
      </w:pPr>
    </w:p>
    <w:p w14:paraId="4E10D941" w14:textId="77777777" w:rsidR="00CE39C8" w:rsidRPr="00D033EB" w:rsidRDefault="00CE39C8" w:rsidP="00CE39C8">
      <w:pPr>
        <w:ind w:left="1440"/>
        <w:jc w:val="both"/>
      </w:pPr>
      <w:r w:rsidRPr="00D033EB">
        <w:t>K</w:t>
      </w:r>
      <w:r>
        <w:t>EITH C. HETRICK</w:t>
      </w:r>
      <w:r w:rsidRPr="00D033EB">
        <w:t>, ESQUIRE, General Counsel, Florida Public Service Commission, 2540 Shumard Oak Boulevard, Tallahassee, Florida 32399-0850</w:t>
      </w:r>
    </w:p>
    <w:p w14:paraId="776B6EFF" w14:textId="77777777" w:rsidR="00CE39C8" w:rsidRPr="00FB157D" w:rsidRDefault="00CE39C8" w:rsidP="00CE39C8">
      <w:pPr>
        <w:ind w:left="720" w:firstLine="720"/>
        <w:jc w:val="both"/>
      </w:pPr>
      <w:r w:rsidRPr="00D033EB">
        <w:rPr>
          <w:u w:val="single"/>
        </w:rPr>
        <w:t>Florida Public Service Commission General Counsel</w:t>
      </w:r>
      <w:r>
        <w:t>.</w:t>
      </w:r>
    </w:p>
    <w:p w14:paraId="6F8E2B6A" w14:textId="77777777" w:rsidR="00B07764" w:rsidRDefault="00B07764" w:rsidP="00B07764"/>
    <w:p w14:paraId="3C24683C" w14:textId="77777777" w:rsidR="00CE39C8" w:rsidRDefault="00CE39C8" w:rsidP="00B07764"/>
    <w:p w14:paraId="5BBFA0D5" w14:textId="77777777" w:rsidR="00CB5276" w:rsidRDefault="00CE39C8" w:rsidP="00B07764">
      <w:pPr>
        <w:pStyle w:val="CenterUnderline"/>
      </w:pPr>
      <w:bookmarkStart w:id="3" w:name="Commissioners"/>
      <w:bookmarkEnd w:id="3"/>
      <w:r>
        <w:t xml:space="preserve"> </w:t>
      </w:r>
      <w:bookmarkStart w:id="4" w:name="OrderTitle"/>
      <w:r>
        <w:t>SUPPLEMENTAL FINAL ORDER</w:t>
      </w:r>
      <w:r w:rsidR="00B07764">
        <w:t xml:space="preserve"> </w:t>
      </w:r>
      <w:bookmarkEnd w:id="4"/>
    </w:p>
    <w:p w14:paraId="6189FFD1" w14:textId="77777777" w:rsidR="00B07764" w:rsidRDefault="00B07764" w:rsidP="00B07764">
      <w:pPr>
        <w:pStyle w:val="CenterUnderline"/>
      </w:pPr>
    </w:p>
    <w:p w14:paraId="0627D91C" w14:textId="77777777" w:rsidR="00292800" w:rsidRDefault="00292800" w:rsidP="00292800">
      <w:bookmarkStart w:id="5" w:name="OrderText"/>
      <w:bookmarkEnd w:id="5"/>
      <w:r>
        <w:t>BY THE COMMISSION:</w:t>
      </w:r>
    </w:p>
    <w:p w14:paraId="41C0B507" w14:textId="77777777" w:rsidR="00292800" w:rsidRDefault="00292800" w:rsidP="00292800"/>
    <w:p w14:paraId="18EDADAE" w14:textId="77777777" w:rsidR="00292800" w:rsidRDefault="00292800" w:rsidP="00292800">
      <w:pPr>
        <w:jc w:val="center"/>
        <w:rPr>
          <w:u w:val="single"/>
        </w:rPr>
      </w:pPr>
      <w:r>
        <w:rPr>
          <w:u w:val="single"/>
        </w:rPr>
        <w:t>BACKGROUND</w:t>
      </w:r>
    </w:p>
    <w:p w14:paraId="712CA168" w14:textId="77777777" w:rsidR="00292800" w:rsidRDefault="00292800" w:rsidP="00292800">
      <w:pPr>
        <w:jc w:val="center"/>
        <w:rPr>
          <w:u w:val="single"/>
        </w:rPr>
      </w:pPr>
    </w:p>
    <w:p w14:paraId="583911A2" w14:textId="77777777" w:rsidR="00292800" w:rsidRDefault="00292800" w:rsidP="00292800">
      <w:pPr>
        <w:jc w:val="both"/>
      </w:pPr>
      <w:r>
        <w:tab/>
        <w:t>This proceeding is before us on remand from the Florida Supreme Court.</w:t>
      </w:r>
      <w:r>
        <w:rPr>
          <w:rStyle w:val="FootnoteReference"/>
        </w:rPr>
        <w:footnoteReference w:id="1"/>
      </w:r>
      <w:r>
        <w:t xml:space="preserve"> Before </w:t>
      </w:r>
      <w:r w:rsidR="00393060">
        <w:t>addressing the substance of this</w:t>
      </w:r>
      <w:r>
        <w:t xml:space="preserve"> remand, we provide the following brief synopsis of the procedural history of this matter.</w:t>
      </w:r>
    </w:p>
    <w:p w14:paraId="206661A0" w14:textId="77777777" w:rsidR="00292800" w:rsidRDefault="00292800" w:rsidP="00292800">
      <w:pPr>
        <w:jc w:val="both"/>
      </w:pPr>
    </w:p>
    <w:p w14:paraId="12BBEE93" w14:textId="09332083" w:rsidR="00292800" w:rsidRDefault="00292800" w:rsidP="00292800">
      <w:pPr>
        <w:jc w:val="both"/>
      </w:pPr>
      <w:r>
        <w:tab/>
        <w:t>This docket was opened January 11, 2021, when the Florida Power &amp; Light Company (FPL or Company) filed a letter notifying us that it would file a request for a base rate increase.</w:t>
      </w:r>
      <w:r w:rsidRPr="00FE5F69">
        <w:t xml:space="preserve"> </w:t>
      </w:r>
      <w:r>
        <w:t>On March 12, 2021, FPL filed its petition, minimum filing requirements, and testimony for a base rate increase effective January 2022. Numerous parties intervened in this docket and undertook substantial discovery.</w:t>
      </w:r>
    </w:p>
    <w:p w14:paraId="4EBC40C3" w14:textId="77777777" w:rsidR="00292800" w:rsidRDefault="00292800" w:rsidP="00292800">
      <w:pPr>
        <w:jc w:val="both"/>
      </w:pPr>
    </w:p>
    <w:p w14:paraId="270D5DFF" w14:textId="77777777" w:rsidR="00292800" w:rsidRDefault="00292800" w:rsidP="00292800">
      <w:pPr>
        <w:jc w:val="both"/>
      </w:pPr>
      <w:r>
        <w:tab/>
        <w:t>One week prior to the scheduled commencement of the final hearing, FPL and several intervening parties in this docket (Signatories)</w:t>
      </w:r>
      <w:r>
        <w:rPr>
          <w:rStyle w:val="FootnoteReference"/>
        </w:rPr>
        <w:footnoteReference w:id="2"/>
      </w:r>
      <w:r>
        <w:t xml:space="preserve"> filed a Joint Motion for Approval of Settlement Agreement, with a copy of the subject Stipulation and Settlement (2021 Settlement)</w:t>
      </w:r>
      <w:r w:rsidR="00E9639B">
        <w:t>.</w:t>
      </w:r>
      <w:r>
        <w:t xml:space="preserve"> Intervenors Floridians Against Increased Rates (FAIR), the Environmental Confederation of Southwest Florida (ECOSWF), Florida Rising, Inc., and League of United Latin American Citizens of Florida (LULAC) (collectively “Intervenors”) did not join the Agreement and opposed the Joint Motion for Approval of Settlement Agreement.</w:t>
      </w:r>
    </w:p>
    <w:p w14:paraId="46DBBB5B" w14:textId="77777777" w:rsidR="00292800" w:rsidRPr="00E66D66" w:rsidRDefault="00292800" w:rsidP="00292800">
      <w:pPr>
        <w:jc w:val="both"/>
      </w:pPr>
    </w:p>
    <w:p w14:paraId="76AF62FA" w14:textId="77777777" w:rsidR="00292800" w:rsidRDefault="00292800" w:rsidP="00292800">
      <w:pPr>
        <w:pStyle w:val="FootnoteText"/>
        <w:rPr>
          <w:sz w:val="24"/>
          <w:szCs w:val="24"/>
        </w:rPr>
      </w:pPr>
      <w:r w:rsidRPr="00E66D66">
        <w:rPr>
          <w:sz w:val="24"/>
          <w:szCs w:val="24"/>
        </w:rPr>
        <w:tab/>
        <w:t>On September 20, 2021, we conducted a final hearing on FPL’s base rate petition as well as the Joint Motion for Approval of the 2021 Settlement. On December 2, 2021, we entered a Final Order Approving 2021 Stipulation and Settlement Agreement.</w:t>
      </w:r>
      <w:r w:rsidRPr="00E66D66">
        <w:rPr>
          <w:rStyle w:val="FootnoteReference"/>
          <w:sz w:val="24"/>
          <w:szCs w:val="24"/>
        </w:rPr>
        <w:footnoteReference w:id="3"/>
      </w:r>
      <w:r w:rsidRPr="00E66D66">
        <w:rPr>
          <w:sz w:val="24"/>
          <w:szCs w:val="24"/>
        </w:rPr>
        <w:t xml:space="preserve"> On December 9, 2021, we entered an Ordering Amending that Final Order to correct several non-substantive scrivener’s errors relating to dates and references.</w:t>
      </w:r>
      <w:r w:rsidRPr="00E66D66">
        <w:rPr>
          <w:rStyle w:val="FootnoteReference"/>
          <w:sz w:val="24"/>
          <w:szCs w:val="24"/>
        </w:rPr>
        <w:footnoteReference w:id="4"/>
      </w:r>
      <w:r w:rsidRPr="00E66D66">
        <w:rPr>
          <w:sz w:val="24"/>
          <w:szCs w:val="24"/>
        </w:rPr>
        <w:t xml:space="preserve"> </w:t>
      </w:r>
      <w:r>
        <w:rPr>
          <w:sz w:val="24"/>
          <w:szCs w:val="24"/>
        </w:rPr>
        <w:t>T</w:t>
      </w:r>
      <w:r w:rsidRPr="00E66D66">
        <w:rPr>
          <w:sz w:val="24"/>
          <w:szCs w:val="24"/>
        </w:rPr>
        <w:t xml:space="preserve">his Order and Order No. PSC-2021-0446-S-EI </w:t>
      </w:r>
      <w:r>
        <w:rPr>
          <w:sz w:val="24"/>
          <w:szCs w:val="24"/>
        </w:rPr>
        <w:t xml:space="preserve">will be referred to </w:t>
      </w:r>
      <w:r w:rsidRPr="00E66D66">
        <w:rPr>
          <w:sz w:val="24"/>
          <w:szCs w:val="24"/>
        </w:rPr>
        <w:t xml:space="preserve">collectively as </w:t>
      </w:r>
      <w:r>
        <w:rPr>
          <w:sz w:val="24"/>
          <w:szCs w:val="24"/>
        </w:rPr>
        <w:t>“</w:t>
      </w:r>
      <w:r w:rsidRPr="00E66D66">
        <w:rPr>
          <w:sz w:val="24"/>
          <w:szCs w:val="24"/>
        </w:rPr>
        <w:t>the 2021 Final Order</w:t>
      </w:r>
      <w:r>
        <w:rPr>
          <w:sz w:val="24"/>
          <w:szCs w:val="24"/>
        </w:rPr>
        <w:t>” in this Order</w:t>
      </w:r>
      <w:r w:rsidRPr="00E66D66">
        <w:rPr>
          <w:sz w:val="24"/>
          <w:szCs w:val="24"/>
        </w:rPr>
        <w:t>.</w:t>
      </w:r>
      <w:r w:rsidR="00E9639B">
        <w:rPr>
          <w:sz w:val="24"/>
          <w:szCs w:val="24"/>
        </w:rPr>
        <w:t xml:space="preserve"> Copies of these Orders are appended hereto as Attachments A (PSC-2021-0446-S-EI) and B (PSC</w:t>
      </w:r>
      <w:r w:rsidR="007C7976">
        <w:rPr>
          <w:sz w:val="24"/>
          <w:szCs w:val="24"/>
        </w:rPr>
        <w:t>-2021-0446A-S-EI).</w:t>
      </w:r>
    </w:p>
    <w:p w14:paraId="4175179E" w14:textId="77777777" w:rsidR="00292800" w:rsidRDefault="00292800" w:rsidP="00292800">
      <w:pPr>
        <w:jc w:val="both"/>
      </w:pPr>
    </w:p>
    <w:p w14:paraId="4417D98C" w14:textId="77777777" w:rsidR="00292800" w:rsidRDefault="00292800" w:rsidP="00292800">
      <w:pPr>
        <w:jc w:val="both"/>
      </w:pPr>
      <w:r>
        <w:tab/>
        <w:t>On December 28, 2021, FAIR timely filed an appeal of the 2021 Final Order. On January 3, Florida Rising, ECOSWF and LULAC (collectively “Florida Rising”) timely filed their appeal of the 2021 Final Order. The Florida Supreme Court consolidated these appeals and, on September 28, 2023, remanded this matter for further proceedings.</w:t>
      </w:r>
    </w:p>
    <w:p w14:paraId="62019ED5" w14:textId="77777777" w:rsidR="00292800" w:rsidRDefault="00292800" w:rsidP="00292800">
      <w:pPr>
        <w:jc w:val="both"/>
      </w:pPr>
    </w:p>
    <w:p w14:paraId="73373C73" w14:textId="77777777" w:rsidR="00292800" w:rsidRDefault="00292800" w:rsidP="00292800">
      <w:pPr>
        <w:jc w:val="both"/>
      </w:pPr>
      <w:r>
        <w:tab/>
        <w:t>We have jurisdiction over this matter pursuant to the Court’s remand and the provisions of Chapter 120 and Sections 366.04, 366.05, and 366.06, Florida Statutes (F.S.).</w:t>
      </w:r>
    </w:p>
    <w:p w14:paraId="2916F746" w14:textId="77777777" w:rsidR="00292800" w:rsidRDefault="00292800" w:rsidP="00292800">
      <w:pPr>
        <w:jc w:val="both"/>
      </w:pPr>
    </w:p>
    <w:p w14:paraId="7118F6B1" w14:textId="77777777" w:rsidR="00292800" w:rsidRPr="00D63313" w:rsidRDefault="00292800" w:rsidP="00292800">
      <w:pPr>
        <w:jc w:val="center"/>
      </w:pPr>
      <w:r w:rsidRPr="00D63313">
        <w:rPr>
          <w:u w:val="single"/>
        </w:rPr>
        <w:t>SCOPE OF REMAND</w:t>
      </w:r>
    </w:p>
    <w:p w14:paraId="65BCE254" w14:textId="77777777" w:rsidR="00292800" w:rsidRDefault="00292800" w:rsidP="00292800">
      <w:pPr>
        <w:jc w:val="center"/>
      </w:pPr>
    </w:p>
    <w:p w14:paraId="1A439E70" w14:textId="77777777" w:rsidR="00292800" w:rsidRDefault="00292800" w:rsidP="00292800">
      <w:pPr>
        <w:jc w:val="both"/>
      </w:pPr>
      <w:r>
        <w:tab/>
        <w:t xml:space="preserve">The 2021 Final Order </w:t>
      </w:r>
      <w:r w:rsidR="00393060">
        <w:t xml:space="preserve">that was appealed and remanded </w:t>
      </w:r>
      <w:r>
        <w:t>address</w:t>
      </w:r>
      <w:r w:rsidR="00393060">
        <w:t>ed</w:t>
      </w:r>
      <w:r>
        <w:t xml:space="preserve"> the </w:t>
      </w:r>
      <w:r w:rsidR="00B70A75">
        <w:t xml:space="preserve">numerous </w:t>
      </w:r>
      <w:r>
        <w:t>issues raised by the parties</w:t>
      </w:r>
      <w:r w:rsidR="001D3C3F">
        <w:t xml:space="preserve"> in three groups, described</w:t>
      </w:r>
      <w:r>
        <w:t xml:space="preserve"> as follows:</w:t>
      </w:r>
    </w:p>
    <w:p w14:paraId="2F21F413" w14:textId="77777777" w:rsidR="00292800" w:rsidRDefault="00292800" w:rsidP="00292800">
      <w:pPr>
        <w:jc w:val="both"/>
      </w:pPr>
    </w:p>
    <w:p w14:paraId="449D3805" w14:textId="77777777" w:rsidR="00292800" w:rsidRDefault="001D3C3F" w:rsidP="00292800">
      <w:pPr>
        <w:ind w:left="720" w:right="720"/>
        <w:jc w:val="both"/>
      </w:pPr>
      <w:r>
        <w:t xml:space="preserve">[1] </w:t>
      </w:r>
      <w:r w:rsidR="00292800">
        <w:t xml:space="preserve">standing – whether FAIR’s request to intervene should be granted; </w:t>
      </w:r>
      <w:r>
        <w:t xml:space="preserve">[2] </w:t>
      </w:r>
      <w:r w:rsidR="00292800">
        <w:t xml:space="preserve">jurisdictional - whether we have the statutory authority to approve proposed rate recovery mechanisms as part of the 2021 Settlement; and </w:t>
      </w:r>
      <w:r>
        <w:t xml:space="preserve">[3] </w:t>
      </w:r>
      <w:r w:rsidR="00292800">
        <w:t>whether the 2021 Settlement should be approved.</w:t>
      </w:r>
    </w:p>
    <w:p w14:paraId="5E7AFDB8" w14:textId="77777777" w:rsidR="00292800" w:rsidRDefault="00292800" w:rsidP="00292800">
      <w:pPr>
        <w:jc w:val="both"/>
      </w:pPr>
    </w:p>
    <w:p w14:paraId="2F6456E2" w14:textId="77777777" w:rsidR="00292800" w:rsidRDefault="00292800" w:rsidP="00292800">
      <w:pPr>
        <w:jc w:val="both"/>
      </w:pPr>
      <w:r>
        <w:t>As to the first issue group, no party appealed or cross-appealed the issue of FAIR’s standing and</w:t>
      </w:r>
      <w:r w:rsidR="00393060">
        <w:t>, accordingly,</w:t>
      </w:r>
      <w:r>
        <w:t xml:space="preserve"> it was not the subject of the Supreme Court’s remand. </w:t>
      </w:r>
      <w:r w:rsidR="00393060">
        <w:t>W</w:t>
      </w:r>
      <w:r>
        <w:t>e are not entering supplemental findings or conclusions regarding FAIR’s standing, and that section of the 202</w:t>
      </w:r>
      <w:r w:rsidR="001D3C3F">
        <w:t>1 Final Order remains unchanged.</w:t>
      </w:r>
    </w:p>
    <w:p w14:paraId="3765EA2D" w14:textId="77777777" w:rsidR="00292800" w:rsidRDefault="00292800" w:rsidP="00292800">
      <w:pPr>
        <w:jc w:val="both"/>
      </w:pPr>
    </w:p>
    <w:p w14:paraId="5BD5A487" w14:textId="77777777" w:rsidR="00292800" w:rsidRDefault="00B70A75" w:rsidP="00292800">
      <w:pPr>
        <w:jc w:val="both"/>
      </w:pPr>
      <w:r>
        <w:tab/>
        <w:t>Turning to the second issue group</w:t>
      </w:r>
      <w:r w:rsidR="00292800">
        <w:t xml:space="preserve">, the Court </w:t>
      </w:r>
      <w:r w:rsidR="001D3C3F">
        <w:t>did not question our</w:t>
      </w:r>
      <w:r w:rsidR="00292800">
        <w:t xml:space="preserve"> statutory authority to consider the various tools and accounting approaches set forth in the 2021 Settlement.</w:t>
      </w:r>
    </w:p>
    <w:p w14:paraId="2E15A344" w14:textId="77777777" w:rsidR="00292800" w:rsidRPr="00D63313" w:rsidRDefault="00292800" w:rsidP="00292800">
      <w:pPr>
        <w:jc w:val="both"/>
      </w:pPr>
    </w:p>
    <w:p w14:paraId="0F25217A" w14:textId="77777777" w:rsidR="00292800" w:rsidRDefault="00292800" w:rsidP="00292800">
      <w:pPr>
        <w:shd w:val="clear" w:color="auto" w:fill="FFFFFF"/>
        <w:ind w:left="720" w:right="720"/>
        <w:jc w:val="both"/>
        <w:rPr>
          <w:rFonts w:cs="Arial"/>
        </w:rPr>
      </w:pPr>
      <w:r w:rsidRPr="00D63313">
        <w:rPr>
          <w:rFonts w:cs="Arial"/>
        </w:rPr>
        <w:t>Appellants raise other arguments in opposition to the Commission's approval of the settlement agreement. These arguments include challenges to the Commission's statutory authority to approve various pieces of the settlement agreement: the Storm Cost Recovery Mechanism; the Reserve Surplus Amortization Mechanism; the Asset Optimization Incentive, which includes the monetization of renewable energy credits; a corporate tax adjustment; the Solar Base Rate Adjustment mechanism (SoBRA); a construction incentive for solar generation sites constructed pursuant to SoBRA; and cost recovery related to the Green Hydrogen Pilot Program and a consummation payment FPL made to Jacksonville Electric Authority concerning the retirement of a coal-fired power generation unit. To the extent any of these challenges to the Commission's statutory authority is preserved, none gives us a reason to set aside the order under review.</w:t>
      </w:r>
      <w:r w:rsidR="002172F3">
        <w:rPr>
          <w:rStyle w:val="FootnoteReference"/>
          <w:rFonts w:cs="Arial"/>
        </w:rPr>
        <w:footnoteReference w:id="5"/>
      </w:r>
    </w:p>
    <w:p w14:paraId="1E81FA86" w14:textId="77777777" w:rsidR="00292800" w:rsidRDefault="00292800" w:rsidP="00292800">
      <w:pPr>
        <w:shd w:val="clear" w:color="auto" w:fill="FFFFFF"/>
        <w:ind w:left="720" w:right="720"/>
        <w:jc w:val="both"/>
        <w:rPr>
          <w:rFonts w:cs="Arial"/>
        </w:rPr>
      </w:pPr>
    </w:p>
    <w:p w14:paraId="7B7498CE" w14:textId="77777777" w:rsidR="00292800" w:rsidRDefault="00606FA3" w:rsidP="00292800">
      <w:pPr>
        <w:jc w:val="both"/>
      </w:pPr>
      <w:r>
        <w:t xml:space="preserve">Because the Court found our stated bases for </w:t>
      </w:r>
      <w:r w:rsidR="00841265">
        <w:t xml:space="preserve">jurisdiction </w:t>
      </w:r>
      <w:r>
        <w:t>to be</w:t>
      </w:r>
      <w:r w:rsidR="00841265">
        <w:t xml:space="preserve"> sufficient</w:t>
      </w:r>
      <w:r w:rsidR="00292800">
        <w:t>, we are not entering supplemental findings or conclusions regarding our jurisdiction to consider the 2021 Settlement, and that section of the 2021 Final Order remains unchanged.</w:t>
      </w:r>
    </w:p>
    <w:p w14:paraId="43170488" w14:textId="77777777" w:rsidR="00292800" w:rsidRPr="00D63313" w:rsidRDefault="00292800" w:rsidP="00292800">
      <w:pPr>
        <w:shd w:val="clear" w:color="auto" w:fill="FFFFFF"/>
        <w:ind w:left="720" w:right="720"/>
        <w:jc w:val="both"/>
        <w:rPr>
          <w:rFonts w:cs="Arial"/>
        </w:rPr>
      </w:pPr>
    </w:p>
    <w:p w14:paraId="6515AC3F" w14:textId="77777777" w:rsidR="000D39A5" w:rsidRDefault="00292800" w:rsidP="00292800">
      <w:pPr>
        <w:jc w:val="both"/>
      </w:pPr>
      <w:r>
        <w:tab/>
        <w:t xml:space="preserve">The only issue </w:t>
      </w:r>
      <w:r w:rsidR="00393060">
        <w:t xml:space="preserve">the Court remanded to us </w:t>
      </w:r>
      <w:r w:rsidRPr="00CC2728">
        <w:t>is whether the 2021 Settlement should be approved</w:t>
      </w:r>
      <w:r w:rsidR="000D39A5">
        <w:t xml:space="preserve"> as being in the public interest</w:t>
      </w:r>
      <w:r>
        <w:t>.</w:t>
      </w:r>
      <w:r w:rsidRPr="00CC2728">
        <w:rPr>
          <w:rStyle w:val="FootnoteReference"/>
        </w:rPr>
        <w:footnoteReference w:id="6"/>
      </w:r>
      <w:r>
        <w:t xml:space="preserve"> </w:t>
      </w:r>
      <w:r w:rsidR="00B70A75">
        <w:t>T</w:t>
      </w:r>
      <w:r w:rsidRPr="00CC2728">
        <w:t>he Court neither affirmed nor reversed our</w:t>
      </w:r>
      <w:r w:rsidR="005A5FD4">
        <w:t xml:space="preserve"> </w:t>
      </w:r>
      <w:r w:rsidR="00263997">
        <w:t>prior</w:t>
      </w:r>
      <w:r w:rsidRPr="00CC2728">
        <w:t xml:space="preserve"> </w:t>
      </w:r>
      <w:r w:rsidR="005A5FD4">
        <w:t>conclu</w:t>
      </w:r>
      <w:r w:rsidRPr="00CC2728">
        <w:t xml:space="preserve">sion </w:t>
      </w:r>
      <w:r>
        <w:t>that</w:t>
      </w:r>
      <w:r w:rsidRPr="00CC2728">
        <w:t xml:space="preserve"> the 2021 Settl</w:t>
      </w:r>
      <w:r>
        <w:t>ement is in the public interest.</w:t>
      </w:r>
      <w:r w:rsidR="00A6041F">
        <w:t xml:space="preserve"> The Court did not vacate the 2021 Final Order.</w:t>
      </w:r>
      <w:r>
        <w:t xml:space="preserve"> Instead, the Court remanded </w:t>
      </w:r>
      <w:r w:rsidR="000D39A5">
        <w:t xml:space="preserve">for a further explanation of </w:t>
      </w:r>
      <w:r w:rsidR="00A6041F">
        <w:t>our approval</w:t>
      </w:r>
      <w:r w:rsidR="000D39A5">
        <w:t>, directing that we specifically address certain matters:</w:t>
      </w:r>
    </w:p>
    <w:p w14:paraId="0B7DDABC" w14:textId="77777777" w:rsidR="00292800" w:rsidRDefault="000D39A5" w:rsidP="00292800">
      <w:pPr>
        <w:jc w:val="both"/>
      </w:pPr>
      <w:r>
        <w:t xml:space="preserve"> </w:t>
      </w:r>
    </w:p>
    <w:p w14:paraId="763D1CB6" w14:textId="77777777" w:rsidR="00292800" w:rsidRDefault="00292800" w:rsidP="00292800">
      <w:pPr>
        <w:ind w:left="720" w:right="720"/>
        <w:jc w:val="both"/>
      </w:pPr>
      <w:r w:rsidRPr="00DF2BE1">
        <w:rPr>
          <w:color w:val="000000"/>
        </w:rPr>
        <w:t>That includes</w:t>
      </w:r>
      <w:r>
        <w:rPr>
          <w:color w:val="000000"/>
        </w:rPr>
        <w:t xml:space="preserve"> </w:t>
      </w:r>
      <w:r w:rsidRPr="00393060">
        <w:rPr>
          <w:color w:val="000000"/>
        </w:rPr>
        <w:t xml:space="preserve">considering </w:t>
      </w:r>
      <w:r w:rsidR="00125344">
        <w:rPr>
          <w:color w:val="000000"/>
        </w:rPr>
        <w:t xml:space="preserve">[A] </w:t>
      </w:r>
      <w:r w:rsidRPr="00393060">
        <w:rPr>
          <w:color w:val="000000"/>
        </w:rPr>
        <w:t>the competing arguments</w:t>
      </w:r>
      <w:r w:rsidRPr="00DF2BE1">
        <w:rPr>
          <w:color w:val="000000"/>
        </w:rPr>
        <w:t xml:space="preserve"> made by the parties below </w:t>
      </w:r>
      <w:r w:rsidRPr="00393060">
        <w:rPr>
          <w:color w:val="000000"/>
        </w:rPr>
        <w:t xml:space="preserve">in light of </w:t>
      </w:r>
      <w:r w:rsidR="00125344">
        <w:rPr>
          <w:color w:val="000000"/>
        </w:rPr>
        <w:t xml:space="preserve">[B] </w:t>
      </w:r>
      <w:r w:rsidRPr="00393060">
        <w:rPr>
          <w:color w:val="000000"/>
        </w:rPr>
        <w:t>the factors</w:t>
      </w:r>
      <w:r w:rsidRPr="00DF2BE1">
        <w:rPr>
          <w:color w:val="000000"/>
        </w:rPr>
        <w:t xml:space="preserve"> relevant to the Commission’s decision, and supplying, given these arguments and factors, an explanation of how the evidence presented led to its decision.</w:t>
      </w:r>
      <w:r>
        <w:rPr>
          <w:rStyle w:val="FootnoteReference"/>
          <w:color w:val="000000"/>
        </w:rPr>
        <w:footnoteReference w:id="7"/>
      </w:r>
    </w:p>
    <w:p w14:paraId="218357B9" w14:textId="77777777" w:rsidR="000D39A5" w:rsidRDefault="000D39A5" w:rsidP="00292800">
      <w:pPr>
        <w:jc w:val="both"/>
      </w:pPr>
    </w:p>
    <w:p w14:paraId="46C9135F" w14:textId="77777777" w:rsidR="000D39A5" w:rsidRDefault="00125344" w:rsidP="00125344">
      <w:pPr>
        <w:pStyle w:val="ListParagraph"/>
        <w:numPr>
          <w:ilvl w:val="0"/>
          <w:numId w:val="2"/>
        </w:numPr>
        <w:jc w:val="both"/>
      </w:pPr>
      <w:r>
        <w:rPr>
          <w:u w:val="single"/>
        </w:rPr>
        <w:t>Competing Arguments made by the Parties</w:t>
      </w:r>
    </w:p>
    <w:p w14:paraId="2AF90213" w14:textId="77777777" w:rsidR="000D39A5" w:rsidRDefault="000D39A5" w:rsidP="00292800">
      <w:pPr>
        <w:jc w:val="both"/>
      </w:pPr>
    </w:p>
    <w:p w14:paraId="2DD14F39" w14:textId="77777777" w:rsidR="00292800" w:rsidRDefault="0069214B" w:rsidP="00292800">
      <w:pPr>
        <w:jc w:val="both"/>
      </w:pPr>
      <w:r>
        <w:tab/>
      </w:r>
      <w:r w:rsidR="00292800">
        <w:t>The Court identified the arguments forwarded by FAIR, LULAC, and ECOSWF as follows:</w:t>
      </w:r>
    </w:p>
    <w:p w14:paraId="51D8F9A6" w14:textId="77777777" w:rsidR="00292800" w:rsidRDefault="00292800" w:rsidP="00292800">
      <w:pPr>
        <w:jc w:val="center"/>
      </w:pPr>
    </w:p>
    <w:p w14:paraId="0BEE3B23" w14:textId="77777777" w:rsidR="00CC70BC" w:rsidRDefault="00CC70BC" w:rsidP="00CC70BC">
      <w:pPr>
        <w:rPr>
          <w:color w:val="000000"/>
        </w:rPr>
      </w:pPr>
      <w:r>
        <w:rPr>
          <w:color w:val="000000"/>
        </w:rPr>
        <w:tab/>
      </w:r>
      <w:r w:rsidRPr="007727FC">
        <w:rPr>
          <w:color w:val="000000"/>
        </w:rPr>
        <w:t>1</w:t>
      </w:r>
      <w:r>
        <w:rPr>
          <w:color w:val="000000"/>
        </w:rPr>
        <w:t>.</w:t>
      </w:r>
      <w:r>
        <w:rPr>
          <w:color w:val="000000"/>
        </w:rPr>
        <w:tab/>
        <w:t>N</w:t>
      </w:r>
      <w:r w:rsidRPr="002C76E8">
        <w:rPr>
          <w:color w:val="000000"/>
        </w:rPr>
        <w:t>eed for the rate increases in the settlement agreement</w:t>
      </w:r>
    </w:p>
    <w:p w14:paraId="4D5F5B6C" w14:textId="77777777" w:rsidR="00CC70BC" w:rsidRDefault="00CC70BC" w:rsidP="00CC70BC">
      <w:pPr>
        <w:rPr>
          <w:color w:val="000000"/>
        </w:rPr>
      </w:pPr>
      <w:r>
        <w:rPr>
          <w:color w:val="000000"/>
        </w:rPr>
        <w:tab/>
      </w:r>
      <w:r w:rsidRPr="007727FC">
        <w:rPr>
          <w:color w:val="000000"/>
        </w:rPr>
        <w:t>2</w:t>
      </w:r>
      <w:r>
        <w:rPr>
          <w:color w:val="000000"/>
        </w:rPr>
        <w:t>.</w:t>
      </w:r>
      <w:r>
        <w:rPr>
          <w:color w:val="000000"/>
        </w:rPr>
        <w:tab/>
      </w:r>
      <w:r w:rsidRPr="002C76E8">
        <w:rPr>
          <w:color w:val="000000"/>
        </w:rPr>
        <w:t>ROE range</w:t>
      </w:r>
      <w:r>
        <w:rPr>
          <w:color w:val="000000"/>
        </w:rPr>
        <w:t>.</w:t>
      </w:r>
    </w:p>
    <w:p w14:paraId="5E43106E" w14:textId="77777777" w:rsidR="00CC70BC" w:rsidRDefault="00CC70BC" w:rsidP="00CC70BC">
      <w:pPr>
        <w:rPr>
          <w:color w:val="000000"/>
        </w:rPr>
      </w:pPr>
      <w:r>
        <w:rPr>
          <w:color w:val="000000"/>
        </w:rPr>
        <w:tab/>
      </w:r>
      <w:r w:rsidRPr="007727FC">
        <w:rPr>
          <w:color w:val="000000"/>
        </w:rPr>
        <w:t>3</w:t>
      </w:r>
      <w:r>
        <w:rPr>
          <w:color w:val="000000"/>
        </w:rPr>
        <w:t>.</w:t>
      </w:r>
      <w:r>
        <w:rPr>
          <w:color w:val="000000"/>
        </w:rPr>
        <w:tab/>
        <w:t>E</w:t>
      </w:r>
      <w:r w:rsidRPr="002C76E8">
        <w:rPr>
          <w:color w:val="000000"/>
        </w:rPr>
        <w:t>quity-to-debt ratio</w:t>
      </w:r>
      <w:r>
        <w:rPr>
          <w:color w:val="000000"/>
        </w:rPr>
        <w:t>.</w:t>
      </w:r>
    </w:p>
    <w:p w14:paraId="4DDA2FC4" w14:textId="77777777" w:rsidR="00CC70BC" w:rsidRDefault="00CC70BC" w:rsidP="00CC70BC">
      <w:pPr>
        <w:rPr>
          <w:color w:val="000000"/>
        </w:rPr>
      </w:pPr>
      <w:r>
        <w:rPr>
          <w:color w:val="000000"/>
        </w:rPr>
        <w:tab/>
      </w:r>
      <w:r w:rsidRPr="007727FC">
        <w:rPr>
          <w:color w:val="000000"/>
        </w:rPr>
        <w:t>4</w:t>
      </w:r>
      <w:r>
        <w:rPr>
          <w:color w:val="000000"/>
        </w:rPr>
        <w:t>.</w:t>
      </w:r>
      <w:r>
        <w:rPr>
          <w:color w:val="000000"/>
        </w:rPr>
        <w:tab/>
      </w:r>
      <w:r w:rsidRPr="002C76E8">
        <w:rPr>
          <w:color w:val="000000"/>
        </w:rPr>
        <w:t>RSAM</w:t>
      </w:r>
      <w:r>
        <w:rPr>
          <w:color w:val="000000"/>
        </w:rPr>
        <w:t>.</w:t>
      </w:r>
    </w:p>
    <w:p w14:paraId="466749F2" w14:textId="77777777" w:rsidR="00CC70BC" w:rsidRDefault="00CC70BC" w:rsidP="00CC70BC">
      <w:pPr>
        <w:rPr>
          <w:color w:val="000000"/>
        </w:rPr>
      </w:pPr>
      <w:r>
        <w:rPr>
          <w:color w:val="000000"/>
        </w:rPr>
        <w:tab/>
      </w:r>
      <w:r w:rsidRPr="007727FC">
        <w:rPr>
          <w:color w:val="000000"/>
        </w:rPr>
        <w:t>5</w:t>
      </w:r>
      <w:r>
        <w:rPr>
          <w:color w:val="000000"/>
        </w:rPr>
        <w:t>.</w:t>
      </w:r>
      <w:r>
        <w:rPr>
          <w:color w:val="000000"/>
        </w:rPr>
        <w:tab/>
        <w:t>R</w:t>
      </w:r>
      <w:r w:rsidRPr="002C76E8">
        <w:rPr>
          <w:color w:val="000000"/>
        </w:rPr>
        <w:t>ate base investments</w:t>
      </w:r>
      <w:r>
        <w:rPr>
          <w:color w:val="000000"/>
        </w:rPr>
        <w:t xml:space="preserve"> (</w:t>
      </w:r>
      <w:r w:rsidRPr="007727FC">
        <w:rPr>
          <w:color w:val="000000"/>
        </w:rPr>
        <w:t>SoBRA</w:t>
      </w:r>
      <w:r>
        <w:rPr>
          <w:color w:val="000000"/>
        </w:rPr>
        <w:t>).</w:t>
      </w:r>
    </w:p>
    <w:p w14:paraId="038C974B" w14:textId="77777777" w:rsidR="00CC70BC" w:rsidRDefault="00CC70BC" w:rsidP="00CC70BC">
      <w:pPr>
        <w:rPr>
          <w:color w:val="000000"/>
        </w:rPr>
      </w:pPr>
      <w:r>
        <w:rPr>
          <w:color w:val="000000"/>
        </w:rPr>
        <w:tab/>
      </w:r>
      <w:r w:rsidRPr="007727FC">
        <w:rPr>
          <w:color w:val="000000"/>
        </w:rPr>
        <w:t>6</w:t>
      </w:r>
      <w:r>
        <w:rPr>
          <w:color w:val="000000"/>
        </w:rPr>
        <w:t>.</w:t>
      </w:r>
      <w:r>
        <w:rPr>
          <w:color w:val="000000"/>
        </w:rPr>
        <w:tab/>
        <w:t>P</w:t>
      </w:r>
      <w:r w:rsidRPr="002C76E8">
        <w:rPr>
          <w:color w:val="000000"/>
        </w:rPr>
        <w:t xml:space="preserve">ilot programs </w:t>
      </w:r>
      <w:r>
        <w:rPr>
          <w:color w:val="000000"/>
        </w:rPr>
        <w:t>(</w:t>
      </w:r>
      <w:r w:rsidRPr="007727FC">
        <w:rPr>
          <w:color w:val="000000"/>
        </w:rPr>
        <w:t xml:space="preserve">electric vehicle chargers, Green Hydrogen, Solar Power </w:t>
      </w:r>
      <w:r>
        <w:rPr>
          <w:color w:val="000000"/>
        </w:rPr>
        <w:tab/>
      </w:r>
      <w:r>
        <w:rPr>
          <w:color w:val="000000"/>
        </w:rPr>
        <w:tab/>
      </w:r>
      <w:r>
        <w:rPr>
          <w:color w:val="000000"/>
        </w:rPr>
        <w:tab/>
      </w:r>
      <w:r>
        <w:rPr>
          <w:color w:val="000000"/>
        </w:rPr>
        <w:tab/>
      </w:r>
      <w:r w:rsidRPr="007727FC">
        <w:rPr>
          <w:color w:val="000000"/>
        </w:rPr>
        <w:t>Facilitie</w:t>
      </w:r>
      <w:r>
        <w:rPr>
          <w:color w:val="000000"/>
        </w:rPr>
        <w:t>s.</w:t>
      </w:r>
    </w:p>
    <w:p w14:paraId="4394CB92" w14:textId="77777777" w:rsidR="00CC70BC" w:rsidRDefault="00CC70BC" w:rsidP="00CC70BC">
      <w:pPr>
        <w:rPr>
          <w:color w:val="000000"/>
        </w:rPr>
      </w:pPr>
      <w:r>
        <w:rPr>
          <w:color w:val="000000"/>
        </w:rPr>
        <w:tab/>
      </w:r>
      <w:r w:rsidRPr="007727FC">
        <w:rPr>
          <w:color w:val="000000"/>
        </w:rPr>
        <w:t>7</w:t>
      </w:r>
      <w:r>
        <w:rPr>
          <w:color w:val="000000"/>
        </w:rPr>
        <w:t>.</w:t>
      </w:r>
      <w:r>
        <w:rPr>
          <w:color w:val="000000"/>
        </w:rPr>
        <w:tab/>
      </w:r>
      <w:r w:rsidRPr="002C76E8">
        <w:rPr>
          <w:color w:val="000000"/>
        </w:rPr>
        <w:t>SolarTogether</w:t>
      </w:r>
      <w:r>
        <w:rPr>
          <w:color w:val="000000"/>
        </w:rPr>
        <w:t>.</w:t>
      </w:r>
    </w:p>
    <w:p w14:paraId="3E528A23" w14:textId="77777777" w:rsidR="00CC70BC" w:rsidRDefault="00CC70BC" w:rsidP="00CC70BC">
      <w:pPr>
        <w:rPr>
          <w:color w:val="000000"/>
        </w:rPr>
      </w:pPr>
      <w:r>
        <w:rPr>
          <w:color w:val="000000"/>
        </w:rPr>
        <w:tab/>
      </w:r>
      <w:r w:rsidRPr="007727FC">
        <w:rPr>
          <w:color w:val="000000"/>
        </w:rPr>
        <w:t>8</w:t>
      </w:r>
      <w:r>
        <w:rPr>
          <w:color w:val="000000"/>
        </w:rPr>
        <w:t>.</w:t>
      </w:r>
      <w:r>
        <w:rPr>
          <w:color w:val="000000"/>
        </w:rPr>
        <w:tab/>
        <w:t>M</w:t>
      </w:r>
      <w:r w:rsidRPr="002C76E8">
        <w:rPr>
          <w:color w:val="000000"/>
        </w:rPr>
        <w:t>inimum bill.</w:t>
      </w:r>
    </w:p>
    <w:p w14:paraId="7F8A4258" w14:textId="77777777" w:rsidR="00292800" w:rsidRPr="00907009" w:rsidRDefault="00CC70BC" w:rsidP="00907009">
      <w:r>
        <w:rPr>
          <w:color w:val="000000"/>
        </w:rPr>
        <w:tab/>
      </w:r>
      <w:r w:rsidRPr="007727FC">
        <w:rPr>
          <w:color w:val="000000"/>
        </w:rPr>
        <w:t>9</w:t>
      </w:r>
      <w:r>
        <w:rPr>
          <w:color w:val="000000"/>
        </w:rPr>
        <w:t>.</w:t>
      </w:r>
      <w:r>
        <w:rPr>
          <w:color w:val="000000"/>
        </w:rPr>
        <w:tab/>
        <w:t>E</w:t>
      </w:r>
      <w:r w:rsidRPr="002C76E8">
        <w:rPr>
          <w:color w:val="000000"/>
        </w:rPr>
        <w:t>xtension of time for recovery of retirement costs of certain assets.</w:t>
      </w:r>
      <w:r w:rsidR="00292800">
        <w:rPr>
          <w:rStyle w:val="FootnoteReference"/>
          <w:color w:val="000000"/>
        </w:rPr>
        <w:footnoteReference w:id="8"/>
      </w:r>
    </w:p>
    <w:p w14:paraId="76201DCE" w14:textId="77777777" w:rsidR="00292800" w:rsidRDefault="00292800" w:rsidP="00292800">
      <w:pPr>
        <w:jc w:val="both"/>
      </w:pPr>
    </w:p>
    <w:p w14:paraId="49246125" w14:textId="0973009C" w:rsidR="00CC70BC" w:rsidRDefault="00292800" w:rsidP="00CC70BC">
      <w:pPr>
        <w:jc w:val="both"/>
      </w:pPr>
      <w:r>
        <w:t>We have thoroughly reviewed Intervenors’ Prehearing Statements and Post Hearing Briefs to determine if there are any additional disagreements between</w:t>
      </w:r>
      <w:r w:rsidR="00061CDD">
        <w:t>,</w:t>
      </w:r>
      <w:r>
        <w:t xml:space="preserve"> or arguments raised by</w:t>
      </w:r>
      <w:r w:rsidR="00B65448">
        <w:t>,</w:t>
      </w:r>
      <w:r>
        <w:t xml:space="preserve"> the parties that were not specifically identified by the Court. We found six arguments raised before us that were not expressly mentioned in the above-quoted paragraph</w:t>
      </w:r>
      <w:r w:rsidR="00CC70BC">
        <w:t>.</w:t>
      </w:r>
      <w:r w:rsidR="00CC70BC" w:rsidRPr="00CC70BC">
        <w:t xml:space="preserve"> </w:t>
      </w:r>
      <w:r w:rsidR="00CC70BC">
        <w:t xml:space="preserve">On November 9, 2023, Commission staff conducted an informal meeting with the parties to this docket who were also parties to the Supreme Court appeal – Intervenors and FPL – and presented the above list of arguments. These parties agreed </w:t>
      </w:r>
      <w:r w:rsidR="00A3310C">
        <w:t xml:space="preserve">to that list </w:t>
      </w:r>
      <w:r w:rsidR="00CC70BC">
        <w:t>with the following additional issues:</w:t>
      </w:r>
    </w:p>
    <w:p w14:paraId="13AFA548" w14:textId="77777777" w:rsidR="00292800" w:rsidRDefault="00292800" w:rsidP="00292800">
      <w:pPr>
        <w:jc w:val="both"/>
      </w:pPr>
    </w:p>
    <w:p w14:paraId="546470A7" w14:textId="77777777" w:rsidR="00292800" w:rsidRDefault="00292800" w:rsidP="00292800">
      <w:pPr>
        <w:jc w:val="both"/>
      </w:pPr>
      <w:r>
        <w:tab/>
        <w:t>10.</w:t>
      </w:r>
      <w:r>
        <w:tab/>
        <w:t>Revenue allocation between classes.</w:t>
      </w:r>
    </w:p>
    <w:p w14:paraId="2C42AB08" w14:textId="77777777" w:rsidR="00292800" w:rsidRDefault="00292800" w:rsidP="00292800">
      <w:pPr>
        <w:jc w:val="both"/>
      </w:pPr>
      <w:r>
        <w:tab/>
        <w:t>11.</w:t>
      </w:r>
      <w:r>
        <w:tab/>
        <w:t>FPL system overbuilt.</w:t>
      </w:r>
    </w:p>
    <w:p w14:paraId="14A82F1F" w14:textId="77777777" w:rsidR="00292800" w:rsidRDefault="00292800" w:rsidP="00292800">
      <w:pPr>
        <w:jc w:val="both"/>
      </w:pPr>
      <w:r>
        <w:tab/>
        <w:t>12.</w:t>
      </w:r>
      <w:r>
        <w:tab/>
        <w:t>Storm cost recovery mechanism.</w:t>
      </w:r>
    </w:p>
    <w:p w14:paraId="13246A3E" w14:textId="77777777" w:rsidR="00292800" w:rsidRDefault="00292800" w:rsidP="00292800">
      <w:pPr>
        <w:jc w:val="both"/>
      </w:pPr>
      <w:r>
        <w:tab/>
        <w:t>13.</w:t>
      </w:r>
      <w:r>
        <w:tab/>
        <w:t>Federal tax adjustments.</w:t>
      </w:r>
    </w:p>
    <w:p w14:paraId="770C85EA" w14:textId="77777777" w:rsidR="00292800" w:rsidRDefault="00292800" w:rsidP="00292800">
      <w:pPr>
        <w:jc w:val="both"/>
      </w:pPr>
      <w:r>
        <w:tab/>
        <w:t>14.</w:t>
      </w:r>
      <w:r>
        <w:tab/>
        <w:t>Incentive mechanism for asset optimization.</w:t>
      </w:r>
    </w:p>
    <w:p w14:paraId="367A6775" w14:textId="77777777" w:rsidR="00292800" w:rsidRDefault="00292800" w:rsidP="00292800">
      <w:pPr>
        <w:jc w:val="both"/>
      </w:pPr>
      <w:r>
        <w:tab/>
        <w:t>15.</w:t>
      </w:r>
      <w:r>
        <w:tab/>
        <w:t>Solar cap cost incentive.</w:t>
      </w:r>
    </w:p>
    <w:p w14:paraId="10DFBA50" w14:textId="77777777" w:rsidR="00292800" w:rsidRDefault="00292800" w:rsidP="00292800">
      <w:pPr>
        <w:jc w:val="both"/>
      </w:pPr>
    </w:p>
    <w:p w14:paraId="71FB5B7D" w14:textId="77777777" w:rsidR="00125344" w:rsidRPr="00125344" w:rsidRDefault="00125344" w:rsidP="00125344">
      <w:pPr>
        <w:pStyle w:val="ListParagraph"/>
        <w:numPr>
          <w:ilvl w:val="0"/>
          <w:numId w:val="2"/>
        </w:numPr>
        <w:jc w:val="both"/>
        <w:rPr>
          <w:u w:val="single"/>
        </w:rPr>
      </w:pPr>
      <w:r w:rsidRPr="00125344">
        <w:rPr>
          <w:color w:val="000000"/>
          <w:u w:val="single"/>
        </w:rPr>
        <w:t>Factors Relevant to the Commission’s Decision</w:t>
      </w:r>
    </w:p>
    <w:p w14:paraId="52F1AEBD" w14:textId="77777777" w:rsidR="00125344" w:rsidRDefault="00125344" w:rsidP="00292800">
      <w:pPr>
        <w:jc w:val="both"/>
      </w:pPr>
    </w:p>
    <w:p w14:paraId="1CC96AE5" w14:textId="77777777" w:rsidR="00292800" w:rsidRDefault="00292800" w:rsidP="00292800">
      <w:pPr>
        <w:jc w:val="both"/>
      </w:pPr>
      <w:r>
        <w:tab/>
        <w:t xml:space="preserve">The Court identified certain factors that we </w:t>
      </w:r>
      <w:r w:rsidRPr="00907009">
        <w:rPr>
          <w:i/>
        </w:rPr>
        <w:t>must</w:t>
      </w:r>
      <w:r>
        <w:t xml:space="preserve"> consider</w:t>
      </w:r>
      <w:r w:rsidR="00E07A46">
        <w:t xml:space="preserve"> in this remand</w:t>
      </w:r>
      <w:r>
        <w:t xml:space="preserve"> when </w:t>
      </w:r>
      <w:r w:rsidR="00E07A46">
        <w:t xml:space="preserve">we </w:t>
      </w:r>
      <w:r>
        <w:t>address the</w:t>
      </w:r>
      <w:r w:rsidR="00E07A46">
        <w:t>se</w:t>
      </w:r>
      <w:r>
        <w:t xml:space="preserve"> competing arguments:</w:t>
      </w:r>
    </w:p>
    <w:p w14:paraId="76168BAF" w14:textId="77777777" w:rsidR="00292800" w:rsidRDefault="00292800" w:rsidP="00292800">
      <w:pPr>
        <w:jc w:val="both"/>
      </w:pPr>
    </w:p>
    <w:p w14:paraId="59F9B720" w14:textId="77777777" w:rsidR="00292800" w:rsidRPr="00CA7306" w:rsidRDefault="00292800" w:rsidP="00292800">
      <w:pPr>
        <w:widowControl w:val="0"/>
        <w:autoSpaceDE w:val="0"/>
        <w:autoSpaceDN w:val="0"/>
        <w:adjustRightInd w:val="0"/>
        <w:ind w:left="720" w:right="720"/>
        <w:jc w:val="both"/>
        <w:rPr>
          <w:color w:val="000000"/>
        </w:rPr>
      </w:pPr>
      <w:r w:rsidRPr="00CA7306">
        <w:rPr>
          <w:color w:val="000000"/>
        </w:rPr>
        <w:t xml:space="preserve">The Legislature has provided that the Commission, in “fixing fair, just, and reasonable rates for each customer class, ... </w:t>
      </w:r>
      <w:r w:rsidRPr="00907009">
        <w:rPr>
          <w:i/>
          <w:color w:val="000000"/>
        </w:rPr>
        <w:t>shall</w:t>
      </w:r>
      <w:r w:rsidRPr="00CA7306">
        <w:rPr>
          <w:color w:val="000000"/>
        </w:rPr>
        <w:t>, to the extent practicable, consider the cost of providing service to the class, as well as the rate history, value of service, and experience of the public utility; the consumption and load characteristics of the various classes of customers; and</w:t>
      </w:r>
      <w:r>
        <w:rPr>
          <w:color w:val="000000"/>
        </w:rPr>
        <w:t xml:space="preserve"> </w:t>
      </w:r>
      <w:r w:rsidRPr="00CA7306">
        <w:rPr>
          <w:color w:val="000000"/>
        </w:rPr>
        <w:t xml:space="preserve">public acceptance of rate structures.” </w:t>
      </w:r>
      <w:r w:rsidRPr="00CA7306">
        <w:t>§ 366.06(1).</w:t>
      </w:r>
      <w:r w:rsidRPr="00CA7306">
        <w:rPr>
          <w:color w:val="000000"/>
        </w:rPr>
        <w:t xml:space="preserve"> The Commission “</w:t>
      </w:r>
      <w:r w:rsidRPr="00510E70">
        <w:rPr>
          <w:color w:val="000000"/>
          <w:u w:val="single"/>
        </w:rPr>
        <w:t>shall</w:t>
      </w:r>
      <w:r w:rsidRPr="00CA7306">
        <w:rPr>
          <w:color w:val="000000"/>
        </w:rPr>
        <w:t xml:space="preserve"> also consider </w:t>
      </w:r>
      <w:r>
        <w:rPr>
          <w:color w:val="000000"/>
        </w:rPr>
        <w:t xml:space="preserve"> </w:t>
      </w:r>
      <w:r w:rsidRPr="00CA7306">
        <w:rPr>
          <w:color w:val="000000"/>
        </w:rPr>
        <w:t xml:space="preserve">the performance of each utility pursuant to [the Florida Energy Efficiency and Conservation Act] when establishing rates for those utilities over which the commission has ratesetting authority.” </w:t>
      </w:r>
      <w:r w:rsidRPr="00CA7306">
        <w:t>§ 366.82(10), Fla. Stat. (2021).</w:t>
      </w:r>
      <w:r w:rsidRPr="00CA7306">
        <w:rPr>
          <w:color w:val="000000"/>
        </w:rPr>
        <w:t xml:space="preserve"> A reasonably explained decision from the Commission </w:t>
      </w:r>
      <w:r w:rsidRPr="00907009">
        <w:rPr>
          <w:i/>
          <w:color w:val="000000"/>
        </w:rPr>
        <w:t>must</w:t>
      </w:r>
      <w:r w:rsidRPr="00CA7306">
        <w:rPr>
          <w:color w:val="000000"/>
        </w:rPr>
        <w:t xml:space="preserve"> reflect that those factors have been considered to the extent practicable.</w:t>
      </w:r>
      <w:r>
        <w:rPr>
          <w:rStyle w:val="FootnoteReference"/>
          <w:color w:val="000000"/>
        </w:rPr>
        <w:footnoteReference w:id="9"/>
      </w:r>
    </w:p>
    <w:p w14:paraId="5BF33EE2" w14:textId="77777777" w:rsidR="00292800" w:rsidRDefault="00292800" w:rsidP="00292800">
      <w:pPr>
        <w:jc w:val="both"/>
      </w:pPr>
    </w:p>
    <w:p w14:paraId="1DC05266" w14:textId="77777777" w:rsidR="00292800" w:rsidRDefault="00292800" w:rsidP="00292800">
      <w:pPr>
        <w:jc w:val="both"/>
      </w:pPr>
      <w:r>
        <w:t xml:space="preserve">The Court also noted additional factors that we </w:t>
      </w:r>
      <w:r w:rsidRPr="00907009">
        <w:rPr>
          <w:i/>
        </w:rPr>
        <w:t>may</w:t>
      </w:r>
      <w:r>
        <w:t xml:space="preserve"> consider in appropriate circumstances at our discretion:</w:t>
      </w:r>
    </w:p>
    <w:p w14:paraId="7625D4EA" w14:textId="77777777" w:rsidR="00292800" w:rsidRDefault="00292800" w:rsidP="00292800">
      <w:pPr>
        <w:jc w:val="both"/>
      </w:pPr>
    </w:p>
    <w:p w14:paraId="24660840" w14:textId="77777777" w:rsidR="00292800" w:rsidRPr="00CA7306" w:rsidRDefault="00292800" w:rsidP="00292800">
      <w:pPr>
        <w:widowControl w:val="0"/>
        <w:autoSpaceDE w:val="0"/>
        <w:autoSpaceDN w:val="0"/>
        <w:adjustRightInd w:val="0"/>
        <w:ind w:left="720" w:right="720"/>
        <w:jc w:val="both"/>
        <w:rPr>
          <w:color w:val="000000"/>
        </w:rPr>
      </w:pPr>
      <w:r>
        <w:rPr>
          <w:color w:val="000000"/>
        </w:rPr>
        <w:t>[T]</w:t>
      </w:r>
      <w:r w:rsidRPr="00CA7306">
        <w:rPr>
          <w:color w:val="000000"/>
        </w:rPr>
        <w:t xml:space="preserve">he Commission </w:t>
      </w:r>
      <w:r w:rsidRPr="00907009">
        <w:rPr>
          <w:i/>
          <w:color w:val="000000"/>
        </w:rPr>
        <w:t>can</w:t>
      </w:r>
      <w:r w:rsidRPr="00CA7306">
        <w:rPr>
          <w:color w:val="000000"/>
        </w:rPr>
        <w:t xml:space="preserve"> consider “the efficiency, sufficiency, and adequacy of the facilities provided and the services rendered; the cost of providing such service and the value of such service to the public; the ability of the utility to improve such service and facilities; and energy conservation and the efficient use of alternative energy resources.”</w:t>
      </w:r>
      <w:r w:rsidRPr="00CA7306">
        <w:t xml:space="preserve"> </w:t>
      </w:r>
      <w:hyperlink r:id="rId8" w:anchor="co_pp_f1c50000821b0" w:history="1">
        <w:r w:rsidRPr="00CA7306">
          <w:t>§ 366.041(1), Fla. Stat. (2021)</w:t>
        </w:r>
      </w:hyperlink>
      <w:r w:rsidRPr="00CA7306">
        <w:t xml:space="preserve">. </w:t>
      </w:r>
      <w:r w:rsidRPr="00CA7306">
        <w:rPr>
          <w:color w:val="000000"/>
        </w:rPr>
        <w:t>And the Legislature has made clear that “it is in the public interest to promote the development of renewable energy resources in this state.”</w:t>
      </w:r>
      <w:r w:rsidRPr="00CA7306">
        <w:t xml:space="preserve"> </w:t>
      </w:r>
      <w:hyperlink r:id="rId9" w:anchor="co_pp_f1c50000821b0" w:history="1">
        <w:r w:rsidRPr="00CA7306">
          <w:t>§ 366.91(1), Fla. Stat. (2021)</w:t>
        </w:r>
      </w:hyperlink>
      <w:r w:rsidRPr="00CA7306">
        <w:t xml:space="preserve">. </w:t>
      </w:r>
      <w:r w:rsidRPr="00CA7306">
        <w:rPr>
          <w:color w:val="000000"/>
        </w:rPr>
        <w:t>Evidence that these factors have been considered—where they are germane to determining whether the settlement agreement is in the public interest and results in rates that are fair, just, and reasonable—permits meaningful judicial review of the Commission’s conclusions.</w:t>
      </w:r>
    </w:p>
    <w:p w14:paraId="795740CF" w14:textId="77777777" w:rsidR="00292800" w:rsidRPr="00CA7306" w:rsidRDefault="00292800" w:rsidP="00292800">
      <w:pPr>
        <w:widowControl w:val="0"/>
        <w:autoSpaceDE w:val="0"/>
        <w:autoSpaceDN w:val="0"/>
        <w:adjustRightInd w:val="0"/>
        <w:ind w:left="720" w:right="720"/>
        <w:jc w:val="both"/>
        <w:rPr>
          <w:color w:val="000000"/>
        </w:rPr>
      </w:pPr>
      <w:r w:rsidRPr="00CA7306">
        <w:rPr>
          <w:color w:val="000000"/>
        </w:rPr>
        <w:t> </w:t>
      </w:r>
    </w:p>
    <w:p w14:paraId="235E42EE" w14:textId="77777777" w:rsidR="00292800" w:rsidRDefault="00292800" w:rsidP="00292800">
      <w:pPr>
        <w:widowControl w:val="0"/>
        <w:autoSpaceDE w:val="0"/>
        <w:autoSpaceDN w:val="0"/>
        <w:adjustRightInd w:val="0"/>
        <w:ind w:left="720" w:right="720"/>
        <w:jc w:val="both"/>
        <w:rPr>
          <w:color w:val="000000"/>
        </w:rPr>
      </w:pPr>
      <w:bookmarkStart w:id="6" w:name="co_pp_sp_999_6_1"/>
      <w:bookmarkStart w:id="7" w:name="co_anchor_B92076700788_1"/>
      <w:bookmarkEnd w:id="6"/>
      <w:bookmarkEnd w:id="7"/>
      <w:r w:rsidRPr="00CA7306">
        <w:rPr>
          <w:color w:val="000000"/>
        </w:rPr>
        <w:t xml:space="preserve">The Commission </w:t>
      </w:r>
      <w:r w:rsidRPr="00907009">
        <w:rPr>
          <w:i/>
          <w:color w:val="000000"/>
        </w:rPr>
        <w:t>can</w:t>
      </w:r>
      <w:r w:rsidRPr="00CA7306">
        <w:rPr>
          <w:color w:val="000000"/>
        </w:rPr>
        <w:t xml:space="preserve"> also consider non-statutory factors if it explains why they are relevant and how they relate to the Commission’s “historical and statutory role.”</w:t>
      </w:r>
      <w:r w:rsidRPr="00CA7306">
        <w:t xml:space="preserve"> </w:t>
      </w:r>
      <w:hyperlink r:id="rId10" w:anchor="co_pp_sp_3926_911" w:history="1">
        <w:r w:rsidRPr="00CA7306">
          <w:rPr>
            <w:i/>
            <w:iCs/>
          </w:rPr>
          <w:t>Sierra Club</w:t>
        </w:r>
        <w:r w:rsidRPr="00CA7306">
          <w:t>, 243 So. 3d at 911</w:t>
        </w:r>
      </w:hyperlink>
      <w:r w:rsidRPr="00CA7306">
        <w:t xml:space="preserve">. </w:t>
      </w:r>
      <w:r w:rsidRPr="00CA7306">
        <w:rPr>
          <w:color w:val="000000"/>
        </w:rPr>
        <w:t>For example, in the order under review, the Commission supported its decision by stating that “FPL’s residential 1,000 kWh bill [is] projected to remain 21% below the current national average” under the settlement agreement. Assuming that it can explain the relevance of this metric in light of “the purpose of the Commission,”</w:t>
      </w:r>
      <w:r w:rsidRPr="00CA7306">
        <w:t xml:space="preserve"> </w:t>
      </w:r>
      <w:hyperlink r:id="rId11" w:history="1">
        <w:r w:rsidRPr="00CA7306">
          <w:rPr>
            <w:i/>
            <w:iCs/>
          </w:rPr>
          <w:t>id.</w:t>
        </w:r>
      </w:hyperlink>
      <w:r w:rsidRPr="00CA7306">
        <w:rPr>
          <w:color w:val="000000"/>
        </w:rPr>
        <w:t>, the Commission can permissibly consider it in making its decision.</w:t>
      </w:r>
      <w:r>
        <w:rPr>
          <w:rStyle w:val="FootnoteReference"/>
          <w:color w:val="000000"/>
        </w:rPr>
        <w:footnoteReference w:id="10"/>
      </w:r>
    </w:p>
    <w:p w14:paraId="723A7681" w14:textId="77777777" w:rsidR="00292800" w:rsidRDefault="00292800" w:rsidP="00292800">
      <w:pPr>
        <w:pStyle w:val="OrderBody"/>
      </w:pPr>
    </w:p>
    <w:p w14:paraId="6D55AA62" w14:textId="02B14323" w:rsidR="0065706C" w:rsidRDefault="0065706C" w:rsidP="00292800">
      <w:pPr>
        <w:pStyle w:val="OrderBody"/>
      </w:pPr>
      <w:r>
        <w:tab/>
        <w:t>C.</w:t>
      </w:r>
      <w:r>
        <w:tab/>
      </w:r>
      <w:r>
        <w:rPr>
          <w:u w:val="single"/>
        </w:rPr>
        <w:t>Procedure and the Record</w:t>
      </w:r>
    </w:p>
    <w:p w14:paraId="656938C8" w14:textId="0B00D1D1" w:rsidR="0065706C" w:rsidRDefault="0065706C" w:rsidP="00292800">
      <w:pPr>
        <w:pStyle w:val="OrderBody"/>
      </w:pPr>
    </w:p>
    <w:p w14:paraId="1E376BC9" w14:textId="35F402AC" w:rsidR="00296C35" w:rsidRDefault="00296C35" w:rsidP="00296C35">
      <w:pPr>
        <w:autoSpaceDE w:val="0"/>
        <w:autoSpaceDN w:val="0"/>
        <w:adjustRightInd w:val="0"/>
        <w:jc w:val="both"/>
        <w:rPr>
          <w:color w:val="000000"/>
        </w:rPr>
      </w:pPr>
      <w:r>
        <w:rPr>
          <w:color w:val="000000"/>
        </w:rPr>
        <w:tab/>
        <w:t>Citing t</w:t>
      </w:r>
      <w:r w:rsidRPr="00CA7306">
        <w:rPr>
          <w:color w:val="000000"/>
        </w:rPr>
        <w:t>he C</w:t>
      </w:r>
      <w:r>
        <w:rPr>
          <w:color w:val="000000"/>
        </w:rPr>
        <w:t>ourt’s direction that we</w:t>
      </w:r>
      <w:r w:rsidRPr="00CA7306">
        <w:rPr>
          <w:color w:val="000000"/>
        </w:rPr>
        <w:t xml:space="preserve"> “</w:t>
      </w:r>
      <w:r w:rsidRPr="00A460E6">
        <w:rPr>
          <w:color w:val="000000"/>
        </w:rPr>
        <w:t>shall</w:t>
      </w:r>
      <w:r w:rsidRPr="00CA7306">
        <w:rPr>
          <w:color w:val="000000"/>
        </w:rPr>
        <w:t xml:space="preserve"> also consider the performance of each utility pursuant to [the Florida Energy Efficiency and Conservation Act] when establishing rates for those utilities over which the commission has ratesetting authority”</w:t>
      </w:r>
      <w:r>
        <w:rPr>
          <w:rStyle w:val="FootnoteReference"/>
          <w:color w:val="000000"/>
        </w:rPr>
        <w:footnoteReference w:id="11"/>
      </w:r>
      <w:r>
        <w:rPr>
          <w:color w:val="000000"/>
        </w:rPr>
        <w:t xml:space="preserve"> and the discretion afforded us in conducting this remand, FAIR filed a</w:t>
      </w:r>
      <w:r>
        <w:t xml:space="preserve"> Motion to Reopen the Evidentiary Record</w:t>
      </w:r>
      <w:r w:rsidR="003A29F3">
        <w:t xml:space="preserve"> on February 6, 2024</w:t>
      </w:r>
      <w:r>
        <w:t>.</w:t>
      </w:r>
      <w:r>
        <w:rPr>
          <w:color w:val="000000"/>
        </w:rPr>
        <w:t xml:space="preserve"> In the Motion, FAIR requests that we reopen the evidentiary record for the limited and sole purpose of admitting the Annual Report of Activities Pursuant to the Florida Energy and Conservation Act for 2021 (FEECA Report). FAIR asserts that we must have the FEECA Report to comply with the Supreme Court’s remand.</w:t>
      </w:r>
    </w:p>
    <w:p w14:paraId="4F2EBB89" w14:textId="77777777" w:rsidR="00296C35" w:rsidRDefault="00296C35" w:rsidP="00296C35">
      <w:pPr>
        <w:autoSpaceDE w:val="0"/>
        <w:autoSpaceDN w:val="0"/>
        <w:adjustRightInd w:val="0"/>
        <w:jc w:val="both"/>
        <w:rPr>
          <w:color w:val="000000"/>
        </w:rPr>
      </w:pPr>
    </w:p>
    <w:p w14:paraId="4EDD557A" w14:textId="3F3B6343" w:rsidR="00296C35" w:rsidRPr="00CA7306" w:rsidRDefault="00296C35" w:rsidP="00296C35">
      <w:pPr>
        <w:autoSpaceDE w:val="0"/>
        <w:autoSpaceDN w:val="0"/>
        <w:adjustRightInd w:val="0"/>
        <w:jc w:val="both"/>
        <w:rPr>
          <w:color w:val="000000"/>
        </w:rPr>
      </w:pPr>
      <w:r>
        <w:rPr>
          <w:color w:val="000000"/>
        </w:rPr>
        <w:tab/>
        <w:t xml:space="preserve">FPL filed its response in opposition, arguing first that the existing record on FEECA is sufficient. FPL submitted prefiled testimony on a number of areas relevant to FEECA. FPL states that all Intervenors had the opportunity to respond to this testimony, and that several did present FEECA-related testimony. FPL also notes that virtually all of the documents sought to be submitted were not in existence when </w:t>
      </w:r>
      <w:r w:rsidR="00827FDC">
        <w:rPr>
          <w:color w:val="000000"/>
        </w:rPr>
        <w:t>we</w:t>
      </w:r>
      <w:r>
        <w:rPr>
          <w:color w:val="000000"/>
        </w:rPr>
        <w:t xml:space="preserve"> made </w:t>
      </w:r>
      <w:r w:rsidR="00827FDC">
        <w:rPr>
          <w:color w:val="000000"/>
        </w:rPr>
        <w:t>our</w:t>
      </w:r>
      <w:r>
        <w:rPr>
          <w:color w:val="000000"/>
        </w:rPr>
        <w:t xml:space="preserve"> original decision.</w:t>
      </w:r>
    </w:p>
    <w:p w14:paraId="1C2519F1" w14:textId="77777777" w:rsidR="00296C35" w:rsidRPr="004B40DF" w:rsidRDefault="00296C35" w:rsidP="00296C35">
      <w:pPr>
        <w:shd w:val="clear" w:color="auto" w:fill="FFFFFF"/>
        <w:jc w:val="both"/>
        <w:rPr>
          <w:color w:val="000000"/>
        </w:rPr>
      </w:pPr>
    </w:p>
    <w:p w14:paraId="5660E640" w14:textId="7FEC7F6C" w:rsidR="00296C35" w:rsidRDefault="00296C35" w:rsidP="00296C35">
      <w:pPr>
        <w:autoSpaceDE w:val="0"/>
        <w:autoSpaceDN w:val="0"/>
        <w:adjustRightInd w:val="0"/>
        <w:jc w:val="both"/>
        <w:rPr>
          <w:shd w:val="clear" w:color="auto" w:fill="FFFFFF"/>
        </w:rPr>
      </w:pPr>
      <w:r w:rsidRPr="004A0588">
        <w:tab/>
      </w:r>
      <w:r>
        <w:t xml:space="preserve">The FEECA Report was prepared by </w:t>
      </w:r>
      <w:r w:rsidR="00827FDC">
        <w:t>us</w:t>
      </w:r>
      <w:r w:rsidRPr="00163635">
        <w:t xml:space="preserve"> pursuant to Section 366.82(10), F.S., which provides</w:t>
      </w:r>
      <w:r>
        <w:t>,</w:t>
      </w:r>
      <w:r w:rsidRPr="00163635">
        <w:t xml:space="preserve"> in </w:t>
      </w:r>
      <w:r>
        <w:t xml:space="preserve">pertinent </w:t>
      </w:r>
      <w:r w:rsidRPr="00163635">
        <w:t>part</w:t>
      </w:r>
      <w:r>
        <w:t>,</w:t>
      </w:r>
      <w:r w:rsidRPr="00163635">
        <w:t xml:space="preserve"> that “</w:t>
      </w:r>
      <w:r w:rsidRPr="00163635">
        <w:rPr>
          <w:shd w:val="clear" w:color="auto" w:fill="FFFFFF"/>
        </w:rPr>
        <w:t>[]the commission shall require periodic reports from each utility and shall provide the Legislature and the Governor with an annual report by March 1 of the goals it has adopted and its progress toward meeting those goals.”</w:t>
      </w:r>
      <w:r>
        <w:rPr>
          <w:rStyle w:val="FootnoteReference"/>
        </w:rPr>
        <w:footnoteReference w:id="12"/>
      </w:r>
      <w:r>
        <w:rPr>
          <w:shd w:val="clear" w:color="auto" w:fill="FFFFFF"/>
        </w:rPr>
        <w:t xml:space="preserve"> The FEECA Report bears an issuance date of November 2021. The final evidentiary hearing in the base rate case concluded September 20, 2021. We voted to approve the stipulation and settlement on October 26, 2021. The FEECA Report was not in existence on either of these dates. </w:t>
      </w:r>
    </w:p>
    <w:p w14:paraId="5E6E0BD3" w14:textId="77777777" w:rsidR="00296C35" w:rsidRDefault="00296C35" w:rsidP="00296C35">
      <w:pPr>
        <w:autoSpaceDE w:val="0"/>
        <w:autoSpaceDN w:val="0"/>
        <w:adjustRightInd w:val="0"/>
        <w:jc w:val="both"/>
        <w:rPr>
          <w:shd w:val="clear" w:color="auto" w:fill="FFFFFF"/>
        </w:rPr>
      </w:pPr>
    </w:p>
    <w:p w14:paraId="3EC8910B" w14:textId="77777777" w:rsidR="00296C35" w:rsidRDefault="00296C35" w:rsidP="00296C35">
      <w:pPr>
        <w:autoSpaceDE w:val="0"/>
        <w:autoSpaceDN w:val="0"/>
        <w:adjustRightInd w:val="0"/>
        <w:jc w:val="both"/>
        <w:rPr>
          <w:shd w:val="clear" w:color="auto" w:fill="FFFFFF"/>
        </w:rPr>
      </w:pPr>
      <w:r>
        <w:rPr>
          <w:shd w:val="clear" w:color="auto" w:fill="FFFFFF"/>
        </w:rPr>
        <w:tab/>
        <w:t>Because we prepared the FEECA Report pursuant to a statutory duty, it may be admissible in a proceeding in which it is relevant.</w:t>
      </w:r>
      <w:r>
        <w:rPr>
          <w:rStyle w:val="FootnoteReference"/>
          <w:shd w:val="clear" w:color="auto" w:fill="FFFFFF"/>
        </w:rPr>
        <w:footnoteReference w:id="13"/>
      </w:r>
      <w:r>
        <w:rPr>
          <w:shd w:val="clear" w:color="auto" w:fill="FFFFFF"/>
        </w:rPr>
        <w:t xml:space="preserve"> However, the FEECA Report did not exist in this form until the record in this proceeding was closed and the decision made. We find that it would not be appropriate to place documents created post-hearing, post-decision in the record for purposes of making additional findings.</w:t>
      </w:r>
      <w:r>
        <w:rPr>
          <w:rStyle w:val="FootnoteReference"/>
          <w:shd w:val="clear" w:color="auto" w:fill="FFFFFF"/>
        </w:rPr>
        <w:footnoteReference w:id="14"/>
      </w:r>
    </w:p>
    <w:p w14:paraId="2F712259" w14:textId="77777777" w:rsidR="00296C35" w:rsidRDefault="00296C35" w:rsidP="00296C35">
      <w:pPr>
        <w:autoSpaceDE w:val="0"/>
        <w:autoSpaceDN w:val="0"/>
        <w:adjustRightInd w:val="0"/>
        <w:jc w:val="both"/>
        <w:rPr>
          <w:shd w:val="clear" w:color="auto" w:fill="FFFFFF"/>
        </w:rPr>
      </w:pPr>
    </w:p>
    <w:p w14:paraId="223F7186" w14:textId="77777777" w:rsidR="00296C35" w:rsidRDefault="00296C35" w:rsidP="00296C35">
      <w:pPr>
        <w:pStyle w:val="BodyText"/>
        <w:spacing w:after="0"/>
        <w:jc w:val="both"/>
      </w:pPr>
      <w:r>
        <w:tab/>
        <w:t>Additionally, FAIR’s request would necessitate opening the proceeding to provide FPL due process,</w:t>
      </w:r>
      <w:r>
        <w:rPr>
          <w:rStyle w:val="FootnoteReference"/>
        </w:rPr>
        <w:footnoteReference w:id="15"/>
      </w:r>
      <w:r>
        <w:t xml:space="preserve"> leading to a potential procedural morass.</w:t>
      </w:r>
    </w:p>
    <w:p w14:paraId="76F2D634" w14:textId="77777777" w:rsidR="00296C35" w:rsidRPr="00A67DF7" w:rsidRDefault="00296C35" w:rsidP="00296C35">
      <w:pPr>
        <w:pStyle w:val="BodyText"/>
        <w:spacing w:after="0"/>
      </w:pPr>
    </w:p>
    <w:p w14:paraId="5D106F64" w14:textId="77777777" w:rsidR="00296C35" w:rsidRDefault="00296C35" w:rsidP="00296C35">
      <w:pPr>
        <w:shd w:val="clear" w:color="auto" w:fill="FFFFFF"/>
        <w:ind w:left="720" w:right="720"/>
        <w:jc w:val="both"/>
        <w:rPr>
          <w:color w:val="000000"/>
        </w:rPr>
      </w:pPr>
      <w:r w:rsidRPr="00A67DF7">
        <w:rPr>
          <w:color w:val="000000"/>
        </w:rPr>
        <w:t xml:space="preserve">If one side were permitted to produce additional evidence, as suggested </w:t>
      </w:r>
      <w:r>
        <w:rPr>
          <w:color w:val="000000"/>
        </w:rPr>
        <w:t xml:space="preserve">. . . </w:t>
      </w:r>
      <w:r w:rsidRPr="00A67DF7">
        <w:rPr>
          <w:color w:val="000000"/>
        </w:rPr>
        <w:t>, then the other side would necessarily have to be given the same privilege, and each side would of necessity have to be given the right of confrontation and cross-examination of the additional witnesses, and possibly rebuttal. We do not envision the Administrative Procedures Act as permitting such a never-ending process.</w:t>
      </w:r>
      <w:r>
        <w:rPr>
          <w:rStyle w:val="FootnoteReference"/>
          <w:color w:val="000000"/>
        </w:rPr>
        <w:footnoteReference w:id="16"/>
      </w:r>
    </w:p>
    <w:p w14:paraId="5A8E3BC0" w14:textId="77777777" w:rsidR="00296C35" w:rsidRDefault="00296C35" w:rsidP="00296C35">
      <w:pPr>
        <w:shd w:val="clear" w:color="auto" w:fill="FFFFFF"/>
        <w:ind w:left="720" w:right="720"/>
        <w:jc w:val="both"/>
        <w:rPr>
          <w:color w:val="000000"/>
        </w:rPr>
      </w:pPr>
    </w:p>
    <w:p w14:paraId="1D970839" w14:textId="77E7168C" w:rsidR="00296C35" w:rsidRDefault="00296C35" w:rsidP="00296C35">
      <w:pPr>
        <w:shd w:val="clear" w:color="auto" w:fill="FFFFFF"/>
        <w:jc w:val="both"/>
      </w:pPr>
      <w:r>
        <w:tab/>
        <w:t>Because we could not have relied on this evidence when making the original decision, it would be improper to do so now and admit the FEECA Report. Moreover, granting the Motion would create numerous fundamental procedural issues. We have in this Supplement</w:t>
      </w:r>
      <w:r w:rsidR="00C665B9">
        <w:t>al</w:t>
      </w:r>
      <w:r>
        <w:t xml:space="preserve"> Order complied with the Florida Supreme Court’s direction that we consider FEECA performance “to the extent practical.” For all of these reasons, FAIR’s Motion to Reopen the Record is denied.</w:t>
      </w:r>
    </w:p>
    <w:p w14:paraId="46233385" w14:textId="77777777" w:rsidR="00296C35" w:rsidRDefault="00296C35" w:rsidP="00296C35">
      <w:pPr>
        <w:shd w:val="clear" w:color="auto" w:fill="FFFFFF"/>
        <w:jc w:val="both"/>
      </w:pPr>
    </w:p>
    <w:p w14:paraId="227E769D" w14:textId="27284971" w:rsidR="00296C35" w:rsidRDefault="00296C35" w:rsidP="00296C35">
      <w:pPr>
        <w:pStyle w:val="BodyText"/>
        <w:spacing w:after="0"/>
        <w:jc w:val="both"/>
        <w:rPr>
          <w:color w:val="000000"/>
        </w:rPr>
      </w:pPr>
      <w:r w:rsidRPr="002D3368">
        <w:rPr>
          <w:b/>
          <w:i/>
        </w:rPr>
        <w:tab/>
        <w:t>Citing the same provisions in the FAIR opinion discussed immediately above, Florida Rising filed a Motion for Evidentiary Hearing</w:t>
      </w:r>
      <w:r w:rsidR="003A29F3" w:rsidRPr="002D3368">
        <w:rPr>
          <w:b/>
          <w:i/>
        </w:rPr>
        <w:t xml:space="preserve"> on February 7, 2024</w:t>
      </w:r>
      <w:r w:rsidRPr="002D3368">
        <w:rPr>
          <w:b/>
          <w:i/>
        </w:rPr>
        <w:t xml:space="preserve">. While similar to FAIR’s Motion, Florida Rising seeks broader relief. Florida Rising first requests that we schedule an evidentiary hearing solely on FPL’s FEECA performance. Alternatively, Florida Rising seeks to submit the FEECA Reports covering the years 2020, 2021, and 2023. By comparison, FAIR only sought to submit the 2021 FEECA Report. Florida Rising also seeks to submit the Demand Side Management (DSM) Reports from FPL for this same, three-year time period. Finally, Florida Rising seeks to submit data compiled by the United States Energy Information Agency (EIA) for the years 2020, 2021, and 2022. Florida Rising contends that </w:t>
      </w:r>
      <w:r w:rsidR="00827FDC" w:rsidRPr="002D3368">
        <w:rPr>
          <w:b/>
          <w:i/>
        </w:rPr>
        <w:t>we</w:t>
      </w:r>
      <w:r w:rsidRPr="002D3368">
        <w:rPr>
          <w:b/>
          <w:i/>
        </w:rPr>
        <w:t xml:space="preserve"> must have this information in order to comply with the Supreme Court’s remand and the consideration of FPL’s FEECA performance.</w:t>
      </w:r>
      <w:r>
        <w:rPr>
          <w:color w:val="000000"/>
        </w:rPr>
        <w:tab/>
        <w:t xml:space="preserve">FPL filed its response in opposition, arguing first that the existing record on FEECA is sufficient. FPL submitted prefiled testimony on a number of areas relevant to FEECA. FPL states that all Intervenors had the opportunity to respond to this testimony, and that several did present FEECA-related testimony. FPL also notes that virtually all of the documents sought to be submitted were not in existence when </w:t>
      </w:r>
      <w:r w:rsidR="00827FDC">
        <w:rPr>
          <w:color w:val="000000"/>
        </w:rPr>
        <w:t>we made our</w:t>
      </w:r>
      <w:r>
        <w:rPr>
          <w:color w:val="000000"/>
        </w:rPr>
        <w:t xml:space="preserve"> original decision.</w:t>
      </w:r>
    </w:p>
    <w:p w14:paraId="689923E6" w14:textId="77777777" w:rsidR="00296C35" w:rsidRPr="00CA7306" w:rsidRDefault="00296C35" w:rsidP="00296C35">
      <w:pPr>
        <w:autoSpaceDE w:val="0"/>
        <w:autoSpaceDN w:val="0"/>
        <w:adjustRightInd w:val="0"/>
        <w:jc w:val="both"/>
        <w:rPr>
          <w:color w:val="000000"/>
        </w:rPr>
      </w:pPr>
    </w:p>
    <w:p w14:paraId="5603179A" w14:textId="77777777" w:rsidR="00296C35" w:rsidRDefault="00296C35" w:rsidP="00296C35">
      <w:pPr>
        <w:pStyle w:val="BodyText"/>
        <w:jc w:val="both"/>
      </w:pPr>
      <w:r>
        <w:tab/>
        <w:t>As to the materials that were not in existence when we made our prior decision and the request for an evidentiary hearing on those materials, the same analysis applies as set forth immediately above. The request by Florida Rising’s that we reopen the record to consider this data suffers the same flaws as FAIR’s Motion and is denied for the same reasons.</w:t>
      </w:r>
    </w:p>
    <w:p w14:paraId="4FAD621C" w14:textId="77777777" w:rsidR="00296C35" w:rsidRDefault="00296C35" w:rsidP="00296C35">
      <w:pPr>
        <w:pStyle w:val="BodyText"/>
        <w:jc w:val="both"/>
      </w:pPr>
      <w:r>
        <w:tab/>
        <w:t>The EIA information in existence prior to October 2021 and the 2020 FEECA and DSM Reports were in existence when we made our prior decision. Accordingly, Florida Rising could have sought to submit them in 2021 when this docket was litigated. No good cause for this failure is set forth in the Motion.</w:t>
      </w:r>
    </w:p>
    <w:p w14:paraId="4999ACFB" w14:textId="77777777" w:rsidR="00296C35" w:rsidRDefault="00296C35" w:rsidP="00296C35">
      <w:pPr>
        <w:pStyle w:val="BodyText"/>
        <w:jc w:val="both"/>
      </w:pPr>
      <w:r>
        <w:tab/>
        <w:t>Allowing Florida Rising to submit this material would necessitate some sort of evidentiary hearing to comport with due process. Again, Florida Rising has demonstrated no cause for us to take the extraordinary step of reopening a rate case to allow the presentation of evidence that could have been, but was not, introduced at the rate hearing.</w:t>
      </w:r>
    </w:p>
    <w:p w14:paraId="278DE6BC" w14:textId="2ACF19DB" w:rsidR="00296C35" w:rsidRPr="00520986" w:rsidRDefault="00296C35" w:rsidP="00296C35">
      <w:pPr>
        <w:shd w:val="clear" w:color="auto" w:fill="FFFFFF"/>
        <w:jc w:val="both"/>
        <w:rPr>
          <w:color w:val="000000"/>
        </w:rPr>
      </w:pPr>
      <w:r>
        <w:tab/>
        <w:t>The request that we conduct a limited hearing specifically on FEECA is beyond the scope of this remand. As to the request to submit additional documentary evidence, virtually all of the evidence Florida Rising</w:t>
      </w:r>
      <w:r w:rsidRPr="00F57DD6">
        <w:t xml:space="preserve"> </w:t>
      </w:r>
      <w:r>
        <w:t>seeks to submit for consideration was not in existence at the time we made the original decision. Because we could not have relied on this evidence when that decision was made, it would be improper to now admit the various reports cited by Florida Rising (or have an evidentiary hearing on them). Moreover, granting the Motion would create numerous fundamental procedural issues. These same procedural concerns apply with equal weight to the materials proffered by Florida Rising that were in existence when we made our prior decision.</w:t>
      </w:r>
      <w:r w:rsidRPr="00C26557">
        <w:t xml:space="preserve"> </w:t>
      </w:r>
      <w:r>
        <w:t>Reopening the record for purposes of admitting these materials would result in, essentially, a new hearing, when these materials could have been but were not admitted in the original rate case.</w:t>
      </w:r>
      <w:r w:rsidR="00565201" w:rsidRPr="00565201">
        <w:t xml:space="preserve"> </w:t>
      </w:r>
      <w:r w:rsidR="00565201">
        <w:t>For these reasons, we deny Florida Rising’s Motion for Evidentiary Hearing.</w:t>
      </w:r>
    </w:p>
    <w:p w14:paraId="397DFA92" w14:textId="68E1C450" w:rsidR="0065706C" w:rsidRPr="0065706C" w:rsidRDefault="0065706C" w:rsidP="00296C35">
      <w:pPr>
        <w:pStyle w:val="OrderBody"/>
      </w:pPr>
    </w:p>
    <w:p w14:paraId="171A6D9A" w14:textId="11D8A728" w:rsidR="0065706C" w:rsidRPr="00296C35" w:rsidRDefault="00296C35" w:rsidP="00292800">
      <w:pPr>
        <w:pStyle w:val="OrderBody"/>
      </w:pPr>
      <w:r>
        <w:tab/>
        <w:t>D.</w:t>
      </w:r>
      <w:r>
        <w:tab/>
      </w:r>
      <w:r>
        <w:rPr>
          <w:u w:val="single"/>
        </w:rPr>
        <w:t>Conclusion</w:t>
      </w:r>
    </w:p>
    <w:p w14:paraId="72392493" w14:textId="77777777" w:rsidR="00296C35" w:rsidRDefault="00296C35" w:rsidP="00292800">
      <w:pPr>
        <w:pStyle w:val="OrderBody"/>
      </w:pPr>
    </w:p>
    <w:p w14:paraId="47E12F18" w14:textId="7B340E6D" w:rsidR="00292800" w:rsidRDefault="00292800" w:rsidP="00292800">
      <w:pPr>
        <w:pStyle w:val="OrderBody"/>
      </w:pPr>
      <w:r>
        <w:tab/>
        <w:t xml:space="preserve">Consistent with the Court’s direction, we provide below our </w:t>
      </w:r>
      <w:r w:rsidR="00211905">
        <w:t xml:space="preserve">explanation of how the evidence presented </w:t>
      </w:r>
      <w:r>
        <w:t>on the parties’ competing arguments</w:t>
      </w:r>
      <w:r w:rsidR="00BE0783">
        <w:t>, in light of the identified factors,</w:t>
      </w:r>
      <w:r>
        <w:t xml:space="preserve"> </w:t>
      </w:r>
      <w:r w:rsidR="00211905">
        <w:t xml:space="preserve">leads to our conclusion that approving </w:t>
      </w:r>
      <w:r w:rsidR="00211905" w:rsidRPr="000563EA">
        <w:t xml:space="preserve">the </w:t>
      </w:r>
      <w:r w:rsidR="00211905">
        <w:t>2021 Settlement</w:t>
      </w:r>
      <w:r>
        <w:t xml:space="preserve"> is in the public interest. We do so </w:t>
      </w:r>
      <w:r w:rsidRPr="000563EA">
        <w:t xml:space="preserve">based on the existing record. All aspects of Order </w:t>
      </w:r>
      <w:r>
        <w:t xml:space="preserve">No. PSC-2021-0446-S-EI and Order No. PSC-2021-0446A-S-EI </w:t>
      </w:r>
      <w:r w:rsidRPr="000563EA">
        <w:t>remain unchanged.</w:t>
      </w:r>
    </w:p>
    <w:p w14:paraId="24D88BDB" w14:textId="77777777" w:rsidR="00292800" w:rsidRDefault="00292800" w:rsidP="00292800">
      <w:pPr>
        <w:jc w:val="center"/>
      </w:pPr>
    </w:p>
    <w:p w14:paraId="227A05C3" w14:textId="77777777" w:rsidR="00292800" w:rsidRPr="008E3556" w:rsidRDefault="00292800" w:rsidP="00292800">
      <w:pPr>
        <w:jc w:val="center"/>
        <w:rPr>
          <w:caps/>
        </w:rPr>
      </w:pPr>
      <w:r w:rsidRPr="008E3556">
        <w:rPr>
          <w:caps/>
          <w:u w:val="single"/>
        </w:rPr>
        <w:t>Supplemental Findings and Conclusions</w:t>
      </w:r>
    </w:p>
    <w:p w14:paraId="3E3BBBF8" w14:textId="77777777" w:rsidR="00B73171" w:rsidRDefault="00B73171" w:rsidP="00292800">
      <w:pPr>
        <w:shd w:val="clear" w:color="auto" w:fill="FFFFFF"/>
        <w:jc w:val="both"/>
      </w:pPr>
    </w:p>
    <w:p w14:paraId="14A6E06E" w14:textId="77777777" w:rsidR="00292800" w:rsidRPr="00946C62" w:rsidRDefault="00292800" w:rsidP="00292800">
      <w:pPr>
        <w:shd w:val="clear" w:color="auto" w:fill="FFFFFF"/>
        <w:jc w:val="both"/>
      </w:pPr>
      <w:r w:rsidRPr="00071EA8">
        <w:tab/>
      </w:r>
      <w:r w:rsidR="009753D5">
        <w:t>In reviewing a settlement agreement, we first “make[] factual findings based on the evidence presented by the parties.”</w:t>
      </w:r>
      <w:r w:rsidR="00486990">
        <w:rPr>
          <w:rStyle w:val="FootnoteReference"/>
        </w:rPr>
        <w:footnoteReference w:id="17"/>
      </w:r>
      <w:r w:rsidR="009753D5" w:rsidRPr="009753D5">
        <w:t xml:space="preserve"> </w:t>
      </w:r>
      <w:r w:rsidR="00636F89" w:rsidRPr="009753D5">
        <w:t>As</w:t>
      </w:r>
      <w:r w:rsidRPr="00071EA8">
        <w:t xml:space="preserve"> the finder of fact, </w:t>
      </w:r>
      <w:r w:rsidR="00636F89">
        <w:t xml:space="preserve">we must </w:t>
      </w:r>
      <w:r w:rsidRPr="00071EA8">
        <w:t>“</w:t>
      </w:r>
      <w:r w:rsidRPr="00071EA8">
        <w:rPr>
          <w:color w:val="000000"/>
        </w:rPr>
        <w:t>consider all the evidence presented, resolve conflicts, judge credibility of witnesses, draw permissible inferences from the evidence, and reach ultimate findings of fact based on competent substantial evidence.”</w:t>
      </w:r>
      <w:r w:rsidR="00486990">
        <w:rPr>
          <w:rStyle w:val="FootnoteReference"/>
          <w:color w:val="000000"/>
        </w:rPr>
        <w:footnoteReference w:id="18"/>
      </w:r>
      <w:r>
        <w:rPr>
          <w:color w:val="000000"/>
        </w:rPr>
        <w:t xml:space="preserve"> Each of </w:t>
      </w:r>
      <w:r w:rsidR="00E07A46">
        <w:rPr>
          <w:color w:val="000000"/>
        </w:rPr>
        <w:t>those ultimate</w:t>
      </w:r>
      <w:r>
        <w:rPr>
          <w:color w:val="000000"/>
        </w:rPr>
        <w:t xml:space="preserve"> findings of fact must be based on a preponderance of the </w:t>
      </w:r>
      <w:r w:rsidR="00636F89">
        <w:rPr>
          <w:color w:val="000000"/>
        </w:rPr>
        <w:t xml:space="preserve">record </w:t>
      </w:r>
      <w:r>
        <w:rPr>
          <w:color w:val="000000"/>
        </w:rPr>
        <w:t>evidence.</w:t>
      </w:r>
      <w:r w:rsidR="00586B8F">
        <w:rPr>
          <w:rStyle w:val="FootnoteReference"/>
          <w:color w:val="000000"/>
        </w:rPr>
        <w:footnoteReference w:id="19"/>
      </w:r>
      <w:r>
        <w:rPr>
          <w:color w:val="000000"/>
        </w:rPr>
        <w:t xml:space="preserve"> </w:t>
      </w:r>
      <w:r w:rsidRPr="00946C62">
        <w:t>The Florida Supreme Court defines “preponderance of the evidence” as follows:</w:t>
      </w:r>
    </w:p>
    <w:p w14:paraId="60FC8C70" w14:textId="77777777" w:rsidR="00292800" w:rsidRPr="00946C62" w:rsidRDefault="00292800" w:rsidP="00292800">
      <w:pPr>
        <w:shd w:val="clear" w:color="auto" w:fill="FFFFFF"/>
        <w:jc w:val="both"/>
      </w:pPr>
    </w:p>
    <w:p w14:paraId="53A49288" w14:textId="77777777" w:rsidR="00292800" w:rsidRPr="00946C62" w:rsidRDefault="00292800" w:rsidP="00292800">
      <w:pPr>
        <w:shd w:val="clear" w:color="auto" w:fill="FFFFFF"/>
        <w:ind w:left="720" w:right="720"/>
        <w:jc w:val="both"/>
      </w:pPr>
      <w:r w:rsidRPr="00946C62">
        <w:t>The greater weight of the evidence, not necessarily established by the greater number of witnesses testifying to a fact but by evidence that has the most convincing force; superior evidentiary weight that, though not sufficient to free the mind wholly from all reasonable doubt, is still sufficient to incline a fair and impartial mind to one side of the issue rather than the other.</w:t>
      </w:r>
      <w:r w:rsidR="0006736C">
        <w:rPr>
          <w:rStyle w:val="FootnoteReference"/>
        </w:rPr>
        <w:footnoteReference w:id="20"/>
      </w:r>
    </w:p>
    <w:p w14:paraId="6B96502F" w14:textId="77777777" w:rsidR="00292800" w:rsidRPr="00946C62" w:rsidRDefault="00292800" w:rsidP="00292800">
      <w:pPr>
        <w:shd w:val="clear" w:color="auto" w:fill="FFFFFF"/>
        <w:spacing w:line="320" w:lineRule="atLeast"/>
        <w:jc w:val="both"/>
      </w:pPr>
    </w:p>
    <w:p w14:paraId="008F00AE" w14:textId="77777777" w:rsidR="00292800" w:rsidRDefault="009753D5" w:rsidP="00292800">
      <w:pPr>
        <w:shd w:val="clear" w:color="auto" w:fill="FFFFFF"/>
        <w:spacing w:line="320" w:lineRule="atLeast"/>
        <w:jc w:val="both"/>
      </w:pPr>
      <w:r>
        <w:t>Our findings of fact regarding the competing arguments presented by the parties are set forth below.</w:t>
      </w:r>
    </w:p>
    <w:p w14:paraId="0919D261" w14:textId="77777777" w:rsidR="00292800" w:rsidRDefault="00292800" w:rsidP="00292800">
      <w:pPr>
        <w:pStyle w:val="OrderBody"/>
      </w:pPr>
    </w:p>
    <w:p w14:paraId="3EA88B70" w14:textId="77777777" w:rsidR="00292800" w:rsidRPr="00D258B4" w:rsidRDefault="00292800" w:rsidP="00292800">
      <w:pPr>
        <w:pStyle w:val="OrderBody"/>
        <w:rPr>
          <w:b/>
        </w:rPr>
      </w:pPr>
      <w:r>
        <w:rPr>
          <w:b/>
        </w:rPr>
        <w:t>Issue 1:</w:t>
      </w:r>
      <w:r w:rsidR="006719EE">
        <w:rPr>
          <w:b/>
        </w:rPr>
        <w:t xml:space="preserve"> </w:t>
      </w:r>
      <w:r>
        <w:rPr>
          <w:b/>
        </w:rPr>
        <w:t>The need for the rate increases in the Settlement Agreement.</w:t>
      </w:r>
    </w:p>
    <w:p w14:paraId="62FA0F81" w14:textId="77777777" w:rsidR="00292800" w:rsidRDefault="00292800" w:rsidP="00292800">
      <w:pPr>
        <w:pStyle w:val="ListParagraph"/>
        <w:jc w:val="both"/>
      </w:pPr>
    </w:p>
    <w:p w14:paraId="7E36FBD7" w14:textId="51AF1643" w:rsidR="00DD6B2D" w:rsidRPr="00DD6B2D" w:rsidRDefault="00DD6B2D" w:rsidP="00292800">
      <w:pPr>
        <w:pStyle w:val="ListParagraph"/>
        <w:ind w:left="0"/>
        <w:jc w:val="both"/>
      </w:pPr>
      <w:r>
        <w:tab/>
        <w:t>In the original filing, FPL requested a comprehensive base r</w:t>
      </w:r>
      <w:r w:rsidR="000D0AD4">
        <w:t>evenue</w:t>
      </w:r>
      <w:r>
        <w:t xml:space="preserve"> increase in 2022</w:t>
      </w:r>
      <w:r w:rsidR="000D0AD4">
        <w:t xml:space="preserve"> of $1.108 billion</w:t>
      </w:r>
      <w:r>
        <w:t>, a s</w:t>
      </w:r>
      <w:r w:rsidR="000D0AD4">
        <w:t>ubsequent year adjustment</w:t>
      </w:r>
      <w:r>
        <w:t xml:space="preserve"> in 2023</w:t>
      </w:r>
      <w:r w:rsidR="000D0AD4">
        <w:t xml:space="preserve"> of $607 million</w:t>
      </w:r>
      <w:r>
        <w:t>, and adjustments in 2024 and 2025 solely for solar generation (discussed below in Issue 5, Solar Base Rate Adjustment). Capital initiatives account for most of the requested increase</w:t>
      </w:r>
      <w:r w:rsidR="000D0AD4">
        <w:t>s in 2022 and 2023</w:t>
      </w:r>
      <w:r>
        <w:t>, with inflation</w:t>
      </w:r>
      <w:r w:rsidR="000D0AD4">
        <w:t>, customer growth,</w:t>
      </w:r>
      <w:r>
        <w:t xml:space="preserve"> and changes in the weighted average cost of capital also </w:t>
      </w:r>
      <w:r w:rsidR="000D0AD4">
        <w:t>affecting</w:t>
      </w:r>
      <w:r>
        <w:t xml:space="preserve"> to the total. The capital initiatives include improvements to reliability, upgrades and additions to the generation fleet, and hardening infrastructure. </w:t>
      </w:r>
      <w:r>
        <w:rPr>
          <w:i/>
        </w:rPr>
        <w:t>Id.</w:t>
      </w:r>
      <w:r>
        <w:t xml:space="preserve"> </w:t>
      </w:r>
    </w:p>
    <w:p w14:paraId="636F20C8" w14:textId="77777777" w:rsidR="00DD6B2D" w:rsidRDefault="00DD6B2D" w:rsidP="00292800">
      <w:pPr>
        <w:pStyle w:val="ListParagraph"/>
        <w:ind w:left="0"/>
        <w:jc w:val="both"/>
      </w:pPr>
    </w:p>
    <w:p w14:paraId="2E31B8DB" w14:textId="08C1ED0E" w:rsidR="00292800" w:rsidRDefault="00DD6B2D" w:rsidP="00292800">
      <w:pPr>
        <w:pStyle w:val="ListParagraph"/>
        <w:ind w:left="0"/>
        <w:jc w:val="both"/>
      </w:pPr>
      <w:r>
        <w:tab/>
      </w:r>
      <w:r w:rsidR="00292800">
        <w:t>The 2021 Settlement</w:t>
      </w:r>
      <w:r w:rsidR="000D0AD4">
        <w:t xml:space="preserve"> lowers the rate increase</w:t>
      </w:r>
      <w:r w:rsidR="00E146CA">
        <w:t>s</w:t>
      </w:r>
      <w:r w:rsidR="000D0AD4">
        <w:t xml:space="preserve"> originally proposed by FPL. The Agreement</w:t>
      </w:r>
      <w:r w:rsidR="00292800">
        <w:t xml:space="preserve"> authorizes FPL to increase its base rates and service charges effective January 1, 2022, to generate an additional $692 million of annual revenue.  The 2021 Settlement further authorizes FPL to increase its base rates and service charges effective January 1, 2023, to generate an additional $560 million of annual revenue.</w:t>
      </w:r>
    </w:p>
    <w:p w14:paraId="448D801A" w14:textId="77777777" w:rsidR="00292800" w:rsidRDefault="00292800" w:rsidP="00292800">
      <w:pPr>
        <w:pStyle w:val="ListParagraph"/>
        <w:ind w:left="0"/>
        <w:jc w:val="both"/>
      </w:pPr>
      <w:r>
        <w:t xml:space="preserve"> </w:t>
      </w:r>
    </w:p>
    <w:p w14:paraId="0378376C" w14:textId="2F79A0CF" w:rsidR="00292800" w:rsidRDefault="00292800" w:rsidP="00292800">
      <w:pPr>
        <w:pStyle w:val="ListParagraph"/>
        <w:ind w:left="0"/>
        <w:jc w:val="both"/>
      </w:pPr>
      <w:r>
        <w:tab/>
        <w:t>FAIR asserts that th</w:t>
      </w:r>
      <w:r w:rsidR="0018501F">
        <w:t>e</w:t>
      </w:r>
      <w:r>
        <w:t xml:space="preserve"> increase</w:t>
      </w:r>
      <w:r w:rsidR="0018501F">
        <w:t xml:space="preserve"> proposed in the 2021 Settlement</w:t>
      </w:r>
      <w:r>
        <w:t xml:space="preserve"> – the largest (by dollar amount) in history for an investor-owned Florida utility – imposes rates that are unfair, unjust, and unreasonable because they exceed the level that FPL needs to fulfill its duty of providing safe and reliable service at the lowest possible cost. FAIR </w:t>
      </w:r>
      <w:r w:rsidR="00486990">
        <w:t xml:space="preserve">Witness Herndon testified that </w:t>
      </w:r>
      <w:r>
        <w:t>FPL can provide services at its current (2021) rates, and that only modest rate increases during the term of the 2021 Settlement</w:t>
      </w:r>
      <w:r w:rsidR="00425BE4">
        <w:t xml:space="preserve"> (</w:t>
      </w:r>
      <w:r w:rsidR="003A5967">
        <w:t xml:space="preserve">Settlement </w:t>
      </w:r>
      <w:r w:rsidR="00425BE4">
        <w:t xml:space="preserve">Term) </w:t>
      </w:r>
      <w:r>
        <w:t>are justified. Florida Rising argues that FPL’s rate base has quadrupled in sixteen years (2010-2025) and that the current increase in base rates reflects this continuing overspending pattern.</w:t>
      </w:r>
    </w:p>
    <w:p w14:paraId="35F2D2C6" w14:textId="561CEB01" w:rsidR="00292800" w:rsidRDefault="00292800" w:rsidP="00292800">
      <w:pPr>
        <w:pStyle w:val="ListParagraph"/>
        <w:ind w:left="0"/>
        <w:jc w:val="both"/>
      </w:pPr>
    </w:p>
    <w:p w14:paraId="090403EA" w14:textId="5C9E3E10" w:rsidR="0018501F" w:rsidRPr="00E32CE5" w:rsidRDefault="00292800" w:rsidP="00292800">
      <w:pPr>
        <w:pStyle w:val="ListParagraph"/>
        <w:ind w:left="0"/>
        <w:jc w:val="both"/>
      </w:pPr>
      <w:r>
        <w:tab/>
      </w:r>
      <w:r w:rsidR="0018501F">
        <w:t>In support of the need for the requested rate increases, FPL</w:t>
      </w:r>
      <w:r w:rsidR="00E146CA">
        <w:t xml:space="preserve"> presented testimony</w:t>
      </w:r>
      <w:r w:rsidR="0018501F">
        <w:t xml:space="preserve"> that its 2022 test year jurisdictional adjusted ROE is projected</w:t>
      </w:r>
      <w:r w:rsidR="00E146CA">
        <w:t xml:space="preserve"> to be</w:t>
      </w:r>
      <w:r w:rsidR="0018501F">
        <w:t xml:space="preserve"> 8.40 percent. This ROE is below the bottom of the currently-authorized ROE range. </w:t>
      </w:r>
      <w:r w:rsidR="0018501F">
        <w:rPr>
          <w:i/>
        </w:rPr>
        <w:t>Id.</w:t>
      </w:r>
      <w:r w:rsidR="0018501F">
        <w:t xml:space="preserve"> FPL’s projected 2023 jurisdictional ROE is projected to be 7.03 percent, also below the bottom of </w:t>
      </w:r>
      <w:r w:rsidR="00E146CA">
        <w:t>F</w:t>
      </w:r>
      <w:r w:rsidR="0018501F">
        <w:t xml:space="preserve">PL’s currently-authorized ranged. </w:t>
      </w:r>
      <w:r w:rsidR="003F5B4A">
        <w:t>Accordingly, continues FPL, the rate increases are necessary to ensure a fair return within the authorized range.</w:t>
      </w:r>
    </w:p>
    <w:p w14:paraId="3A7F2140" w14:textId="77777777" w:rsidR="0018501F" w:rsidRDefault="0018501F" w:rsidP="00292800">
      <w:pPr>
        <w:pStyle w:val="ListParagraph"/>
        <w:ind w:left="0"/>
        <w:jc w:val="both"/>
        <w:rPr>
          <w:i/>
        </w:rPr>
      </w:pPr>
    </w:p>
    <w:p w14:paraId="2B571FF6" w14:textId="25BECD65" w:rsidR="001C1ED4" w:rsidRDefault="0018501F" w:rsidP="00292800">
      <w:pPr>
        <w:pStyle w:val="ListParagraph"/>
        <w:ind w:left="0"/>
        <w:jc w:val="both"/>
      </w:pPr>
      <w:r>
        <w:rPr>
          <w:i/>
        </w:rPr>
        <w:tab/>
      </w:r>
      <w:r w:rsidR="00292800">
        <w:t>FPL notes that the base rate increases in the 2021 Settlement represent a $383 million reduction from FPL’s original request for 2022 base rates, and a $45 million reduction from the request for 2023.</w:t>
      </w:r>
      <w:r w:rsidR="00E447E2">
        <w:rPr>
          <w:rStyle w:val="FootnoteReference"/>
        </w:rPr>
        <w:footnoteReference w:id="21"/>
      </w:r>
      <w:r w:rsidR="00292800">
        <w:t xml:space="preserve"> FPL argues that even with the rate increases set forth in the 2021 Settlement, its typical residential customer bills remain twenty percent below the national average, and will remain stable and predictable over the </w:t>
      </w:r>
      <w:r w:rsidR="003A5967">
        <w:t xml:space="preserve">Settlement </w:t>
      </w:r>
      <w:r w:rsidR="00425BE4">
        <w:t>Term</w:t>
      </w:r>
      <w:r w:rsidR="00292800">
        <w:t xml:space="preserve">. </w:t>
      </w:r>
    </w:p>
    <w:p w14:paraId="13D59ABD" w14:textId="4F2AEFFD" w:rsidR="00292800" w:rsidRDefault="00292800" w:rsidP="00292800">
      <w:pPr>
        <w:pStyle w:val="ListParagraph"/>
        <w:ind w:left="0"/>
        <w:jc w:val="both"/>
      </w:pPr>
    </w:p>
    <w:p w14:paraId="049E028E" w14:textId="77777777" w:rsidR="00292800" w:rsidRDefault="00B73171" w:rsidP="00292800">
      <w:pPr>
        <w:pStyle w:val="ListParagraph"/>
        <w:ind w:left="0"/>
        <w:jc w:val="both"/>
      </w:pPr>
      <w:r>
        <w:tab/>
        <w:t xml:space="preserve">The common theme among Intervenors’ arguments is that </w:t>
      </w:r>
      <w:r w:rsidR="00292800">
        <w:t>FPL can provide reliable service to its customers a</w:t>
      </w:r>
      <w:r w:rsidR="00636F89">
        <w:t>t a far lower cost</w:t>
      </w:r>
      <w:r w:rsidR="00486990">
        <w:t xml:space="preserve"> than requested</w:t>
      </w:r>
      <w:r w:rsidR="0095471B">
        <w:t xml:space="preserve"> in the 2021 Settlement</w:t>
      </w:r>
      <w:r w:rsidR="00636F89">
        <w:t>. FPL’s response</w:t>
      </w:r>
      <w:r w:rsidR="00292800">
        <w:t xml:space="preserve"> is that the entire financial and capital structure it has proposed – includi</w:t>
      </w:r>
      <w:r w:rsidR="002823C3">
        <w:t>ng the base rate increase</w:t>
      </w:r>
      <w:r w:rsidR="00292800">
        <w:t>s – is necessary for it to continue providing current levels of service and value at a reasonable cost.</w:t>
      </w:r>
    </w:p>
    <w:p w14:paraId="3CD4B669" w14:textId="77777777" w:rsidR="00292800" w:rsidRDefault="00292800" w:rsidP="00292800">
      <w:pPr>
        <w:pStyle w:val="ListParagraph"/>
        <w:ind w:left="0"/>
        <w:jc w:val="both"/>
      </w:pPr>
    </w:p>
    <w:p w14:paraId="4766B628" w14:textId="23DA674C" w:rsidR="00292800" w:rsidRDefault="00292800" w:rsidP="00292800">
      <w:pPr>
        <w:pStyle w:val="ListParagraph"/>
        <w:ind w:left="0"/>
        <w:jc w:val="both"/>
      </w:pPr>
      <w:r>
        <w:tab/>
      </w:r>
      <w:r w:rsidR="00BA715C">
        <w:t>V</w:t>
      </w:r>
      <w:r>
        <w:t>irtually all of the operative provisions of the 2021 Settlement and the projects that are being placed into rate base are not new.</w:t>
      </w:r>
      <w:r w:rsidR="00E91775">
        <w:rPr>
          <w:rStyle w:val="FootnoteReference"/>
        </w:rPr>
        <w:footnoteReference w:id="22"/>
      </w:r>
      <w:r>
        <w:t xml:space="preserve"> With the exception of the Pilot Programs discussed below under Issue 7 and the minimum bill, every mechanism in the 2021 Settlement is a continuation, expansion, or modification of a prior approval. The requested debt to equity ratio is unchange</w:t>
      </w:r>
      <w:r w:rsidR="00B73171">
        <w:t>d. Because FPL is continuing an</w:t>
      </w:r>
      <w:r w:rsidR="00F25056">
        <w:t xml:space="preserve"> existing path</w:t>
      </w:r>
      <w:r w:rsidR="00C2274D">
        <w:t xml:space="preserve">, </w:t>
      </w:r>
      <w:r w:rsidR="00E146CA">
        <w:t>we first examine</w:t>
      </w:r>
      <w:r w:rsidR="00626683">
        <w:t xml:space="preserve"> existing rates and utility operations</w:t>
      </w:r>
      <w:r>
        <w:t xml:space="preserve">. </w:t>
      </w:r>
      <w:r w:rsidR="00626683">
        <w:t xml:space="preserve">While </w:t>
      </w:r>
      <w:r w:rsidR="00E146CA">
        <w:t xml:space="preserve">we must pass on </w:t>
      </w:r>
      <w:r w:rsidR="00626683">
        <w:t xml:space="preserve">each proposal </w:t>
      </w:r>
      <w:r w:rsidR="003F5B4A">
        <w:t>on its merits on the record before us, an examination of utility performance under prior approvals can educate our decision-making.</w:t>
      </w:r>
    </w:p>
    <w:p w14:paraId="4A66F878" w14:textId="77777777" w:rsidR="00292800" w:rsidRDefault="00292800" w:rsidP="00292800">
      <w:pPr>
        <w:pStyle w:val="ListParagraph"/>
        <w:ind w:left="0"/>
        <w:jc w:val="both"/>
      </w:pPr>
    </w:p>
    <w:p w14:paraId="6B56E88F" w14:textId="33E18A89" w:rsidR="00292800" w:rsidRDefault="00292800" w:rsidP="00292800">
      <w:pPr>
        <w:pStyle w:val="ListParagraph"/>
        <w:ind w:left="0"/>
        <w:jc w:val="both"/>
      </w:pPr>
      <w:r>
        <w:tab/>
        <w:t xml:space="preserve">In making this </w:t>
      </w:r>
      <w:r w:rsidR="00626683">
        <w:t>observation</w:t>
      </w:r>
      <w:r>
        <w:t>, we are guided by Section 366.06(1), F.S.:</w:t>
      </w:r>
    </w:p>
    <w:p w14:paraId="0024B568" w14:textId="77777777" w:rsidR="00292800" w:rsidRDefault="00292800" w:rsidP="00292800"/>
    <w:p w14:paraId="1B500936" w14:textId="77777777" w:rsidR="00292800" w:rsidRPr="00963E50" w:rsidRDefault="00292800" w:rsidP="00292800">
      <w:pPr>
        <w:ind w:left="720" w:right="720"/>
        <w:jc w:val="both"/>
      </w:pPr>
      <w:r w:rsidRPr="00963E50">
        <w:rPr>
          <w:shd w:val="clear" w:color="auto" w:fill="FFFFFF"/>
        </w:rPr>
        <w:t>In fixing fair, just, and reasonable rates for each customer class, the commission shall, to the extent practicable, consider the cost of providing service to the class, as well as the rate history, value of service, and experience of the public utility; the consumption and load characteristics of the various classes of customers; and public acceptance of rate structures.</w:t>
      </w:r>
    </w:p>
    <w:p w14:paraId="687E1975" w14:textId="77777777" w:rsidR="00292800" w:rsidRPr="00963E50" w:rsidRDefault="00292800" w:rsidP="00292800">
      <w:pPr>
        <w:ind w:left="720" w:right="720"/>
      </w:pPr>
    </w:p>
    <w:p w14:paraId="48A3989C" w14:textId="77777777" w:rsidR="00B26423" w:rsidRPr="00B91A77" w:rsidRDefault="00292800" w:rsidP="00907009">
      <w:pPr>
        <w:autoSpaceDE w:val="0"/>
        <w:autoSpaceDN w:val="0"/>
        <w:adjustRightInd w:val="0"/>
        <w:jc w:val="both"/>
        <w:rPr>
          <w:shd w:val="clear" w:color="auto" w:fill="FFFFFF"/>
        </w:rPr>
      </w:pPr>
      <w:r>
        <w:t>In this</w:t>
      </w:r>
      <w:r w:rsidRPr="00015BFD">
        <w:t xml:space="preserve"> same statute, the Legislature has directed us to </w:t>
      </w:r>
      <w:r>
        <w:t>“</w:t>
      </w:r>
      <w:r w:rsidRPr="00015BFD">
        <w:t xml:space="preserve">consider </w:t>
      </w:r>
      <w:r w:rsidRPr="00015BFD">
        <w:rPr>
          <w:color w:val="000000"/>
        </w:rPr>
        <w:t xml:space="preserve">the </w:t>
      </w:r>
      <w:r w:rsidRPr="00DC3D6E">
        <w:rPr>
          <w:i/>
          <w:color w:val="000000"/>
        </w:rPr>
        <w:t>cost</w:t>
      </w:r>
      <w:r w:rsidRPr="00015BFD">
        <w:rPr>
          <w:color w:val="000000"/>
        </w:rPr>
        <w:t xml:space="preserve"> of providing service</w:t>
      </w:r>
      <w:r>
        <w:rPr>
          <w:color w:val="000000"/>
        </w:rPr>
        <w:t xml:space="preserve"> to the class, as well as . . . </w:t>
      </w:r>
      <w:r w:rsidRPr="00015BFD">
        <w:rPr>
          <w:color w:val="000000"/>
        </w:rPr>
        <w:t xml:space="preserve">the </w:t>
      </w:r>
      <w:r w:rsidRPr="00907009">
        <w:rPr>
          <w:i/>
          <w:color w:val="000000"/>
        </w:rPr>
        <w:t>value</w:t>
      </w:r>
      <w:r w:rsidRPr="00015BFD">
        <w:rPr>
          <w:color w:val="000000"/>
        </w:rPr>
        <w:t xml:space="preserve"> of service.”</w:t>
      </w:r>
      <w:r w:rsidR="004D17AD">
        <w:rPr>
          <w:rStyle w:val="FootnoteReference"/>
          <w:color w:val="000000"/>
        </w:rPr>
        <w:footnoteReference w:id="23"/>
      </w:r>
      <w:r w:rsidR="0095471B">
        <w:rPr>
          <w:color w:val="000000"/>
        </w:rPr>
        <w:t xml:space="preserve"> Because </w:t>
      </w:r>
      <w:r w:rsidR="005E3FB0">
        <w:rPr>
          <w:color w:val="000000"/>
        </w:rPr>
        <w:t>Chapter 366, Florida Statutes, does not define “cost” or “value</w:t>
      </w:r>
      <w:r w:rsidR="0095471B">
        <w:rPr>
          <w:color w:val="000000"/>
        </w:rPr>
        <w:t>,</w:t>
      </w:r>
      <w:r w:rsidR="005E3FB0">
        <w:rPr>
          <w:color w:val="000000"/>
        </w:rPr>
        <w:t>”</w:t>
      </w:r>
      <w:r w:rsidR="009440A2">
        <w:rPr>
          <w:color w:val="000000"/>
        </w:rPr>
        <w:t xml:space="preserve"> </w:t>
      </w:r>
      <w:r w:rsidR="005E3FB0">
        <w:rPr>
          <w:color w:val="000000"/>
        </w:rPr>
        <w:t xml:space="preserve">we look to dictionary definitions to ascertain the plain and ordinary meaning of </w:t>
      </w:r>
      <w:r w:rsidR="00D154E0">
        <w:rPr>
          <w:color w:val="000000"/>
        </w:rPr>
        <w:t>“cost” and “value</w:t>
      </w:r>
      <w:r w:rsidR="005E3FB0">
        <w:rPr>
          <w:color w:val="000000"/>
        </w:rPr>
        <w:t>.</w:t>
      </w:r>
      <w:r w:rsidR="00D154E0">
        <w:rPr>
          <w:color w:val="000000"/>
        </w:rPr>
        <w:t>”</w:t>
      </w:r>
      <w:r w:rsidR="0095471B" w:rsidRPr="0095471B">
        <w:rPr>
          <w:rStyle w:val="FootnoteReference"/>
        </w:rPr>
        <w:t xml:space="preserve"> </w:t>
      </w:r>
      <w:r w:rsidR="0095471B" w:rsidRPr="005E3FB0">
        <w:rPr>
          <w:rStyle w:val="FootnoteReference"/>
        </w:rPr>
        <w:footnoteReference w:id="24"/>
      </w:r>
      <w:r w:rsidR="0095471B">
        <w:rPr>
          <w:color w:val="000000"/>
        </w:rPr>
        <w:t xml:space="preserve"> </w:t>
      </w:r>
      <w:r>
        <w:rPr>
          <w:color w:val="000000"/>
        </w:rPr>
        <w:t>“</w:t>
      </w:r>
      <w:r w:rsidRPr="00E253F9">
        <w:rPr>
          <w:color w:val="000000"/>
        </w:rPr>
        <w:t>Cost” is defined as “</w:t>
      </w:r>
      <w:r w:rsidRPr="00E253F9">
        <w:rPr>
          <w:color w:val="212529"/>
          <w:shd w:val="clear" w:color="auto" w:fill="FFFFFF"/>
        </w:rPr>
        <w:t>the amount or equivalent paid or charged for something.”</w:t>
      </w:r>
      <w:r w:rsidRPr="00E253F9">
        <w:rPr>
          <w:rStyle w:val="FootnoteReference"/>
          <w:color w:val="212529"/>
          <w:shd w:val="clear" w:color="auto" w:fill="FFFFFF"/>
        </w:rPr>
        <w:footnoteReference w:id="25"/>
      </w:r>
      <w:r w:rsidRPr="00E253F9">
        <w:rPr>
          <w:color w:val="212529"/>
          <w:shd w:val="clear" w:color="auto" w:fill="FFFFFF"/>
        </w:rPr>
        <w:t xml:space="preserve"> </w:t>
      </w:r>
      <w:r>
        <w:rPr>
          <w:color w:val="000000"/>
        </w:rPr>
        <w:t>“</w:t>
      </w:r>
      <w:r w:rsidR="0095471B">
        <w:rPr>
          <w:color w:val="000000"/>
        </w:rPr>
        <w:t>V</w:t>
      </w:r>
      <w:r>
        <w:rPr>
          <w:color w:val="000000"/>
        </w:rPr>
        <w:t>alue” is</w:t>
      </w:r>
      <w:r w:rsidR="0095471B">
        <w:rPr>
          <w:color w:val="000000"/>
        </w:rPr>
        <w:t xml:space="preserve"> defined as</w:t>
      </w:r>
      <w:r>
        <w:rPr>
          <w:color w:val="000000"/>
        </w:rPr>
        <w:t xml:space="preserve"> </w:t>
      </w:r>
      <w:r w:rsidRPr="00E253F9">
        <w:rPr>
          <w:color w:val="212529"/>
          <w:shd w:val="clear" w:color="auto" w:fill="FFFFFF"/>
        </w:rPr>
        <w:t>“relative worth, utility, or importance</w:t>
      </w:r>
      <w:r>
        <w:rPr>
          <w:color w:val="212529"/>
          <w:shd w:val="clear" w:color="auto" w:fill="FFFFFF"/>
        </w:rPr>
        <w:t>.</w:t>
      </w:r>
      <w:r w:rsidRPr="00E253F9">
        <w:rPr>
          <w:color w:val="212529"/>
          <w:shd w:val="clear" w:color="auto" w:fill="FFFFFF"/>
        </w:rPr>
        <w:t>”</w:t>
      </w:r>
      <w:r>
        <w:rPr>
          <w:rStyle w:val="FootnoteReference"/>
          <w:color w:val="212529"/>
          <w:shd w:val="clear" w:color="auto" w:fill="FFFFFF"/>
        </w:rPr>
        <w:footnoteReference w:id="26"/>
      </w:r>
    </w:p>
    <w:p w14:paraId="47228338" w14:textId="77777777" w:rsidR="00292800" w:rsidRDefault="00292800" w:rsidP="00292800">
      <w:pPr>
        <w:pStyle w:val="ListParagraph"/>
        <w:ind w:left="0"/>
        <w:jc w:val="both"/>
      </w:pPr>
    </w:p>
    <w:p w14:paraId="1210E06D" w14:textId="0CB98CA7" w:rsidR="00292800" w:rsidRDefault="00292800" w:rsidP="00292800">
      <w:pPr>
        <w:pStyle w:val="ListParagraph"/>
        <w:ind w:left="0"/>
        <w:jc w:val="both"/>
      </w:pPr>
      <w:r>
        <w:tab/>
        <w:t>The</w:t>
      </w:r>
      <w:r w:rsidR="00B26423">
        <w:t xml:space="preserve"> evidence in this record demonstrates that FPL has delivered value to its customers at a relatively low cost.</w:t>
      </w:r>
      <w:r w:rsidR="00226BD4">
        <w:t xml:space="preserve"> Residential rates remain well below the national average</w:t>
      </w:r>
      <w:r w:rsidR="00D86B5D">
        <w:rPr>
          <w:rStyle w:val="FootnoteReference"/>
        </w:rPr>
        <w:footnoteReference w:id="27"/>
      </w:r>
      <w:r w:rsidR="00226BD4">
        <w:t xml:space="preserve"> a</w:t>
      </w:r>
      <w:r w:rsidR="00C2274D">
        <w:t>nd below those charged by other</w:t>
      </w:r>
      <w:r w:rsidR="00226BD4">
        <w:t xml:space="preserve"> Florida investor</w:t>
      </w:r>
      <w:r w:rsidR="00507D8E">
        <w:t>-</w:t>
      </w:r>
      <w:r w:rsidR="00226BD4">
        <w:t>owned-utilities.</w:t>
      </w:r>
      <w:r w:rsidR="00D86B5D">
        <w:t xml:space="preserve"> The capabilities of the FPL fleet, while characterized by Florid</w:t>
      </w:r>
      <w:r w:rsidR="00EB3682">
        <w:t>a Rising as “overbuilt,” result</w:t>
      </w:r>
      <w:r w:rsidR="00D86B5D">
        <w:t xml:space="preserve"> in lower operation and maintenance expenses and a high degree of reliability</w:t>
      </w:r>
      <w:r w:rsidR="00B31937">
        <w:rPr>
          <w:rStyle w:val="FootnoteReference"/>
        </w:rPr>
        <w:footnoteReference w:id="28"/>
      </w:r>
      <w:r w:rsidR="00D86B5D">
        <w:t xml:space="preserve"> while maintaining relatively low base rates.</w:t>
      </w:r>
      <w:r w:rsidR="00F37094">
        <w:t xml:space="preserve"> </w:t>
      </w:r>
      <w:r w:rsidR="00AC02AB">
        <w:t xml:space="preserve">And while </w:t>
      </w:r>
      <w:r w:rsidR="00F25056">
        <w:t>FAIR Witness Mac Mathuna offered an expert opinion</w:t>
      </w:r>
      <w:r w:rsidR="00A96941">
        <w:t xml:space="preserve"> that FPL could deliver this</w:t>
      </w:r>
      <w:r w:rsidR="00AE2157">
        <w:t xml:space="preserve"> same reliable and safe service at lower rates than those requested in the 2021 Settlement</w:t>
      </w:r>
      <w:r w:rsidR="00EB3682">
        <w:t xml:space="preserve">, </w:t>
      </w:r>
      <w:r w:rsidR="00F37094">
        <w:t xml:space="preserve">we find </w:t>
      </w:r>
      <w:r w:rsidR="00A96941">
        <w:t xml:space="preserve">more </w:t>
      </w:r>
      <w:r w:rsidR="00F37094">
        <w:t>persuasive the evidence presented</w:t>
      </w:r>
      <w:r w:rsidR="00A96941">
        <w:t xml:space="preserve"> by FPL that the rate increases proposed in the 2021 Settlement Agreement are </w:t>
      </w:r>
      <w:r w:rsidR="004C193A">
        <w:t xml:space="preserve">needed to maintain an ROE in the authorized range, are </w:t>
      </w:r>
      <w:r w:rsidR="00A96941">
        <w:t>based on a sound analysis of current and projected conditions in light of historical performance, and result in rates that are fair, just, and reasonable</w:t>
      </w:r>
      <w:r w:rsidR="00DB2DAF">
        <w:t>.</w:t>
      </w:r>
      <w:r w:rsidR="003E3F40">
        <w:rPr>
          <w:rStyle w:val="FootnoteReference"/>
        </w:rPr>
        <w:footnoteReference w:id="29"/>
      </w:r>
      <w:r w:rsidR="00E146CA">
        <w:t xml:space="preserve"> We also note that these amounts were reduced from the original ask and are the result of compromise among the Signatories.</w:t>
      </w:r>
    </w:p>
    <w:p w14:paraId="2C7E6A59" w14:textId="77777777" w:rsidR="00E56223" w:rsidRDefault="00E56223" w:rsidP="00292800">
      <w:pPr>
        <w:pStyle w:val="ListParagraph"/>
        <w:ind w:left="0"/>
        <w:jc w:val="both"/>
      </w:pPr>
    </w:p>
    <w:p w14:paraId="08C2AD61" w14:textId="77777777" w:rsidR="00292800" w:rsidRDefault="00292800" w:rsidP="00292800">
      <w:pPr>
        <w:pStyle w:val="ListParagraph"/>
        <w:ind w:left="0"/>
        <w:jc w:val="both"/>
      </w:pPr>
      <w:r>
        <w:rPr>
          <w:b/>
        </w:rPr>
        <w:t>Issue 2:</w:t>
      </w:r>
      <w:r w:rsidR="003230AB">
        <w:rPr>
          <w:b/>
        </w:rPr>
        <w:t xml:space="preserve"> </w:t>
      </w:r>
      <w:r>
        <w:rPr>
          <w:b/>
        </w:rPr>
        <w:t>Return on Equity Range</w:t>
      </w:r>
    </w:p>
    <w:p w14:paraId="2F821BEF" w14:textId="77777777" w:rsidR="00292800" w:rsidRDefault="00292800" w:rsidP="00292800">
      <w:pPr>
        <w:pStyle w:val="ListParagraph"/>
        <w:jc w:val="both"/>
      </w:pPr>
    </w:p>
    <w:p w14:paraId="2D76746B" w14:textId="43EC3692" w:rsidR="00292800" w:rsidRDefault="00292800" w:rsidP="00292800">
      <w:pPr>
        <w:pStyle w:val="ListParagraph"/>
        <w:ind w:left="0"/>
        <w:jc w:val="both"/>
      </w:pPr>
      <w:r>
        <w:tab/>
        <w:t>The 2021 Settlement sets the regulatory return on common equity (ROE) at 10.6</w:t>
      </w:r>
      <w:r w:rsidR="003525AE">
        <w:t xml:space="preserve"> percent</w:t>
      </w:r>
      <w:r>
        <w:t xml:space="preserve"> for all purposes, with an authorized ROE range of 9.7</w:t>
      </w:r>
      <w:r w:rsidR="003525AE">
        <w:t xml:space="preserve"> percent</w:t>
      </w:r>
      <w:r>
        <w:t xml:space="preserve"> to 11.7</w:t>
      </w:r>
      <w:r w:rsidR="003525AE">
        <w:t xml:space="preserve"> percent</w:t>
      </w:r>
      <w:r>
        <w:t xml:space="preserve">.  </w:t>
      </w:r>
      <w:r w:rsidR="001A75D0">
        <w:t xml:space="preserve">This range is 90 </w:t>
      </w:r>
      <w:r w:rsidR="00612615">
        <w:t xml:space="preserve">basis </w:t>
      </w:r>
      <w:r w:rsidR="001A75D0">
        <w:t xml:space="preserve">points below the request contained in FPL’s original rate filing. </w:t>
      </w:r>
      <w:r>
        <w:t>If, at any time during the Term, but no more than once during the Term, the average 30-year United States Treasury Bond yield rate for any period of six consecutive months is at least 50 basis points greater than the yield rate on the date that the 2021 Settlement is filed with the Commission (Trigger), after filing notice with the Commission, FPL’s authorized ROE shall be increased by 20 basis points to be within a range of 9.8</w:t>
      </w:r>
      <w:r w:rsidR="003525AE">
        <w:t xml:space="preserve"> percent</w:t>
      </w:r>
      <w:r>
        <w:t xml:space="preserve"> to 11.8</w:t>
      </w:r>
      <w:r w:rsidR="003525AE">
        <w:t xml:space="preserve"> percent</w:t>
      </w:r>
      <w:r>
        <w:t>, with a mid-point of 10.8</w:t>
      </w:r>
      <w:r w:rsidR="003525AE">
        <w:t xml:space="preserve"> percent</w:t>
      </w:r>
      <w:r>
        <w:t>.  This rate shall remain in effect from the Trigger date through the remainder of the Term, for any period in which FPL’s rates continue in effect after December 31, 2025, and/or until a final order is issued in a future proceeding changing FPL’s rates and its authorized ROE.</w:t>
      </w:r>
    </w:p>
    <w:p w14:paraId="345D097C" w14:textId="77777777" w:rsidR="00292800" w:rsidRDefault="00292800" w:rsidP="00292800">
      <w:pPr>
        <w:pStyle w:val="ListParagraph"/>
        <w:ind w:left="0"/>
        <w:jc w:val="both"/>
      </w:pPr>
    </w:p>
    <w:p w14:paraId="7041A100" w14:textId="01B840BC" w:rsidR="00292800" w:rsidRDefault="00292800" w:rsidP="00292800">
      <w:pPr>
        <w:pStyle w:val="ListParagraph"/>
        <w:ind w:left="0"/>
        <w:jc w:val="both"/>
        <w:rPr>
          <w:rFonts w:eastAsiaTheme="minorHAnsi"/>
        </w:rPr>
      </w:pPr>
      <w:r>
        <w:tab/>
        <w:t>Florida Rising contends that this ROE is out-of-step with national trends. Citing the testimony of OPC Witness Woolridge, Florida Rising notes that the average authorized ROE for electric companies from 2000-2020 have slowly d</w:t>
      </w:r>
      <w:r w:rsidR="00216513">
        <w:t>ecreased from 12.5</w:t>
      </w:r>
      <w:r w:rsidR="003525AE">
        <w:t xml:space="preserve"> percent</w:t>
      </w:r>
      <w:r w:rsidR="00216513">
        <w:t xml:space="preserve"> to 9.39</w:t>
      </w:r>
      <w:r w:rsidR="006F0351">
        <w:t xml:space="preserve"> percent</w:t>
      </w:r>
      <w:r w:rsidR="00216513">
        <w:t>.</w:t>
      </w:r>
      <w:r w:rsidR="00883693">
        <w:t xml:space="preserve"> </w:t>
      </w:r>
      <w:r>
        <w:t>Florida Rising also notes that w</w:t>
      </w:r>
      <w:r>
        <w:rPr>
          <w:rFonts w:eastAsiaTheme="minorHAnsi"/>
        </w:rPr>
        <w:t>e approved a 9.85</w:t>
      </w:r>
      <w:r w:rsidR="003525AE">
        <w:t xml:space="preserve"> percent</w:t>
      </w:r>
      <w:r w:rsidR="003525AE" w:rsidDel="003525AE">
        <w:rPr>
          <w:rFonts w:eastAsiaTheme="minorHAnsi"/>
        </w:rPr>
        <w:t xml:space="preserve"> </w:t>
      </w:r>
      <w:r>
        <w:rPr>
          <w:rFonts w:eastAsiaTheme="minorHAnsi"/>
        </w:rPr>
        <w:t>ROE mid-point for Duke Energy Florida</w:t>
      </w:r>
      <w:r w:rsidR="000F48EE">
        <w:rPr>
          <w:rStyle w:val="FootnoteReference"/>
          <w:rFonts w:eastAsiaTheme="minorHAnsi"/>
        </w:rPr>
        <w:footnoteReference w:id="30"/>
      </w:r>
      <w:r>
        <w:rPr>
          <w:rFonts w:eastAsiaTheme="minorHAnsi"/>
        </w:rPr>
        <w:t xml:space="preserve"> and 9.95</w:t>
      </w:r>
      <w:r w:rsidR="003525AE">
        <w:t xml:space="preserve"> percent</w:t>
      </w:r>
      <w:r w:rsidR="003525AE" w:rsidDel="003525AE">
        <w:rPr>
          <w:rFonts w:eastAsiaTheme="minorHAnsi"/>
        </w:rPr>
        <w:t xml:space="preserve"> </w:t>
      </w:r>
      <w:r>
        <w:rPr>
          <w:rFonts w:eastAsiaTheme="minorHAnsi"/>
        </w:rPr>
        <w:t>for Tampa Electric Company</w:t>
      </w:r>
      <w:r w:rsidR="000E3B7D">
        <w:rPr>
          <w:rStyle w:val="FootnoteReference"/>
          <w:rFonts w:eastAsiaTheme="minorHAnsi"/>
        </w:rPr>
        <w:footnoteReference w:id="31"/>
      </w:r>
      <w:r>
        <w:rPr>
          <w:rFonts w:eastAsiaTheme="minorHAnsi"/>
        </w:rPr>
        <w:t xml:space="preserve"> in rate cases filed the same calendar year as FPL’s.</w:t>
      </w:r>
      <w:r w:rsidR="006510D5">
        <w:rPr>
          <w:rStyle w:val="FootnoteReference"/>
          <w:rFonts w:eastAsiaTheme="minorHAnsi"/>
        </w:rPr>
        <w:footnoteReference w:id="32"/>
      </w:r>
    </w:p>
    <w:p w14:paraId="20CA7DBB" w14:textId="77777777" w:rsidR="000F48EE" w:rsidRDefault="000F48EE" w:rsidP="00292800">
      <w:pPr>
        <w:pStyle w:val="ListParagraph"/>
        <w:ind w:left="0"/>
        <w:jc w:val="both"/>
        <w:rPr>
          <w:rFonts w:eastAsiaTheme="minorHAnsi"/>
        </w:rPr>
      </w:pPr>
    </w:p>
    <w:p w14:paraId="134624CF" w14:textId="2B74FBB1" w:rsidR="000F48EE" w:rsidRDefault="000F48EE" w:rsidP="00292800">
      <w:pPr>
        <w:pStyle w:val="ListParagraph"/>
        <w:ind w:left="0"/>
        <w:jc w:val="both"/>
      </w:pPr>
      <w:r>
        <w:rPr>
          <w:rFonts w:eastAsiaTheme="minorHAnsi"/>
        </w:rPr>
        <w:tab/>
        <w:t>FAIR argues that a fair and reasonable ROE for FPL would be between 8.50</w:t>
      </w:r>
      <w:r w:rsidR="003525AE">
        <w:t xml:space="preserve"> percent</w:t>
      </w:r>
      <w:r w:rsidR="003525AE" w:rsidDel="003525AE">
        <w:rPr>
          <w:rFonts w:eastAsiaTheme="minorHAnsi"/>
        </w:rPr>
        <w:t xml:space="preserve"> </w:t>
      </w:r>
      <w:r>
        <w:rPr>
          <w:rFonts w:eastAsiaTheme="minorHAnsi"/>
        </w:rPr>
        <w:t>and 9.55</w:t>
      </w:r>
      <w:r w:rsidR="003525AE">
        <w:t xml:space="preserve"> percent</w:t>
      </w:r>
      <w:r>
        <w:rPr>
          <w:rFonts w:eastAsiaTheme="minorHAnsi"/>
        </w:rPr>
        <w:t>, depending on the corresponding capital structure (equity to debt ratio).</w:t>
      </w:r>
      <w:r w:rsidR="006558D8">
        <w:rPr>
          <w:rFonts w:eastAsiaTheme="minorHAnsi"/>
        </w:rPr>
        <w:t xml:space="preserve"> FAIR Witness Mac Mathuna’s</w:t>
      </w:r>
      <w:r w:rsidR="00641925">
        <w:rPr>
          <w:rFonts w:eastAsiaTheme="minorHAnsi"/>
        </w:rPr>
        <w:t xml:space="preserve"> ultimate conclusion</w:t>
      </w:r>
      <w:r w:rsidR="006558D8">
        <w:rPr>
          <w:rFonts w:eastAsiaTheme="minorHAnsi"/>
        </w:rPr>
        <w:t xml:space="preserve"> is “that the fair and reasonable ROE for FPL should be set at 8.56</w:t>
      </w:r>
      <w:r w:rsidR="006F0351">
        <w:t xml:space="preserve"> percent</w:t>
      </w:r>
      <w:r w:rsidR="006F0351" w:rsidDel="006F0351">
        <w:rPr>
          <w:rFonts w:eastAsiaTheme="minorHAnsi"/>
        </w:rPr>
        <w:t xml:space="preserve"> </w:t>
      </w:r>
      <w:r w:rsidR="006558D8">
        <w:rPr>
          <w:rFonts w:eastAsiaTheme="minorHAnsi"/>
        </w:rPr>
        <w:t>and that FPL’s equity ratio should be set at 55.4 percent for purposes of setting FPL’s revenue requirements for 2022.”</w:t>
      </w:r>
      <w:r w:rsidR="00FC542F">
        <w:rPr>
          <w:rStyle w:val="FootnoteReference"/>
          <w:rFonts w:eastAsiaTheme="minorHAnsi"/>
        </w:rPr>
        <w:footnoteReference w:id="33"/>
      </w:r>
    </w:p>
    <w:p w14:paraId="04FEE3AF" w14:textId="77777777" w:rsidR="00292800" w:rsidRDefault="00292800" w:rsidP="00292800">
      <w:pPr>
        <w:pStyle w:val="ListParagraph"/>
        <w:ind w:left="0"/>
        <w:jc w:val="both"/>
      </w:pPr>
    </w:p>
    <w:p w14:paraId="417152D1" w14:textId="7B8FA8D2" w:rsidR="00292800" w:rsidRDefault="00292800" w:rsidP="00292800">
      <w:pPr>
        <w:pStyle w:val="ListParagraph"/>
        <w:ind w:left="0"/>
        <w:jc w:val="both"/>
        <w:rPr>
          <w:rFonts w:eastAsiaTheme="minorHAnsi"/>
        </w:rPr>
      </w:pPr>
      <w:r>
        <w:rPr>
          <w:rFonts w:eastAsiaTheme="minorHAnsi"/>
        </w:rPr>
        <w:tab/>
        <w:t>FPL argues that its infrastructure risk profile is higher than most other utilities and that a higher ROE is necessary to attract investment due to this volatility. One aspect of this risk is created by Florida’s geography and FPL’s territory. FPL territory includes much of the west and east coasts of Florida peninsula and now encompasses the former Gulf territory in the westernmost portions of the state’s panhandle. This expanse of low-lying coastline makes FPL’s territory especially vulnerable in the short term to tropical storm impacts and in the long-term to the effects of sea level rise. Based on current climate predictions, this risk is expected to increase. Additionally, nearly 40</w:t>
      </w:r>
      <w:r w:rsidR="003525AE">
        <w:t xml:space="preserve"> percent</w:t>
      </w:r>
      <w:r w:rsidR="003525AE" w:rsidDel="003525AE">
        <w:rPr>
          <w:rFonts w:eastAsiaTheme="minorHAnsi"/>
        </w:rPr>
        <w:t xml:space="preserve"> </w:t>
      </w:r>
      <w:r>
        <w:rPr>
          <w:rFonts w:eastAsiaTheme="minorHAnsi"/>
        </w:rPr>
        <w:t>of FPL’s customer accounts – 5.6 million – are located at the southern tip of the state in Miami-Dade and Broward Counties, the geography of which</w:t>
      </w:r>
      <w:r w:rsidRPr="00DD5EEA">
        <w:rPr>
          <w:rFonts w:eastAsiaTheme="minorHAnsi"/>
        </w:rPr>
        <w:t xml:space="preserve"> </w:t>
      </w:r>
      <w:r>
        <w:rPr>
          <w:rFonts w:eastAsiaTheme="minorHAnsi"/>
        </w:rPr>
        <w:t xml:space="preserve">heightens transmission and reliability challenges. </w:t>
      </w:r>
    </w:p>
    <w:p w14:paraId="3382F624" w14:textId="77777777" w:rsidR="00292800" w:rsidRDefault="00292800" w:rsidP="00292800">
      <w:pPr>
        <w:pStyle w:val="ListParagraph"/>
        <w:ind w:left="0"/>
        <w:jc w:val="both"/>
        <w:rPr>
          <w:rFonts w:eastAsiaTheme="minorHAnsi"/>
        </w:rPr>
      </w:pPr>
    </w:p>
    <w:p w14:paraId="4229913B" w14:textId="514C8463" w:rsidR="00292800" w:rsidRDefault="00292800" w:rsidP="00292800">
      <w:pPr>
        <w:pStyle w:val="ListParagraph"/>
        <w:ind w:left="0"/>
        <w:jc w:val="both"/>
        <w:rPr>
          <w:rFonts w:eastAsiaTheme="minorHAnsi"/>
        </w:rPr>
      </w:pPr>
      <w:r>
        <w:rPr>
          <w:rFonts w:eastAsiaTheme="minorHAnsi"/>
        </w:rPr>
        <w:tab/>
      </w:r>
      <w:r w:rsidR="00FB7290">
        <w:rPr>
          <w:rFonts w:eastAsiaTheme="minorHAnsi"/>
        </w:rPr>
        <w:t>N</w:t>
      </w:r>
      <w:r>
        <w:rPr>
          <w:rFonts w:eastAsiaTheme="minorHAnsi"/>
        </w:rPr>
        <w:t>uclear generation comprises 22</w:t>
      </w:r>
      <w:r w:rsidR="003525AE">
        <w:t xml:space="preserve"> percent</w:t>
      </w:r>
      <w:r w:rsidR="003525AE" w:rsidDel="003525AE">
        <w:rPr>
          <w:rFonts w:eastAsiaTheme="minorHAnsi"/>
        </w:rPr>
        <w:t xml:space="preserve"> </w:t>
      </w:r>
      <w:r>
        <w:rPr>
          <w:rFonts w:eastAsiaTheme="minorHAnsi"/>
        </w:rPr>
        <w:t xml:space="preserve">of FPL’s energy mix. Investors perceive risk with such generation, and this increased risk </w:t>
      </w:r>
      <w:r w:rsidR="00E205EB">
        <w:rPr>
          <w:rFonts w:eastAsiaTheme="minorHAnsi"/>
        </w:rPr>
        <w:t>perception</w:t>
      </w:r>
      <w:r>
        <w:rPr>
          <w:rFonts w:eastAsiaTheme="minorHAnsi"/>
        </w:rPr>
        <w:t xml:space="preserve"> in turn requires a higher return to encourage investment.</w:t>
      </w:r>
    </w:p>
    <w:p w14:paraId="4FB54938" w14:textId="77777777" w:rsidR="00292800" w:rsidRDefault="00292800" w:rsidP="00292800">
      <w:pPr>
        <w:pStyle w:val="ListParagraph"/>
        <w:ind w:left="0"/>
        <w:jc w:val="both"/>
        <w:rPr>
          <w:rFonts w:eastAsiaTheme="minorHAnsi"/>
        </w:rPr>
      </w:pPr>
    </w:p>
    <w:p w14:paraId="78C6B970" w14:textId="659588A9" w:rsidR="00292800" w:rsidRPr="0087531E" w:rsidRDefault="00292800" w:rsidP="00292800">
      <w:pPr>
        <w:pStyle w:val="ListParagraph"/>
        <w:ind w:left="0"/>
        <w:jc w:val="both"/>
        <w:rPr>
          <w:rFonts w:eastAsiaTheme="minorHAnsi"/>
        </w:rPr>
      </w:pPr>
      <w:r>
        <w:rPr>
          <w:rFonts w:eastAsiaTheme="minorHAnsi"/>
        </w:rPr>
        <w:tab/>
      </w:r>
      <w:r w:rsidR="001B6D75">
        <w:rPr>
          <w:rFonts w:eastAsiaTheme="minorHAnsi"/>
        </w:rPr>
        <w:t xml:space="preserve">In support of the as-filed request, </w:t>
      </w:r>
      <w:r>
        <w:rPr>
          <w:rFonts w:eastAsiaTheme="minorHAnsi"/>
        </w:rPr>
        <w:t>FPL Witness Coyne testified that an ROE in the range of 10.5 to 11.5 percent would be reasonable based upon his cost of equity analyses. In reaching this conclusion, Witness Coyne used four modeling methodologies “to provide a robust analytical framework for determining FPL’s ROE without the undue influence of any single approach or set of assumptions.”</w:t>
      </w:r>
      <w:r w:rsidR="00FC542F">
        <w:rPr>
          <w:rStyle w:val="FootnoteReference"/>
          <w:rFonts w:eastAsiaTheme="minorHAnsi"/>
        </w:rPr>
        <w:footnoteReference w:id="34"/>
      </w:r>
      <w:r>
        <w:rPr>
          <w:rFonts w:eastAsiaTheme="minorHAnsi"/>
        </w:rPr>
        <w:t xml:space="preserve"> Witness Coyne also testified that these models and their results should be examined in the context of current and projected market conditions.</w:t>
      </w:r>
      <w:r w:rsidRPr="00DF2727">
        <w:rPr>
          <w:rFonts w:eastAsiaTheme="minorHAnsi"/>
        </w:rPr>
        <w:t xml:space="preserve"> </w:t>
      </w:r>
      <w:r>
        <w:rPr>
          <w:rFonts w:eastAsiaTheme="minorHAnsi"/>
        </w:rPr>
        <w:t xml:space="preserve">The global outbreak of coronavirus disease 2019 (COVID-19) and the measures taken to address it had an immediate and drastic effect on the 2020 economy. Higher volatility and uncertainty is expected to persist. According to Witness Coyne, actions the Federal Reserve has taken to address these market uncertainties and stimulus packages being considered by the United States Congress may increase inflation and cause interest rates to spike. </w:t>
      </w:r>
      <w:r w:rsidR="003268B7">
        <w:rPr>
          <w:rFonts w:eastAsiaTheme="minorHAnsi"/>
        </w:rPr>
        <w:t>Witness Coyne supports the lower ROE set forth in the 2021 Settlement Agreement, though lower than what he recommended, stating that it “is within the reasonable r</w:t>
      </w:r>
      <w:r w:rsidR="00734F7B">
        <w:rPr>
          <w:rFonts w:eastAsiaTheme="minorHAnsi"/>
        </w:rPr>
        <w:t>ange” established by his comprehensive mo</w:t>
      </w:r>
      <w:r w:rsidR="001228B3">
        <w:rPr>
          <w:rFonts w:eastAsiaTheme="minorHAnsi"/>
        </w:rPr>
        <w:t>deling methodologies.</w:t>
      </w:r>
    </w:p>
    <w:p w14:paraId="7AC5048E" w14:textId="77777777" w:rsidR="00292800" w:rsidRDefault="00292800" w:rsidP="00292800">
      <w:pPr>
        <w:pStyle w:val="ListParagraph"/>
        <w:ind w:left="0"/>
        <w:jc w:val="both"/>
        <w:rPr>
          <w:rFonts w:eastAsiaTheme="minorHAnsi"/>
        </w:rPr>
      </w:pPr>
    </w:p>
    <w:p w14:paraId="734CB9FD" w14:textId="139F737C" w:rsidR="00641925" w:rsidRDefault="00292800" w:rsidP="00292800">
      <w:pPr>
        <w:pStyle w:val="ListParagraph"/>
        <w:ind w:left="0"/>
        <w:jc w:val="both"/>
        <w:rPr>
          <w:rFonts w:eastAsiaTheme="minorHAnsi"/>
        </w:rPr>
      </w:pPr>
      <w:r>
        <w:rPr>
          <w:rFonts w:eastAsiaTheme="minorHAnsi"/>
        </w:rPr>
        <w:tab/>
        <w:t>Witness Barrett</w:t>
      </w:r>
      <w:r w:rsidR="00C174AD">
        <w:rPr>
          <w:rFonts w:eastAsiaTheme="minorHAnsi"/>
        </w:rPr>
        <w:t>’s</w:t>
      </w:r>
      <w:r>
        <w:rPr>
          <w:rFonts w:eastAsiaTheme="minorHAnsi"/>
        </w:rPr>
        <w:t xml:space="preserve"> </w:t>
      </w:r>
      <w:r w:rsidR="003268B7">
        <w:rPr>
          <w:rFonts w:eastAsiaTheme="minorHAnsi"/>
        </w:rPr>
        <w:t>prefiled testimony sets forth in detail</w:t>
      </w:r>
      <w:r>
        <w:rPr>
          <w:rFonts w:eastAsiaTheme="minorHAnsi"/>
        </w:rPr>
        <w:t xml:space="preserve"> FPL’s ability to meet the </w:t>
      </w:r>
      <w:r w:rsidR="003268B7">
        <w:rPr>
          <w:rFonts w:eastAsiaTheme="minorHAnsi"/>
        </w:rPr>
        <w:t>unprecedented</w:t>
      </w:r>
      <w:r>
        <w:rPr>
          <w:rFonts w:eastAsiaTheme="minorHAnsi"/>
        </w:rPr>
        <w:t xml:space="preserve"> challenges posed by effects of the global outbreak of COVID-19 based on its financial position. Witness Barrett also testified regarding FPL’s continued financial strength during the recent volatility of utility investments. “FPL’s successful financing contrasts with other, lower credit issuers, who attempted to raise debt but ultimately had to pull their issuances from the market or saw significant higher spreads.”</w:t>
      </w:r>
      <w:r w:rsidR="004543AD">
        <w:rPr>
          <w:rStyle w:val="FootnoteReference"/>
          <w:rFonts w:eastAsiaTheme="minorHAnsi"/>
        </w:rPr>
        <w:footnoteReference w:id="35"/>
      </w:r>
    </w:p>
    <w:p w14:paraId="6188093B" w14:textId="77777777" w:rsidR="00292800" w:rsidRDefault="00292800" w:rsidP="00292800">
      <w:pPr>
        <w:pStyle w:val="ListParagraph"/>
        <w:ind w:left="0"/>
        <w:jc w:val="both"/>
        <w:rPr>
          <w:rFonts w:eastAsiaTheme="minorHAnsi"/>
        </w:rPr>
      </w:pPr>
    </w:p>
    <w:p w14:paraId="3AD7130C" w14:textId="77777777" w:rsidR="00E14F6C" w:rsidRDefault="00E14F6C" w:rsidP="00E14F6C">
      <w:pPr>
        <w:shd w:val="clear" w:color="auto" w:fill="FFFFFF"/>
        <w:jc w:val="both"/>
      </w:pPr>
      <w:r>
        <w:tab/>
        <w:t xml:space="preserve">The Florida Supreme Court wrote as follows regarding general considerations applicable to establishing </w:t>
      </w:r>
      <w:r w:rsidR="005149DC">
        <w:t>the boundaries of an appropriate</w:t>
      </w:r>
      <w:r>
        <w:t xml:space="preserve"> ROE range:</w:t>
      </w:r>
    </w:p>
    <w:p w14:paraId="68027B70" w14:textId="77777777" w:rsidR="00E14F6C" w:rsidRDefault="00E14F6C" w:rsidP="00E14F6C">
      <w:pPr>
        <w:shd w:val="clear" w:color="auto" w:fill="FFFFFF"/>
        <w:ind w:left="720" w:right="720"/>
        <w:jc w:val="both"/>
      </w:pPr>
    </w:p>
    <w:p w14:paraId="42466DD9" w14:textId="77777777" w:rsidR="00E14F6C" w:rsidRDefault="00E14F6C" w:rsidP="00E14F6C">
      <w:pPr>
        <w:shd w:val="clear" w:color="auto" w:fill="FFFFFF"/>
        <w:ind w:left="720" w:right="720"/>
        <w:jc w:val="both"/>
      </w:pPr>
      <w:r w:rsidRPr="009E5953">
        <w:t>The rate of return which public utility companies may be allowed to earn is a question of vital importance to both rate payers and investors. An inadequate return may prevent satisfactory services to the public and concomitantly disappoint investors who will look for alternative sources of investment. The Public Service Commission is given the power to fix the return within certain limits. That return cannot be set so low as to confiscate the property of the utility, nor can it be made so high as to provide greater than a reasonable rate of return, thereby prejudicing the consumer.</w:t>
      </w:r>
      <w:r>
        <w:rPr>
          <w:rStyle w:val="FootnoteReference"/>
        </w:rPr>
        <w:footnoteReference w:id="36"/>
      </w:r>
    </w:p>
    <w:p w14:paraId="22F108D5" w14:textId="77777777" w:rsidR="00E14F6C" w:rsidRDefault="00E14F6C" w:rsidP="00E14F6C">
      <w:pPr>
        <w:shd w:val="clear" w:color="auto" w:fill="FFFFFF"/>
        <w:ind w:left="720" w:right="720"/>
        <w:jc w:val="both"/>
      </w:pPr>
    </w:p>
    <w:p w14:paraId="13EC958B" w14:textId="77777777" w:rsidR="00292800" w:rsidRDefault="00E14F6C" w:rsidP="00907009">
      <w:pPr>
        <w:shd w:val="clear" w:color="auto" w:fill="FFFFFF"/>
        <w:jc w:val="both"/>
        <w:rPr>
          <w:rFonts w:eastAsiaTheme="minorHAnsi"/>
        </w:rPr>
      </w:pPr>
      <w:r>
        <w:t>In fixing a reasonable rate of return within th</w:t>
      </w:r>
      <w:r w:rsidR="005149DC">
        <w:t>is range</w:t>
      </w:r>
      <w:r>
        <w:t>, we are guided by t</w:t>
      </w:r>
      <w:r>
        <w:rPr>
          <w:rFonts w:eastAsiaTheme="minorHAnsi"/>
        </w:rPr>
        <w:t>he</w:t>
      </w:r>
      <w:r w:rsidRPr="006758CA">
        <w:rPr>
          <w:rFonts w:eastAsiaTheme="minorHAnsi"/>
        </w:rPr>
        <w:t xml:space="preserve"> </w:t>
      </w:r>
      <w:r>
        <w:rPr>
          <w:rFonts w:eastAsiaTheme="minorHAnsi"/>
        </w:rPr>
        <w:t xml:space="preserve">long-established </w:t>
      </w:r>
      <w:r>
        <w:rPr>
          <w:rFonts w:eastAsiaTheme="minorHAnsi"/>
          <w:i/>
          <w:iCs/>
        </w:rPr>
        <w:t xml:space="preserve">Hope </w:t>
      </w:r>
      <w:r>
        <w:rPr>
          <w:rFonts w:eastAsiaTheme="minorHAnsi"/>
        </w:rPr>
        <w:t xml:space="preserve">and </w:t>
      </w:r>
      <w:r>
        <w:rPr>
          <w:rFonts w:eastAsiaTheme="minorHAnsi"/>
          <w:i/>
          <w:iCs/>
        </w:rPr>
        <w:t xml:space="preserve">Bluefield </w:t>
      </w:r>
      <w:r>
        <w:rPr>
          <w:rFonts w:eastAsiaTheme="minorHAnsi"/>
        </w:rPr>
        <w:t>standard</w:t>
      </w:r>
      <w:r>
        <w:t>.</w:t>
      </w:r>
      <w:r w:rsidR="00D40AD8">
        <w:rPr>
          <w:rStyle w:val="FootnoteReference"/>
          <w:rFonts w:eastAsiaTheme="minorHAnsi"/>
        </w:rPr>
        <w:footnoteReference w:id="37"/>
      </w:r>
      <w:r w:rsidR="00292800">
        <w:rPr>
          <w:rFonts w:eastAsiaTheme="minorHAnsi"/>
        </w:rPr>
        <w:t xml:space="preserve"> Under this standard, a reasonable return is one that is commensurate with the return investors would expect from like investments of comparable risk, is reasonably sufficient to assure investor confidence that the utility is financially sound, and is adequate to attract capital on reasonable terms.</w:t>
      </w:r>
      <w:r w:rsidR="00D40AD8">
        <w:rPr>
          <w:rStyle w:val="FootnoteReference"/>
          <w:rFonts w:eastAsiaTheme="minorHAnsi"/>
        </w:rPr>
        <w:footnoteReference w:id="38"/>
      </w:r>
    </w:p>
    <w:p w14:paraId="7631B7E1" w14:textId="77777777" w:rsidR="00292800" w:rsidRDefault="00292800" w:rsidP="00292800">
      <w:pPr>
        <w:autoSpaceDE w:val="0"/>
        <w:autoSpaceDN w:val="0"/>
        <w:adjustRightInd w:val="0"/>
        <w:jc w:val="both"/>
        <w:rPr>
          <w:rFonts w:eastAsiaTheme="minorHAnsi"/>
        </w:rPr>
      </w:pPr>
    </w:p>
    <w:p w14:paraId="6C683064" w14:textId="77777777" w:rsidR="00292800" w:rsidRDefault="00292800" w:rsidP="00292800">
      <w:pPr>
        <w:autoSpaceDE w:val="0"/>
        <w:autoSpaceDN w:val="0"/>
        <w:adjustRightInd w:val="0"/>
        <w:jc w:val="both"/>
        <w:rPr>
          <w:rFonts w:eastAsiaTheme="minorHAnsi"/>
        </w:rPr>
      </w:pPr>
      <w:r>
        <w:rPr>
          <w:rFonts w:eastAsiaTheme="minorHAnsi"/>
        </w:rPr>
        <w:tab/>
      </w:r>
      <w:r w:rsidR="004E73E5">
        <w:rPr>
          <w:rFonts w:eastAsiaTheme="minorHAnsi"/>
        </w:rPr>
        <w:t>Regarding comparable risk, t</w:t>
      </w:r>
      <w:r>
        <w:rPr>
          <w:rFonts w:eastAsiaTheme="minorHAnsi"/>
        </w:rPr>
        <w:t>he preponderance of the evide</w:t>
      </w:r>
      <w:r w:rsidR="006750D9">
        <w:rPr>
          <w:rFonts w:eastAsiaTheme="minorHAnsi"/>
        </w:rPr>
        <w:t>nce demonstrates that FPL’s</w:t>
      </w:r>
      <w:r>
        <w:rPr>
          <w:rFonts w:eastAsiaTheme="minorHAnsi"/>
        </w:rPr>
        <w:t xml:space="preserve"> infrastructure </w:t>
      </w:r>
      <w:r w:rsidR="006750D9">
        <w:rPr>
          <w:rFonts w:eastAsiaTheme="minorHAnsi"/>
        </w:rPr>
        <w:t>risk profile</w:t>
      </w:r>
      <w:r>
        <w:rPr>
          <w:rFonts w:eastAsiaTheme="minorHAnsi"/>
        </w:rPr>
        <w:t xml:space="preserve"> </w:t>
      </w:r>
      <w:r w:rsidR="006750D9">
        <w:rPr>
          <w:rFonts w:eastAsiaTheme="minorHAnsi"/>
        </w:rPr>
        <w:t>is different from</w:t>
      </w:r>
      <w:r>
        <w:rPr>
          <w:rFonts w:eastAsiaTheme="minorHAnsi"/>
        </w:rPr>
        <w:t xml:space="preserve"> most utilities</w:t>
      </w:r>
      <w:r w:rsidR="006750D9">
        <w:rPr>
          <w:rFonts w:eastAsiaTheme="minorHAnsi"/>
        </w:rPr>
        <w:t>, including those in the various proxy groups</w:t>
      </w:r>
      <w:r>
        <w:rPr>
          <w:rFonts w:eastAsiaTheme="minorHAnsi"/>
        </w:rPr>
        <w:t>.</w:t>
      </w:r>
      <w:r w:rsidR="00E14E92">
        <w:rPr>
          <w:rStyle w:val="FootnoteReference"/>
          <w:rFonts w:eastAsiaTheme="minorHAnsi"/>
        </w:rPr>
        <w:footnoteReference w:id="39"/>
      </w:r>
      <w:r>
        <w:rPr>
          <w:rFonts w:eastAsiaTheme="minorHAnsi"/>
        </w:rPr>
        <w:t xml:space="preserve"> Especially with the acquisition of Gulf, FPL</w:t>
      </w:r>
      <w:r w:rsidR="00C174AD">
        <w:rPr>
          <w:rFonts w:eastAsiaTheme="minorHAnsi"/>
        </w:rPr>
        <w:t>’s</w:t>
      </w:r>
      <w:r>
        <w:rPr>
          <w:rFonts w:eastAsiaTheme="minorHAnsi"/>
        </w:rPr>
        <w:t xml:space="preserve"> territory includes appreciable expanses of low-lying coastline that bring inherent risk. The preponderance of the evidence demonstrates that this risk is likely to continue to increase over time due to storm frequency and severity as well as sea-level rise. Additionally, FPL faces investor uncertainty due to the perceived risks of nuclear-fueled energy. </w:t>
      </w:r>
      <w:r w:rsidR="00D40AD8">
        <w:rPr>
          <w:rFonts w:eastAsiaTheme="minorHAnsi"/>
        </w:rPr>
        <w:t>FPL must have an adequate ROE i</w:t>
      </w:r>
      <w:r>
        <w:rPr>
          <w:rFonts w:eastAsiaTheme="minorHAnsi"/>
        </w:rPr>
        <w:t>n order to attra</w:t>
      </w:r>
      <w:r w:rsidR="00D40AD8">
        <w:rPr>
          <w:rFonts w:eastAsiaTheme="minorHAnsi"/>
        </w:rPr>
        <w:t>ct capital on reasonable terms</w:t>
      </w:r>
      <w:r w:rsidR="0091763F">
        <w:rPr>
          <w:rFonts w:eastAsiaTheme="minorHAnsi"/>
        </w:rPr>
        <w:t xml:space="preserve"> throughout a multi-year rate plan</w:t>
      </w:r>
      <w:r w:rsidR="00D40AD8">
        <w:rPr>
          <w:rFonts w:eastAsiaTheme="minorHAnsi"/>
        </w:rPr>
        <w:t>.</w:t>
      </w:r>
    </w:p>
    <w:p w14:paraId="74155DB1" w14:textId="77777777" w:rsidR="00292800" w:rsidRDefault="00292800" w:rsidP="00292800">
      <w:pPr>
        <w:autoSpaceDE w:val="0"/>
        <w:autoSpaceDN w:val="0"/>
        <w:adjustRightInd w:val="0"/>
        <w:jc w:val="both"/>
        <w:rPr>
          <w:rFonts w:eastAsiaTheme="minorHAnsi"/>
        </w:rPr>
      </w:pPr>
    </w:p>
    <w:p w14:paraId="72B848C2" w14:textId="04F8E0DF" w:rsidR="00292800" w:rsidRDefault="00292800" w:rsidP="00292800">
      <w:pPr>
        <w:autoSpaceDE w:val="0"/>
        <w:autoSpaceDN w:val="0"/>
        <w:adjustRightInd w:val="0"/>
        <w:jc w:val="both"/>
        <w:rPr>
          <w:rFonts w:eastAsiaTheme="minorHAnsi"/>
        </w:rPr>
      </w:pPr>
      <w:r>
        <w:rPr>
          <w:rFonts w:eastAsiaTheme="minorHAnsi"/>
        </w:rPr>
        <w:tab/>
      </w:r>
      <w:r w:rsidR="002D65FF">
        <w:rPr>
          <w:rFonts w:eastAsiaTheme="minorHAnsi"/>
        </w:rPr>
        <w:t>The preponderance of the evidence demonstrates</w:t>
      </w:r>
      <w:r>
        <w:rPr>
          <w:rFonts w:eastAsiaTheme="minorHAnsi"/>
        </w:rPr>
        <w:t xml:space="preserve"> that the Company’s overall capital structure has contributed to its ability to provide customers reliable service at reasonable rates while weathering tropical and financial storms. Continuing this strong capital structure can assure investors that the uti</w:t>
      </w:r>
      <w:r w:rsidR="002D65FF">
        <w:rPr>
          <w:rFonts w:eastAsiaTheme="minorHAnsi"/>
        </w:rPr>
        <w:t>lity is financially sound, which in turn benefits all customers</w:t>
      </w:r>
      <w:r w:rsidR="00C174AD">
        <w:rPr>
          <w:rFonts w:eastAsiaTheme="minorHAnsi"/>
        </w:rPr>
        <w:t xml:space="preserve"> by attracting capital on reasonable terms</w:t>
      </w:r>
      <w:r w:rsidR="002D65FF">
        <w:rPr>
          <w:rFonts w:eastAsiaTheme="minorHAnsi"/>
        </w:rPr>
        <w:t>.</w:t>
      </w:r>
    </w:p>
    <w:p w14:paraId="22CC2540" w14:textId="77777777" w:rsidR="00292800" w:rsidRDefault="00292800" w:rsidP="00292800">
      <w:pPr>
        <w:autoSpaceDE w:val="0"/>
        <w:autoSpaceDN w:val="0"/>
        <w:adjustRightInd w:val="0"/>
        <w:jc w:val="both"/>
        <w:rPr>
          <w:rFonts w:eastAsiaTheme="minorHAnsi"/>
        </w:rPr>
      </w:pPr>
    </w:p>
    <w:p w14:paraId="0CBDDBF3" w14:textId="52AFC79D" w:rsidR="00661127" w:rsidRDefault="00292800" w:rsidP="00422F08">
      <w:pPr>
        <w:shd w:val="clear" w:color="auto" w:fill="FFFFFF"/>
        <w:jc w:val="both"/>
      </w:pPr>
      <w:r>
        <w:rPr>
          <w:rFonts w:eastAsiaTheme="minorHAnsi"/>
        </w:rPr>
        <w:tab/>
      </w:r>
      <w:r w:rsidR="002D65FF">
        <w:rPr>
          <w:rFonts w:eastAsiaTheme="minorHAnsi"/>
        </w:rPr>
        <w:t>Based on this record, we conclude that</w:t>
      </w:r>
      <w:r>
        <w:rPr>
          <w:rFonts w:eastAsiaTheme="minorHAnsi"/>
        </w:rPr>
        <w:t xml:space="preserve"> a regulatory ROE of </w:t>
      </w:r>
      <w:r>
        <w:t>10.6</w:t>
      </w:r>
      <w:r w:rsidR="003525AE">
        <w:t xml:space="preserve"> percent</w:t>
      </w:r>
      <w:r w:rsidR="003525AE" w:rsidDel="003525AE">
        <w:t xml:space="preserve"> </w:t>
      </w:r>
      <w:r>
        <w:t>for all purposes, with an authorized ROE range of 9.7</w:t>
      </w:r>
      <w:r w:rsidR="003525AE">
        <w:t xml:space="preserve"> percent</w:t>
      </w:r>
      <w:r w:rsidR="003525AE" w:rsidDel="003525AE">
        <w:t xml:space="preserve"> </w:t>
      </w:r>
      <w:r>
        <w:t>to 11.7</w:t>
      </w:r>
      <w:r w:rsidR="003525AE">
        <w:t xml:space="preserve"> percent</w:t>
      </w:r>
      <w:r>
        <w:t xml:space="preserve">, as set forth in the </w:t>
      </w:r>
      <w:r w:rsidR="000C7CC7">
        <w:t xml:space="preserve">2021 </w:t>
      </w:r>
      <w:r>
        <w:t>Settlement</w:t>
      </w:r>
      <w:r w:rsidR="002D65FF">
        <w:t>, is appropriate and in the public interest</w:t>
      </w:r>
      <w:r>
        <w:t>.</w:t>
      </w:r>
      <w:r w:rsidR="00661127">
        <w:t xml:space="preserve"> We note that if the United States Treasury Bond yield meets the specified thresholds and this ROE is increased from 9.8</w:t>
      </w:r>
      <w:r w:rsidR="003525AE">
        <w:t xml:space="preserve"> percent</w:t>
      </w:r>
      <w:r w:rsidR="00661127">
        <w:t xml:space="preserve"> to 11.8</w:t>
      </w:r>
      <w:r w:rsidR="003525AE">
        <w:t xml:space="preserve"> percent</w:t>
      </w:r>
      <w:r w:rsidR="00661127">
        <w:t>, base rates will not increase.</w:t>
      </w:r>
    </w:p>
    <w:p w14:paraId="6AABA8A1" w14:textId="77777777" w:rsidR="00661127" w:rsidRDefault="00661127" w:rsidP="00422F08">
      <w:pPr>
        <w:shd w:val="clear" w:color="auto" w:fill="FFFFFF"/>
        <w:jc w:val="both"/>
      </w:pPr>
    </w:p>
    <w:p w14:paraId="567120E6" w14:textId="7C9D7AFD" w:rsidR="009E4C02" w:rsidRDefault="00661127" w:rsidP="00422F08">
      <w:pPr>
        <w:shd w:val="clear" w:color="auto" w:fill="FFFFFF"/>
        <w:jc w:val="both"/>
      </w:pPr>
      <w:r>
        <w:tab/>
      </w:r>
      <w:r w:rsidR="00422F08" w:rsidRPr="00422F08">
        <w:t xml:space="preserve"> </w:t>
      </w:r>
      <w:r w:rsidR="00CD61CA">
        <w:t>FAIR</w:t>
      </w:r>
      <w:r w:rsidR="006750D9">
        <w:t>,</w:t>
      </w:r>
      <w:r w:rsidR="00CD61CA">
        <w:t xml:space="preserve"> Florida Rising</w:t>
      </w:r>
      <w:r w:rsidR="006750D9">
        <w:t>, and FPL</w:t>
      </w:r>
      <w:r w:rsidR="00CD61CA">
        <w:t xml:space="preserve"> presented the testimony of numerous, well-qualified experts on this issue.</w:t>
      </w:r>
      <w:r w:rsidR="002D6FD6">
        <w:rPr>
          <w:rStyle w:val="FootnoteReference"/>
        </w:rPr>
        <w:footnoteReference w:id="40"/>
      </w:r>
      <w:r w:rsidR="00CD61CA">
        <w:t xml:space="preserve"> Our ultimate determination rests in large part </w:t>
      </w:r>
      <w:r w:rsidR="00397BDF">
        <w:t xml:space="preserve">on </w:t>
      </w:r>
      <w:r w:rsidR="00CD61CA">
        <w:t xml:space="preserve">the relative weight we have afforded the opinions of these experts. </w:t>
      </w:r>
      <w:r w:rsidR="00422F08" w:rsidRPr="00A46A9E">
        <w:t>“[A] ‘</w:t>
      </w:r>
      <w:r w:rsidR="00422F08" w:rsidRPr="00A46A9E">
        <w:rPr>
          <w:bdr w:val="none" w:sz="0" w:space="0" w:color="auto" w:frame="1"/>
          <w:shd w:val="clear" w:color="auto" w:fill="FFFFFF"/>
        </w:rPr>
        <w:t>battle</w:t>
      </w:r>
      <w:r w:rsidR="00422F08" w:rsidRPr="00A46A9E">
        <w:t xml:space="preserve"> </w:t>
      </w:r>
      <w:r w:rsidR="00422F08" w:rsidRPr="00A46A9E">
        <w:rPr>
          <w:bdr w:val="none" w:sz="0" w:space="0" w:color="auto" w:frame="1"/>
          <w:shd w:val="clear" w:color="auto" w:fill="FFFFFF"/>
        </w:rPr>
        <w:t>of</w:t>
      </w:r>
      <w:r w:rsidR="00422F08" w:rsidRPr="00A46A9E">
        <w:t xml:space="preserve"> the </w:t>
      </w:r>
      <w:r w:rsidR="00422F08" w:rsidRPr="00A46A9E">
        <w:rPr>
          <w:bdr w:val="none" w:sz="0" w:space="0" w:color="auto" w:frame="1"/>
          <w:shd w:val="clear" w:color="auto" w:fill="FFFFFF"/>
        </w:rPr>
        <w:t>experts’</w:t>
      </w:r>
      <w:r w:rsidR="00422F08" w:rsidRPr="00A46A9E">
        <w:t xml:space="preserve"> has become the norm in modern trials. Courts must resolve the issues upon which the experts differ; that is their job in the absence of a jury, no matter how difficult or complex the issue becomes.</w:t>
      </w:r>
      <w:r w:rsidR="00422F08">
        <w:t>”</w:t>
      </w:r>
      <w:r w:rsidR="009E4C02">
        <w:rPr>
          <w:rStyle w:val="FootnoteReference"/>
        </w:rPr>
        <w:footnoteReference w:id="41"/>
      </w:r>
      <w:r w:rsidR="00422F08" w:rsidRPr="00A46A9E">
        <w:t xml:space="preserve"> </w:t>
      </w:r>
      <w:r w:rsidR="00422F08">
        <w:t xml:space="preserve">The finder of fact </w:t>
      </w:r>
      <w:r w:rsidR="00422F08" w:rsidRPr="00A97E6F">
        <w:rPr>
          <w:bdr w:val="none" w:sz="0" w:space="0" w:color="auto" w:frame="1"/>
          <w:shd w:val="clear" w:color="auto" w:fill="FFFFFF"/>
        </w:rPr>
        <w:t>“is</w:t>
      </w:r>
      <w:r w:rsidR="00422F08" w:rsidRPr="00A97E6F">
        <w:t xml:space="preserve"> </w:t>
      </w:r>
      <w:r w:rsidR="00422F08" w:rsidRPr="00A97E6F">
        <w:rPr>
          <w:bdr w:val="none" w:sz="0" w:space="0" w:color="auto" w:frame="1"/>
          <w:shd w:val="clear" w:color="auto" w:fill="FFFFFF"/>
        </w:rPr>
        <w:t>free</w:t>
      </w:r>
      <w:r w:rsidR="00422F08" w:rsidRPr="00A97E6F">
        <w:t xml:space="preserve"> to </w:t>
      </w:r>
      <w:r w:rsidR="00422F08" w:rsidRPr="00A97E6F">
        <w:rPr>
          <w:bdr w:val="none" w:sz="0" w:space="0" w:color="auto" w:frame="1"/>
          <w:shd w:val="clear" w:color="auto" w:fill="FFFFFF"/>
        </w:rPr>
        <w:t>weigh</w:t>
      </w:r>
      <w:r w:rsidR="00422F08" w:rsidRPr="00A97E6F">
        <w:t xml:space="preserve"> the </w:t>
      </w:r>
      <w:r w:rsidR="00422F08" w:rsidRPr="00A97E6F">
        <w:rPr>
          <w:bdr w:val="none" w:sz="0" w:space="0" w:color="auto" w:frame="1"/>
          <w:shd w:val="clear" w:color="auto" w:fill="FFFFFF"/>
        </w:rPr>
        <w:t>opinion</w:t>
      </w:r>
      <w:r w:rsidR="00422F08" w:rsidRPr="00A97E6F">
        <w:t xml:space="preserve"> </w:t>
      </w:r>
      <w:r w:rsidR="00422F08" w:rsidRPr="00A97E6F">
        <w:rPr>
          <w:bdr w:val="none" w:sz="0" w:space="0" w:color="auto" w:frame="1"/>
          <w:shd w:val="clear" w:color="auto" w:fill="FFFFFF"/>
        </w:rPr>
        <w:t>testimony</w:t>
      </w:r>
      <w:r w:rsidR="00422F08" w:rsidRPr="00A97E6F">
        <w:t xml:space="preserve"> of </w:t>
      </w:r>
      <w:r w:rsidR="00422F08" w:rsidRPr="00A97E6F">
        <w:rPr>
          <w:bdr w:val="none" w:sz="0" w:space="0" w:color="auto" w:frame="1"/>
          <w:shd w:val="clear" w:color="auto" w:fill="FFFFFF"/>
        </w:rPr>
        <w:t>expert</w:t>
      </w:r>
      <w:r w:rsidR="00422F08" w:rsidRPr="00A97E6F">
        <w:t xml:space="preserve"> </w:t>
      </w:r>
      <w:r w:rsidR="00422F08" w:rsidRPr="00A97E6F">
        <w:rPr>
          <w:bdr w:val="none" w:sz="0" w:space="0" w:color="auto" w:frame="1"/>
          <w:shd w:val="clear" w:color="auto" w:fill="FFFFFF"/>
        </w:rPr>
        <w:t>witnesses</w:t>
      </w:r>
      <w:r w:rsidR="00422F08" w:rsidRPr="00A97E6F">
        <w:t xml:space="preserve">, and either </w:t>
      </w:r>
      <w:r w:rsidR="00422F08" w:rsidRPr="00A97E6F">
        <w:rPr>
          <w:bdr w:val="none" w:sz="0" w:space="0" w:color="auto" w:frame="1"/>
          <w:shd w:val="clear" w:color="auto" w:fill="FFFFFF"/>
        </w:rPr>
        <w:t>accept</w:t>
      </w:r>
      <w:r w:rsidR="00422F08" w:rsidRPr="00A97E6F">
        <w:t xml:space="preserve">, </w:t>
      </w:r>
      <w:r w:rsidR="00422F08" w:rsidRPr="00A97E6F">
        <w:rPr>
          <w:bdr w:val="none" w:sz="0" w:space="0" w:color="auto" w:frame="1"/>
          <w:shd w:val="clear" w:color="auto" w:fill="FFFFFF"/>
        </w:rPr>
        <w:t>reject</w:t>
      </w:r>
      <w:r w:rsidR="00422F08" w:rsidRPr="00A97E6F">
        <w:t xml:space="preserve"> or </w:t>
      </w:r>
      <w:r w:rsidR="00422F08" w:rsidRPr="00A97E6F">
        <w:rPr>
          <w:bdr w:val="none" w:sz="0" w:space="0" w:color="auto" w:frame="1"/>
          <w:shd w:val="clear" w:color="auto" w:fill="FFFFFF"/>
        </w:rPr>
        <w:t>give</w:t>
      </w:r>
      <w:r w:rsidR="00422F08" w:rsidRPr="00A97E6F">
        <w:t xml:space="preserve"> that </w:t>
      </w:r>
      <w:r w:rsidR="00422F08" w:rsidRPr="00A97E6F">
        <w:rPr>
          <w:bdr w:val="none" w:sz="0" w:space="0" w:color="auto" w:frame="1"/>
          <w:shd w:val="clear" w:color="auto" w:fill="FFFFFF"/>
        </w:rPr>
        <w:t>testimony</w:t>
      </w:r>
      <w:r w:rsidR="00422F08" w:rsidRPr="00A97E6F">
        <w:t xml:space="preserve"> such </w:t>
      </w:r>
      <w:r w:rsidR="00422F08" w:rsidRPr="00A97E6F">
        <w:rPr>
          <w:bdr w:val="none" w:sz="0" w:space="0" w:color="auto" w:frame="1"/>
          <w:shd w:val="clear" w:color="auto" w:fill="FFFFFF"/>
        </w:rPr>
        <w:t>weight</w:t>
      </w:r>
      <w:r w:rsidR="00422F08" w:rsidRPr="00A97E6F">
        <w:t xml:space="preserve"> as </w:t>
      </w:r>
      <w:r w:rsidR="00422F08" w:rsidRPr="00A97E6F">
        <w:rPr>
          <w:bdr w:val="none" w:sz="0" w:space="0" w:color="auto" w:frame="1"/>
          <w:shd w:val="clear" w:color="auto" w:fill="FFFFFF"/>
        </w:rPr>
        <w:t>it</w:t>
      </w:r>
      <w:r w:rsidR="00422F08" w:rsidRPr="00A97E6F">
        <w:t xml:space="preserve"> </w:t>
      </w:r>
      <w:r w:rsidR="00422F08" w:rsidRPr="00A97E6F">
        <w:rPr>
          <w:bdr w:val="none" w:sz="0" w:space="0" w:color="auto" w:frame="1"/>
          <w:shd w:val="clear" w:color="auto" w:fill="FFFFFF"/>
        </w:rPr>
        <w:t>deserves</w:t>
      </w:r>
      <w:r w:rsidR="00422F08" w:rsidRPr="00A97E6F">
        <w:t xml:space="preserve"> </w:t>
      </w:r>
      <w:r w:rsidR="00422F08" w:rsidRPr="00A97E6F">
        <w:rPr>
          <w:bdr w:val="none" w:sz="0" w:space="0" w:color="auto" w:frame="1"/>
          <w:shd w:val="clear" w:color="auto" w:fill="FFFFFF"/>
        </w:rPr>
        <w:t>considering</w:t>
      </w:r>
      <w:r w:rsidR="00422F08" w:rsidRPr="00A97E6F">
        <w:t xml:space="preserve"> the </w:t>
      </w:r>
      <w:r w:rsidR="00422F08" w:rsidRPr="00A97E6F">
        <w:rPr>
          <w:bdr w:val="none" w:sz="0" w:space="0" w:color="auto" w:frame="1"/>
          <w:shd w:val="clear" w:color="auto" w:fill="FFFFFF"/>
        </w:rPr>
        <w:t>witnesses</w:t>
      </w:r>
      <w:r w:rsidR="00422F08" w:rsidRPr="00A97E6F">
        <w:t xml:space="preserve">' </w:t>
      </w:r>
      <w:r w:rsidR="00422F08" w:rsidRPr="00A97E6F">
        <w:rPr>
          <w:bdr w:val="none" w:sz="0" w:space="0" w:color="auto" w:frame="1"/>
          <w:shd w:val="clear" w:color="auto" w:fill="FFFFFF"/>
        </w:rPr>
        <w:t>qualifications</w:t>
      </w:r>
      <w:r w:rsidR="00422F08" w:rsidRPr="00A97E6F">
        <w:t xml:space="preserve">, the </w:t>
      </w:r>
      <w:r w:rsidR="00422F08" w:rsidRPr="00A97E6F">
        <w:rPr>
          <w:bdr w:val="none" w:sz="0" w:space="0" w:color="auto" w:frame="1"/>
          <w:shd w:val="clear" w:color="auto" w:fill="FFFFFF"/>
        </w:rPr>
        <w:t>reasons</w:t>
      </w:r>
      <w:r w:rsidR="00422F08" w:rsidRPr="00A97E6F">
        <w:t xml:space="preserve"> </w:t>
      </w:r>
      <w:r w:rsidR="00422F08" w:rsidRPr="00A97E6F">
        <w:rPr>
          <w:bdr w:val="none" w:sz="0" w:space="0" w:color="auto" w:frame="1"/>
          <w:shd w:val="clear" w:color="auto" w:fill="FFFFFF"/>
        </w:rPr>
        <w:t>given</w:t>
      </w:r>
      <w:r w:rsidR="00422F08" w:rsidRPr="00A97E6F">
        <w:t xml:space="preserve"> by the </w:t>
      </w:r>
      <w:r w:rsidR="00422F08" w:rsidRPr="00A97E6F">
        <w:rPr>
          <w:bdr w:val="none" w:sz="0" w:space="0" w:color="auto" w:frame="1"/>
          <w:shd w:val="clear" w:color="auto" w:fill="FFFFFF"/>
        </w:rPr>
        <w:t>witness</w:t>
      </w:r>
      <w:r w:rsidR="00422F08" w:rsidRPr="00A97E6F">
        <w:t xml:space="preserve"> for the </w:t>
      </w:r>
      <w:r w:rsidR="00422F08" w:rsidRPr="00A97E6F">
        <w:rPr>
          <w:bdr w:val="none" w:sz="0" w:space="0" w:color="auto" w:frame="1"/>
          <w:shd w:val="clear" w:color="auto" w:fill="FFFFFF"/>
        </w:rPr>
        <w:t>opinion</w:t>
      </w:r>
      <w:r w:rsidR="00422F08" w:rsidRPr="00A97E6F">
        <w:t xml:space="preserve"> </w:t>
      </w:r>
      <w:r w:rsidR="00422F08" w:rsidRPr="00A97E6F">
        <w:rPr>
          <w:bdr w:val="none" w:sz="0" w:space="0" w:color="auto" w:frame="1"/>
          <w:shd w:val="clear" w:color="auto" w:fill="FFFFFF"/>
        </w:rPr>
        <w:t>expressed</w:t>
      </w:r>
      <w:r w:rsidR="00422F08" w:rsidRPr="00A97E6F">
        <w:t xml:space="preserve">, and </w:t>
      </w:r>
      <w:r w:rsidR="00422F08" w:rsidRPr="00A97E6F">
        <w:rPr>
          <w:bdr w:val="none" w:sz="0" w:space="0" w:color="auto" w:frame="1"/>
          <w:shd w:val="clear" w:color="auto" w:fill="FFFFFF"/>
        </w:rPr>
        <w:t>all</w:t>
      </w:r>
      <w:r w:rsidR="00422F08" w:rsidRPr="00A97E6F">
        <w:t xml:space="preserve"> the other </w:t>
      </w:r>
      <w:r w:rsidR="00422F08" w:rsidRPr="00A97E6F">
        <w:rPr>
          <w:bdr w:val="none" w:sz="0" w:space="0" w:color="auto" w:frame="1"/>
          <w:shd w:val="clear" w:color="auto" w:fill="FFFFFF"/>
        </w:rPr>
        <w:t>evidence</w:t>
      </w:r>
      <w:r w:rsidR="00422F08" w:rsidRPr="00A97E6F">
        <w:t xml:space="preserve"> in the </w:t>
      </w:r>
      <w:r w:rsidR="00422F08" w:rsidRPr="00A97E6F">
        <w:rPr>
          <w:bdr w:val="none" w:sz="0" w:space="0" w:color="auto" w:frame="1"/>
          <w:shd w:val="clear" w:color="auto" w:fill="FFFFFF"/>
        </w:rPr>
        <w:t>case</w:t>
      </w:r>
      <w:r w:rsidR="00422F08" w:rsidRPr="00A97E6F">
        <w:t xml:space="preserve">, </w:t>
      </w:r>
      <w:r w:rsidR="00422F08" w:rsidRPr="00A97E6F">
        <w:rPr>
          <w:bdr w:val="none" w:sz="0" w:space="0" w:color="auto" w:frame="1"/>
          <w:shd w:val="clear" w:color="auto" w:fill="FFFFFF"/>
        </w:rPr>
        <w:t>including</w:t>
      </w:r>
      <w:r w:rsidR="00422F08" w:rsidRPr="00A97E6F">
        <w:t xml:space="preserve"> </w:t>
      </w:r>
      <w:r w:rsidR="00422F08" w:rsidRPr="00A97E6F">
        <w:rPr>
          <w:bdr w:val="none" w:sz="0" w:space="0" w:color="auto" w:frame="1"/>
          <w:shd w:val="clear" w:color="auto" w:fill="FFFFFF"/>
        </w:rPr>
        <w:t>lay</w:t>
      </w:r>
      <w:r w:rsidR="00422F08" w:rsidRPr="00A97E6F">
        <w:t xml:space="preserve"> </w:t>
      </w:r>
      <w:r w:rsidR="00422F08" w:rsidRPr="00A97E6F">
        <w:rPr>
          <w:bdr w:val="none" w:sz="0" w:space="0" w:color="auto" w:frame="1"/>
          <w:shd w:val="clear" w:color="auto" w:fill="FFFFFF"/>
        </w:rPr>
        <w:t>testimony</w:t>
      </w:r>
      <w:r w:rsidR="00422F08" w:rsidRPr="00A97E6F">
        <w:t>.”</w:t>
      </w:r>
      <w:r w:rsidR="009E4C02">
        <w:rPr>
          <w:rStyle w:val="FootnoteReference"/>
        </w:rPr>
        <w:footnoteReference w:id="42"/>
      </w:r>
      <w:r w:rsidR="00261FF0">
        <w:t xml:space="preserve"> In a prior case involving “a divergence of expert opinion as to the proper rate of return to be granted,” the Florida Supreme Court specifically held that “[i]t is the Commission’s prerogative to evaluate the testimony of competing experts and accord whatever weight to the conflicting opinions it deems appropriate.”</w:t>
      </w:r>
      <w:r w:rsidR="00261FF0">
        <w:rPr>
          <w:rStyle w:val="FootnoteReference"/>
        </w:rPr>
        <w:footnoteReference w:id="43"/>
      </w:r>
    </w:p>
    <w:p w14:paraId="4D07ED6C" w14:textId="77777777" w:rsidR="00CD61CA" w:rsidRDefault="009E4C02" w:rsidP="00422F08">
      <w:pPr>
        <w:shd w:val="clear" w:color="auto" w:fill="FFFFFF"/>
        <w:jc w:val="both"/>
      </w:pPr>
      <w:r>
        <w:t xml:space="preserve"> </w:t>
      </w:r>
    </w:p>
    <w:p w14:paraId="442C2838" w14:textId="1905CCC4" w:rsidR="00292800" w:rsidRDefault="00CD61CA" w:rsidP="00245BFE">
      <w:pPr>
        <w:shd w:val="clear" w:color="auto" w:fill="FFFFFF"/>
        <w:jc w:val="both"/>
      </w:pPr>
      <w:r>
        <w:tab/>
      </w:r>
      <w:r w:rsidR="00E146CA">
        <w:t>While all</w:t>
      </w:r>
      <w:r w:rsidR="003A053A">
        <w:t xml:space="preserve"> witnesses</w:t>
      </w:r>
      <w:r w:rsidR="00E146CA">
        <w:t xml:space="preserve"> on these issues</w:t>
      </w:r>
      <w:r w:rsidR="003A053A">
        <w:t xml:space="preserve"> </w:t>
      </w:r>
      <w:r w:rsidR="00F67268">
        <w:t xml:space="preserve">are extremely qualified in their areas of expertise and </w:t>
      </w:r>
      <w:r w:rsidR="003A053A">
        <w:t>provided comprehensive analyses and well-reasoned conclusions based on the facts in this</w:t>
      </w:r>
      <w:r w:rsidR="007566DD">
        <w:t xml:space="preserve"> record</w:t>
      </w:r>
      <w:r w:rsidR="00E146CA">
        <w:t>,</w:t>
      </w:r>
      <w:r w:rsidR="00E146CA" w:rsidRPr="00E146CA">
        <w:t xml:space="preserve"> </w:t>
      </w:r>
      <w:r w:rsidR="00E146CA">
        <w:t>we find the testimony of FPL Witnesses Coyne and Barrett</w:t>
      </w:r>
      <w:r w:rsidR="00F51946" w:rsidRPr="00F51946">
        <w:t xml:space="preserve"> </w:t>
      </w:r>
      <w:r w:rsidR="00F51946">
        <w:t>in this record</w:t>
      </w:r>
      <w:r w:rsidR="00E146CA">
        <w:t xml:space="preserve"> to be more persuasive. Accordingly, we afford their testimony greater weight than the testimony offered by the other experts in making our </w:t>
      </w:r>
      <w:r w:rsidR="00F51946">
        <w:t xml:space="preserve">specific </w:t>
      </w:r>
      <w:r w:rsidR="00E146CA">
        <w:t>findings and reaching our conclusions regarding both ROE and equity to debt ratio (discussed immediately below).</w:t>
      </w:r>
    </w:p>
    <w:p w14:paraId="6D0FB9F8" w14:textId="77777777" w:rsidR="00292800" w:rsidRDefault="00292800" w:rsidP="00292800">
      <w:pPr>
        <w:pStyle w:val="ListParagraph"/>
        <w:ind w:left="0"/>
        <w:jc w:val="both"/>
      </w:pPr>
    </w:p>
    <w:p w14:paraId="0F5E3FD4" w14:textId="77777777" w:rsidR="00292800" w:rsidRPr="00075289" w:rsidRDefault="00292800" w:rsidP="00292800">
      <w:pPr>
        <w:pStyle w:val="ListParagraph"/>
        <w:ind w:left="0"/>
        <w:jc w:val="both"/>
      </w:pPr>
      <w:r>
        <w:rPr>
          <w:b/>
        </w:rPr>
        <w:t>Issue 3:</w:t>
      </w:r>
      <w:r w:rsidR="00C174AD">
        <w:rPr>
          <w:b/>
        </w:rPr>
        <w:t xml:space="preserve"> </w:t>
      </w:r>
      <w:r>
        <w:rPr>
          <w:b/>
        </w:rPr>
        <w:t>Equity to Debt Ratio</w:t>
      </w:r>
    </w:p>
    <w:p w14:paraId="2DC36EAD" w14:textId="77777777" w:rsidR="00292800" w:rsidRDefault="00292800" w:rsidP="00292800">
      <w:pPr>
        <w:pStyle w:val="ListParagraph"/>
        <w:ind w:left="0"/>
        <w:jc w:val="both"/>
      </w:pPr>
    </w:p>
    <w:p w14:paraId="3D79A157" w14:textId="06690350" w:rsidR="00292800" w:rsidRDefault="00292800" w:rsidP="00292800">
      <w:pPr>
        <w:pStyle w:val="ListParagraph"/>
        <w:ind w:left="0"/>
        <w:jc w:val="both"/>
      </w:pPr>
      <w:r>
        <w:tab/>
        <w:t>FPL proposes an equity ratio of 59.6</w:t>
      </w:r>
      <w:r w:rsidR="003525AE">
        <w:t xml:space="preserve"> percent</w:t>
      </w:r>
      <w:r>
        <w:t>. This equity ratio is higher than the ratios we approved for TECO (</w:t>
      </w:r>
      <w:r>
        <w:rPr>
          <w:rFonts w:eastAsiaTheme="minorHAnsi"/>
        </w:rPr>
        <w:t>54</w:t>
      </w:r>
      <w:r w:rsidR="003525AE">
        <w:t xml:space="preserve"> percent</w:t>
      </w:r>
      <w:r>
        <w:t>)</w:t>
      </w:r>
      <w:r w:rsidR="00612615">
        <w:rPr>
          <w:rStyle w:val="FootnoteReference"/>
        </w:rPr>
        <w:footnoteReference w:id="44"/>
      </w:r>
      <w:r>
        <w:t xml:space="preserve"> and DEF (</w:t>
      </w:r>
      <w:r>
        <w:rPr>
          <w:rFonts w:eastAsiaTheme="minorHAnsi"/>
        </w:rPr>
        <w:t>53</w:t>
      </w:r>
      <w:r w:rsidR="003525AE">
        <w:t xml:space="preserve"> percent</w:t>
      </w:r>
      <w:r>
        <w:rPr>
          <w:rFonts w:eastAsiaTheme="minorHAnsi"/>
        </w:rPr>
        <w:t>)</w:t>
      </w:r>
      <w:r w:rsidR="00612615">
        <w:rPr>
          <w:rStyle w:val="FootnoteReference"/>
          <w:rFonts w:eastAsiaTheme="minorHAnsi"/>
        </w:rPr>
        <w:footnoteReference w:id="45"/>
      </w:r>
      <w:r>
        <w:t xml:space="preserve"> and above the average for the operating companies in the proxy group.</w:t>
      </w:r>
      <w:r>
        <w:rPr>
          <w:rStyle w:val="FootnoteReference"/>
        </w:rPr>
        <w:footnoteReference w:id="46"/>
      </w:r>
      <w:r>
        <w:t xml:space="preserve"> Florida Rising argues that there is no record evidence to support a higher ratio for FPL, and argues that our approval should be in the range of 50-55</w:t>
      </w:r>
      <w:r w:rsidR="003525AE">
        <w:t xml:space="preserve"> percent</w:t>
      </w:r>
      <w:r>
        <w:t>.</w:t>
      </w:r>
      <w:r w:rsidR="00EA31E9" w:rsidRPr="00EA31E9">
        <w:rPr>
          <w:rFonts w:eastAsiaTheme="minorHAnsi"/>
        </w:rPr>
        <w:t xml:space="preserve"> </w:t>
      </w:r>
      <w:r w:rsidR="00EA31E9">
        <w:rPr>
          <w:rFonts w:eastAsiaTheme="minorHAnsi"/>
        </w:rPr>
        <w:t>FAIR Witness Mac Mathuna’s ultimate conclusion is “that the fair and reasonable ROE for FPL should be set at 8.56</w:t>
      </w:r>
      <w:r w:rsidR="003525AE">
        <w:t xml:space="preserve"> percent</w:t>
      </w:r>
      <w:r w:rsidR="003525AE">
        <w:rPr>
          <w:rFonts w:eastAsiaTheme="minorHAnsi"/>
        </w:rPr>
        <w:t xml:space="preserve"> </w:t>
      </w:r>
      <w:r w:rsidR="00EA31E9">
        <w:rPr>
          <w:rFonts w:eastAsiaTheme="minorHAnsi"/>
        </w:rPr>
        <w:t>and that FPL’s equity ratio should be set at 55.4 percent for purposes of setting FPL’s revenue requirements for 2022.”</w:t>
      </w:r>
      <w:r w:rsidR="004543AD">
        <w:rPr>
          <w:rStyle w:val="FootnoteReference"/>
          <w:rFonts w:eastAsiaTheme="minorHAnsi"/>
        </w:rPr>
        <w:footnoteReference w:id="47"/>
      </w:r>
    </w:p>
    <w:p w14:paraId="7E2F4CCF" w14:textId="77777777" w:rsidR="00292800" w:rsidRDefault="00292800" w:rsidP="00292800">
      <w:pPr>
        <w:pStyle w:val="ListParagraph"/>
        <w:ind w:left="0"/>
        <w:jc w:val="both"/>
      </w:pPr>
    </w:p>
    <w:p w14:paraId="77A2A8F7" w14:textId="2D7D1DAF" w:rsidR="00292800" w:rsidRDefault="00292800" w:rsidP="00292800">
      <w:pPr>
        <w:pStyle w:val="ListParagraph"/>
        <w:ind w:left="0"/>
        <w:jc w:val="both"/>
      </w:pPr>
      <w:r>
        <w:tab/>
      </w:r>
      <w:r w:rsidR="00292A92">
        <w:t>FPL’s</w:t>
      </w:r>
      <w:r w:rsidR="005E787C">
        <w:t xml:space="preserve"> proposed equity ratio of 59.6</w:t>
      </w:r>
      <w:r w:rsidR="003525AE">
        <w:t xml:space="preserve"> percent</w:t>
      </w:r>
      <w:r w:rsidR="003525AE" w:rsidDel="003525AE">
        <w:t xml:space="preserve"> </w:t>
      </w:r>
      <w:r w:rsidR="005E787C">
        <w:t xml:space="preserve">is consistent with the ratios we have approved for FPL over the </w:t>
      </w:r>
      <w:r w:rsidR="001228B3">
        <w:t xml:space="preserve">past twenty years. </w:t>
      </w:r>
      <w:r>
        <w:t>The preponderance of the evidence</w:t>
      </w:r>
      <w:r w:rsidR="005E787C">
        <w:t xml:space="preserve"> in this record</w:t>
      </w:r>
      <w:r>
        <w:t xml:space="preserve"> supports </w:t>
      </w:r>
      <w:r w:rsidR="005E787C">
        <w:t>continuing this</w:t>
      </w:r>
      <w:r w:rsidR="00EA31E9">
        <w:t xml:space="preserve"> ratio. A</w:t>
      </w:r>
      <w:r w:rsidR="009F4CA9">
        <w:t>s discussed above, we find that FPL has a unique risk profile</w:t>
      </w:r>
      <w:r w:rsidR="00FB7290">
        <w:t>, and t</w:t>
      </w:r>
      <w:r w:rsidR="009F4CA9">
        <w:t>he equity to debt ratio is part of FPL’s overall strategy to maintain financial strength and flexibility.</w:t>
      </w:r>
    </w:p>
    <w:p w14:paraId="36391107" w14:textId="77777777" w:rsidR="00292800" w:rsidRDefault="00292800" w:rsidP="00292800">
      <w:pPr>
        <w:pStyle w:val="ListParagraph"/>
        <w:ind w:left="0"/>
        <w:jc w:val="both"/>
      </w:pPr>
    </w:p>
    <w:p w14:paraId="464F18C7" w14:textId="72700862" w:rsidR="00EA31E9" w:rsidRDefault="00EA31E9" w:rsidP="00292800">
      <w:pPr>
        <w:pStyle w:val="ListParagraph"/>
        <w:ind w:left="0"/>
        <w:jc w:val="both"/>
      </w:pPr>
      <w:r>
        <w:tab/>
      </w:r>
      <w:r w:rsidR="00FB7290">
        <w:t xml:space="preserve">Many of </w:t>
      </w:r>
      <w:r>
        <w:t>Intervenors’</w:t>
      </w:r>
      <w:r w:rsidR="007D7D34">
        <w:t xml:space="preserve"> </w:t>
      </w:r>
      <w:r w:rsidR="00FB7290">
        <w:t xml:space="preserve">factual </w:t>
      </w:r>
      <w:r w:rsidR="007D7D34">
        <w:t>argument</w:t>
      </w:r>
      <w:r w:rsidR="008848EC">
        <w:t>s</w:t>
      </w:r>
      <w:r>
        <w:t xml:space="preserve"> with respect to the equity</w:t>
      </w:r>
      <w:r w:rsidR="008848EC">
        <w:t xml:space="preserve"> to debt ratio </w:t>
      </w:r>
      <w:r w:rsidR="00FB7290">
        <w:t xml:space="preserve">mirror those with respect to the ROE. The remainder </w:t>
      </w:r>
      <w:r w:rsidR="008848EC">
        <w:t xml:space="preserve">are variations on a common theme: that is, the </w:t>
      </w:r>
      <w:r w:rsidR="00FB7290">
        <w:t xml:space="preserve">combination of the equity </w:t>
      </w:r>
      <w:r w:rsidR="008848EC">
        <w:t>ratio and ROE</w:t>
      </w:r>
      <w:r>
        <w:t xml:space="preserve"> produce rates that are n</w:t>
      </w:r>
      <w:r w:rsidR="00FB7290">
        <w:t xml:space="preserve">ot fair, just, and reasonable. </w:t>
      </w:r>
      <w:r w:rsidR="001B0D98">
        <w:t>For the reasons discussed in</w:t>
      </w:r>
      <w:r w:rsidR="002A1D9B">
        <w:t xml:space="preserve"> this Order, we reach the contrary conclusion and find that the capital structure </w:t>
      </w:r>
      <w:r w:rsidR="008738CF">
        <w:t xml:space="preserve">works as part of </w:t>
      </w:r>
      <w:r w:rsidR="002A1D9B">
        <w:t>the 2021 Settlement Agreement as a whole</w:t>
      </w:r>
      <w:r w:rsidR="008738CF">
        <w:t xml:space="preserve"> to</w:t>
      </w:r>
      <w:r w:rsidR="002A1D9B">
        <w:t xml:space="preserve"> further the public interest and result in rates that are fair, just, and reasonable.</w:t>
      </w:r>
    </w:p>
    <w:p w14:paraId="63765EF6" w14:textId="77777777" w:rsidR="002A1D9B" w:rsidRDefault="002A1D9B" w:rsidP="00292800">
      <w:pPr>
        <w:pStyle w:val="ListParagraph"/>
        <w:ind w:left="0"/>
        <w:jc w:val="both"/>
      </w:pPr>
    </w:p>
    <w:p w14:paraId="4F25E6F2" w14:textId="77777777" w:rsidR="00292800" w:rsidRDefault="00292800" w:rsidP="00292800">
      <w:pPr>
        <w:pStyle w:val="OrderBody"/>
      </w:pPr>
      <w:r>
        <w:rPr>
          <w:b/>
        </w:rPr>
        <w:t>Issue 4:</w:t>
      </w:r>
      <w:r w:rsidR="00030570">
        <w:rPr>
          <w:b/>
        </w:rPr>
        <w:t xml:space="preserve"> </w:t>
      </w:r>
      <w:r>
        <w:rPr>
          <w:b/>
        </w:rPr>
        <w:t>Reserve Surplus Amortization Mechanism (RSAM)</w:t>
      </w:r>
    </w:p>
    <w:p w14:paraId="7C19BB1C" w14:textId="77777777" w:rsidR="00292800" w:rsidRDefault="00292800" w:rsidP="00292800">
      <w:pPr>
        <w:pStyle w:val="OrderBody"/>
      </w:pPr>
    </w:p>
    <w:p w14:paraId="022C2247" w14:textId="33E89C6A" w:rsidR="00292800" w:rsidRDefault="00292800" w:rsidP="00292800">
      <w:pPr>
        <w:pStyle w:val="ListParagraph"/>
        <w:ind w:left="0"/>
        <w:jc w:val="both"/>
      </w:pPr>
      <w:r>
        <w:tab/>
        <w:t>As part of its original filing in this docket, FPL submitted a depreciation study performed by FPL Witness Allis. Based on the application of the parameters</w:t>
      </w:r>
      <w:r w:rsidR="007F4157">
        <w:t xml:space="preserve"> resulting from FPL’s 2021 Depreciation Study</w:t>
      </w:r>
      <w:r>
        <w:t xml:space="preserve">, Witness Allis concluded that FPL had a “theoretical reserve imbalance of $437 million.” Put plainly, the analysis estimated that FPL had under-collected from its ratepayers, and had a $437 million </w:t>
      </w:r>
      <w:r w:rsidR="007F4157">
        <w:t>theoretical reserve</w:t>
      </w:r>
      <w:r>
        <w:t xml:space="preserve"> deficit as a result. Witness Allis explained his conclusion and its import as follows:</w:t>
      </w:r>
    </w:p>
    <w:p w14:paraId="722BB011" w14:textId="77777777" w:rsidR="00292800" w:rsidRDefault="00292800" w:rsidP="00292800">
      <w:pPr>
        <w:pStyle w:val="ListParagraph"/>
        <w:ind w:left="0"/>
        <w:jc w:val="both"/>
      </w:pPr>
    </w:p>
    <w:p w14:paraId="110E77D0" w14:textId="5630FF32" w:rsidR="00292800" w:rsidRDefault="00292800" w:rsidP="00292800">
      <w:pPr>
        <w:pStyle w:val="ListParagraph"/>
        <w:ind w:right="720"/>
        <w:jc w:val="both"/>
      </w:pPr>
      <w:r>
        <w:t>The terms “correct” or “incorrect” and the precision or exactness that they imply have no application in this context; rather, the theoretical reserve is an estimate at any given point in time based on the current plant balances and current life and net salvage estimates. It can provide a benchmark of a Company’s reserve position, but it should not be thought of as the “correct” reserve amount.</w:t>
      </w:r>
      <w:r w:rsidR="004543AD">
        <w:rPr>
          <w:rStyle w:val="FootnoteReference"/>
        </w:rPr>
        <w:footnoteReference w:id="48"/>
      </w:r>
    </w:p>
    <w:p w14:paraId="731725E0" w14:textId="77777777" w:rsidR="00292800" w:rsidRDefault="00292800" w:rsidP="00292800">
      <w:pPr>
        <w:pStyle w:val="ListParagraph"/>
        <w:ind w:right="720"/>
        <w:jc w:val="both"/>
      </w:pPr>
    </w:p>
    <w:p w14:paraId="19500DD6" w14:textId="0B7431A9" w:rsidR="00292800" w:rsidRDefault="00292800" w:rsidP="00292800">
      <w:pPr>
        <w:pStyle w:val="ListParagraph"/>
        <w:ind w:left="0"/>
        <w:jc w:val="both"/>
      </w:pPr>
      <w:r>
        <w:tab/>
        <w:t>FPL then performed an alternative depreciation analysis using increased plant lives for the St. Lucie Nuclear Plant (60 years to 80 years), all combined cycle generating plants (40 years to 50 years), and all solar generating plants (30 years to 35 years). For transmission, distribution, and general plant functions, FPL adopted the lives and/or net salvage values from “either the 2016 FPL Rate Settlement or FPL witness Allis’ 2021 Depreciation Study whichever results in longer lives and/or higher net salvage.”</w:t>
      </w:r>
      <w:r w:rsidR="004543AD" w:rsidRPr="00D06746">
        <w:rPr>
          <w:rStyle w:val="FootnoteReference"/>
        </w:rPr>
        <w:footnoteReference w:id="49"/>
      </w:r>
      <w:r>
        <w:t xml:space="preserve"> </w:t>
      </w:r>
      <w:r w:rsidR="00E1156C">
        <w:t xml:space="preserve">Using the alternative depreciation parameters, FPL has a theoretical depreciation reserve surplus of $1.45 billion. </w:t>
      </w:r>
    </w:p>
    <w:p w14:paraId="2F2F8350" w14:textId="77777777" w:rsidR="00292800" w:rsidRDefault="00292800" w:rsidP="00292800">
      <w:pPr>
        <w:pStyle w:val="ListParagraph"/>
        <w:ind w:left="0"/>
        <w:jc w:val="both"/>
      </w:pPr>
    </w:p>
    <w:p w14:paraId="047B877B" w14:textId="06FA5FD4" w:rsidR="00A627E3" w:rsidRDefault="00292800" w:rsidP="00292800">
      <w:pPr>
        <w:pStyle w:val="ListParagraph"/>
        <w:ind w:left="0"/>
        <w:jc w:val="both"/>
      </w:pPr>
      <w:r>
        <w:tab/>
        <w:t>A preponderance of the evidence supports use of the alternative depreciation parameters. The St. Lucie Nuclear Plant extension is based on a reasonable expectation that the license renewal to be filed in 2021 will be granted. The Company has a record of above-average plant performance, plant upgrades, and plans for the potential utilization of green hydrogen, all of which support extending the life of its combined cycle facilities from 40 years to 50 years. Recent data indicate that a 35-year life for solar facilities is feasible.</w:t>
      </w:r>
    </w:p>
    <w:p w14:paraId="732F42F6" w14:textId="77777777" w:rsidR="00A627E3" w:rsidRDefault="00A627E3" w:rsidP="00292800">
      <w:pPr>
        <w:pStyle w:val="ListParagraph"/>
        <w:ind w:left="0"/>
        <w:jc w:val="both"/>
      </w:pPr>
    </w:p>
    <w:p w14:paraId="1CCDCCEE" w14:textId="75BCA209" w:rsidR="00395961" w:rsidRDefault="00A627E3" w:rsidP="00292800">
      <w:pPr>
        <w:pStyle w:val="ListParagraph"/>
        <w:ind w:left="0"/>
        <w:jc w:val="both"/>
      </w:pPr>
      <w:r>
        <w:tab/>
        <w:t xml:space="preserve">Whereas the theoretical reserve imbalance from the original depreciation study represented an under-collection, the </w:t>
      </w:r>
      <w:r w:rsidR="004A1F50">
        <w:t xml:space="preserve">reserve </w:t>
      </w:r>
      <w:r>
        <w:t xml:space="preserve">amount resulting from utilization of the alternative depreciation parameters represents an over-collection from the ratepayers. </w:t>
      </w:r>
      <w:r w:rsidR="00395961">
        <w:t xml:space="preserve">The RSAM </w:t>
      </w:r>
      <w:r w:rsidR="00744236">
        <w:t>is the</w:t>
      </w:r>
      <w:r>
        <w:t xml:space="preserve"> accounting tool that govern</w:t>
      </w:r>
      <w:r w:rsidR="00395961">
        <w:t>s FPL</w:t>
      </w:r>
      <w:r>
        <w:t>’s use of this</w:t>
      </w:r>
      <w:r w:rsidR="00395961">
        <w:t xml:space="preserve"> reserve amount</w:t>
      </w:r>
      <w:r w:rsidR="004A1F50">
        <w:t>. Under the RSAM, FPL uses the reserve amount</w:t>
      </w:r>
      <w:r w:rsidR="00395961">
        <w:t xml:space="preserve"> to absorb revenues and expenses</w:t>
      </w:r>
      <w:r w:rsidR="004A1F50">
        <w:t xml:space="preserve"> such that it maintains a return on equity within its approved range</w:t>
      </w:r>
      <w:r w:rsidR="00395961">
        <w:t>.</w:t>
      </w:r>
      <w:r>
        <w:t xml:space="preserve"> The Company records the increases and decreases in expenses that have been addressed by the RSAM in its surveillance reports.</w:t>
      </w:r>
    </w:p>
    <w:p w14:paraId="0B05D87F" w14:textId="77777777" w:rsidR="00395961" w:rsidRDefault="00395961" w:rsidP="00292800">
      <w:pPr>
        <w:pStyle w:val="ListParagraph"/>
        <w:ind w:left="0"/>
        <w:jc w:val="both"/>
      </w:pPr>
    </w:p>
    <w:p w14:paraId="6523C07B" w14:textId="3E1C87A0" w:rsidR="00292800" w:rsidRDefault="00395961" w:rsidP="00292800">
      <w:pPr>
        <w:pStyle w:val="ListParagraph"/>
        <w:ind w:left="0"/>
        <w:jc w:val="both"/>
      </w:pPr>
      <w:r>
        <w:tab/>
      </w:r>
      <w:r w:rsidR="00A627E3">
        <w:t xml:space="preserve">The RSAM operates under numerous conditions and limitations. </w:t>
      </w:r>
      <w:r w:rsidR="00292800">
        <w:t xml:space="preserve">The amount to be amortized is capped at $200 million in 2022, but </w:t>
      </w:r>
      <w:r w:rsidR="00397BDF">
        <w:t xml:space="preserve">is </w:t>
      </w:r>
      <w:r w:rsidR="00292800">
        <w:t xml:space="preserve">discretionary with FPL for each year thereafter.  Amortization in each year of the </w:t>
      </w:r>
      <w:r w:rsidR="003A5967">
        <w:t xml:space="preserve">Settlement </w:t>
      </w:r>
      <w:r w:rsidR="00292800">
        <w:t>Term is subject to the following conditions: (1) for any surveillance reports submitted by FPL in which its 12-month period ROE would otherwise fall below the bottom of the authorized range, FPL must amortize at least the amount necessary to maintain an ROE of at least the bottom of the authorized range; (2) FPL may not amortize an amount that would result in an ROE greater than the top of the authorized range for any 12-month period; and (3) FPL must debit depreciation expense and credit depreciation reserve in order not to exceed the top of its authorized range.  Any unfunded storm reserve balance must be depleted prior to using the funded reserve to recover storm costs.  During the Term, FPL must use all of its Reserve Amount to increase its ROE above the bottom of the ROE range before it may initiate a petition to increase base rates.</w:t>
      </w:r>
    </w:p>
    <w:p w14:paraId="279C1783" w14:textId="77777777" w:rsidR="00CD61CA" w:rsidRDefault="00CD61CA" w:rsidP="00292800">
      <w:pPr>
        <w:pStyle w:val="ListParagraph"/>
        <w:ind w:left="0"/>
        <w:jc w:val="both"/>
      </w:pPr>
    </w:p>
    <w:p w14:paraId="2A3EBFF4" w14:textId="77777777" w:rsidR="00CD61CA" w:rsidRDefault="006C5FF1" w:rsidP="00292800">
      <w:pPr>
        <w:pStyle w:val="ListParagraph"/>
        <w:ind w:left="0"/>
        <w:jc w:val="both"/>
      </w:pPr>
      <w:r>
        <w:tab/>
      </w:r>
      <w:r w:rsidR="00CD61CA">
        <w:t xml:space="preserve">Florida </w:t>
      </w:r>
      <w:r w:rsidR="00A56B31">
        <w:t>Rising contend</w:t>
      </w:r>
      <w:r>
        <w:t>s that</w:t>
      </w:r>
      <w:r w:rsidR="00A56B31">
        <w:t xml:space="preserve"> </w:t>
      </w:r>
      <w:r w:rsidR="00FD4A7A">
        <w:t>we should not allow FPL to</w:t>
      </w:r>
      <w:r w:rsidR="00A56B31">
        <w:t xml:space="preserve"> use the RSAM</w:t>
      </w:r>
      <w:r w:rsidR="00C2274D">
        <w:t xml:space="preserve"> at</w:t>
      </w:r>
      <w:r w:rsidR="00A56B31">
        <w:t xml:space="preserve"> </w:t>
      </w:r>
      <w:r w:rsidR="00FD4A7A">
        <w:t>its discretion because the Company has earned at the top of its regulatory range since the original adoption of the RSAM</w:t>
      </w:r>
      <w:r>
        <w:t>, and that such a return is not fair and reasonable</w:t>
      </w:r>
      <w:r w:rsidR="00FD4A7A">
        <w:t>.</w:t>
      </w:r>
      <w:r>
        <w:t xml:space="preserve"> FAIR agrees with Florida Rising, and further argues that the RSAM provisions in the 2021 Settlement allow the transfer of a customer-created reserve to FPL investors via earnings at the top of the authorized range. FAIR argues that the RSAM should be limited in its application to those situations where FPL must utilize it to stay at the midpoint of its authorized range, and should not be available to earn above the midpoint.</w:t>
      </w:r>
    </w:p>
    <w:p w14:paraId="4456B26E" w14:textId="77777777" w:rsidR="00AF672B" w:rsidRDefault="00AF672B" w:rsidP="00292800">
      <w:pPr>
        <w:pStyle w:val="ListParagraph"/>
        <w:ind w:left="0"/>
        <w:jc w:val="both"/>
      </w:pPr>
    </w:p>
    <w:p w14:paraId="4D08080B" w14:textId="77777777" w:rsidR="00AF672B" w:rsidRDefault="00AF672B" w:rsidP="00292800">
      <w:pPr>
        <w:pStyle w:val="ListParagraph"/>
        <w:ind w:left="0"/>
        <w:jc w:val="both"/>
      </w:pPr>
      <w:r>
        <w:tab/>
        <w:t xml:space="preserve">FPL counters that the RSAM is </w:t>
      </w:r>
      <w:r w:rsidR="00EE05BA">
        <w:t>essential</w:t>
      </w:r>
      <w:r>
        <w:t xml:space="preserve"> for the Company to implement a four-year rate plan without the need </w:t>
      </w:r>
      <w:r w:rsidR="003C76B5">
        <w:t xml:space="preserve">to </w:t>
      </w:r>
      <w:r w:rsidR="00685B71">
        <w:t>seek a change in rates. The RSAM allows the Company to address unexpected situations and changes in circumstances.</w:t>
      </w:r>
    </w:p>
    <w:p w14:paraId="48295EEB" w14:textId="77777777" w:rsidR="00685B71" w:rsidRDefault="00685B71" w:rsidP="00292800">
      <w:pPr>
        <w:pStyle w:val="ListParagraph"/>
        <w:ind w:left="0"/>
        <w:jc w:val="both"/>
      </w:pPr>
    </w:p>
    <w:p w14:paraId="762B3DCD" w14:textId="1194E14F" w:rsidR="00685B71" w:rsidRDefault="00685B71" w:rsidP="00EE05BA">
      <w:pPr>
        <w:pStyle w:val="ListParagraph"/>
        <w:ind w:left="0"/>
        <w:jc w:val="both"/>
      </w:pPr>
      <w:r>
        <w:tab/>
      </w:r>
      <w:r w:rsidR="00EA27A7">
        <w:t>The RSAM has been in place since 201</w:t>
      </w:r>
      <w:r w:rsidR="00612615">
        <w:t>3</w:t>
      </w:r>
      <w:r w:rsidR="00EA27A7">
        <w:t xml:space="preserve"> and has been a key to FPL</w:t>
      </w:r>
      <w:r w:rsidR="00FC60B6">
        <w:t xml:space="preserve"> implementing</w:t>
      </w:r>
      <w:r w:rsidR="00EA27A7">
        <w:t xml:space="preserve"> multi-year rate terms</w:t>
      </w:r>
      <w:r w:rsidR="00FC60B6">
        <w:t xml:space="preserve"> and avoiding multiple rate cases</w:t>
      </w:r>
      <w:r w:rsidR="00EA27A7">
        <w:t xml:space="preserve">. </w:t>
      </w:r>
      <w:r w:rsidR="00EE05BA">
        <w:t xml:space="preserve">During the </w:t>
      </w:r>
      <w:r w:rsidR="00E248B8">
        <w:t xml:space="preserve">most recent </w:t>
      </w:r>
      <w:r w:rsidR="00EE05BA">
        <w:t xml:space="preserve">period </w:t>
      </w:r>
      <w:r w:rsidR="00E248B8">
        <w:t>(</w:t>
      </w:r>
      <w:r w:rsidR="00EE05BA">
        <w:t>2017-2020</w:t>
      </w:r>
      <w:r w:rsidR="00E248B8">
        <w:t>)</w:t>
      </w:r>
      <w:r w:rsidR="00EE05BA">
        <w:t xml:space="preserve"> when FPL was operating under the 2016 Settlement, FPL was able to employ the RSAM to react to the 2017 Tax Reform and Jobs Act and </w:t>
      </w:r>
      <w:r w:rsidR="00CA4435">
        <w:t xml:space="preserve">address the </w:t>
      </w:r>
      <w:r w:rsidR="00EE05BA">
        <w:t>unprecedented impacts related to the COVID pandemi</w:t>
      </w:r>
      <w:r w:rsidR="00CA4435">
        <w:t>c without seeking a rate change.</w:t>
      </w:r>
      <w:r w:rsidR="00FF17C2">
        <w:t xml:space="preserve"> Even with those unexpected events, FPL was able to extend the term under its 2016 Settlement such that the rate increases sought here are effective January 2022 instead of January 2021.</w:t>
      </w:r>
      <w:r w:rsidR="00F05B91">
        <w:t xml:space="preserve"> </w:t>
      </w:r>
      <w:r w:rsidR="00E73168">
        <w:t>The RSAM has provided this degree of rate stability since 201</w:t>
      </w:r>
      <w:r w:rsidR="00612615">
        <w:t>3</w:t>
      </w:r>
      <w:r w:rsidR="00E73168">
        <w:t>.</w:t>
      </w:r>
      <w:r w:rsidR="0092581D">
        <w:t xml:space="preserve"> We find s</w:t>
      </w:r>
      <w:r w:rsidR="00E73168">
        <w:t xml:space="preserve">uch </w:t>
      </w:r>
      <w:r w:rsidR="002360A9">
        <w:t>rate stability, especially when accompanied by the</w:t>
      </w:r>
      <w:r w:rsidR="0092581D">
        <w:t xml:space="preserve"> </w:t>
      </w:r>
      <w:r w:rsidR="00E73168">
        <w:t>low base rat</w:t>
      </w:r>
      <w:r w:rsidR="0092581D">
        <w:t>es as detailed in this Order, to be</w:t>
      </w:r>
      <w:r w:rsidR="00E73168">
        <w:t xml:space="preserve"> in the public interest.</w:t>
      </w:r>
      <w:r w:rsidR="0063723B">
        <w:rPr>
          <w:rStyle w:val="FootnoteReference"/>
        </w:rPr>
        <w:footnoteReference w:id="50"/>
      </w:r>
    </w:p>
    <w:p w14:paraId="73EED8E8" w14:textId="77777777" w:rsidR="008848EC" w:rsidRDefault="008848EC" w:rsidP="00EE05BA">
      <w:pPr>
        <w:pStyle w:val="ListParagraph"/>
        <w:ind w:left="0"/>
        <w:jc w:val="both"/>
      </w:pPr>
    </w:p>
    <w:p w14:paraId="2D042ACD" w14:textId="1A58E3DE" w:rsidR="008848EC" w:rsidRPr="00EA27A7" w:rsidRDefault="008848EC" w:rsidP="00EA27A7">
      <w:pPr>
        <w:jc w:val="both"/>
        <w:rPr>
          <w:color w:val="000000"/>
        </w:rPr>
      </w:pPr>
      <w:r>
        <w:tab/>
        <w:t>Intervenors</w:t>
      </w:r>
      <w:r w:rsidR="00AC63DA">
        <w:t xml:space="preserve"> also</w:t>
      </w:r>
      <w:r>
        <w:t xml:space="preserve"> argu</w:t>
      </w:r>
      <w:r w:rsidR="00AC63DA">
        <w:t>e</w:t>
      </w:r>
      <w:r>
        <w:t xml:space="preserve"> that the RSAM is a financial tool that is </w:t>
      </w:r>
      <w:r w:rsidR="00FC60B6">
        <w:t xml:space="preserve">essentially a “slush fund” </w:t>
      </w:r>
      <w:r>
        <w:t>used by FPL to maintain earnings at the top of its range</w:t>
      </w:r>
      <w:r w:rsidR="0068308D">
        <w:t>, and that such an application of this mechanism is not in the public interest</w:t>
      </w:r>
      <w:r w:rsidR="00AC63DA">
        <w:t xml:space="preserve">. </w:t>
      </w:r>
      <w:r w:rsidR="00EA27A7">
        <w:rPr>
          <w:color w:val="000000"/>
        </w:rPr>
        <w:t xml:space="preserve">The RSAM </w:t>
      </w:r>
      <w:r w:rsidR="003F423F">
        <w:rPr>
          <w:color w:val="000000"/>
        </w:rPr>
        <w:t xml:space="preserve">is used to respond to events and expenses not anticipated in the normal course of </w:t>
      </w:r>
      <w:r w:rsidR="00AF145A">
        <w:rPr>
          <w:color w:val="000000"/>
        </w:rPr>
        <w:t>business. Day-to-day utility operations are generating revenues, and the combination of any number of factors in those operations can result in higher (or lower) earnings.</w:t>
      </w:r>
      <w:r w:rsidR="001A75D0">
        <w:rPr>
          <w:rStyle w:val="FootnoteReference"/>
          <w:color w:val="000000"/>
        </w:rPr>
        <w:footnoteReference w:id="51"/>
      </w:r>
      <w:r w:rsidR="00AF145A">
        <w:rPr>
          <w:color w:val="000000"/>
        </w:rPr>
        <w:t xml:space="preserve"> The RSAM can (and does) serve </w:t>
      </w:r>
      <w:r w:rsidR="008738CF">
        <w:rPr>
          <w:color w:val="000000"/>
        </w:rPr>
        <w:t>as a tool to</w:t>
      </w:r>
      <w:r w:rsidR="00AF145A">
        <w:rPr>
          <w:color w:val="000000"/>
        </w:rPr>
        <w:t xml:space="preserve"> address the unexpected as FPL implements its plans over time. In that manner, the RSAM may indirectly contribute to higher earnings.</w:t>
      </w:r>
    </w:p>
    <w:p w14:paraId="13EAD151" w14:textId="77777777" w:rsidR="00292800" w:rsidRDefault="00292800" w:rsidP="00292800">
      <w:pPr>
        <w:jc w:val="both"/>
      </w:pPr>
    </w:p>
    <w:p w14:paraId="326CD7E9" w14:textId="77777777" w:rsidR="00292800" w:rsidRPr="00075289" w:rsidRDefault="00292800" w:rsidP="00292800">
      <w:pPr>
        <w:jc w:val="both"/>
        <w:rPr>
          <w:b/>
        </w:rPr>
      </w:pPr>
      <w:r>
        <w:rPr>
          <w:b/>
        </w:rPr>
        <w:t>Issue 5:</w:t>
      </w:r>
      <w:r w:rsidR="00766C10">
        <w:rPr>
          <w:b/>
        </w:rPr>
        <w:t xml:space="preserve"> </w:t>
      </w:r>
      <w:r>
        <w:rPr>
          <w:b/>
        </w:rPr>
        <w:t>Rate base investments – SoBRA</w:t>
      </w:r>
    </w:p>
    <w:p w14:paraId="14A3C410" w14:textId="77777777" w:rsidR="00292800" w:rsidRDefault="00292800" w:rsidP="00292800">
      <w:pPr>
        <w:jc w:val="both"/>
      </w:pPr>
    </w:p>
    <w:p w14:paraId="276F73F4" w14:textId="179455B7" w:rsidR="008738CF" w:rsidRDefault="008738CF" w:rsidP="008738CF">
      <w:pPr>
        <w:pStyle w:val="ListParagraph"/>
        <w:ind w:left="0"/>
        <w:jc w:val="both"/>
      </w:pPr>
      <w:r>
        <w:tab/>
        <w:t>The 2021 Settlement authorizes FPL to construct 1,788 megawatts (MW) of solar facilities projected to go into service in 2024 and 2025 or within one year following expiration of the minimum term. These projects are subject to an installed cost cap of $1,250 per kilowatt of AC power (kW</w:t>
      </w:r>
      <w:r>
        <w:rPr>
          <w:vertAlign w:val="subscript"/>
        </w:rPr>
        <w:t>AC</w:t>
      </w:r>
      <w:r w:rsidRPr="00E45F6D">
        <w:t>)</w:t>
      </w:r>
      <w:r>
        <w:rPr>
          <w:vertAlign w:val="subscript"/>
        </w:rPr>
        <w:t xml:space="preserve">, </w:t>
      </w:r>
      <w:r>
        <w:t xml:space="preserve">less the cost of any land component allocated to such projects when the land is already included in rate base as Plant Held for Future Use.  If leased land is used to construct a project, the lease expense will be converted to a capital cost surrogate in accordance with </w:t>
      </w:r>
      <w:r w:rsidR="00827FDC">
        <w:t xml:space="preserve">our </w:t>
      </w:r>
      <w:r>
        <w:t>precedent and used to measure performance against the $1,250 per kW</w:t>
      </w:r>
      <w:r>
        <w:rPr>
          <w:vertAlign w:val="subscript"/>
        </w:rPr>
        <w:t>AC</w:t>
      </w:r>
      <w:r>
        <w:t xml:space="preserve"> price cap.</w:t>
      </w:r>
    </w:p>
    <w:p w14:paraId="79C02A82" w14:textId="77777777" w:rsidR="008738CF" w:rsidRDefault="008738CF" w:rsidP="008738CF">
      <w:pPr>
        <w:pStyle w:val="ListParagraph"/>
        <w:ind w:left="0"/>
        <w:jc w:val="both"/>
      </w:pPr>
    </w:p>
    <w:p w14:paraId="5C2BB962" w14:textId="5EBBE6FE" w:rsidR="008738CF" w:rsidRDefault="008738CF" w:rsidP="008738CF">
      <w:pPr>
        <w:pStyle w:val="ListParagraph"/>
        <w:ind w:left="0"/>
        <w:jc w:val="both"/>
      </w:pPr>
      <w:r>
        <w:tab/>
        <w:t>FPL is authorized to make Solar Base Rate Adjustments (SoBRA)</w:t>
      </w:r>
      <w:r w:rsidRPr="00D24181">
        <w:t xml:space="preserve"> </w:t>
      </w:r>
      <w:r>
        <w:t>during the</w:t>
      </w:r>
      <w:r w:rsidRPr="003A5967">
        <w:t xml:space="preserve"> </w:t>
      </w:r>
      <w:r>
        <w:t xml:space="preserve">Settlement Term to recover the costs of these projects. FPL must file a request for cost recovery approval of the subject solar generation project in the Fuel and Purchased Power Cost Recovery Clause in the year before that project goes into service. In that proceeding, </w:t>
      </w:r>
      <w:r w:rsidR="00827FDC">
        <w:t>we</w:t>
      </w:r>
      <w:r>
        <w:t xml:space="preserve"> will consider whether FPL’s cumulative present value of revenue requirements (CPVRR)</w:t>
      </w:r>
      <w:r>
        <w:rPr>
          <w:rStyle w:val="FootnoteReference"/>
        </w:rPr>
        <w:footnoteReference w:id="52"/>
      </w:r>
      <w:r>
        <w:t xml:space="preserve"> is lower with the generation project than without, and will also determine the associated adjustments to rates and riders.</w:t>
      </w:r>
    </w:p>
    <w:p w14:paraId="1473BDB2" w14:textId="77777777" w:rsidR="008738CF" w:rsidRDefault="008738CF" w:rsidP="008738CF">
      <w:pPr>
        <w:pStyle w:val="ListParagraph"/>
        <w:ind w:left="0"/>
        <w:jc w:val="both"/>
      </w:pPr>
    </w:p>
    <w:p w14:paraId="37410804" w14:textId="77777777" w:rsidR="008738CF" w:rsidRDefault="008738CF" w:rsidP="008738CF">
      <w:pPr>
        <w:pStyle w:val="ListParagraph"/>
        <w:ind w:left="0"/>
        <w:jc w:val="both"/>
      </w:pPr>
      <w:r>
        <w:tab/>
        <w:t>For each solar project that is approved for cost recovery, FPL’s base rates will be increased by the incremental annualized base revenue requirement (excluding any land component that is already included in base rates as Plant Held for Future Use) for the first 12 months of operation, but such recovery will not commence before the entire solar project is in service.  Battery storage can be paired with the solar projects so long as the total cost remains below the $1,250 per kW</w:t>
      </w:r>
      <w:r>
        <w:rPr>
          <w:vertAlign w:val="subscript"/>
        </w:rPr>
        <w:t xml:space="preserve">AC </w:t>
      </w:r>
      <w:r>
        <w:t>cap and the project is cost effective.</w:t>
      </w:r>
    </w:p>
    <w:p w14:paraId="0099FE7F" w14:textId="77777777" w:rsidR="008738CF" w:rsidRDefault="008738CF" w:rsidP="00766C10">
      <w:pPr>
        <w:jc w:val="both"/>
      </w:pPr>
    </w:p>
    <w:p w14:paraId="69A5590D" w14:textId="69998ED0" w:rsidR="00766C10" w:rsidRDefault="00766C10" w:rsidP="00766C10">
      <w:pPr>
        <w:jc w:val="both"/>
      </w:pPr>
      <w:r>
        <w:tab/>
        <w:t>Florida Rising contends that we are without authority to approve this mechanism for two reasons. First, Florida Rising argues that to approve future rate increases based on planned construction of solar facilities violates Section 366.06, F.S. Second, Florida Rising argues that interim rate increases are allowed under Section 366.07, F.S., only upon a showing by the utility that it is not earning within its range of return. The gist of both arguments is Florida Rising’s contention that we must conduct a hearing and make an appropriate determination at the time we allow interim rate hikes, and that to do so in advance violates the cited statutes and is illegal.</w:t>
      </w:r>
    </w:p>
    <w:p w14:paraId="07562D41" w14:textId="77777777" w:rsidR="00766C10" w:rsidRDefault="00766C10" w:rsidP="00766C10">
      <w:pPr>
        <w:jc w:val="both"/>
      </w:pPr>
    </w:p>
    <w:p w14:paraId="3C94BDE1" w14:textId="5F2A8AFF" w:rsidR="00766C10" w:rsidRDefault="00766C10" w:rsidP="00766C10">
      <w:pPr>
        <w:jc w:val="both"/>
      </w:pPr>
      <w:r>
        <w:tab/>
        <w:t>The Florida Supreme Court did not remand this matter for us to reconsider our authority to approve the SoBRA mechanism. Accordingly, we limit our discussion to whether approval of this mechanism is in the public interest in light of the factors identified by the Court in its remand.</w:t>
      </w:r>
    </w:p>
    <w:p w14:paraId="2B336873" w14:textId="77777777" w:rsidR="00292800" w:rsidRDefault="00292800" w:rsidP="00292800">
      <w:pPr>
        <w:pStyle w:val="ListParagraph"/>
        <w:ind w:left="0"/>
        <w:jc w:val="both"/>
      </w:pPr>
      <w:r>
        <w:t xml:space="preserve">         </w:t>
      </w:r>
    </w:p>
    <w:p w14:paraId="6E3AD226" w14:textId="4308BB05" w:rsidR="00F96829" w:rsidRDefault="00F86F4A" w:rsidP="00292800">
      <w:pPr>
        <w:jc w:val="both"/>
      </w:pPr>
      <w:r>
        <w:tab/>
        <w:t>The SoBRA mechanism was contained in the settlement agreements that we approved to resolve the FPL rate cases in both 2012 and 2016.</w:t>
      </w:r>
      <w:r w:rsidR="00ED0A33">
        <w:rPr>
          <w:rStyle w:val="FootnoteReference"/>
        </w:rPr>
        <w:footnoteReference w:id="53"/>
      </w:r>
      <w:r w:rsidR="00AE0CBD">
        <w:t xml:space="preserve"> </w:t>
      </w:r>
      <w:r w:rsidR="007A40BC">
        <w:tab/>
        <w:t>T</w:t>
      </w:r>
      <w:r w:rsidR="00260101">
        <w:t>h</w:t>
      </w:r>
      <w:r w:rsidR="00A564F9">
        <w:t>is</w:t>
      </w:r>
      <w:r w:rsidR="00DB4216">
        <w:t xml:space="preserve"> mechanism allows FPL to </w:t>
      </w:r>
      <w:r w:rsidR="009503B1">
        <w:t>inc</w:t>
      </w:r>
      <w:r w:rsidR="00DB4216">
        <w:t>rease</w:t>
      </w:r>
      <w:r w:rsidR="00260101">
        <w:t xml:space="preserve"> cost-effective solar incr</w:t>
      </w:r>
      <w:r w:rsidR="009503B1">
        <w:t>ementally over a defined period, with concurrent, gradual increases to rate base.</w:t>
      </w:r>
      <w:r w:rsidR="00DB4216">
        <w:t xml:space="preserve"> </w:t>
      </w:r>
      <w:r w:rsidR="009736E3">
        <w:t xml:space="preserve">Implementation of the SoBRA-based solar program has provided savings to customers while bringing a considerable number of solar projects into service. </w:t>
      </w:r>
      <w:r w:rsidR="00DB4216">
        <w:t xml:space="preserve">This increase in solar generation furthers </w:t>
      </w:r>
      <w:r w:rsidR="00EC091F">
        <w:t xml:space="preserve">Section 366.91(6), F.S., </w:t>
      </w:r>
      <w:r w:rsidR="00DB4216">
        <w:t xml:space="preserve">which </w:t>
      </w:r>
      <w:r w:rsidR="00EC091F">
        <w:t>provides:</w:t>
      </w:r>
    </w:p>
    <w:p w14:paraId="619CFBDB" w14:textId="77777777" w:rsidR="00EC091F" w:rsidRDefault="00EC091F" w:rsidP="00EC091F"/>
    <w:p w14:paraId="5E76EABB" w14:textId="77777777" w:rsidR="00EC091F" w:rsidRPr="00477882" w:rsidRDefault="00EC091F" w:rsidP="00EC091F">
      <w:pPr>
        <w:ind w:left="720" w:right="720"/>
        <w:jc w:val="both"/>
      </w:pPr>
      <w:r w:rsidRPr="00477882">
        <w:rPr>
          <w:shd w:val="clear" w:color="auto" w:fill="FFFFFF"/>
        </w:rPr>
        <w:t>The Legislature finds that it is in the public interest to promote the development of renewable energy resources in this state. Renewable energy resources have the potential to help diversify fuel types to meet Florida’s growing dependency on natural gas for electric production, minimize the volatility of fuel costs, encourage investment within the state, improve environmental conditions, and make Florida a leader in new and innovative technologies.</w:t>
      </w:r>
    </w:p>
    <w:p w14:paraId="1317F089" w14:textId="77777777" w:rsidR="00EC091F" w:rsidRDefault="00EC091F" w:rsidP="006516E5">
      <w:pPr>
        <w:jc w:val="both"/>
      </w:pPr>
    </w:p>
    <w:p w14:paraId="18738121" w14:textId="40FB9984" w:rsidR="00F72225" w:rsidRDefault="006516E5" w:rsidP="006516E5">
      <w:pPr>
        <w:jc w:val="both"/>
      </w:pPr>
      <w:r>
        <w:t>The opportunity for FPL to add solar generation during the Settlement Term furthers legislative intent to promote the development of renewable energy resources, to diversify the types of fuel used to generate electricity, and to improve environmental conditions.</w:t>
      </w:r>
      <w:r w:rsidR="008E221A">
        <w:t xml:space="preserve"> </w:t>
      </w:r>
      <w:r w:rsidR="009F4EF4">
        <w:t>The rate increases that accompany the addition of this genera</w:t>
      </w:r>
      <w:r w:rsidR="00612615">
        <w:t>tion</w:t>
      </w:r>
      <w:r w:rsidR="009F4EF4">
        <w:t xml:space="preserve"> are gradual and predictable, thereby supporting rate stab</w:t>
      </w:r>
      <w:r w:rsidR="00955D4A">
        <w:t>ility over the Term</w:t>
      </w:r>
      <w:r w:rsidR="00EF0A21">
        <w:t>.</w:t>
      </w:r>
    </w:p>
    <w:p w14:paraId="222D7BCC" w14:textId="77777777" w:rsidR="00292800" w:rsidRDefault="00292800" w:rsidP="00292800">
      <w:pPr>
        <w:jc w:val="both"/>
      </w:pPr>
    </w:p>
    <w:p w14:paraId="45F30C6A" w14:textId="77777777" w:rsidR="00292800" w:rsidRPr="00551C9C" w:rsidRDefault="00292800" w:rsidP="00292800">
      <w:pPr>
        <w:jc w:val="both"/>
        <w:rPr>
          <w:b/>
        </w:rPr>
      </w:pPr>
      <w:r>
        <w:rPr>
          <w:b/>
        </w:rPr>
        <w:t>Issue 6:</w:t>
      </w:r>
      <w:r w:rsidR="008E221A">
        <w:rPr>
          <w:b/>
        </w:rPr>
        <w:t xml:space="preserve"> </w:t>
      </w:r>
      <w:r>
        <w:rPr>
          <w:b/>
        </w:rPr>
        <w:t>SolarTogether expansion</w:t>
      </w:r>
    </w:p>
    <w:p w14:paraId="1830070B" w14:textId="77777777" w:rsidR="00292800" w:rsidRDefault="00292800" w:rsidP="00292800">
      <w:pPr>
        <w:ind w:left="720" w:hanging="720"/>
        <w:jc w:val="both"/>
      </w:pPr>
    </w:p>
    <w:p w14:paraId="058ADDE2" w14:textId="44D76632" w:rsidR="00292800" w:rsidRDefault="00292800" w:rsidP="00292800">
      <w:pPr>
        <w:autoSpaceDE w:val="0"/>
        <w:autoSpaceDN w:val="0"/>
        <w:adjustRightInd w:val="0"/>
        <w:jc w:val="both"/>
        <w:rPr>
          <w:rFonts w:ascii="TimesNewRomanPSMT" w:eastAsiaTheme="minorHAnsi" w:hAnsi="TimesNewRomanPSMT" w:cs="TimesNewRomanPSMT"/>
        </w:rPr>
      </w:pPr>
      <w:r>
        <w:tab/>
        <w:t>We approved the SolarTogether program (Phase I) the year before this rate case was filed by Order No. PSC-2020-0084-S-EI.</w:t>
      </w:r>
      <w:r>
        <w:rPr>
          <w:rStyle w:val="FootnoteReference"/>
        </w:rPr>
        <w:footnoteReference w:id="54"/>
      </w:r>
      <w:r w:rsidRPr="0013148B">
        <w:t xml:space="preserve"> </w:t>
      </w:r>
      <w:r>
        <w:t xml:space="preserve">This Order approved a Settlement Agreement executed by FPL, the Southern Alliance for Clean Energy, Vote Solar, and Walmart, Inc., and supported by amicus curiae Duke Energy Florida, LLC. Generally stated, </w:t>
      </w:r>
      <w:r>
        <w:rPr>
          <w:rFonts w:ascii="TimesNewRomanPSMT" w:eastAsiaTheme="minorHAnsi" w:hAnsi="TimesNewRomanPSMT" w:cs="TimesNewRomanPSMT"/>
        </w:rPr>
        <w:t xml:space="preserve">SolarTogether is a </w:t>
      </w:r>
      <w:r w:rsidR="00C26CB3">
        <w:rPr>
          <w:rFonts w:ascii="TimesNewRomanPSMT" w:eastAsiaTheme="minorHAnsi" w:hAnsi="TimesNewRomanPSMT" w:cs="TimesNewRomanPSMT"/>
        </w:rPr>
        <w:t xml:space="preserve">voluntary </w:t>
      </w:r>
      <w:r>
        <w:rPr>
          <w:rFonts w:ascii="TimesNewRomanPSMT" w:eastAsiaTheme="minorHAnsi" w:hAnsi="TimesNewRomanPSMT" w:cs="TimesNewRomanPSMT"/>
        </w:rPr>
        <w:t xml:space="preserve">program that </w:t>
      </w:r>
      <w:r w:rsidR="00C26CB3">
        <w:rPr>
          <w:rFonts w:ascii="TimesNewRomanPSMT" w:eastAsiaTheme="minorHAnsi" w:hAnsi="TimesNewRomanPSMT" w:cs="TimesNewRomanPSMT"/>
        </w:rPr>
        <w:t>provide</w:t>
      </w:r>
      <w:r>
        <w:rPr>
          <w:rFonts w:ascii="TimesNewRomanPSMT" w:eastAsiaTheme="minorHAnsi" w:hAnsi="TimesNewRomanPSMT" w:cs="TimesNewRomanPSMT"/>
        </w:rPr>
        <w:t>s FPL customers</w:t>
      </w:r>
      <w:r w:rsidR="00C26CB3">
        <w:rPr>
          <w:rFonts w:ascii="TimesNewRomanPSMT" w:eastAsiaTheme="minorHAnsi" w:hAnsi="TimesNewRomanPSMT" w:cs="TimesNewRomanPSMT"/>
        </w:rPr>
        <w:t xml:space="preserve"> the opportunity</w:t>
      </w:r>
      <w:r>
        <w:rPr>
          <w:rFonts w:ascii="TimesNewRomanPSMT" w:eastAsiaTheme="minorHAnsi" w:hAnsi="TimesNewRomanPSMT" w:cs="TimesNewRomanPSMT"/>
        </w:rPr>
        <w:t xml:space="preserve"> to subscribe to a portion of new solar capacity built through the program by paying a subscription charge. This subscription charge (or fee) reflects the</w:t>
      </w:r>
      <w:r w:rsidR="00955D4A">
        <w:rPr>
          <w:rFonts w:ascii="TimesNewRomanPSMT" w:eastAsiaTheme="minorHAnsi" w:hAnsi="TimesNewRomanPSMT" w:cs="TimesNewRomanPSMT"/>
        </w:rPr>
        <w:t xml:space="preserve"> revenue requirement associated</w:t>
      </w:r>
      <w:r>
        <w:rPr>
          <w:rFonts w:ascii="TimesNewRomanPSMT" w:eastAsiaTheme="minorHAnsi" w:hAnsi="TimesNewRomanPSMT" w:cs="TimesNewRomanPSMT"/>
        </w:rPr>
        <w:t xml:space="preserve"> with constructing the solar facilities, and is recorded by FPL in base revenues as sales from electricity. Those participants will receive a subscription credit representing a portion of the system savings produced by that solar capacity. The credit will be recovered through the Fuel Clause.</w:t>
      </w:r>
    </w:p>
    <w:p w14:paraId="3B6ED303" w14:textId="77777777" w:rsidR="00292800" w:rsidRDefault="00292800" w:rsidP="00292800">
      <w:pPr>
        <w:autoSpaceDE w:val="0"/>
        <w:autoSpaceDN w:val="0"/>
        <w:adjustRightInd w:val="0"/>
        <w:jc w:val="both"/>
        <w:rPr>
          <w:rFonts w:ascii="TimesNewRomanPSMT" w:eastAsiaTheme="minorHAnsi" w:hAnsi="TimesNewRomanPSMT" w:cs="TimesNewRomanPSMT"/>
        </w:rPr>
      </w:pPr>
    </w:p>
    <w:p w14:paraId="25A1DE80" w14:textId="16786CC0" w:rsidR="00292800" w:rsidRDefault="00292800" w:rsidP="00292800">
      <w:pPr>
        <w:autoSpaceDE w:val="0"/>
        <w:autoSpaceDN w:val="0"/>
        <w:adjustRightInd w:val="0"/>
        <w:jc w:val="both"/>
        <w:rPr>
          <w:rFonts w:ascii="TimesNewRomanPSMT" w:eastAsiaTheme="minorHAnsi" w:hAnsi="TimesNewRomanPSMT" w:cs="TimesNewRomanPSMT"/>
        </w:rPr>
      </w:pPr>
      <w:r>
        <w:rPr>
          <w:rFonts w:ascii="TimesNewRomanPSMT" w:eastAsiaTheme="minorHAnsi" w:hAnsi="TimesNewRomanPSMT" w:cs="TimesNewRomanPSMT"/>
        </w:rPr>
        <w:tab/>
        <w:t xml:space="preserve">The original approved size of the program (Phase I) is 1,490 MW, consisting of 20 individual solar power plants sized at 74.5 MW each. The 1,490 MW capacity is allocated 75 percent (1,117.5 MW) to commercial, industrial, and governmental customers and 25 percent (372.5 MW) to residential and small business. Customers may elect a subscription level equivalent to the capacity that would generate up to 100 percent of their previous 12 months’ total kilowatt-hour usage, subject to capacity availability. Participation in the Program is voluntary. The 1,490 MW of solar generation is projected to save customers $249 million. FPL </w:t>
      </w:r>
      <w:r w:rsidR="00842792">
        <w:rPr>
          <w:rFonts w:ascii="TimesNewRomanPSMT" w:eastAsiaTheme="minorHAnsi" w:hAnsi="TimesNewRomanPSMT" w:cs="TimesNewRomanPSMT"/>
        </w:rPr>
        <w:t>estimates that</w:t>
      </w:r>
      <w:r>
        <w:rPr>
          <w:rFonts w:ascii="TimesNewRomanPSMT" w:eastAsiaTheme="minorHAnsi" w:hAnsi="TimesNewRomanPSMT" w:cs="TimesNewRomanPSMT"/>
        </w:rPr>
        <w:t xml:space="preserve"> 55 percent of the projected </w:t>
      </w:r>
      <w:r w:rsidR="00842792">
        <w:rPr>
          <w:rFonts w:ascii="TimesNewRomanPSMT" w:eastAsiaTheme="minorHAnsi" w:hAnsi="TimesNewRomanPSMT" w:cs="TimesNewRomanPSMT"/>
        </w:rPr>
        <w:t xml:space="preserve">program </w:t>
      </w:r>
      <w:r>
        <w:rPr>
          <w:rFonts w:ascii="TimesNewRomanPSMT" w:eastAsiaTheme="minorHAnsi" w:hAnsi="TimesNewRomanPSMT" w:cs="TimesNewRomanPSMT"/>
        </w:rPr>
        <w:t>benefits</w:t>
      </w:r>
      <w:r w:rsidR="00842792">
        <w:rPr>
          <w:rFonts w:ascii="TimesNewRomanPSMT" w:eastAsiaTheme="minorHAnsi" w:hAnsi="TimesNewRomanPSMT" w:cs="TimesNewRomanPSMT"/>
        </w:rPr>
        <w:t xml:space="preserve"> will flow</w:t>
      </w:r>
      <w:r>
        <w:rPr>
          <w:rFonts w:ascii="TimesNewRomanPSMT" w:eastAsiaTheme="minorHAnsi" w:hAnsi="TimesNewRomanPSMT" w:cs="TimesNewRomanPSMT"/>
        </w:rPr>
        <w:t xml:space="preserve"> to participants and 45 percent to the general body of customers.</w:t>
      </w:r>
    </w:p>
    <w:p w14:paraId="4DE1A81F" w14:textId="77777777" w:rsidR="00292800" w:rsidRDefault="00292800" w:rsidP="00292800">
      <w:pPr>
        <w:autoSpaceDE w:val="0"/>
        <w:autoSpaceDN w:val="0"/>
        <w:adjustRightInd w:val="0"/>
        <w:jc w:val="both"/>
        <w:rPr>
          <w:rFonts w:ascii="TimesNewRomanPSMT" w:eastAsiaTheme="minorHAnsi" w:hAnsi="TimesNewRomanPSMT" w:cs="TimesNewRomanPSMT"/>
        </w:rPr>
      </w:pPr>
    </w:p>
    <w:p w14:paraId="64FB7C02" w14:textId="20AAAB0D" w:rsidR="00292800" w:rsidRDefault="00292800" w:rsidP="00292800">
      <w:pPr>
        <w:autoSpaceDE w:val="0"/>
        <w:autoSpaceDN w:val="0"/>
        <w:adjustRightInd w:val="0"/>
        <w:jc w:val="both"/>
        <w:rPr>
          <w:rFonts w:ascii="TimesNewRomanPSMT" w:eastAsiaTheme="minorHAnsi" w:hAnsi="TimesNewRomanPSMT" w:cs="TimesNewRomanPSMT"/>
        </w:rPr>
      </w:pPr>
      <w:r>
        <w:tab/>
        <w:t>The 2021 Settlement</w:t>
      </w:r>
      <w:r>
        <w:rPr>
          <w:rStyle w:val="FootnoteReference"/>
        </w:rPr>
        <w:footnoteReference w:id="55"/>
      </w:r>
      <w:r>
        <w:t xml:space="preserve"> proposes to expand the program by an additional 1,788 MW at FPL’s discretion through 2025 such that the total capacity of SolarTogether would equal 3,278 MW.  The 1,788 MW of incremental capacity will be allocated 40</w:t>
      </w:r>
      <w:r w:rsidR="003525AE">
        <w:t xml:space="preserve"> percent</w:t>
      </w:r>
      <w:r w:rsidR="003525AE" w:rsidDel="003525AE">
        <w:t xml:space="preserve"> </w:t>
      </w:r>
      <w:r>
        <w:t>to residential and small business customers (45 MW reserved for low-income participants) and 60</w:t>
      </w:r>
      <w:r w:rsidR="003525AE">
        <w:t xml:space="preserve"> percent</w:t>
      </w:r>
      <w:r w:rsidR="003525AE" w:rsidDel="003525AE">
        <w:t xml:space="preserve"> </w:t>
      </w:r>
      <w:r>
        <w:t>allocated to commercial, industrial, and governmental (20</w:t>
      </w:r>
      <w:r w:rsidR="003525AE">
        <w:t xml:space="preserve"> percent </w:t>
      </w:r>
      <w:r>
        <w:t xml:space="preserve">of this commercial, industrial, and governmental capacity is reserved for participants located in the former Gulf territory). The allocation of benefits remains the same at </w:t>
      </w:r>
      <w:r>
        <w:rPr>
          <w:rFonts w:ascii="TimesNewRomanPSMT" w:eastAsiaTheme="minorHAnsi" w:hAnsi="TimesNewRomanPSMT" w:cs="TimesNewRomanPSMT"/>
        </w:rPr>
        <w:t>55 percent to participants and 45 percent to the general body of customers. The program is designed such that participants will receive 55</w:t>
      </w:r>
      <w:r w:rsidR="003525AE">
        <w:t xml:space="preserve"> percent</w:t>
      </w:r>
      <w:r w:rsidR="003525AE" w:rsidDel="003525AE">
        <w:rPr>
          <w:rFonts w:ascii="TimesNewRomanPSMT" w:eastAsiaTheme="minorHAnsi" w:hAnsi="TimesNewRomanPSMT" w:cs="TimesNewRomanPSMT"/>
        </w:rPr>
        <w:t xml:space="preserve"> </w:t>
      </w:r>
      <w:r>
        <w:rPr>
          <w:rFonts w:ascii="TimesNewRomanPSMT" w:eastAsiaTheme="minorHAnsi" w:hAnsi="TimesNewRomanPSMT" w:cs="TimesNewRomanPSMT"/>
        </w:rPr>
        <w:t>of the program benefits ($357 million), realizing full pay-back of their subscription fees by year 7, while paying 103.26</w:t>
      </w:r>
      <w:r w:rsidR="003525AE">
        <w:t xml:space="preserve"> percent</w:t>
      </w:r>
      <w:r w:rsidR="003525AE" w:rsidDel="003525AE">
        <w:rPr>
          <w:rFonts w:ascii="TimesNewRomanPSMT" w:eastAsiaTheme="minorHAnsi" w:hAnsi="TimesNewRomanPSMT" w:cs="TimesNewRomanPSMT"/>
        </w:rPr>
        <w:t xml:space="preserve"> </w:t>
      </w:r>
      <w:r>
        <w:rPr>
          <w:rFonts w:ascii="TimesNewRomanPSMT" w:eastAsiaTheme="minorHAnsi" w:hAnsi="TimesNewRomanPSMT" w:cs="TimesNewRomanPSMT"/>
        </w:rPr>
        <w:t>of the program’s revenue requirements. The general body of ratepayers will receive 45</w:t>
      </w:r>
      <w:r w:rsidR="003525AE">
        <w:t xml:space="preserve"> percent</w:t>
      </w:r>
      <w:r w:rsidR="003525AE" w:rsidDel="003525AE">
        <w:rPr>
          <w:rFonts w:ascii="TimesNewRomanPSMT" w:eastAsiaTheme="minorHAnsi" w:hAnsi="TimesNewRomanPSMT" w:cs="TimesNewRomanPSMT"/>
        </w:rPr>
        <w:t xml:space="preserve"> </w:t>
      </w:r>
      <w:r>
        <w:rPr>
          <w:rFonts w:ascii="TimesNewRomanPSMT" w:eastAsiaTheme="minorHAnsi" w:hAnsi="TimesNewRomanPSMT" w:cs="TimesNewRomanPSMT"/>
        </w:rPr>
        <w:t>($292 million) of the program benefits and pay no subscription fee.</w:t>
      </w:r>
      <w:r w:rsidR="00BD67D0">
        <w:rPr>
          <w:rFonts w:ascii="TimesNewRomanPSMT" w:eastAsiaTheme="minorHAnsi" w:hAnsi="TimesNewRomanPSMT" w:cs="TimesNewRomanPSMT"/>
        </w:rPr>
        <w:t xml:space="preserve"> Of this amount, $95 million is fixed.</w:t>
      </w:r>
      <w:r w:rsidR="00BD67D0">
        <w:rPr>
          <w:rStyle w:val="FootnoteReference"/>
          <w:rFonts w:ascii="TimesNewRomanPSMT" w:eastAsiaTheme="minorHAnsi" w:hAnsi="TimesNewRomanPSMT" w:cs="TimesNewRomanPSMT"/>
        </w:rPr>
        <w:footnoteReference w:id="56"/>
      </w:r>
    </w:p>
    <w:p w14:paraId="1ED15542" w14:textId="77777777" w:rsidR="00292800" w:rsidRDefault="00292800" w:rsidP="00292800">
      <w:pPr>
        <w:pStyle w:val="ListParagraph"/>
        <w:ind w:left="0"/>
        <w:jc w:val="both"/>
      </w:pPr>
    </w:p>
    <w:p w14:paraId="5FC09A78" w14:textId="3871F22E" w:rsidR="00292800" w:rsidRDefault="00292800" w:rsidP="00292800">
      <w:pPr>
        <w:pStyle w:val="ListParagraph"/>
        <w:ind w:left="0"/>
        <w:jc w:val="both"/>
      </w:pPr>
      <w:r>
        <w:tab/>
        <w:t>Florida Rising contends that the program allocations in the program</w:t>
      </w:r>
      <w:r w:rsidR="00955D4A">
        <w:t>,</w:t>
      </w:r>
      <w:r>
        <w:t xml:space="preserve"> as modified in the 2021 Settlement</w:t>
      </w:r>
      <w:r w:rsidR="00955D4A">
        <w:t>’</w:t>
      </w:r>
      <w:r>
        <w:t xml:space="preserve"> are discriminatory in that they do not match actual power consumption by FPL customers. Specifically, Florida Rising notes that residential consumption makes up 63</w:t>
      </w:r>
      <w:r w:rsidR="003525AE">
        <w:t xml:space="preserve"> percent</w:t>
      </w:r>
      <w:r w:rsidR="003525AE" w:rsidDel="003525AE">
        <w:t xml:space="preserve"> </w:t>
      </w:r>
      <w:r>
        <w:t>of FPL energy sales, yet residential customers are allocated less than that share in the</w:t>
      </w:r>
      <w:r w:rsidR="00216513">
        <w:t xml:space="preserve"> current proposal.</w:t>
      </w:r>
      <w:r w:rsidR="00C26173">
        <w:t xml:space="preserve"> </w:t>
      </w:r>
      <w:r>
        <w:t>Another feature of the SolarTogether program contested by Florida Rising involves the calculation of credits to those who participate in the program and benefits to the general body of ratepayers.</w:t>
      </w:r>
      <w:r w:rsidR="00DA3F9C">
        <w:t xml:space="preserve"> Specifically, Florida Rising contends that the benefits to participants are much greater than those realized by non-participants, and are subsidized by the general body of ratepayers.</w:t>
      </w:r>
      <w:r w:rsidR="00C26173">
        <w:t xml:space="preserve"> </w:t>
      </w:r>
      <w:r w:rsidR="00DA3F9C">
        <w:t xml:space="preserve">Finally, </w:t>
      </w:r>
      <w:r>
        <w:t>Florida Rising also argues that FPL’s projections are skewed and SolarTo</w:t>
      </w:r>
      <w:r w:rsidR="00955D4A">
        <w:t>gether is not a cost-effective way in which</w:t>
      </w:r>
      <w:r>
        <w:t xml:space="preserve"> to construct the planned solar.</w:t>
      </w:r>
    </w:p>
    <w:p w14:paraId="7AF2D118" w14:textId="77777777" w:rsidR="00292800" w:rsidRDefault="00292800" w:rsidP="00292800">
      <w:pPr>
        <w:pStyle w:val="ListParagraph"/>
        <w:ind w:left="0"/>
        <w:jc w:val="both"/>
      </w:pPr>
    </w:p>
    <w:p w14:paraId="504C8E50" w14:textId="64AD8B04" w:rsidR="00292800" w:rsidRPr="00D8121A" w:rsidRDefault="00292800" w:rsidP="00292800">
      <w:pPr>
        <w:pStyle w:val="ListParagraph"/>
        <w:ind w:left="0"/>
        <w:jc w:val="both"/>
      </w:pPr>
      <w:r>
        <w:tab/>
        <w:t xml:space="preserve">FPL’s overarching response to the specific arguments regarding the cost-effectiveness of SolarTogether is that the costs and benefits must be examined (1) over the life of the program and (2) as compared to the costs and benefits of continuing to construct non-solar power generation facilities. Over its life, the SolarTogether extension alone is projected to provide $425 million of </w:t>
      </w:r>
      <w:r w:rsidR="001A5195">
        <w:t>CPVRR</w:t>
      </w:r>
      <w:r>
        <w:t xml:space="preserve"> </w:t>
      </w:r>
      <w:r w:rsidR="00EA16CE">
        <w:t xml:space="preserve">savings </w:t>
      </w:r>
      <w:r>
        <w:t>compared to the same time period without SolarTogether. Coupled with the 2020 SolarTogether (Phase I) approval, the total CPVRR for the program is projected to be $648 million.</w:t>
      </w:r>
      <w:r w:rsidR="009E7611" w:rsidRPr="009E7611">
        <w:rPr>
          <w:rFonts w:ascii="TimesNewRomanPSMT" w:eastAsiaTheme="minorHAnsi" w:hAnsi="TimesNewRomanPSMT" w:cs="TimesNewRomanPSMT"/>
        </w:rPr>
        <w:t xml:space="preserve"> </w:t>
      </w:r>
      <w:r w:rsidR="009E7611">
        <w:rPr>
          <w:rFonts w:ascii="TimesNewRomanPSMT" w:eastAsiaTheme="minorHAnsi" w:hAnsi="TimesNewRomanPSMT" w:cs="TimesNewRomanPSMT"/>
        </w:rPr>
        <w:t xml:space="preserve">FPL </w:t>
      </w:r>
      <w:r w:rsidR="00EA16CE">
        <w:rPr>
          <w:rFonts w:ascii="TimesNewRomanPSMT" w:eastAsiaTheme="minorHAnsi" w:hAnsi="TimesNewRomanPSMT" w:cs="TimesNewRomanPSMT"/>
        </w:rPr>
        <w:t>estimates</w:t>
      </w:r>
      <w:r w:rsidR="009E7611">
        <w:rPr>
          <w:rFonts w:ascii="TimesNewRomanPSMT" w:eastAsiaTheme="minorHAnsi" w:hAnsi="TimesNewRomanPSMT" w:cs="TimesNewRomanPSMT"/>
        </w:rPr>
        <w:t xml:space="preserve"> 55 percent of the projected benefits</w:t>
      </w:r>
      <w:r w:rsidR="00EA16CE">
        <w:rPr>
          <w:rFonts w:ascii="TimesNewRomanPSMT" w:eastAsiaTheme="minorHAnsi" w:hAnsi="TimesNewRomanPSMT" w:cs="TimesNewRomanPSMT"/>
        </w:rPr>
        <w:t xml:space="preserve"> will flow</w:t>
      </w:r>
      <w:r w:rsidR="009E7611">
        <w:rPr>
          <w:rFonts w:ascii="TimesNewRomanPSMT" w:eastAsiaTheme="minorHAnsi" w:hAnsi="TimesNewRomanPSMT" w:cs="TimesNewRomanPSMT"/>
        </w:rPr>
        <w:t xml:space="preserve"> to participants and 45 percent to the general body of customers.</w:t>
      </w:r>
    </w:p>
    <w:p w14:paraId="23FC7200" w14:textId="77777777" w:rsidR="00292800" w:rsidRDefault="00292800" w:rsidP="00292800">
      <w:pPr>
        <w:jc w:val="both"/>
      </w:pPr>
    </w:p>
    <w:p w14:paraId="26AE22CC" w14:textId="77777777" w:rsidR="00BD063E" w:rsidRDefault="00161FAB" w:rsidP="00292800">
      <w:pPr>
        <w:jc w:val="both"/>
      </w:pPr>
      <w:r>
        <w:tab/>
      </w:r>
      <w:r w:rsidR="00BD063E">
        <w:t>Our initial approval of SolarTogether by Order No. PSC-2020-0084-S-EI expressly contemplates the possibility of FPL proposing an “FPL SolarTogether Phase II.”</w:t>
      </w:r>
      <w:r w:rsidR="00BD063E">
        <w:rPr>
          <w:rStyle w:val="FootnoteReference"/>
        </w:rPr>
        <w:footnoteReference w:id="57"/>
      </w:r>
      <w:r w:rsidR="00BD063E" w:rsidRPr="00BD063E">
        <w:t xml:space="preserve"> </w:t>
      </w:r>
      <w:r w:rsidR="00BD063E">
        <w:t>The preponderance of the evidence demonstrates that this expansion of SolarTogether is cost-effective and in the public interest.</w:t>
      </w:r>
    </w:p>
    <w:p w14:paraId="0179B9D0" w14:textId="77777777" w:rsidR="00BD063E" w:rsidRDefault="00BD063E" w:rsidP="00292800">
      <w:pPr>
        <w:jc w:val="both"/>
      </w:pPr>
    </w:p>
    <w:p w14:paraId="35DA21E7" w14:textId="52DC0BA7" w:rsidR="00C4753E" w:rsidRDefault="00BD063E" w:rsidP="00292800">
      <w:pPr>
        <w:jc w:val="both"/>
      </w:pPr>
      <w:r>
        <w:tab/>
      </w:r>
      <w:r w:rsidR="00914522">
        <w:t>FPL used the same cost-effectiveness analysis for this expansion as it did for the original program. This analysis basically compares the FPL fleet with and without the additional proposed solar generation</w:t>
      </w:r>
      <w:r w:rsidR="00865641">
        <w:t>, and supports the conclusion that the total CPVRR of the extended program is $648 million.</w:t>
      </w:r>
      <w:r w:rsidR="005369B0">
        <w:t xml:space="preserve"> Witness Bores convincingly demonstrated that the calculations offered by Florida Rising in support of their claim of an unduly discriminatory rate structure were based on a flawed assumption.</w:t>
      </w:r>
      <w:r w:rsidR="00865641">
        <w:t xml:space="preserve"> We find th</w:t>
      </w:r>
      <w:r w:rsidR="005369B0">
        <w:t>e</w:t>
      </w:r>
      <w:r w:rsidR="00CA4C46">
        <w:t xml:space="preserve"> </w:t>
      </w:r>
      <w:r w:rsidR="005369B0">
        <w:t xml:space="preserve">comprehensive </w:t>
      </w:r>
      <w:r w:rsidR="00CA4C46">
        <w:t xml:space="preserve">analysis performed over the life of the </w:t>
      </w:r>
      <w:r w:rsidR="00914522">
        <w:t xml:space="preserve">extended </w:t>
      </w:r>
      <w:r w:rsidR="00CA4C46">
        <w:t xml:space="preserve">SolarTogether program </w:t>
      </w:r>
      <w:r w:rsidR="005369B0">
        <w:t>under the direction of</w:t>
      </w:r>
      <w:r w:rsidR="00CA4C46">
        <w:t xml:space="preserve"> FPL Witness Bores </w:t>
      </w:r>
      <w:r w:rsidR="00865641">
        <w:t>and its conclusion regarding CPVRR</w:t>
      </w:r>
      <w:r w:rsidR="004514BA">
        <w:t xml:space="preserve"> benefits</w:t>
      </w:r>
      <w:r>
        <w:t xml:space="preserve"> to be</w:t>
      </w:r>
      <w:r w:rsidR="004514BA">
        <w:t xml:space="preserve"> </w:t>
      </w:r>
      <w:r w:rsidR="00C56E34">
        <w:t>more persuasive tha</w:t>
      </w:r>
      <w:r w:rsidR="00CA4C46">
        <w:t>n mathematical snapshots offered by Florida Rising as impeachment of that analysis.</w:t>
      </w:r>
      <w:r w:rsidR="005369B0">
        <w:t xml:space="preserve"> </w:t>
      </w:r>
    </w:p>
    <w:p w14:paraId="0C535D62" w14:textId="77777777" w:rsidR="00C4753E" w:rsidRDefault="00C4753E" w:rsidP="00292800">
      <w:pPr>
        <w:jc w:val="both"/>
      </w:pPr>
    </w:p>
    <w:p w14:paraId="75323BF6" w14:textId="77777777" w:rsidR="00865641" w:rsidRPr="00C549CE" w:rsidRDefault="00C4753E" w:rsidP="00292800">
      <w:pPr>
        <w:jc w:val="both"/>
        <w:rPr>
          <w:rFonts w:ascii="TimesNewRomanPSMT" w:eastAsiaTheme="minorHAnsi" w:hAnsi="TimesNewRomanPSMT" w:cs="TimesNewRomanPSMT"/>
        </w:rPr>
      </w:pPr>
      <w:r>
        <w:tab/>
        <w:t>Further, w</w:t>
      </w:r>
      <w:r w:rsidR="00865641">
        <w:t xml:space="preserve">e find the </w:t>
      </w:r>
      <w:r w:rsidR="00865641">
        <w:rPr>
          <w:rFonts w:ascii="TimesNewRomanPSMT" w:eastAsiaTheme="minorHAnsi" w:hAnsi="TimesNewRomanPSMT" w:cs="TimesNewRomanPSMT"/>
        </w:rPr>
        <w:t xml:space="preserve">allocation of 55 percent of these projected benefits to participants and 45 percent to the general body of customers to be </w:t>
      </w:r>
      <w:r>
        <w:rPr>
          <w:rFonts w:ascii="TimesNewRomanPSMT" w:eastAsiaTheme="minorHAnsi" w:hAnsi="TimesNewRomanPSMT" w:cs="TimesNewRomanPSMT"/>
        </w:rPr>
        <w:t xml:space="preserve">in the public interest </w:t>
      </w:r>
      <w:r w:rsidR="00865641">
        <w:rPr>
          <w:rFonts w:ascii="TimesNewRomanPSMT" w:eastAsiaTheme="minorHAnsi" w:hAnsi="TimesNewRomanPSMT" w:cs="TimesNewRomanPSMT"/>
        </w:rPr>
        <w:t>and, as discussed below, to be part of a framework that results in fair, just, and reasonable rates.</w:t>
      </w:r>
      <w:r w:rsidR="00C549CE">
        <w:rPr>
          <w:rFonts w:ascii="TimesNewRomanPSMT" w:eastAsiaTheme="minorHAnsi" w:hAnsi="TimesNewRomanPSMT" w:cs="TimesNewRomanPSMT"/>
        </w:rPr>
        <w:t xml:space="preserve"> </w:t>
      </w:r>
      <w:r w:rsidR="006046C3">
        <w:rPr>
          <w:rFonts w:ascii="TimesNewRomanPSMT" w:eastAsiaTheme="minorHAnsi" w:hAnsi="TimesNewRomanPSMT" w:cs="TimesNewRomanPSMT"/>
        </w:rPr>
        <w:t>W</w:t>
      </w:r>
      <w:r>
        <w:rPr>
          <w:rFonts w:ascii="TimesNewRomanPSMT" w:eastAsiaTheme="minorHAnsi" w:hAnsi="TimesNewRomanPSMT" w:cs="TimesNewRomanPSMT"/>
        </w:rPr>
        <w:t xml:space="preserve">e </w:t>
      </w:r>
      <w:r w:rsidR="006046C3">
        <w:rPr>
          <w:rFonts w:ascii="TimesNewRomanPSMT" w:eastAsiaTheme="minorHAnsi" w:hAnsi="TimesNewRomanPSMT" w:cs="TimesNewRomanPSMT"/>
        </w:rPr>
        <w:t xml:space="preserve">also </w:t>
      </w:r>
      <w:r>
        <w:rPr>
          <w:rFonts w:ascii="TimesNewRomanPSMT" w:eastAsiaTheme="minorHAnsi" w:hAnsi="TimesNewRomanPSMT" w:cs="TimesNewRomanPSMT"/>
        </w:rPr>
        <w:t xml:space="preserve">find that </w:t>
      </w:r>
      <w:r w:rsidR="00865641">
        <w:rPr>
          <w:shd w:val="clear" w:color="auto" w:fill="FFFFFF"/>
        </w:rPr>
        <w:t>SolarTogether fairly distributes the new solar generation among classes, with Phase II increasing availability for residential and small business customers</w:t>
      </w:r>
      <w:r w:rsidR="006046C3">
        <w:rPr>
          <w:shd w:val="clear" w:color="auto" w:fill="FFFFFF"/>
        </w:rPr>
        <w:t>. Because SolarTogether fairly distributes generation and benefits among ratepayers, we reject Florida Rising’s argument that the program is unduly discriminatory</w:t>
      </w:r>
      <w:r w:rsidR="00865641">
        <w:rPr>
          <w:shd w:val="clear" w:color="auto" w:fill="FFFFFF"/>
        </w:rPr>
        <w:t>.</w:t>
      </w:r>
    </w:p>
    <w:p w14:paraId="23333186" w14:textId="77777777" w:rsidR="00C56E34" w:rsidRDefault="00C56E34" w:rsidP="00292800">
      <w:pPr>
        <w:jc w:val="both"/>
      </w:pPr>
    </w:p>
    <w:p w14:paraId="7DFF9D8B" w14:textId="77777777" w:rsidR="00C56E34" w:rsidRDefault="00C56E34" w:rsidP="00292800">
      <w:pPr>
        <w:jc w:val="both"/>
      </w:pPr>
      <w:r>
        <w:tab/>
      </w:r>
      <w:r w:rsidR="006862D2">
        <w:rPr>
          <w:shd w:val="clear" w:color="auto" w:fill="FFFFFF"/>
        </w:rPr>
        <w:t>Fina</w:t>
      </w:r>
      <w:r w:rsidR="00EA645B">
        <w:rPr>
          <w:shd w:val="clear" w:color="auto" w:fill="FFFFFF"/>
        </w:rPr>
        <w:t>lly, as discussed below in the Public Interest</w:t>
      </w:r>
      <w:r w:rsidR="006862D2">
        <w:rPr>
          <w:shd w:val="clear" w:color="auto" w:fill="FFFFFF"/>
        </w:rPr>
        <w:t xml:space="preserve"> section of this Order, our approval of Phase II of SolarTogether </w:t>
      </w:r>
      <w:r>
        <w:t>serv</w:t>
      </w:r>
      <w:r w:rsidR="006862D2">
        <w:t>es</w:t>
      </w:r>
      <w:r>
        <w:t xml:space="preserve"> “</w:t>
      </w:r>
      <w:r w:rsidRPr="00477882">
        <w:rPr>
          <w:shd w:val="clear" w:color="auto" w:fill="FFFFFF"/>
        </w:rPr>
        <w:t>the public interest to promote the development of renewable energy resources in this state.</w:t>
      </w:r>
      <w:r>
        <w:rPr>
          <w:shd w:val="clear" w:color="auto" w:fill="FFFFFF"/>
        </w:rPr>
        <w:t>”</w:t>
      </w:r>
      <w:r w:rsidR="00F72225">
        <w:rPr>
          <w:rStyle w:val="FootnoteReference"/>
          <w:shd w:val="clear" w:color="auto" w:fill="FFFFFF"/>
        </w:rPr>
        <w:footnoteReference w:id="58"/>
      </w:r>
    </w:p>
    <w:p w14:paraId="3A133BD5" w14:textId="77777777" w:rsidR="00206A8B" w:rsidRDefault="00206A8B" w:rsidP="00292800">
      <w:pPr>
        <w:jc w:val="both"/>
      </w:pPr>
    </w:p>
    <w:p w14:paraId="0EEB3977" w14:textId="77777777" w:rsidR="00292800" w:rsidRDefault="00292800" w:rsidP="00292800">
      <w:pPr>
        <w:jc w:val="both"/>
      </w:pPr>
      <w:r>
        <w:rPr>
          <w:b/>
        </w:rPr>
        <w:t>Issue 7:</w:t>
      </w:r>
      <w:r w:rsidR="00704854">
        <w:rPr>
          <w:b/>
        </w:rPr>
        <w:t xml:space="preserve"> </w:t>
      </w:r>
      <w:r>
        <w:rPr>
          <w:b/>
        </w:rPr>
        <w:t>Pilot programs</w:t>
      </w:r>
    </w:p>
    <w:p w14:paraId="710850F6" w14:textId="77777777" w:rsidR="00292800" w:rsidRDefault="00292800" w:rsidP="00292800">
      <w:pPr>
        <w:jc w:val="both"/>
      </w:pPr>
    </w:p>
    <w:p w14:paraId="6716D930" w14:textId="448B1104" w:rsidR="00292800" w:rsidRDefault="00292800" w:rsidP="00292800">
      <w:pPr>
        <w:jc w:val="both"/>
      </w:pPr>
      <w:r>
        <w:tab/>
      </w:r>
      <w:r w:rsidR="002800A5">
        <w:t>Approval of t</w:t>
      </w:r>
      <w:r>
        <w:t>he 2021 Settlement Agreement authorizes several pilot programs, three of which are challenged by Inte</w:t>
      </w:r>
      <w:r w:rsidR="00397BDF">
        <w:t>r</w:t>
      </w:r>
      <w:r>
        <w:t>venors as set forth below.</w:t>
      </w:r>
    </w:p>
    <w:p w14:paraId="26189102" w14:textId="77777777" w:rsidR="00F7713A" w:rsidRDefault="00F7713A" w:rsidP="00292800">
      <w:pPr>
        <w:jc w:val="both"/>
      </w:pPr>
    </w:p>
    <w:p w14:paraId="7296EEF6" w14:textId="77777777" w:rsidR="00292800" w:rsidRDefault="00292800" w:rsidP="00292800">
      <w:pPr>
        <w:jc w:val="both"/>
      </w:pPr>
    </w:p>
    <w:p w14:paraId="235A3C1E" w14:textId="77777777" w:rsidR="00292800" w:rsidRDefault="00292800" w:rsidP="00292800">
      <w:pPr>
        <w:jc w:val="both"/>
        <w:rPr>
          <w:u w:val="single"/>
        </w:rPr>
      </w:pPr>
      <w:r>
        <w:rPr>
          <w:u w:val="single"/>
        </w:rPr>
        <w:t>Electric vehicle chargers</w:t>
      </w:r>
    </w:p>
    <w:p w14:paraId="57C12257" w14:textId="77777777" w:rsidR="00292800" w:rsidRPr="000A6B23" w:rsidRDefault="00292800" w:rsidP="00292800">
      <w:pPr>
        <w:jc w:val="both"/>
      </w:pPr>
    </w:p>
    <w:p w14:paraId="274F3C79" w14:textId="3F24ECE3" w:rsidR="00292800" w:rsidRDefault="00292800" w:rsidP="00292800">
      <w:pPr>
        <w:autoSpaceDE w:val="0"/>
        <w:autoSpaceDN w:val="0"/>
        <w:adjustRightInd w:val="0"/>
        <w:jc w:val="both"/>
        <w:rPr>
          <w:rFonts w:eastAsiaTheme="minorHAnsi"/>
        </w:rPr>
      </w:pPr>
      <w:r>
        <w:tab/>
        <w:t xml:space="preserve">The Settlement Agreement authorizes six programs related to electric vehicles (EVs): </w:t>
      </w:r>
      <w:r w:rsidR="00800B27">
        <w:t xml:space="preserve">(1) </w:t>
      </w:r>
      <w:r w:rsidRPr="0032537E">
        <w:rPr>
          <w:i/>
        </w:rPr>
        <w:t>EVolution</w:t>
      </w:r>
      <w:r>
        <w:t xml:space="preserve">, a program to gather data and better plan for and design future EV investments ($30 million); </w:t>
      </w:r>
      <w:r w:rsidR="00800B27">
        <w:t xml:space="preserve">(2) </w:t>
      </w:r>
      <w:r w:rsidRPr="0032537E">
        <w:rPr>
          <w:i/>
        </w:rPr>
        <w:t>public fast charging program</w:t>
      </w:r>
      <w:r>
        <w:t xml:space="preserve">, designed to place utility-owned public EV fast charging stations ($100 million); </w:t>
      </w:r>
      <w:r w:rsidR="00800B27">
        <w:t xml:space="preserve">(3) </w:t>
      </w:r>
      <w:r>
        <w:t>r</w:t>
      </w:r>
      <w:r w:rsidRPr="0032537E">
        <w:rPr>
          <w:i/>
        </w:rPr>
        <w:t>esidential EV charging services pilot</w:t>
      </w:r>
      <w:r>
        <w:t xml:space="preserve">, providing opportunity for residential customers to have an EV charger installed, owned, operated, and maintained by FPL ($25 million); </w:t>
      </w:r>
      <w:r w:rsidR="00800B27">
        <w:t xml:space="preserve">(4) </w:t>
      </w:r>
      <w:r w:rsidRPr="001E3662">
        <w:rPr>
          <w:i/>
        </w:rPr>
        <w:t>commercial EV charging services pilot</w:t>
      </w:r>
      <w:r>
        <w:t xml:space="preserve">, providing opportunity for commercial customers to pay a fixed monthly charge for EV charging services via Company-owned, operated, and maintained equipment for fleet vehicles ($25 million); </w:t>
      </w:r>
      <w:r w:rsidR="00800B27">
        <w:t xml:space="preserve">(5) </w:t>
      </w:r>
      <w:r w:rsidRPr="001E3662">
        <w:rPr>
          <w:i/>
        </w:rPr>
        <w:t>new technologies and software</w:t>
      </w:r>
      <w:r>
        <w:t xml:space="preserve">, designed to evaluate emerging electric technologies and enhance service and resiliency for customers ($20 million); and </w:t>
      </w:r>
      <w:r w:rsidR="00800B27">
        <w:t xml:space="preserve">(6) </w:t>
      </w:r>
      <w:r w:rsidRPr="001E3662">
        <w:rPr>
          <w:i/>
        </w:rPr>
        <w:t>education and awareness</w:t>
      </w:r>
      <w:r>
        <w:t>, a suite of programs including school curriculums, promotion at conferences and gathering, and providing resources about electric options ($5 million). The EVolution program was presented by FPL in its original request and direct testimony. The other five programs were added by the 2021 Settlement.</w:t>
      </w:r>
    </w:p>
    <w:p w14:paraId="25CFB1C5" w14:textId="77777777" w:rsidR="00292800" w:rsidRDefault="00292800" w:rsidP="00292800">
      <w:pPr>
        <w:autoSpaceDE w:val="0"/>
        <w:autoSpaceDN w:val="0"/>
        <w:adjustRightInd w:val="0"/>
        <w:jc w:val="both"/>
      </w:pPr>
    </w:p>
    <w:p w14:paraId="2BE394CE" w14:textId="204FA530" w:rsidR="00292800" w:rsidRDefault="00292800" w:rsidP="00292800">
      <w:pPr>
        <w:pStyle w:val="ListParagraph"/>
        <w:ind w:left="0"/>
        <w:jc w:val="both"/>
      </w:pPr>
      <w:r>
        <w:tab/>
        <w:t>The 2021 Settlement Agreement authorizes FPL to implement and recover the costs associated with these EV programs. Pursuant to the 2021 Settlement, only the reasonableness of amounts actually expended may be challenged.  The cost of the infrastructure of the EV programs, including the installation and removal costs, are includ</w:t>
      </w:r>
      <w:r w:rsidR="009610AE">
        <w:t>ed</w:t>
      </w:r>
      <w:r>
        <w:t xml:space="preserve"> in the jurisdictional rate base until recovered from customers.</w:t>
      </w:r>
      <w:r w:rsidRPr="001E3662">
        <w:t xml:space="preserve"> </w:t>
      </w:r>
      <w:r>
        <w:t xml:space="preserve">This total cost is estimated at </w:t>
      </w:r>
      <w:r w:rsidRPr="001C5DD3">
        <w:t xml:space="preserve">$205 </w:t>
      </w:r>
      <w:r>
        <w:t>million over the Term, with certain offsets expected.</w:t>
      </w:r>
      <w:r w:rsidRPr="001E3662">
        <w:rPr>
          <w:rFonts w:eastAsiaTheme="minorHAnsi"/>
        </w:rPr>
        <w:t xml:space="preserve"> </w:t>
      </w:r>
      <w:r>
        <w:rPr>
          <w:rFonts w:eastAsiaTheme="minorHAnsi"/>
        </w:rPr>
        <w:t>Customer pricing for the commercial EV pilot is designed to recover all costs and expenses over the life of the assets and to be CPVRR neutral to the general body of ratepayers over the Term.</w:t>
      </w:r>
      <w:r w:rsidRPr="001E3662">
        <w:rPr>
          <w:rFonts w:eastAsiaTheme="minorHAnsi"/>
        </w:rPr>
        <w:t xml:space="preserve"> </w:t>
      </w:r>
      <w:r>
        <w:rPr>
          <w:rFonts w:eastAsiaTheme="minorHAnsi"/>
        </w:rPr>
        <w:t xml:space="preserve">The revenue requirements of the public fast charging program will be partially offset by revenue received under FPL’s tariff approved in Docket </w:t>
      </w:r>
      <w:r w:rsidR="00397BDF">
        <w:rPr>
          <w:rFonts w:eastAsiaTheme="minorHAnsi"/>
        </w:rPr>
        <w:t xml:space="preserve">No. </w:t>
      </w:r>
      <w:r>
        <w:rPr>
          <w:rFonts w:eastAsiaTheme="minorHAnsi"/>
        </w:rPr>
        <w:t>20200170-EI, which establishes a rate for utility-owned public EV fast charging stations.</w:t>
      </w:r>
    </w:p>
    <w:p w14:paraId="54D06C31" w14:textId="77777777" w:rsidR="00292800" w:rsidRDefault="00292800" w:rsidP="00292800">
      <w:pPr>
        <w:pStyle w:val="ListParagraph"/>
        <w:ind w:left="0"/>
        <w:jc w:val="both"/>
      </w:pPr>
    </w:p>
    <w:p w14:paraId="5AD366F8" w14:textId="5EB7EE7E" w:rsidR="00292800" w:rsidRDefault="00292800" w:rsidP="00292800">
      <w:pPr>
        <w:pStyle w:val="ListParagraph"/>
        <w:ind w:left="0"/>
        <w:jc w:val="both"/>
      </w:pPr>
      <w:r>
        <w:tab/>
        <w:t>Florida Rising contends that these EV charging costs do not belong in rate base because they do not generate or provide electricity to the general body of customers and are not supported by any cost-benefit analysis.</w:t>
      </w:r>
    </w:p>
    <w:p w14:paraId="7B2229C2" w14:textId="77777777" w:rsidR="00292800" w:rsidRDefault="00292800" w:rsidP="00292800">
      <w:pPr>
        <w:pStyle w:val="ListParagraph"/>
        <w:ind w:left="0"/>
        <w:jc w:val="both"/>
      </w:pPr>
    </w:p>
    <w:p w14:paraId="68A8E65E" w14:textId="77777777" w:rsidR="00766A8D" w:rsidRDefault="00292800" w:rsidP="00292800">
      <w:pPr>
        <w:pStyle w:val="ListParagraph"/>
        <w:ind w:left="0"/>
        <w:jc w:val="both"/>
      </w:pPr>
      <w:r>
        <w:tab/>
        <w:t>Beginning in 1995 and continuing through the present, we have approved pilot EV programs for several Florida public utilities, including FPL.</w:t>
      </w:r>
      <w:r w:rsidRPr="00DE76E7">
        <w:rPr>
          <w:vertAlign w:val="superscript"/>
        </w:rPr>
        <w:footnoteReference w:id="59"/>
      </w:r>
      <w:r>
        <w:t xml:space="preserve"> While each program differs in detail, they all serve the same general public interest goals.</w:t>
      </w:r>
    </w:p>
    <w:p w14:paraId="329A9DC2" w14:textId="77777777" w:rsidR="009F4EF4" w:rsidRDefault="009F4EF4" w:rsidP="00292800">
      <w:pPr>
        <w:pStyle w:val="ListParagraph"/>
        <w:ind w:left="0"/>
        <w:jc w:val="both"/>
      </w:pPr>
    </w:p>
    <w:p w14:paraId="70A2EDBF" w14:textId="6736BE13" w:rsidR="00292800" w:rsidRDefault="00766A8D" w:rsidP="00292800">
      <w:pPr>
        <w:pStyle w:val="ListParagraph"/>
        <w:ind w:left="0"/>
        <w:jc w:val="both"/>
      </w:pPr>
      <w:r>
        <w:tab/>
      </w:r>
      <w:r w:rsidR="0019723D">
        <w:t>As we have in those prior dockets, w</w:t>
      </w:r>
      <w:r w:rsidR="00292800">
        <w:t xml:space="preserve">e find that </w:t>
      </w:r>
      <w:r>
        <w:t>understanding</w:t>
      </w:r>
      <w:r w:rsidR="00292800" w:rsidRPr="00DE76E7">
        <w:t xml:space="preserve"> </w:t>
      </w:r>
      <w:r>
        <w:t xml:space="preserve">the </w:t>
      </w:r>
      <w:r w:rsidR="00292800" w:rsidRPr="00DE76E7">
        <w:t>impacts EVs will have on the local grid</w:t>
      </w:r>
      <w:r>
        <w:t xml:space="preserve"> is in the public interest</w:t>
      </w:r>
      <w:r w:rsidR="0019723D">
        <w:t>. T</w:t>
      </w:r>
      <w:r>
        <w:t xml:space="preserve">he programs proposed by FPL are </w:t>
      </w:r>
      <w:r w:rsidR="002800A5">
        <w:t>an effective</w:t>
      </w:r>
      <w:r>
        <w:t xml:space="preserve"> means of gathering </w:t>
      </w:r>
      <w:r w:rsidR="0019723D">
        <w:t xml:space="preserve">this </w:t>
      </w:r>
      <w:r>
        <w:t>information</w:t>
      </w:r>
      <w:r w:rsidR="00292800" w:rsidRPr="00DE76E7">
        <w:t>.</w:t>
      </w:r>
      <w:r w:rsidR="004060BE">
        <w:rPr>
          <w:rStyle w:val="FootnoteReference"/>
        </w:rPr>
        <w:footnoteReference w:id="60"/>
      </w:r>
      <w:r>
        <w:t xml:space="preserve"> Specifically, a</w:t>
      </w:r>
      <w:r w:rsidR="00292800">
        <w:t>s EV ownership increases, utilities must increase their awareness of the impacts of EV charging on grid reliability and customer usage patterns.</w:t>
      </w:r>
      <w:r w:rsidR="004060BE">
        <w:t xml:space="preserve"> </w:t>
      </w:r>
      <w:r w:rsidR="00292800">
        <w:t>These programs will provide FPL with the data points needed t</w:t>
      </w:r>
      <w:r w:rsidR="00B86A64">
        <w:t>o plan for these impacts.</w:t>
      </w:r>
    </w:p>
    <w:p w14:paraId="3587A329" w14:textId="77777777" w:rsidR="00E56223" w:rsidRDefault="00E56223" w:rsidP="00292800">
      <w:pPr>
        <w:jc w:val="both"/>
      </w:pPr>
    </w:p>
    <w:p w14:paraId="2F8B2F97" w14:textId="77777777" w:rsidR="00292800" w:rsidRDefault="00292800" w:rsidP="00292800">
      <w:pPr>
        <w:jc w:val="both"/>
      </w:pPr>
      <w:r>
        <w:rPr>
          <w:u w:val="single"/>
        </w:rPr>
        <w:t>Green hydrogen</w:t>
      </w:r>
    </w:p>
    <w:p w14:paraId="09AD8994" w14:textId="77777777" w:rsidR="00292800" w:rsidRDefault="00292800" w:rsidP="00292800">
      <w:pPr>
        <w:jc w:val="both"/>
      </w:pPr>
    </w:p>
    <w:p w14:paraId="61839E72" w14:textId="1C53E284" w:rsidR="00292800" w:rsidRDefault="00292800" w:rsidP="00292800">
      <w:pPr>
        <w:jc w:val="both"/>
      </w:pPr>
      <w:r>
        <w:tab/>
        <w:t>FPL is authorized to implement a Green Hydrogen pilot project to evaluate how its combustion turbine units operate with a hydrogen fuel mix and learn how a hydrogen fuel production facility can be effectively used on-site with combustion turbine units.  The pilot will be conducted at the existing Okeechobee Clean Energy Center and a 25</w:t>
      </w:r>
      <w:r w:rsidR="00397BDF">
        <w:t xml:space="preserve"> </w:t>
      </w:r>
      <w:r>
        <w:t xml:space="preserve">MW electrolyzer and storage facility will be built there.  The estimated cost of this pilot program is $65 million with a projected in-service date of 2023.  This estimated cost </w:t>
      </w:r>
      <w:r w:rsidR="002800A5">
        <w:t>is</w:t>
      </w:r>
      <w:r>
        <w:t xml:space="preserve"> included in rate base and is subject to challenge at a later date.</w:t>
      </w:r>
    </w:p>
    <w:p w14:paraId="116277A6" w14:textId="77777777" w:rsidR="00292800" w:rsidRDefault="00292800" w:rsidP="00292800">
      <w:pPr>
        <w:jc w:val="both"/>
      </w:pPr>
    </w:p>
    <w:p w14:paraId="0994D4EE" w14:textId="11F99DA6" w:rsidR="00292800" w:rsidRDefault="00292800" w:rsidP="00292800">
      <w:pPr>
        <w:autoSpaceDE w:val="0"/>
        <w:autoSpaceDN w:val="0"/>
        <w:adjustRightInd w:val="0"/>
        <w:jc w:val="both"/>
        <w:rPr>
          <w:rFonts w:eastAsiaTheme="minorHAnsi"/>
        </w:rPr>
      </w:pPr>
      <w:r>
        <w:tab/>
        <w:t>Florida Rising contends that the Green Hydrogen pilot is uneconomic, inefficient, and “</w:t>
      </w:r>
      <w:r>
        <w:rPr>
          <w:rFonts w:eastAsiaTheme="minorHAnsi"/>
        </w:rPr>
        <w:t>ultimately an attempt by FPL to use its monopoly power to extract R&amp;D rents from captive rate payers to subsidize its possible entry into wholesale sales of hydrogen.” Florida Rising Witness Rabago testified that hydrogen is categorically uneconomic on the scale proposed by FPL, and that even small-sca</w:t>
      </w:r>
      <w:r w:rsidR="00216513">
        <w:rPr>
          <w:rFonts w:eastAsiaTheme="minorHAnsi"/>
        </w:rPr>
        <w:t>le usage will be inefficient.</w:t>
      </w:r>
    </w:p>
    <w:p w14:paraId="2DB955BA" w14:textId="77777777" w:rsidR="00292800" w:rsidRDefault="00292800" w:rsidP="00292800">
      <w:pPr>
        <w:autoSpaceDE w:val="0"/>
        <w:autoSpaceDN w:val="0"/>
        <w:adjustRightInd w:val="0"/>
        <w:jc w:val="both"/>
        <w:rPr>
          <w:rFonts w:eastAsiaTheme="minorHAnsi"/>
        </w:rPr>
      </w:pPr>
    </w:p>
    <w:p w14:paraId="3A1A7AF1" w14:textId="1443796F" w:rsidR="00292800" w:rsidRDefault="00292800" w:rsidP="00292800">
      <w:pPr>
        <w:autoSpaceDE w:val="0"/>
        <w:autoSpaceDN w:val="0"/>
        <w:adjustRightInd w:val="0"/>
        <w:jc w:val="both"/>
        <w:rPr>
          <w:rFonts w:eastAsiaTheme="minorHAnsi"/>
        </w:rPr>
      </w:pPr>
      <w:r>
        <w:rPr>
          <w:rFonts w:eastAsiaTheme="minorHAnsi"/>
        </w:rPr>
        <w:tab/>
        <w:t>FPL Witness Valle testified that the Green Hydrogen pilot is designed, in part, to address the “curtailment” problem with solar energy. As detailed by Witness Valle, there is more instantaneous solar generation available at any given time than there is i</w:t>
      </w:r>
      <w:r w:rsidR="00216513">
        <w:rPr>
          <w:rFonts w:eastAsiaTheme="minorHAnsi"/>
        </w:rPr>
        <w:t>nstantaneous customer demand.</w:t>
      </w:r>
      <w:r>
        <w:rPr>
          <w:rFonts w:eastAsiaTheme="minorHAnsi"/>
        </w:rPr>
        <w:t xml:space="preserve"> The pilot will use these peaks of solar energy to split water molecules into hydrogen and oxygen, with the hydrogen then being used as up to 5</w:t>
      </w:r>
      <w:r w:rsidR="003525AE">
        <w:t xml:space="preserve"> percent</w:t>
      </w:r>
      <w:r w:rsidR="003525AE" w:rsidDel="003525AE">
        <w:rPr>
          <w:rFonts w:eastAsiaTheme="minorHAnsi"/>
        </w:rPr>
        <w:t xml:space="preserve"> </w:t>
      </w:r>
      <w:r>
        <w:rPr>
          <w:rFonts w:eastAsiaTheme="minorHAnsi"/>
        </w:rPr>
        <w:t>of the fuel for one combustion turbine.</w:t>
      </w:r>
    </w:p>
    <w:p w14:paraId="24EB3623" w14:textId="77777777" w:rsidR="00292800" w:rsidRDefault="00292800" w:rsidP="00292800">
      <w:pPr>
        <w:autoSpaceDE w:val="0"/>
        <w:autoSpaceDN w:val="0"/>
        <w:adjustRightInd w:val="0"/>
        <w:jc w:val="both"/>
        <w:rPr>
          <w:rFonts w:eastAsiaTheme="minorHAnsi"/>
        </w:rPr>
      </w:pPr>
    </w:p>
    <w:p w14:paraId="6E88943C" w14:textId="28B02B27" w:rsidR="00292800" w:rsidRDefault="00292800" w:rsidP="00292800">
      <w:pPr>
        <w:autoSpaceDE w:val="0"/>
        <w:autoSpaceDN w:val="0"/>
        <w:adjustRightInd w:val="0"/>
        <w:jc w:val="both"/>
        <w:rPr>
          <w:rFonts w:eastAsiaTheme="minorHAnsi"/>
        </w:rPr>
      </w:pPr>
      <w:r>
        <w:rPr>
          <w:rFonts w:eastAsiaTheme="minorHAnsi"/>
        </w:rPr>
        <w:tab/>
      </w:r>
      <w:r w:rsidR="00EA66E1">
        <w:rPr>
          <w:rFonts w:eastAsiaTheme="minorHAnsi"/>
        </w:rPr>
        <w:t xml:space="preserve">The Green Hydrogen pilot serves the recognized public interest in </w:t>
      </w:r>
      <w:r w:rsidR="009D781E">
        <w:rPr>
          <w:rFonts w:eastAsiaTheme="minorHAnsi"/>
        </w:rPr>
        <w:t>develop</w:t>
      </w:r>
      <w:r w:rsidR="00EA66E1">
        <w:rPr>
          <w:rFonts w:eastAsiaTheme="minorHAnsi"/>
        </w:rPr>
        <w:t>ing renewable energy sources.</w:t>
      </w:r>
      <w:r w:rsidR="00A166A5">
        <w:rPr>
          <w:rStyle w:val="FootnoteReference"/>
          <w:rFonts w:eastAsiaTheme="minorHAnsi"/>
        </w:rPr>
        <w:footnoteReference w:id="61"/>
      </w:r>
      <w:r w:rsidR="00EA66E1">
        <w:rPr>
          <w:rFonts w:eastAsiaTheme="minorHAnsi"/>
        </w:rPr>
        <w:t xml:space="preserve"> The dispute among the parties is whether this proposal is cost-effective.</w:t>
      </w:r>
      <w:r w:rsidR="00194E1D">
        <w:rPr>
          <w:rFonts w:eastAsiaTheme="minorHAnsi"/>
        </w:rPr>
        <w:t xml:space="preserve"> Florida Rising would have us conclude that this pilot should not be approved because separating and utilizing hydrogen as a fuel is not currently economic, </w:t>
      </w:r>
      <w:r w:rsidR="00194E1D">
        <w:rPr>
          <w:rFonts w:eastAsiaTheme="minorHAnsi"/>
          <w:i/>
        </w:rPr>
        <w:t>i.e.</w:t>
      </w:r>
      <w:r w:rsidR="00661342">
        <w:rPr>
          <w:rFonts w:eastAsiaTheme="minorHAnsi"/>
        </w:rPr>
        <w:t>,</w:t>
      </w:r>
      <w:r w:rsidR="00194E1D">
        <w:rPr>
          <w:rFonts w:eastAsiaTheme="minorHAnsi"/>
        </w:rPr>
        <w:t xml:space="preserve"> cost-effective.</w:t>
      </w:r>
      <w:r w:rsidR="00EA66E1">
        <w:rPr>
          <w:rFonts w:eastAsiaTheme="minorHAnsi"/>
        </w:rPr>
        <w:t xml:space="preserve"> We find the testimony of Witness Valle</w:t>
      </w:r>
      <w:r w:rsidR="00904854">
        <w:rPr>
          <w:rFonts w:eastAsiaTheme="minorHAnsi"/>
        </w:rPr>
        <w:t xml:space="preserve"> regarding</w:t>
      </w:r>
      <w:r w:rsidR="00EA66E1">
        <w:rPr>
          <w:rFonts w:eastAsiaTheme="minorHAnsi"/>
        </w:rPr>
        <w:t xml:space="preserve"> the potential </w:t>
      </w:r>
      <w:r w:rsidR="00904854">
        <w:rPr>
          <w:rFonts w:eastAsiaTheme="minorHAnsi"/>
        </w:rPr>
        <w:t xml:space="preserve">short and long-term </w:t>
      </w:r>
      <w:r w:rsidR="00EA66E1">
        <w:rPr>
          <w:rFonts w:eastAsiaTheme="minorHAnsi"/>
        </w:rPr>
        <w:t>benefits flowing from this pilot compared to its relatively small costs</w:t>
      </w:r>
      <w:r w:rsidR="00904854">
        <w:rPr>
          <w:rFonts w:eastAsiaTheme="minorHAnsi"/>
        </w:rPr>
        <w:t xml:space="preserve"> to be </w:t>
      </w:r>
      <w:r w:rsidR="00194E1D">
        <w:rPr>
          <w:rFonts w:eastAsiaTheme="minorHAnsi"/>
        </w:rPr>
        <w:t xml:space="preserve">more </w:t>
      </w:r>
      <w:r w:rsidR="00904854">
        <w:rPr>
          <w:rFonts w:eastAsiaTheme="minorHAnsi"/>
        </w:rPr>
        <w:t>persuasive on this issue</w:t>
      </w:r>
      <w:r w:rsidR="009F4EF4">
        <w:rPr>
          <w:rFonts w:eastAsiaTheme="minorHAnsi"/>
        </w:rPr>
        <w:t>,</w:t>
      </w:r>
      <w:r w:rsidR="00AB1621">
        <w:rPr>
          <w:rFonts w:eastAsiaTheme="minorHAnsi"/>
        </w:rPr>
        <w:t xml:space="preserve"> and to demonstrate that the</w:t>
      </w:r>
      <w:r w:rsidR="009F4EF4">
        <w:rPr>
          <w:rFonts w:eastAsiaTheme="minorHAnsi"/>
        </w:rPr>
        <w:t xml:space="preserve"> Green Hydrogen pilot </w:t>
      </w:r>
      <w:r w:rsidR="00AB1621">
        <w:rPr>
          <w:rFonts w:eastAsiaTheme="minorHAnsi"/>
        </w:rPr>
        <w:t>furthers the legislative intent to develop renewable energy resources</w:t>
      </w:r>
      <w:r w:rsidR="00194E1D">
        <w:rPr>
          <w:rFonts w:eastAsiaTheme="minorHAnsi"/>
        </w:rPr>
        <w:t>.</w:t>
      </w:r>
    </w:p>
    <w:p w14:paraId="08ABB27E" w14:textId="013DDB1A" w:rsidR="00292800" w:rsidRDefault="00292800" w:rsidP="00292800">
      <w:pPr>
        <w:jc w:val="both"/>
      </w:pPr>
    </w:p>
    <w:p w14:paraId="3D0B260C" w14:textId="5B7E08F6" w:rsidR="00F7713A" w:rsidRDefault="00F7713A" w:rsidP="00292800">
      <w:pPr>
        <w:jc w:val="both"/>
      </w:pPr>
    </w:p>
    <w:p w14:paraId="0D2A9971" w14:textId="4B76AE1D" w:rsidR="00F7713A" w:rsidRDefault="00F7713A" w:rsidP="00292800">
      <w:pPr>
        <w:jc w:val="both"/>
      </w:pPr>
    </w:p>
    <w:p w14:paraId="230279FC" w14:textId="77777777" w:rsidR="00F7713A" w:rsidRDefault="00F7713A" w:rsidP="00292800">
      <w:pPr>
        <w:jc w:val="both"/>
      </w:pPr>
    </w:p>
    <w:p w14:paraId="3DEB4671" w14:textId="77777777" w:rsidR="00292800" w:rsidRDefault="00292800" w:rsidP="00292800">
      <w:pPr>
        <w:jc w:val="both"/>
        <w:rPr>
          <w:u w:val="single"/>
        </w:rPr>
      </w:pPr>
      <w:r>
        <w:rPr>
          <w:u w:val="single"/>
        </w:rPr>
        <w:t>Solar power facilities</w:t>
      </w:r>
    </w:p>
    <w:p w14:paraId="05FA3F83" w14:textId="77777777" w:rsidR="00292800" w:rsidRDefault="00292800" w:rsidP="00292800">
      <w:pPr>
        <w:pStyle w:val="ListParagraph"/>
        <w:jc w:val="both"/>
        <w:rPr>
          <w:u w:val="single"/>
        </w:rPr>
      </w:pPr>
    </w:p>
    <w:p w14:paraId="6C632BA0" w14:textId="492CB088" w:rsidR="00292800" w:rsidRDefault="00292800" w:rsidP="00292800">
      <w:pPr>
        <w:pStyle w:val="ListParagraph"/>
        <w:ind w:left="0"/>
        <w:jc w:val="both"/>
      </w:pPr>
      <w:r>
        <w:tab/>
      </w:r>
      <w:r w:rsidR="0013082A">
        <w:t xml:space="preserve">Under the 2021 Settlement, </w:t>
      </w:r>
      <w:r>
        <w:t>FPL is authorized to offer a four-year solar power facilities pilot program where commercial and industrial customers on a metered rate may elect to have FPL install and maintain a solar facility on their site for a monthly tariff charge. All project costs and expenses will be recovered from participants through a fixed monthly charge over a ten-year term.</w:t>
      </w:r>
    </w:p>
    <w:p w14:paraId="527D227A" w14:textId="356A66D1" w:rsidR="00D34593" w:rsidRDefault="00D34593" w:rsidP="00292800">
      <w:pPr>
        <w:pStyle w:val="ListParagraph"/>
        <w:ind w:left="0"/>
        <w:jc w:val="both"/>
      </w:pPr>
    </w:p>
    <w:p w14:paraId="4DF72708" w14:textId="7B966087" w:rsidR="00D34593" w:rsidRDefault="00D34593" w:rsidP="00292800">
      <w:pPr>
        <w:pStyle w:val="ListParagraph"/>
        <w:ind w:left="0"/>
        <w:jc w:val="both"/>
      </w:pPr>
      <w:r>
        <w:tab/>
        <w:t xml:space="preserve">Florida Rising argues that this program does not serve the ratepayers at large and is not in useful service and, accordingly, is not allowable for inclusion in rate base for cost recovery. Florida Rising argues </w:t>
      </w:r>
      <w:r w:rsidR="009B473F">
        <w:t>that the provision of this type of solar infrastructure is and should continue to be addressed by public sector.</w:t>
      </w:r>
    </w:p>
    <w:p w14:paraId="338D8B51" w14:textId="77777777" w:rsidR="00292800" w:rsidRDefault="00292800" w:rsidP="00496420">
      <w:pPr>
        <w:pStyle w:val="ListParagraph"/>
        <w:ind w:left="0"/>
        <w:jc w:val="both"/>
        <w:rPr>
          <w:u w:val="single"/>
        </w:rPr>
      </w:pPr>
    </w:p>
    <w:p w14:paraId="5826755F" w14:textId="0E9598D2" w:rsidR="00194E1D" w:rsidRDefault="00496420" w:rsidP="00F72225">
      <w:pPr>
        <w:pStyle w:val="ListParagraph"/>
        <w:ind w:left="0"/>
        <w:jc w:val="both"/>
        <w:rPr>
          <w:u w:val="single"/>
        </w:rPr>
      </w:pPr>
      <w:r>
        <w:tab/>
        <w:t>This pilot program serves the public interest in solar generation and energy diversification. Participation is voluntary and all costs and expenses are paid by parti</w:t>
      </w:r>
      <w:r w:rsidR="0061245D">
        <w:t>ci</w:t>
      </w:r>
      <w:r>
        <w:t>pants.</w:t>
      </w:r>
    </w:p>
    <w:p w14:paraId="56719A46" w14:textId="77777777" w:rsidR="00E56223" w:rsidRDefault="00E56223" w:rsidP="00292800">
      <w:pPr>
        <w:pStyle w:val="ListParagraph"/>
        <w:jc w:val="both"/>
        <w:rPr>
          <w:u w:val="single"/>
        </w:rPr>
      </w:pPr>
    </w:p>
    <w:p w14:paraId="5F384452" w14:textId="77777777" w:rsidR="00292800" w:rsidRDefault="00292800" w:rsidP="00292800">
      <w:pPr>
        <w:pStyle w:val="ListParagraph"/>
        <w:ind w:left="0"/>
        <w:jc w:val="both"/>
      </w:pPr>
      <w:r>
        <w:rPr>
          <w:b/>
        </w:rPr>
        <w:t>Issue 8:</w:t>
      </w:r>
      <w:r w:rsidR="008E55DF">
        <w:rPr>
          <w:b/>
        </w:rPr>
        <w:t xml:space="preserve"> </w:t>
      </w:r>
      <w:r>
        <w:rPr>
          <w:b/>
        </w:rPr>
        <w:t>$25 minimum bill</w:t>
      </w:r>
    </w:p>
    <w:p w14:paraId="0CA1F647" w14:textId="77777777" w:rsidR="00292800" w:rsidRDefault="00292800" w:rsidP="00292800">
      <w:pPr>
        <w:pStyle w:val="ListParagraph"/>
        <w:ind w:left="0"/>
        <w:jc w:val="both"/>
      </w:pPr>
    </w:p>
    <w:p w14:paraId="3C71B844" w14:textId="31899CF0" w:rsidR="00292800" w:rsidRDefault="00292800" w:rsidP="00292800">
      <w:pPr>
        <w:pStyle w:val="ListParagraph"/>
        <w:ind w:left="0"/>
        <w:jc w:val="both"/>
      </w:pPr>
      <w:r>
        <w:tab/>
        <w:t xml:space="preserve">FPL’s </w:t>
      </w:r>
      <w:r w:rsidR="00D17816">
        <w:t>customer</w:t>
      </w:r>
      <w:r>
        <w:t xml:space="preserve"> charge</w:t>
      </w:r>
      <w:r w:rsidR="00D0612A">
        <w:rPr>
          <w:rStyle w:val="FootnoteReference"/>
        </w:rPr>
        <w:footnoteReference w:id="62"/>
      </w:r>
      <w:r>
        <w:t xml:space="preserve"> for residential customers is $8.9</w:t>
      </w:r>
      <w:r w:rsidR="00C2393F">
        <w:t>9</w:t>
      </w:r>
      <w:r>
        <w:t xml:space="preserve"> per month. The same charge for small commercial, non-demand customers is $12.51. The 2021 Settlement provides for the addition of a new minimum</w:t>
      </w:r>
      <w:r w:rsidR="00D17816">
        <w:t xml:space="preserve"> base</w:t>
      </w:r>
      <w:r>
        <w:t xml:space="preserve"> bill of $25 for all residential and general service non-demand customers. Under this proposal, any customer whose volumetric charges and base charge combined are less than $25 for any month would receive a bill for $25. FPL data indicate that this proposal would apply to over 375,000 customers.</w:t>
      </w:r>
    </w:p>
    <w:p w14:paraId="71B6E490" w14:textId="77777777" w:rsidR="00434827" w:rsidRDefault="00434827" w:rsidP="00434827">
      <w:pPr>
        <w:pStyle w:val="ListParagraph"/>
        <w:ind w:left="0"/>
        <w:jc w:val="both"/>
      </w:pPr>
    </w:p>
    <w:p w14:paraId="106B5CAE" w14:textId="0FC59520" w:rsidR="00434827" w:rsidRDefault="00434827" w:rsidP="00434827">
      <w:pPr>
        <w:pStyle w:val="ListParagraph"/>
        <w:ind w:left="0"/>
        <w:jc w:val="both"/>
      </w:pPr>
      <w:r>
        <w:tab/>
        <w:t xml:space="preserve">Florida Rising contends that the minimum </w:t>
      </w:r>
      <w:r w:rsidR="00D17816">
        <w:t xml:space="preserve">base </w:t>
      </w:r>
      <w:r>
        <w:t>bill violates the principle of cost causation, which they describe as the principle “that customers should pay for cost they create, and not more or less, to the extent possible.”</w:t>
      </w:r>
      <w:r w:rsidR="00E371AD">
        <w:rPr>
          <w:rStyle w:val="FootnoteReference"/>
        </w:rPr>
        <w:footnoteReference w:id="63"/>
      </w:r>
      <w:r>
        <w:t xml:space="preserve"> Florida Rising also contends that the minimum </w:t>
      </w:r>
      <w:r w:rsidR="00D17816">
        <w:t xml:space="preserve">base </w:t>
      </w:r>
      <w:r>
        <w:t>bill discourages customer investment in energy efficiency and distributed generation.</w:t>
      </w:r>
    </w:p>
    <w:p w14:paraId="01CF3623" w14:textId="77777777" w:rsidR="00292800" w:rsidRDefault="00292800" w:rsidP="00292800">
      <w:pPr>
        <w:pStyle w:val="ListParagraph"/>
        <w:ind w:left="0"/>
        <w:jc w:val="both"/>
      </w:pPr>
    </w:p>
    <w:p w14:paraId="055C95AA" w14:textId="31CD0696" w:rsidR="00292800" w:rsidRDefault="00292800" w:rsidP="00292800">
      <w:pPr>
        <w:pStyle w:val="ListParagraph"/>
        <w:ind w:left="0"/>
        <w:jc w:val="both"/>
      </w:pPr>
      <w:r>
        <w:tab/>
        <w:t>The purpose of th</w:t>
      </w:r>
      <w:r w:rsidR="00D17816">
        <w:t>e minimum base bill</w:t>
      </w:r>
      <w:r>
        <w:t xml:space="preserve">, as stated by FPL, is to ensure that all ratepayers contribute their share to fixed system costs. FPL notes that all ratepayers receive service from the same general transmission and distribution system, with wires and poles necessarily connecting high and low usage customers alike. The base charge applicable to each customer covers only billing, metering, and customer service costs. </w:t>
      </w:r>
      <w:r w:rsidR="000C4810">
        <w:t>Z</w:t>
      </w:r>
      <w:r w:rsidR="00DA04F3">
        <w:t>ero usage and</w:t>
      </w:r>
      <w:r>
        <w:t xml:space="preserve"> low usage customers</w:t>
      </w:r>
      <w:r w:rsidR="000C4810">
        <w:t xml:space="preserve"> who pay only the base charge</w:t>
      </w:r>
      <w:r>
        <w:t xml:space="preserve"> are not contributing to recovery </w:t>
      </w:r>
      <w:r w:rsidR="000C4810">
        <w:t xml:space="preserve">for fixed transmission and distribution costs </w:t>
      </w:r>
      <w:r>
        <w:t>and are being subsidized by the remainder of the ratepayers.</w:t>
      </w:r>
    </w:p>
    <w:p w14:paraId="4BE65009" w14:textId="77777777" w:rsidR="00292800" w:rsidRDefault="00292800" w:rsidP="00292800">
      <w:pPr>
        <w:pStyle w:val="ListParagraph"/>
        <w:ind w:left="0"/>
        <w:jc w:val="both"/>
      </w:pPr>
    </w:p>
    <w:p w14:paraId="5D99395B" w14:textId="21827E83" w:rsidR="00292800" w:rsidRDefault="00292800" w:rsidP="00292800">
      <w:pPr>
        <w:pStyle w:val="ListParagraph"/>
        <w:ind w:left="0"/>
        <w:jc w:val="both"/>
      </w:pPr>
      <w:r>
        <w:tab/>
      </w:r>
      <w:r w:rsidR="00C97250">
        <w:t>We agree that l</w:t>
      </w:r>
      <w:r w:rsidR="000C0064">
        <w:t>ow usage customers and seasonal residents rely on the same portions of the system as other customers.</w:t>
      </w:r>
      <w:r w:rsidR="00C97250">
        <w:t xml:space="preserve"> As the evidence shows, adding a minimum </w:t>
      </w:r>
      <w:r w:rsidR="00D17816">
        <w:t xml:space="preserve">base </w:t>
      </w:r>
      <w:r w:rsidR="00C97250">
        <w:t>bill ensures that those customers contribute to the</w:t>
      </w:r>
      <w:r w:rsidR="004D1090">
        <w:t xml:space="preserve"> costs of that system.</w:t>
      </w:r>
      <w:r w:rsidR="000C0064">
        <w:t xml:space="preserve"> We find that the minimum </w:t>
      </w:r>
      <w:r w:rsidR="00D17816">
        <w:t xml:space="preserve">base </w:t>
      </w:r>
      <w:r w:rsidR="000C0064">
        <w:t>bill more reasonably allocates fixed costs not covered by the base bill among all of these customers</w:t>
      </w:r>
      <w:r w:rsidR="0061245D">
        <w:t xml:space="preserve">, and that recovering this amount </w:t>
      </w:r>
      <w:r w:rsidR="001852E5">
        <w:t>results in rates that are fair, just, and reasonable.</w:t>
      </w:r>
    </w:p>
    <w:p w14:paraId="0A0E42E3" w14:textId="77777777" w:rsidR="00206A8B" w:rsidRDefault="00206A8B" w:rsidP="00292800">
      <w:pPr>
        <w:pStyle w:val="ListParagraph"/>
        <w:ind w:left="0"/>
        <w:jc w:val="both"/>
      </w:pPr>
    </w:p>
    <w:p w14:paraId="6028BF0D" w14:textId="77777777" w:rsidR="00292800" w:rsidRDefault="00292800" w:rsidP="00292800">
      <w:pPr>
        <w:pStyle w:val="ListParagraph"/>
        <w:ind w:left="0"/>
        <w:jc w:val="both"/>
      </w:pPr>
      <w:r>
        <w:rPr>
          <w:b/>
        </w:rPr>
        <w:t>Issue 9:</w:t>
      </w:r>
      <w:r w:rsidR="00BD096C">
        <w:rPr>
          <w:b/>
        </w:rPr>
        <w:t xml:space="preserve"> </w:t>
      </w:r>
      <w:r>
        <w:rPr>
          <w:b/>
        </w:rPr>
        <w:t>Extension of time to recover retirement costs</w:t>
      </w:r>
    </w:p>
    <w:p w14:paraId="16364598" w14:textId="77777777" w:rsidR="00292800" w:rsidRDefault="00292800" w:rsidP="00292800">
      <w:pPr>
        <w:pStyle w:val="ListParagraph"/>
        <w:ind w:left="0"/>
        <w:jc w:val="both"/>
      </w:pPr>
    </w:p>
    <w:p w14:paraId="3B1892F7" w14:textId="6DE98A30" w:rsidR="00292800" w:rsidRDefault="00292800" w:rsidP="00292800">
      <w:pPr>
        <w:pStyle w:val="ListParagraph"/>
        <w:ind w:left="0"/>
        <w:jc w:val="both"/>
      </w:pPr>
      <w:r>
        <w:tab/>
      </w:r>
      <w:r w:rsidR="00026699">
        <w:t>FPL proposed in the filed rate case to amortize the costs of retired power plants and tr</w:t>
      </w:r>
      <w:r w:rsidR="00661342">
        <w:t>ansmission facilities over ten y</w:t>
      </w:r>
      <w:r w:rsidR="00026699">
        <w:t>ears. The 2021 Settlement extends this retirement period from ten to twenty years. Florida Rising</w:t>
      </w:r>
      <w:r>
        <w:t xml:space="preserve"> argue</w:t>
      </w:r>
      <w:r w:rsidR="00026699">
        <w:t>s that this</w:t>
      </w:r>
      <w:r>
        <w:t xml:space="preserve"> extension of the amortization period for retired assets unnecessarily increases costs to ratepayers and results in intergenerational inequities. Florida Rising Witness Rabago estimated</w:t>
      </w:r>
      <w:r w:rsidR="00D9456A">
        <w:rPr>
          <w:rStyle w:val="FootnoteReference"/>
        </w:rPr>
        <w:footnoteReference w:id="64"/>
      </w:r>
      <w:r>
        <w:t xml:space="preserve"> the total cost of this extension to be $1.4 billion.</w:t>
      </w:r>
    </w:p>
    <w:p w14:paraId="38CAD0CB" w14:textId="77777777" w:rsidR="007F2E4D" w:rsidRDefault="007F2E4D" w:rsidP="00292800">
      <w:pPr>
        <w:pStyle w:val="ListParagraph"/>
        <w:ind w:left="0"/>
        <w:jc w:val="both"/>
      </w:pPr>
    </w:p>
    <w:p w14:paraId="57B8C506" w14:textId="517FC3BE" w:rsidR="007F2E4D" w:rsidRPr="007F2E4D" w:rsidRDefault="007F2E4D" w:rsidP="00292800">
      <w:pPr>
        <w:pStyle w:val="ListParagraph"/>
        <w:ind w:left="0"/>
        <w:jc w:val="both"/>
      </w:pPr>
      <w:r>
        <w:tab/>
        <w:t>FPL Witness Bores testified that the extension of the amortization period allowed for a “significant reduction” in revenue requirements over the Term. As to the intergenerational argument, Witness Bores stated that the customers who pay for the retirements over the twenty-year period will realize the benefits of retiring plants in favor of more-efficient, lower-emission generation. Witness Bores</w:t>
      </w:r>
      <w:r w:rsidR="007A26F9">
        <w:t xml:space="preserve"> estimated the nominal cost of this extension to be $600 million, and that </w:t>
      </w:r>
      <w:r w:rsidR="00DC2D6E">
        <w:t>customers would be “relatively indifferent” to the impact of this amount on a discounted basis over the 10- to 20-year period</w:t>
      </w:r>
      <w:r>
        <w:t>.</w:t>
      </w:r>
    </w:p>
    <w:p w14:paraId="666B69BE" w14:textId="77777777" w:rsidR="00292800" w:rsidRDefault="00292800" w:rsidP="00292800">
      <w:pPr>
        <w:pStyle w:val="ListParagraph"/>
        <w:ind w:left="0"/>
        <w:jc w:val="both"/>
      </w:pPr>
    </w:p>
    <w:p w14:paraId="41C493D0" w14:textId="77777777" w:rsidR="00292800" w:rsidRDefault="00292800" w:rsidP="00292800">
      <w:pPr>
        <w:pStyle w:val="ListParagraph"/>
        <w:ind w:left="0"/>
        <w:jc w:val="both"/>
      </w:pPr>
      <w:r>
        <w:tab/>
        <w:t>Extending the amortization period from ten to twenty years reduces the revenue requirements for FPL over the Term. The customers who will pay these costs over the twenty-year period will be those who realize benefit</w:t>
      </w:r>
      <w:r w:rsidR="00336D60">
        <w:t>s</w:t>
      </w:r>
      <w:r>
        <w:t xml:space="preserve"> from retiring the plants in question and replacing them with upgraded generation.</w:t>
      </w:r>
      <w:r w:rsidR="007F2E4D">
        <w:t xml:space="preserve"> </w:t>
      </w:r>
      <w:r w:rsidR="009B25B7">
        <w:t>We find this extension</w:t>
      </w:r>
      <w:r w:rsidR="007F2E4D">
        <w:t xml:space="preserve"> to be </w:t>
      </w:r>
      <w:r w:rsidR="007A26F9">
        <w:t>fair and to benefit the general body of ratepayers</w:t>
      </w:r>
      <w:r w:rsidR="00E65414">
        <w:t>, while also resulting in rates that are fair, just, and reasonable.</w:t>
      </w:r>
    </w:p>
    <w:p w14:paraId="2D675AB8" w14:textId="77777777" w:rsidR="00292800" w:rsidRDefault="00292800" w:rsidP="00292800">
      <w:pPr>
        <w:pStyle w:val="ListParagraph"/>
        <w:ind w:left="0"/>
        <w:jc w:val="both"/>
      </w:pPr>
    </w:p>
    <w:p w14:paraId="71101B9C" w14:textId="77777777" w:rsidR="00292800" w:rsidRPr="000A6B23" w:rsidRDefault="00292800" w:rsidP="00292800">
      <w:pPr>
        <w:pStyle w:val="ListParagraph"/>
        <w:ind w:left="0"/>
        <w:jc w:val="both"/>
      </w:pPr>
      <w:r>
        <w:rPr>
          <w:b/>
        </w:rPr>
        <w:t>Issue 10:</w:t>
      </w:r>
      <w:r w:rsidR="000C51CE">
        <w:rPr>
          <w:b/>
        </w:rPr>
        <w:t xml:space="preserve"> </w:t>
      </w:r>
      <w:r>
        <w:rPr>
          <w:b/>
        </w:rPr>
        <w:t>Revenue allocations between classes</w:t>
      </w:r>
    </w:p>
    <w:p w14:paraId="1200168D" w14:textId="77777777" w:rsidR="00292800" w:rsidRDefault="00292800" w:rsidP="00292800">
      <w:pPr>
        <w:autoSpaceDE w:val="0"/>
        <w:autoSpaceDN w:val="0"/>
        <w:adjustRightInd w:val="0"/>
        <w:jc w:val="both"/>
        <w:rPr>
          <w:rFonts w:eastAsiaTheme="minorHAnsi"/>
        </w:rPr>
      </w:pPr>
    </w:p>
    <w:p w14:paraId="286DE1D6" w14:textId="5AD51FFA" w:rsidR="00292800" w:rsidRDefault="00292800" w:rsidP="00292800">
      <w:pPr>
        <w:autoSpaceDE w:val="0"/>
        <w:autoSpaceDN w:val="0"/>
        <w:adjustRightInd w:val="0"/>
        <w:jc w:val="both"/>
        <w:rPr>
          <w:rFonts w:eastAsiaTheme="minorHAnsi"/>
        </w:rPr>
      </w:pPr>
      <w:r>
        <w:rPr>
          <w:rFonts w:eastAsiaTheme="minorHAnsi"/>
        </w:rPr>
        <w:tab/>
        <w:t>Intervenors argue that the revenue allocations between classes are flawed because FPL did not conduct a cost-of-service study and then base its allocations on the results of that study.</w:t>
      </w:r>
      <w:r w:rsidR="009B25B7">
        <w:rPr>
          <w:rFonts w:eastAsiaTheme="minorHAnsi"/>
        </w:rPr>
        <w:t xml:space="preserve"> Florida Rising Witness Rabago testified that the proposed rate structure is inequitable,</w:t>
      </w:r>
      <w:r w:rsidR="00EF3141">
        <w:rPr>
          <w:rFonts w:eastAsiaTheme="minorHAnsi"/>
        </w:rPr>
        <w:t xml:space="preserve"> </w:t>
      </w:r>
      <w:r w:rsidR="009B25B7">
        <w:rPr>
          <w:rFonts w:eastAsiaTheme="minorHAnsi"/>
        </w:rPr>
        <w:t>an</w:t>
      </w:r>
      <w:r w:rsidR="00EF3141">
        <w:rPr>
          <w:rFonts w:eastAsiaTheme="minorHAnsi"/>
        </w:rPr>
        <w:t>d</w:t>
      </w:r>
      <w:r w:rsidR="009B25B7">
        <w:rPr>
          <w:rFonts w:eastAsiaTheme="minorHAnsi"/>
        </w:rPr>
        <w:t xml:space="preserve"> results in small business and residential customers subsidizing the electric bills of FPL’s larger</w:t>
      </w:r>
      <w:r w:rsidR="00EC4124">
        <w:rPr>
          <w:rFonts w:eastAsiaTheme="minorHAnsi"/>
        </w:rPr>
        <w:t>, general service</w:t>
      </w:r>
      <w:r w:rsidR="009B25B7">
        <w:rPr>
          <w:rFonts w:eastAsiaTheme="minorHAnsi"/>
        </w:rPr>
        <w:t xml:space="preserve"> customers.</w:t>
      </w:r>
      <w:r w:rsidR="00EC4124">
        <w:rPr>
          <w:rFonts w:eastAsiaTheme="minorHAnsi"/>
        </w:rPr>
        <w:t xml:space="preserve"> Witness Rabago calculated thi</w:t>
      </w:r>
      <w:r w:rsidR="00FB61BA">
        <w:rPr>
          <w:rFonts w:eastAsiaTheme="minorHAnsi"/>
        </w:rPr>
        <w:t>s subsidy to be</w:t>
      </w:r>
      <w:r w:rsidR="00EC4124">
        <w:rPr>
          <w:rFonts w:eastAsiaTheme="minorHAnsi"/>
        </w:rPr>
        <w:t xml:space="preserve"> $1 billion over the Term.</w:t>
      </w:r>
    </w:p>
    <w:p w14:paraId="1A7D9494" w14:textId="77777777" w:rsidR="00F77EB2" w:rsidRDefault="00F77EB2" w:rsidP="00292800">
      <w:pPr>
        <w:autoSpaceDE w:val="0"/>
        <w:autoSpaceDN w:val="0"/>
        <w:adjustRightInd w:val="0"/>
        <w:jc w:val="both"/>
        <w:rPr>
          <w:rFonts w:eastAsiaTheme="minorHAnsi"/>
        </w:rPr>
      </w:pPr>
    </w:p>
    <w:p w14:paraId="5EB9B054" w14:textId="30E3DA9A" w:rsidR="00F77EB2" w:rsidRPr="00EC4124" w:rsidRDefault="00F77EB2" w:rsidP="00292800">
      <w:pPr>
        <w:autoSpaceDE w:val="0"/>
        <w:autoSpaceDN w:val="0"/>
        <w:adjustRightInd w:val="0"/>
        <w:jc w:val="both"/>
        <w:rPr>
          <w:rFonts w:eastAsiaTheme="minorHAnsi"/>
        </w:rPr>
      </w:pPr>
      <w:r>
        <w:rPr>
          <w:rFonts w:eastAsiaTheme="minorHAnsi"/>
        </w:rPr>
        <w:tab/>
      </w:r>
      <w:r w:rsidR="006F2DFD">
        <w:rPr>
          <w:rFonts w:eastAsiaTheme="minorHAnsi"/>
        </w:rPr>
        <w:t xml:space="preserve">FPL Witness Cohen testified that the </w:t>
      </w:r>
      <w:r w:rsidR="00D92C5B">
        <w:rPr>
          <w:rFonts w:eastAsiaTheme="minorHAnsi"/>
        </w:rPr>
        <w:t>revenue allocation under the 2021 Settlement is the result of a negotiated compromise. The resulting revenue allocation to the residential classes in the 2021 Settlement</w:t>
      </w:r>
      <w:r w:rsidR="007636A1">
        <w:rPr>
          <w:rFonts w:eastAsiaTheme="minorHAnsi"/>
        </w:rPr>
        <w:t xml:space="preserve"> (59</w:t>
      </w:r>
      <w:r w:rsidR="003525AE">
        <w:t xml:space="preserve"> percent</w:t>
      </w:r>
      <w:r w:rsidR="007636A1">
        <w:rPr>
          <w:rFonts w:eastAsiaTheme="minorHAnsi"/>
        </w:rPr>
        <w:t>)</w:t>
      </w:r>
      <w:r w:rsidR="00D92C5B">
        <w:rPr>
          <w:rFonts w:eastAsiaTheme="minorHAnsi"/>
        </w:rPr>
        <w:t xml:space="preserve"> is slightly higher than that originally proposed but lower than the allocation we approved in the 2016 Settlement</w:t>
      </w:r>
      <w:r w:rsidR="007636A1">
        <w:rPr>
          <w:rFonts w:eastAsiaTheme="minorHAnsi"/>
        </w:rPr>
        <w:t xml:space="preserve"> (66</w:t>
      </w:r>
      <w:r w:rsidR="003525AE">
        <w:t xml:space="preserve"> percent</w:t>
      </w:r>
      <w:r w:rsidR="007636A1">
        <w:rPr>
          <w:rFonts w:eastAsiaTheme="minorHAnsi"/>
        </w:rPr>
        <w:t>)</w:t>
      </w:r>
      <w:r w:rsidR="00D92C5B">
        <w:rPr>
          <w:rFonts w:eastAsiaTheme="minorHAnsi"/>
        </w:rPr>
        <w:t>. Witness Cohen stated that this allocation is consistent with prior settlements and complies with our principle of gradualism, “which limits the revenue increase for each rate class to 1.5 times the total system average increase, including adjustment clauses, and provides that no rate class receives a decrease in rate.”</w:t>
      </w:r>
      <w:r w:rsidR="006A30B7" w:rsidRPr="00D06746">
        <w:rPr>
          <w:rStyle w:val="FootnoteReference"/>
          <w:rFonts w:eastAsiaTheme="minorHAnsi"/>
        </w:rPr>
        <w:footnoteReference w:id="65"/>
      </w:r>
      <w:r w:rsidR="00D92C5B">
        <w:rPr>
          <w:rFonts w:eastAsiaTheme="minorHAnsi"/>
        </w:rPr>
        <w:t xml:space="preserve"> Under the 2021 Settlement, the </w:t>
      </w:r>
      <w:r w:rsidR="006F2DFD">
        <w:rPr>
          <w:rFonts w:eastAsiaTheme="minorHAnsi"/>
        </w:rPr>
        <w:t>typical residential bill for customers in the former FPL service area will increase by 2.5</w:t>
      </w:r>
      <w:r w:rsidR="003525AE">
        <w:t xml:space="preserve"> percent</w:t>
      </w:r>
      <w:r w:rsidR="003525AE" w:rsidDel="003525AE">
        <w:rPr>
          <w:rFonts w:eastAsiaTheme="minorHAnsi"/>
        </w:rPr>
        <w:t xml:space="preserve"> </w:t>
      </w:r>
      <w:r w:rsidR="006F2DFD">
        <w:rPr>
          <w:rFonts w:eastAsiaTheme="minorHAnsi"/>
        </w:rPr>
        <w:t xml:space="preserve">over the </w:t>
      </w:r>
      <w:r w:rsidR="003A5967">
        <w:t xml:space="preserve">Settlement </w:t>
      </w:r>
      <w:r w:rsidR="006F2DFD">
        <w:rPr>
          <w:rFonts w:eastAsiaTheme="minorHAnsi"/>
        </w:rPr>
        <w:t>Term as compared to 3.4</w:t>
      </w:r>
      <w:r w:rsidR="003525AE">
        <w:t xml:space="preserve"> percent</w:t>
      </w:r>
      <w:r w:rsidR="003525AE" w:rsidDel="003525AE">
        <w:rPr>
          <w:rFonts w:eastAsiaTheme="minorHAnsi"/>
        </w:rPr>
        <w:t xml:space="preserve"> </w:t>
      </w:r>
      <w:r w:rsidR="006F2DFD">
        <w:rPr>
          <w:rFonts w:eastAsiaTheme="minorHAnsi"/>
        </w:rPr>
        <w:t>under the original filing.</w:t>
      </w:r>
    </w:p>
    <w:p w14:paraId="14AE7A0F" w14:textId="77777777" w:rsidR="00292800" w:rsidRDefault="00292800" w:rsidP="00292800">
      <w:pPr>
        <w:autoSpaceDE w:val="0"/>
        <w:autoSpaceDN w:val="0"/>
        <w:adjustRightInd w:val="0"/>
        <w:jc w:val="both"/>
        <w:rPr>
          <w:rFonts w:eastAsiaTheme="minorHAnsi"/>
        </w:rPr>
      </w:pPr>
    </w:p>
    <w:p w14:paraId="048D4860" w14:textId="77777777" w:rsidR="00292800" w:rsidRPr="00071EA8" w:rsidRDefault="00292800" w:rsidP="00292800">
      <w:pPr>
        <w:autoSpaceDE w:val="0"/>
        <w:autoSpaceDN w:val="0"/>
        <w:adjustRightInd w:val="0"/>
        <w:jc w:val="both"/>
        <w:rPr>
          <w:rFonts w:eastAsiaTheme="minorHAnsi"/>
        </w:rPr>
      </w:pPr>
      <w:r>
        <w:rPr>
          <w:rFonts w:eastAsiaTheme="minorHAnsi"/>
        </w:rPr>
        <w:tab/>
      </w:r>
      <w:r w:rsidR="00430796">
        <w:rPr>
          <w:rFonts w:eastAsiaTheme="minorHAnsi"/>
        </w:rPr>
        <w:t>We find these revenue allocations to be reasonable</w:t>
      </w:r>
      <w:r w:rsidR="00306AE5">
        <w:rPr>
          <w:rFonts w:eastAsiaTheme="minorHAnsi"/>
        </w:rPr>
        <w:t xml:space="preserve">. They are </w:t>
      </w:r>
      <w:r w:rsidR="00430796">
        <w:rPr>
          <w:rFonts w:eastAsiaTheme="minorHAnsi"/>
        </w:rPr>
        <w:t xml:space="preserve">consistent with our past </w:t>
      </w:r>
      <w:r w:rsidR="00306AE5">
        <w:rPr>
          <w:rFonts w:eastAsiaTheme="minorHAnsi"/>
        </w:rPr>
        <w:t xml:space="preserve">settlement </w:t>
      </w:r>
      <w:r w:rsidR="00430796">
        <w:rPr>
          <w:rFonts w:eastAsiaTheme="minorHAnsi"/>
        </w:rPr>
        <w:t>approvals</w:t>
      </w:r>
      <w:r w:rsidR="00306AE5">
        <w:rPr>
          <w:rFonts w:eastAsiaTheme="minorHAnsi"/>
        </w:rPr>
        <w:t xml:space="preserve"> and comply with the principle of gradualism</w:t>
      </w:r>
      <w:r w:rsidR="00430796">
        <w:rPr>
          <w:rFonts w:eastAsiaTheme="minorHAnsi"/>
        </w:rPr>
        <w:t>. The overall impact to the residential rate cla</w:t>
      </w:r>
      <w:r w:rsidR="002B62B5">
        <w:rPr>
          <w:rFonts w:eastAsiaTheme="minorHAnsi"/>
        </w:rPr>
        <w:t xml:space="preserve">sses was </w:t>
      </w:r>
      <w:r w:rsidR="000C51CE">
        <w:rPr>
          <w:rFonts w:eastAsiaTheme="minorHAnsi"/>
        </w:rPr>
        <w:t xml:space="preserve">reduced </w:t>
      </w:r>
      <w:r w:rsidR="002B62B5">
        <w:rPr>
          <w:rFonts w:eastAsiaTheme="minorHAnsi"/>
        </w:rPr>
        <w:t>through the negotiation process and, as discussed below, results in rates that are fair, just, and reasonable.</w:t>
      </w:r>
    </w:p>
    <w:p w14:paraId="3B1E43D2" w14:textId="77777777" w:rsidR="00292800" w:rsidRDefault="00292800" w:rsidP="00292800">
      <w:pPr>
        <w:jc w:val="both"/>
        <w:rPr>
          <w:b/>
        </w:rPr>
      </w:pPr>
    </w:p>
    <w:p w14:paraId="131CAAEE" w14:textId="77777777" w:rsidR="00292800" w:rsidRDefault="00292800" w:rsidP="00292800">
      <w:pPr>
        <w:jc w:val="both"/>
      </w:pPr>
      <w:r>
        <w:rPr>
          <w:b/>
        </w:rPr>
        <w:t>Issue 11:</w:t>
      </w:r>
      <w:r w:rsidR="00D215A6">
        <w:rPr>
          <w:b/>
        </w:rPr>
        <w:t xml:space="preserve"> </w:t>
      </w:r>
      <w:r>
        <w:rPr>
          <w:b/>
        </w:rPr>
        <w:t>FPL system overbuilt</w:t>
      </w:r>
    </w:p>
    <w:p w14:paraId="4DD6258E" w14:textId="77777777" w:rsidR="00292800" w:rsidRDefault="00292800" w:rsidP="00292800">
      <w:pPr>
        <w:jc w:val="both"/>
      </w:pPr>
    </w:p>
    <w:p w14:paraId="2B6BA229" w14:textId="06CB9FB6" w:rsidR="00292800" w:rsidRDefault="00292800" w:rsidP="00292800">
      <w:pPr>
        <w:jc w:val="both"/>
        <w:rPr>
          <w:rFonts w:eastAsiaTheme="minorHAnsi"/>
        </w:rPr>
      </w:pPr>
      <w:r>
        <w:tab/>
        <w:t xml:space="preserve">Florida Rising contends that FPL’s </w:t>
      </w:r>
      <w:r>
        <w:rPr>
          <w:rFonts w:eastAsiaTheme="minorHAnsi"/>
        </w:rPr>
        <w:t>investments in power plants and transmission and distribution are excessive and result in an unjustifiable rate base expansion. Florida Rising specifically contends that the Gulf Clean Energy Center 8 that FPL is constructing is unnecessary because it increases the reserve margin and decreases the loss of load probability (LOLP)</w:t>
      </w:r>
      <w:r>
        <w:rPr>
          <w:rStyle w:val="FootnoteReference"/>
          <w:rFonts w:eastAsiaTheme="minorHAnsi"/>
        </w:rPr>
        <w:footnoteReference w:id="66"/>
      </w:r>
      <w:r>
        <w:rPr>
          <w:rFonts w:eastAsiaTheme="minorHAnsi"/>
        </w:rPr>
        <w:t xml:space="preserve"> far beyond currently-established thresholds. Florida Rising contends that the scenarios upon which FPL relies to justify this construction are unlikely or, in some cases, “absurdist and not worth further responding to.” Florida Rising also contends the transmission and distribution system is overbuilt, pointing specifically to the North Florida Resiliency Connection (NFRC). The end result, concludes Florida Rising, is that the FPL system is greatly overbuilt and overdependent on natural gas.</w:t>
      </w:r>
      <w:r w:rsidR="00C12623">
        <w:rPr>
          <w:rStyle w:val="FootnoteReference"/>
          <w:rFonts w:eastAsiaTheme="minorHAnsi"/>
        </w:rPr>
        <w:footnoteReference w:id="67"/>
      </w:r>
    </w:p>
    <w:p w14:paraId="5B38D61C" w14:textId="77777777" w:rsidR="002B62B5" w:rsidRDefault="002B62B5" w:rsidP="002B62B5">
      <w:pPr>
        <w:jc w:val="both"/>
        <w:rPr>
          <w:rFonts w:eastAsiaTheme="minorHAnsi"/>
        </w:rPr>
      </w:pPr>
    </w:p>
    <w:p w14:paraId="2E7ADA7F" w14:textId="77777777" w:rsidR="00292800" w:rsidRDefault="002B62B5" w:rsidP="00292800">
      <w:pPr>
        <w:jc w:val="both"/>
        <w:rPr>
          <w:rFonts w:eastAsiaTheme="minorHAnsi"/>
        </w:rPr>
      </w:pPr>
      <w:r>
        <w:rPr>
          <w:rFonts w:eastAsiaTheme="minorHAnsi"/>
        </w:rPr>
        <w:tab/>
      </w:r>
      <w:r w:rsidR="00292800">
        <w:rPr>
          <w:rFonts w:eastAsiaTheme="minorHAnsi"/>
        </w:rPr>
        <w:t>We find that the greater weight of the evidence supports approval of the generation, transmission, and distribution system proposed by FPL. We do not agre</w:t>
      </w:r>
      <w:r>
        <w:rPr>
          <w:rFonts w:eastAsiaTheme="minorHAnsi"/>
        </w:rPr>
        <w:t>e with Florida Rising that FPL’s assumptions are unreasonable. The public interest</w:t>
      </w:r>
      <w:r w:rsidR="00292800">
        <w:rPr>
          <w:rFonts w:eastAsiaTheme="minorHAnsi"/>
        </w:rPr>
        <w:t xml:space="preserve"> dictates that a utility consider a wide range of possibili</w:t>
      </w:r>
      <w:r>
        <w:rPr>
          <w:rFonts w:eastAsiaTheme="minorHAnsi"/>
        </w:rPr>
        <w:t>ties in planning for a reliable</w:t>
      </w:r>
      <w:r w:rsidR="00FB61BA">
        <w:rPr>
          <w:rFonts w:eastAsiaTheme="minorHAnsi"/>
        </w:rPr>
        <w:t xml:space="preserve"> system</w:t>
      </w:r>
      <w:r w:rsidR="00292800">
        <w:rPr>
          <w:rFonts w:eastAsiaTheme="minorHAnsi"/>
        </w:rPr>
        <w:t>. FPL has done so. The choices the Company has made to account for contingencies are based on a thorough analysis of the available data.</w:t>
      </w:r>
    </w:p>
    <w:p w14:paraId="3A1D0A50" w14:textId="77777777" w:rsidR="00292800" w:rsidRDefault="00292800" w:rsidP="00292800">
      <w:pPr>
        <w:jc w:val="both"/>
        <w:rPr>
          <w:rFonts w:eastAsiaTheme="minorHAnsi"/>
        </w:rPr>
      </w:pPr>
    </w:p>
    <w:p w14:paraId="0721602E" w14:textId="77777777" w:rsidR="00292800" w:rsidRDefault="00292800" w:rsidP="00292800">
      <w:pPr>
        <w:jc w:val="both"/>
      </w:pPr>
      <w:r>
        <w:rPr>
          <w:rFonts w:eastAsiaTheme="minorHAnsi"/>
        </w:rPr>
        <w:tab/>
        <w:t xml:space="preserve">We also do not agree with Florida Rising that the future of FPL is one that is overly-dependent on natural gas for generation. </w:t>
      </w:r>
      <w:r w:rsidR="00D215A6">
        <w:rPr>
          <w:rFonts w:eastAsiaTheme="minorHAnsi"/>
        </w:rPr>
        <w:t xml:space="preserve">Natural gas is a reliable and primary means of providing base load generation. </w:t>
      </w:r>
      <w:r>
        <w:rPr>
          <w:rFonts w:eastAsiaTheme="minorHAnsi"/>
        </w:rPr>
        <w:t>As discussed</w:t>
      </w:r>
      <w:r w:rsidR="000A65F7">
        <w:rPr>
          <w:rFonts w:eastAsiaTheme="minorHAnsi"/>
        </w:rPr>
        <w:t xml:space="preserve"> above</w:t>
      </w:r>
      <w:r>
        <w:rPr>
          <w:rFonts w:eastAsiaTheme="minorHAnsi"/>
        </w:rPr>
        <w:t xml:space="preserve">, FPL has committed to a substantial expansion of its solar generation specifically to address climate </w:t>
      </w:r>
      <w:r w:rsidR="002B62B5">
        <w:rPr>
          <w:rFonts w:eastAsiaTheme="minorHAnsi"/>
        </w:rPr>
        <w:t>change and generation diversity, including the pilot Green Hydrogen program.</w:t>
      </w:r>
    </w:p>
    <w:p w14:paraId="26737245" w14:textId="77777777" w:rsidR="00292800" w:rsidRDefault="00292800" w:rsidP="00292800">
      <w:pPr>
        <w:jc w:val="both"/>
      </w:pPr>
    </w:p>
    <w:p w14:paraId="0ED87D9C" w14:textId="77777777" w:rsidR="00F7713A" w:rsidRDefault="00F7713A" w:rsidP="00292800">
      <w:pPr>
        <w:jc w:val="both"/>
        <w:rPr>
          <w:b/>
        </w:rPr>
      </w:pPr>
    </w:p>
    <w:p w14:paraId="2E9A9F68" w14:textId="77777777" w:rsidR="00F7713A" w:rsidRDefault="00F7713A" w:rsidP="00292800">
      <w:pPr>
        <w:jc w:val="both"/>
        <w:rPr>
          <w:b/>
        </w:rPr>
      </w:pPr>
    </w:p>
    <w:p w14:paraId="7BD569B9" w14:textId="77777777" w:rsidR="00F7713A" w:rsidRDefault="00F7713A" w:rsidP="00292800">
      <w:pPr>
        <w:jc w:val="both"/>
        <w:rPr>
          <w:b/>
        </w:rPr>
      </w:pPr>
    </w:p>
    <w:p w14:paraId="35F38554" w14:textId="73F0E6DC" w:rsidR="00292800" w:rsidRPr="000A6B23" w:rsidRDefault="00292800" w:rsidP="00292800">
      <w:pPr>
        <w:jc w:val="both"/>
      </w:pPr>
      <w:r>
        <w:rPr>
          <w:b/>
        </w:rPr>
        <w:t>Issue 12:</w:t>
      </w:r>
      <w:r w:rsidR="00D215A6">
        <w:rPr>
          <w:b/>
        </w:rPr>
        <w:t xml:space="preserve"> </w:t>
      </w:r>
      <w:r>
        <w:rPr>
          <w:b/>
        </w:rPr>
        <w:t>Storm cost recovery mechanism</w:t>
      </w:r>
    </w:p>
    <w:p w14:paraId="5A4EAD33" w14:textId="77777777" w:rsidR="00292800" w:rsidRDefault="00292800" w:rsidP="00292800">
      <w:pPr>
        <w:jc w:val="both"/>
      </w:pPr>
    </w:p>
    <w:p w14:paraId="17575486" w14:textId="4CBAB45A" w:rsidR="00292800" w:rsidRDefault="00292800" w:rsidP="00292800">
      <w:pPr>
        <w:pStyle w:val="ListParagraph"/>
        <w:ind w:left="0"/>
        <w:jc w:val="both"/>
      </w:pPr>
      <w:r>
        <w:tab/>
        <w:t>Under the 2021 Settlement, FPL is allowed to seek recovery of costs associated with any tropical storm or its successor without the application of any form of earnings test or measure and irrespective of previous or current base rate earnings or the remaining unamortized storm reserve.</w:t>
      </w:r>
      <w:r>
        <w:rPr>
          <w:rStyle w:val="FootnoteReference"/>
        </w:rPr>
        <w:footnoteReference w:id="68"/>
      </w:r>
      <w:r>
        <w:t xml:space="preserve">  FPL’s recovery of storm costs on an interim basis will begin 60 days following the filing of a cost recovery petition and tariffs and will be based on a 12-month recovery period if the storm costs do not exceed $4.00/1,000 kWh on a monthly residential bill.  Any additional costs exceeding $4.00/1,000 kWh may be recovered in subsequent years(s) as determined by the </w:t>
      </w:r>
      <w:r w:rsidR="00827FDC">
        <w:t>us</w:t>
      </w:r>
      <w:r>
        <w:t>.  Storm related costs subject to interim recovery will be calculated and disposed of pursuant to Rule 25-6.0143, F.A.C.  The storm reserve will be no less than $150 million.  In the event that FPL incurs in excess of $800 million of qualifying storm costs in a given calendar year, it may petition to increase the initial recovery beyond $4.00/1,000 kWh.  Storm cost recovery proceedings shall not be a vehicle for a “rate case” inquiry concerning FPL’s expenses, investment, or financial results.</w:t>
      </w:r>
    </w:p>
    <w:p w14:paraId="0C5247BD" w14:textId="77777777" w:rsidR="00292800" w:rsidRDefault="00292800" w:rsidP="00292800">
      <w:pPr>
        <w:pStyle w:val="ListParagraph"/>
        <w:ind w:left="0"/>
        <w:jc w:val="both"/>
      </w:pPr>
    </w:p>
    <w:p w14:paraId="4B96D3D5" w14:textId="5FA73443" w:rsidR="00292800" w:rsidRDefault="00292800" w:rsidP="00292800">
      <w:pPr>
        <w:pStyle w:val="ListParagraph"/>
        <w:ind w:left="0"/>
        <w:jc w:val="both"/>
      </w:pPr>
      <w:r>
        <w:tab/>
        <w:t>Florida Rising contends that the storm cost recovery mechanism violates Section</w:t>
      </w:r>
      <w:r w:rsidR="00800F68">
        <w:t>s</w:t>
      </w:r>
      <w:r>
        <w:t xml:space="preserve"> 366.06 </w:t>
      </w:r>
      <w:r w:rsidR="00800F68">
        <w:t>and</w:t>
      </w:r>
      <w:r>
        <w:t xml:space="preserve"> 366.07, F.S., because it allows new rate increases prior to </w:t>
      </w:r>
      <w:r w:rsidR="00827FDC">
        <w:t>us</w:t>
      </w:r>
      <w:r>
        <w:t xml:space="preserve"> holding a public hearing and making a determination regarding “the sufficiency of current recovery structures.” FPL responds that the mechanism is squarely within our rate-making authority, as evidenced by prior approvals, and serves the public interest, as demonstrated by the mechanism’s successful application over time.</w:t>
      </w:r>
    </w:p>
    <w:p w14:paraId="744978BA" w14:textId="77777777" w:rsidR="00292800" w:rsidRDefault="00292800" w:rsidP="00292800">
      <w:pPr>
        <w:pStyle w:val="ListParagraph"/>
        <w:ind w:left="0"/>
        <w:jc w:val="both"/>
      </w:pPr>
    </w:p>
    <w:p w14:paraId="41A97C6B" w14:textId="77777777" w:rsidR="00292800" w:rsidRDefault="00292800" w:rsidP="00202E2B">
      <w:pPr>
        <w:shd w:val="clear" w:color="auto" w:fill="FFFFFF"/>
        <w:jc w:val="both"/>
      </w:pPr>
      <w:r w:rsidRPr="00A65EA8">
        <w:tab/>
      </w:r>
      <w:r w:rsidR="003C64E3">
        <w:t>To the extent</w:t>
      </w:r>
      <w:r w:rsidR="00202E2B">
        <w:t xml:space="preserve"> these arguments are directed to our jurisdiction to consider this mechanism, we need not revisit them. We find that the storm recovery mechanism serves an important public interest, especially in the context of the four-year rate plan. The ability to quickly seek approval and begin collecting a surcharge for storm recovery reduces regulatory lag and creates a more stable post-storm financial environment. This surcharge is followed by a final true-up hearing to ensure the correct amounts </w:t>
      </w:r>
      <w:r w:rsidR="00680437">
        <w:t>have been</w:t>
      </w:r>
      <w:r w:rsidR="00202E2B">
        <w:t xml:space="preserve"> charged and collected. </w:t>
      </w:r>
      <w:r w:rsidR="00680437">
        <w:t>Finally, s</w:t>
      </w:r>
      <w:r w:rsidR="00202E2B">
        <w:t>ubstantially affected parties are afforded a point-of-entry to participate in this hearin</w:t>
      </w:r>
      <w:r w:rsidR="00680437">
        <w:t xml:space="preserve">g and contest the </w:t>
      </w:r>
      <w:r w:rsidR="00FB61BA">
        <w:t xml:space="preserve">proposed recovery, </w:t>
      </w:r>
      <w:r w:rsidR="00800F68">
        <w:t>e</w:t>
      </w:r>
      <w:r w:rsidR="00FB61BA">
        <w:t>nsuring</w:t>
      </w:r>
      <w:r w:rsidR="000A4E0B">
        <w:t xml:space="preserve"> that any aggrieved ratepayer </w:t>
      </w:r>
      <w:r w:rsidR="00D71876">
        <w:t>has the opportunity to be heard.</w:t>
      </w:r>
    </w:p>
    <w:p w14:paraId="1E16F0A9" w14:textId="77777777" w:rsidR="00292800" w:rsidRDefault="00292800" w:rsidP="00292800">
      <w:pPr>
        <w:jc w:val="both"/>
      </w:pPr>
    </w:p>
    <w:p w14:paraId="711B4A6D" w14:textId="77777777" w:rsidR="00292800" w:rsidRPr="007B746C" w:rsidRDefault="00292800" w:rsidP="00292800">
      <w:pPr>
        <w:jc w:val="both"/>
        <w:rPr>
          <w:b/>
        </w:rPr>
      </w:pPr>
      <w:r>
        <w:rPr>
          <w:b/>
        </w:rPr>
        <w:t>Issue 13:</w:t>
      </w:r>
      <w:r w:rsidR="00800F68">
        <w:rPr>
          <w:b/>
        </w:rPr>
        <w:t xml:space="preserve"> </w:t>
      </w:r>
      <w:r>
        <w:rPr>
          <w:b/>
        </w:rPr>
        <w:t>Federal tax adjustment</w:t>
      </w:r>
    </w:p>
    <w:p w14:paraId="3F0318EE" w14:textId="77777777" w:rsidR="00292800" w:rsidRDefault="00292800" w:rsidP="00292800">
      <w:pPr>
        <w:jc w:val="both"/>
      </w:pPr>
    </w:p>
    <w:p w14:paraId="74E03A80" w14:textId="77777777" w:rsidR="00292800" w:rsidRDefault="00292800" w:rsidP="00292800">
      <w:pPr>
        <w:pStyle w:val="ListParagraph"/>
        <w:ind w:left="0"/>
        <w:jc w:val="both"/>
      </w:pPr>
      <w:r>
        <w:tab/>
        <w:t>If permanent federal or state tax changes are enacted effective for any of the tax years 2022 through the Term, the 2021 Settlement Agreement allows the base revenue requirement to be adjusted for the impacts of those changes within the latter of 90 days from when the tax becomes law or the effective date of the law, but in no instance prior to January 1, 2022. This adjustment will be made for all</w:t>
      </w:r>
      <w:r w:rsidRPr="00EA4152">
        <w:t xml:space="preserve"> </w:t>
      </w:r>
      <w:r>
        <w:t>retail customers through a prospective adjustment to base rates.  Any effects of a change in taxes on retail revenue requirements will be flowed back to, or collected from, customers through the Conservation Cost Recovery Clause on the same basis as used in any base rate adjustment.</w:t>
      </w:r>
    </w:p>
    <w:p w14:paraId="59312ABF" w14:textId="77777777" w:rsidR="00292800" w:rsidRDefault="00292800" w:rsidP="00292800">
      <w:pPr>
        <w:pStyle w:val="ListParagraph"/>
        <w:ind w:left="0"/>
        <w:jc w:val="both"/>
      </w:pPr>
    </w:p>
    <w:p w14:paraId="4E41D11B" w14:textId="77777777" w:rsidR="00292800" w:rsidRDefault="00292800" w:rsidP="00292800">
      <w:pPr>
        <w:pStyle w:val="ListParagraph"/>
        <w:ind w:left="0"/>
        <w:jc w:val="both"/>
      </w:pPr>
      <w:r>
        <w:tab/>
        <w:t xml:space="preserve">Citing Section 366.07, F.S., Florida Rising contends that this provision allows for an unlawful “unilateral” adjustment to rates without a hearing and determination that FPL is earning below its authorized allowable range of return. </w:t>
      </w:r>
    </w:p>
    <w:p w14:paraId="4DFFCBFA" w14:textId="77777777" w:rsidR="00292800" w:rsidRDefault="00292800" w:rsidP="00292800">
      <w:pPr>
        <w:pStyle w:val="ListParagraph"/>
        <w:ind w:left="0"/>
        <w:jc w:val="both"/>
      </w:pPr>
    </w:p>
    <w:p w14:paraId="6941277C" w14:textId="77777777" w:rsidR="00BC14CD" w:rsidRDefault="00292800" w:rsidP="00292800">
      <w:pPr>
        <w:pStyle w:val="ListParagraph"/>
        <w:ind w:left="0"/>
        <w:jc w:val="both"/>
      </w:pPr>
      <w:r>
        <w:tab/>
      </w:r>
      <w:r w:rsidR="003C64E3">
        <w:t>To the extent these arguments are directed to our jurisdiction to consider this mechanism, we need not revisit them.</w:t>
      </w:r>
    </w:p>
    <w:p w14:paraId="0394AEF2" w14:textId="77777777" w:rsidR="00BC14CD" w:rsidRDefault="00BC14CD" w:rsidP="00292800">
      <w:pPr>
        <w:pStyle w:val="ListParagraph"/>
        <w:ind w:left="0"/>
        <w:jc w:val="both"/>
      </w:pPr>
    </w:p>
    <w:p w14:paraId="7A0826CB" w14:textId="77777777" w:rsidR="00292800" w:rsidRDefault="00BC14CD" w:rsidP="00292800">
      <w:pPr>
        <w:pStyle w:val="ListParagraph"/>
        <w:ind w:left="0"/>
        <w:jc w:val="both"/>
      </w:pPr>
      <w:r>
        <w:tab/>
      </w:r>
      <w:r w:rsidR="00292800">
        <w:t xml:space="preserve">Allowing an adjustment to the revenue requirement </w:t>
      </w:r>
      <w:r>
        <w:t xml:space="preserve">to account for a tax change </w:t>
      </w:r>
      <w:r w:rsidR="00292800">
        <w:t xml:space="preserve">without the need for a full rate case is in the public interest. </w:t>
      </w:r>
      <w:r w:rsidR="00C4753E">
        <w:t>Any decrease c</w:t>
      </w:r>
      <w:r w:rsidR="00FB61BA">
        <w:t>an</w:t>
      </w:r>
      <w:r w:rsidR="00C4753E">
        <w:t xml:space="preserve"> be</w:t>
      </w:r>
      <w:r w:rsidR="006E2CD5">
        <w:t xml:space="preserve"> quickly</w:t>
      </w:r>
      <w:r w:rsidR="00C4753E">
        <w:t xml:space="preserve"> flowed to the ratepayers. </w:t>
      </w:r>
      <w:r w:rsidR="00292800">
        <w:t xml:space="preserve">Any </w:t>
      </w:r>
      <w:r w:rsidR="00C4753E">
        <w:t xml:space="preserve">upward </w:t>
      </w:r>
      <w:r w:rsidR="00292800">
        <w:t>adjustment allow</w:t>
      </w:r>
      <w:r w:rsidR="00FB61BA">
        <w:t>s</w:t>
      </w:r>
      <w:r w:rsidR="00292800">
        <w:t xml:space="preserve"> FPL to keep its earnings at the </w:t>
      </w:r>
      <w:r>
        <w:t>level</w:t>
      </w:r>
      <w:r w:rsidR="00292800">
        <w:t xml:space="preserve"> we are approving in this Order, which will in turn allow the Company to continue providing service at present-day cost and value. We review any such changes and corresponding adjustments </w:t>
      </w:r>
      <w:r w:rsidR="006E2CD5">
        <w:t>when FPL files a petition seeking approval for its proposed treatment of tax changes. Substantially affected persons – ratepayers – would have a point-of-entry</w:t>
      </w:r>
      <w:r>
        <w:t xml:space="preserve"> at that time</w:t>
      </w:r>
      <w:r w:rsidR="006E2CD5">
        <w:t xml:space="preserve"> to present any evidence and argument regarding the proposed treatment.</w:t>
      </w:r>
    </w:p>
    <w:p w14:paraId="25C53262" w14:textId="77777777" w:rsidR="00292800" w:rsidRDefault="00292800" w:rsidP="00292800">
      <w:pPr>
        <w:jc w:val="both"/>
      </w:pPr>
    </w:p>
    <w:p w14:paraId="192A9E2A" w14:textId="77777777" w:rsidR="00292800" w:rsidRPr="007B746C" w:rsidRDefault="00292800" w:rsidP="00292800">
      <w:pPr>
        <w:jc w:val="both"/>
      </w:pPr>
      <w:r>
        <w:rPr>
          <w:b/>
        </w:rPr>
        <w:t>Issue 14:</w:t>
      </w:r>
      <w:r w:rsidR="007B4D62">
        <w:rPr>
          <w:b/>
        </w:rPr>
        <w:t xml:space="preserve"> </w:t>
      </w:r>
      <w:r>
        <w:rPr>
          <w:b/>
        </w:rPr>
        <w:t>Incentive mechanism for asset optimization</w:t>
      </w:r>
    </w:p>
    <w:p w14:paraId="13026C74" w14:textId="77777777" w:rsidR="00292800" w:rsidRDefault="00292800" w:rsidP="00292800">
      <w:pPr>
        <w:pStyle w:val="ListParagraph"/>
        <w:ind w:left="0"/>
        <w:jc w:val="both"/>
      </w:pPr>
    </w:p>
    <w:p w14:paraId="5F0764A6" w14:textId="341B6E04" w:rsidR="00292800" w:rsidRDefault="00292800" w:rsidP="00292800">
      <w:pPr>
        <w:pStyle w:val="ListParagraph"/>
        <w:ind w:left="0"/>
        <w:jc w:val="both"/>
      </w:pPr>
      <w:r>
        <w:tab/>
        <w:t>We first approved FPL’s asset optimization program as a four-year pilot as part of the 2012 Settlement in Order No. PSC-2013-0023-S-EI.</w:t>
      </w:r>
      <w:r>
        <w:rPr>
          <w:rStyle w:val="FootnoteReference"/>
        </w:rPr>
        <w:footnoteReference w:id="69"/>
      </w:r>
      <w:r w:rsidRPr="002706C0">
        <w:t xml:space="preserve"> </w:t>
      </w:r>
      <w:r>
        <w:t>The program was designed to allow FPL to create gains through electric wholesale purchases and sales,</w:t>
      </w:r>
      <w:r>
        <w:rPr>
          <w:rStyle w:val="FootnoteReference"/>
        </w:rPr>
        <w:footnoteReference w:id="70"/>
      </w:r>
      <w:r w:rsidR="00216513">
        <w:t xml:space="preserve"> and asset optimization. </w:t>
      </w:r>
      <w:r>
        <w:t>Allowable asset optimization under the pilot included gas storage utilization, production gas sales, capacity release of gas transportation and electric transmission, and asset management agreements.</w:t>
      </w:r>
      <w:r>
        <w:rPr>
          <w:rStyle w:val="FootnoteReference"/>
        </w:rPr>
        <w:footnoteReference w:id="71"/>
      </w:r>
      <w:r>
        <w:t xml:space="preserve"> The overwhelming majority of the value from these activities was to be flowed to the customers through the Fuel and Purchased Power Cost Recovery Clause (Fuel Clause), thereby reducing customers’ annual fuel costs. As an incentive to maximize asset optimization, FPL would be entitled to a share of this added value if certain thresholds were exceeded.</w:t>
      </w:r>
      <w:r w:rsidR="006E4139">
        <w:t xml:space="preserve"> </w:t>
      </w:r>
      <w:r>
        <w:t>The Florida Supreme Court affirmed our Order approving the 2012 Settlement, specifically upholding our approval of the pilot incentive program</w:t>
      </w:r>
      <w:r w:rsidRPr="001C13D3">
        <w:rPr>
          <w:color w:val="000000"/>
        </w:rPr>
        <w:t>.</w:t>
      </w:r>
      <w:r w:rsidR="006E4139">
        <w:rPr>
          <w:rStyle w:val="FootnoteReference"/>
          <w:color w:val="000000"/>
        </w:rPr>
        <w:footnoteReference w:id="72"/>
      </w:r>
      <w:r w:rsidRPr="00AE24DC">
        <w:t xml:space="preserve"> </w:t>
      </w:r>
    </w:p>
    <w:p w14:paraId="39AD0B39" w14:textId="77777777" w:rsidR="00292800" w:rsidRDefault="00292800" w:rsidP="00292800">
      <w:pPr>
        <w:pStyle w:val="ListParagraph"/>
        <w:ind w:left="0"/>
        <w:jc w:val="both"/>
        <w:rPr>
          <w:color w:val="000000"/>
        </w:rPr>
      </w:pPr>
    </w:p>
    <w:p w14:paraId="3E945828" w14:textId="11296C6D" w:rsidR="00292800" w:rsidRPr="003C6D0E" w:rsidRDefault="00292800" w:rsidP="00292800">
      <w:pPr>
        <w:pStyle w:val="ListParagraph"/>
        <w:ind w:left="0"/>
        <w:jc w:val="both"/>
      </w:pPr>
      <w:r>
        <w:rPr>
          <w:color w:val="000000"/>
        </w:rPr>
        <w:tab/>
      </w:r>
      <w:r>
        <w:t>At the end of the initial pilot’s term, we authorized FPL to continue the program, subject to certain modifications, in Order No. PSC-2016-0560-AS-EI.</w:t>
      </w:r>
      <w:r>
        <w:rPr>
          <w:rStyle w:val="FootnoteReference"/>
        </w:rPr>
        <w:footnoteReference w:id="73"/>
      </w:r>
      <w:r>
        <w:t xml:space="preserve"> Under the program as modified in 2016, customers receive 100</w:t>
      </w:r>
      <w:r w:rsidR="003525AE">
        <w:t xml:space="preserve"> percent</w:t>
      </w:r>
      <w:r w:rsidR="003525AE" w:rsidDel="003525AE">
        <w:t xml:space="preserve"> </w:t>
      </w:r>
      <w:r>
        <w:t>of the first $40 million in savings realized from listed activities. For all savings between $40 and $100 million, customers receive 40</w:t>
      </w:r>
      <w:r w:rsidR="003525AE">
        <w:t xml:space="preserve"> percent</w:t>
      </w:r>
      <w:r w:rsidR="003525AE" w:rsidDel="003525AE">
        <w:t xml:space="preserve"> </w:t>
      </w:r>
      <w:r>
        <w:t>and FPL receives 60</w:t>
      </w:r>
      <w:r w:rsidR="003525AE">
        <w:t xml:space="preserve"> percent</w:t>
      </w:r>
      <w:r>
        <w:t>. For all savings above $100 million, FPL and its customers each receive 50</w:t>
      </w:r>
      <w:r w:rsidR="003525AE">
        <w:t xml:space="preserve"> percent</w:t>
      </w:r>
      <w:r>
        <w:t>. From 2013-2022, after netting out incremental O&amp;M expenses, the program has resulted in a total benefit of $406.7 million. Of this total, customers received $354.5 million (87</w:t>
      </w:r>
      <w:r w:rsidR="003525AE">
        <w:t xml:space="preserve"> percent</w:t>
      </w:r>
      <w:r>
        <w:t>). FPL received $52.2 million (13</w:t>
      </w:r>
      <w:r w:rsidR="003525AE">
        <w:t xml:space="preserve"> percent</w:t>
      </w:r>
      <w:r>
        <w:t>).</w:t>
      </w:r>
    </w:p>
    <w:p w14:paraId="5C06D730" w14:textId="77777777" w:rsidR="00292800" w:rsidRDefault="00292800" w:rsidP="00292800">
      <w:pPr>
        <w:pStyle w:val="ListParagraph"/>
        <w:ind w:left="0"/>
        <w:jc w:val="both"/>
      </w:pPr>
    </w:p>
    <w:p w14:paraId="0D7A326B" w14:textId="7D313D34" w:rsidR="00292800" w:rsidRDefault="00292800" w:rsidP="00292800">
      <w:pPr>
        <w:pStyle w:val="ListParagraph"/>
        <w:ind w:left="0"/>
        <w:jc w:val="both"/>
      </w:pPr>
      <w:r>
        <w:tab/>
        <w:t>Pursuant to the 2021 Settlement, the program is modified to apply to all fuel sources (not gas only) when it is reasonable and in the customers’ best interests based on system requirements, market demand, and the current market price of fuel or capacity. This includes renewable energy credits (RECs), which may be monetized and sold. Three annual savings thresholds are set: (1) FPL customers will receive 100</w:t>
      </w:r>
      <w:r w:rsidR="003525AE">
        <w:t xml:space="preserve"> percent</w:t>
      </w:r>
      <w:r w:rsidR="003525AE" w:rsidDel="003525AE">
        <w:t xml:space="preserve"> </w:t>
      </w:r>
      <w:r>
        <w:t>of the incentive mechanism gain up to $42.5 million; (2) FPL customers will receive 40</w:t>
      </w:r>
      <w:r w:rsidR="003525AE">
        <w:t xml:space="preserve"> percent</w:t>
      </w:r>
      <w:r w:rsidR="003525AE" w:rsidDel="003525AE">
        <w:t xml:space="preserve"> </w:t>
      </w:r>
      <w:r>
        <w:t>and FPL will receive 60</w:t>
      </w:r>
      <w:r w:rsidR="003525AE">
        <w:t xml:space="preserve"> percent</w:t>
      </w:r>
      <w:r w:rsidR="003525AE" w:rsidDel="003525AE">
        <w:t xml:space="preserve"> </w:t>
      </w:r>
      <w:r>
        <w:t>of incremental mechanism gains between $42.5 million and $100 million; and (3) FPL and its customers will each receive 50</w:t>
      </w:r>
      <w:r w:rsidR="003525AE">
        <w:t xml:space="preserve"> percent</w:t>
      </w:r>
      <w:r w:rsidR="003525AE" w:rsidDel="003525AE">
        <w:t xml:space="preserve"> </w:t>
      </w:r>
      <w:r>
        <w:t xml:space="preserve">of incremental mechanism gains in excess of $100 million.  The per-MWh variable power O&amp;M rate is set at $0.48/MWh.  Optimization activities, variable power plant O&amp;M rates, and savings thresholds will be considered “adjustable parameters” that FPL can request be reviewed and adjusted every four years in the Fuel Clause docket. Expenses, including incremental O&amp;M costs, personnel, software and association hardware costs, will be recovered from customers through the Fuel Clause. </w:t>
      </w:r>
    </w:p>
    <w:p w14:paraId="23ECEE84" w14:textId="77777777" w:rsidR="00292800" w:rsidRDefault="00292800" w:rsidP="00292800">
      <w:pPr>
        <w:pStyle w:val="ListParagraph"/>
        <w:ind w:left="0"/>
        <w:jc w:val="both"/>
      </w:pPr>
    </w:p>
    <w:p w14:paraId="538707E8" w14:textId="2ECE6159" w:rsidR="00292800" w:rsidRDefault="00292800" w:rsidP="00292800">
      <w:pPr>
        <w:pStyle w:val="ListParagraph"/>
        <w:ind w:left="0"/>
        <w:jc w:val="both"/>
      </w:pPr>
      <w:r>
        <w:tab/>
        <w:t>Florida Rising contends that this program seeks recovery of costs that are not related to the generation, transmission, or distribution of electricity, that the savings from activities under the program are required to be kept in a separate account pursuant to Section 366.05, F.S., and, therefore, “the Commission does not have the legal authority to approve the mechanism.”</w:t>
      </w:r>
    </w:p>
    <w:p w14:paraId="7E4733D5" w14:textId="77777777" w:rsidR="00292800" w:rsidRDefault="00292800" w:rsidP="00292800">
      <w:pPr>
        <w:pStyle w:val="ListParagraph"/>
        <w:ind w:left="0"/>
        <w:jc w:val="both"/>
      </w:pPr>
    </w:p>
    <w:p w14:paraId="0C9C6972" w14:textId="77777777" w:rsidR="00292800" w:rsidRDefault="00292800" w:rsidP="00292800">
      <w:pPr>
        <w:pStyle w:val="ListParagraph"/>
        <w:ind w:left="0"/>
        <w:jc w:val="both"/>
      </w:pPr>
      <w:r>
        <w:tab/>
        <w:t>The Supreme Court affirmed our approval of this program as a pilot,</w:t>
      </w:r>
      <w:r>
        <w:rPr>
          <w:rStyle w:val="FootnoteReference"/>
        </w:rPr>
        <w:footnoteReference w:id="74"/>
      </w:r>
      <w:r>
        <w:t xml:space="preserve"> and subsequently confirmed our jurisdiction to approve the current mechanism.</w:t>
      </w:r>
      <w:r>
        <w:rPr>
          <w:rStyle w:val="FootnoteReference"/>
        </w:rPr>
        <w:footnoteReference w:id="75"/>
      </w:r>
      <w:r w:rsidRPr="00F51998">
        <w:t xml:space="preserve"> </w:t>
      </w:r>
      <w:r>
        <w:t>We are well within the bounds of our the legal authority in approving the amended program because the allowable activities – the purchase and sale of power, the creation and monetization of RECs, the sale of unneeded transmission rights, and the sale of gas, gas transportation, and gas storage – all involve the generation, transmission, or distribution of electricity, whether by gas or another fuel source.</w:t>
      </w:r>
    </w:p>
    <w:p w14:paraId="6785DFA7" w14:textId="77777777" w:rsidR="00292800" w:rsidRDefault="00292800" w:rsidP="00292800">
      <w:pPr>
        <w:pStyle w:val="ListParagraph"/>
        <w:ind w:left="0"/>
        <w:jc w:val="both"/>
      </w:pPr>
    </w:p>
    <w:p w14:paraId="15E1EE13" w14:textId="77777777" w:rsidR="00292800" w:rsidRDefault="00292800" w:rsidP="00292800">
      <w:pPr>
        <w:pStyle w:val="ListParagraph"/>
        <w:ind w:left="0"/>
        <w:jc w:val="both"/>
      </w:pPr>
      <w:r>
        <w:tab/>
        <w:t>We do not somehow lose the authority to approve the mechanism because FPL is not maintaining the savings in a separate account, as maintained by Florida Rising. The requirement to maintain separate accounts is found in Section 366.05(2), F.S., which provides in part:</w:t>
      </w:r>
    </w:p>
    <w:p w14:paraId="177711AB" w14:textId="77777777" w:rsidR="00292800" w:rsidRDefault="00292800" w:rsidP="00292800">
      <w:pPr>
        <w:pStyle w:val="ListParagraph"/>
        <w:ind w:left="0"/>
        <w:jc w:val="both"/>
      </w:pPr>
    </w:p>
    <w:p w14:paraId="4DED7A87" w14:textId="77777777" w:rsidR="00292800" w:rsidRPr="00F76ECA" w:rsidRDefault="00292800" w:rsidP="00292800">
      <w:pPr>
        <w:pStyle w:val="ListParagraph"/>
        <w:ind w:right="720"/>
        <w:jc w:val="both"/>
      </w:pPr>
      <w:r w:rsidRPr="00F76ECA">
        <w:rPr>
          <w:shd w:val="clear" w:color="auto" w:fill="FFFFFF"/>
        </w:rPr>
        <w:t>Every public utility, as defined in s. </w:t>
      </w:r>
      <w:r w:rsidR="00E56223">
        <w:rPr>
          <w:shd w:val="clear" w:color="auto" w:fill="FFFFFF"/>
        </w:rPr>
        <w:t>366.02</w:t>
      </w:r>
      <w:r w:rsidRPr="00F76ECA">
        <w:rPr>
          <w:shd w:val="clear" w:color="auto" w:fill="FFFFFF"/>
        </w:rPr>
        <w:t xml:space="preserve"> which in addition to the production, transmission, delivery or furnishing of heat, light, or power also sells appliances or other merchandise shall keep separate and individual accounts for the sale and profit deriving from such sales. </w:t>
      </w:r>
    </w:p>
    <w:p w14:paraId="2A8269BB" w14:textId="77777777" w:rsidR="00292800" w:rsidRDefault="00292800" w:rsidP="00292800">
      <w:pPr>
        <w:pStyle w:val="ListParagraph"/>
        <w:ind w:left="0"/>
        <w:jc w:val="both"/>
      </w:pPr>
    </w:p>
    <w:p w14:paraId="681EF8DB" w14:textId="77777777" w:rsidR="00292800" w:rsidRDefault="00292800" w:rsidP="00292800">
      <w:pPr>
        <w:pStyle w:val="ListParagraph"/>
        <w:ind w:left="0"/>
        <w:jc w:val="both"/>
      </w:pPr>
      <w:r>
        <w:t>The prescribed activities in the program do not involve the sale of appliances or other merchandise. We conclude that this subsection is not applicable to the incentive program.</w:t>
      </w:r>
    </w:p>
    <w:p w14:paraId="073DE62B" w14:textId="77777777" w:rsidR="00292800" w:rsidRDefault="00292800" w:rsidP="00292800">
      <w:pPr>
        <w:pStyle w:val="ListParagraph"/>
        <w:ind w:left="0"/>
        <w:jc w:val="both"/>
      </w:pPr>
    </w:p>
    <w:p w14:paraId="6CB3B5B8" w14:textId="77777777" w:rsidR="00292800" w:rsidRDefault="00292800" w:rsidP="00292800">
      <w:pPr>
        <w:pStyle w:val="ListParagraph"/>
        <w:ind w:left="0"/>
        <w:jc w:val="both"/>
      </w:pPr>
      <w:r>
        <w:tab/>
        <w:t>Turning to the Settlement Agreement, the modest proposed changes to the incentive program do not change its basic structure and operation. The program is reasonably expected to continue to provide savings through the efficient use of existing assets.</w:t>
      </w:r>
      <w:r>
        <w:rPr>
          <w:rStyle w:val="FootnoteReference"/>
        </w:rPr>
        <w:footnoteReference w:id="76"/>
      </w:r>
      <w:r w:rsidRPr="003E08F7">
        <w:t xml:space="preserve"> </w:t>
      </w:r>
      <w:r>
        <w:t>The history of the program demonstrate that the overwhelming savings realized from Company actions have and will be flowed to the ratepayers.</w:t>
      </w:r>
      <w:r w:rsidRPr="003E08F7">
        <w:t xml:space="preserve"> </w:t>
      </w:r>
      <w:r>
        <w:t xml:space="preserve">The amended thresholds continue to provide appropriate customer benefit and Company incentive.  The inclusion of all fuel types – and renewable energy credits – in the program will allow it to evolve with the energy landscape and bring more customer benefit. </w:t>
      </w:r>
    </w:p>
    <w:p w14:paraId="454F333A" w14:textId="77777777" w:rsidR="00292800" w:rsidRDefault="00292800" w:rsidP="00292800">
      <w:pPr>
        <w:pStyle w:val="ListParagraph"/>
        <w:ind w:left="0"/>
        <w:jc w:val="both"/>
      </w:pPr>
    </w:p>
    <w:p w14:paraId="0A6D1AC1" w14:textId="77777777" w:rsidR="00292800" w:rsidRDefault="00292800" w:rsidP="00292800">
      <w:pPr>
        <w:pStyle w:val="ListParagraph"/>
        <w:ind w:left="0"/>
        <w:jc w:val="both"/>
      </w:pPr>
      <w:r>
        <w:tab/>
        <w:t>We find that the incentive program has and will continue to provide substantial benefit to the ratepayers and appropriate incentives to the Company, and is in the public interest. With the newly-approved program now applying to all fuel types, we find it appropriate for the incentive program to be administered through the Fuel Clause as set forth in the Settlement Agreement.</w:t>
      </w:r>
    </w:p>
    <w:p w14:paraId="16A81A0F" w14:textId="77777777" w:rsidR="00292800" w:rsidRDefault="00292800" w:rsidP="00292800">
      <w:pPr>
        <w:pStyle w:val="ListParagraph"/>
        <w:ind w:left="0"/>
        <w:jc w:val="both"/>
      </w:pPr>
    </w:p>
    <w:p w14:paraId="49FC70EA" w14:textId="77777777" w:rsidR="00292800" w:rsidRPr="007B746C" w:rsidRDefault="00292800" w:rsidP="00292800">
      <w:pPr>
        <w:pStyle w:val="ListParagraph"/>
        <w:ind w:left="0"/>
        <w:jc w:val="both"/>
      </w:pPr>
      <w:r>
        <w:rPr>
          <w:b/>
        </w:rPr>
        <w:t>Issue 15:</w:t>
      </w:r>
      <w:r w:rsidR="00C163D2">
        <w:rPr>
          <w:b/>
        </w:rPr>
        <w:t xml:space="preserve"> </w:t>
      </w:r>
      <w:r>
        <w:rPr>
          <w:b/>
        </w:rPr>
        <w:t>Solar cost cap incentive</w:t>
      </w:r>
    </w:p>
    <w:p w14:paraId="74849513" w14:textId="77777777" w:rsidR="00292800" w:rsidRDefault="00292800" w:rsidP="00292800">
      <w:pPr>
        <w:jc w:val="both"/>
      </w:pPr>
    </w:p>
    <w:p w14:paraId="1D57F277" w14:textId="3E79678D" w:rsidR="00973982" w:rsidRDefault="00292800" w:rsidP="00973982">
      <w:pPr>
        <w:jc w:val="both"/>
      </w:pPr>
      <w:r>
        <w:tab/>
        <w:t>The Settlement Agreement contains another incentive, this one found in the SoBRA program and referred to as “the solar cost cap incentive.”</w:t>
      </w:r>
      <w:r w:rsidR="00206A8B">
        <w:t xml:space="preserve"> </w:t>
      </w:r>
      <w:r w:rsidR="00973982">
        <w:t>Florida Rising contends that this incentive provides FPL an illegal bonus payment over the “actual legitimate” cost of the installed facility. It argues that 100</w:t>
      </w:r>
      <w:r w:rsidR="003525AE">
        <w:t xml:space="preserve"> percent</w:t>
      </w:r>
      <w:r w:rsidR="003525AE" w:rsidDel="003525AE">
        <w:t xml:space="preserve"> </w:t>
      </w:r>
      <w:r w:rsidR="00973982">
        <w:t>of any savings, not just the 75</w:t>
      </w:r>
      <w:r w:rsidR="003525AE">
        <w:t xml:space="preserve"> percent</w:t>
      </w:r>
      <w:r w:rsidR="003525AE" w:rsidDel="003525AE">
        <w:t xml:space="preserve"> </w:t>
      </w:r>
      <w:r w:rsidR="00973982">
        <w:t>under this incentive program, must be credited (or never charged) to the ratepayers.</w:t>
      </w:r>
    </w:p>
    <w:p w14:paraId="51FD7CBF" w14:textId="77777777" w:rsidR="00973982" w:rsidRDefault="00973982" w:rsidP="00973982">
      <w:pPr>
        <w:jc w:val="both"/>
      </w:pPr>
    </w:p>
    <w:p w14:paraId="04A78A1A" w14:textId="6BF44382" w:rsidR="00292800" w:rsidRDefault="00973982" w:rsidP="00292800">
      <w:pPr>
        <w:jc w:val="both"/>
      </w:pPr>
      <w:r>
        <w:tab/>
      </w:r>
      <w:r w:rsidR="00292800">
        <w:t>Under th</w:t>
      </w:r>
      <w:r>
        <w:t>e solar cost cap</w:t>
      </w:r>
      <w:r w:rsidR="00292800">
        <w:t xml:space="preserve"> incentive, if the actual installed cost for any SoBRA project is less than the $1,250 kW</w:t>
      </w:r>
      <w:r w:rsidR="00292800">
        <w:rPr>
          <w:vertAlign w:val="subscript"/>
        </w:rPr>
        <w:t>AC</w:t>
      </w:r>
      <w:r w:rsidR="00292800">
        <w:t xml:space="preserve"> cap or adjusted cap, customers and FPL will share the difference between the actual cost and $1,250 kW</w:t>
      </w:r>
      <w:r w:rsidR="00292800" w:rsidRPr="00C47239">
        <w:rPr>
          <w:vertAlign w:val="subscript"/>
        </w:rPr>
        <w:t>AC</w:t>
      </w:r>
      <w:r w:rsidR="00292800">
        <w:t xml:space="preserve"> cap, or adjusted cap, with 75</w:t>
      </w:r>
      <w:r w:rsidR="003525AE">
        <w:t xml:space="preserve"> percent</w:t>
      </w:r>
      <w:r w:rsidR="003525AE" w:rsidDel="003525AE">
        <w:t xml:space="preserve"> </w:t>
      </w:r>
      <w:r w:rsidR="00292800">
        <w:t>of the difference benefiting customers and 25</w:t>
      </w:r>
      <w:r w:rsidR="003525AE">
        <w:t xml:space="preserve"> percent</w:t>
      </w:r>
      <w:r w:rsidR="003525AE" w:rsidDel="003525AE">
        <w:t xml:space="preserve"> </w:t>
      </w:r>
      <w:r w:rsidR="00292800">
        <w:t>of the difference benefiting FPL.  The lower installed cost shall be the basis for the full revenue requirements and a one-time credit will be made through the Capital Cost Recovery Clause (CCRC).  In order to determine the amount of this credit, a revised SoBRA factor will be computed using the same data and methodology incorporated into the initial SoBRA factor established under the terms of the 2021 Settlement.  In lieu of capital expenditures on which the Annualized Base Revenue Requirement was based, the calculation of the installed cost will use the actual installed cost adjusted to reflect the incentive.  Going forward, base rates will be adjusted to reflect the revised SoBRA factor.  The difference between the cumulative base revenues since the implementation of the initial SoBRA factor and the cumulative base revenues that would have resulted from the revised SoBRA factor had it been in place during the same period will be credited to customers through the CCRC with interest at the 30-day commercial paper rate.</w:t>
      </w:r>
      <w:r w:rsidR="00292800">
        <w:rPr>
          <w:rStyle w:val="FootnoteReference"/>
        </w:rPr>
        <w:footnoteReference w:id="77"/>
      </w:r>
    </w:p>
    <w:p w14:paraId="2A69AB56" w14:textId="77777777" w:rsidR="00292800" w:rsidRDefault="00292800" w:rsidP="00292800">
      <w:pPr>
        <w:jc w:val="both"/>
      </w:pPr>
    </w:p>
    <w:p w14:paraId="32DEDC4F" w14:textId="52866C5B" w:rsidR="00292800" w:rsidRDefault="00292800" w:rsidP="00292800">
      <w:pPr>
        <w:jc w:val="both"/>
      </w:pPr>
      <w:r>
        <w:tab/>
        <w:t>FPL notes that the revenue requirement related to the SoBRAs is based on “the base revenue requirements for the first twelve months of operation of the cost-effective solar projects,” such that any reduction realized by virtue of the incentive will also reduce the revenue requirement.</w:t>
      </w:r>
      <w:r w:rsidR="00175F57">
        <w:t xml:space="preserve"> Thus, the</w:t>
      </w:r>
      <w:r w:rsidR="007833DF">
        <w:t xml:space="preserve"> </w:t>
      </w:r>
      <w:r w:rsidR="00175F57">
        <w:t>operation of the cost cap will never cause an increase of additional revenues from the SoBRAs above the estimated $140 million annually in 2024 and 2025.</w:t>
      </w:r>
    </w:p>
    <w:p w14:paraId="2AB682EA" w14:textId="77777777" w:rsidR="00292800" w:rsidRDefault="00292800" w:rsidP="00292800">
      <w:pPr>
        <w:jc w:val="both"/>
      </w:pPr>
    </w:p>
    <w:p w14:paraId="36C91809" w14:textId="09F7BAA0" w:rsidR="00292800" w:rsidRDefault="00292800" w:rsidP="00292800">
      <w:pPr>
        <w:jc w:val="both"/>
      </w:pPr>
      <w:r>
        <w:tab/>
      </w:r>
      <w:r w:rsidR="00D11C8F">
        <w:t>No matter if it is</w:t>
      </w:r>
      <w:r w:rsidR="009A6C40">
        <w:t xml:space="preserve"> labeled an “illegal bonus” or “incentive,” we look to the substance and operation of this provision to determine</w:t>
      </w:r>
      <w:r w:rsidR="00D11C8F">
        <w:t xml:space="preserve"> whether it should be approved.</w:t>
      </w:r>
      <w:r w:rsidR="009A6C40">
        <w:t xml:space="preserve"> </w:t>
      </w:r>
      <w:r>
        <w:t xml:space="preserve">The provision is </w:t>
      </w:r>
      <w:r w:rsidR="00D11C8F">
        <w:t>design</w:t>
      </w:r>
      <w:r>
        <w:t xml:space="preserve">ed to encourage FPL to construct solar facilities </w:t>
      </w:r>
      <w:r w:rsidR="00D11C8F">
        <w:t>in the most cost-efficient manner. It</w:t>
      </w:r>
      <w:r w:rsidR="00CC28A4">
        <w:t xml:space="preserve"> works in coordination with the overall efforts of FPL to ensure all equipment and contractors are subject to a competitive bidding process</w:t>
      </w:r>
      <w:r w:rsidR="007833DF">
        <w:t xml:space="preserve"> </w:t>
      </w:r>
      <w:r w:rsidR="00D11C8F">
        <w:t>i</w:t>
      </w:r>
      <w:r w:rsidR="009A6C40">
        <w:t xml:space="preserve">n order </w:t>
      </w:r>
      <w:r w:rsidR="007833DF">
        <w:t>to produce the lowest cost</w:t>
      </w:r>
      <w:r w:rsidR="00CC28A4">
        <w:t>.</w:t>
      </w:r>
      <w:r w:rsidR="00C40157">
        <w:t xml:space="preserve"> </w:t>
      </w:r>
      <w:r w:rsidR="00D11C8F">
        <w:t xml:space="preserve">The ratepayers ultimately benefit by both the lower overall cost and the shared savings. </w:t>
      </w:r>
      <w:r>
        <w:t>The greater weight of the evidence demonstrates that providing this incentive promotes the construction of cost-efficient solar generation and is in the public interest.</w:t>
      </w:r>
    </w:p>
    <w:p w14:paraId="5BABE09E" w14:textId="77777777" w:rsidR="008E0C60" w:rsidRDefault="008E0C60" w:rsidP="008E0C60">
      <w:pPr>
        <w:jc w:val="both"/>
      </w:pPr>
    </w:p>
    <w:p w14:paraId="6BD4F4F2" w14:textId="77777777" w:rsidR="008E0C60" w:rsidRPr="00770B5E" w:rsidRDefault="008E0C60" w:rsidP="008E0C60">
      <w:pPr>
        <w:jc w:val="center"/>
        <w:rPr>
          <w:u w:val="single"/>
        </w:rPr>
      </w:pPr>
      <w:r>
        <w:rPr>
          <w:u w:val="single"/>
        </w:rPr>
        <w:t>THE PUBLIC INTEREST</w:t>
      </w:r>
    </w:p>
    <w:p w14:paraId="63C5E92A" w14:textId="77777777" w:rsidR="008E0C60" w:rsidRDefault="008E0C60" w:rsidP="008E0C60">
      <w:pPr>
        <w:jc w:val="both"/>
      </w:pPr>
    </w:p>
    <w:p w14:paraId="3A8ED6D6" w14:textId="77777777" w:rsidR="008E0C60" w:rsidRDefault="002918CE" w:rsidP="008E0C60">
      <w:pPr>
        <w:jc w:val="both"/>
      </w:pPr>
      <w:r>
        <w:tab/>
        <w:t>After making factual findings, t</w:t>
      </w:r>
      <w:r w:rsidR="008E0C60">
        <w:t>he second step in our analysis of a settlement agreement is for us to “decide[] whether the settlement agreement, in light of [our] findings of fact, is</w:t>
      </w:r>
      <w:r w:rsidR="008E0C60" w:rsidRPr="00770B5E">
        <w:t xml:space="preserve"> in the public interest and results in rates that are fair, just, and reasonable.”</w:t>
      </w:r>
      <w:r w:rsidR="003641CD">
        <w:rPr>
          <w:rStyle w:val="FootnoteReference"/>
        </w:rPr>
        <w:footnoteReference w:id="78"/>
      </w:r>
      <w:r w:rsidR="008E0C60" w:rsidRPr="00770B5E">
        <w:t xml:space="preserve"> </w:t>
      </w:r>
      <w:r w:rsidR="008E0C60">
        <w:t>We review settlement agreements as a whole to determine whether to approve them as being in the public interest.</w:t>
      </w:r>
      <w:r w:rsidR="008E0C60">
        <w:rPr>
          <w:rStyle w:val="FootnoteReference"/>
        </w:rPr>
        <w:footnoteReference w:id="79"/>
      </w:r>
      <w:r w:rsidR="008E0C60">
        <w:t xml:space="preserve"> </w:t>
      </w:r>
    </w:p>
    <w:p w14:paraId="14D49CC5" w14:textId="77777777" w:rsidR="008F2224" w:rsidRPr="00383DDB" w:rsidRDefault="008F2224" w:rsidP="008E0C60">
      <w:pPr>
        <w:jc w:val="both"/>
      </w:pPr>
    </w:p>
    <w:p w14:paraId="3B8F00EB" w14:textId="77777777" w:rsidR="008E0C60" w:rsidRDefault="008E0C60" w:rsidP="008E0C60">
      <w:pPr>
        <w:pStyle w:val="FootnoteText"/>
        <w:rPr>
          <w:sz w:val="24"/>
          <w:szCs w:val="24"/>
        </w:rPr>
      </w:pPr>
      <w:r w:rsidRPr="008C57C0">
        <w:rPr>
          <w:rFonts w:cs="Arial"/>
          <w:sz w:val="24"/>
          <w:szCs w:val="24"/>
        </w:rPr>
        <w:tab/>
      </w:r>
      <w:r>
        <w:rPr>
          <w:rFonts w:cs="Arial"/>
          <w:sz w:val="24"/>
          <w:szCs w:val="24"/>
        </w:rPr>
        <w:t>We initially</w:t>
      </w:r>
      <w:r w:rsidRPr="008C57C0">
        <w:rPr>
          <w:rFonts w:cs="Arial"/>
          <w:sz w:val="24"/>
          <w:szCs w:val="24"/>
        </w:rPr>
        <w:t xml:space="preserve"> note that</w:t>
      </w:r>
      <w:r>
        <w:rPr>
          <w:rFonts w:cs="Arial"/>
          <w:sz w:val="24"/>
          <w:szCs w:val="24"/>
        </w:rPr>
        <w:t xml:space="preserve"> t</w:t>
      </w:r>
      <w:r w:rsidRPr="008C57C0">
        <w:rPr>
          <w:sz w:val="24"/>
          <w:szCs w:val="24"/>
        </w:rPr>
        <w:t xml:space="preserve">he 2021 Settlement Agreement has been executed by </w:t>
      </w:r>
      <w:r w:rsidR="007D0826">
        <w:rPr>
          <w:sz w:val="24"/>
          <w:szCs w:val="24"/>
        </w:rPr>
        <w:t xml:space="preserve">numerous </w:t>
      </w:r>
      <w:r w:rsidRPr="008C57C0">
        <w:rPr>
          <w:sz w:val="24"/>
          <w:szCs w:val="24"/>
        </w:rPr>
        <w:t>or</w:t>
      </w:r>
      <w:r>
        <w:rPr>
          <w:sz w:val="24"/>
          <w:szCs w:val="24"/>
        </w:rPr>
        <w:t>ganizations with distinct</w:t>
      </w:r>
      <w:r w:rsidR="007D0826">
        <w:rPr>
          <w:sz w:val="24"/>
          <w:szCs w:val="24"/>
        </w:rPr>
        <w:t xml:space="preserve"> and independent</w:t>
      </w:r>
      <w:r>
        <w:rPr>
          <w:sz w:val="24"/>
          <w:szCs w:val="24"/>
        </w:rPr>
        <w:t xml:space="preserve"> interests</w:t>
      </w:r>
      <w:r w:rsidRPr="008C57C0">
        <w:rPr>
          <w:sz w:val="24"/>
          <w:szCs w:val="24"/>
        </w:rPr>
        <w:t xml:space="preserve">. The Office of Public </w:t>
      </w:r>
      <w:r w:rsidRPr="00383DDB">
        <w:rPr>
          <w:sz w:val="24"/>
          <w:szCs w:val="24"/>
        </w:rPr>
        <w:t xml:space="preserve">Counsel, Florida Industrial Power Users Group, Florida Retail Federation, and Southern Alliance for Clean Energy </w:t>
      </w:r>
      <w:r>
        <w:rPr>
          <w:sz w:val="24"/>
          <w:szCs w:val="24"/>
        </w:rPr>
        <w:t xml:space="preserve">originally </w:t>
      </w:r>
      <w:r w:rsidRPr="00383DDB">
        <w:rPr>
          <w:sz w:val="24"/>
          <w:szCs w:val="24"/>
        </w:rPr>
        <w:t>joined the Stipulation and Settlement Agreement. On August 24, 2021, FPL filed notice that additional parties Vote Solar and the CLEO Institute, Inc. had joined in the Agreement. On August 27, 2021, FPL filed notice that the Federal Executive Agencies had also joined the Agreement.</w:t>
      </w:r>
      <w:r>
        <w:rPr>
          <w:sz w:val="24"/>
          <w:szCs w:val="24"/>
        </w:rPr>
        <w:t xml:space="preserve"> While not every party participated in negotiations or joined in the 2021 Agreement, the organizations who did participate and reach</w:t>
      </w:r>
      <w:r w:rsidR="00341EF0">
        <w:rPr>
          <w:sz w:val="24"/>
          <w:szCs w:val="24"/>
        </w:rPr>
        <w:t>ed</w:t>
      </w:r>
      <w:r>
        <w:rPr>
          <w:sz w:val="24"/>
          <w:szCs w:val="24"/>
        </w:rPr>
        <w:t xml:space="preserve"> consensus represent a broad spectrum of ratepayers</w:t>
      </w:r>
      <w:r w:rsidR="007D0826">
        <w:rPr>
          <w:sz w:val="24"/>
          <w:szCs w:val="24"/>
        </w:rPr>
        <w:t xml:space="preserve"> and interests</w:t>
      </w:r>
      <w:r>
        <w:rPr>
          <w:sz w:val="24"/>
          <w:szCs w:val="24"/>
        </w:rPr>
        <w:t>.</w:t>
      </w:r>
    </w:p>
    <w:p w14:paraId="7822F88E" w14:textId="77777777" w:rsidR="008E0C60" w:rsidRDefault="008E0C60" w:rsidP="008E0C60">
      <w:pPr>
        <w:jc w:val="both"/>
      </w:pPr>
    </w:p>
    <w:p w14:paraId="70A660D6" w14:textId="77777777" w:rsidR="008E0C60" w:rsidRPr="008C57C0" w:rsidRDefault="008E0C60" w:rsidP="008E0C60">
      <w:pPr>
        <w:jc w:val="both"/>
      </w:pPr>
      <w:r>
        <w:tab/>
        <w:t>The ultimate decision of whether a proposed, comprehensive resolution to a rate case should be approved rests on a determination of whether that resolution meets the very high threshold of being in the public interest. Even though this burden is substantial, the public interest remains a threshold. It does not require that the resoluti</w:t>
      </w:r>
      <w:r w:rsidR="007D0826">
        <w:t>on be best for every ratepayer at all times</w:t>
      </w:r>
      <w:r>
        <w:t xml:space="preserve"> in all situations. The question is whether the agreement as a whole is in the public interest</w:t>
      </w:r>
      <w:r w:rsidR="00934543">
        <w:t xml:space="preserve"> and results in rates that are fair, just, and reasonable</w:t>
      </w:r>
      <w:r>
        <w:t xml:space="preserve">, and the </w:t>
      </w:r>
      <w:r w:rsidRPr="008C57C0">
        <w:t>answer is gleaned from the record presented to us.</w:t>
      </w:r>
    </w:p>
    <w:p w14:paraId="39DDD852" w14:textId="77777777" w:rsidR="008E0C60" w:rsidRPr="00770B5E" w:rsidRDefault="008E0C60" w:rsidP="008E0C60">
      <w:pPr>
        <w:jc w:val="both"/>
      </w:pPr>
    </w:p>
    <w:p w14:paraId="0EC08EE5" w14:textId="77777777" w:rsidR="008E0C60" w:rsidRPr="00A87169" w:rsidRDefault="008E0C60" w:rsidP="008E0C60">
      <w:r>
        <w:tab/>
        <w:t>1.</w:t>
      </w:r>
      <w:r>
        <w:tab/>
      </w:r>
      <w:r w:rsidR="00DA4205">
        <w:rPr>
          <w:u w:val="single"/>
        </w:rPr>
        <w:t>Mandatory f</w:t>
      </w:r>
      <w:r w:rsidR="00A87169">
        <w:rPr>
          <w:u w:val="single"/>
        </w:rPr>
        <w:t>actors</w:t>
      </w:r>
    </w:p>
    <w:p w14:paraId="0C369726" w14:textId="77777777" w:rsidR="008E0C60" w:rsidRDefault="008E0C60" w:rsidP="008E0C60">
      <w:pPr>
        <w:autoSpaceDE w:val="0"/>
        <w:autoSpaceDN w:val="0"/>
        <w:adjustRightInd w:val="0"/>
        <w:jc w:val="both"/>
      </w:pPr>
    </w:p>
    <w:p w14:paraId="255149E0" w14:textId="77777777" w:rsidR="00EB6816" w:rsidRDefault="00A87169" w:rsidP="00A87169">
      <w:pPr>
        <w:jc w:val="both"/>
        <w:rPr>
          <w:shd w:val="clear" w:color="auto" w:fill="FFFFFF"/>
        </w:rPr>
      </w:pPr>
      <w:r>
        <w:rPr>
          <w:shd w:val="clear" w:color="auto" w:fill="FFFFFF"/>
        </w:rPr>
        <w:tab/>
      </w:r>
      <w:r w:rsidR="00934543">
        <w:rPr>
          <w:shd w:val="clear" w:color="auto" w:fill="FFFFFF"/>
        </w:rPr>
        <w:t xml:space="preserve">In </w:t>
      </w:r>
      <w:r w:rsidR="00934543">
        <w:rPr>
          <w:i/>
          <w:shd w:val="clear" w:color="auto" w:fill="FFFFFF"/>
        </w:rPr>
        <w:t>FAIR</w:t>
      </w:r>
      <w:r w:rsidR="00934543">
        <w:rPr>
          <w:shd w:val="clear" w:color="auto" w:fill="FFFFFF"/>
        </w:rPr>
        <w:t xml:space="preserve">, the Court </w:t>
      </w:r>
      <w:r w:rsidR="003C72A2">
        <w:rPr>
          <w:shd w:val="clear" w:color="auto" w:fill="FFFFFF"/>
        </w:rPr>
        <w:t>highlighted two</w:t>
      </w:r>
      <w:r w:rsidR="00934543">
        <w:rPr>
          <w:shd w:val="clear" w:color="auto" w:fill="FFFFFF"/>
        </w:rPr>
        <w:t xml:space="preserve"> statutory provisions that we are to apply to our review of the 2021 Settlement Agreement on remand.</w:t>
      </w:r>
    </w:p>
    <w:p w14:paraId="3A8BCB46" w14:textId="77777777" w:rsidR="00EB6816" w:rsidRDefault="00EB6816" w:rsidP="00A87169">
      <w:pPr>
        <w:jc w:val="both"/>
        <w:rPr>
          <w:shd w:val="clear" w:color="auto" w:fill="FFFFFF"/>
        </w:rPr>
      </w:pPr>
    </w:p>
    <w:p w14:paraId="20021F6A" w14:textId="77777777" w:rsidR="00EB6816" w:rsidRPr="00EB6816" w:rsidRDefault="00EB6816" w:rsidP="00243154">
      <w:pPr>
        <w:shd w:val="clear" w:color="auto" w:fill="FFFFFF"/>
        <w:ind w:left="720" w:right="720"/>
        <w:jc w:val="both"/>
      </w:pPr>
      <w:r w:rsidRPr="00CA7306">
        <w:rPr>
          <w:color w:val="000000"/>
        </w:rPr>
        <w:t>The Le</w:t>
      </w:r>
      <w:r w:rsidRPr="00EB6816">
        <w:t>gislature has provided that the Commission, in “fixing fair, just, and reasonable rates for each customer class, ... shall, to the extent practicable, consider the cost of providing service to the class, as well as the rate history, value of service, and experience of the public utility; the consumption and load characteristics of the various classes of customers; and public acceptance of rate structures.” § 366.06(1). The Commission “shall also consider the performance of each utility pursuant to [the Florida Energy Efficiency and Conservation Act] when establishing rates for those utilities over which the commission has ratesetting authority.” § 366.82(10), Fla. Stat. (2021). A reasonably explained decision from the Commission must reflect that those factors have been considered to the extent practicable.</w:t>
      </w:r>
      <w:r w:rsidR="00243154">
        <w:rPr>
          <w:rStyle w:val="FootnoteReference"/>
        </w:rPr>
        <w:footnoteReference w:id="80"/>
      </w:r>
    </w:p>
    <w:p w14:paraId="0C7BD6F7" w14:textId="77777777" w:rsidR="008E0C60" w:rsidRDefault="008E0C60" w:rsidP="00EB6816">
      <w:pPr>
        <w:ind w:left="720" w:right="720"/>
        <w:jc w:val="both"/>
        <w:rPr>
          <w:shd w:val="clear" w:color="auto" w:fill="FFFFFF"/>
        </w:rPr>
      </w:pPr>
    </w:p>
    <w:p w14:paraId="05F270B7" w14:textId="337CE1E3" w:rsidR="00F47042" w:rsidRDefault="00243154" w:rsidP="00243154">
      <w:pPr>
        <w:jc w:val="both"/>
        <w:rPr>
          <w:color w:val="000000"/>
        </w:rPr>
      </w:pPr>
      <w:r>
        <w:rPr>
          <w:color w:val="000000"/>
        </w:rPr>
        <w:tab/>
        <w:t xml:space="preserve">As </w:t>
      </w:r>
      <w:r w:rsidR="007B02BD">
        <w:rPr>
          <w:color w:val="000000"/>
        </w:rPr>
        <w:t>to Section 366.06(1), F.S.,</w:t>
      </w:r>
      <w:r>
        <w:rPr>
          <w:color w:val="000000"/>
        </w:rPr>
        <w:t xml:space="preserve"> </w:t>
      </w:r>
      <w:r>
        <w:t xml:space="preserve">we </w:t>
      </w:r>
      <w:r w:rsidR="007B02BD">
        <w:t>begin our analysis with consideration of FPL’s capital structure</w:t>
      </w:r>
      <w:r>
        <w:t>.</w:t>
      </w:r>
      <w:r w:rsidR="007B02BD">
        <w:t xml:space="preserve"> </w:t>
      </w:r>
      <w:r w:rsidR="00341EF0">
        <w:rPr>
          <w:color w:val="000000"/>
        </w:rPr>
        <w:t>As previously discussed, t</w:t>
      </w:r>
      <w:r>
        <w:rPr>
          <w:color w:val="000000"/>
        </w:rPr>
        <w:t>he analyses used to support ROE and equity to debt ratio are sound. We agree with the conclusions of those analyses that FPL’s geographic challenges and business risk, primary among other factors, justify the ROE and ratio established in the 2021 Settlement Agreement. Our approval of a</w:t>
      </w:r>
      <w:r>
        <w:rPr>
          <w:rFonts w:eastAsiaTheme="minorHAnsi"/>
        </w:rPr>
        <w:t xml:space="preserve"> regulatory ROE of </w:t>
      </w:r>
      <w:r>
        <w:t>10.6</w:t>
      </w:r>
      <w:r w:rsidR="003525AE">
        <w:t xml:space="preserve"> percent</w:t>
      </w:r>
      <w:r w:rsidR="003525AE" w:rsidDel="003525AE">
        <w:t xml:space="preserve"> </w:t>
      </w:r>
      <w:r>
        <w:t>for all purposes, with an authorized ROE range of 9.7</w:t>
      </w:r>
      <w:r w:rsidR="003525AE">
        <w:t xml:space="preserve"> percent</w:t>
      </w:r>
      <w:r w:rsidR="003525AE" w:rsidDel="003525AE">
        <w:t xml:space="preserve"> </w:t>
      </w:r>
      <w:r>
        <w:t>to 11.7</w:t>
      </w:r>
      <w:r w:rsidR="003525AE">
        <w:t xml:space="preserve"> percent</w:t>
      </w:r>
      <w:r>
        <w:t>, and equity ratio of 59.6</w:t>
      </w:r>
      <w:r w:rsidR="003525AE">
        <w:t xml:space="preserve"> percent</w:t>
      </w:r>
      <w:r>
        <w:t xml:space="preserve">, as set forth in the 2021 Settlement, will ensure that FPL has </w:t>
      </w:r>
      <w:r>
        <w:rPr>
          <w:color w:val="000000"/>
        </w:rPr>
        <w:t>adequate and timely access to capital in order to continue supplying reliable service.</w:t>
      </w:r>
      <w:r w:rsidR="009A22B1">
        <w:rPr>
          <w:color w:val="000000"/>
        </w:rPr>
        <w:t xml:space="preserve"> We do not agree with the conclusions of Intevernors’ witnesses that FPL would enjoy the same or similar access to capital with a lower ROE and restructured equity to debt ratio, and find the opinions of FPL’s experts supporting this capital structure to be more persuasive.</w:t>
      </w:r>
    </w:p>
    <w:p w14:paraId="40DACBB0" w14:textId="77777777" w:rsidR="00F47042" w:rsidRDefault="00F47042" w:rsidP="00243154">
      <w:pPr>
        <w:jc w:val="both"/>
        <w:rPr>
          <w:color w:val="000000"/>
        </w:rPr>
      </w:pPr>
    </w:p>
    <w:p w14:paraId="24C4E30D" w14:textId="77777777" w:rsidR="00243154" w:rsidRDefault="00F47042" w:rsidP="00243154">
      <w:pPr>
        <w:jc w:val="both"/>
        <w:rPr>
          <w:color w:val="000000"/>
        </w:rPr>
      </w:pPr>
      <w:r>
        <w:rPr>
          <w:color w:val="000000"/>
        </w:rPr>
        <w:tab/>
      </w:r>
      <w:r w:rsidR="00341EF0">
        <w:rPr>
          <w:color w:val="000000"/>
        </w:rPr>
        <w:t>As set forth in detail above, t</w:t>
      </w:r>
      <w:r w:rsidR="00243154">
        <w:rPr>
          <w:color w:val="000000"/>
        </w:rPr>
        <w:t>his overall capital structure is supported by mechanisms designed to support a four-year rate plan.</w:t>
      </w:r>
      <w:r>
        <w:rPr>
          <w:color w:val="000000"/>
        </w:rPr>
        <w:t xml:space="preserve"> </w:t>
      </w:r>
      <w:r w:rsidR="00243154">
        <w:rPr>
          <w:color w:val="000000"/>
        </w:rPr>
        <w:t xml:space="preserve">One of those mechanisms is the RSAM. Our approval of the alternative depreciation study and the RSAM provides FPL with a tool to address unexpected expense and revenue impacts over the </w:t>
      </w:r>
      <w:r w:rsidR="003A5967">
        <w:t xml:space="preserve">Settlement </w:t>
      </w:r>
      <w:r w:rsidR="00243154">
        <w:rPr>
          <w:color w:val="000000"/>
        </w:rPr>
        <w:t xml:space="preserve">Term without the need to seek a rate increase. Without the RSAM, the multiyear rate plan would not be possible, and ratepayers would not enjoy long-term bill stability. FPL’s use of the RSAM in the unexpectedly challenging economic environment of the most recent rate </w:t>
      </w:r>
      <w:r w:rsidR="00FB2CF2">
        <w:rPr>
          <w:color w:val="000000"/>
        </w:rPr>
        <w:t>period (2016-2020) evidences how</w:t>
      </w:r>
      <w:r w:rsidR="00243154">
        <w:rPr>
          <w:color w:val="000000"/>
        </w:rPr>
        <w:t xml:space="preserve"> ratepayers</w:t>
      </w:r>
      <w:r w:rsidR="00FB2CF2">
        <w:rPr>
          <w:color w:val="000000"/>
        </w:rPr>
        <w:t xml:space="preserve"> benefit</w:t>
      </w:r>
      <w:r w:rsidR="00243154">
        <w:rPr>
          <w:color w:val="000000"/>
        </w:rPr>
        <w:t xml:space="preserve"> </w:t>
      </w:r>
      <w:r w:rsidR="00994EBE">
        <w:rPr>
          <w:color w:val="000000"/>
        </w:rPr>
        <w:t xml:space="preserve">by </w:t>
      </w:r>
      <w:r w:rsidR="00243154">
        <w:rPr>
          <w:color w:val="000000"/>
        </w:rPr>
        <w:t>having this mechanism available.</w:t>
      </w:r>
    </w:p>
    <w:p w14:paraId="30472178" w14:textId="77777777" w:rsidR="00243154" w:rsidRDefault="00243154" w:rsidP="00243154">
      <w:pPr>
        <w:jc w:val="both"/>
        <w:rPr>
          <w:color w:val="000000"/>
        </w:rPr>
      </w:pPr>
    </w:p>
    <w:p w14:paraId="33DBD7D4" w14:textId="3E1F2A7B" w:rsidR="00243154" w:rsidRDefault="00243154" w:rsidP="00243154">
      <w:pPr>
        <w:jc w:val="both"/>
        <w:rPr>
          <w:color w:val="000000"/>
        </w:rPr>
      </w:pPr>
      <w:r>
        <w:rPr>
          <w:color w:val="000000"/>
        </w:rPr>
        <w:tab/>
      </w:r>
      <w:r w:rsidR="00341EF0">
        <w:rPr>
          <w:color w:val="000000"/>
        </w:rPr>
        <w:t>As our findings above demonstrate, o</w:t>
      </w:r>
      <w:r>
        <w:rPr>
          <w:color w:val="000000"/>
        </w:rPr>
        <w:t>ther mechanisms in the 2021 Settlement Agreement also contribute to FPL’s financial ability to operate under a multiyear rate plan. The storm cost recovery mechanism addresses unpredictable</w:t>
      </w:r>
      <w:r w:rsidR="009F0FB9">
        <w:rPr>
          <w:color w:val="000000"/>
        </w:rPr>
        <w:t>,</w:t>
      </w:r>
      <w:r>
        <w:rPr>
          <w:color w:val="000000"/>
        </w:rPr>
        <w:t xml:space="preserve"> but expected</w:t>
      </w:r>
      <w:r w:rsidR="009F0FB9">
        <w:rPr>
          <w:color w:val="000000"/>
        </w:rPr>
        <w:t>,</w:t>
      </w:r>
      <w:r>
        <w:rPr>
          <w:color w:val="000000"/>
        </w:rPr>
        <w:t xml:space="preserve"> tropical events. The process established under this mechanism allows FPL to obtain cost recovery in a timely manner</w:t>
      </w:r>
      <w:r w:rsidR="00E45523">
        <w:rPr>
          <w:color w:val="000000"/>
        </w:rPr>
        <w:t xml:space="preserve"> and avoid regulatory lag</w:t>
      </w:r>
      <w:r>
        <w:rPr>
          <w:color w:val="000000"/>
        </w:rPr>
        <w:t>. The subsequent true-up proceeding provides us and ratepayers with the opportunity to review incurred costs and total recovery.</w:t>
      </w:r>
    </w:p>
    <w:p w14:paraId="13F3B4B0" w14:textId="77777777" w:rsidR="00243154" w:rsidRDefault="00243154" w:rsidP="00243154">
      <w:pPr>
        <w:jc w:val="both"/>
        <w:rPr>
          <w:color w:val="000000"/>
        </w:rPr>
      </w:pPr>
    </w:p>
    <w:p w14:paraId="07678128" w14:textId="77F23926" w:rsidR="00243154" w:rsidRDefault="00243154" w:rsidP="00243154">
      <w:pPr>
        <w:jc w:val="both"/>
        <w:rPr>
          <w:color w:val="000000"/>
        </w:rPr>
      </w:pPr>
      <w:r>
        <w:rPr>
          <w:color w:val="000000"/>
        </w:rPr>
        <w:tab/>
        <w:t xml:space="preserve">The 2021 Settlement Agreement also contains provisions specifically designed to keep rates low over the Term. FPL extended the time to recover the retirement costs of certain plants and transmission facilities, thereby reducing revenue requirements and, ultimately, </w:t>
      </w:r>
      <w:r w:rsidR="00907463">
        <w:rPr>
          <w:color w:val="000000"/>
        </w:rPr>
        <w:t>rates</w:t>
      </w:r>
      <w:r>
        <w:rPr>
          <w:color w:val="000000"/>
        </w:rPr>
        <w:t>. FPL is also continuing, with slight modifications, its incentive mechanism for asset optimization. This program has already directed $354.5 million to customers. With the current modifications, these monetary benefits are expected to increase. Finally, FPL has instituted a voluntary solar cost cap initiative, whereby it self-incentivizes the construction of solar generation under the SoBRA program at a lower total cost.</w:t>
      </w:r>
    </w:p>
    <w:p w14:paraId="28D29E5E" w14:textId="77777777" w:rsidR="00243154" w:rsidRDefault="00243154" w:rsidP="008E0C60">
      <w:pPr>
        <w:jc w:val="both"/>
        <w:rPr>
          <w:color w:val="000000"/>
        </w:rPr>
      </w:pPr>
    </w:p>
    <w:p w14:paraId="331256E3" w14:textId="475E43C0" w:rsidR="008E0C60" w:rsidRDefault="008E0C60" w:rsidP="008E0C60">
      <w:pPr>
        <w:jc w:val="both"/>
        <w:rPr>
          <w:shd w:val="clear" w:color="auto" w:fill="FFFFFF"/>
        </w:rPr>
      </w:pPr>
      <w:r>
        <w:rPr>
          <w:color w:val="000000"/>
        </w:rPr>
        <w:tab/>
      </w:r>
      <w:r w:rsidR="00243154">
        <w:rPr>
          <w:color w:val="000000"/>
        </w:rPr>
        <w:t>Turning specifically to the cost of service, we note that t</w:t>
      </w:r>
      <w:r w:rsidR="00B06EAA">
        <w:rPr>
          <w:shd w:val="clear" w:color="auto" w:fill="FFFFFF"/>
        </w:rPr>
        <w:t>he class allocations</w:t>
      </w:r>
      <w:r w:rsidR="00243154">
        <w:rPr>
          <w:shd w:val="clear" w:color="auto" w:fill="FFFFFF"/>
        </w:rPr>
        <w:t xml:space="preserve"> in the 2021 Settlement</w:t>
      </w:r>
      <w:r w:rsidR="00B06EAA">
        <w:rPr>
          <w:shd w:val="clear" w:color="auto" w:fill="FFFFFF"/>
        </w:rPr>
        <w:t xml:space="preserve"> are the result of negotiat</w:t>
      </w:r>
      <w:r w:rsidR="00243154">
        <w:rPr>
          <w:shd w:val="clear" w:color="auto" w:fill="FFFFFF"/>
        </w:rPr>
        <w:t>ions</w:t>
      </w:r>
      <w:r w:rsidR="00B06EAA">
        <w:rPr>
          <w:shd w:val="clear" w:color="auto" w:fill="FFFFFF"/>
        </w:rPr>
        <w:t>.</w:t>
      </w:r>
      <w:r>
        <w:rPr>
          <w:shd w:val="clear" w:color="auto" w:fill="FFFFFF"/>
        </w:rPr>
        <w:t xml:space="preserve"> Thus, as has been the case in prior settlements, these allocations are not accompanied by a</w:t>
      </w:r>
      <w:r w:rsidR="00243154">
        <w:rPr>
          <w:shd w:val="clear" w:color="auto" w:fill="FFFFFF"/>
        </w:rPr>
        <w:t xml:space="preserve"> separate</w:t>
      </w:r>
      <w:r>
        <w:rPr>
          <w:shd w:val="clear" w:color="auto" w:fill="FFFFFF"/>
        </w:rPr>
        <w:t xml:space="preserve"> cost-of-service study.</w:t>
      </w:r>
      <w:r w:rsidR="00243154">
        <w:rPr>
          <w:shd w:val="clear" w:color="auto" w:fill="FFFFFF"/>
        </w:rPr>
        <w:t xml:space="preserve"> The class allocations</w:t>
      </w:r>
      <w:r w:rsidR="00341EF0">
        <w:rPr>
          <w:shd w:val="clear" w:color="auto" w:fill="FFFFFF"/>
        </w:rPr>
        <w:t>, however, were not cut from whole cloth and presented to us for a first-time review.</w:t>
      </w:r>
      <w:r w:rsidR="00243154">
        <w:rPr>
          <w:shd w:val="clear" w:color="auto" w:fill="FFFFFF"/>
        </w:rPr>
        <w:t xml:space="preserve"> </w:t>
      </w:r>
      <w:r w:rsidR="00341EF0">
        <w:rPr>
          <w:shd w:val="clear" w:color="auto" w:fill="FFFFFF"/>
        </w:rPr>
        <w:t xml:space="preserve"> The 2021 Settlement class allocations </w:t>
      </w:r>
      <w:r w:rsidR="00243154">
        <w:rPr>
          <w:shd w:val="clear" w:color="auto" w:fill="FFFFFF"/>
        </w:rPr>
        <w:t>are consistent with prior, approved FPL settlements.</w:t>
      </w:r>
      <w:r>
        <w:rPr>
          <w:shd w:val="clear" w:color="auto" w:fill="FFFFFF"/>
        </w:rPr>
        <w:t xml:space="preserve"> Using those settlements</w:t>
      </w:r>
      <w:r w:rsidR="00341EF0">
        <w:rPr>
          <w:shd w:val="clear" w:color="auto" w:fill="FFFFFF"/>
        </w:rPr>
        <w:t xml:space="preserve"> and the recent rate history of FPL using those allocations</w:t>
      </w:r>
      <w:r>
        <w:rPr>
          <w:shd w:val="clear" w:color="auto" w:fill="FFFFFF"/>
        </w:rPr>
        <w:t xml:space="preserve"> as the most </w:t>
      </w:r>
      <w:r w:rsidRPr="007D6E4D">
        <w:rPr>
          <w:shd w:val="clear" w:color="auto" w:fill="FFFFFF"/>
        </w:rPr>
        <w:t>practical</w:t>
      </w:r>
      <w:r>
        <w:rPr>
          <w:shd w:val="clear" w:color="auto" w:fill="FFFFFF"/>
        </w:rPr>
        <w:t xml:space="preserve"> guide</w:t>
      </w:r>
      <w:r w:rsidR="00341EF0">
        <w:rPr>
          <w:shd w:val="clear" w:color="auto" w:fill="FFFFFF"/>
        </w:rPr>
        <w:t>posts</w:t>
      </w:r>
      <w:r>
        <w:rPr>
          <w:shd w:val="clear" w:color="auto" w:fill="FFFFFF"/>
        </w:rPr>
        <w:t xml:space="preserve">, we find that the </w:t>
      </w:r>
      <w:r w:rsidR="00341EF0">
        <w:rPr>
          <w:shd w:val="clear" w:color="auto" w:fill="FFFFFF"/>
        </w:rPr>
        <w:t>2021 Settlement class</w:t>
      </w:r>
      <w:r>
        <w:rPr>
          <w:shd w:val="clear" w:color="auto" w:fill="FFFFFF"/>
        </w:rPr>
        <w:t xml:space="preserve"> allocations result in fai</w:t>
      </w:r>
      <w:r w:rsidR="00B06EAA">
        <w:rPr>
          <w:shd w:val="clear" w:color="auto" w:fill="FFFFFF"/>
        </w:rPr>
        <w:t xml:space="preserve">r, just, and reasonable rates. </w:t>
      </w:r>
      <w:r w:rsidR="00341EF0">
        <w:rPr>
          <w:shd w:val="clear" w:color="auto" w:fill="FFFFFF"/>
        </w:rPr>
        <w:t>W</w:t>
      </w:r>
      <w:r w:rsidR="00B06EAA">
        <w:rPr>
          <w:shd w:val="clear" w:color="auto" w:fill="FFFFFF"/>
        </w:rPr>
        <w:t xml:space="preserve">e </w:t>
      </w:r>
      <w:r w:rsidR="00341EF0">
        <w:rPr>
          <w:shd w:val="clear" w:color="auto" w:fill="FFFFFF"/>
        </w:rPr>
        <w:t xml:space="preserve">also </w:t>
      </w:r>
      <w:r w:rsidR="00B06EAA">
        <w:rPr>
          <w:shd w:val="clear" w:color="auto" w:fill="FFFFFF"/>
        </w:rPr>
        <w:t>note that t</w:t>
      </w:r>
      <w:r>
        <w:rPr>
          <w:shd w:val="clear" w:color="auto" w:fill="FFFFFF"/>
        </w:rPr>
        <w:t>he percentage increase</w:t>
      </w:r>
      <w:r w:rsidR="00243154">
        <w:rPr>
          <w:shd w:val="clear" w:color="auto" w:fill="FFFFFF"/>
        </w:rPr>
        <w:t>s</w:t>
      </w:r>
      <w:r>
        <w:rPr>
          <w:shd w:val="clear" w:color="auto" w:fill="FFFFFF"/>
        </w:rPr>
        <w:t xml:space="preserve"> in rates for residential and small business customer</w:t>
      </w:r>
      <w:r w:rsidR="00243154">
        <w:rPr>
          <w:shd w:val="clear" w:color="auto" w:fill="FFFFFF"/>
        </w:rPr>
        <w:t xml:space="preserve"> classes are</w:t>
      </w:r>
      <w:r>
        <w:rPr>
          <w:shd w:val="clear" w:color="auto" w:fill="FFFFFF"/>
        </w:rPr>
        <w:t xml:space="preserve"> lower in the 2021 Settlement as compared to the original filing</w:t>
      </w:r>
      <w:r w:rsidR="00341EF0">
        <w:rPr>
          <w:shd w:val="clear" w:color="auto" w:fill="FFFFFF"/>
        </w:rPr>
        <w:t xml:space="preserve">, and comply with </w:t>
      </w:r>
      <w:r w:rsidR="009F0FB9">
        <w:rPr>
          <w:shd w:val="clear" w:color="auto" w:fill="FFFFFF"/>
        </w:rPr>
        <w:t xml:space="preserve">the concept of </w:t>
      </w:r>
      <w:r w:rsidR="00341EF0">
        <w:rPr>
          <w:shd w:val="clear" w:color="auto" w:fill="FFFFFF"/>
        </w:rPr>
        <w:t>gradualism as discussed above</w:t>
      </w:r>
      <w:r>
        <w:rPr>
          <w:shd w:val="clear" w:color="auto" w:fill="FFFFFF"/>
        </w:rPr>
        <w:t>.</w:t>
      </w:r>
    </w:p>
    <w:p w14:paraId="619C1B07" w14:textId="77777777" w:rsidR="00E45ABD" w:rsidRDefault="00E45ABD" w:rsidP="00C27BE0">
      <w:pPr>
        <w:jc w:val="both"/>
        <w:rPr>
          <w:shd w:val="clear" w:color="auto" w:fill="FFFFFF"/>
        </w:rPr>
      </w:pPr>
    </w:p>
    <w:p w14:paraId="3CC5D035" w14:textId="6EACEBF6" w:rsidR="00E45ABD" w:rsidRDefault="009406C4" w:rsidP="00C27BE0">
      <w:pPr>
        <w:autoSpaceDE w:val="0"/>
        <w:autoSpaceDN w:val="0"/>
        <w:adjustRightInd w:val="0"/>
        <w:jc w:val="both"/>
        <w:rPr>
          <w:rFonts w:ascii="TimesNewRomanPSMT" w:hAnsi="TimesNewRomanPSMT" w:cs="TimesNewRomanPSMT"/>
        </w:rPr>
      </w:pPr>
      <w:r>
        <w:rPr>
          <w:rFonts w:ascii="TimesNewRomanPSMT" w:hAnsi="TimesNewRomanPSMT" w:cs="TimesNewRomanPSMT"/>
        </w:rPr>
        <w:tab/>
        <w:t xml:space="preserve">The input we received during the </w:t>
      </w:r>
      <w:r w:rsidR="00E45ABD">
        <w:rPr>
          <w:rFonts w:ascii="TimesNewRomanPSMT" w:hAnsi="TimesNewRomanPSMT" w:cs="TimesNewRomanPSMT"/>
        </w:rPr>
        <w:t xml:space="preserve">customer service hearings fully supports the conclusion that FPL </w:t>
      </w:r>
      <w:r>
        <w:rPr>
          <w:rFonts w:ascii="TimesNewRomanPSMT" w:hAnsi="TimesNewRomanPSMT" w:cs="TimesNewRomanPSMT"/>
        </w:rPr>
        <w:t>has a history of</w:t>
      </w:r>
      <w:r w:rsidR="00E45ABD">
        <w:rPr>
          <w:rFonts w:ascii="TimesNewRomanPSMT" w:hAnsi="TimesNewRomanPSMT" w:cs="TimesNewRomanPSMT"/>
        </w:rPr>
        <w:t xml:space="preserve"> providing excellent service to its customers</w:t>
      </w:r>
      <w:r>
        <w:rPr>
          <w:rFonts w:ascii="TimesNewRomanPSMT" w:hAnsi="TimesNewRomanPSMT" w:cs="TimesNewRomanPSMT"/>
        </w:rPr>
        <w:t>.</w:t>
      </w:r>
      <w:r w:rsidR="00FE56C3">
        <w:rPr>
          <w:rFonts w:ascii="TimesNewRomanPSMT" w:hAnsi="TimesNewRomanPSMT" w:cs="TimesNewRomanPSMT"/>
        </w:rPr>
        <w:t xml:space="preserve"> FPL also has a </w:t>
      </w:r>
      <w:r w:rsidR="00C27BE0">
        <w:rPr>
          <w:rFonts w:ascii="TimesNewRomanPSMT" w:hAnsi="TimesNewRomanPSMT" w:cs="TimesNewRomanPSMT"/>
        </w:rPr>
        <w:t xml:space="preserve">favorable rate </w:t>
      </w:r>
      <w:r w:rsidR="00FE56C3">
        <w:rPr>
          <w:rFonts w:ascii="TimesNewRomanPSMT" w:hAnsi="TimesNewRomanPSMT" w:cs="TimesNewRomanPSMT"/>
        </w:rPr>
        <w:t>history</w:t>
      </w:r>
      <w:r w:rsidR="00C27BE0">
        <w:rPr>
          <w:rFonts w:ascii="TimesNewRomanPSMT" w:hAnsi="TimesNewRomanPSMT" w:cs="TimesNewRomanPSMT"/>
        </w:rPr>
        <w:t xml:space="preserve"> with its customers</w:t>
      </w:r>
      <w:r w:rsidR="00FE56C3">
        <w:rPr>
          <w:rFonts w:ascii="TimesNewRomanPSMT" w:hAnsi="TimesNewRomanPSMT" w:cs="TimesNewRomanPSMT"/>
        </w:rPr>
        <w:t>, with the typical 1000</w:t>
      </w:r>
      <w:r w:rsidR="009F0FB9">
        <w:rPr>
          <w:rFonts w:ascii="TimesNewRomanPSMT" w:hAnsi="TimesNewRomanPSMT" w:cs="TimesNewRomanPSMT"/>
        </w:rPr>
        <w:t xml:space="preserve"> </w:t>
      </w:r>
      <w:r w:rsidR="00FE56C3">
        <w:rPr>
          <w:rFonts w:ascii="TimesNewRomanPSMT" w:hAnsi="TimesNewRomanPSMT" w:cs="TimesNewRomanPSMT"/>
        </w:rPr>
        <w:t xml:space="preserve">kWh residential customer bill being </w:t>
      </w:r>
      <w:r w:rsidR="00C27BE0">
        <w:rPr>
          <w:rFonts w:ascii="TimesNewRomanPSMT" w:hAnsi="TimesNewRomanPSMT" w:cs="TimesNewRomanPSMT"/>
        </w:rPr>
        <w:t>about</w:t>
      </w:r>
      <w:r w:rsidR="00FE56C3">
        <w:rPr>
          <w:rFonts w:ascii="TimesNewRomanPSMT" w:hAnsi="TimesNewRomanPSMT" w:cs="TimesNewRomanPSMT"/>
        </w:rPr>
        <w:t xml:space="preserve"> 10</w:t>
      </w:r>
      <w:r w:rsidR="003525AE">
        <w:t xml:space="preserve"> percent</w:t>
      </w:r>
      <w:r w:rsidR="003525AE" w:rsidDel="003525AE">
        <w:rPr>
          <w:rFonts w:ascii="TimesNewRomanPSMT" w:hAnsi="TimesNewRomanPSMT" w:cs="TimesNewRomanPSMT"/>
        </w:rPr>
        <w:t xml:space="preserve"> </w:t>
      </w:r>
      <w:r w:rsidR="00FE56C3">
        <w:rPr>
          <w:rFonts w:ascii="TimesNewRomanPSMT" w:hAnsi="TimesNewRomanPSMT" w:cs="TimesNewRomanPSMT"/>
        </w:rPr>
        <w:t>lower than it was fifteen years ago.</w:t>
      </w:r>
      <w:r w:rsidR="00F443DD">
        <w:rPr>
          <w:rStyle w:val="FootnoteReference"/>
          <w:rFonts w:ascii="TimesNewRomanPSMT" w:hAnsi="TimesNewRomanPSMT" w:cs="TimesNewRomanPSMT"/>
        </w:rPr>
        <w:footnoteReference w:id="81"/>
      </w:r>
    </w:p>
    <w:p w14:paraId="0BD153FA" w14:textId="77777777" w:rsidR="00994EBE" w:rsidRDefault="00994EBE" w:rsidP="00C27BE0">
      <w:pPr>
        <w:autoSpaceDE w:val="0"/>
        <w:autoSpaceDN w:val="0"/>
        <w:adjustRightInd w:val="0"/>
        <w:jc w:val="both"/>
        <w:rPr>
          <w:rFonts w:ascii="TimesNewRomanPSMT" w:hAnsi="TimesNewRomanPSMT" w:cs="TimesNewRomanPSMT"/>
        </w:rPr>
      </w:pPr>
    </w:p>
    <w:p w14:paraId="788F65AC" w14:textId="77777777" w:rsidR="00994EBE" w:rsidRDefault="00994EBE" w:rsidP="00C27BE0">
      <w:pPr>
        <w:autoSpaceDE w:val="0"/>
        <w:autoSpaceDN w:val="0"/>
        <w:adjustRightInd w:val="0"/>
        <w:jc w:val="both"/>
        <w:rPr>
          <w:shd w:val="clear" w:color="auto" w:fill="FFFFFF"/>
        </w:rPr>
      </w:pPr>
      <w:r>
        <w:rPr>
          <w:rFonts w:ascii="TimesNewRomanPSMT" w:hAnsi="TimesNewRomanPSMT" w:cs="TimesNewRomanPSMT"/>
        </w:rPr>
        <w:tab/>
        <w:t>T</w:t>
      </w:r>
      <w:r w:rsidR="00F443DD">
        <w:rPr>
          <w:rFonts w:ascii="TimesNewRomanPSMT" w:hAnsi="TimesNewRomanPSMT" w:cs="TimesNewRomanPSMT"/>
        </w:rPr>
        <w:t>he expert testimony supports our</w:t>
      </w:r>
      <w:r w:rsidR="00257E9E">
        <w:rPr>
          <w:rFonts w:ascii="TimesNewRomanPSMT" w:hAnsi="TimesNewRomanPSMT" w:cs="TimesNewRomanPSMT"/>
        </w:rPr>
        <w:t xml:space="preserve"> conclusion that the ROE requested by FPL is reasonable. Moreover, t</w:t>
      </w:r>
      <w:r>
        <w:rPr>
          <w:rFonts w:ascii="TimesNewRomanPSMT" w:hAnsi="TimesNewRomanPSMT" w:cs="TimesNewRomanPSMT"/>
        </w:rPr>
        <w:t>he requested rate increase amount as well as the ROE were reduced as a result of a negotiated settlement. Those same negotiations results in a significant boost in FPL’s commitment to the use and development of renewable energy resources.</w:t>
      </w:r>
    </w:p>
    <w:p w14:paraId="303C7F1B" w14:textId="77777777" w:rsidR="00243154" w:rsidRDefault="00243154" w:rsidP="008E0C60">
      <w:pPr>
        <w:jc w:val="both"/>
        <w:rPr>
          <w:shd w:val="clear" w:color="auto" w:fill="FFFFFF"/>
        </w:rPr>
      </w:pPr>
    </w:p>
    <w:p w14:paraId="1BE4FFF5" w14:textId="77777777" w:rsidR="008E0C60" w:rsidRDefault="00243154" w:rsidP="008E0C60">
      <w:pPr>
        <w:jc w:val="both"/>
        <w:rPr>
          <w:color w:val="000000"/>
        </w:rPr>
      </w:pPr>
      <w:r>
        <w:rPr>
          <w:shd w:val="clear" w:color="auto" w:fill="FFFFFF"/>
        </w:rPr>
        <w:tab/>
      </w:r>
      <w:r w:rsidR="00DB4733">
        <w:rPr>
          <w:color w:val="000000"/>
        </w:rPr>
        <w:t xml:space="preserve">Based on </w:t>
      </w:r>
      <w:r w:rsidR="007B02BD">
        <w:rPr>
          <w:color w:val="000000"/>
        </w:rPr>
        <w:t xml:space="preserve">our consideration of </w:t>
      </w:r>
      <w:r w:rsidR="00DB4733">
        <w:rPr>
          <w:color w:val="000000"/>
        </w:rPr>
        <w:t xml:space="preserve">all of the above, we find that the 2021 Settlement, taken as a whole, is in the public interest, and </w:t>
      </w:r>
      <w:r w:rsidR="007B02BD">
        <w:rPr>
          <w:color w:val="000000"/>
        </w:rPr>
        <w:t>establishes rates that are fair, just, and reasonable in accordance with</w:t>
      </w:r>
      <w:r w:rsidR="00DB4733">
        <w:rPr>
          <w:color w:val="000000"/>
        </w:rPr>
        <w:t xml:space="preserve"> Section 366.06(1), F.S.</w:t>
      </w:r>
    </w:p>
    <w:p w14:paraId="3B3C28FB" w14:textId="77777777" w:rsidR="008E0C60" w:rsidRDefault="008E0C60" w:rsidP="008E0C60">
      <w:pPr>
        <w:rPr>
          <w:color w:val="000000"/>
        </w:rPr>
      </w:pPr>
    </w:p>
    <w:p w14:paraId="0DFCE9E5" w14:textId="0373354A" w:rsidR="00E7568C" w:rsidRDefault="00DB4733" w:rsidP="00A75BAD">
      <w:pPr>
        <w:autoSpaceDE w:val="0"/>
        <w:autoSpaceDN w:val="0"/>
        <w:adjustRightInd w:val="0"/>
        <w:jc w:val="both"/>
      </w:pPr>
      <w:r>
        <w:rPr>
          <w:rFonts w:ascii="Trebuchet MS" w:hAnsi="Trebuchet MS"/>
          <w:color w:val="000080"/>
          <w:sz w:val="20"/>
          <w:szCs w:val="20"/>
          <w:shd w:val="clear" w:color="auto" w:fill="FFFFFF"/>
        </w:rPr>
        <w:tab/>
      </w:r>
      <w:r w:rsidR="00A75BAD">
        <w:rPr>
          <w:shd w:val="clear" w:color="auto" w:fill="FFFFFF"/>
        </w:rPr>
        <w:t>The second statute the Court directed us to consider in our determination of whether the 2021 Settlement should be approved is</w:t>
      </w:r>
      <w:r w:rsidR="007B02BD">
        <w:rPr>
          <w:shd w:val="clear" w:color="auto" w:fill="FFFFFF"/>
        </w:rPr>
        <w:t xml:space="preserve"> Section 366.82</w:t>
      </w:r>
      <w:r w:rsidR="00A75BAD">
        <w:rPr>
          <w:shd w:val="clear" w:color="auto" w:fill="FFFFFF"/>
        </w:rPr>
        <w:t>(10)</w:t>
      </w:r>
      <w:r w:rsidR="007B02BD">
        <w:rPr>
          <w:i/>
          <w:shd w:val="clear" w:color="auto" w:fill="FFFFFF"/>
        </w:rPr>
        <w:t xml:space="preserve">¸ </w:t>
      </w:r>
      <w:r w:rsidR="007B02BD">
        <w:rPr>
          <w:shd w:val="clear" w:color="auto" w:fill="FFFFFF"/>
        </w:rPr>
        <w:t xml:space="preserve">F.S. </w:t>
      </w:r>
      <w:r w:rsidR="0038750C">
        <w:rPr>
          <w:shd w:val="clear" w:color="auto" w:fill="FFFFFF"/>
        </w:rPr>
        <w:t xml:space="preserve">This provision is found in the </w:t>
      </w:r>
      <w:r w:rsidR="0038750C">
        <w:t xml:space="preserve">Florida Energy Efficiency and Conservation Act (FEECA), </w:t>
      </w:r>
      <w:r w:rsidR="00436B79">
        <w:t xml:space="preserve">the entirety of which is codified in </w:t>
      </w:r>
      <w:r w:rsidR="0038750C">
        <w:t>s</w:t>
      </w:r>
      <w:r w:rsidR="00A75BAD">
        <w:t xml:space="preserve">ections 366.80 through 366.83, and 403.519, F.S. </w:t>
      </w:r>
      <w:r w:rsidR="0038750C">
        <w:t xml:space="preserve">When enacted in 1980, </w:t>
      </w:r>
      <w:r w:rsidR="00A75BAD">
        <w:t xml:space="preserve">FEECA required us to adopt </w:t>
      </w:r>
      <w:r w:rsidR="00FE5651">
        <w:t xml:space="preserve">appropriate </w:t>
      </w:r>
      <w:r w:rsidR="00A75BAD">
        <w:t xml:space="preserve">goals to increase the efficiency of energy consumption. In 2008, the Legislature </w:t>
      </w:r>
      <w:r w:rsidR="0038750C">
        <w:t>amended FEECA to</w:t>
      </w:r>
      <w:r w:rsidR="00A75BAD">
        <w:t xml:space="preserve"> require us to adopt </w:t>
      </w:r>
      <w:r w:rsidR="00FE5651">
        <w:t xml:space="preserve">appropriate </w:t>
      </w:r>
      <w:r w:rsidR="00A75BAD">
        <w:t>goals to increase the development of demand-side renewable energy systems. Pursuant to Section 366.82(6), F.S., we must review the goals of each utility subject to FEECA at least every five years.</w:t>
      </w:r>
      <w:r w:rsidR="00044ED7" w:rsidRPr="00044ED7">
        <w:t xml:space="preserve"> </w:t>
      </w:r>
      <w:r w:rsidR="00044ED7">
        <w:t>We last established goals for FPL in 2019.</w:t>
      </w:r>
      <w:r w:rsidR="00044ED7">
        <w:rPr>
          <w:rStyle w:val="FootnoteReference"/>
        </w:rPr>
        <w:footnoteReference w:id="82"/>
      </w:r>
    </w:p>
    <w:p w14:paraId="230BA98B" w14:textId="1F33FD13" w:rsidR="00FE5651" w:rsidRDefault="00FE5651" w:rsidP="00A75BAD">
      <w:pPr>
        <w:autoSpaceDE w:val="0"/>
        <w:autoSpaceDN w:val="0"/>
        <w:adjustRightInd w:val="0"/>
        <w:jc w:val="both"/>
      </w:pPr>
    </w:p>
    <w:p w14:paraId="28808EEE" w14:textId="7FBF3E40" w:rsidR="00FE5651" w:rsidRDefault="00FE5651" w:rsidP="00A75BAD">
      <w:pPr>
        <w:autoSpaceDE w:val="0"/>
        <w:autoSpaceDN w:val="0"/>
        <w:adjustRightInd w:val="0"/>
        <w:jc w:val="both"/>
      </w:pPr>
      <w:r>
        <w:tab/>
        <w:t>Section 366.82(11), F.S., establishes</w:t>
      </w:r>
      <w:r w:rsidR="00827FDC">
        <w:t xml:space="preserve"> our</w:t>
      </w:r>
      <w:r>
        <w:t xml:space="preserve"> ratesetting authority over utility energy conservation program costs. Rule 25-17.015, F.A.C., establishes the energy conservation cost recovery clause (ECCR) as the mechanism for electric utilities, such as FPL, to seek approval of reasonable energy conservation expenses.</w:t>
      </w:r>
    </w:p>
    <w:p w14:paraId="3AA5BF52" w14:textId="77777777" w:rsidR="00E7568C" w:rsidRPr="004A0588" w:rsidRDefault="00E7568C" w:rsidP="004A0588">
      <w:pPr>
        <w:autoSpaceDE w:val="0"/>
        <w:autoSpaceDN w:val="0"/>
        <w:adjustRightInd w:val="0"/>
        <w:jc w:val="both"/>
      </w:pPr>
    </w:p>
    <w:p w14:paraId="03A9916C" w14:textId="77777777" w:rsidR="007E2783" w:rsidRDefault="00E7568C" w:rsidP="00CE3ABF">
      <w:pPr>
        <w:autoSpaceDE w:val="0"/>
        <w:autoSpaceDN w:val="0"/>
        <w:adjustRightInd w:val="0"/>
        <w:jc w:val="both"/>
      </w:pPr>
      <w:r w:rsidRPr="004A0588">
        <w:tab/>
      </w:r>
      <w:r w:rsidR="004A0588" w:rsidRPr="004A0588">
        <w:t>Pursuant to Rule 25-17.0021(4), F.A.C., within 90 days of a final order establishing or</w:t>
      </w:r>
      <w:r w:rsidR="004A0588">
        <w:t xml:space="preserve"> modifying goals, each investor-owned electric utility</w:t>
      </w:r>
      <w:r w:rsidR="004A0588" w:rsidRPr="004A0588">
        <w:t xml:space="preserve"> </w:t>
      </w:r>
      <w:r w:rsidR="004A0588">
        <w:t xml:space="preserve">(IOU) </w:t>
      </w:r>
      <w:r w:rsidR="004A0588" w:rsidRPr="004A0588">
        <w:t>must submit for our approva</w:t>
      </w:r>
      <w:r w:rsidR="004A0588">
        <w:t xml:space="preserve">l a Demand Side Management (DSM) </w:t>
      </w:r>
      <w:r w:rsidR="004A0588" w:rsidRPr="004A0588">
        <w:t>plan designed to meet the utility’s approved goals, includin</w:t>
      </w:r>
      <w:r w:rsidR="004A0588">
        <w:t xml:space="preserve">g information about the programs </w:t>
      </w:r>
      <w:r w:rsidR="004A0588" w:rsidRPr="004A0588">
        <w:t>proposed within the plan.</w:t>
      </w:r>
      <w:r w:rsidR="00044ED7">
        <w:t xml:space="preserve"> We last approved FPL’s DSM plan in 2020.</w:t>
      </w:r>
      <w:r w:rsidR="00044ED7">
        <w:rPr>
          <w:rStyle w:val="FootnoteReference"/>
        </w:rPr>
        <w:footnoteReference w:id="83"/>
      </w:r>
    </w:p>
    <w:p w14:paraId="1B3C8D8A" w14:textId="77777777" w:rsidR="00CE3ABF" w:rsidRPr="00CE3ABF" w:rsidRDefault="00CE3ABF" w:rsidP="00CE3ABF">
      <w:pPr>
        <w:autoSpaceDE w:val="0"/>
        <w:autoSpaceDN w:val="0"/>
        <w:adjustRightInd w:val="0"/>
        <w:jc w:val="both"/>
      </w:pPr>
    </w:p>
    <w:p w14:paraId="7D0EAE89" w14:textId="14F20FD4" w:rsidR="001E079A" w:rsidRDefault="007E2783" w:rsidP="001E079A">
      <w:pPr>
        <w:jc w:val="both"/>
        <w:rPr>
          <w:shd w:val="clear" w:color="auto" w:fill="FFFFFF"/>
        </w:rPr>
      </w:pPr>
      <w:r w:rsidRPr="005A7BE9">
        <w:rPr>
          <w:shd w:val="clear" w:color="auto" w:fill="FFFFFF"/>
        </w:rPr>
        <w:tab/>
      </w:r>
      <w:r w:rsidR="00C33F7E">
        <w:rPr>
          <w:shd w:val="clear" w:color="auto" w:fill="FFFFFF"/>
        </w:rPr>
        <w:t>Intervenors</w:t>
      </w:r>
      <w:r w:rsidR="00C33F7E">
        <w:rPr>
          <w:rStyle w:val="FootnoteReference"/>
          <w:shd w:val="clear" w:color="auto" w:fill="FFFFFF"/>
        </w:rPr>
        <w:footnoteReference w:id="84"/>
      </w:r>
      <w:r w:rsidR="008F0846">
        <w:rPr>
          <w:shd w:val="clear" w:color="auto" w:fill="FFFFFF"/>
        </w:rPr>
        <w:t xml:space="preserve"> argu</w:t>
      </w:r>
      <w:r w:rsidR="00C33F7E">
        <w:rPr>
          <w:shd w:val="clear" w:color="auto" w:fill="FFFFFF"/>
        </w:rPr>
        <w:t>e</w:t>
      </w:r>
      <w:r w:rsidR="008257F2">
        <w:rPr>
          <w:shd w:val="clear" w:color="auto" w:fill="FFFFFF"/>
        </w:rPr>
        <w:t xml:space="preserve"> that</w:t>
      </w:r>
      <w:r w:rsidR="00C33F7E">
        <w:rPr>
          <w:shd w:val="clear" w:color="auto" w:fill="FFFFFF"/>
        </w:rPr>
        <w:t xml:space="preserve"> FPL’s</w:t>
      </w:r>
      <w:r w:rsidR="00E64DA1">
        <w:rPr>
          <w:shd w:val="clear" w:color="auto" w:fill="FFFFFF"/>
        </w:rPr>
        <w:t xml:space="preserve"> </w:t>
      </w:r>
      <w:r w:rsidR="001E079A">
        <w:rPr>
          <w:shd w:val="clear" w:color="auto" w:fill="FFFFFF"/>
        </w:rPr>
        <w:t xml:space="preserve">established </w:t>
      </w:r>
      <w:r w:rsidR="00C33F7E">
        <w:rPr>
          <w:shd w:val="clear" w:color="auto" w:fill="FFFFFF"/>
        </w:rPr>
        <w:t xml:space="preserve">DSM </w:t>
      </w:r>
      <w:r w:rsidR="00FE5651">
        <w:rPr>
          <w:shd w:val="clear" w:color="auto" w:fill="FFFFFF"/>
        </w:rPr>
        <w:t xml:space="preserve">programs </w:t>
      </w:r>
      <w:r w:rsidR="008257F2">
        <w:rPr>
          <w:shd w:val="clear" w:color="auto" w:fill="FFFFFF"/>
        </w:rPr>
        <w:t xml:space="preserve">should be </w:t>
      </w:r>
      <w:r w:rsidR="00C33F7E">
        <w:rPr>
          <w:shd w:val="clear" w:color="auto" w:fill="FFFFFF"/>
        </w:rPr>
        <w:t>reanalyzed and chang</w:t>
      </w:r>
      <w:r w:rsidR="008257F2">
        <w:rPr>
          <w:shd w:val="clear" w:color="auto" w:fill="FFFFFF"/>
        </w:rPr>
        <w:t>ed</w:t>
      </w:r>
      <w:r w:rsidR="00303495">
        <w:rPr>
          <w:shd w:val="clear" w:color="auto" w:fill="FFFFFF"/>
        </w:rPr>
        <w:t xml:space="preserve"> in this docket</w:t>
      </w:r>
      <w:r w:rsidR="00C33F7E">
        <w:rPr>
          <w:shd w:val="clear" w:color="auto" w:fill="FFFFFF"/>
        </w:rPr>
        <w:t>.</w:t>
      </w:r>
      <w:r w:rsidR="00EA6AB8">
        <w:rPr>
          <w:shd w:val="clear" w:color="auto" w:fill="FFFFFF"/>
        </w:rPr>
        <w:t xml:space="preserve"> </w:t>
      </w:r>
      <w:r w:rsidR="001E079A">
        <w:rPr>
          <w:shd w:val="clear" w:color="auto" w:fill="FFFFFF"/>
        </w:rPr>
        <w:t xml:space="preserve">We do not agree, and find that </w:t>
      </w:r>
      <w:r w:rsidR="00303495">
        <w:rPr>
          <w:shd w:val="clear" w:color="auto" w:fill="FFFFFF"/>
        </w:rPr>
        <w:t>these</w:t>
      </w:r>
      <w:r w:rsidR="00AA7C34">
        <w:rPr>
          <w:shd w:val="clear" w:color="auto" w:fill="FFFFFF"/>
        </w:rPr>
        <w:t xml:space="preserve"> </w:t>
      </w:r>
      <w:r w:rsidR="00CE3ABF">
        <w:rPr>
          <w:shd w:val="clear" w:color="auto" w:fill="FFFFFF"/>
        </w:rPr>
        <w:t xml:space="preserve">wide-ranging </w:t>
      </w:r>
      <w:r w:rsidR="00303495">
        <w:rPr>
          <w:shd w:val="clear" w:color="auto" w:fill="FFFFFF"/>
        </w:rPr>
        <w:t xml:space="preserve">arguments </w:t>
      </w:r>
      <w:r w:rsidR="001E079A">
        <w:rPr>
          <w:shd w:val="clear" w:color="auto" w:fill="FFFFFF"/>
        </w:rPr>
        <w:t>are more appropriately rais</w:t>
      </w:r>
      <w:r w:rsidR="008F0846">
        <w:rPr>
          <w:shd w:val="clear" w:color="auto" w:fill="FFFFFF"/>
        </w:rPr>
        <w:t>ed</w:t>
      </w:r>
      <w:r w:rsidR="00AF149D">
        <w:rPr>
          <w:shd w:val="clear" w:color="auto" w:fill="FFFFFF"/>
        </w:rPr>
        <w:t xml:space="preserve"> </w:t>
      </w:r>
      <w:r w:rsidR="00DC08EA">
        <w:rPr>
          <w:shd w:val="clear" w:color="auto" w:fill="FFFFFF"/>
        </w:rPr>
        <w:t xml:space="preserve">in FPL’s </w:t>
      </w:r>
      <w:r w:rsidR="00240322">
        <w:rPr>
          <w:shd w:val="clear" w:color="auto" w:fill="FFFFFF"/>
        </w:rPr>
        <w:t>2024</w:t>
      </w:r>
      <w:r w:rsidR="001D3EDE">
        <w:rPr>
          <w:shd w:val="clear" w:color="auto" w:fill="FFFFFF"/>
        </w:rPr>
        <w:t xml:space="preserve"> </w:t>
      </w:r>
      <w:r w:rsidR="00FE5651">
        <w:rPr>
          <w:shd w:val="clear" w:color="auto" w:fill="FFFFFF"/>
        </w:rPr>
        <w:t>goal-setting,</w:t>
      </w:r>
      <w:r w:rsidR="00CE3ABF">
        <w:rPr>
          <w:rStyle w:val="FootnoteReference"/>
          <w:shd w:val="clear" w:color="auto" w:fill="FFFFFF"/>
        </w:rPr>
        <w:footnoteReference w:id="85"/>
      </w:r>
      <w:r w:rsidR="00DC08EA">
        <w:rPr>
          <w:shd w:val="clear" w:color="auto" w:fill="FFFFFF"/>
        </w:rPr>
        <w:t xml:space="preserve"> </w:t>
      </w:r>
      <w:r w:rsidR="00CE3ABF">
        <w:rPr>
          <w:shd w:val="clear" w:color="auto" w:fill="FFFFFF"/>
        </w:rPr>
        <w:t xml:space="preserve">DSM </w:t>
      </w:r>
      <w:r w:rsidR="00FE5651">
        <w:rPr>
          <w:shd w:val="clear" w:color="auto" w:fill="FFFFFF"/>
        </w:rPr>
        <w:t xml:space="preserve">plan, and the annual ECCR </w:t>
      </w:r>
      <w:r w:rsidR="00DC08EA">
        <w:rPr>
          <w:shd w:val="clear" w:color="auto" w:fill="FFFFFF"/>
        </w:rPr>
        <w:t>docket</w:t>
      </w:r>
      <w:r w:rsidR="00CE3ABF">
        <w:rPr>
          <w:shd w:val="clear" w:color="auto" w:fill="FFFFFF"/>
        </w:rPr>
        <w:t>s</w:t>
      </w:r>
      <w:r w:rsidR="00DC08EA">
        <w:rPr>
          <w:shd w:val="clear" w:color="auto" w:fill="FFFFFF"/>
        </w:rPr>
        <w:t>.</w:t>
      </w:r>
    </w:p>
    <w:p w14:paraId="374AC1F2" w14:textId="77777777" w:rsidR="001E079A" w:rsidRDefault="001E079A" w:rsidP="001E079A">
      <w:pPr>
        <w:jc w:val="both"/>
        <w:rPr>
          <w:shd w:val="clear" w:color="auto" w:fill="FFFFFF"/>
        </w:rPr>
      </w:pPr>
    </w:p>
    <w:p w14:paraId="49FF2446" w14:textId="16FF0CC9" w:rsidR="001E079A" w:rsidRDefault="00AA7C34" w:rsidP="001E079A">
      <w:pPr>
        <w:jc w:val="both"/>
      </w:pPr>
      <w:r>
        <w:rPr>
          <w:shd w:val="clear" w:color="auto" w:fill="FFFFFF"/>
        </w:rPr>
        <w:tab/>
      </w:r>
      <w:r w:rsidR="005E4ABC">
        <w:rPr>
          <w:shd w:val="clear" w:color="auto" w:fill="FFFFFF"/>
        </w:rPr>
        <w:t xml:space="preserve">While goals </w:t>
      </w:r>
      <w:r w:rsidR="00CE3ABF">
        <w:rPr>
          <w:shd w:val="clear" w:color="auto" w:fill="FFFFFF"/>
        </w:rPr>
        <w:t xml:space="preserve">and DSM </w:t>
      </w:r>
      <w:r w:rsidR="00FE5651">
        <w:rPr>
          <w:shd w:val="clear" w:color="auto" w:fill="FFFFFF"/>
        </w:rPr>
        <w:t xml:space="preserve">plans and programs </w:t>
      </w:r>
      <w:r w:rsidR="005E4ABC">
        <w:rPr>
          <w:shd w:val="clear" w:color="auto" w:fill="FFFFFF"/>
        </w:rPr>
        <w:t xml:space="preserve">are </w:t>
      </w:r>
      <w:r w:rsidR="00CE3ABF">
        <w:rPr>
          <w:shd w:val="clear" w:color="auto" w:fill="FFFFFF"/>
        </w:rPr>
        <w:t>generally</w:t>
      </w:r>
      <w:r w:rsidR="00CE3ABF">
        <w:rPr>
          <w:rStyle w:val="FootnoteReference"/>
        </w:rPr>
        <w:footnoteReference w:id="86"/>
      </w:r>
      <w:r w:rsidR="00CE3ABF">
        <w:rPr>
          <w:shd w:val="clear" w:color="auto" w:fill="FFFFFF"/>
        </w:rPr>
        <w:t xml:space="preserve"> </w:t>
      </w:r>
      <w:r w:rsidR="005E4ABC">
        <w:rPr>
          <w:shd w:val="clear" w:color="auto" w:fill="FFFFFF"/>
        </w:rPr>
        <w:t xml:space="preserve">not </w:t>
      </w:r>
      <w:r w:rsidR="00CE3ABF">
        <w:rPr>
          <w:shd w:val="clear" w:color="auto" w:fill="FFFFFF"/>
        </w:rPr>
        <w:t>subject to reexamination in a</w:t>
      </w:r>
      <w:r w:rsidR="005E4ABC">
        <w:rPr>
          <w:shd w:val="clear" w:color="auto" w:fill="FFFFFF"/>
        </w:rPr>
        <w:t xml:space="preserve"> base rate</w:t>
      </w:r>
      <w:r w:rsidR="00CE3ABF">
        <w:rPr>
          <w:shd w:val="clear" w:color="auto" w:fill="FFFFFF"/>
        </w:rPr>
        <w:t xml:space="preserve"> case</w:t>
      </w:r>
      <w:r w:rsidR="005E4ABC">
        <w:rPr>
          <w:shd w:val="clear" w:color="auto" w:fill="FFFFFF"/>
        </w:rPr>
        <w:t xml:space="preserve">, FEECA does influence some of the underlying analyses. </w:t>
      </w:r>
      <w:r w:rsidR="001E079A">
        <w:t xml:space="preserve">FPL </w:t>
      </w:r>
      <w:r w:rsidR="005E4ABC">
        <w:t xml:space="preserve">properly </w:t>
      </w:r>
      <w:r w:rsidR="001E079A">
        <w:t xml:space="preserve">accounted for incremental DSM in its load forecasts. </w:t>
      </w:r>
      <w:r>
        <w:t>Additionally, the resource analyses conducted by FPL in this case followed and is consistent with our most recent</w:t>
      </w:r>
      <w:r w:rsidR="00216513">
        <w:t xml:space="preserve"> order on conservation goals.</w:t>
      </w:r>
    </w:p>
    <w:p w14:paraId="5C1F7695" w14:textId="77777777" w:rsidR="00303495" w:rsidRDefault="00303495" w:rsidP="00EA6AB8">
      <w:pPr>
        <w:jc w:val="both"/>
        <w:rPr>
          <w:shd w:val="clear" w:color="auto" w:fill="FFFFFF"/>
        </w:rPr>
      </w:pPr>
    </w:p>
    <w:p w14:paraId="3E151436" w14:textId="0E3A53CA" w:rsidR="00303495" w:rsidRDefault="00AA7C34" w:rsidP="00EA6AB8">
      <w:pPr>
        <w:jc w:val="both"/>
        <w:rPr>
          <w:shd w:val="clear" w:color="auto" w:fill="FFFFFF"/>
        </w:rPr>
      </w:pPr>
      <w:r>
        <w:rPr>
          <w:shd w:val="clear" w:color="auto" w:fill="FFFFFF"/>
        </w:rPr>
        <w:tab/>
        <w:t xml:space="preserve">We have considered the record evidence </w:t>
      </w:r>
      <w:r w:rsidR="004D422C">
        <w:rPr>
          <w:shd w:val="clear" w:color="auto" w:fill="FFFFFF"/>
        </w:rPr>
        <w:t xml:space="preserve">presented by all parties </w:t>
      </w:r>
      <w:r>
        <w:rPr>
          <w:shd w:val="clear" w:color="auto" w:fill="FFFFFF"/>
        </w:rPr>
        <w:t>regarding FEECA</w:t>
      </w:r>
      <w:r w:rsidR="00423D6A">
        <w:rPr>
          <w:shd w:val="clear" w:color="auto" w:fill="FFFFFF"/>
        </w:rPr>
        <w:t xml:space="preserve"> as it relates to the issues that were identified and litigated,</w:t>
      </w:r>
      <w:r>
        <w:rPr>
          <w:shd w:val="clear" w:color="auto" w:fill="FFFFFF"/>
        </w:rPr>
        <w:t xml:space="preserve"> and find that the 2021 Settlement Agreement</w:t>
      </w:r>
      <w:r w:rsidR="0016376D">
        <w:rPr>
          <w:shd w:val="clear" w:color="auto" w:fill="FFFFFF"/>
        </w:rPr>
        <w:t xml:space="preserve"> i</w:t>
      </w:r>
      <w:r>
        <w:rPr>
          <w:shd w:val="clear" w:color="auto" w:fill="FFFFFF"/>
        </w:rPr>
        <w:t xml:space="preserve">s in the </w:t>
      </w:r>
      <w:r w:rsidR="0016376D">
        <w:rPr>
          <w:shd w:val="clear" w:color="auto" w:fill="FFFFFF"/>
        </w:rPr>
        <w:t>public interest and establishes</w:t>
      </w:r>
      <w:r>
        <w:rPr>
          <w:shd w:val="clear" w:color="auto" w:fill="FFFFFF"/>
        </w:rPr>
        <w:t xml:space="preserve"> rates that are fair, just, and </w:t>
      </w:r>
      <w:r w:rsidR="0016376D">
        <w:rPr>
          <w:shd w:val="clear" w:color="auto" w:fill="FFFFFF"/>
        </w:rPr>
        <w:t>r</w:t>
      </w:r>
      <w:r>
        <w:rPr>
          <w:shd w:val="clear" w:color="auto" w:fill="FFFFFF"/>
        </w:rPr>
        <w:t>easonable, consistent with section 366.82(10), F.S.</w:t>
      </w:r>
    </w:p>
    <w:p w14:paraId="49B52C8A" w14:textId="77777777" w:rsidR="00EA6AB8" w:rsidRDefault="00EA6AB8" w:rsidP="00DB4733"/>
    <w:p w14:paraId="467A8A91" w14:textId="77777777" w:rsidR="00DB4733" w:rsidRDefault="00D37A22" w:rsidP="00DB4733">
      <w:r>
        <w:t>2</w:t>
      </w:r>
      <w:r w:rsidR="00DB4733">
        <w:t>.</w:t>
      </w:r>
      <w:r w:rsidR="00DB4733">
        <w:tab/>
      </w:r>
      <w:r w:rsidR="00DA4205">
        <w:rPr>
          <w:u w:val="single"/>
        </w:rPr>
        <w:t>Case-specific</w:t>
      </w:r>
      <w:r>
        <w:rPr>
          <w:u w:val="single"/>
        </w:rPr>
        <w:t xml:space="preserve"> </w:t>
      </w:r>
      <w:r w:rsidR="00DA4205">
        <w:rPr>
          <w:u w:val="single"/>
        </w:rPr>
        <w:t>f</w:t>
      </w:r>
      <w:r>
        <w:rPr>
          <w:u w:val="single"/>
        </w:rPr>
        <w:t>actor</w:t>
      </w:r>
      <w:r w:rsidR="00DB4733">
        <w:rPr>
          <w:u w:val="single"/>
        </w:rPr>
        <w:t>s</w:t>
      </w:r>
    </w:p>
    <w:p w14:paraId="6622ADBF" w14:textId="77777777" w:rsidR="00DB4733" w:rsidRDefault="00DB4733" w:rsidP="00DB4733"/>
    <w:p w14:paraId="5B7066C1" w14:textId="77777777" w:rsidR="00380304" w:rsidRDefault="00380304" w:rsidP="00380304">
      <w:pPr>
        <w:jc w:val="both"/>
        <w:rPr>
          <w:shd w:val="clear" w:color="auto" w:fill="FFFFFF"/>
        </w:rPr>
      </w:pPr>
      <w:r>
        <w:rPr>
          <w:shd w:val="clear" w:color="auto" w:fill="FFFFFF"/>
        </w:rPr>
        <w:tab/>
        <w:t>The Court in remanding this matter also listed several statutory provisions that “may” be germane to our disposition. One of the statutes cited by the Court expresses the Legislature’s intent “</w:t>
      </w:r>
      <w:r w:rsidRPr="00477882">
        <w:rPr>
          <w:shd w:val="clear" w:color="auto" w:fill="FFFFFF"/>
        </w:rPr>
        <w:t>that it is in the public interest to promote the development of renewable</w:t>
      </w:r>
      <w:r w:rsidR="00464C1F">
        <w:rPr>
          <w:shd w:val="clear" w:color="auto" w:fill="FFFFFF"/>
        </w:rPr>
        <w:t xml:space="preserve"> energy resources in this state,</w:t>
      </w:r>
      <w:r>
        <w:rPr>
          <w:shd w:val="clear" w:color="auto" w:fill="FFFFFF"/>
        </w:rPr>
        <w:t>”</w:t>
      </w:r>
      <w:r w:rsidR="00445EB5">
        <w:rPr>
          <w:rStyle w:val="FootnoteReference"/>
          <w:shd w:val="clear" w:color="auto" w:fill="FFFFFF"/>
        </w:rPr>
        <w:footnoteReference w:id="87"/>
      </w:r>
      <w:r w:rsidR="00464C1F">
        <w:rPr>
          <w:shd w:val="clear" w:color="auto" w:fill="FFFFFF"/>
        </w:rPr>
        <w:t xml:space="preserve"> and is directly relevant to our finding that the 2021 Settlement is in the public interest and results in rates that are fair, just, and reasonable.</w:t>
      </w:r>
    </w:p>
    <w:p w14:paraId="0222E950" w14:textId="77777777" w:rsidR="00502144" w:rsidRDefault="00502144" w:rsidP="00380304">
      <w:pPr>
        <w:jc w:val="both"/>
        <w:rPr>
          <w:shd w:val="clear" w:color="auto" w:fill="FFFFFF"/>
        </w:rPr>
      </w:pPr>
    </w:p>
    <w:p w14:paraId="105D4475" w14:textId="77777777" w:rsidR="00445EB5" w:rsidRDefault="00502144" w:rsidP="00445EB5">
      <w:pPr>
        <w:jc w:val="both"/>
        <w:rPr>
          <w:shd w:val="clear" w:color="auto" w:fill="FFFFFF"/>
        </w:rPr>
      </w:pPr>
      <w:r>
        <w:rPr>
          <w:shd w:val="clear" w:color="auto" w:fill="FFFFFF"/>
        </w:rPr>
        <w:tab/>
        <w:t>The Legislature included</w:t>
      </w:r>
      <w:r w:rsidR="00B55BE8">
        <w:rPr>
          <w:shd w:val="clear" w:color="auto" w:fill="FFFFFF"/>
        </w:rPr>
        <w:t xml:space="preserve"> both</w:t>
      </w:r>
      <w:r w:rsidRPr="00502144">
        <w:rPr>
          <w:shd w:val="clear" w:color="auto" w:fill="FFFFFF"/>
        </w:rPr>
        <w:t xml:space="preserve"> </w:t>
      </w:r>
      <w:r>
        <w:rPr>
          <w:shd w:val="clear" w:color="auto" w:fill="FFFFFF"/>
        </w:rPr>
        <w:t>solar energy and green hydrogen in the definition of “renewable energy” resources.</w:t>
      </w:r>
      <w:r w:rsidR="00642DDB">
        <w:rPr>
          <w:rStyle w:val="FootnoteReference"/>
          <w:shd w:val="clear" w:color="auto" w:fill="FFFFFF"/>
        </w:rPr>
        <w:footnoteReference w:id="88"/>
      </w:r>
      <w:r>
        <w:rPr>
          <w:shd w:val="clear" w:color="auto" w:fill="FFFFFF"/>
        </w:rPr>
        <w:t xml:space="preserve"> The </w:t>
      </w:r>
      <w:r w:rsidR="00445EB5">
        <w:t xml:space="preserve">2021 Settlement </w:t>
      </w:r>
      <w:r w:rsidR="00E966AB">
        <w:t>promotes the development of both</w:t>
      </w:r>
      <w:r w:rsidR="000C3891">
        <w:t>.</w:t>
      </w:r>
      <w:r w:rsidR="00445EB5">
        <w:t xml:space="preserve"> </w:t>
      </w:r>
      <w:r w:rsidR="000C3891">
        <w:t xml:space="preserve">Using the SoBRA mechanism, </w:t>
      </w:r>
      <w:r w:rsidR="00445EB5">
        <w:t xml:space="preserve">FPL </w:t>
      </w:r>
      <w:r w:rsidR="00E966AB">
        <w:t xml:space="preserve">will </w:t>
      </w:r>
      <w:r w:rsidR="00445EB5">
        <w:t>construct 1,788 megawatts (MW) of solar generation</w:t>
      </w:r>
      <w:r w:rsidR="000C3891">
        <w:t xml:space="preserve"> through the Term</w:t>
      </w:r>
      <w:r w:rsidR="00445EB5">
        <w:t xml:space="preserve">. Phase II </w:t>
      </w:r>
      <w:r w:rsidR="00445EB5">
        <w:rPr>
          <w:shd w:val="clear" w:color="auto" w:fill="FFFFFF"/>
        </w:rPr>
        <w:t>SolarTogether directly serves the pu</w:t>
      </w:r>
      <w:r w:rsidR="00F479F6">
        <w:rPr>
          <w:shd w:val="clear" w:color="auto" w:fill="FFFFFF"/>
        </w:rPr>
        <w:t>rposes outlined in this statute by e</w:t>
      </w:r>
      <w:r w:rsidR="00F479F6">
        <w:t>xpanding the program by an additional 1,788 MW at FPL’s discretion through 2025 such that the total capacity of SolarTogether would equal 3,278 MW.</w:t>
      </w:r>
      <w:r w:rsidR="00D340E7">
        <w:t xml:space="preserve"> The pilot solar power program will </w:t>
      </w:r>
      <w:r w:rsidR="00B55BE8">
        <w:t xml:space="preserve">make </w:t>
      </w:r>
      <w:r w:rsidR="00D340E7">
        <w:t>on-site solar</w:t>
      </w:r>
      <w:r w:rsidR="00B55BE8">
        <w:t xml:space="preserve"> available on a voluntary basis</w:t>
      </w:r>
      <w:r w:rsidR="00D340E7">
        <w:t xml:space="preserve"> to </w:t>
      </w:r>
      <w:r w:rsidR="00B55BE8">
        <w:t xml:space="preserve">eligible </w:t>
      </w:r>
      <w:r w:rsidR="00D340E7">
        <w:t xml:space="preserve">participants. These approvals are consistent with and further the legislative </w:t>
      </w:r>
      <w:r w:rsidR="00B55BE8">
        <w:t xml:space="preserve">public interest </w:t>
      </w:r>
      <w:r w:rsidR="00D340E7">
        <w:t>direction on renewable energy development</w:t>
      </w:r>
      <w:r w:rsidR="00B55BE8">
        <w:t>. To ensure resulting rates are fair, just, and reasonable, SolarTogether and the pilot solar program are funded by program participants.</w:t>
      </w:r>
      <w:r w:rsidR="006F0A39">
        <w:t xml:space="preserve"> The benefits of SolarTogether are shared among all ratepayers to ensure that the program is not unduly discriminatory in favor of either participants or non-participants.</w:t>
      </w:r>
      <w:r w:rsidR="00B55BE8">
        <w:t xml:space="preserve"> SoBRAs are funded by incremental base rate increases that must be first approved after a hearing to address cost-effectiveness.</w:t>
      </w:r>
    </w:p>
    <w:p w14:paraId="6517FE4B" w14:textId="77777777" w:rsidR="00445EB5" w:rsidRDefault="00445EB5" w:rsidP="00445EB5">
      <w:pPr>
        <w:jc w:val="both"/>
        <w:rPr>
          <w:shd w:val="clear" w:color="auto" w:fill="FFFFFF"/>
        </w:rPr>
      </w:pPr>
    </w:p>
    <w:p w14:paraId="64836028" w14:textId="77777777" w:rsidR="00445EB5" w:rsidRPr="00D340E7" w:rsidRDefault="00445EB5" w:rsidP="00445EB5">
      <w:pPr>
        <w:jc w:val="both"/>
        <w:rPr>
          <w:shd w:val="clear" w:color="auto" w:fill="FFFFFF"/>
        </w:rPr>
      </w:pPr>
      <w:r>
        <w:rPr>
          <w:shd w:val="clear" w:color="auto" w:fill="FFFFFF"/>
        </w:rPr>
        <w:tab/>
        <w:t xml:space="preserve">The pilot program </w:t>
      </w:r>
      <w:r w:rsidR="00502144">
        <w:rPr>
          <w:shd w:val="clear" w:color="auto" w:fill="FFFFFF"/>
        </w:rPr>
        <w:t>for green hydrogen aligns with this same legislative direction</w:t>
      </w:r>
      <w:r>
        <w:rPr>
          <w:shd w:val="clear" w:color="auto" w:fill="FFFFFF"/>
        </w:rPr>
        <w:t>.</w:t>
      </w:r>
      <w:r w:rsidR="003B6709">
        <w:rPr>
          <w:shd w:val="clear" w:color="auto" w:fill="FFFFFF"/>
        </w:rPr>
        <w:t xml:space="preserve"> Intervenors argu</w:t>
      </w:r>
      <w:r w:rsidR="00D340E7">
        <w:rPr>
          <w:shd w:val="clear" w:color="auto" w:fill="FFFFFF"/>
        </w:rPr>
        <w:t xml:space="preserve">e </w:t>
      </w:r>
      <w:r w:rsidR="003B6709">
        <w:rPr>
          <w:shd w:val="clear" w:color="auto" w:fill="FFFFFF"/>
        </w:rPr>
        <w:t xml:space="preserve">that </w:t>
      </w:r>
      <w:r w:rsidR="00D340E7">
        <w:rPr>
          <w:shd w:val="clear" w:color="auto" w:fill="FFFFFF"/>
        </w:rPr>
        <w:t xml:space="preserve">this pilot </w:t>
      </w:r>
      <w:r w:rsidR="003B6709">
        <w:rPr>
          <w:shd w:val="clear" w:color="auto" w:fill="FFFFFF"/>
        </w:rPr>
        <w:t>should be rejected as</w:t>
      </w:r>
      <w:r w:rsidR="00D340E7">
        <w:rPr>
          <w:shd w:val="clear" w:color="auto" w:fill="FFFFFF"/>
        </w:rPr>
        <w:t xml:space="preserve"> ratepayer-funded research and development. This critique is misplaced. </w:t>
      </w:r>
      <w:r w:rsidR="00B665A0">
        <w:rPr>
          <w:shd w:val="clear" w:color="auto" w:fill="FFFFFF"/>
        </w:rPr>
        <w:t xml:space="preserve">The Legislature has specifically directed </w:t>
      </w:r>
      <w:r w:rsidR="00D340E7">
        <w:rPr>
          <w:shd w:val="clear" w:color="auto" w:fill="FFFFFF"/>
        </w:rPr>
        <w:t xml:space="preserve">that “it is in the public interest to </w:t>
      </w:r>
      <w:r w:rsidR="00D340E7">
        <w:rPr>
          <w:u w:val="single"/>
          <w:shd w:val="clear" w:color="auto" w:fill="FFFFFF"/>
        </w:rPr>
        <w:t>promote the development</w:t>
      </w:r>
      <w:r w:rsidR="00D340E7">
        <w:rPr>
          <w:shd w:val="clear" w:color="auto" w:fill="FFFFFF"/>
        </w:rPr>
        <w:t xml:space="preserve"> of renewable energy resources.”</w:t>
      </w:r>
      <w:r w:rsidR="00B665A0">
        <w:rPr>
          <w:rStyle w:val="FootnoteReference"/>
          <w:shd w:val="clear" w:color="auto" w:fill="FFFFFF"/>
        </w:rPr>
        <w:footnoteReference w:id="89"/>
      </w:r>
      <w:r w:rsidR="00D340E7">
        <w:rPr>
          <w:shd w:val="clear" w:color="auto" w:fill="FFFFFF"/>
        </w:rPr>
        <w:t xml:space="preserve"> </w:t>
      </w:r>
      <w:r w:rsidR="0051115E">
        <w:rPr>
          <w:shd w:val="clear" w:color="auto" w:fill="FFFFFF"/>
        </w:rPr>
        <w:t>“Development” includes “the act, process, or result of developing.”</w:t>
      </w:r>
      <w:r w:rsidR="00B30E91">
        <w:rPr>
          <w:rStyle w:val="FootnoteReference"/>
          <w:shd w:val="clear" w:color="auto" w:fill="FFFFFF"/>
        </w:rPr>
        <w:footnoteReference w:id="90"/>
      </w:r>
      <w:r w:rsidR="0051115E">
        <w:rPr>
          <w:shd w:val="clear" w:color="auto" w:fill="FFFFFF"/>
        </w:rPr>
        <w:t xml:space="preserve"> </w:t>
      </w:r>
      <w:r w:rsidR="00B30E91">
        <w:rPr>
          <w:shd w:val="clear" w:color="auto" w:fill="FFFFFF"/>
        </w:rPr>
        <w:t xml:space="preserve">The statute does not state that the public interest is served only by the generation of power with renewable energy, which would be the result of </w:t>
      </w:r>
      <w:r w:rsidR="00E464F7">
        <w:rPr>
          <w:shd w:val="clear" w:color="auto" w:fill="FFFFFF"/>
        </w:rPr>
        <w:t xml:space="preserve">successful </w:t>
      </w:r>
      <w:r w:rsidR="00B30E91">
        <w:rPr>
          <w:shd w:val="clear" w:color="auto" w:fill="FFFFFF"/>
        </w:rPr>
        <w:t>development. The process of developing renewable energy is part of promoting its development, and that is exactly what is accomplished by the Green Hydrogen pilot.</w:t>
      </w:r>
    </w:p>
    <w:p w14:paraId="1F0CC15D" w14:textId="77777777" w:rsidR="00445EB5" w:rsidRDefault="00445EB5" w:rsidP="00380304">
      <w:pPr>
        <w:jc w:val="both"/>
        <w:rPr>
          <w:shd w:val="clear" w:color="auto" w:fill="FFFFFF"/>
        </w:rPr>
      </w:pPr>
    </w:p>
    <w:p w14:paraId="4762D6AA" w14:textId="2E3328C6" w:rsidR="00445EB5" w:rsidRDefault="00E464F7" w:rsidP="00380304">
      <w:pPr>
        <w:jc w:val="both"/>
        <w:rPr>
          <w:shd w:val="clear" w:color="auto" w:fill="FFFFFF"/>
        </w:rPr>
      </w:pPr>
      <w:r>
        <w:rPr>
          <w:shd w:val="clear" w:color="auto" w:fill="FFFFFF"/>
        </w:rPr>
        <w:tab/>
        <w:t xml:space="preserve">The Court also stated that we may consider </w:t>
      </w:r>
      <w:r w:rsidR="00F37111">
        <w:rPr>
          <w:shd w:val="clear" w:color="auto" w:fill="FFFFFF"/>
        </w:rPr>
        <w:t>“</w:t>
      </w:r>
      <w:r w:rsidR="00F37111" w:rsidRPr="00963E50">
        <w:rPr>
          <w:shd w:val="clear" w:color="auto" w:fill="FFFFFF"/>
        </w:rPr>
        <w:t>the efficiency, sufficiency, and adequacy of the facilities provided and the services rendered; the cost of providing such service and the value of such service to the public; the ability of the utility to improve such service and facilities; and energy conservation and the efficient use of alternative energy resources</w:t>
      </w:r>
      <w:r w:rsidR="009F0FB9">
        <w:rPr>
          <w:shd w:val="clear" w:color="auto" w:fill="FFFFFF"/>
        </w:rPr>
        <w:t>.</w:t>
      </w:r>
      <w:r w:rsidR="00F37111">
        <w:rPr>
          <w:shd w:val="clear" w:color="auto" w:fill="FFFFFF"/>
        </w:rPr>
        <w:t>”</w:t>
      </w:r>
      <w:r w:rsidR="00F37111">
        <w:rPr>
          <w:rStyle w:val="FootnoteReference"/>
          <w:shd w:val="clear" w:color="auto" w:fill="FFFFFF"/>
        </w:rPr>
        <w:footnoteReference w:id="91"/>
      </w:r>
    </w:p>
    <w:p w14:paraId="35D21558" w14:textId="77777777" w:rsidR="008E0C60" w:rsidRDefault="008E0C60" w:rsidP="008E0C60">
      <w:pPr>
        <w:ind w:left="720" w:right="720"/>
        <w:jc w:val="both"/>
        <w:rPr>
          <w:shd w:val="clear" w:color="auto" w:fill="FFFFFF"/>
        </w:rPr>
      </w:pPr>
    </w:p>
    <w:p w14:paraId="5789A5C9" w14:textId="46296C08" w:rsidR="008E0C60" w:rsidRDefault="000B7316" w:rsidP="00445EB5">
      <w:pPr>
        <w:jc w:val="both"/>
        <w:rPr>
          <w:shd w:val="clear" w:color="auto" w:fill="FFFFFF"/>
        </w:rPr>
      </w:pPr>
      <w:r>
        <w:tab/>
        <w:t xml:space="preserve">FPL has delivered high value </w:t>
      </w:r>
      <w:r w:rsidR="00B91A77">
        <w:t xml:space="preserve">service </w:t>
      </w:r>
      <w:r>
        <w:t>to its customers at a relatively low cost. Residential rates are at least 20</w:t>
      </w:r>
      <w:r w:rsidR="006F0351">
        <w:t xml:space="preserve"> percent</w:t>
      </w:r>
      <w:r w:rsidR="006F0351" w:rsidDel="006F0351">
        <w:t xml:space="preserve"> </w:t>
      </w:r>
      <w:r>
        <w:t>lower than the national average</w:t>
      </w:r>
      <w:r w:rsidR="00955EDE">
        <w:rPr>
          <w:rStyle w:val="FootnoteReference"/>
        </w:rPr>
        <w:footnoteReference w:id="92"/>
      </w:r>
      <w:r>
        <w:t xml:space="preserve"> and below those charged by other Fl</w:t>
      </w:r>
      <w:r w:rsidR="009039B3">
        <w:t xml:space="preserve">orida investor-owned-utilities. </w:t>
      </w:r>
      <w:r>
        <w:t>FPL has lower operation and maintenance expenses</w:t>
      </w:r>
      <w:r w:rsidR="009766C8">
        <w:t>, with the best non-fuel O &amp; M cost performance in the industry</w:t>
      </w:r>
      <w:r>
        <w:t>.</w:t>
      </w:r>
      <w:r w:rsidR="005565A3">
        <w:t xml:space="preserve"> The framework approved in the 2021 Settlement Agreement will foster continuation of these efficiencies, consistent with the legislative direction in Section </w:t>
      </w:r>
      <w:r w:rsidR="005565A3" w:rsidRPr="00955EDE">
        <w:t>366.041(1)</w:t>
      </w:r>
      <w:r w:rsidR="005565A3">
        <w:t>, F.S.</w:t>
      </w:r>
    </w:p>
    <w:p w14:paraId="56AA0189" w14:textId="77777777" w:rsidR="004E16FA" w:rsidRDefault="004E16FA" w:rsidP="008E0C60">
      <w:pPr>
        <w:jc w:val="both"/>
        <w:rPr>
          <w:shd w:val="clear" w:color="auto" w:fill="FFFFFF"/>
        </w:rPr>
      </w:pPr>
    </w:p>
    <w:p w14:paraId="5309C5BA" w14:textId="77777777" w:rsidR="00292800" w:rsidRDefault="004E16FA" w:rsidP="00292800">
      <w:pPr>
        <w:jc w:val="center"/>
      </w:pPr>
      <w:r>
        <w:rPr>
          <w:u w:val="single"/>
        </w:rPr>
        <w:t>CONCLUSION</w:t>
      </w:r>
    </w:p>
    <w:p w14:paraId="38F34C0F" w14:textId="77777777" w:rsidR="004E16FA" w:rsidRDefault="004E16FA" w:rsidP="00292800">
      <w:pPr>
        <w:jc w:val="center"/>
      </w:pPr>
    </w:p>
    <w:p w14:paraId="68B9ACF8" w14:textId="77777777" w:rsidR="00BA1F88" w:rsidRPr="004E16FA" w:rsidRDefault="00BA1F88" w:rsidP="00BA1F88">
      <w:pPr>
        <w:ind w:left="720" w:right="720"/>
        <w:jc w:val="both"/>
      </w:pPr>
      <w:r>
        <w:t>When presented with a settlement agreement . . . , the Commission’s review shifts to the public interest standard: whether the agreement – as a whole – resolved all the issues, “establish rates that were just, reasonable, and fair, and that the agreement is in the public interest.</w:t>
      </w:r>
      <w:r>
        <w:rPr>
          <w:rStyle w:val="FootnoteReference"/>
        </w:rPr>
        <w:footnoteReference w:id="93"/>
      </w:r>
    </w:p>
    <w:p w14:paraId="362D97E9" w14:textId="77777777" w:rsidR="00B07764" w:rsidRDefault="00B07764">
      <w:pPr>
        <w:pStyle w:val="OrderBody"/>
      </w:pPr>
    </w:p>
    <w:p w14:paraId="0E299C1D" w14:textId="77777777" w:rsidR="00B07764" w:rsidRDefault="00F01AB9">
      <w:pPr>
        <w:pStyle w:val="OrderBody"/>
      </w:pPr>
      <w:r>
        <w:tab/>
        <w:t xml:space="preserve">Consistent with this Court’s direction in </w:t>
      </w:r>
      <w:r>
        <w:rPr>
          <w:i/>
        </w:rPr>
        <w:t>FAIR</w:t>
      </w:r>
      <w:r>
        <w:t xml:space="preserve">, we have </w:t>
      </w:r>
      <w:r w:rsidR="00381D74">
        <w:t>consider</w:t>
      </w:r>
      <w:r>
        <w:t>ed each of the parties’ competing arguments. In the final analysis, however, we are to examine the 2021 Settlement as a whole in making our ultimate determination.</w:t>
      </w:r>
      <w:r w:rsidR="00381D74">
        <w:t xml:space="preserve"> Taken as a whole</w:t>
      </w:r>
      <w:r w:rsidR="006957BE">
        <w:t xml:space="preserve"> and as supported by the record</w:t>
      </w:r>
      <w:r w:rsidR="00381D74">
        <w:t>, t</w:t>
      </w:r>
      <w:r w:rsidR="0040666A">
        <w:t>he 2021 Settlement Agreement addresses and provides a full resolution of all issues in this docket.</w:t>
      </w:r>
      <w:r w:rsidR="005A0EAC">
        <w:t xml:space="preserve"> T</w:t>
      </w:r>
      <w:r w:rsidR="003109F8">
        <w:t>hat resolution involves</w:t>
      </w:r>
      <w:r w:rsidR="005A0EAC">
        <w:t>, among other compromises, reductions in proposed rate increases and a lowered ROE</w:t>
      </w:r>
      <w:r w:rsidR="005919D5">
        <w:t xml:space="preserve"> as compared to the as-filed request</w:t>
      </w:r>
      <w:r w:rsidR="005A0EAC">
        <w:t>.</w:t>
      </w:r>
      <w:r w:rsidR="003109F8">
        <w:t xml:space="preserve"> Based on the host of compromises, t</w:t>
      </w:r>
      <w:r w:rsidR="005A0EAC">
        <w:t>he 2021 Settlement was signed by most of the parties to this docket</w:t>
      </w:r>
      <w:r w:rsidR="003109F8">
        <w:t xml:space="preserve">. These parties </w:t>
      </w:r>
      <w:r w:rsidR="005A0EAC">
        <w:t>represent a broad cross-section of ratepayers and interests.</w:t>
      </w:r>
      <w:r w:rsidR="0040666A">
        <w:t xml:space="preserve"> </w:t>
      </w:r>
      <w:r w:rsidR="005A0EAC">
        <w:t xml:space="preserve">Those </w:t>
      </w:r>
      <w:r w:rsidR="0040666A">
        <w:t>Intervenors</w:t>
      </w:r>
      <w:r w:rsidR="005A0EAC">
        <w:t xml:space="preserve"> who chose to not sign the 2021 Settlement Agreement</w:t>
      </w:r>
      <w:r w:rsidR="0040666A">
        <w:t xml:space="preserve"> </w:t>
      </w:r>
      <w:r w:rsidR="00381D74">
        <w:t>were</w:t>
      </w:r>
      <w:r w:rsidR="0040666A">
        <w:t xml:space="preserve"> provided a full and fair opportunity to contest that proposed resolution consistent with the requirements of due process.</w:t>
      </w:r>
    </w:p>
    <w:p w14:paraId="6D56CF89" w14:textId="77777777" w:rsidR="00381D74" w:rsidRDefault="00381D74">
      <w:pPr>
        <w:pStyle w:val="OrderBody"/>
      </w:pPr>
    </w:p>
    <w:p w14:paraId="3664B427" w14:textId="77777777" w:rsidR="00487342" w:rsidRDefault="0040666A">
      <w:pPr>
        <w:pStyle w:val="OrderBody"/>
      </w:pPr>
      <w:r>
        <w:tab/>
      </w:r>
      <w:r w:rsidR="003109F8">
        <w:t>T</w:t>
      </w:r>
      <w:r>
        <w:t>he</w:t>
      </w:r>
      <w:r w:rsidR="003109F8">
        <w:t xml:space="preserve"> preponderance of the evidence in this record demonstrates that the</w:t>
      </w:r>
      <w:r>
        <w:t xml:space="preserve"> 2021 Settlement Agreement supports a multi-year rate plan, which in turn benefits </w:t>
      </w:r>
      <w:r w:rsidR="000F2704">
        <w:t xml:space="preserve">customers and serves </w:t>
      </w:r>
      <w:r>
        <w:t xml:space="preserve">the public </w:t>
      </w:r>
      <w:r w:rsidR="000F2704">
        <w:t xml:space="preserve">interest </w:t>
      </w:r>
      <w:r>
        <w:t>by providing long-term stability and predictability with respect to base rates. FPL is bringing an appreciable amount of renewable energy online with the SoBRA mechanism and Phase II of SolarTogether, and has proposed additional programs to promote the development of future renewable energy resources</w:t>
      </w:r>
      <w:r w:rsidR="00381D74">
        <w:t xml:space="preserve"> consistent with legislative direction.</w:t>
      </w:r>
      <w:r w:rsidR="003109F8">
        <w:t xml:space="preserve"> FPL</w:t>
      </w:r>
      <w:r w:rsidR="005A0EAC">
        <w:t xml:space="preserve"> has built a system that consistently ranks near the top nationally for reliability. FPL residential customer rates remain among th</w:t>
      </w:r>
      <w:r w:rsidR="00487342">
        <w:t>e lowest in the state and nation.</w:t>
      </w:r>
    </w:p>
    <w:p w14:paraId="50601FE6" w14:textId="77777777" w:rsidR="00487342" w:rsidRDefault="00487342">
      <w:pPr>
        <w:pStyle w:val="OrderBody"/>
      </w:pPr>
    </w:p>
    <w:p w14:paraId="12B48B55" w14:textId="054BC12D" w:rsidR="0040666A" w:rsidRPr="00F01AB9" w:rsidRDefault="00487342">
      <w:pPr>
        <w:pStyle w:val="OrderBody"/>
      </w:pPr>
      <w:r>
        <w:tab/>
      </w:r>
      <w:r w:rsidR="003320D3">
        <w:t>B</w:t>
      </w:r>
      <w:r w:rsidR="00381D74">
        <w:t>ased upon our findings and conclusions above, we conclude that t</w:t>
      </w:r>
      <w:r w:rsidR="0040666A">
        <w:t xml:space="preserve">he 2021 Settlement is in the public interest, and results in rates </w:t>
      </w:r>
      <w:r w:rsidR="009F0FB9">
        <w:t xml:space="preserve">that </w:t>
      </w:r>
      <w:r w:rsidR="0040666A">
        <w:t>are fair, just, and reasonable.</w:t>
      </w:r>
    </w:p>
    <w:p w14:paraId="3351E803" w14:textId="77777777" w:rsidR="00BA1F88" w:rsidRDefault="00BA1F88">
      <w:pPr>
        <w:pStyle w:val="OrderBody"/>
      </w:pPr>
    </w:p>
    <w:p w14:paraId="683E9467" w14:textId="77777777" w:rsidR="00B07764" w:rsidRDefault="00B07764" w:rsidP="00B07764">
      <w:pPr>
        <w:pStyle w:val="OrderBody"/>
      </w:pPr>
      <w:r>
        <w:tab/>
        <w:t>Based on the foregoing, it is</w:t>
      </w:r>
    </w:p>
    <w:p w14:paraId="43D0210A" w14:textId="77777777" w:rsidR="00B07764" w:rsidRDefault="00B07764" w:rsidP="00B07764">
      <w:pPr>
        <w:pStyle w:val="OrderBody"/>
      </w:pPr>
    </w:p>
    <w:p w14:paraId="22904C82" w14:textId="77777777" w:rsidR="00B07764" w:rsidRDefault="00B07764" w:rsidP="00B07764">
      <w:pPr>
        <w:pStyle w:val="OrderBody"/>
      </w:pPr>
      <w:r>
        <w:tab/>
        <w:t>ORDERED by the Florida Public Service Commission that</w:t>
      </w:r>
      <w:r w:rsidR="00ED1178">
        <w:t xml:space="preserve"> Order No. PSC-2021-0446-S-EI, as amended by Order No. PSC-2021-0446A-S-EI and supplemented by this Supplement</w:t>
      </w:r>
      <w:r w:rsidR="003B2B6C">
        <w:t>al</w:t>
      </w:r>
      <w:r w:rsidR="00ED1178">
        <w:t xml:space="preserve"> Final Order, is affirmed. It is further</w:t>
      </w:r>
    </w:p>
    <w:p w14:paraId="14D3E2D5" w14:textId="77777777" w:rsidR="00ED1178" w:rsidRDefault="00ED1178" w:rsidP="00B07764">
      <w:pPr>
        <w:pStyle w:val="OrderBody"/>
      </w:pPr>
    </w:p>
    <w:p w14:paraId="1FB1C36C" w14:textId="77777777" w:rsidR="00ED1178" w:rsidRDefault="00ED1178" w:rsidP="00B07764">
      <w:pPr>
        <w:pStyle w:val="OrderBody"/>
      </w:pPr>
      <w:r>
        <w:tab/>
        <w:t>ORDERED that this docket shall be closed.</w:t>
      </w:r>
    </w:p>
    <w:p w14:paraId="5D05B268" w14:textId="27AF9AF0" w:rsidR="00B07764" w:rsidRDefault="00B07764" w:rsidP="00B07764">
      <w:pPr>
        <w:pStyle w:val="OrderBody"/>
      </w:pPr>
    </w:p>
    <w:p w14:paraId="394300FC" w14:textId="6F6FBB3D" w:rsidR="00B07764" w:rsidRDefault="00B07764" w:rsidP="00B07764">
      <w:pPr>
        <w:pStyle w:val="OrderBody"/>
        <w:keepNext/>
        <w:keepLines/>
      </w:pPr>
      <w:r>
        <w:tab/>
        <w:t xml:space="preserve">By ORDER of the Florida Public Service Commission this </w:t>
      </w:r>
      <w:bookmarkStart w:id="8" w:name="replaceDate"/>
      <w:bookmarkEnd w:id="8"/>
      <w:r w:rsidR="006552A6">
        <w:rPr>
          <w:u w:val="single"/>
        </w:rPr>
        <w:t>25th</w:t>
      </w:r>
      <w:r w:rsidR="006552A6">
        <w:t xml:space="preserve"> day of </w:t>
      </w:r>
      <w:r w:rsidR="006552A6">
        <w:rPr>
          <w:u w:val="single"/>
        </w:rPr>
        <w:t>March</w:t>
      </w:r>
      <w:r w:rsidR="006552A6">
        <w:t xml:space="preserve">, </w:t>
      </w:r>
      <w:r w:rsidR="006552A6">
        <w:rPr>
          <w:u w:val="single"/>
        </w:rPr>
        <w:t>2024</w:t>
      </w:r>
      <w:r w:rsidR="006552A6">
        <w:t>.</w:t>
      </w:r>
    </w:p>
    <w:p w14:paraId="2C6F0BDF" w14:textId="77777777" w:rsidR="006552A6" w:rsidRPr="006552A6" w:rsidRDefault="006552A6" w:rsidP="00B07764">
      <w:pPr>
        <w:pStyle w:val="OrderBody"/>
        <w:keepNext/>
        <w:keepLines/>
      </w:pPr>
    </w:p>
    <w:p w14:paraId="5A8991C5" w14:textId="77777777" w:rsidR="00B07764" w:rsidRDefault="00B07764" w:rsidP="00B07764">
      <w:pPr>
        <w:pStyle w:val="OrderBody"/>
        <w:keepNext/>
        <w:keepLines/>
      </w:pPr>
    </w:p>
    <w:p w14:paraId="6AAA24AE" w14:textId="77777777" w:rsidR="00B07764" w:rsidRDefault="00B07764" w:rsidP="00B07764">
      <w:pPr>
        <w:pStyle w:val="OrderBody"/>
        <w:keepNext/>
        <w:keepLines/>
      </w:pPr>
    </w:p>
    <w:p w14:paraId="1C4E198E" w14:textId="77777777" w:rsidR="00B07764" w:rsidRDefault="00B07764" w:rsidP="00B07764">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B07764" w14:paraId="04B6DB2A" w14:textId="77777777" w:rsidTr="00B07764">
        <w:tc>
          <w:tcPr>
            <w:tcW w:w="720" w:type="dxa"/>
            <w:shd w:val="clear" w:color="auto" w:fill="auto"/>
          </w:tcPr>
          <w:p w14:paraId="7B37171A" w14:textId="77777777" w:rsidR="00B07764" w:rsidRDefault="00B07764" w:rsidP="00B07764">
            <w:pPr>
              <w:pStyle w:val="OrderBody"/>
              <w:keepNext/>
              <w:keepLines/>
            </w:pPr>
            <w:bookmarkStart w:id="9" w:name="bkmrkSignature" w:colFirst="0" w:colLast="0"/>
          </w:p>
        </w:tc>
        <w:tc>
          <w:tcPr>
            <w:tcW w:w="4320" w:type="dxa"/>
            <w:tcBorders>
              <w:bottom w:val="single" w:sz="4" w:space="0" w:color="auto"/>
            </w:tcBorders>
            <w:shd w:val="clear" w:color="auto" w:fill="auto"/>
          </w:tcPr>
          <w:p w14:paraId="0B7E3B55" w14:textId="3297BB44" w:rsidR="00B07764" w:rsidRDefault="000A5E94" w:rsidP="00B07764">
            <w:pPr>
              <w:pStyle w:val="OrderBody"/>
              <w:keepNext/>
              <w:keepLines/>
            </w:pPr>
            <w:r>
              <w:t>/s/ Adam J. Teitzman</w:t>
            </w:r>
            <w:bookmarkStart w:id="10" w:name="_GoBack"/>
            <w:bookmarkEnd w:id="10"/>
          </w:p>
        </w:tc>
      </w:tr>
      <w:bookmarkEnd w:id="9"/>
      <w:tr w:rsidR="00B07764" w14:paraId="3B320833" w14:textId="77777777" w:rsidTr="00B07764">
        <w:tc>
          <w:tcPr>
            <w:tcW w:w="720" w:type="dxa"/>
            <w:shd w:val="clear" w:color="auto" w:fill="auto"/>
          </w:tcPr>
          <w:p w14:paraId="76027EF8" w14:textId="77777777" w:rsidR="00B07764" w:rsidRDefault="00B07764" w:rsidP="00B07764">
            <w:pPr>
              <w:pStyle w:val="OrderBody"/>
              <w:keepNext/>
              <w:keepLines/>
            </w:pPr>
          </w:p>
        </w:tc>
        <w:tc>
          <w:tcPr>
            <w:tcW w:w="4320" w:type="dxa"/>
            <w:tcBorders>
              <w:top w:val="single" w:sz="4" w:space="0" w:color="auto"/>
            </w:tcBorders>
            <w:shd w:val="clear" w:color="auto" w:fill="auto"/>
          </w:tcPr>
          <w:p w14:paraId="58CDF072" w14:textId="77777777" w:rsidR="00B07764" w:rsidRDefault="00B07764" w:rsidP="00B07764">
            <w:pPr>
              <w:pStyle w:val="OrderBody"/>
              <w:keepNext/>
              <w:keepLines/>
            </w:pPr>
            <w:r>
              <w:t>ADAM J. TEITZMAN</w:t>
            </w:r>
          </w:p>
          <w:p w14:paraId="6F8E2518" w14:textId="77777777" w:rsidR="00B07764" w:rsidRDefault="00B07764" w:rsidP="00B07764">
            <w:pPr>
              <w:pStyle w:val="OrderBody"/>
              <w:keepNext/>
              <w:keepLines/>
            </w:pPr>
            <w:r>
              <w:t>Commission Clerk</w:t>
            </w:r>
          </w:p>
        </w:tc>
      </w:tr>
    </w:tbl>
    <w:p w14:paraId="09715762" w14:textId="77777777" w:rsidR="00B07764" w:rsidRDefault="00B07764" w:rsidP="00B07764">
      <w:pPr>
        <w:pStyle w:val="OrderSigInfo"/>
        <w:keepNext/>
        <w:keepLines/>
      </w:pPr>
      <w:r>
        <w:t>Florida Public Service Commission</w:t>
      </w:r>
    </w:p>
    <w:p w14:paraId="5C320FAF" w14:textId="77777777" w:rsidR="00B07764" w:rsidRDefault="00B07764" w:rsidP="00B07764">
      <w:pPr>
        <w:pStyle w:val="OrderSigInfo"/>
        <w:keepNext/>
        <w:keepLines/>
      </w:pPr>
      <w:r>
        <w:t>2540 Shumard Oak Boulevard</w:t>
      </w:r>
    </w:p>
    <w:p w14:paraId="0790988D" w14:textId="77777777" w:rsidR="00B07764" w:rsidRDefault="00B07764" w:rsidP="00B07764">
      <w:pPr>
        <w:pStyle w:val="OrderSigInfo"/>
        <w:keepNext/>
        <w:keepLines/>
      </w:pPr>
      <w:r>
        <w:t>Tallahassee, Florida 32399</w:t>
      </w:r>
    </w:p>
    <w:p w14:paraId="513902E2" w14:textId="77777777" w:rsidR="00B07764" w:rsidRDefault="00B07764" w:rsidP="00B07764">
      <w:pPr>
        <w:pStyle w:val="OrderSigInfo"/>
        <w:keepNext/>
        <w:keepLines/>
      </w:pPr>
      <w:r>
        <w:t>(850) 413</w:t>
      </w:r>
      <w:r>
        <w:noBreakHyphen/>
        <w:t>6770</w:t>
      </w:r>
    </w:p>
    <w:p w14:paraId="133071A5" w14:textId="77777777" w:rsidR="00B07764" w:rsidRDefault="00B07764" w:rsidP="00B07764">
      <w:pPr>
        <w:pStyle w:val="OrderSigInfo"/>
        <w:keepNext/>
        <w:keepLines/>
      </w:pPr>
      <w:r>
        <w:t>www.floridapsc.com</w:t>
      </w:r>
    </w:p>
    <w:p w14:paraId="44847CBD" w14:textId="77777777" w:rsidR="00B07764" w:rsidRDefault="00B07764" w:rsidP="00B07764">
      <w:pPr>
        <w:pStyle w:val="OrderSigInfo"/>
        <w:keepNext/>
        <w:keepLines/>
      </w:pPr>
    </w:p>
    <w:p w14:paraId="29B24889" w14:textId="77777777" w:rsidR="00B07764" w:rsidRDefault="00B07764" w:rsidP="00B07764">
      <w:pPr>
        <w:pStyle w:val="OrderSigInfo"/>
        <w:keepNext/>
        <w:keepLines/>
      </w:pPr>
      <w:r>
        <w:t>Copies furnished:  A copy of this document is provided to the parties of record at the time of issuance and, if applicable, interested persons.</w:t>
      </w:r>
    </w:p>
    <w:p w14:paraId="37957C7F" w14:textId="77777777" w:rsidR="00B07764" w:rsidRDefault="00B07764" w:rsidP="00B07764">
      <w:pPr>
        <w:pStyle w:val="OrderBody"/>
        <w:keepNext/>
        <w:keepLines/>
      </w:pPr>
    </w:p>
    <w:p w14:paraId="7CD5EDF9" w14:textId="77777777" w:rsidR="00B07764" w:rsidRDefault="00B07764" w:rsidP="00B07764">
      <w:pPr>
        <w:pStyle w:val="OrderBody"/>
        <w:keepNext/>
        <w:keepLines/>
      </w:pPr>
    </w:p>
    <w:p w14:paraId="3617617E" w14:textId="77777777" w:rsidR="00F57691" w:rsidRDefault="00B07764" w:rsidP="00B07764">
      <w:pPr>
        <w:pStyle w:val="OrderBody"/>
        <w:keepNext/>
        <w:keepLines/>
      </w:pPr>
      <w:r>
        <w:t>SPS</w:t>
      </w:r>
    </w:p>
    <w:p w14:paraId="3A03F850" w14:textId="481B2537" w:rsidR="00F57691" w:rsidRDefault="00F57691"/>
    <w:p w14:paraId="546F7B68" w14:textId="5830279B" w:rsidR="002D3368" w:rsidRDefault="002D3368"/>
    <w:p w14:paraId="4A6C48E3" w14:textId="2343E587" w:rsidR="002D3368" w:rsidRDefault="002D3368"/>
    <w:p w14:paraId="7EC93D30" w14:textId="21C54E6E" w:rsidR="002D3368" w:rsidRDefault="002D3368"/>
    <w:p w14:paraId="295EA50F" w14:textId="37F8135A" w:rsidR="002D3368" w:rsidRDefault="002D3368"/>
    <w:p w14:paraId="430B3AFD" w14:textId="77777777" w:rsidR="000A5E94" w:rsidRDefault="000A5E94"/>
    <w:p w14:paraId="74D52D16" w14:textId="38B25992" w:rsidR="002D3368" w:rsidRDefault="002D3368"/>
    <w:p w14:paraId="2D22F608" w14:textId="77777777" w:rsidR="001227E5" w:rsidRDefault="001227E5"/>
    <w:p w14:paraId="14923CB1" w14:textId="52DC1011" w:rsidR="002D3368" w:rsidRDefault="002D3368"/>
    <w:p w14:paraId="5F613F4E" w14:textId="7FA76FF6" w:rsidR="002D3368" w:rsidRDefault="002D3368"/>
    <w:p w14:paraId="557F1F69" w14:textId="474873FD" w:rsidR="002D3368" w:rsidRDefault="002D3368"/>
    <w:p w14:paraId="41969158" w14:textId="682DC52E" w:rsidR="002D3368" w:rsidRDefault="002D3368"/>
    <w:p w14:paraId="3EF2523F" w14:textId="24F9DA72" w:rsidR="002D3368" w:rsidRDefault="002D3368"/>
    <w:p w14:paraId="203E09CE" w14:textId="77777777" w:rsidR="002D3368" w:rsidRDefault="002D3368"/>
    <w:p w14:paraId="4559F139" w14:textId="77777777" w:rsidR="000A474B" w:rsidRDefault="000A474B" w:rsidP="000A474B">
      <w:pPr>
        <w:pStyle w:val="CenterUnderline"/>
      </w:pPr>
      <w:r>
        <w:t>NOTICE OF FURTHER PROCEEDINGS OR JUDICIAL REVIEW</w:t>
      </w:r>
    </w:p>
    <w:p w14:paraId="26880195" w14:textId="77777777" w:rsidR="00B07764" w:rsidRDefault="00B07764" w:rsidP="000A474B">
      <w:pPr>
        <w:pStyle w:val="CenterUnderline"/>
      </w:pPr>
    </w:p>
    <w:p w14:paraId="4AB17DDB" w14:textId="77777777" w:rsidR="000A474B" w:rsidRDefault="000A474B" w:rsidP="000A474B">
      <w:pPr>
        <w:pStyle w:val="OrderBody"/>
      </w:pPr>
    </w:p>
    <w:p w14:paraId="16361467" w14:textId="77777777" w:rsidR="000A474B" w:rsidRDefault="000A474B" w:rsidP="000A474B">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14:paraId="33B95EBA" w14:textId="77777777" w:rsidR="000A474B" w:rsidRDefault="000A474B" w:rsidP="000A474B">
      <w:pPr>
        <w:pStyle w:val="OrderBody"/>
      </w:pPr>
    </w:p>
    <w:p w14:paraId="6973DEF5" w14:textId="77777777" w:rsidR="000A474B" w:rsidRDefault="000A474B" w:rsidP="000A474B">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14:paraId="1D3D5198" w14:textId="77777777" w:rsidR="000A474B" w:rsidRDefault="000A474B" w:rsidP="000A474B">
      <w:pPr>
        <w:pStyle w:val="OrderBody"/>
      </w:pPr>
    </w:p>
    <w:p w14:paraId="23D09E31" w14:textId="77777777" w:rsidR="008641F2" w:rsidRDefault="008641F2" w:rsidP="000A474B">
      <w:pPr>
        <w:pStyle w:val="OrderBody"/>
        <w:sectPr w:rsidR="008641F2" w:rsidSect="003614B0">
          <w:headerReference w:type="even" r:id="rId12"/>
          <w:headerReference w:type="default" r:id="rId13"/>
          <w:footerReference w:type="even" r:id="rId14"/>
          <w:footerReference w:type="default" r:id="rId15"/>
          <w:headerReference w:type="first" r:id="rId16"/>
          <w:footerReference w:type="first" r:id="rId17"/>
          <w:pgSz w:w="12240" w:h="15840" w:code="1"/>
          <w:pgMar w:top="1440" w:right="1440" w:bottom="1440" w:left="1440" w:header="720" w:footer="720" w:gutter="0"/>
          <w:cols w:space="720"/>
          <w:titlePg/>
          <w:docGrid w:linePitch="360"/>
        </w:sectPr>
      </w:pPr>
    </w:p>
    <w:p w14:paraId="546FFFF8" w14:textId="1E67EA3D" w:rsidR="000A474B" w:rsidRDefault="001227E5" w:rsidP="000A474B">
      <w:pPr>
        <w:pStyle w:val="OrderBody"/>
      </w:pPr>
      <w:r>
        <w:pict w14:anchorId="7E152C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05pt;height:604.8pt">
            <v:imagedata r:id="rId18" o:title="12919-2021 FO_Page_01"/>
          </v:shape>
        </w:pict>
      </w:r>
    </w:p>
    <w:p w14:paraId="0B1BD2CE" w14:textId="77777777" w:rsidR="008641F2" w:rsidRDefault="008641F2" w:rsidP="000A474B">
      <w:pPr>
        <w:pStyle w:val="OrderBody"/>
        <w:sectPr w:rsidR="008641F2" w:rsidSect="003614B0">
          <w:headerReference w:type="first" r:id="rId19"/>
          <w:pgSz w:w="12240" w:h="15840" w:code="1"/>
          <w:pgMar w:top="1440" w:right="1440" w:bottom="1440" w:left="1440" w:header="720" w:footer="720" w:gutter="0"/>
          <w:cols w:space="720"/>
          <w:titlePg/>
          <w:docGrid w:linePitch="360"/>
        </w:sectPr>
      </w:pPr>
    </w:p>
    <w:p w14:paraId="1391D9F1" w14:textId="125BC048" w:rsidR="008641F2" w:rsidRDefault="001227E5" w:rsidP="000A474B">
      <w:pPr>
        <w:pStyle w:val="OrderBody"/>
      </w:pPr>
      <w:r>
        <w:pict w14:anchorId="72982145">
          <v:shape id="_x0000_i1026" type="#_x0000_t75" style="width:467.05pt;height:604.8pt">
            <v:imagedata r:id="rId20" o:title="12919-2021 FO_Page_02"/>
          </v:shape>
        </w:pict>
      </w:r>
    </w:p>
    <w:p w14:paraId="6CC42763" w14:textId="77777777" w:rsidR="008641F2" w:rsidRDefault="008641F2" w:rsidP="000A474B">
      <w:pPr>
        <w:pStyle w:val="OrderBody"/>
        <w:sectPr w:rsidR="008641F2" w:rsidSect="003614B0">
          <w:headerReference w:type="first" r:id="rId21"/>
          <w:pgSz w:w="12240" w:h="15840" w:code="1"/>
          <w:pgMar w:top="1440" w:right="1440" w:bottom="1440" w:left="1440" w:header="720" w:footer="720" w:gutter="0"/>
          <w:cols w:space="720"/>
          <w:titlePg/>
          <w:docGrid w:linePitch="360"/>
        </w:sectPr>
      </w:pPr>
    </w:p>
    <w:p w14:paraId="64EC3BD5" w14:textId="04373AA0" w:rsidR="008641F2" w:rsidRDefault="001227E5" w:rsidP="000A474B">
      <w:pPr>
        <w:pStyle w:val="OrderBody"/>
      </w:pPr>
      <w:r>
        <w:pict w14:anchorId="5B63FE93">
          <v:shape id="_x0000_i1027" type="#_x0000_t75" style="width:467.05pt;height:604.8pt">
            <v:imagedata r:id="rId22" o:title="12919-2021 FO_Page_03"/>
          </v:shape>
        </w:pict>
      </w:r>
    </w:p>
    <w:p w14:paraId="70C035F0" w14:textId="77777777" w:rsidR="008641F2" w:rsidRDefault="008641F2" w:rsidP="000A474B">
      <w:pPr>
        <w:pStyle w:val="OrderBody"/>
        <w:sectPr w:rsidR="008641F2" w:rsidSect="003614B0">
          <w:headerReference w:type="first" r:id="rId23"/>
          <w:pgSz w:w="12240" w:h="15840" w:code="1"/>
          <w:pgMar w:top="1440" w:right="1440" w:bottom="1440" w:left="1440" w:header="720" w:footer="720" w:gutter="0"/>
          <w:cols w:space="720"/>
          <w:titlePg/>
          <w:docGrid w:linePitch="360"/>
        </w:sectPr>
      </w:pPr>
    </w:p>
    <w:p w14:paraId="55D0BF73" w14:textId="57F574A7" w:rsidR="008641F2" w:rsidRDefault="001227E5" w:rsidP="000A474B">
      <w:pPr>
        <w:pStyle w:val="OrderBody"/>
      </w:pPr>
      <w:r>
        <w:pict w14:anchorId="480FC3D1">
          <v:shape id="_x0000_i1028" type="#_x0000_t75" style="width:467.05pt;height:604.8pt">
            <v:imagedata r:id="rId24" o:title="12919-2021 FO_Page_04"/>
          </v:shape>
        </w:pict>
      </w:r>
    </w:p>
    <w:p w14:paraId="78557A64" w14:textId="77777777" w:rsidR="008641F2" w:rsidRDefault="008641F2" w:rsidP="000A474B">
      <w:pPr>
        <w:pStyle w:val="OrderBody"/>
        <w:sectPr w:rsidR="008641F2" w:rsidSect="003614B0">
          <w:headerReference w:type="first" r:id="rId25"/>
          <w:pgSz w:w="12240" w:h="15840" w:code="1"/>
          <w:pgMar w:top="1440" w:right="1440" w:bottom="1440" w:left="1440" w:header="720" w:footer="720" w:gutter="0"/>
          <w:cols w:space="720"/>
          <w:titlePg/>
          <w:docGrid w:linePitch="360"/>
        </w:sectPr>
      </w:pPr>
    </w:p>
    <w:p w14:paraId="7E890ACC" w14:textId="02C2D14A" w:rsidR="008641F2" w:rsidRDefault="001227E5" w:rsidP="000A474B">
      <w:pPr>
        <w:pStyle w:val="OrderBody"/>
      </w:pPr>
      <w:r>
        <w:pict w14:anchorId="534F1B31">
          <v:shape id="_x0000_i1029" type="#_x0000_t75" style="width:467.05pt;height:604.8pt">
            <v:imagedata r:id="rId26" o:title="12919-2021 FO_Page_05"/>
          </v:shape>
        </w:pict>
      </w:r>
    </w:p>
    <w:p w14:paraId="537238A5" w14:textId="77777777" w:rsidR="008641F2" w:rsidRDefault="008641F2" w:rsidP="000A474B">
      <w:pPr>
        <w:pStyle w:val="OrderBody"/>
        <w:sectPr w:rsidR="008641F2" w:rsidSect="003614B0">
          <w:headerReference w:type="first" r:id="rId27"/>
          <w:pgSz w:w="12240" w:h="15840" w:code="1"/>
          <w:pgMar w:top="1440" w:right="1440" w:bottom="1440" w:left="1440" w:header="720" w:footer="720" w:gutter="0"/>
          <w:cols w:space="720"/>
          <w:titlePg/>
          <w:docGrid w:linePitch="360"/>
        </w:sectPr>
      </w:pPr>
    </w:p>
    <w:p w14:paraId="06E3BA96" w14:textId="7792AE25" w:rsidR="008641F2" w:rsidRDefault="001227E5" w:rsidP="000A474B">
      <w:pPr>
        <w:pStyle w:val="OrderBody"/>
      </w:pPr>
      <w:r>
        <w:pict w14:anchorId="0E361A17">
          <v:shape id="_x0000_i1030" type="#_x0000_t75" style="width:467.05pt;height:604.8pt">
            <v:imagedata r:id="rId28" o:title="12919-2021 FO_Page_06"/>
          </v:shape>
        </w:pict>
      </w:r>
    </w:p>
    <w:p w14:paraId="590EA54D" w14:textId="77777777" w:rsidR="008641F2" w:rsidRDefault="008641F2" w:rsidP="000A474B">
      <w:pPr>
        <w:pStyle w:val="OrderBody"/>
        <w:sectPr w:rsidR="008641F2" w:rsidSect="003614B0">
          <w:headerReference w:type="first" r:id="rId29"/>
          <w:pgSz w:w="12240" w:h="15840" w:code="1"/>
          <w:pgMar w:top="1440" w:right="1440" w:bottom="1440" w:left="1440" w:header="720" w:footer="720" w:gutter="0"/>
          <w:cols w:space="720"/>
          <w:titlePg/>
          <w:docGrid w:linePitch="360"/>
        </w:sectPr>
      </w:pPr>
    </w:p>
    <w:p w14:paraId="512FB129" w14:textId="777EA655" w:rsidR="008641F2" w:rsidRDefault="001227E5" w:rsidP="000A474B">
      <w:pPr>
        <w:pStyle w:val="OrderBody"/>
      </w:pPr>
      <w:r>
        <w:pict w14:anchorId="1B4D0924">
          <v:shape id="_x0000_i1031" type="#_x0000_t75" style="width:467.05pt;height:604.8pt">
            <v:imagedata r:id="rId30" o:title="12919-2021 FO_Page_07"/>
          </v:shape>
        </w:pict>
      </w:r>
    </w:p>
    <w:p w14:paraId="3D492FFA" w14:textId="77777777" w:rsidR="008641F2" w:rsidRDefault="008641F2" w:rsidP="000A474B">
      <w:pPr>
        <w:pStyle w:val="OrderBody"/>
        <w:sectPr w:rsidR="008641F2" w:rsidSect="003614B0">
          <w:headerReference w:type="first" r:id="rId31"/>
          <w:pgSz w:w="12240" w:h="15840" w:code="1"/>
          <w:pgMar w:top="1440" w:right="1440" w:bottom="1440" w:left="1440" w:header="720" w:footer="720" w:gutter="0"/>
          <w:cols w:space="720"/>
          <w:titlePg/>
          <w:docGrid w:linePitch="360"/>
        </w:sectPr>
      </w:pPr>
    </w:p>
    <w:p w14:paraId="50BFF86C" w14:textId="05985F4F" w:rsidR="008641F2" w:rsidRDefault="001227E5" w:rsidP="000A474B">
      <w:pPr>
        <w:pStyle w:val="OrderBody"/>
      </w:pPr>
      <w:r>
        <w:pict w14:anchorId="0F919A9A">
          <v:shape id="_x0000_i1032" type="#_x0000_t75" style="width:467.05pt;height:604.8pt">
            <v:imagedata r:id="rId32" o:title="12919-2021 FO_Page_08"/>
          </v:shape>
        </w:pict>
      </w:r>
    </w:p>
    <w:p w14:paraId="01544815" w14:textId="77777777" w:rsidR="008641F2" w:rsidRDefault="008641F2" w:rsidP="000A474B">
      <w:pPr>
        <w:pStyle w:val="OrderBody"/>
        <w:sectPr w:rsidR="008641F2" w:rsidSect="003614B0">
          <w:headerReference w:type="first" r:id="rId33"/>
          <w:pgSz w:w="12240" w:h="15840" w:code="1"/>
          <w:pgMar w:top="1440" w:right="1440" w:bottom="1440" w:left="1440" w:header="720" w:footer="720" w:gutter="0"/>
          <w:cols w:space="720"/>
          <w:titlePg/>
          <w:docGrid w:linePitch="360"/>
        </w:sectPr>
      </w:pPr>
    </w:p>
    <w:p w14:paraId="418CFF04" w14:textId="0B455A41" w:rsidR="008641F2" w:rsidRDefault="001227E5" w:rsidP="000A474B">
      <w:pPr>
        <w:pStyle w:val="OrderBody"/>
      </w:pPr>
      <w:r>
        <w:pict w14:anchorId="3E7A6D5A">
          <v:shape id="_x0000_i1033" type="#_x0000_t75" style="width:467.05pt;height:604.8pt">
            <v:imagedata r:id="rId34" o:title="12919-2021 FO_Page_09"/>
          </v:shape>
        </w:pict>
      </w:r>
    </w:p>
    <w:p w14:paraId="55597BBF" w14:textId="77777777" w:rsidR="008641F2" w:rsidRDefault="008641F2" w:rsidP="000A474B">
      <w:pPr>
        <w:pStyle w:val="OrderBody"/>
        <w:sectPr w:rsidR="008641F2" w:rsidSect="003614B0">
          <w:headerReference w:type="first" r:id="rId35"/>
          <w:pgSz w:w="12240" w:h="15840" w:code="1"/>
          <w:pgMar w:top="1440" w:right="1440" w:bottom="1440" w:left="1440" w:header="720" w:footer="720" w:gutter="0"/>
          <w:cols w:space="720"/>
          <w:titlePg/>
          <w:docGrid w:linePitch="360"/>
        </w:sectPr>
      </w:pPr>
    </w:p>
    <w:p w14:paraId="7EA41C31" w14:textId="2BECA4AA" w:rsidR="008641F2" w:rsidRDefault="001227E5" w:rsidP="000A474B">
      <w:pPr>
        <w:pStyle w:val="OrderBody"/>
      </w:pPr>
      <w:r>
        <w:pict w14:anchorId="7C23BA4D">
          <v:shape id="_x0000_i1034" type="#_x0000_t75" style="width:467.05pt;height:604.8pt">
            <v:imagedata r:id="rId36" o:title="12919-2021 FO_Page_10"/>
          </v:shape>
        </w:pict>
      </w:r>
    </w:p>
    <w:p w14:paraId="41C6D1FF" w14:textId="77777777" w:rsidR="008641F2" w:rsidRDefault="008641F2" w:rsidP="000A474B">
      <w:pPr>
        <w:pStyle w:val="OrderBody"/>
        <w:sectPr w:rsidR="008641F2" w:rsidSect="003614B0">
          <w:headerReference w:type="first" r:id="rId37"/>
          <w:pgSz w:w="12240" w:h="15840" w:code="1"/>
          <w:pgMar w:top="1440" w:right="1440" w:bottom="1440" w:left="1440" w:header="720" w:footer="720" w:gutter="0"/>
          <w:cols w:space="720"/>
          <w:titlePg/>
          <w:docGrid w:linePitch="360"/>
        </w:sectPr>
      </w:pPr>
    </w:p>
    <w:p w14:paraId="3075CA3A" w14:textId="3B6812AB" w:rsidR="008641F2" w:rsidRDefault="001227E5" w:rsidP="000A474B">
      <w:pPr>
        <w:pStyle w:val="OrderBody"/>
      </w:pPr>
      <w:r>
        <w:pict w14:anchorId="51070D59">
          <v:shape id="_x0000_i1035" type="#_x0000_t75" style="width:467.05pt;height:604.8pt">
            <v:imagedata r:id="rId38" o:title="12919-2021 FO_Page_11"/>
          </v:shape>
        </w:pict>
      </w:r>
    </w:p>
    <w:p w14:paraId="4B6ECD51" w14:textId="77777777" w:rsidR="008641F2" w:rsidRDefault="008641F2" w:rsidP="000A474B">
      <w:pPr>
        <w:pStyle w:val="OrderBody"/>
        <w:sectPr w:rsidR="008641F2" w:rsidSect="003614B0">
          <w:headerReference w:type="first" r:id="rId39"/>
          <w:pgSz w:w="12240" w:h="15840" w:code="1"/>
          <w:pgMar w:top="1440" w:right="1440" w:bottom="1440" w:left="1440" w:header="720" w:footer="720" w:gutter="0"/>
          <w:cols w:space="720"/>
          <w:titlePg/>
          <w:docGrid w:linePitch="360"/>
        </w:sectPr>
      </w:pPr>
    </w:p>
    <w:p w14:paraId="22A0EE88" w14:textId="1CF486F4" w:rsidR="008641F2" w:rsidRDefault="001227E5" w:rsidP="000A474B">
      <w:pPr>
        <w:pStyle w:val="OrderBody"/>
      </w:pPr>
      <w:r>
        <w:pict w14:anchorId="0BA1A5A1">
          <v:shape id="_x0000_i1036" type="#_x0000_t75" style="width:467.05pt;height:604.8pt">
            <v:imagedata r:id="rId40" o:title="12919-2021 FO_Page_12"/>
          </v:shape>
        </w:pict>
      </w:r>
    </w:p>
    <w:p w14:paraId="3DFCFA3C" w14:textId="77777777" w:rsidR="008641F2" w:rsidRDefault="008641F2" w:rsidP="000A474B">
      <w:pPr>
        <w:pStyle w:val="OrderBody"/>
        <w:sectPr w:rsidR="008641F2" w:rsidSect="003614B0">
          <w:headerReference w:type="first" r:id="rId41"/>
          <w:pgSz w:w="12240" w:h="15840" w:code="1"/>
          <w:pgMar w:top="1440" w:right="1440" w:bottom="1440" w:left="1440" w:header="720" w:footer="720" w:gutter="0"/>
          <w:cols w:space="720"/>
          <w:titlePg/>
          <w:docGrid w:linePitch="360"/>
        </w:sectPr>
      </w:pPr>
    </w:p>
    <w:p w14:paraId="6BE9FFE7" w14:textId="07255020" w:rsidR="008641F2" w:rsidRDefault="001227E5" w:rsidP="000A474B">
      <w:pPr>
        <w:pStyle w:val="OrderBody"/>
      </w:pPr>
      <w:r>
        <w:pict w14:anchorId="646D48C6">
          <v:shape id="_x0000_i1037" type="#_x0000_t75" style="width:467.05pt;height:604.8pt">
            <v:imagedata r:id="rId42" o:title="12919-2021 FO_Page_13"/>
          </v:shape>
        </w:pict>
      </w:r>
    </w:p>
    <w:p w14:paraId="08496F1E" w14:textId="77777777" w:rsidR="008641F2" w:rsidRDefault="008641F2" w:rsidP="000A474B">
      <w:pPr>
        <w:pStyle w:val="OrderBody"/>
        <w:sectPr w:rsidR="008641F2" w:rsidSect="003614B0">
          <w:headerReference w:type="first" r:id="rId43"/>
          <w:pgSz w:w="12240" w:h="15840" w:code="1"/>
          <w:pgMar w:top="1440" w:right="1440" w:bottom="1440" w:left="1440" w:header="720" w:footer="720" w:gutter="0"/>
          <w:cols w:space="720"/>
          <w:titlePg/>
          <w:docGrid w:linePitch="360"/>
        </w:sectPr>
      </w:pPr>
    </w:p>
    <w:p w14:paraId="3D7F9698" w14:textId="729C9D30" w:rsidR="008641F2" w:rsidRDefault="001227E5" w:rsidP="000A474B">
      <w:pPr>
        <w:pStyle w:val="OrderBody"/>
      </w:pPr>
      <w:r>
        <w:pict w14:anchorId="13B8F713">
          <v:shape id="_x0000_i1038" type="#_x0000_t75" style="width:467.05pt;height:604.8pt">
            <v:imagedata r:id="rId44" o:title="12919-2021 FO_Page_14"/>
          </v:shape>
        </w:pict>
      </w:r>
    </w:p>
    <w:p w14:paraId="6EEE063F" w14:textId="77777777" w:rsidR="008641F2" w:rsidRDefault="008641F2" w:rsidP="000A474B">
      <w:pPr>
        <w:pStyle w:val="OrderBody"/>
        <w:sectPr w:rsidR="008641F2" w:rsidSect="003614B0">
          <w:headerReference w:type="first" r:id="rId45"/>
          <w:pgSz w:w="12240" w:h="15840" w:code="1"/>
          <w:pgMar w:top="1440" w:right="1440" w:bottom="1440" w:left="1440" w:header="720" w:footer="720" w:gutter="0"/>
          <w:cols w:space="720"/>
          <w:titlePg/>
          <w:docGrid w:linePitch="360"/>
        </w:sectPr>
      </w:pPr>
    </w:p>
    <w:p w14:paraId="7D4723B5" w14:textId="05C484A7" w:rsidR="008641F2" w:rsidRDefault="001227E5" w:rsidP="000A474B">
      <w:pPr>
        <w:pStyle w:val="OrderBody"/>
      </w:pPr>
      <w:r>
        <w:pict w14:anchorId="7FD956A5">
          <v:shape id="_x0000_i1039" type="#_x0000_t75" style="width:467.05pt;height:604.8pt">
            <v:imagedata r:id="rId46" o:title="12919-2021 FO_Page_15"/>
          </v:shape>
        </w:pict>
      </w:r>
    </w:p>
    <w:p w14:paraId="048CBDDC" w14:textId="77777777" w:rsidR="008641F2" w:rsidRDefault="008641F2" w:rsidP="000A474B">
      <w:pPr>
        <w:pStyle w:val="OrderBody"/>
        <w:sectPr w:rsidR="008641F2" w:rsidSect="003614B0">
          <w:headerReference w:type="first" r:id="rId47"/>
          <w:pgSz w:w="12240" w:h="15840" w:code="1"/>
          <w:pgMar w:top="1440" w:right="1440" w:bottom="1440" w:left="1440" w:header="720" w:footer="720" w:gutter="0"/>
          <w:cols w:space="720"/>
          <w:titlePg/>
          <w:docGrid w:linePitch="360"/>
        </w:sectPr>
      </w:pPr>
    </w:p>
    <w:p w14:paraId="5F21A5D3" w14:textId="6C512A15" w:rsidR="008641F2" w:rsidRDefault="001227E5" w:rsidP="000A474B">
      <w:pPr>
        <w:pStyle w:val="OrderBody"/>
      </w:pPr>
      <w:r>
        <w:pict w14:anchorId="4050971E">
          <v:shape id="_x0000_i1040" type="#_x0000_t75" style="width:467.05pt;height:604.8pt">
            <v:imagedata r:id="rId48" o:title="12919-2021 FO_Page_16"/>
          </v:shape>
        </w:pict>
      </w:r>
    </w:p>
    <w:p w14:paraId="751F6056" w14:textId="77777777" w:rsidR="008641F2" w:rsidRDefault="008641F2" w:rsidP="000A474B">
      <w:pPr>
        <w:pStyle w:val="OrderBody"/>
        <w:sectPr w:rsidR="008641F2" w:rsidSect="003614B0">
          <w:headerReference w:type="first" r:id="rId49"/>
          <w:pgSz w:w="12240" w:h="15840" w:code="1"/>
          <w:pgMar w:top="1440" w:right="1440" w:bottom="1440" w:left="1440" w:header="720" w:footer="720" w:gutter="0"/>
          <w:cols w:space="720"/>
          <w:titlePg/>
          <w:docGrid w:linePitch="360"/>
        </w:sectPr>
      </w:pPr>
    </w:p>
    <w:p w14:paraId="00C85E05" w14:textId="387EE553" w:rsidR="008641F2" w:rsidRDefault="001227E5" w:rsidP="000A474B">
      <w:pPr>
        <w:pStyle w:val="OrderBody"/>
      </w:pPr>
      <w:r>
        <w:pict w14:anchorId="240E2B21">
          <v:shape id="_x0000_i1041" type="#_x0000_t75" style="width:467.05pt;height:604.8pt">
            <v:imagedata r:id="rId50" o:title="12919-2021 FO_Page_17"/>
          </v:shape>
        </w:pict>
      </w:r>
    </w:p>
    <w:p w14:paraId="01D8FAD6" w14:textId="77777777" w:rsidR="008641F2" w:rsidRDefault="008641F2" w:rsidP="000A474B">
      <w:pPr>
        <w:pStyle w:val="OrderBody"/>
        <w:sectPr w:rsidR="008641F2" w:rsidSect="003614B0">
          <w:headerReference w:type="first" r:id="rId51"/>
          <w:pgSz w:w="12240" w:h="15840" w:code="1"/>
          <w:pgMar w:top="1440" w:right="1440" w:bottom="1440" w:left="1440" w:header="720" w:footer="720" w:gutter="0"/>
          <w:cols w:space="720"/>
          <w:titlePg/>
          <w:docGrid w:linePitch="360"/>
        </w:sectPr>
      </w:pPr>
    </w:p>
    <w:p w14:paraId="77307944" w14:textId="7978B523" w:rsidR="008641F2" w:rsidRDefault="001227E5" w:rsidP="000A474B">
      <w:pPr>
        <w:pStyle w:val="OrderBody"/>
      </w:pPr>
      <w:r>
        <w:pict w14:anchorId="0ABD407B">
          <v:shape id="_x0000_i1042" type="#_x0000_t75" style="width:467.05pt;height:604.8pt">
            <v:imagedata r:id="rId52" o:title="12919-2021 FO_Page_18"/>
          </v:shape>
        </w:pict>
      </w:r>
    </w:p>
    <w:p w14:paraId="1FCF033E" w14:textId="77777777" w:rsidR="008641F2" w:rsidRDefault="008641F2" w:rsidP="000A474B">
      <w:pPr>
        <w:pStyle w:val="OrderBody"/>
        <w:sectPr w:rsidR="008641F2" w:rsidSect="003614B0">
          <w:headerReference w:type="first" r:id="rId53"/>
          <w:pgSz w:w="12240" w:h="15840" w:code="1"/>
          <w:pgMar w:top="1440" w:right="1440" w:bottom="1440" w:left="1440" w:header="720" w:footer="720" w:gutter="0"/>
          <w:cols w:space="720"/>
          <w:titlePg/>
          <w:docGrid w:linePitch="360"/>
        </w:sectPr>
      </w:pPr>
    </w:p>
    <w:p w14:paraId="26CA0145" w14:textId="06CDE8CD" w:rsidR="008641F2" w:rsidRDefault="001227E5" w:rsidP="000A474B">
      <w:pPr>
        <w:pStyle w:val="OrderBody"/>
      </w:pPr>
      <w:r>
        <w:pict w14:anchorId="6E79740F">
          <v:shape id="_x0000_i1043" type="#_x0000_t75" style="width:467.05pt;height:604.8pt">
            <v:imagedata r:id="rId54" o:title="12919-2021 FO_Page_19"/>
          </v:shape>
        </w:pict>
      </w:r>
    </w:p>
    <w:p w14:paraId="77150441" w14:textId="77777777" w:rsidR="008641F2" w:rsidRDefault="008641F2" w:rsidP="000A474B">
      <w:pPr>
        <w:pStyle w:val="OrderBody"/>
        <w:sectPr w:rsidR="008641F2" w:rsidSect="003614B0">
          <w:headerReference w:type="first" r:id="rId55"/>
          <w:pgSz w:w="12240" w:h="15840" w:code="1"/>
          <w:pgMar w:top="1440" w:right="1440" w:bottom="1440" w:left="1440" w:header="720" w:footer="720" w:gutter="0"/>
          <w:cols w:space="720"/>
          <w:titlePg/>
          <w:docGrid w:linePitch="360"/>
        </w:sectPr>
      </w:pPr>
    </w:p>
    <w:p w14:paraId="2468AF74" w14:textId="0D532849" w:rsidR="008641F2" w:rsidRDefault="001227E5" w:rsidP="000A474B">
      <w:pPr>
        <w:pStyle w:val="OrderBody"/>
      </w:pPr>
      <w:r>
        <w:pict w14:anchorId="0B12643F">
          <v:shape id="_x0000_i1044" type="#_x0000_t75" style="width:467.05pt;height:604.8pt">
            <v:imagedata r:id="rId56" o:title="12919-2021 FO_Page_20"/>
          </v:shape>
        </w:pict>
      </w:r>
    </w:p>
    <w:p w14:paraId="626BA25E" w14:textId="77777777" w:rsidR="008641F2" w:rsidRDefault="008641F2" w:rsidP="000A474B">
      <w:pPr>
        <w:pStyle w:val="OrderBody"/>
        <w:sectPr w:rsidR="008641F2" w:rsidSect="003614B0">
          <w:headerReference w:type="first" r:id="rId57"/>
          <w:pgSz w:w="12240" w:h="15840" w:code="1"/>
          <w:pgMar w:top="1440" w:right="1440" w:bottom="1440" w:left="1440" w:header="720" w:footer="720" w:gutter="0"/>
          <w:cols w:space="720"/>
          <w:titlePg/>
          <w:docGrid w:linePitch="360"/>
        </w:sectPr>
      </w:pPr>
    </w:p>
    <w:p w14:paraId="4A3D40D3" w14:textId="4266B1D1" w:rsidR="008641F2" w:rsidRDefault="001227E5" w:rsidP="000A474B">
      <w:pPr>
        <w:pStyle w:val="OrderBody"/>
      </w:pPr>
      <w:r>
        <w:pict w14:anchorId="1AC7E186">
          <v:shape id="_x0000_i1045" type="#_x0000_t75" style="width:467.05pt;height:604.8pt">
            <v:imagedata r:id="rId58" o:title="12919-2021 FO_Page_21"/>
          </v:shape>
        </w:pict>
      </w:r>
    </w:p>
    <w:p w14:paraId="13854ECC" w14:textId="77777777" w:rsidR="008641F2" w:rsidRDefault="008641F2" w:rsidP="000A474B">
      <w:pPr>
        <w:pStyle w:val="OrderBody"/>
        <w:sectPr w:rsidR="008641F2" w:rsidSect="003614B0">
          <w:headerReference w:type="first" r:id="rId59"/>
          <w:pgSz w:w="12240" w:h="15840" w:code="1"/>
          <w:pgMar w:top="1440" w:right="1440" w:bottom="1440" w:left="1440" w:header="720" w:footer="720" w:gutter="0"/>
          <w:cols w:space="720"/>
          <w:titlePg/>
          <w:docGrid w:linePitch="360"/>
        </w:sectPr>
      </w:pPr>
    </w:p>
    <w:p w14:paraId="78C06E6C" w14:textId="5E1FD359" w:rsidR="008641F2" w:rsidRDefault="001227E5" w:rsidP="000A474B">
      <w:pPr>
        <w:pStyle w:val="OrderBody"/>
      </w:pPr>
      <w:r>
        <w:pict w14:anchorId="0AF0FB1D">
          <v:shape id="_x0000_i1046" type="#_x0000_t75" style="width:467.7pt;height:612.3pt">
            <v:imagedata r:id="rId60" o:title="12919-2021 FO_Page_22"/>
          </v:shape>
        </w:pict>
      </w:r>
    </w:p>
    <w:p w14:paraId="2F0AA135" w14:textId="77777777" w:rsidR="008641F2" w:rsidRDefault="008641F2" w:rsidP="000A474B">
      <w:pPr>
        <w:pStyle w:val="OrderBody"/>
        <w:sectPr w:rsidR="008641F2" w:rsidSect="003614B0">
          <w:headerReference w:type="first" r:id="rId61"/>
          <w:pgSz w:w="12240" w:h="15840" w:code="1"/>
          <w:pgMar w:top="1440" w:right="1440" w:bottom="1440" w:left="1440" w:header="720" w:footer="720" w:gutter="0"/>
          <w:cols w:space="720"/>
          <w:titlePg/>
          <w:docGrid w:linePitch="360"/>
        </w:sectPr>
      </w:pPr>
    </w:p>
    <w:p w14:paraId="05FBF72B" w14:textId="787D61C9" w:rsidR="008641F2" w:rsidRDefault="001227E5" w:rsidP="000A474B">
      <w:pPr>
        <w:pStyle w:val="OrderBody"/>
      </w:pPr>
      <w:r>
        <w:pict w14:anchorId="49BE9870">
          <v:shape id="_x0000_i1047" type="#_x0000_t75" style="width:467.05pt;height:604.8pt">
            <v:imagedata r:id="rId62" o:title="12919-2021 FO_Page_23"/>
          </v:shape>
        </w:pict>
      </w:r>
    </w:p>
    <w:p w14:paraId="08AF0600" w14:textId="77777777" w:rsidR="008641F2" w:rsidRDefault="008641F2" w:rsidP="000A474B">
      <w:pPr>
        <w:pStyle w:val="OrderBody"/>
        <w:sectPr w:rsidR="008641F2" w:rsidSect="003614B0">
          <w:headerReference w:type="first" r:id="rId63"/>
          <w:pgSz w:w="12240" w:h="15840" w:code="1"/>
          <w:pgMar w:top="1440" w:right="1440" w:bottom="1440" w:left="1440" w:header="720" w:footer="720" w:gutter="0"/>
          <w:cols w:space="720"/>
          <w:titlePg/>
          <w:docGrid w:linePitch="360"/>
        </w:sectPr>
      </w:pPr>
    </w:p>
    <w:p w14:paraId="7D1D45BD" w14:textId="20AEF18D" w:rsidR="008641F2" w:rsidRDefault="001227E5" w:rsidP="000A474B">
      <w:pPr>
        <w:pStyle w:val="OrderBody"/>
      </w:pPr>
      <w:r>
        <w:pict w14:anchorId="6DB3DBAF">
          <v:shape id="_x0000_i1048" type="#_x0000_t75" style="width:467.05pt;height:604.8pt">
            <v:imagedata r:id="rId64" o:title="12919-2021 FO_Page_24"/>
          </v:shape>
        </w:pict>
      </w:r>
    </w:p>
    <w:p w14:paraId="6398374D" w14:textId="77777777" w:rsidR="008641F2" w:rsidRDefault="008641F2" w:rsidP="000A474B">
      <w:pPr>
        <w:pStyle w:val="OrderBody"/>
        <w:sectPr w:rsidR="008641F2" w:rsidSect="003614B0">
          <w:headerReference w:type="first" r:id="rId65"/>
          <w:pgSz w:w="12240" w:h="15840" w:code="1"/>
          <w:pgMar w:top="1440" w:right="1440" w:bottom="1440" w:left="1440" w:header="720" w:footer="720" w:gutter="0"/>
          <w:cols w:space="720"/>
          <w:titlePg/>
          <w:docGrid w:linePitch="360"/>
        </w:sectPr>
      </w:pPr>
    </w:p>
    <w:p w14:paraId="72756165" w14:textId="278C965D" w:rsidR="008641F2" w:rsidRDefault="001227E5" w:rsidP="000A474B">
      <w:pPr>
        <w:pStyle w:val="OrderBody"/>
      </w:pPr>
      <w:r>
        <w:pict w14:anchorId="4DF8E384">
          <v:shape id="_x0000_i1049" type="#_x0000_t75" style="width:467.05pt;height:604.8pt">
            <v:imagedata r:id="rId66" o:title="12919-2021 FO_Page_25"/>
          </v:shape>
        </w:pict>
      </w:r>
    </w:p>
    <w:p w14:paraId="163768AD" w14:textId="77777777" w:rsidR="008641F2" w:rsidRDefault="008641F2" w:rsidP="000A474B">
      <w:pPr>
        <w:pStyle w:val="OrderBody"/>
        <w:sectPr w:rsidR="008641F2" w:rsidSect="003614B0">
          <w:headerReference w:type="first" r:id="rId67"/>
          <w:pgSz w:w="12240" w:h="15840" w:code="1"/>
          <w:pgMar w:top="1440" w:right="1440" w:bottom="1440" w:left="1440" w:header="720" w:footer="720" w:gutter="0"/>
          <w:cols w:space="720"/>
          <w:titlePg/>
          <w:docGrid w:linePitch="360"/>
        </w:sectPr>
      </w:pPr>
    </w:p>
    <w:p w14:paraId="5771387D" w14:textId="09697B03" w:rsidR="008641F2" w:rsidRDefault="001227E5" w:rsidP="000A474B">
      <w:pPr>
        <w:pStyle w:val="OrderBody"/>
      </w:pPr>
      <w:r>
        <w:pict w14:anchorId="11C744E2">
          <v:shape id="_x0000_i1050" type="#_x0000_t75" style="width:467.05pt;height:604.8pt">
            <v:imagedata r:id="rId68" o:title="12919-2021 FO_Page_26"/>
          </v:shape>
        </w:pict>
      </w:r>
    </w:p>
    <w:p w14:paraId="6F755BDF" w14:textId="77777777" w:rsidR="008641F2" w:rsidRDefault="008641F2" w:rsidP="000A474B">
      <w:pPr>
        <w:pStyle w:val="OrderBody"/>
        <w:sectPr w:rsidR="008641F2" w:rsidSect="003614B0">
          <w:headerReference w:type="first" r:id="rId69"/>
          <w:pgSz w:w="12240" w:h="15840" w:code="1"/>
          <w:pgMar w:top="1440" w:right="1440" w:bottom="1440" w:left="1440" w:header="720" w:footer="720" w:gutter="0"/>
          <w:cols w:space="720"/>
          <w:titlePg/>
          <w:docGrid w:linePitch="360"/>
        </w:sectPr>
      </w:pPr>
    </w:p>
    <w:p w14:paraId="2EA0DD49" w14:textId="5FC21CE9" w:rsidR="008641F2" w:rsidRDefault="001227E5" w:rsidP="000A474B">
      <w:pPr>
        <w:pStyle w:val="OrderBody"/>
      </w:pPr>
      <w:r>
        <w:pict w14:anchorId="1A4AE0E1">
          <v:shape id="_x0000_i1051" type="#_x0000_t75" style="width:467.05pt;height:604.8pt">
            <v:imagedata r:id="rId70" o:title="12919-2021 FO_Page_27"/>
          </v:shape>
        </w:pict>
      </w:r>
    </w:p>
    <w:p w14:paraId="6DCD4BE8" w14:textId="77777777" w:rsidR="008641F2" w:rsidRDefault="008641F2" w:rsidP="000A474B">
      <w:pPr>
        <w:pStyle w:val="OrderBody"/>
        <w:sectPr w:rsidR="008641F2" w:rsidSect="003614B0">
          <w:headerReference w:type="first" r:id="rId71"/>
          <w:pgSz w:w="12240" w:h="15840" w:code="1"/>
          <w:pgMar w:top="1440" w:right="1440" w:bottom="1440" w:left="1440" w:header="720" w:footer="720" w:gutter="0"/>
          <w:cols w:space="720"/>
          <w:titlePg/>
          <w:docGrid w:linePitch="360"/>
        </w:sectPr>
      </w:pPr>
    </w:p>
    <w:p w14:paraId="34DBF5CE" w14:textId="4C2BC69A" w:rsidR="008641F2" w:rsidRDefault="001227E5" w:rsidP="000A474B">
      <w:pPr>
        <w:pStyle w:val="OrderBody"/>
      </w:pPr>
      <w:r>
        <w:pict w14:anchorId="23C577F6">
          <v:shape id="_x0000_i1052" type="#_x0000_t75" style="width:467.05pt;height:604.8pt">
            <v:imagedata r:id="rId72" o:title="12919-2021 FO_Page_28"/>
          </v:shape>
        </w:pict>
      </w:r>
    </w:p>
    <w:p w14:paraId="120ADF58" w14:textId="77777777" w:rsidR="008641F2" w:rsidRDefault="008641F2" w:rsidP="000A474B">
      <w:pPr>
        <w:pStyle w:val="OrderBody"/>
        <w:sectPr w:rsidR="008641F2" w:rsidSect="003614B0">
          <w:headerReference w:type="first" r:id="rId73"/>
          <w:pgSz w:w="12240" w:h="15840" w:code="1"/>
          <w:pgMar w:top="1440" w:right="1440" w:bottom="1440" w:left="1440" w:header="720" w:footer="720" w:gutter="0"/>
          <w:cols w:space="720"/>
          <w:titlePg/>
          <w:docGrid w:linePitch="360"/>
        </w:sectPr>
      </w:pPr>
    </w:p>
    <w:p w14:paraId="466ED976" w14:textId="20F08FF3" w:rsidR="008641F2" w:rsidRDefault="001227E5" w:rsidP="000A474B">
      <w:pPr>
        <w:pStyle w:val="OrderBody"/>
      </w:pPr>
      <w:r>
        <w:pict w14:anchorId="233B9A7C">
          <v:shape id="_x0000_i1053" type="#_x0000_t75" style="width:467.05pt;height:604.8pt">
            <v:imagedata r:id="rId74" o:title="12919-2021 FO_Page_29"/>
          </v:shape>
        </w:pict>
      </w:r>
    </w:p>
    <w:p w14:paraId="62E39196" w14:textId="77777777" w:rsidR="008641F2" w:rsidRDefault="008641F2" w:rsidP="000A474B">
      <w:pPr>
        <w:pStyle w:val="OrderBody"/>
        <w:sectPr w:rsidR="008641F2" w:rsidSect="003614B0">
          <w:headerReference w:type="first" r:id="rId75"/>
          <w:pgSz w:w="12240" w:h="15840" w:code="1"/>
          <w:pgMar w:top="1440" w:right="1440" w:bottom="1440" w:left="1440" w:header="720" w:footer="720" w:gutter="0"/>
          <w:cols w:space="720"/>
          <w:titlePg/>
          <w:docGrid w:linePitch="360"/>
        </w:sectPr>
      </w:pPr>
    </w:p>
    <w:p w14:paraId="47CF170C" w14:textId="3998C6BE" w:rsidR="008641F2" w:rsidRDefault="001227E5" w:rsidP="000A474B">
      <w:pPr>
        <w:pStyle w:val="OrderBody"/>
      </w:pPr>
      <w:r>
        <w:pict w14:anchorId="18EB97FB">
          <v:shape id="_x0000_i1054" type="#_x0000_t75" style="width:467.05pt;height:604.8pt">
            <v:imagedata r:id="rId76" o:title="12919-2021 FO_Page_30"/>
          </v:shape>
        </w:pict>
      </w:r>
    </w:p>
    <w:p w14:paraId="166D611C" w14:textId="77777777" w:rsidR="008641F2" w:rsidRDefault="008641F2" w:rsidP="000A474B">
      <w:pPr>
        <w:pStyle w:val="OrderBody"/>
        <w:sectPr w:rsidR="008641F2" w:rsidSect="003614B0">
          <w:headerReference w:type="first" r:id="rId77"/>
          <w:pgSz w:w="12240" w:h="15840" w:code="1"/>
          <w:pgMar w:top="1440" w:right="1440" w:bottom="1440" w:left="1440" w:header="720" w:footer="720" w:gutter="0"/>
          <w:cols w:space="720"/>
          <w:titlePg/>
          <w:docGrid w:linePitch="360"/>
        </w:sectPr>
      </w:pPr>
    </w:p>
    <w:p w14:paraId="350D3FAA" w14:textId="4D793845" w:rsidR="008641F2" w:rsidRDefault="001227E5" w:rsidP="000A474B">
      <w:pPr>
        <w:pStyle w:val="OrderBody"/>
      </w:pPr>
      <w:r>
        <w:pict w14:anchorId="07842806">
          <v:shape id="_x0000_i1055" type="#_x0000_t75" style="width:467.05pt;height:604.8pt">
            <v:imagedata r:id="rId78" o:title="12919-2021 FO_Page_31"/>
          </v:shape>
        </w:pict>
      </w:r>
    </w:p>
    <w:p w14:paraId="274F2E67" w14:textId="77777777" w:rsidR="008641F2" w:rsidRDefault="008641F2" w:rsidP="000A474B">
      <w:pPr>
        <w:pStyle w:val="OrderBody"/>
        <w:sectPr w:rsidR="008641F2" w:rsidSect="003614B0">
          <w:headerReference w:type="first" r:id="rId79"/>
          <w:pgSz w:w="12240" w:h="15840" w:code="1"/>
          <w:pgMar w:top="1440" w:right="1440" w:bottom="1440" w:left="1440" w:header="720" w:footer="720" w:gutter="0"/>
          <w:cols w:space="720"/>
          <w:titlePg/>
          <w:docGrid w:linePitch="360"/>
        </w:sectPr>
      </w:pPr>
    </w:p>
    <w:p w14:paraId="3E7096EB" w14:textId="72475981" w:rsidR="008641F2" w:rsidRDefault="001227E5" w:rsidP="000A474B">
      <w:pPr>
        <w:pStyle w:val="OrderBody"/>
      </w:pPr>
      <w:r>
        <w:pict w14:anchorId="144A2C24">
          <v:shape id="_x0000_i1056" type="#_x0000_t75" style="width:467.05pt;height:604.8pt">
            <v:imagedata r:id="rId80" o:title="12919-2021 FO_Page_32"/>
          </v:shape>
        </w:pict>
      </w:r>
    </w:p>
    <w:p w14:paraId="5CF73E34" w14:textId="77777777" w:rsidR="008641F2" w:rsidRDefault="008641F2" w:rsidP="000A474B">
      <w:pPr>
        <w:pStyle w:val="OrderBody"/>
        <w:sectPr w:rsidR="008641F2" w:rsidSect="003614B0">
          <w:headerReference w:type="first" r:id="rId81"/>
          <w:pgSz w:w="12240" w:h="15840" w:code="1"/>
          <w:pgMar w:top="1440" w:right="1440" w:bottom="1440" w:left="1440" w:header="720" w:footer="720" w:gutter="0"/>
          <w:cols w:space="720"/>
          <w:titlePg/>
          <w:docGrid w:linePitch="360"/>
        </w:sectPr>
      </w:pPr>
    </w:p>
    <w:p w14:paraId="36419CCE" w14:textId="64E20E7D" w:rsidR="008641F2" w:rsidRDefault="001227E5" w:rsidP="000A474B">
      <w:pPr>
        <w:pStyle w:val="OrderBody"/>
      </w:pPr>
      <w:r>
        <w:pict w14:anchorId="1DBDC2D6">
          <v:shape id="_x0000_i1057" type="#_x0000_t75" style="width:467.05pt;height:604.8pt">
            <v:imagedata r:id="rId82" o:title="12919-2021 FO_Page_33"/>
          </v:shape>
        </w:pict>
      </w:r>
    </w:p>
    <w:p w14:paraId="13C35241" w14:textId="77777777" w:rsidR="008641F2" w:rsidRDefault="008641F2" w:rsidP="000A474B">
      <w:pPr>
        <w:pStyle w:val="OrderBody"/>
        <w:sectPr w:rsidR="008641F2" w:rsidSect="003614B0">
          <w:headerReference w:type="first" r:id="rId83"/>
          <w:pgSz w:w="12240" w:h="15840" w:code="1"/>
          <w:pgMar w:top="1440" w:right="1440" w:bottom="1440" w:left="1440" w:header="720" w:footer="720" w:gutter="0"/>
          <w:cols w:space="720"/>
          <w:titlePg/>
          <w:docGrid w:linePitch="360"/>
        </w:sectPr>
      </w:pPr>
    </w:p>
    <w:p w14:paraId="4F52D0CA" w14:textId="0B7A7259" w:rsidR="008641F2" w:rsidRDefault="001227E5" w:rsidP="000A474B">
      <w:pPr>
        <w:pStyle w:val="OrderBody"/>
      </w:pPr>
      <w:r>
        <w:pict w14:anchorId="4E9C09DA">
          <v:shape id="_x0000_i1058" type="#_x0000_t75" style="width:467.05pt;height:604.8pt">
            <v:imagedata r:id="rId84" o:title="12919-2021 FO_Page_34"/>
          </v:shape>
        </w:pict>
      </w:r>
    </w:p>
    <w:p w14:paraId="60ABD6BB" w14:textId="77777777" w:rsidR="008641F2" w:rsidRDefault="008641F2" w:rsidP="000A474B">
      <w:pPr>
        <w:pStyle w:val="OrderBody"/>
        <w:sectPr w:rsidR="008641F2" w:rsidSect="003614B0">
          <w:headerReference w:type="first" r:id="rId85"/>
          <w:pgSz w:w="12240" w:h="15840" w:code="1"/>
          <w:pgMar w:top="1440" w:right="1440" w:bottom="1440" w:left="1440" w:header="720" w:footer="720" w:gutter="0"/>
          <w:cols w:space="720"/>
          <w:titlePg/>
          <w:docGrid w:linePitch="360"/>
        </w:sectPr>
      </w:pPr>
    </w:p>
    <w:p w14:paraId="73816FC2" w14:textId="255FB4A1" w:rsidR="008641F2" w:rsidRDefault="001227E5" w:rsidP="000A474B">
      <w:pPr>
        <w:pStyle w:val="OrderBody"/>
      </w:pPr>
      <w:r>
        <w:pict w14:anchorId="38A0A6F6">
          <v:shape id="_x0000_i1059" type="#_x0000_t75" style="width:467.05pt;height:604.8pt">
            <v:imagedata r:id="rId86" o:title="12919-2021 FO_Page_35"/>
          </v:shape>
        </w:pict>
      </w:r>
    </w:p>
    <w:p w14:paraId="47754607" w14:textId="77777777" w:rsidR="008A07CA" w:rsidRDefault="008A07CA" w:rsidP="000A474B">
      <w:pPr>
        <w:pStyle w:val="OrderBody"/>
        <w:sectPr w:rsidR="008A07CA" w:rsidSect="003614B0">
          <w:headerReference w:type="first" r:id="rId87"/>
          <w:pgSz w:w="12240" w:h="15840" w:code="1"/>
          <w:pgMar w:top="1440" w:right="1440" w:bottom="1440" w:left="1440" w:header="720" w:footer="720" w:gutter="0"/>
          <w:cols w:space="720"/>
          <w:titlePg/>
          <w:docGrid w:linePitch="360"/>
        </w:sectPr>
      </w:pPr>
    </w:p>
    <w:p w14:paraId="63A13C9C" w14:textId="401B5405" w:rsidR="008A07CA" w:rsidRDefault="001227E5" w:rsidP="000A474B">
      <w:pPr>
        <w:pStyle w:val="OrderBody"/>
      </w:pPr>
      <w:r>
        <w:pict w14:anchorId="4DDBCF25">
          <v:shape id="_x0000_i1060" type="#_x0000_t75" style="width:467.05pt;height:604.8pt">
            <v:imagedata r:id="rId88" o:title="12919-2021 FO_Page_36"/>
          </v:shape>
        </w:pict>
      </w:r>
    </w:p>
    <w:p w14:paraId="639CD548" w14:textId="77777777" w:rsidR="008A07CA" w:rsidRDefault="008A07CA" w:rsidP="000A474B">
      <w:pPr>
        <w:pStyle w:val="OrderBody"/>
        <w:sectPr w:rsidR="008A07CA" w:rsidSect="003614B0">
          <w:headerReference w:type="first" r:id="rId89"/>
          <w:pgSz w:w="12240" w:h="15840" w:code="1"/>
          <w:pgMar w:top="1440" w:right="1440" w:bottom="1440" w:left="1440" w:header="720" w:footer="720" w:gutter="0"/>
          <w:cols w:space="720"/>
          <w:titlePg/>
          <w:docGrid w:linePitch="360"/>
        </w:sectPr>
      </w:pPr>
    </w:p>
    <w:p w14:paraId="73731303" w14:textId="71AEA9D6" w:rsidR="008A07CA" w:rsidRDefault="001227E5" w:rsidP="000A474B">
      <w:pPr>
        <w:pStyle w:val="OrderBody"/>
      </w:pPr>
      <w:r>
        <w:pict w14:anchorId="2628DA78">
          <v:shape id="_x0000_i1061" type="#_x0000_t75" style="width:467.05pt;height:604.8pt">
            <v:imagedata r:id="rId90" o:title="12919-2021 FO_Page_37"/>
          </v:shape>
        </w:pict>
      </w:r>
    </w:p>
    <w:p w14:paraId="2EBBDD30" w14:textId="77777777" w:rsidR="008A07CA" w:rsidRDefault="008A07CA" w:rsidP="000A474B">
      <w:pPr>
        <w:pStyle w:val="OrderBody"/>
        <w:sectPr w:rsidR="008A07CA" w:rsidSect="003614B0">
          <w:headerReference w:type="first" r:id="rId91"/>
          <w:pgSz w:w="12240" w:h="15840" w:code="1"/>
          <w:pgMar w:top="1440" w:right="1440" w:bottom="1440" w:left="1440" w:header="720" w:footer="720" w:gutter="0"/>
          <w:cols w:space="720"/>
          <w:titlePg/>
          <w:docGrid w:linePitch="360"/>
        </w:sectPr>
      </w:pPr>
    </w:p>
    <w:p w14:paraId="54B67824" w14:textId="60B70AF2" w:rsidR="008A07CA" w:rsidRDefault="001227E5" w:rsidP="000A474B">
      <w:pPr>
        <w:pStyle w:val="OrderBody"/>
      </w:pPr>
      <w:r>
        <w:pict w14:anchorId="5AEE70B7">
          <v:shape id="_x0000_i1062" type="#_x0000_t75" style="width:467.05pt;height:604.8pt">
            <v:imagedata r:id="rId92" o:title="12919-2021 FO_Page_38"/>
          </v:shape>
        </w:pict>
      </w:r>
    </w:p>
    <w:p w14:paraId="4B2901F3" w14:textId="77777777" w:rsidR="008A07CA" w:rsidRDefault="008A07CA" w:rsidP="000A474B">
      <w:pPr>
        <w:pStyle w:val="OrderBody"/>
        <w:sectPr w:rsidR="008A07CA" w:rsidSect="003614B0">
          <w:headerReference w:type="first" r:id="rId93"/>
          <w:pgSz w:w="12240" w:h="15840" w:code="1"/>
          <w:pgMar w:top="1440" w:right="1440" w:bottom="1440" w:left="1440" w:header="720" w:footer="720" w:gutter="0"/>
          <w:cols w:space="720"/>
          <w:titlePg/>
          <w:docGrid w:linePitch="360"/>
        </w:sectPr>
      </w:pPr>
    </w:p>
    <w:p w14:paraId="692BCCDD" w14:textId="238FCCAC" w:rsidR="008A07CA" w:rsidRDefault="001227E5" w:rsidP="000A474B">
      <w:pPr>
        <w:pStyle w:val="OrderBody"/>
      </w:pPr>
      <w:r>
        <w:pict w14:anchorId="0B1F43E9">
          <v:shape id="_x0000_i1063" type="#_x0000_t75" style="width:467.05pt;height:604.8pt">
            <v:imagedata r:id="rId94" o:title="12919-2021 FO_Page_39"/>
          </v:shape>
        </w:pict>
      </w:r>
    </w:p>
    <w:p w14:paraId="50101A20" w14:textId="77777777" w:rsidR="008A07CA" w:rsidRDefault="008A07CA" w:rsidP="000A474B">
      <w:pPr>
        <w:pStyle w:val="OrderBody"/>
        <w:sectPr w:rsidR="008A07CA" w:rsidSect="003614B0">
          <w:headerReference w:type="first" r:id="rId95"/>
          <w:pgSz w:w="12240" w:h="15840" w:code="1"/>
          <w:pgMar w:top="1440" w:right="1440" w:bottom="1440" w:left="1440" w:header="720" w:footer="720" w:gutter="0"/>
          <w:cols w:space="720"/>
          <w:titlePg/>
          <w:docGrid w:linePitch="360"/>
        </w:sectPr>
      </w:pPr>
    </w:p>
    <w:p w14:paraId="5EABAB63" w14:textId="69A813FF" w:rsidR="008A07CA" w:rsidRDefault="001227E5" w:rsidP="000A474B">
      <w:pPr>
        <w:pStyle w:val="OrderBody"/>
      </w:pPr>
      <w:r>
        <w:pict w14:anchorId="45CAB4C8">
          <v:shape id="_x0000_i1064" type="#_x0000_t75" style="width:467.05pt;height:604.8pt">
            <v:imagedata r:id="rId96" o:title="12919-2021 FO_Page_40"/>
          </v:shape>
        </w:pict>
      </w:r>
    </w:p>
    <w:p w14:paraId="405AE105" w14:textId="77777777" w:rsidR="008A07CA" w:rsidRDefault="008A07CA" w:rsidP="000A474B">
      <w:pPr>
        <w:pStyle w:val="OrderBody"/>
        <w:sectPr w:rsidR="008A07CA" w:rsidSect="003614B0">
          <w:headerReference w:type="first" r:id="rId97"/>
          <w:pgSz w:w="12240" w:h="15840" w:code="1"/>
          <w:pgMar w:top="1440" w:right="1440" w:bottom="1440" w:left="1440" w:header="720" w:footer="720" w:gutter="0"/>
          <w:cols w:space="720"/>
          <w:titlePg/>
          <w:docGrid w:linePitch="360"/>
        </w:sectPr>
      </w:pPr>
    </w:p>
    <w:p w14:paraId="7013FA2C" w14:textId="644B3008" w:rsidR="008A07CA" w:rsidRDefault="001227E5" w:rsidP="000A474B">
      <w:pPr>
        <w:pStyle w:val="OrderBody"/>
      </w:pPr>
      <w:r>
        <w:pict w14:anchorId="03EB7BA1">
          <v:shape id="_x0000_i1065" type="#_x0000_t75" style="width:467.05pt;height:604.8pt">
            <v:imagedata r:id="rId98" o:title="12919-2021 FO_Page_41"/>
          </v:shape>
        </w:pict>
      </w:r>
    </w:p>
    <w:p w14:paraId="2EFFD181" w14:textId="77777777" w:rsidR="008A07CA" w:rsidRDefault="008A07CA" w:rsidP="000A474B">
      <w:pPr>
        <w:pStyle w:val="OrderBody"/>
        <w:sectPr w:rsidR="008A07CA" w:rsidSect="003614B0">
          <w:headerReference w:type="first" r:id="rId99"/>
          <w:pgSz w:w="12240" w:h="15840" w:code="1"/>
          <w:pgMar w:top="1440" w:right="1440" w:bottom="1440" w:left="1440" w:header="720" w:footer="720" w:gutter="0"/>
          <w:cols w:space="720"/>
          <w:titlePg/>
          <w:docGrid w:linePitch="360"/>
        </w:sectPr>
      </w:pPr>
    </w:p>
    <w:p w14:paraId="337E959F" w14:textId="201F6EAD" w:rsidR="008A07CA" w:rsidRDefault="001227E5" w:rsidP="000A474B">
      <w:pPr>
        <w:pStyle w:val="OrderBody"/>
      </w:pPr>
      <w:r>
        <w:pict w14:anchorId="1CF19D92">
          <v:shape id="_x0000_i1066" type="#_x0000_t75" style="width:467.05pt;height:604.8pt">
            <v:imagedata r:id="rId100" o:title="12919-2021 FO_Page_42"/>
          </v:shape>
        </w:pict>
      </w:r>
    </w:p>
    <w:p w14:paraId="056A6EB4" w14:textId="77777777" w:rsidR="008A07CA" w:rsidRDefault="008A07CA" w:rsidP="000A474B">
      <w:pPr>
        <w:pStyle w:val="OrderBody"/>
        <w:sectPr w:rsidR="008A07CA" w:rsidSect="003614B0">
          <w:headerReference w:type="first" r:id="rId101"/>
          <w:pgSz w:w="12240" w:h="15840" w:code="1"/>
          <w:pgMar w:top="1440" w:right="1440" w:bottom="1440" w:left="1440" w:header="720" w:footer="720" w:gutter="0"/>
          <w:cols w:space="720"/>
          <w:titlePg/>
          <w:docGrid w:linePitch="360"/>
        </w:sectPr>
      </w:pPr>
    </w:p>
    <w:p w14:paraId="70E5A30F" w14:textId="73DDAA50" w:rsidR="008A07CA" w:rsidRDefault="001227E5" w:rsidP="000A474B">
      <w:pPr>
        <w:pStyle w:val="OrderBody"/>
      </w:pPr>
      <w:r>
        <w:pict w14:anchorId="246D2A5E">
          <v:shape id="_x0000_i1067" type="#_x0000_t75" style="width:467.05pt;height:604.8pt">
            <v:imagedata r:id="rId102" o:title="12919-2021 FO_Page_43"/>
          </v:shape>
        </w:pict>
      </w:r>
    </w:p>
    <w:p w14:paraId="6759E0EC" w14:textId="77777777" w:rsidR="008A07CA" w:rsidRDefault="008A07CA" w:rsidP="000A474B">
      <w:pPr>
        <w:pStyle w:val="OrderBody"/>
        <w:sectPr w:rsidR="008A07CA" w:rsidSect="003614B0">
          <w:headerReference w:type="first" r:id="rId103"/>
          <w:pgSz w:w="12240" w:h="15840" w:code="1"/>
          <w:pgMar w:top="1440" w:right="1440" w:bottom="1440" w:left="1440" w:header="720" w:footer="720" w:gutter="0"/>
          <w:cols w:space="720"/>
          <w:titlePg/>
          <w:docGrid w:linePitch="360"/>
        </w:sectPr>
      </w:pPr>
    </w:p>
    <w:p w14:paraId="19DBB693" w14:textId="2281F1B2" w:rsidR="008A07CA" w:rsidRDefault="001227E5" w:rsidP="000A474B">
      <w:pPr>
        <w:pStyle w:val="OrderBody"/>
      </w:pPr>
      <w:r>
        <w:pict w14:anchorId="498139CD">
          <v:shape id="_x0000_i1068" type="#_x0000_t75" style="width:467.05pt;height:604.8pt">
            <v:imagedata r:id="rId104" o:title="12919-2021 FO_Page_44"/>
          </v:shape>
        </w:pict>
      </w:r>
    </w:p>
    <w:p w14:paraId="437A0141" w14:textId="77777777" w:rsidR="008A07CA" w:rsidRDefault="008A07CA" w:rsidP="000A474B">
      <w:pPr>
        <w:pStyle w:val="OrderBody"/>
        <w:sectPr w:rsidR="008A07CA" w:rsidSect="003614B0">
          <w:headerReference w:type="first" r:id="rId105"/>
          <w:pgSz w:w="12240" w:h="15840" w:code="1"/>
          <w:pgMar w:top="1440" w:right="1440" w:bottom="1440" w:left="1440" w:header="720" w:footer="720" w:gutter="0"/>
          <w:cols w:space="720"/>
          <w:titlePg/>
          <w:docGrid w:linePitch="360"/>
        </w:sectPr>
      </w:pPr>
    </w:p>
    <w:p w14:paraId="6E220D35" w14:textId="6D15E5AE" w:rsidR="008A07CA" w:rsidRDefault="001227E5" w:rsidP="000A474B">
      <w:pPr>
        <w:pStyle w:val="OrderBody"/>
      </w:pPr>
      <w:r>
        <w:pict w14:anchorId="047507FB">
          <v:shape id="_x0000_i1069" type="#_x0000_t75" style="width:467.05pt;height:604.8pt">
            <v:imagedata r:id="rId106" o:title="12919-2021 FO_Page_45"/>
          </v:shape>
        </w:pict>
      </w:r>
    </w:p>
    <w:p w14:paraId="4C1372D2" w14:textId="77777777" w:rsidR="008A07CA" w:rsidRDefault="008A07CA" w:rsidP="000A474B">
      <w:pPr>
        <w:pStyle w:val="OrderBody"/>
        <w:sectPr w:rsidR="008A07CA" w:rsidSect="003614B0">
          <w:headerReference w:type="first" r:id="rId107"/>
          <w:pgSz w:w="12240" w:h="15840" w:code="1"/>
          <w:pgMar w:top="1440" w:right="1440" w:bottom="1440" w:left="1440" w:header="720" w:footer="720" w:gutter="0"/>
          <w:cols w:space="720"/>
          <w:titlePg/>
          <w:docGrid w:linePitch="360"/>
        </w:sectPr>
      </w:pPr>
    </w:p>
    <w:p w14:paraId="7C1924B7" w14:textId="57BEFDBC" w:rsidR="008A07CA" w:rsidRDefault="001227E5" w:rsidP="000A474B">
      <w:pPr>
        <w:pStyle w:val="OrderBody"/>
      </w:pPr>
      <w:r>
        <w:pict w14:anchorId="03C3ACDD">
          <v:shape id="_x0000_i1070" type="#_x0000_t75" style="width:467.05pt;height:604.8pt">
            <v:imagedata r:id="rId108" o:title="12919-2021 FO_Page_46"/>
          </v:shape>
        </w:pict>
      </w:r>
    </w:p>
    <w:p w14:paraId="2902744F" w14:textId="77777777" w:rsidR="008A07CA" w:rsidRDefault="008A07CA" w:rsidP="000A474B">
      <w:pPr>
        <w:pStyle w:val="OrderBody"/>
        <w:sectPr w:rsidR="008A07CA" w:rsidSect="003614B0">
          <w:headerReference w:type="first" r:id="rId109"/>
          <w:pgSz w:w="12240" w:h="15840" w:code="1"/>
          <w:pgMar w:top="1440" w:right="1440" w:bottom="1440" w:left="1440" w:header="720" w:footer="720" w:gutter="0"/>
          <w:cols w:space="720"/>
          <w:titlePg/>
          <w:docGrid w:linePitch="360"/>
        </w:sectPr>
      </w:pPr>
    </w:p>
    <w:p w14:paraId="5518EFCF" w14:textId="476FDD06" w:rsidR="008A07CA" w:rsidRDefault="001227E5" w:rsidP="000A474B">
      <w:pPr>
        <w:pStyle w:val="OrderBody"/>
      </w:pPr>
      <w:r>
        <w:pict w14:anchorId="644F93E4">
          <v:shape id="_x0000_i1071" type="#_x0000_t75" style="width:467.05pt;height:604.8pt">
            <v:imagedata r:id="rId110" o:title="12919-2021 FO_Page_47"/>
          </v:shape>
        </w:pict>
      </w:r>
    </w:p>
    <w:p w14:paraId="66346526" w14:textId="77777777" w:rsidR="008A07CA" w:rsidRDefault="008A07CA" w:rsidP="000A474B">
      <w:pPr>
        <w:pStyle w:val="OrderBody"/>
        <w:sectPr w:rsidR="008A07CA" w:rsidSect="003614B0">
          <w:headerReference w:type="first" r:id="rId111"/>
          <w:pgSz w:w="12240" w:h="15840" w:code="1"/>
          <w:pgMar w:top="1440" w:right="1440" w:bottom="1440" w:left="1440" w:header="720" w:footer="720" w:gutter="0"/>
          <w:cols w:space="720"/>
          <w:titlePg/>
          <w:docGrid w:linePitch="360"/>
        </w:sectPr>
      </w:pPr>
    </w:p>
    <w:p w14:paraId="297F1310" w14:textId="7A113F6E" w:rsidR="008A07CA" w:rsidRDefault="001227E5" w:rsidP="000A474B">
      <w:pPr>
        <w:pStyle w:val="OrderBody"/>
      </w:pPr>
      <w:r>
        <w:pict w14:anchorId="13C60B8D">
          <v:shape id="_x0000_i1072" type="#_x0000_t75" style="width:467.05pt;height:604.8pt">
            <v:imagedata r:id="rId112" o:title="12919-2021 FO_Page_48"/>
          </v:shape>
        </w:pict>
      </w:r>
    </w:p>
    <w:p w14:paraId="08471C25" w14:textId="77777777" w:rsidR="00293B9F" w:rsidRDefault="00293B9F" w:rsidP="000A474B">
      <w:pPr>
        <w:pStyle w:val="OrderBody"/>
        <w:sectPr w:rsidR="00293B9F" w:rsidSect="003614B0">
          <w:headerReference w:type="first" r:id="rId113"/>
          <w:pgSz w:w="12240" w:h="15840" w:code="1"/>
          <w:pgMar w:top="1440" w:right="1440" w:bottom="1440" w:left="1440" w:header="720" w:footer="720" w:gutter="0"/>
          <w:cols w:space="720"/>
          <w:titlePg/>
          <w:docGrid w:linePitch="360"/>
        </w:sectPr>
      </w:pPr>
    </w:p>
    <w:p w14:paraId="02BB5B0C" w14:textId="50ED2DAE" w:rsidR="00293B9F" w:rsidRDefault="001227E5" w:rsidP="000A474B">
      <w:pPr>
        <w:pStyle w:val="OrderBody"/>
      </w:pPr>
      <w:r>
        <w:pict w14:anchorId="1C76A502">
          <v:shape id="_x0000_i1073" type="#_x0000_t75" style="width:467.05pt;height:604.8pt">
            <v:imagedata r:id="rId114" o:title="12919-2021 FO_Page_49"/>
          </v:shape>
        </w:pict>
      </w:r>
    </w:p>
    <w:p w14:paraId="5BF55452" w14:textId="77777777" w:rsidR="00293B9F" w:rsidRDefault="00293B9F" w:rsidP="000A474B">
      <w:pPr>
        <w:pStyle w:val="OrderBody"/>
        <w:sectPr w:rsidR="00293B9F" w:rsidSect="003614B0">
          <w:headerReference w:type="first" r:id="rId115"/>
          <w:pgSz w:w="12240" w:h="15840" w:code="1"/>
          <w:pgMar w:top="1440" w:right="1440" w:bottom="1440" w:left="1440" w:header="720" w:footer="720" w:gutter="0"/>
          <w:cols w:space="720"/>
          <w:titlePg/>
          <w:docGrid w:linePitch="360"/>
        </w:sectPr>
      </w:pPr>
    </w:p>
    <w:p w14:paraId="35FE5855" w14:textId="4BDCC92E" w:rsidR="00293B9F" w:rsidRDefault="001227E5" w:rsidP="000A474B">
      <w:pPr>
        <w:pStyle w:val="OrderBody"/>
      </w:pPr>
      <w:r>
        <w:pict w14:anchorId="6CE79F58">
          <v:shape id="_x0000_i1074" type="#_x0000_t75" style="width:467.05pt;height:604.8pt">
            <v:imagedata r:id="rId116" o:title="12919-2021 FO_Page_50"/>
          </v:shape>
        </w:pict>
      </w:r>
    </w:p>
    <w:p w14:paraId="39527387" w14:textId="77777777" w:rsidR="00293B9F" w:rsidRDefault="00293B9F" w:rsidP="000A474B">
      <w:pPr>
        <w:pStyle w:val="OrderBody"/>
        <w:sectPr w:rsidR="00293B9F" w:rsidSect="003614B0">
          <w:headerReference w:type="first" r:id="rId117"/>
          <w:pgSz w:w="12240" w:h="15840" w:code="1"/>
          <w:pgMar w:top="1440" w:right="1440" w:bottom="1440" w:left="1440" w:header="720" w:footer="720" w:gutter="0"/>
          <w:cols w:space="720"/>
          <w:titlePg/>
          <w:docGrid w:linePitch="360"/>
        </w:sectPr>
      </w:pPr>
    </w:p>
    <w:p w14:paraId="701EB683" w14:textId="785D4597" w:rsidR="00293B9F" w:rsidRDefault="001227E5" w:rsidP="000A474B">
      <w:pPr>
        <w:pStyle w:val="OrderBody"/>
      </w:pPr>
      <w:r>
        <w:pict w14:anchorId="34696696">
          <v:shape id="_x0000_i1075" type="#_x0000_t75" style="width:467.05pt;height:604.8pt">
            <v:imagedata r:id="rId118" o:title="12919-2021 FO_Page_51"/>
          </v:shape>
        </w:pict>
      </w:r>
    </w:p>
    <w:p w14:paraId="0FBC3493" w14:textId="77777777" w:rsidR="00293B9F" w:rsidRDefault="00293B9F" w:rsidP="000A474B">
      <w:pPr>
        <w:pStyle w:val="OrderBody"/>
        <w:sectPr w:rsidR="00293B9F" w:rsidSect="003614B0">
          <w:headerReference w:type="first" r:id="rId119"/>
          <w:pgSz w:w="12240" w:h="15840" w:code="1"/>
          <w:pgMar w:top="1440" w:right="1440" w:bottom="1440" w:left="1440" w:header="720" w:footer="720" w:gutter="0"/>
          <w:cols w:space="720"/>
          <w:titlePg/>
          <w:docGrid w:linePitch="360"/>
        </w:sectPr>
      </w:pPr>
    </w:p>
    <w:p w14:paraId="2D43BA9A" w14:textId="0288A62D" w:rsidR="00293B9F" w:rsidRDefault="001227E5" w:rsidP="000A474B">
      <w:pPr>
        <w:pStyle w:val="OrderBody"/>
      </w:pPr>
      <w:r>
        <w:pict w14:anchorId="1B6268C3">
          <v:shape id="_x0000_i1076" type="#_x0000_t75" style="width:467.05pt;height:604.8pt">
            <v:imagedata r:id="rId120" o:title="12919-2021 FO_Page_52"/>
          </v:shape>
        </w:pict>
      </w:r>
    </w:p>
    <w:p w14:paraId="296E00D3" w14:textId="77777777" w:rsidR="00293B9F" w:rsidRDefault="00293B9F" w:rsidP="000A474B">
      <w:pPr>
        <w:pStyle w:val="OrderBody"/>
        <w:sectPr w:rsidR="00293B9F" w:rsidSect="003614B0">
          <w:headerReference w:type="first" r:id="rId121"/>
          <w:pgSz w:w="12240" w:h="15840" w:code="1"/>
          <w:pgMar w:top="1440" w:right="1440" w:bottom="1440" w:left="1440" w:header="720" w:footer="720" w:gutter="0"/>
          <w:cols w:space="720"/>
          <w:titlePg/>
          <w:docGrid w:linePitch="360"/>
        </w:sectPr>
      </w:pPr>
    </w:p>
    <w:p w14:paraId="4F5BD122" w14:textId="2ECEA7AA" w:rsidR="00293B9F" w:rsidRDefault="001227E5" w:rsidP="000A474B">
      <w:pPr>
        <w:pStyle w:val="OrderBody"/>
      </w:pPr>
      <w:r>
        <w:pict w14:anchorId="38537DA5">
          <v:shape id="_x0000_i1077" type="#_x0000_t75" style="width:467.05pt;height:604.8pt">
            <v:imagedata r:id="rId122" o:title="12919-2021 FO_Page_53"/>
          </v:shape>
        </w:pict>
      </w:r>
    </w:p>
    <w:p w14:paraId="38A7F32D" w14:textId="77777777" w:rsidR="00293B9F" w:rsidRDefault="00293B9F" w:rsidP="000A474B">
      <w:pPr>
        <w:pStyle w:val="OrderBody"/>
        <w:sectPr w:rsidR="00293B9F" w:rsidSect="003614B0">
          <w:headerReference w:type="first" r:id="rId123"/>
          <w:pgSz w:w="12240" w:h="15840" w:code="1"/>
          <w:pgMar w:top="1440" w:right="1440" w:bottom="1440" w:left="1440" w:header="720" w:footer="720" w:gutter="0"/>
          <w:cols w:space="720"/>
          <w:titlePg/>
          <w:docGrid w:linePitch="360"/>
        </w:sectPr>
      </w:pPr>
    </w:p>
    <w:p w14:paraId="4902E62C" w14:textId="7AE076A5" w:rsidR="00293B9F" w:rsidRDefault="001227E5" w:rsidP="000A474B">
      <w:pPr>
        <w:pStyle w:val="OrderBody"/>
      </w:pPr>
      <w:r>
        <w:pict w14:anchorId="3A61E04C">
          <v:shape id="_x0000_i1078" type="#_x0000_t75" style="width:467.05pt;height:604.8pt">
            <v:imagedata r:id="rId124" o:title="12919-2021 FO_Page_54"/>
          </v:shape>
        </w:pict>
      </w:r>
    </w:p>
    <w:p w14:paraId="06689479" w14:textId="77777777" w:rsidR="00293B9F" w:rsidRDefault="00293B9F" w:rsidP="000A474B">
      <w:pPr>
        <w:pStyle w:val="OrderBody"/>
        <w:sectPr w:rsidR="00293B9F" w:rsidSect="003614B0">
          <w:headerReference w:type="first" r:id="rId125"/>
          <w:pgSz w:w="12240" w:h="15840" w:code="1"/>
          <w:pgMar w:top="1440" w:right="1440" w:bottom="1440" w:left="1440" w:header="720" w:footer="720" w:gutter="0"/>
          <w:cols w:space="720"/>
          <w:titlePg/>
          <w:docGrid w:linePitch="360"/>
        </w:sectPr>
      </w:pPr>
    </w:p>
    <w:p w14:paraId="10349B12" w14:textId="003DB298" w:rsidR="00293B9F" w:rsidRDefault="001227E5" w:rsidP="000A474B">
      <w:pPr>
        <w:pStyle w:val="OrderBody"/>
      </w:pPr>
      <w:r>
        <w:pict w14:anchorId="577F4842">
          <v:shape id="_x0000_i1079" type="#_x0000_t75" style="width:467.05pt;height:604.8pt">
            <v:imagedata r:id="rId126" o:title="12919-2021 FO_Page_55"/>
          </v:shape>
        </w:pict>
      </w:r>
    </w:p>
    <w:p w14:paraId="04E20809" w14:textId="77777777" w:rsidR="00293B9F" w:rsidRDefault="00293B9F" w:rsidP="000A474B">
      <w:pPr>
        <w:pStyle w:val="OrderBody"/>
        <w:sectPr w:rsidR="00293B9F" w:rsidSect="003614B0">
          <w:headerReference w:type="first" r:id="rId127"/>
          <w:pgSz w:w="12240" w:h="15840" w:code="1"/>
          <w:pgMar w:top="1440" w:right="1440" w:bottom="1440" w:left="1440" w:header="720" w:footer="720" w:gutter="0"/>
          <w:cols w:space="720"/>
          <w:titlePg/>
          <w:docGrid w:linePitch="360"/>
        </w:sectPr>
      </w:pPr>
    </w:p>
    <w:p w14:paraId="59F90F6A" w14:textId="51703936" w:rsidR="00293B9F" w:rsidRDefault="001227E5" w:rsidP="000A474B">
      <w:pPr>
        <w:pStyle w:val="OrderBody"/>
      </w:pPr>
      <w:r>
        <w:pict w14:anchorId="476D4611">
          <v:shape id="_x0000_i1080" type="#_x0000_t75" style="width:467.05pt;height:604.8pt">
            <v:imagedata r:id="rId128" o:title="12919-2021 FO_Page_56"/>
          </v:shape>
        </w:pict>
      </w:r>
    </w:p>
    <w:p w14:paraId="3CB78D4B" w14:textId="77777777" w:rsidR="00293B9F" w:rsidRDefault="00293B9F" w:rsidP="000A474B">
      <w:pPr>
        <w:pStyle w:val="OrderBody"/>
        <w:sectPr w:rsidR="00293B9F" w:rsidSect="003614B0">
          <w:headerReference w:type="first" r:id="rId129"/>
          <w:pgSz w:w="12240" w:h="15840" w:code="1"/>
          <w:pgMar w:top="1440" w:right="1440" w:bottom="1440" w:left="1440" w:header="720" w:footer="720" w:gutter="0"/>
          <w:cols w:space="720"/>
          <w:titlePg/>
          <w:docGrid w:linePitch="360"/>
        </w:sectPr>
      </w:pPr>
    </w:p>
    <w:p w14:paraId="594FA2C9" w14:textId="7079F222" w:rsidR="00293B9F" w:rsidRDefault="001227E5" w:rsidP="000A474B">
      <w:pPr>
        <w:pStyle w:val="OrderBody"/>
      </w:pPr>
      <w:r>
        <w:pict w14:anchorId="5977CE80">
          <v:shape id="_x0000_i1081" type="#_x0000_t75" style="width:467.05pt;height:604.8pt">
            <v:imagedata r:id="rId130" o:title="12919-2021 FO_Page_57"/>
          </v:shape>
        </w:pict>
      </w:r>
    </w:p>
    <w:p w14:paraId="3F7F00C0" w14:textId="77777777" w:rsidR="00293B9F" w:rsidRDefault="00293B9F" w:rsidP="000A474B">
      <w:pPr>
        <w:pStyle w:val="OrderBody"/>
        <w:sectPr w:rsidR="00293B9F" w:rsidSect="003614B0">
          <w:headerReference w:type="first" r:id="rId131"/>
          <w:pgSz w:w="12240" w:h="15840" w:code="1"/>
          <w:pgMar w:top="1440" w:right="1440" w:bottom="1440" w:left="1440" w:header="720" w:footer="720" w:gutter="0"/>
          <w:cols w:space="720"/>
          <w:titlePg/>
          <w:docGrid w:linePitch="360"/>
        </w:sectPr>
      </w:pPr>
    </w:p>
    <w:p w14:paraId="114AEF73" w14:textId="5900EC99" w:rsidR="00293B9F" w:rsidRDefault="001227E5" w:rsidP="000A474B">
      <w:pPr>
        <w:pStyle w:val="OrderBody"/>
      </w:pPr>
      <w:r>
        <w:pict w14:anchorId="7C5183EF">
          <v:shape id="_x0000_i1082" type="#_x0000_t75" style="width:467.05pt;height:604.8pt">
            <v:imagedata r:id="rId132" o:title="12919-2021 FO_Page_58"/>
          </v:shape>
        </w:pict>
      </w:r>
    </w:p>
    <w:p w14:paraId="38D4EFD8" w14:textId="77777777" w:rsidR="00293B9F" w:rsidRDefault="00293B9F" w:rsidP="000A474B">
      <w:pPr>
        <w:pStyle w:val="OrderBody"/>
        <w:sectPr w:rsidR="00293B9F" w:rsidSect="003614B0">
          <w:headerReference w:type="first" r:id="rId133"/>
          <w:pgSz w:w="12240" w:h="15840" w:code="1"/>
          <w:pgMar w:top="1440" w:right="1440" w:bottom="1440" w:left="1440" w:header="720" w:footer="720" w:gutter="0"/>
          <w:cols w:space="720"/>
          <w:titlePg/>
          <w:docGrid w:linePitch="360"/>
        </w:sectPr>
      </w:pPr>
    </w:p>
    <w:p w14:paraId="13819209" w14:textId="3A0AE69D" w:rsidR="00293B9F" w:rsidRDefault="001227E5" w:rsidP="000A474B">
      <w:pPr>
        <w:pStyle w:val="OrderBody"/>
      </w:pPr>
      <w:r>
        <w:pict w14:anchorId="0D59334F">
          <v:shape id="_x0000_i1083" type="#_x0000_t75" style="width:467.05pt;height:604.8pt">
            <v:imagedata r:id="rId134" o:title="12919-2021 FO_Page_59"/>
          </v:shape>
        </w:pict>
      </w:r>
    </w:p>
    <w:p w14:paraId="72F0D9B8" w14:textId="77777777" w:rsidR="00293B9F" w:rsidRDefault="00293B9F" w:rsidP="000A474B">
      <w:pPr>
        <w:pStyle w:val="OrderBody"/>
        <w:sectPr w:rsidR="00293B9F" w:rsidSect="003614B0">
          <w:headerReference w:type="first" r:id="rId135"/>
          <w:pgSz w:w="12240" w:h="15840" w:code="1"/>
          <w:pgMar w:top="1440" w:right="1440" w:bottom="1440" w:left="1440" w:header="720" w:footer="720" w:gutter="0"/>
          <w:cols w:space="720"/>
          <w:titlePg/>
          <w:docGrid w:linePitch="360"/>
        </w:sectPr>
      </w:pPr>
    </w:p>
    <w:p w14:paraId="4F3DEFC6" w14:textId="77C8BE53" w:rsidR="00293B9F" w:rsidRDefault="001227E5" w:rsidP="000A474B">
      <w:pPr>
        <w:pStyle w:val="OrderBody"/>
      </w:pPr>
      <w:r>
        <w:pict w14:anchorId="44753212">
          <v:shape id="_x0000_i1084" type="#_x0000_t75" style="width:467.05pt;height:604.8pt">
            <v:imagedata r:id="rId136" o:title="12919-2021 FO_Page_60"/>
          </v:shape>
        </w:pict>
      </w:r>
    </w:p>
    <w:p w14:paraId="71E6D3AD" w14:textId="77777777" w:rsidR="00293B9F" w:rsidRDefault="00293B9F" w:rsidP="000A474B">
      <w:pPr>
        <w:pStyle w:val="OrderBody"/>
        <w:sectPr w:rsidR="00293B9F" w:rsidSect="003614B0">
          <w:headerReference w:type="first" r:id="rId137"/>
          <w:pgSz w:w="12240" w:h="15840" w:code="1"/>
          <w:pgMar w:top="1440" w:right="1440" w:bottom="1440" w:left="1440" w:header="720" w:footer="720" w:gutter="0"/>
          <w:cols w:space="720"/>
          <w:titlePg/>
          <w:docGrid w:linePitch="360"/>
        </w:sectPr>
      </w:pPr>
    </w:p>
    <w:p w14:paraId="6B3A657E" w14:textId="690FBCF8" w:rsidR="00293B9F" w:rsidRDefault="001227E5" w:rsidP="000A474B">
      <w:pPr>
        <w:pStyle w:val="OrderBody"/>
      </w:pPr>
      <w:r>
        <w:pict w14:anchorId="60DAF8DE">
          <v:shape id="_x0000_i1085" type="#_x0000_t75" style="width:467.05pt;height:604.8pt">
            <v:imagedata r:id="rId138" o:title="12919-2021 FO_Page_61"/>
          </v:shape>
        </w:pict>
      </w:r>
    </w:p>
    <w:p w14:paraId="284F4A8C" w14:textId="77777777" w:rsidR="00293B9F" w:rsidRDefault="00293B9F" w:rsidP="000A474B">
      <w:pPr>
        <w:pStyle w:val="OrderBody"/>
        <w:sectPr w:rsidR="00293B9F" w:rsidSect="003614B0">
          <w:headerReference w:type="first" r:id="rId139"/>
          <w:pgSz w:w="12240" w:h="15840" w:code="1"/>
          <w:pgMar w:top="1440" w:right="1440" w:bottom="1440" w:left="1440" w:header="720" w:footer="720" w:gutter="0"/>
          <w:cols w:space="720"/>
          <w:titlePg/>
          <w:docGrid w:linePitch="360"/>
        </w:sectPr>
      </w:pPr>
    </w:p>
    <w:p w14:paraId="1BD16A76" w14:textId="40F2C525" w:rsidR="00293B9F" w:rsidRDefault="001227E5" w:rsidP="000A474B">
      <w:pPr>
        <w:pStyle w:val="OrderBody"/>
      </w:pPr>
      <w:r>
        <w:pict w14:anchorId="3638E957">
          <v:shape id="_x0000_i1086" type="#_x0000_t75" style="width:467.05pt;height:604.8pt">
            <v:imagedata r:id="rId140" o:title="13007-2021 AO_Page_1"/>
          </v:shape>
        </w:pict>
      </w:r>
    </w:p>
    <w:p w14:paraId="272F062C" w14:textId="77777777" w:rsidR="00E1549E" w:rsidRDefault="00E1549E" w:rsidP="000A474B">
      <w:pPr>
        <w:pStyle w:val="OrderBody"/>
        <w:sectPr w:rsidR="00E1549E" w:rsidSect="003614B0">
          <w:headerReference w:type="first" r:id="rId141"/>
          <w:pgSz w:w="12240" w:h="15840" w:code="1"/>
          <w:pgMar w:top="1440" w:right="1440" w:bottom="1440" w:left="1440" w:header="720" w:footer="720" w:gutter="0"/>
          <w:cols w:space="720"/>
          <w:titlePg/>
          <w:docGrid w:linePitch="360"/>
        </w:sectPr>
      </w:pPr>
    </w:p>
    <w:p w14:paraId="3C8202B8" w14:textId="76351737" w:rsidR="00E1549E" w:rsidRDefault="001227E5" w:rsidP="000A474B">
      <w:pPr>
        <w:pStyle w:val="OrderBody"/>
      </w:pPr>
      <w:r>
        <w:pict w14:anchorId="487FC292">
          <v:shape id="_x0000_i1087" type="#_x0000_t75" style="width:467.05pt;height:604.8pt">
            <v:imagedata r:id="rId142" o:title="13007-2021 AO_Page_2"/>
          </v:shape>
        </w:pict>
      </w:r>
    </w:p>
    <w:p w14:paraId="14D85CCD" w14:textId="77777777" w:rsidR="00E1549E" w:rsidRDefault="00E1549E" w:rsidP="000A474B">
      <w:pPr>
        <w:pStyle w:val="OrderBody"/>
        <w:sectPr w:rsidR="00E1549E" w:rsidSect="003614B0">
          <w:headerReference w:type="first" r:id="rId143"/>
          <w:pgSz w:w="12240" w:h="15840" w:code="1"/>
          <w:pgMar w:top="1440" w:right="1440" w:bottom="1440" w:left="1440" w:header="720" w:footer="720" w:gutter="0"/>
          <w:cols w:space="720"/>
          <w:titlePg/>
          <w:docGrid w:linePitch="360"/>
        </w:sectPr>
      </w:pPr>
    </w:p>
    <w:p w14:paraId="6DC884BA" w14:textId="0F1C913B" w:rsidR="00E1549E" w:rsidRDefault="001227E5" w:rsidP="000A474B">
      <w:pPr>
        <w:pStyle w:val="OrderBody"/>
      </w:pPr>
      <w:r>
        <w:pict w14:anchorId="5BCC153A">
          <v:shape id="_x0000_i1088" type="#_x0000_t75" style="width:467.05pt;height:608.55pt">
            <v:imagedata r:id="rId144" o:title="13007-2021 AO_Page_3"/>
          </v:shape>
        </w:pict>
      </w:r>
    </w:p>
    <w:sectPr w:rsidR="00E1549E" w:rsidSect="003614B0">
      <w:headerReference w:type="first" r:id="rId145"/>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265C10" w14:textId="77777777" w:rsidR="001227E5" w:rsidRDefault="001227E5">
      <w:r>
        <w:separator/>
      </w:r>
    </w:p>
  </w:endnote>
  <w:endnote w:type="continuationSeparator" w:id="0">
    <w:p w14:paraId="3ED23156" w14:textId="77777777" w:rsidR="001227E5" w:rsidRDefault="001227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24AA5" w14:textId="77777777" w:rsidR="001227E5" w:rsidRDefault="001227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5559D" w14:textId="77777777" w:rsidR="001227E5" w:rsidRDefault="001227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104FC6" w14:textId="77777777" w:rsidR="001227E5" w:rsidRDefault="001227E5">
    <w:pPr>
      <w:pStyle w:val="Footer"/>
    </w:pPr>
  </w:p>
  <w:p w14:paraId="2AD139D2" w14:textId="77777777" w:rsidR="001227E5" w:rsidRDefault="001227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7DE144" w14:textId="77777777" w:rsidR="001227E5" w:rsidRDefault="001227E5">
      <w:r>
        <w:separator/>
      </w:r>
    </w:p>
  </w:footnote>
  <w:footnote w:type="continuationSeparator" w:id="0">
    <w:p w14:paraId="3EA7C271" w14:textId="77777777" w:rsidR="001227E5" w:rsidRDefault="001227E5">
      <w:r>
        <w:continuationSeparator/>
      </w:r>
    </w:p>
  </w:footnote>
  <w:footnote w:id="1">
    <w:p w14:paraId="5528A249" w14:textId="77777777" w:rsidR="001227E5" w:rsidRDefault="001227E5" w:rsidP="00292800">
      <w:pPr>
        <w:shd w:val="clear" w:color="auto" w:fill="FFFFFF"/>
      </w:pPr>
      <w:r w:rsidRPr="00DA195A">
        <w:rPr>
          <w:rStyle w:val="FootnoteReference"/>
          <w:sz w:val="20"/>
        </w:rPr>
        <w:footnoteRef/>
      </w:r>
      <w:r w:rsidRPr="00DA195A">
        <w:rPr>
          <w:sz w:val="20"/>
        </w:rPr>
        <w:t xml:space="preserve"> </w:t>
      </w:r>
      <w:r w:rsidRPr="00DA195A">
        <w:rPr>
          <w:rFonts w:cs="Arial"/>
          <w:i/>
          <w:sz w:val="20"/>
          <w:bdr w:val="none" w:sz="0" w:space="0" w:color="auto" w:frame="1"/>
        </w:rPr>
        <w:t>Floridians Against Increased Rates, Inc. v. Clark</w:t>
      </w:r>
      <w:r w:rsidRPr="00DA195A">
        <w:rPr>
          <w:rFonts w:cs="Arial"/>
          <w:sz w:val="20"/>
        </w:rPr>
        <w:t xml:space="preserve">, </w:t>
      </w:r>
      <w:r>
        <w:rPr>
          <w:rFonts w:cs="Arial"/>
          <w:sz w:val="20"/>
        </w:rPr>
        <w:t xml:space="preserve">371 So. 3d 905 (Fla. 2023) (referred to hereafter as </w:t>
      </w:r>
      <w:r>
        <w:rPr>
          <w:rFonts w:cs="Arial"/>
          <w:i/>
          <w:sz w:val="20"/>
        </w:rPr>
        <w:t>FAIR</w:t>
      </w:r>
      <w:r>
        <w:rPr>
          <w:rFonts w:cs="Arial"/>
          <w:sz w:val="20"/>
        </w:rPr>
        <w:t>).</w:t>
      </w:r>
    </w:p>
  </w:footnote>
  <w:footnote w:id="2">
    <w:p w14:paraId="12E6B1B3" w14:textId="77777777" w:rsidR="001227E5" w:rsidRDefault="001227E5" w:rsidP="00292800">
      <w:pPr>
        <w:pStyle w:val="FootnoteText"/>
      </w:pPr>
      <w:r>
        <w:rPr>
          <w:rStyle w:val="FootnoteReference"/>
        </w:rPr>
        <w:footnoteRef/>
      </w:r>
      <w:r>
        <w:t xml:space="preserve"> The Office of Public Counsel, Florida Industrial Power Users Group, Florida Retail Federation, and Southern Alliance for Clean Energy joined the Stipulation and Settlement Agreement. On August 24, 2021, FPL filed notice that additional parties Vote Solar and the CLEO Institute, Inc. had joined in the Agreement. On August 27, 2021, FPL filed notice that the Federal Executive Agencies had also joined the Agreement.</w:t>
      </w:r>
    </w:p>
  </w:footnote>
  <w:footnote w:id="3">
    <w:p w14:paraId="373BD813" w14:textId="77777777" w:rsidR="001227E5" w:rsidRPr="00814547" w:rsidRDefault="001227E5" w:rsidP="00292800">
      <w:pPr>
        <w:pStyle w:val="FootnoteText"/>
      </w:pPr>
      <w:r>
        <w:rPr>
          <w:rStyle w:val="FootnoteReference"/>
        </w:rPr>
        <w:footnoteRef/>
      </w:r>
      <w:r>
        <w:t xml:space="preserve"> Order No. PSC-2021-0446-S-EI, issued December 2, 2021, in Docket No. 20210015-EI, </w:t>
      </w:r>
      <w:r>
        <w:rPr>
          <w:i/>
        </w:rPr>
        <w:t>In re: Petition for rate increase by Florida Power &amp; Light Company</w:t>
      </w:r>
      <w:r>
        <w:t>.</w:t>
      </w:r>
    </w:p>
  </w:footnote>
  <w:footnote w:id="4">
    <w:p w14:paraId="0DDD25A6" w14:textId="77777777" w:rsidR="001227E5" w:rsidRPr="00814547" w:rsidRDefault="001227E5" w:rsidP="00292800">
      <w:pPr>
        <w:pStyle w:val="FootnoteText"/>
      </w:pPr>
      <w:r>
        <w:rPr>
          <w:rStyle w:val="FootnoteReference"/>
        </w:rPr>
        <w:footnoteRef/>
      </w:r>
      <w:r>
        <w:t xml:space="preserve"> Order No. PSC-2021-0446A-S-EI, issued December 2, 2021, in Docket No. 20210015-EI, </w:t>
      </w:r>
      <w:r>
        <w:rPr>
          <w:i/>
        </w:rPr>
        <w:t>In re: Petition for rate increase by Florida Power &amp; Light Company</w:t>
      </w:r>
      <w:r>
        <w:t>. We will refer to this Order and Order No. PSC-2021-0446-S-EI collectively as the 2021 Final Order.</w:t>
      </w:r>
    </w:p>
    <w:p w14:paraId="77FA157D" w14:textId="77777777" w:rsidR="001227E5" w:rsidRDefault="001227E5" w:rsidP="00292800">
      <w:pPr>
        <w:pStyle w:val="FootnoteText"/>
      </w:pPr>
    </w:p>
  </w:footnote>
  <w:footnote w:id="5">
    <w:p w14:paraId="5017417D" w14:textId="77777777" w:rsidR="001227E5" w:rsidRPr="002172F3" w:rsidRDefault="001227E5" w:rsidP="002172F3">
      <w:pPr>
        <w:shd w:val="clear" w:color="auto" w:fill="FFFFFF"/>
        <w:spacing w:line="320" w:lineRule="atLeast"/>
        <w:rPr>
          <w:sz w:val="20"/>
          <w:szCs w:val="20"/>
        </w:rPr>
      </w:pPr>
      <w:r w:rsidRPr="002172F3">
        <w:rPr>
          <w:rStyle w:val="FootnoteReference"/>
          <w:sz w:val="20"/>
          <w:szCs w:val="20"/>
        </w:rPr>
        <w:footnoteRef/>
      </w:r>
      <w:r w:rsidRPr="002172F3">
        <w:rPr>
          <w:color w:val="000000"/>
          <w:sz w:val="20"/>
          <w:szCs w:val="20"/>
        </w:rPr>
        <w:t xml:space="preserve"> </w:t>
      </w:r>
      <w:r>
        <w:rPr>
          <w:i/>
          <w:color w:val="000000"/>
          <w:sz w:val="20"/>
          <w:szCs w:val="20"/>
        </w:rPr>
        <w:t>FAIR</w:t>
      </w:r>
      <w:r w:rsidRPr="002172F3">
        <w:rPr>
          <w:i/>
          <w:color w:val="000000"/>
          <w:sz w:val="20"/>
          <w:szCs w:val="20"/>
        </w:rPr>
        <w:t xml:space="preserve">, </w:t>
      </w:r>
      <w:r w:rsidRPr="002172F3">
        <w:rPr>
          <w:color w:val="000000"/>
          <w:sz w:val="20"/>
          <w:szCs w:val="20"/>
        </w:rPr>
        <w:t>371 So. 3d at 907.</w:t>
      </w:r>
    </w:p>
  </w:footnote>
  <w:footnote w:id="6">
    <w:p w14:paraId="2738339A" w14:textId="77777777" w:rsidR="001227E5" w:rsidRPr="002172F3" w:rsidRDefault="001227E5" w:rsidP="00292800">
      <w:pPr>
        <w:shd w:val="clear" w:color="auto" w:fill="FFFFFF"/>
        <w:rPr>
          <w:sz w:val="20"/>
          <w:szCs w:val="20"/>
        </w:rPr>
      </w:pPr>
      <w:r w:rsidRPr="002172F3">
        <w:rPr>
          <w:rStyle w:val="FootnoteReference"/>
          <w:sz w:val="20"/>
          <w:szCs w:val="20"/>
        </w:rPr>
        <w:footnoteRef/>
      </w:r>
      <w:r w:rsidRPr="002172F3">
        <w:rPr>
          <w:sz w:val="20"/>
          <w:szCs w:val="20"/>
        </w:rPr>
        <w:t xml:space="preserve"> </w:t>
      </w:r>
      <w:r w:rsidRPr="002172F3">
        <w:rPr>
          <w:i/>
          <w:sz w:val="20"/>
          <w:szCs w:val="20"/>
          <w:bdr w:val="none" w:sz="0" w:space="0" w:color="auto" w:frame="1"/>
        </w:rPr>
        <w:t>FAIR</w:t>
      </w:r>
      <w:r w:rsidRPr="002172F3">
        <w:rPr>
          <w:sz w:val="20"/>
          <w:szCs w:val="20"/>
        </w:rPr>
        <w:t>, 371 So. 3d at 905 (“[W]e remand this case to the Commission for an explanation of its decision consistent with the governing law as set forth in our case law and reiterated here.”).</w:t>
      </w:r>
    </w:p>
  </w:footnote>
  <w:footnote w:id="7">
    <w:p w14:paraId="32205098" w14:textId="77777777" w:rsidR="001227E5" w:rsidRPr="00DF2BE1" w:rsidRDefault="001227E5" w:rsidP="00292800">
      <w:pPr>
        <w:pStyle w:val="FootnoteText"/>
      </w:pPr>
      <w:r w:rsidRPr="002172F3">
        <w:rPr>
          <w:rStyle w:val="FootnoteReference"/>
        </w:rPr>
        <w:footnoteRef/>
      </w:r>
      <w:r w:rsidRPr="002172F3">
        <w:t xml:space="preserve"> </w:t>
      </w:r>
      <w:r>
        <w:rPr>
          <w:i/>
        </w:rPr>
        <w:t>FAIR</w:t>
      </w:r>
      <w:r w:rsidRPr="002172F3">
        <w:t>, 371 So. 3</w:t>
      </w:r>
      <w:r>
        <w:rPr>
          <w:rFonts w:cs="Arial"/>
        </w:rPr>
        <w:t>d 912</w:t>
      </w:r>
      <w:r>
        <w:t>.</w:t>
      </w:r>
    </w:p>
  </w:footnote>
  <w:footnote w:id="8">
    <w:p w14:paraId="1CC0B329" w14:textId="77777777" w:rsidR="001227E5" w:rsidRPr="002C76E8" w:rsidRDefault="001227E5" w:rsidP="00292800">
      <w:pPr>
        <w:pStyle w:val="FootnoteText"/>
      </w:pPr>
      <w:r>
        <w:rPr>
          <w:rStyle w:val="FootnoteReference"/>
        </w:rPr>
        <w:footnoteRef/>
      </w:r>
      <w:r>
        <w:t xml:space="preserve"> </w:t>
      </w:r>
      <w:r>
        <w:rPr>
          <w:i/>
        </w:rPr>
        <w:t>FAIR</w:t>
      </w:r>
      <w:r>
        <w:t xml:space="preserve">, </w:t>
      </w:r>
      <w:r>
        <w:rPr>
          <w:rFonts w:cs="Arial"/>
        </w:rPr>
        <w:t>371 So. 3d 908-09</w:t>
      </w:r>
      <w:r>
        <w:t>.</w:t>
      </w:r>
    </w:p>
  </w:footnote>
  <w:footnote w:id="9">
    <w:p w14:paraId="27A5DA80" w14:textId="77777777" w:rsidR="001227E5" w:rsidRPr="00CA7306" w:rsidRDefault="001227E5" w:rsidP="00292800">
      <w:pPr>
        <w:pStyle w:val="FootnoteText"/>
      </w:pPr>
      <w:r>
        <w:rPr>
          <w:rStyle w:val="FootnoteReference"/>
        </w:rPr>
        <w:footnoteRef/>
      </w:r>
      <w:r>
        <w:t xml:space="preserve"> </w:t>
      </w:r>
      <w:r>
        <w:rPr>
          <w:i/>
        </w:rPr>
        <w:t>Id.</w:t>
      </w:r>
      <w:r>
        <w:t xml:space="preserve"> at 912 (emphasis added).</w:t>
      </w:r>
    </w:p>
  </w:footnote>
  <w:footnote w:id="10">
    <w:p w14:paraId="20BC3998" w14:textId="77777777" w:rsidR="001227E5" w:rsidRPr="00CA7306" w:rsidRDefault="001227E5" w:rsidP="00292800">
      <w:pPr>
        <w:pStyle w:val="FootnoteText"/>
      </w:pPr>
      <w:r>
        <w:rPr>
          <w:rStyle w:val="FootnoteReference"/>
        </w:rPr>
        <w:footnoteRef/>
      </w:r>
      <w:r>
        <w:t xml:space="preserve"> </w:t>
      </w:r>
      <w:r>
        <w:rPr>
          <w:i/>
        </w:rPr>
        <w:t>Id.</w:t>
      </w:r>
      <w:r>
        <w:t xml:space="preserve"> at 912 (emphasis added).</w:t>
      </w:r>
    </w:p>
  </w:footnote>
  <w:footnote w:id="11">
    <w:p w14:paraId="09D99411" w14:textId="77777777" w:rsidR="001227E5" w:rsidRPr="00CA7306" w:rsidRDefault="001227E5" w:rsidP="00296C35">
      <w:pPr>
        <w:pStyle w:val="FootnoteText"/>
      </w:pPr>
      <w:r>
        <w:rPr>
          <w:rStyle w:val="FootnoteReference"/>
        </w:rPr>
        <w:footnoteRef/>
      </w:r>
      <w:r>
        <w:t xml:space="preserve"> </w:t>
      </w:r>
      <w:r>
        <w:rPr>
          <w:i/>
        </w:rPr>
        <w:t>Id.</w:t>
      </w:r>
      <w:r>
        <w:t xml:space="preserve"> at 912 (emphasis added).</w:t>
      </w:r>
    </w:p>
  </w:footnote>
  <w:footnote w:id="12">
    <w:p w14:paraId="7B11F483" w14:textId="33B0EDA4" w:rsidR="001227E5" w:rsidRPr="009D6498" w:rsidRDefault="001227E5" w:rsidP="00827FDC">
      <w:pPr>
        <w:pStyle w:val="FootnoteText"/>
      </w:pPr>
      <w:r>
        <w:rPr>
          <w:rStyle w:val="FootnoteReference"/>
        </w:rPr>
        <w:footnoteRef/>
      </w:r>
      <w:r>
        <w:t xml:space="preserve"> Pursuant to Section 366.82(6), F.S., we must review the conservation goals of each utility subject to FEECA at least every five years. We last established conservation goals for FPL in 2019. Order No. PSC-2018-0509-FOF-EG, issued November 26, 2019, in Docket No. 20190015-EG, </w:t>
      </w:r>
      <w:r>
        <w:rPr>
          <w:i/>
        </w:rPr>
        <w:t>In re: Commission review of numeric conservation goals (Florida Power &amp; Light Company)</w:t>
      </w:r>
      <w:r>
        <w:t>.</w:t>
      </w:r>
    </w:p>
  </w:footnote>
  <w:footnote w:id="13">
    <w:p w14:paraId="7ADE4976" w14:textId="77777777" w:rsidR="001227E5" w:rsidRPr="00BA7F44" w:rsidRDefault="001227E5" w:rsidP="00D06746">
      <w:pPr>
        <w:shd w:val="clear" w:color="auto" w:fill="FFFFFF"/>
        <w:rPr>
          <w:i/>
        </w:rPr>
      </w:pPr>
      <w:r w:rsidRPr="00BA7F44">
        <w:rPr>
          <w:rStyle w:val="FootnoteReference"/>
          <w:sz w:val="20"/>
          <w:szCs w:val="20"/>
        </w:rPr>
        <w:footnoteRef/>
      </w:r>
      <w:r w:rsidRPr="00BA7F44">
        <w:rPr>
          <w:sz w:val="20"/>
          <w:szCs w:val="20"/>
        </w:rPr>
        <w:t xml:space="preserve"> </w:t>
      </w:r>
      <w:r>
        <w:rPr>
          <w:sz w:val="20"/>
          <w:szCs w:val="20"/>
        </w:rPr>
        <w:t xml:space="preserve"> </w:t>
      </w:r>
      <w:r w:rsidRPr="00BA7F44">
        <w:rPr>
          <w:i/>
          <w:sz w:val="20"/>
          <w:szCs w:val="20"/>
        </w:rPr>
        <w:t>See</w:t>
      </w:r>
      <w:r>
        <w:rPr>
          <w:rFonts w:ascii="Arial" w:hAnsi="Arial" w:cs="Arial"/>
          <w:color w:val="000000"/>
        </w:rPr>
        <w:t xml:space="preserve"> </w:t>
      </w:r>
      <w:r w:rsidRPr="00BA7F44">
        <w:rPr>
          <w:i/>
          <w:sz w:val="20"/>
          <w:szCs w:val="20"/>
          <w:bdr w:val="none" w:sz="0" w:space="0" w:color="auto" w:frame="1"/>
        </w:rPr>
        <w:t>Lee v. Dep't of Health &amp; Rehab. Servs.</w:t>
      </w:r>
      <w:r w:rsidRPr="00BA7F44">
        <w:rPr>
          <w:color w:val="000000"/>
          <w:sz w:val="20"/>
          <w:szCs w:val="20"/>
        </w:rPr>
        <w:t>, 698 So. 2d 1194, 1200 (Fla. 1997)</w:t>
      </w:r>
      <w:r>
        <w:rPr>
          <w:color w:val="000000"/>
          <w:sz w:val="20"/>
          <w:szCs w:val="20"/>
        </w:rPr>
        <w:t>.</w:t>
      </w:r>
    </w:p>
  </w:footnote>
  <w:footnote w:id="14">
    <w:p w14:paraId="3CB52815" w14:textId="77777777" w:rsidR="001227E5" w:rsidRPr="00841648" w:rsidRDefault="001227E5" w:rsidP="00296C35">
      <w:pPr>
        <w:shd w:val="clear" w:color="auto" w:fill="FFFFFF"/>
        <w:jc w:val="both"/>
        <w:rPr>
          <w:rFonts w:ascii="Arial" w:hAnsi="Arial" w:cs="Arial"/>
          <w:color w:val="000000"/>
        </w:rPr>
      </w:pPr>
      <w:r w:rsidRPr="00120DD1">
        <w:rPr>
          <w:rStyle w:val="FootnoteReference"/>
          <w:sz w:val="20"/>
          <w:szCs w:val="20"/>
        </w:rPr>
        <w:footnoteRef/>
      </w:r>
      <w:r w:rsidRPr="00120DD1">
        <w:rPr>
          <w:sz w:val="20"/>
          <w:szCs w:val="20"/>
        </w:rPr>
        <w:t xml:space="preserve"> </w:t>
      </w:r>
      <w:r w:rsidRPr="00120DD1">
        <w:rPr>
          <w:i/>
          <w:sz w:val="20"/>
          <w:szCs w:val="20"/>
        </w:rPr>
        <w:t>Cf.</w:t>
      </w:r>
      <w:r>
        <w:rPr>
          <w:i/>
        </w:rPr>
        <w:t xml:space="preserve"> </w:t>
      </w:r>
      <w:r w:rsidRPr="00841648">
        <w:rPr>
          <w:rFonts w:cs="Arial"/>
          <w:i/>
          <w:sz w:val="20"/>
          <w:bdr w:val="none" w:sz="0" w:space="0" w:color="auto" w:frame="1"/>
        </w:rPr>
        <w:t>Lawnwood Med. Ctr., Inc. v. Agency for Health Care Admin.</w:t>
      </w:r>
      <w:r w:rsidRPr="00841648">
        <w:rPr>
          <w:rFonts w:cs="Arial"/>
          <w:sz w:val="20"/>
        </w:rPr>
        <w:t>, 678 So. 2d 421, 425 (Fla. 1st DCA 1996) (“Official recognition is not a device for agencies to circumvent the hearing officer's findings of fact by building a new record on which to make new findings.”).</w:t>
      </w:r>
    </w:p>
  </w:footnote>
  <w:footnote w:id="15">
    <w:p w14:paraId="0CCF7CFB" w14:textId="77777777" w:rsidR="001227E5" w:rsidRDefault="001227E5" w:rsidP="00296C35">
      <w:pPr>
        <w:shd w:val="clear" w:color="auto" w:fill="FFFFFF"/>
        <w:jc w:val="both"/>
      </w:pPr>
      <w:r w:rsidRPr="00BA7F44">
        <w:rPr>
          <w:rStyle w:val="FootnoteReference"/>
          <w:sz w:val="20"/>
        </w:rPr>
        <w:footnoteRef/>
      </w:r>
      <w:r w:rsidRPr="00BA7F44">
        <w:rPr>
          <w:sz w:val="20"/>
        </w:rPr>
        <w:t xml:space="preserve"> </w:t>
      </w:r>
      <w:r>
        <w:rPr>
          <w:i/>
          <w:sz w:val="20"/>
        </w:rPr>
        <w:t xml:space="preserve">See </w:t>
      </w:r>
      <w:r w:rsidRPr="00BA7F44">
        <w:rPr>
          <w:rFonts w:cs="Arial"/>
          <w:i/>
          <w:sz w:val="20"/>
          <w:bdr w:val="none" w:sz="0" w:space="0" w:color="auto" w:frame="1"/>
        </w:rPr>
        <w:t>Citizens of State of Fla. v. Fla. Pub. Serv. Comm'n</w:t>
      </w:r>
      <w:r w:rsidRPr="00BA7F44">
        <w:rPr>
          <w:rFonts w:cs="Arial"/>
          <w:sz w:val="20"/>
        </w:rPr>
        <w:t>, 383 So. 2d 901, 904 (Fla. 1980)</w:t>
      </w:r>
      <w:r>
        <w:rPr>
          <w:rFonts w:cs="Arial"/>
          <w:sz w:val="20"/>
        </w:rPr>
        <w:t xml:space="preserve"> (o</w:t>
      </w:r>
      <w:r w:rsidRPr="00BA7F44">
        <w:rPr>
          <w:sz w:val="20"/>
        </w:rPr>
        <w:t>fficial recognition “</w:t>
      </w:r>
      <w:r w:rsidRPr="00BA7F44">
        <w:rPr>
          <w:rFonts w:cs="Arial"/>
          <w:sz w:val="20"/>
        </w:rPr>
        <w:t>guarantees parties the basic rudiments of procedural due process notice and an opportunity to be heard before permitting agency action which may affect their vital interests”</w:t>
      </w:r>
      <w:r>
        <w:rPr>
          <w:rFonts w:cs="Arial"/>
          <w:sz w:val="20"/>
        </w:rPr>
        <w:t>).</w:t>
      </w:r>
    </w:p>
  </w:footnote>
  <w:footnote w:id="16">
    <w:p w14:paraId="0EFA6A60" w14:textId="77777777" w:rsidR="001227E5" w:rsidRPr="00A67DF7" w:rsidRDefault="001227E5" w:rsidP="00296C35">
      <w:pPr>
        <w:shd w:val="clear" w:color="auto" w:fill="FFFFFF"/>
        <w:rPr>
          <w:color w:val="000000"/>
          <w:sz w:val="20"/>
          <w:szCs w:val="20"/>
        </w:rPr>
      </w:pPr>
      <w:r w:rsidRPr="00A67DF7">
        <w:rPr>
          <w:rStyle w:val="FootnoteReference"/>
          <w:sz w:val="20"/>
          <w:szCs w:val="20"/>
        </w:rPr>
        <w:footnoteRef/>
      </w:r>
      <w:r w:rsidRPr="00A67DF7">
        <w:rPr>
          <w:sz w:val="20"/>
          <w:szCs w:val="20"/>
        </w:rPr>
        <w:t xml:space="preserve"> </w:t>
      </w:r>
      <w:r w:rsidRPr="00A67DF7">
        <w:rPr>
          <w:i/>
          <w:sz w:val="20"/>
          <w:szCs w:val="20"/>
          <w:bdr w:val="none" w:sz="0" w:space="0" w:color="auto" w:frame="1"/>
        </w:rPr>
        <w:t>Fla. Dep't of Transp. v. J.W.C. Co.</w:t>
      </w:r>
      <w:r w:rsidRPr="00A67DF7">
        <w:rPr>
          <w:i/>
          <w:sz w:val="20"/>
          <w:szCs w:val="20"/>
        </w:rPr>
        <w:t>,</w:t>
      </w:r>
      <w:r w:rsidRPr="00A67DF7">
        <w:rPr>
          <w:sz w:val="20"/>
          <w:szCs w:val="20"/>
        </w:rPr>
        <w:t xml:space="preserve"> </w:t>
      </w:r>
      <w:r w:rsidRPr="00A67DF7">
        <w:rPr>
          <w:color w:val="000000"/>
          <w:sz w:val="20"/>
          <w:szCs w:val="20"/>
        </w:rPr>
        <w:t>396 So. 2d 778, 784 (Fla. 1st DCA 1981).</w:t>
      </w:r>
    </w:p>
  </w:footnote>
  <w:footnote w:id="17">
    <w:p w14:paraId="6FFA2E91" w14:textId="77777777" w:rsidR="001227E5" w:rsidRDefault="001227E5">
      <w:pPr>
        <w:pStyle w:val="FootnoteText"/>
      </w:pPr>
      <w:r>
        <w:rPr>
          <w:rStyle w:val="FootnoteReference"/>
        </w:rPr>
        <w:footnoteRef/>
      </w:r>
      <w:r>
        <w:t xml:space="preserve"> </w:t>
      </w:r>
      <w:r>
        <w:rPr>
          <w:i/>
        </w:rPr>
        <w:t>FAIR</w:t>
      </w:r>
      <w:r w:rsidRPr="009753D5">
        <w:rPr>
          <w:i/>
        </w:rPr>
        <w:t>¸</w:t>
      </w:r>
      <w:r w:rsidRPr="009753D5">
        <w:rPr>
          <w:rFonts w:cs="Arial"/>
        </w:rPr>
        <w:t>371 So. 3d at 910.</w:t>
      </w:r>
    </w:p>
  </w:footnote>
  <w:footnote w:id="18">
    <w:p w14:paraId="6BD97346" w14:textId="77777777" w:rsidR="001227E5" w:rsidRDefault="001227E5">
      <w:pPr>
        <w:pStyle w:val="FootnoteText"/>
      </w:pPr>
      <w:r>
        <w:rPr>
          <w:rStyle w:val="FootnoteReference"/>
        </w:rPr>
        <w:footnoteRef/>
      </w:r>
      <w:r>
        <w:t xml:space="preserve"> </w:t>
      </w:r>
      <w:r w:rsidRPr="00071EA8">
        <w:rPr>
          <w:i/>
          <w:color w:val="3D3D3D"/>
          <w:bdr w:val="none" w:sz="0" w:space="0" w:color="auto" w:frame="1"/>
        </w:rPr>
        <w:t>Martuccio v. Dep't of Pro. Regul., Bd. of Optometry</w:t>
      </w:r>
      <w:r w:rsidRPr="00071EA8">
        <w:rPr>
          <w:color w:val="000000"/>
        </w:rPr>
        <w:t>, 622 So. 2d 607, 609 (Fla. 1</w:t>
      </w:r>
      <w:r w:rsidRPr="00907009">
        <w:rPr>
          <w:color w:val="000000"/>
        </w:rPr>
        <w:t>st</w:t>
      </w:r>
      <w:r w:rsidRPr="00071EA8">
        <w:rPr>
          <w:color w:val="000000"/>
        </w:rPr>
        <w:t xml:space="preserve"> DCA 1993) (citation omitted)</w:t>
      </w:r>
      <w:r>
        <w:rPr>
          <w:color w:val="000000"/>
        </w:rPr>
        <w:t>.</w:t>
      </w:r>
    </w:p>
  </w:footnote>
  <w:footnote w:id="19">
    <w:p w14:paraId="1028355A" w14:textId="77777777" w:rsidR="001227E5" w:rsidRDefault="001227E5">
      <w:pPr>
        <w:pStyle w:val="FootnoteText"/>
      </w:pPr>
      <w:r>
        <w:rPr>
          <w:rStyle w:val="FootnoteReference"/>
        </w:rPr>
        <w:footnoteRef/>
      </w:r>
      <w:r>
        <w:t xml:space="preserve"> </w:t>
      </w:r>
      <w:r>
        <w:rPr>
          <w:shd w:val="clear" w:color="auto" w:fill="FFFFFF"/>
        </w:rPr>
        <w:t>Fla. Stat.</w:t>
      </w:r>
      <w:r>
        <w:t xml:space="preserve"> </w:t>
      </w:r>
      <w:r>
        <w:rPr>
          <w:color w:val="000000"/>
        </w:rPr>
        <w:t>§ 120.57(1)(j).</w:t>
      </w:r>
    </w:p>
  </w:footnote>
  <w:footnote w:id="20">
    <w:p w14:paraId="719366FA" w14:textId="77777777" w:rsidR="001227E5" w:rsidRDefault="001227E5">
      <w:pPr>
        <w:pStyle w:val="FootnoteText"/>
      </w:pPr>
      <w:r>
        <w:rPr>
          <w:rStyle w:val="FootnoteReference"/>
        </w:rPr>
        <w:footnoteRef/>
      </w:r>
      <w:r>
        <w:t xml:space="preserve"> </w:t>
      </w:r>
      <w:r w:rsidRPr="00946C62">
        <w:rPr>
          <w:i/>
          <w:bdr w:val="none" w:sz="0" w:space="0" w:color="auto" w:frame="1"/>
        </w:rPr>
        <w:t>S. Fla. Water Mgmt. v. RLI Live Oak, LLC</w:t>
      </w:r>
      <w:r w:rsidRPr="00946C62">
        <w:t>, 139 So. 3d 869, 872 n.1 (Fla. 2014).</w:t>
      </w:r>
    </w:p>
  </w:footnote>
  <w:footnote w:id="21">
    <w:p w14:paraId="64D300DC" w14:textId="1ED548C3" w:rsidR="001227E5" w:rsidRDefault="001227E5">
      <w:pPr>
        <w:pStyle w:val="FootnoteText"/>
      </w:pPr>
      <w:r>
        <w:rPr>
          <w:rStyle w:val="FootnoteReference"/>
        </w:rPr>
        <w:footnoteRef/>
      </w:r>
      <w:r>
        <w:t xml:space="preserve"> The solar adjustments in 2024 and 2025 were not changed by the 2021 Settlement.</w:t>
      </w:r>
    </w:p>
  </w:footnote>
  <w:footnote w:id="22">
    <w:p w14:paraId="3EE2883F" w14:textId="77777777" w:rsidR="001227E5" w:rsidRPr="008A5C2C" w:rsidRDefault="001227E5">
      <w:pPr>
        <w:pStyle w:val="FootnoteText"/>
      </w:pPr>
      <w:r>
        <w:rPr>
          <w:rStyle w:val="FootnoteReference"/>
        </w:rPr>
        <w:footnoteRef/>
      </w:r>
      <w:r>
        <w:t xml:space="preserve"> We need not discuss the prudence of every project being placed into rate base in determining whether a settlement agreement is in the public interest and results in rates that are fair, just, and reasonable. </w:t>
      </w:r>
      <w:r>
        <w:rPr>
          <w:i/>
        </w:rPr>
        <w:t>See</w:t>
      </w:r>
      <w:r>
        <w:t xml:space="preserve"> </w:t>
      </w:r>
      <w:r>
        <w:rPr>
          <w:i/>
        </w:rPr>
        <w:t>Sierra Club v. Brown</w:t>
      </w:r>
      <w:r>
        <w:t>, 243 So. 3d 903, 911-12 (Fla. 2018).</w:t>
      </w:r>
    </w:p>
  </w:footnote>
  <w:footnote w:id="23">
    <w:p w14:paraId="5537F5A0" w14:textId="77777777" w:rsidR="001227E5" w:rsidRDefault="001227E5">
      <w:pPr>
        <w:pStyle w:val="FootnoteText"/>
      </w:pPr>
      <w:r>
        <w:rPr>
          <w:rStyle w:val="FootnoteReference"/>
        </w:rPr>
        <w:footnoteRef/>
      </w:r>
      <w:r>
        <w:t xml:space="preserve"> </w:t>
      </w:r>
      <w:r>
        <w:rPr>
          <w:shd w:val="clear" w:color="auto" w:fill="FFFFFF"/>
        </w:rPr>
        <w:t>Fla. Stat.</w:t>
      </w:r>
      <w:r>
        <w:t xml:space="preserve"> </w:t>
      </w:r>
      <w:r w:rsidRPr="00015BFD">
        <w:rPr>
          <w:color w:val="000000"/>
        </w:rPr>
        <w:t>§ 366.06(1) (emphasis added).</w:t>
      </w:r>
    </w:p>
  </w:footnote>
  <w:footnote w:id="24">
    <w:p w14:paraId="5ED6D137" w14:textId="77777777" w:rsidR="001227E5" w:rsidRPr="005E3FB0" w:rsidRDefault="001227E5" w:rsidP="0095471B">
      <w:pPr>
        <w:shd w:val="clear" w:color="auto" w:fill="FFFFFF"/>
        <w:rPr>
          <w:color w:val="000000"/>
          <w:sz w:val="20"/>
          <w:szCs w:val="20"/>
        </w:rPr>
      </w:pPr>
      <w:r w:rsidRPr="005E3FB0">
        <w:rPr>
          <w:rStyle w:val="FootnoteReference"/>
          <w:sz w:val="20"/>
          <w:szCs w:val="20"/>
        </w:rPr>
        <w:footnoteRef/>
      </w:r>
      <w:r w:rsidRPr="005E3FB0">
        <w:rPr>
          <w:sz w:val="20"/>
          <w:szCs w:val="20"/>
        </w:rPr>
        <w:t xml:space="preserve"> </w:t>
      </w:r>
      <w:r w:rsidRPr="005E3FB0">
        <w:rPr>
          <w:i/>
          <w:color w:val="3D3D3D"/>
          <w:sz w:val="20"/>
          <w:szCs w:val="20"/>
          <w:bdr w:val="none" w:sz="0" w:space="0" w:color="auto" w:frame="1"/>
        </w:rPr>
        <w:t>Somers v. United States</w:t>
      </w:r>
      <w:r w:rsidRPr="005E3FB0">
        <w:rPr>
          <w:color w:val="000000"/>
          <w:sz w:val="20"/>
          <w:szCs w:val="20"/>
        </w:rPr>
        <w:t>, 355 So. 3d 887, 891–92 (Fla. 2022)</w:t>
      </w:r>
      <w:r>
        <w:rPr>
          <w:color w:val="000000"/>
          <w:sz w:val="20"/>
          <w:szCs w:val="20"/>
        </w:rPr>
        <w:t>.</w:t>
      </w:r>
    </w:p>
  </w:footnote>
  <w:footnote w:id="25">
    <w:p w14:paraId="72251FDE" w14:textId="77777777" w:rsidR="001227E5" w:rsidRDefault="001227E5" w:rsidP="00292800">
      <w:pPr>
        <w:pStyle w:val="FootnoteText"/>
      </w:pPr>
      <w:r>
        <w:rPr>
          <w:rStyle w:val="FootnoteReference"/>
        </w:rPr>
        <w:footnoteRef/>
      </w:r>
      <w:r>
        <w:t xml:space="preserve"> </w:t>
      </w:r>
      <w:hyperlink r:id="rId1" w:history="1">
        <w:r w:rsidRPr="00B52E95">
          <w:rPr>
            <w:rStyle w:val="Hyperlink"/>
          </w:rPr>
          <w:t>https://www.merriam-webster.com/dictionary/cost</w:t>
        </w:r>
      </w:hyperlink>
      <w:r>
        <w:t>, last checked 01/31/24.</w:t>
      </w:r>
    </w:p>
  </w:footnote>
  <w:footnote w:id="26">
    <w:p w14:paraId="15446F47" w14:textId="1DCC4013" w:rsidR="001227E5" w:rsidRDefault="001227E5" w:rsidP="00292800">
      <w:pPr>
        <w:pStyle w:val="FootnoteText"/>
      </w:pPr>
      <w:r>
        <w:rPr>
          <w:rStyle w:val="FootnoteReference"/>
        </w:rPr>
        <w:footnoteRef/>
      </w:r>
      <w:r>
        <w:t xml:space="preserve"> </w:t>
      </w:r>
      <w:hyperlink r:id="rId2" w:history="1">
        <w:r w:rsidRPr="00B52E95">
          <w:rPr>
            <w:rStyle w:val="Hyperlink"/>
          </w:rPr>
          <w:t>https://www.merriam-webster.com/dictionary/value</w:t>
        </w:r>
      </w:hyperlink>
      <w:r>
        <w:t>, last checked 01/19/24.</w:t>
      </w:r>
      <w:r w:rsidRPr="00E31AF4">
        <w:rPr>
          <w:color w:val="212529"/>
          <w:shd w:val="clear" w:color="auto" w:fill="FFFFFF"/>
        </w:rPr>
        <w:t xml:space="preserve"> </w:t>
      </w:r>
      <w:r>
        <w:rPr>
          <w:color w:val="212529"/>
          <w:shd w:val="clear" w:color="auto" w:fill="FFFFFF"/>
        </w:rPr>
        <w:t xml:space="preserve">Some common definitions of “value” are virtually the same as “cost.” However, assigning both terms the same definition and treating them as the same would not be consistent with the legislative directive that we consider cost </w:t>
      </w:r>
      <w:r>
        <w:rPr>
          <w:color w:val="212529"/>
          <w:u w:val="single"/>
          <w:shd w:val="clear" w:color="auto" w:fill="FFFFFF"/>
        </w:rPr>
        <w:t>as well as</w:t>
      </w:r>
      <w:r>
        <w:rPr>
          <w:color w:val="212529"/>
          <w:shd w:val="clear" w:color="auto" w:fill="FFFFFF"/>
        </w:rPr>
        <w:t xml:space="preserve"> value. Moreover, courts have cautioned against ascribing the same meaning to two different terms when the legislature uses them in the statute.</w:t>
      </w:r>
      <w:r w:rsidRPr="00015BFD">
        <w:rPr>
          <w:color w:val="000000"/>
        </w:rPr>
        <w:t xml:space="preserve"> </w:t>
      </w:r>
      <w:r>
        <w:rPr>
          <w:color w:val="000000"/>
        </w:rPr>
        <w:t>“</w:t>
      </w:r>
      <w:r w:rsidRPr="00015BFD">
        <w:rPr>
          <w:color w:val="000000"/>
        </w:rPr>
        <w:t>The legislative use of different terms in different portions of the same statute is strong evidence that different meanings were intended.</w:t>
      </w:r>
      <w:r>
        <w:rPr>
          <w:color w:val="000000"/>
        </w:rPr>
        <w:t>”</w:t>
      </w:r>
      <w:r w:rsidRPr="00E31AF4">
        <w:rPr>
          <w:i/>
          <w:color w:val="000000"/>
        </w:rPr>
        <w:t xml:space="preserve"> </w:t>
      </w:r>
      <w:r>
        <w:rPr>
          <w:i/>
          <w:color w:val="000000"/>
        </w:rPr>
        <w:t>Department of Business Regulation v. Durrani</w:t>
      </w:r>
      <w:r w:rsidRPr="00467E14">
        <w:rPr>
          <w:color w:val="000000"/>
        </w:rPr>
        <w:t xml:space="preserve">, 455 So. 2d 515, 518 (Fla. </w:t>
      </w:r>
      <w:r>
        <w:rPr>
          <w:color w:val="000000"/>
        </w:rPr>
        <w:t>1</w:t>
      </w:r>
      <w:r w:rsidRPr="00015BFD">
        <w:rPr>
          <w:color w:val="000000"/>
          <w:vertAlign w:val="superscript"/>
        </w:rPr>
        <w:t>st</w:t>
      </w:r>
      <w:r>
        <w:rPr>
          <w:color w:val="000000"/>
        </w:rPr>
        <w:t xml:space="preserve"> DCA</w:t>
      </w:r>
      <w:r w:rsidRPr="00467E14">
        <w:rPr>
          <w:color w:val="000000"/>
        </w:rPr>
        <w:t xml:space="preserve"> 1984)</w:t>
      </w:r>
      <w:r>
        <w:rPr>
          <w:color w:val="000000"/>
        </w:rPr>
        <w:t>.</w:t>
      </w:r>
      <w:r w:rsidRPr="00E31AF4">
        <w:rPr>
          <w:color w:val="212529"/>
          <w:shd w:val="clear" w:color="auto" w:fill="FFFFFF"/>
        </w:rPr>
        <w:t xml:space="preserve"> </w:t>
      </w:r>
      <w:r>
        <w:rPr>
          <w:color w:val="212529"/>
          <w:shd w:val="clear" w:color="auto" w:fill="FFFFFF"/>
        </w:rPr>
        <w:t>The placement of “value” in this statute between two retrospective terms – “r</w:t>
      </w:r>
      <w:r w:rsidRPr="00963E50">
        <w:rPr>
          <w:shd w:val="clear" w:color="auto" w:fill="FFFFFF"/>
        </w:rPr>
        <w:t>ate history</w:t>
      </w:r>
      <w:r>
        <w:rPr>
          <w:shd w:val="clear" w:color="auto" w:fill="FFFFFF"/>
        </w:rPr>
        <w:t>”</w:t>
      </w:r>
      <w:r w:rsidRPr="00963E50">
        <w:rPr>
          <w:shd w:val="clear" w:color="auto" w:fill="FFFFFF"/>
        </w:rPr>
        <w:t xml:space="preserve"> and </w:t>
      </w:r>
      <w:r>
        <w:rPr>
          <w:shd w:val="clear" w:color="auto" w:fill="FFFFFF"/>
        </w:rPr>
        <w:t>“</w:t>
      </w:r>
      <w:r w:rsidRPr="00963E50">
        <w:rPr>
          <w:shd w:val="clear" w:color="auto" w:fill="FFFFFF"/>
        </w:rPr>
        <w:t>experience of the public utility</w:t>
      </w:r>
      <w:r>
        <w:rPr>
          <w:shd w:val="clear" w:color="auto" w:fill="FFFFFF"/>
        </w:rPr>
        <w:t xml:space="preserve">” – </w:t>
      </w:r>
      <w:r>
        <w:rPr>
          <w:color w:val="212529"/>
          <w:shd w:val="clear" w:color="auto" w:fill="FFFFFF"/>
        </w:rPr>
        <w:t>directs us to make an examination of the relative value of past service a part of our inquiry. Additionally, the Legislature’s use of the phrase “</w:t>
      </w:r>
      <w:r w:rsidRPr="00963E50">
        <w:rPr>
          <w:shd w:val="clear" w:color="auto" w:fill="FFFFFF"/>
        </w:rPr>
        <w:t>the value of such service to the public</w:t>
      </w:r>
      <w:r>
        <w:rPr>
          <w:shd w:val="clear" w:color="auto" w:fill="FFFFFF"/>
        </w:rPr>
        <w:t>” in a different statute also addressing rates and the “efficiency” of facilities” reinforces our conclusion that our inquiry is to include overall utility performance beyond cost.</w:t>
      </w:r>
    </w:p>
  </w:footnote>
  <w:footnote w:id="27">
    <w:p w14:paraId="7D6DB25C" w14:textId="519A3A42" w:rsidR="001227E5" w:rsidRDefault="001227E5">
      <w:pPr>
        <w:pStyle w:val="FootnoteText"/>
      </w:pPr>
      <w:r>
        <w:rPr>
          <w:rStyle w:val="FootnoteReference"/>
        </w:rPr>
        <w:footnoteRef/>
      </w:r>
      <w:r>
        <w:t xml:space="preserve"> FPL residential bills are 40 percent</w:t>
      </w:r>
      <w:r w:rsidDel="006F0351">
        <w:t xml:space="preserve"> </w:t>
      </w:r>
      <w:r>
        <w:t>below the average of the 20 largest (by number of customers) investor-owned utilities in the country.</w:t>
      </w:r>
    </w:p>
  </w:footnote>
  <w:footnote w:id="28">
    <w:p w14:paraId="74605CC5" w14:textId="1B73A503" w:rsidR="001227E5" w:rsidRDefault="001227E5">
      <w:pPr>
        <w:pStyle w:val="FootnoteText"/>
      </w:pPr>
      <w:r>
        <w:rPr>
          <w:rStyle w:val="FootnoteReference"/>
        </w:rPr>
        <w:footnoteRef/>
      </w:r>
      <w:r>
        <w:t xml:space="preserve"> FPL’s reliability is 58 percent</w:t>
      </w:r>
      <w:r w:rsidDel="006F0351">
        <w:t xml:space="preserve"> </w:t>
      </w:r>
      <w:r>
        <w:t>better than the national average.</w:t>
      </w:r>
    </w:p>
  </w:footnote>
  <w:footnote w:id="29">
    <w:p w14:paraId="6D6E0CA9" w14:textId="2EFD8BEB" w:rsidR="001227E5" w:rsidRPr="003E3F40" w:rsidRDefault="001227E5" w:rsidP="003E3F40">
      <w:pPr>
        <w:pStyle w:val="FootnoteText"/>
      </w:pPr>
      <w:r>
        <w:rPr>
          <w:rStyle w:val="FootnoteReference"/>
        </w:rPr>
        <w:footnoteRef/>
      </w:r>
      <w:r>
        <w:t xml:space="preserve"> FPL Witness Bores identified the drivers of the increased revenue requirement behind the requested rate increases for 2022 and 2023. Each of these drivers that has been specifically contested by Intervenors is discussed in the section of this Order under the specific issue headings.</w:t>
      </w:r>
    </w:p>
  </w:footnote>
  <w:footnote w:id="30">
    <w:p w14:paraId="31E8A389" w14:textId="77777777" w:rsidR="001227E5" w:rsidRPr="000F48EE" w:rsidRDefault="001227E5">
      <w:pPr>
        <w:pStyle w:val="FootnoteText"/>
      </w:pPr>
      <w:r>
        <w:rPr>
          <w:rStyle w:val="FootnoteReference"/>
        </w:rPr>
        <w:footnoteRef/>
      </w:r>
      <w:r>
        <w:t xml:space="preserve"> Order No. PSC-2021-0202-AS-EI, issued June 4, 2021, in Docket No. 20210016-EI, </w:t>
      </w:r>
      <w:r>
        <w:rPr>
          <w:i/>
        </w:rPr>
        <w:t>In re: Petition for Limited Proceeding to Approve 2021 Settlement Agreement, Including General Base Rate Increase, by Duke Energy Florida, LLC.</w:t>
      </w:r>
    </w:p>
  </w:footnote>
  <w:footnote w:id="31">
    <w:p w14:paraId="44D6873A" w14:textId="77777777" w:rsidR="001227E5" w:rsidRPr="000E3B7D" w:rsidRDefault="001227E5">
      <w:pPr>
        <w:pStyle w:val="FootnoteText"/>
      </w:pPr>
      <w:r>
        <w:rPr>
          <w:rStyle w:val="FootnoteReference"/>
        </w:rPr>
        <w:footnoteRef/>
      </w:r>
      <w:r>
        <w:t xml:space="preserve"> Order No. PSC-2021-0423-S-EI, issued November 10, 2021, in Docket No. 20210034-EI, </w:t>
      </w:r>
      <w:r>
        <w:rPr>
          <w:i/>
        </w:rPr>
        <w:t>In re: Petition for rate increase by Tampa Electric Company</w:t>
      </w:r>
      <w:r>
        <w:t>.</w:t>
      </w:r>
    </w:p>
  </w:footnote>
  <w:footnote w:id="32">
    <w:p w14:paraId="750E8858" w14:textId="77777777" w:rsidR="001227E5" w:rsidRDefault="001227E5">
      <w:pPr>
        <w:pStyle w:val="FootnoteText"/>
      </w:pPr>
      <w:r>
        <w:rPr>
          <w:rStyle w:val="FootnoteReference"/>
        </w:rPr>
        <w:footnoteRef/>
      </w:r>
      <w:r>
        <w:t xml:space="preserve"> We have long recognized that t</w:t>
      </w:r>
      <w:r>
        <w:rPr>
          <w:color w:val="000000"/>
        </w:rPr>
        <w:t xml:space="preserve">he ROE we approve for one company does not mandate that we approve a similar ROE for a different company. </w:t>
      </w:r>
      <w:r w:rsidRPr="00040E74">
        <w:rPr>
          <w:i/>
          <w:color w:val="000000"/>
        </w:rPr>
        <w:t>See</w:t>
      </w:r>
      <w:r>
        <w:rPr>
          <w:color w:val="000000"/>
        </w:rPr>
        <w:t xml:space="preserve"> </w:t>
      </w:r>
      <w:r>
        <w:rPr>
          <w:i/>
          <w:color w:val="000000"/>
        </w:rPr>
        <w:t>United Telephone Co. v. Mayo</w:t>
      </w:r>
      <w:r>
        <w:rPr>
          <w:color w:val="000000"/>
        </w:rPr>
        <w:t>, 345 So. 2d 648, 654 (Fla. 1977).</w:t>
      </w:r>
    </w:p>
  </w:footnote>
  <w:footnote w:id="33">
    <w:p w14:paraId="3689ADCA" w14:textId="29F3736C" w:rsidR="001227E5" w:rsidRDefault="001227E5">
      <w:pPr>
        <w:pStyle w:val="FootnoteText"/>
      </w:pPr>
      <w:r>
        <w:rPr>
          <w:rStyle w:val="FootnoteReference"/>
        </w:rPr>
        <w:footnoteRef/>
      </w:r>
      <w:r>
        <w:t xml:space="preserve"> </w:t>
      </w:r>
      <w:r>
        <w:rPr>
          <w:rFonts w:eastAsiaTheme="minorHAnsi"/>
        </w:rPr>
        <w:t>T. Vol. 12 at 2594.</w:t>
      </w:r>
    </w:p>
  </w:footnote>
  <w:footnote w:id="34">
    <w:p w14:paraId="38396C28" w14:textId="08C9A070" w:rsidR="001227E5" w:rsidRDefault="001227E5">
      <w:pPr>
        <w:pStyle w:val="FootnoteText"/>
      </w:pPr>
      <w:r>
        <w:rPr>
          <w:rStyle w:val="FootnoteReference"/>
        </w:rPr>
        <w:footnoteRef/>
      </w:r>
      <w:r>
        <w:t xml:space="preserve"> T. Vol. 9 at 2082.</w:t>
      </w:r>
    </w:p>
  </w:footnote>
  <w:footnote w:id="35">
    <w:p w14:paraId="1230ED01" w14:textId="7F8D54FB" w:rsidR="001227E5" w:rsidRDefault="001227E5">
      <w:pPr>
        <w:pStyle w:val="FootnoteText"/>
      </w:pPr>
      <w:r>
        <w:rPr>
          <w:rStyle w:val="FootnoteReference"/>
        </w:rPr>
        <w:footnoteRef/>
      </w:r>
      <w:r>
        <w:t xml:space="preserve"> T. Vol. 10 at 2258.</w:t>
      </w:r>
    </w:p>
  </w:footnote>
  <w:footnote w:id="36">
    <w:p w14:paraId="499194B9" w14:textId="77777777" w:rsidR="001227E5" w:rsidRPr="00670CEC" w:rsidRDefault="001227E5" w:rsidP="00E14F6C">
      <w:pPr>
        <w:shd w:val="clear" w:color="auto" w:fill="FFFFFF"/>
        <w:rPr>
          <w:sz w:val="20"/>
          <w:szCs w:val="20"/>
        </w:rPr>
      </w:pPr>
      <w:r w:rsidRPr="00670CEC">
        <w:rPr>
          <w:rStyle w:val="FootnoteReference"/>
          <w:sz w:val="20"/>
          <w:szCs w:val="20"/>
        </w:rPr>
        <w:footnoteRef/>
      </w:r>
      <w:r w:rsidRPr="00670CEC">
        <w:rPr>
          <w:sz w:val="20"/>
          <w:szCs w:val="20"/>
        </w:rPr>
        <w:t xml:space="preserve"> </w:t>
      </w:r>
      <w:r w:rsidRPr="009E5953">
        <w:rPr>
          <w:i/>
          <w:sz w:val="20"/>
          <w:szCs w:val="20"/>
          <w:bdr w:val="none" w:sz="0" w:space="0" w:color="auto" w:frame="1"/>
        </w:rPr>
        <w:t>United Tel. Co. of Fla. v. Mayo</w:t>
      </w:r>
      <w:r w:rsidRPr="009E5953">
        <w:rPr>
          <w:sz w:val="20"/>
          <w:szCs w:val="20"/>
        </w:rPr>
        <w:t>, 345 So. 2d 648, 653 (Fla. 1977)</w:t>
      </w:r>
      <w:r w:rsidRPr="00670CEC">
        <w:rPr>
          <w:sz w:val="20"/>
          <w:szCs w:val="20"/>
        </w:rPr>
        <w:t>.</w:t>
      </w:r>
    </w:p>
  </w:footnote>
  <w:footnote w:id="37">
    <w:p w14:paraId="710367AD" w14:textId="77777777" w:rsidR="001227E5" w:rsidRDefault="001227E5">
      <w:pPr>
        <w:pStyle w:val="FootnoteText"/>
      </w:pPr>
      <w:r>
        <w:rPr>
          <w:rStyle w:val="FootnoteReference"/>
        </w:rPr>
        <w:footnoteRef/>
      </w:r>
      <w:r>
        <w:t xml:space="preserve"> </w:t>
      </w:r>
      <w:r>
        <w:rPr>
          <w:rFonts w:eastAsiaTheme="minorHAnsi"/>
          <w:i/>
          <w:iCs/>
        </w:rPr>
        <w:t>Federal Power Comm'n v. Hope Natural Gas Co.</w:t>
      </w:r>
      <w:r>
        <w:rPr>
          <w:rFonts w:eastAsiaTheme="minorHAnsi"/>
        </w:rPr>
        <w:t xml:space="preserve">, 320 U.S. 591 (1944); </w:t>
      </w:r>
      <w:r>
        <w:rPr>
          <w:rFonts w:eastAsiaTheme="minorHAnsi"/>
          <w:i/>
          <w:iCs/>
        </w:rPr>
        <w:t>Bluefield Water Works and Improvement Co. v. Public Service Comm'n</w:t>
      </w:r>
      <w:r>
        <w:rPr>
          <w:rFonts w:eastAsiaTheme="minorHAnsi"/>
        </w:rPr>
        <w:t>, 262 U.S. 679 (1923).</w:t>
      </w:r>
    </w:p>
  </w:footnote>
  <w:footnote w:id="38">
    <w:p w14:paraId="2AAD5C53" w14:textId="77777777" w:rsidR="001227E5" w:rsidRDefault="001227E5">
      <w:pPr>
        <w:pStyle w:val="FootnoteText"/>
      </w:pPr>
      <w:r>
        <w:rPr>
          <w:rStyle w:val="FootnoteReference"/>
        </w:rPr>
        <w:footnoteRef/>
      </w:r>
      <w:r>
        <w:t xml:space="preserve"> </w:t>
      </w:r>
      <w:r>
        <w:rPr>
          <w:rFonts w:eastAsiaTheme="minorHAnsi"/>
          <w:i/>
          <w:iCs/>
        </w:rPr>
        <w:t>Hope</w:t>
      </w:r>
      <w:r>
        <w:rPr>
          <w:rFonts w:eastAsiaTheme="minorHAnsi"/>
        </w:rPr>
        <w:t xml:space="preserve">, 320 U.S. at 603; </w:t>
      </w:r>
      <w:r>
        <w:rPr>
          <w:rFonts w:eastAsiaTheme="minorHAnsi"/>
          <w:i/>
          <w:iCs/>
        </w:rPr>
        <w:t>Bluefield</w:t>
      </w:r>
      <w:r>
        <w:rPr>
          <w:rFonts w:eastAsiaTheme="minorHAnsi"/>
        </w:rPr>
        <w:t>, 262 U.S. at 692-93.</w:t>
      </w:r>
    </w:p>
  </w:footnote>
  <w:footnote w:id="39">
    <w:p w14:paraId="57BB9506" w14:textId="63474CE3" w:rsidR="001227E5" w:rsidRDefault="001227E5">
      <w:pPr>
        <w:pStyle w:val="FootnoteText"/>
      </w:pPr>
      <w:r>
        <w:rPr>
          <w:rStyle w:val="FootnoteReference"/>
        </w:rPr>
        <w:footnoteRef/>
      </w:r>
      <w:r>
        <w:t xml:space="preserve"> The proxy groups also include both vertically integrated utilities</w:t>
      </w:r>
      <w:r w:rsidRPr="00B2289E">
        <w:t xml:space="preserve"> </w:t>
      </w:r>
      <w:r>
        <w:t>that own generation assets, like FPL, and utilities that own no such assets (transmission and distribution utilities). Vertically integrated utilities have a higher business risk.</w:t>
      </w:r>
    </w:p>
  </w:footnote>
  <w:footnote w:id="40">
    <w:p w14:paraId="5250DBD9" w14:textId="77777777" w:rsidR="001227E5" w:rsidRDefault="001227E5">
      <w:pPr>
        <w:pStyle w:val="FootnoteText"/>
      </w:pPr>
      <w:r>
        <w:rPr>
          <w:rStyle w:val="FootnoteReference"/>
        </w:rPr>
        <w:footnoteRef/>
      </w:r>
      <w:r>
        <w:t xml:space="preserve"> We have also reviewed and weighed the testimony relied upon by FAIR and Florida Rising that had been prefiled by OPC prior to entering the 2021 Settlement.</w:t>
      </w:r>
    </w:p>
  </w:footnote>
  <w:footnote w:id="41">
    <w:p w14:paraId="030EF76A" w14:textId="77777777" w:rsidR="001227E5" w:rsidRDefault="001227E5">
      <w:pPr>
        <w:pStyle w:val="FootnoteText"/>
      </w:pPr>
      <w:r>
        <w:rPr>
          <w:rStyle w:val="FootnoteReference"/>
        </w:rPr>
        <w:footnoteRef/>
      </w:r>
      <w:r>
        <w:t xml:space="preserve"> </w:t>
      </w:r>
      <w:r w:rsidRPr="00A46A9E">
        <w:rPr>
          <w:i/>
          <w:bdr w:val="none" w:sz="0" w:space="0" w:color="auto" w:frame="1"/>
        </w:rPr>
        <w:t>Rossi v. Brown</w:t>
      </w:r>
      <w:r w:rsidRPr="00A46A9E">
        <w:t>, 581 So. 2d 615, 617 (Fla. 3</w:t>
      </w:r>
      <w:r>
        <w:t>d</w:t>
      </w:r>
      <w:r w:rsidRPr="00A46A9E">
        <w:t xml:space="preserve"> DCA 1991)</w:t>
      </w:r>
      <w:r>
        <w:t>.</w:t>
      </w:r>
    </w:p>
  </w:footnote>
  <w:footnote w:id="42">
    <w:p w14:paraId="70366057" w14:textId="77777777" w:rsidR="001227E5" w:rsidRPr="009E4C02" w:rsidRDefault="001227E5" w:rsidP="009E4C02">
      <w:pPr>
        <w:shd w:val="clear" w:color="auto" w:fill="FFFFFF"/>
        <w:jc w:val="both"/>
        <w:rPr>
          <w:i/>
          <w:sz w:val="20"/>
          <w:szCs w:val="20"/>
        </w:rPr>
      </w:pPr>
      <w:r w:rsidRPr="009E4C02">
        <w:rPr>
          <w:rStyle w:val="FootnoteReference"/>
          <w:sz w:val="20"/>
          <w:szCs w:val="20"/>
        </w:rPr>
        <w:footnoteRef/>
      </w:r>
      <w:r w:rsidRPr="009E4C02">
        <w:rPr>
          <w:sz w:val="20"/>
          <w:szCs w:val="20"/>
        </w:rPr>
        <w:t xml:space="preserve"> </w:t>
      </w:r>
      <w:r w:rsidRPr="009E4C02">
        <w:rPr>
          <w:i/>
          <w:sz w:val="20"/>
          <w:szCs w:val="20"/>
          <w:bdr w:val="none" w:sz="0" w:space="0" w:color="auto" w:frame="1"/>
        </w:rPr>
        <w:t>Wald v. Grainger</w:t>
      </w:r>
      <w:r w:rsidRPr="009E4C02">
        <w:rPr>
          <w:sz w:val="20"/>
          <w:szCs w:val="20"/>
        </w:rPr>
        <w:t>, 64 So. 3d 1201, 1205 (Fla. 2011); s</w:t>
      </w:r>
      <w:r w:rsidRPr="009E4C02">
        <w:rPr>
          <w:i/>
          <w:sz w:val="20"/>
          <w:szCs w:val="20"/>
        </w:rPr>
        <w:t xml:space="preserve">ee also </w:t>
      </w:r>
      <w:r w:rsidRPr="009E4C02">
        <w:rPr>
          <w:i/>
          <w:sz w:val="20"/>
          <w:szCs w:val="20"/>
          <w:bdr w:val="none" w:sz="0" w:space="0" w:color="auto" w:frame="1"/>
        </w:rPr>
        <w:t>Dep't of Agric. &amp; Consumer Servs. v. Bogorff</w:t>
      </w:r>
      <w:r w:rsidRPr="009E4C02">
        <w:rPr>
          <w:sz w:val="20"/>
          <w:szCs w:val="20"/>
        </w:rPr>
        <w:t>, 35 So. 3d 84, 88 (Fla. 4</w:t>
      </w:r>
      <w:r w:rsidRPr="00907009">
        <w:rPr>
          <w:sz w:val="20"/>
          <w:szCs w:val="20"/>
        </w:rPr>
        <w:t>th</w:t>
      </w:r>
      <w:r w:rsidRPr="009E4C02">
        <w:rPr>
          <w:sz w:val="20"/>
          <w:szCs w:val="20"/>
        </w:rPr>
        <w:t xml:space="preserve"> DCA 2010) (“[T]he finder of fact is free to determine the reliability and credibility of </w:t>
      </w:r>
      <w:r w:rsidRPr="009E4C02">
        <w:rPr>
          <w:sz w:val="20"/>
          <w:szCs w:val="20"/>
          <w:bdr w:val="none" w:sz="0" w:space="0" w:color="auto" w:frame="1"/>
          <w:shd w:val="clear" w:color="auto" w:fill="FFFFFF"/>
        </w:rPr>
        <w:t>expert</w:t>
      </w:r>
      <w:r w:rsidRPr="009E4C02">
        <w:rPr>
          <w:sz w:val="20"/>
          <w:szCs w:val="20"/>
        </w:rPr>
        <w:t xml:space="preserve"> opinions and, if </w:t>
      </w:r>
      <w:r w:rsidRPr="009E4C02">
        <w:rPr>
          <w:sz w:val="20"/>
          <w:szCs w:val="20"/>
          <w:bdr w:val="none" w:sz="0" w:space="0" w:color="auto" w:frame="1"/>
          <w:shd w:val="clear" w:color="auto" w:fill="FFFFFF"/>
        </w:rPr>
        <w:t>conflicting</w:t>
      </w:r>
      <w:r w:rsidRPr="009E4C02">
        <w:rPr>
          <w:sz w:val="20"/>
          <w:szCs w:val="20"/>
        </w:rPr>
        <w:t>, to weigh them as the finder sees fit.”).</w:t>
      </w:r>
    </w:p>
  </w:footnote>
  <w:footnote w:id="43">
    <w:p w14:paraId="711AEAB5" w14:textId="77777777" w:rsidR="001227E5" w:rsidRPr="00261FF0" w:rsidRDefault="001227E5">
      <w:pPr>
        <w:pStyle w:val="FootnoteText"/>
      </w:pPr>
      <w:r>
        <w:rPr>
          <w:rStyle w:val="FootnoteReference"/>
        </w:rPr>
        <w:footnoteRef/>
      </w:r>
      <w:r>
        <w:t xml:space="preserve"> </w:t>
      </w:r>
      <w:r>
        <w:rPr>
          <w:i/>
        </w:rPr>
        <w:t>Mayo</w:t>
      </w:r>
      <w:r>
        <w:t>, 345 So.2d at 654.</w:t>
      </w:r>
    </w:p>
  </w:footnote>
  <w:footnote w:id="44">
    <w:p w14:paraId="46179086" w14:textId="55CD5B7E" w:rsidR="001227E5" w:rsidRDefault="001227E5">
      <w:pPr>
        <w:pStyle w:val="FootnoteText"/>
      </w:pPr>
      <w:r>
        <w:rPr>
          <w:rStyle w:val="FootnoteReference"/>
        </w:rPr>
        <w:footnoteRef/>
      </w:r>
      <w:r>
        <w:t xml:space="preserve"> Order No. PSC-2021-0423-S-EI, issued November 10, 2021, in Docket No. 20210034-EI, </w:t>
      </w:r>
      <w:r>
        <w:rPr>
          <w:i/>
        </w:rPr>
        <w:t>In re: Petition for rate increase by Tampa Electric Company</w:t>
      </w:r>
      <w:r>
        <w:t>.</w:t>
      </w:r>
    </w:p>
  </w:footnote>
  <w:footnote w:id="45">
    <w:p w14:paraId="49421DC2" w14:textId="3269F64B" w:rsidR="001227E5" w:rsidRDefault="001227E5">
      <w:pPr>
        <w:pStyle w:val="FootnoteText"/>
      </w:pPr>
      <w:r>
        <w:rPr>
          <w:rStyle w:val="FootnoteReference"/>
        </w:rPr>
        <w:footnoteRef/>
      </w:r>
      <w:r>
        <w:t xml:space="preserve"> Order No. PSC-2021-0202-AS-EI, issued June 4, 2021, in Docket No. 20210016-EI, </w:t>
      </w:r>
      <w:r>
        <w:rPr>
          <w:i/>
        </w:rPr>
        <w:t>In re: Petition for Limited Proceeding to Approve 2021 Settlement Agreement, Including General Base Rate Increase, by Duke Energy Florida, LLC.</w:t>
      </w:r>
    </w:p>
  </w:footnote>
  <w:footnote w:id="46">
    <w:p w14:paraId="30AB1153" w14:textId="415D9AE6" w:rsidR="001227E5" w:rsidRDefault="001227E5" w:rsidP="00292800">
      <w:pPr>
        <w:pStyle w:val="FootnoteText"/>
      </w:pPr>
      <w:r>
        <w:rPr>
          <w:rStyle w:val="FootnoteReference"/>
        </w:rPr>
        <w:footnoteRef/>
      </w:r>
      <w:r>
        <w:t xml:space="preserve"> OPC Witness Woolridge calculated an average ratio of 44.5 percent</w:t>
      </w:r>
      <w:r w:rsidDel="006F0351">
        <w:t xml:space="preserve"> </w:t>
      </w:r>
      <w:r>
        <w:t>using his proxy group and an average of 45.4 percent</w:t>
      </w:r>
      <w:r w:rsidDel="006F0351">
        <w:t xml:space="preserve"> </w:t>
      </w:r>
      <w:r>
        <w:t>using FPL Witness Coyne’s proxy group.</w:t>
      </w:r>
    </w:p>
  </w:footnote>
  <w:footnote w:id="47">
    <w:p w14:paraId="704AC255" w14:textId="50311893" w:rsidR="001227E5" w:rsidRDefault="001227E5">
      <w:pPr>
        <w:pStyle w:val="FootnoteText"/>
      </w:pPr>
      <w:r>
        <w:rPr>
          <w:rStyle w:val="FootnoteReference"/>
        </w:rPr>
        <w:footnoteRef/>
      </w:r>
      <w:r>
        <w:t xml:space="preserve"> T. Vol. 12 at 2594.</w:t>
      </w:r>
    </w:p>
  </w:footnote>
  <w:footnote w:id="48">
    <w:p w14:paraId="30BAF1DD" w14:textId="3F0C3BC0" w:rsidR="001227E5" w:rsidRDefault="001227E5" w:rsidP="00D06746">
      <w:pPr>
        <w:pStyle w:val="ListParagraph"/>
        <w:ind w:left="0"/>
        <w:jc w:val="both"/>
      </w:pPr>
      <w:r w:rsidRPr="00D06746">
        <w:rPr>
          <w:rStyle w:val="FootnoteReference"/>
          <w:sz w:val="20"/>
          <w:szCs w:val="20"/>
        </w:rPr>
        <w:footnoteRef/>
      </w:r>
      <w:r w:rsidRPr="00D06746">
        <w:rPr>
          <w:sz w:val="20"/>
          <w:szCs w:val="20"/>
        </w:rPr>
        <w:t xml:space="preserve"> T. Vol. 3 at 730-31.</w:t>
      </w:r>
    </w:p>
  </w:footnote>
  <w:footnote w:id="49">
    <w:p w14:paraId="4AD871A4" w14:textId="56777DBB" w:rsidR="001227E5" w:rsidRDefault="001227E5">
      <w:pPr>
        <w:pStyle w:val="FootnoteText"/>
      </w:pPr>
      <w:r>
        <w:rPr>
          <w:rStyle w:val="FootnoteReference"/>
        </w:rPr>
        <w:footnoteRef/>
      </w:r>
      <w:r>
        <w:t xml:space="preserve"> T. Vol. 4 at 751.</w:t>
      </w:r>
    </w:p>
  </w:footnote>
  <w:footnote w:id="50">
    <w:p w14:paraId="2DC46276" w14:textId="77777777" w:rsidR="001227E5" w:rsidRPr="0063723B" w:rsidRDefault="001227E5">
      <w:pPr>
        <w:pStyle w:val="FootnoteText"/>
      </w:pPr>
      <w:r>
        <w:rPr>
          <w:rStyle w:val="FootnoteReference"/>
        </w:rPr>
        <w:footnoteRef/>
      </w:r>
      <w:r>
        <w:t xml:space="preserve"> Long-term rate stability and the resulting avoidance of the cost and expense of multiple rate cases as beneficial to ratepayers. </w:t>
      </w:r>
      <w:r>
        <w:rPr>
          <w:i/>
        </w:rPr>
        <w:t xml:space="preserve">See, e.g., </w:t>
      </w:r>
      <w:r>
        <w:t xml:space="preserve">Order No. PSC-01-0759-FOF-SU, issued March 26, 2001, in Docket No. 9709910SU, </w:t>
      </w:r>
      <w:r>
        <w:rPr>
          <w:i/>
        </w:rPr>
        <w:t>In re: Investigation into Rates and Charges of Florida Cities Water Co. – Lee Division (South Ft. Myers Wastewater System) for Potential Overearnings</w:t>
      </w:r>
      <w:r>
        <w:t>.</w:t>
      </w:r>
    </w:p>
  </w:footnote>
  <w:footnote w:id="51">
    <w:p w14:paraId="62022361" w14:textId="535D188E" w:rsidR="001227E5" w:rsidRDefault="001227E5">
      <w:pPr>
        <w:pStyle w:val="FootnoteText"/>
      </w:pPr>
      <w:r>
        <w:rPr>
          <w:rStyle w:val="FootnoteReference"/>
        </w:rPr>
        <w:footnoteRef/>
      </w:r>
      <w:r>
        <w:t xml:space="preserve"> For instance, “FPL’s non-fuel O&amp;M expense per customer and per MWh in 2019 were best in the nation by a wide margin.”</w:t>
      </w:r>
    </w:p>
  </w:footnote>
  <w:footnote w:id="52">
    <w:p w14:paraId="54DD5DB0" w14:textId="77777777" w:rsidR="001227E5" w:rsidRPr="00907009" w:rsidRDefault="001227E5" w:rsidP="008738CF">
      <w:pPr>
        <w:jc w:val="both"/>
        <w:rPr>
          <w:color w:val="1F1F1F"/>
        </w:rPr>
      </w:pPr>
      <w:r>
        <w:rPr>
          <w:rStyle w:val="FootnoteReference"/>
        </w:rPr>
        <w:footnoteRef/>
      </w:r>
      <w:r>
        <w:t xml:space="preserve"> </w:t>
      </w:r>
      <w:r w:rsidRPr="00CA025B">
        <w:rPr>
          <w:sz w:val="20"/>
          <w:szCs w:val="20"/>
        </w:rPr>
        <w:t xml:space="preserve">CPVRR means </w:t>
      </w:r>
      <w:r w:rsidRPr="00CA025B">
        <w:rPr>
          <w:color w:val="1F1F1F"/>
          <w:sz w:val="20"/>
          <w:szCs w:val="20"/>
        </w:rPr>
        <w:t xml:space="preserve">the </w:t>
      </w:r>
      <w:r>
        <w:rPr>
          <w:color w:val="1F1F1F"/>
          <w:sz w:val="20"/>
          <w:szCs w:val="20"/>
        </w:rPr>
        <w:t xml:space="preserve">total </w:t>
      </w:r>
      <w:r w:rsidRPr="00CA025B">
        <w:rPr>
          <w:color w:val="1F1F1F"/>
          <w:sz w:val="20"/>
          <w:szCs w:val="20"/>
        </w:rPr>
        <w:t>amount</w:t>
      </w:r>
      <w:r>
        <w:rPr>
          <w:color w:val="1F1F1F"/>
          <w:sz w:val="20"/>
          <w:szCs w:val="20"/>
        </w:rPr>
        <w:t xml:space="preserve"> of</w:t>
      </w:r>
      <w:r w:rsidRPr="00CA025B">
        <w:rPr>
          <w:color w:val="1F1F1F"/>
          <w:sz w:val="20"/>
          <w:szCs w:val="20"/>
        </w:rPr>
        <w:t xml:space="preserve"> r</w:t>
      </w:r>
      <w:r>
        <w:rPr>
          <w:color w:val="1F1F1F"/>
          <w:sz w:val="20"/>
          <w:szCs w:val="20"/>
        </w:rPr>
        <w:t xml:space="preserve">evenue </w:t>
      </w:r>
      <w:r w:rsidRPr="00CA025B">
        <w:rPr>
          <w:color w:val="1F1F1F"/>
          <w:sz w:val="20"/>
          <w:szCs w:val="20"/>
        </w:rPr>
        <w:t xml:space="preserve">over the relevant term </w:t>
      </w:r>
      <w:r>
        <w:rPr>
          <w:color w:val="1F1F1F"/>
          <w:sz w:val="20"/>
          <w:szCs w:val="20"/>
        </w:rPr>
        <w:t xml:space="preserve">needed </w:t>
      </w:r>
      <w:r w:rsidRPr="00CA025B">
        <w:rPr>
          <w:color w:val="1F1F1F"/>
          <w:sz w:val="20"/>
          <w:szCs w:val="20"/>
        </w:rPr>
        <w:t>to cover capital and other expenses, operations and maintenance, depreciation, and the regulatory return on equity, discounted to present value.</w:t>
      </w:r>
    </w:p>
  </w:footnote>
  <w:footnote w:id="53">
    <w:p w14:paraId="2BA62701" w14:textId="77777777" w:rsidR="001227E5" w:rsidRDefault="001227E5" w:rsidP="00AE0CBD">
      <w:pPr>
        <w:autoSpaceDE w:val="0"/>
        <w:autoSpaceDN w:val="0"/>
        <w:adjustRightInd w:val="0"/>
      </w:pPr>
      <w:r w:rsidRPr="00ED0A33">
        <w:rPr>
          <w:rStyle w:val="FootnoteReference"/>
          <w:sz w:val="20"/>
          <w:szCs w:val="20"/>
        </w:rPr>
        <w:footnoteRef/>
      </w:r>
      <w:r w:rsidRPr="00ED0A33">
        <w:rPr>
          <w:sz w:val="20"/>
          <w:szCs w:val="20"/>
        </w:rPr>
        <w:t xml:space="preserve"> Order No. PSC-13-0023-S-EI, issued January 14, 2013, in</w:t>
      </w:r>
      <w:r w:rsidRPr="00ED0A33">
        <w:rPr>
          <w:i/>
          <w:iCs/>
          <w:sz w:val="20"/>
          <w:szCs w:val="20"/>
        </w:rPr>
        <w:t xml:space="preserve"> In re Petition for Increase in Rates by Florida Power &amp; Light Co.</w:t>
      </w:r>
      <w:r w:rsidRPr="00ED0A33">
        <w:rPr>
          <w:sz w:val="20"/>
          <w:szCs w:val="20"/>
        </w:rPr>
        <w:t xml:space="preserve">; Order No. PSC-16-0560-AS-EI, issued December 15, 2016, in </w:t>
      </w:r>
      <w:r w:rsidRPr="00ED0A33">
        <w:rPr>
          <w:i/>
          <w:iCs/>
          <w:sz w:val="20"/>
          <w:szCs w:val="20"/>
        </w:rPr>
        <w:t>In re Petition for Rate Increase by Florida Power &amp; Light Co.</w:t>
      </w:r>
    </w:p>
  </w:footnote>
  <w:footnote w:id="54">
    <w:p w14:paraId="64D109C9" w14:textId="1DE87FE5" w:rsidR="001227E5" w:rsidRPr="00FB74C7" w:rsidRDefault="001227E5" w:rsidP="00292800">
      <w:pPr>
        <w:pStyle w:val="FootnoteText"/>
      </w:pPr>
      <w:r>
        <w:rPr>
          <w:rStyle w:val="FootnoteReference"/>
        </w:rPr>
        <w:footnoteRef/>
      </w:r>
      <w:r>
        <w:t xml:space="preserve"> Order No. PSC-2020-0084-S-EI, issued March 20, 2020, in Docket No. 20190061-EI, </w:t>
      </w:r>
      <w:r>
        <w:rPr>
          <w:i/>
        </w:rPr>
        <w:t>In re: Petition for approval of FPL SolarTogether program and tariff by Florida Power &amp; Light Company.</w:t>
      </w:r>
    </w:p>
  </w:footnote>
  <w:footnote w:id="55">
    <w:p w14:paraId="42715CBB" w14:textId="77777777" w:rsidR="001227E5" w:rsidRDefault="001227E5" w:rsidP="00292800">
      <w:pPr>
        <w:pStyle w:val="FootnoteText"/>
      </w:pPr>
      <w:r>
        <w:rPr>
          <w:rStyle w:val="FootnoteReference"/>
        </w:rPr>
        <w:footnoteRef/>
      </w:r>
      <w:r>
        <w:t xml:space="preserve"> We note that the Office of Public Counsel and Florida Industrial Power</w:t>
      </w:r>
      <w:r w:rsidRPr="00FB74C7">
        <w:t xml:space="preserve"> </w:t>
      </w:r>
      <w:r>
        <w:t>Users Group opposed our original approval of SolarTogether and contested the proposed settlement in 2020, but are signatories to the 2021 Settlement Agreement and do not oppose the expanded program.</w:t>
      </w:r>
    </w:p>
  </w:footnote>
  <w:footnote w:id="56">
    <w:p w14:paraId="11FF3D51" w14:textId="7B7F2784" w:rsidR="001227E5" w:rsidRDefault="001227E5">
      <w:pPr>
        <w:pStyle w:val="FootnoteText"/>
      </w:pPr>
      <w:r>
        <w:rPr>
          <w:rStyle w:val="FootnoteReference"/>
        </w:rPr>
        <w:footnoteRef/>
      </w:r>
      <w:r>
        <w:t xml:space="preserve"> This amount is included in the difference between 100 percent</w:t>
      </w:r>
      <w:r w:rsidDel="006F0351">
        <w:t xml:space="preserve"> </w:t>
      </w:r>
      <w:r>
        <w:t>of base revenue requirements for the program and the amount paid by participants (103.26 percent) over the life of the program.</w:t>
      </w:r>
    </w:p>
  </w:footnote>
  <w:footnote w:id="57">
    <w:p w14:paraId="07DFF591" w14:textId="77777777" w:rsidR="001227E5" w:rsidRDefault="001227E5" w:rsidP="00BD063E">
      <w:pPr>
        <w:pStyle w:val="FootnoteText"/>
      </w:pPr>
      <w:r>
        <w:rPr>
          <w:rStyle w:val="FootnoteReference"/>
        </w:rPr>
        <w:footnoteRef/>
      </w:r>
      <w:r>
        <w:t xml:space="preserve"> Order at 10, Stipulation and Settlement Agreement ⁋ 4(e).</w:t>
      </w:r>
    </w:p>
  </w:footnote>
  <w:footnote w:id="58">
    <w:p w14:paraId="35DC6470" w14:textId="77777777" w:rsidR="001227E5" w:rsidRDefault="001227E5">
      <w:pPr>
        <w:pStyle w:val="FootnoteText"/>
      </w:pPr>
      <w:r>
        <w:rPr>
          <w:rStyle w:val="FootnoteReference"/>
        </w:rPr>
        <w:footnoteRef/>
      </w:r>
      <w:r>
        <w:t xml:space="preserve"> </w:t>
      </w:r>
      <w:r>
        <w:rPr>
          <w:shd w:val="clear" w:color="auto" w:fill="FFFFFF"/>
        </w:rPr>
        <w:t>Fla. Stat. § 366.91(6).</w:t>
      </w:r>
    </w:p>
  </w:footnote>
  <w:footnote w:id="59">
    <w:p w14:paraId="6305EF55" w14:textId="77777777" w:rsidR="001227E5" w:rsidRPr="006E0782" w:rsidRDefault="001227E5" w:rsidP="00292800">
      <w:pPr>
        <w:pStyle w:val="FootnoteText"/>
      </w:pPr>
      <w:r w:rsidRPr="0035068A">
        <w:rPr>
          <w:rStyle w:val="FootnoteReference"/>
        </w:rPr>
        <w:footnoteRef/>
      </w:r>
      <w:r w:rsidRPr="0035068A">
        <w:t>Order No. PSC-95-0853-FOF-EG, issued July 17, 1995, in</w:t>
      </w:r>
      <w:r w:rsidRPr="0035068A">
        <w:rPr>
          <w:rFonts w:ascii="Arial" w:hAnsi="Arial" w:cs="Arial"/>
          <w:color w:val="212121"/>
          <w:sz w:val="21"/>
          <w:szCs w:val="21"/>
        </w:rPr>
        <w:t xml:space="preserve"> </w:t>
      </w:r>
      <w:r w:rsidRPr="0035068A">
        <w:t xml:space="preserve">Docket No. 950517-EG, </w:t>
      </w:r>
      <w:r w:rsidRPr="0035068A">
        <w:rPr>
          <w:i/>
        </w:rPr>
        <w:t xml:space="preserve">In </w:t>
      </w:r>
      <w:r>
        <w:rPr>
          <w:i/>
        </w:rPr>
        <w:t>r</w:t>
      </w:r>
      <w:r w:rsidRPr="0035068A">
        <w:rPr>
          <w:i/>
        </w:rPr>
        <w:t>e: Petition for Approval of New Experimental Electric Vehicle Tariff by Tampa Electric Company</w:t>
      </w:r>
      <w:r w:rsidRPr="0035068A">
        <w:t xml:space="preserve">; Order No. PSC-17-0178-S-EI, issued May 16, 2017, in Docket No. 160170-EI, </w:t>
      </w:r>
      <w:r w:rsidRPr="0035068A">
        <w:rPr>
          <w:i/>
        </w:rPr>
        <w:t>In re: Petition for approval of 2016 depreciation and dismantlement studies, approval of proposed depreciation rates and annual dismantlement accruals and Plant Smith Units 1 and 2 regulatory asset amortization, by Gulf Power Company</w:t>
      </w:r>
      <w:r w:rsidRPr="0035068A">
        <w:t>; Order No. PSC-2017-0451-AS-EU, issued November 20, 20</w:t>
      </w:r>
      <w:r>
        <w:t xml:space="preserve">19, in Docket No. 20170183-EI, </w:t>
      </w:r>
      <w:r w:rsidRPr="0035068A">
        <w:rPr>
          <w:i/>
        </w:rPr>
        <w:t>In re: Application for limited proceeding to approve 2017 second revised and restated settlement agreement, including certain rate adjustments, by Duke Energy Florida, LLC</w:t>
      </w:r>
      <w:r>
        <w:t xml:space="preserve">; </w:t>
      </w:r>
      <w:r w:rsidRPr="0035068A">
        <w:t>Order No.</w:t>
      </w:r>
      <w:r>
        <w:rPr>
          <w:color w:val="333333"/>
        </w:rPr>
        <w:t xml:space="preserve"> PSC-2020-0512-TRF-EI, issued December 21, 2020</w:t>
      </w:r>
      <w:r w:rsidRPr="0035068A">
        <w:rPr>
          <w:color w:val="333333"/>
        </w:rPr>
        <w:t xml:space="preserve">, in Docket No. 20200170-EI, </w:t>
      </w:r>
      <w:r w:rsidRPr="0035068A">
        <w:rPr>
          <w:i/>
          <w:color w:val="333333"/>
        </w:rPr>
        <w:t xml:space="preserve">In re: </w:t>
      </w:r>
      <w:r w:rsidRPr="0035068A">
        <w:rPr>
          <w:i/>
        </w:rPr>
        <w:t>Petition for approval of optional electric vehicle public charging pilot tariffs, by Florida Power &amp; Light</w:t>
      </w:r>
      <w:r>
        <w:rPr>
          <w:i/>
        </w:rPr>
        <w:t xml:space="preserve"> Company; and </w:t>
      </w:r>
      <w:r>
        <w:t xml:space="preserve">Order No. PSC-2021-0144-PAA-EI, issued April 21, 2021, in Docket No. 20200220-EI, </w:t>
      </w:r>
      <w:r>
        <w:rPr>
          <w:i/>
        </w:rPr>
        <w:t>In re: Petition for approval of electric vehicle charging pilot program, by Tampa Electric Company</w:t>
      </w:r>
      <w:r>
        <w:t>.</w:t>
      </w:r>
    </w:p>
  </w:footnote>
  <w:footnote w:id="60">
    <w:p w14:paraId="75BB7721" w14:textId="77777777" w:rsidR="001227E5" w:rsidRDefault="001227E5">
      <w:pPr>
        <w:pStyle w:val="FootnoteText"/>
      </w:pPr>
      <w:r>
        <w:rPr>
          <w:rStyle w:val="FootnoteReference"/>
        </w:rPr>
        <w:footnoteRef/>
      </w:r>
      <w:r>
        <w:t xml:space="preserve"> The investments in these six pilots will be partially offset by any revenues received under the EV public charging pilot we approved for FPL in Order No. PSC-2020-0512-TRF-EI.</w:t>
      </w:r>
    </w:p>
  </w:footnote>
  <w:footnote w:id="61">
    <w:p w14:paraId="33D6125E" w14:textId="36310804" w:rsidR="001227E5" w:rsidRDefault="001227E5">
      <w:pPr>
        <w:pStyle w:val="FootnoteText"/>
      </w:pPr>
      <w:r>
        <w:rPr>
          <w:rStyle w:val="FootnoteReference"/>
        </w:rPr>
        <w:footnoteRef/>
      </w:r>
      <w:r>
        <w:t xml:space="preserve"> </w:t>
      </w:r>
      <w:r>
        <w:rPr>
          <w:rFonts w:eastAsiaTheme="minorHAnsi"/>
        </w:rPr>
        <w:t xml:space="preserve">Hydrogen “produced or resulting from sources other than fossil fuels” – </w:t>
      </w:r>
      <w:r w:rsidRPr="00A166A5">
        <w:rPr>
          <w:rFonts w:eastAsiaTheme="minorHAnsi"/>
          <w:i/>
        </w:rPr>
        <w:t>i</w:t>
      </w:r>
      <w:r>
        <w:rPr>
          <w:rFonts w:eastAsiaTheme="minorHAnsi"/>
          <w:i/>
        </w:rPr>
        <w:t>.</w:t>
      </w:r>
      <w:r w:rsidRPr="00A166A5">
        <w:rPr>
          <w:rFonts w:eastAsiaTheme="minorHAnsi"/>
          <w:i/>
        </w:rPr>
        <w:t>e.</w:t>
      </w:r>
      <w:r>
        <w:rPr>
          <w:rFonts w:eastAsiaTheme="minorHAnsi"/>
        </w:rPr>
        <w:t xml:space="preserve">, </w:t>
      </w:r>
      <w:r>
        <w:rPr>
          <w:rFonts w:eastAsiaTheme="minorHAnsi"/>
          <w:u w:val="single"/>
        </w:rPr>
        <w:t>green</w:t>
      </w:r>
      <w:r>
        <w:rPr>
          <w:rFonts w:eastAsiaTheme="minorHAnsi"/>
        </w:rPr>
        <w:t xml:space="preserve"> hydrogen – is included in applicable statutory definition of “renewable energy.”</w:t>
      </w:r>
      <w:r>
        <w:t>§ 366.91(2), Fla. Stat.</w:t>
      </w:r>
    </w:p>
  </w:footnote>
  <w:footnote w:id="62">
    <w:p w14:paraId="417931F0" w14:textId="581BDD0D" w:rsidR="001227E5" w:rsidRDefault="001227E5">
      <w:pPr>
        <w:pStyle w:val="FootnoteText"/>
      </w:pPr>
      <w:r>
        <w:rPr>
          <w:rStyle w:val="FootnoteReference"/>
        </w:rPr>
        <w:footnoteRef/>
      </w:r>
      <w:r>
        <w:t xml:space="preserve"> FPL is changing reference to this charge from “customer charge” to “base charge.” The base charge is included in the new proposed minimum bill.</w:t>
      </w:r>
    </w:p>
  </w:footnote>
  <w:footnote w:id="63">
    <w:p w14:paraId="2E630897" w14:textId="13EFE949" w:rsidR="001227E5" w:rsidRDefault="001227E5">
      <w:pPr>
        <w:pStyle w:val="FootnoteText"/>
      </w:pPr>
      <w:r>
        <w:rPr>
          <w:rStyle w:val="FootnoteReference"/>
        </w:rPr>
        <w:footnoteRef/>
      </w:r>
      <w:r>
        <w:t xml:space="preserve"> T. Vol. 10 at 2701.</w:t>
      </w:r>
    </w:p>
  </w:footnote>
  <w:footnote w:id="64">
    <w:p w14:paraId="368B70D9" w14:textId="3FFC1D5B" w:rsidR="001227E5" w:rsidRDefault="001227E5">
      <w:pPr>
        <w:pStyle w:val="FootnoteText"/>
      </w:pPr>
      <w:r>
        <w:rPr>
          <w:rStyle w:val="FootnoteReference"/>
        </w:rPr>
        <w:footnoteRef/>
      </w:r>
      <w:r>
        <w:t xml:space="preserve"> Witness Rabago stated that he could not “precisely” calculate this impact.</w:t>
      </w:r>
    </w:p>
  </w:footnote>
  <w:footnote w:id="65">
    <w:p w14:paraId="2917A22C" w14:textId="0972BA29" w:rsidR="001227E5" w:rsidRDefault="001227E5">
      <w:pPr>
        <w:pStyle w:val="FootnoteText"/>
      </w:pPr>
      <w:r>
        <w:rPr>
          <w:rStyle w:val="FootnoteReference"/>
        </w:rPr>
        <w:footnoteRef/>
      </w:r>
      <w:r>
        <w:t xml:space="preserve"> T. Vol. 12 at 2796.</w:t>
      </w:r>
    </w:p>
  </w:footnote>
  <w:footnote w:id="66">
    <w:p w14:paraId="1E75005D" w14:textId="77777777" w:rsidR="001227E5" w:rsidRPr="002A682B" w:rsidRDefault="001227E5" w:rsidP="00292800">
      <w:pPr>
        <w:pStyle w:val="FootnoteText"/>
      </w:pPr>
      <w:r>
        <w:rPr>
          <w:rStyle w:val="FootnoteReference"/>
        </w:rPr>
        <w:footnoteRef/>
      </w:r>
      <w:r>
        <w:t xml:space="preserve"> The LOLP is the probability that available generation capacity will not be able to meet a peak customer demand. Reserve margin is the amount of generation constructed to account for variations in load and unit availability. </w:t>
      </w:r>
      <w:r>
        <w:rPr>
          <w:i/>
        </w:rPr>
        <w:t>See</w:t>
      </w:r>
      <w:r>
        <w:t xml:space="preserve"> Order No. 24989,</w:t>
      </w:r>
      <w:r w:rsidRPr="003927EF">
        <w:t xml:space="preserve"> </w:t>
      </w:r>
      <w:r>
        <w:t xml:space="preserve">issued August 29, 1991, in </w:t>
      </w:r>
      <w:r>
        <w:rPr>
          <w:i/>
        </w:rPr>
        <w:t>In re: Load Forecasts Generation Expansion Plans and Cogeneration Prices for Florida’s Electric Utilities</w:t>
      </w:r>
      <w:r>
        <w:t>.</w:t>
      </w:r>
    </w:p>
  </w:footnote>
  <w:footnote w:id="67">
    <w:p w14:paraId="099BA6DC" w14:textId="77777777" w:rsidR="001227E5" w:rsidRDefault="001227E5">
      <w:pPr>
        <w:pStyle w:val="FootnoteText"/>
      </w:pPr>
      <w:r>
        <w:rPr>
          <w:rStyle w:val="FootnoteReference"/>
        </w:rPr>
        <w:footnoteRef/>
      </w:r>
      <w:r>
        <w:t xml:space="preserve"> To the extent Florida Rising is inviting a project-by-project prudence review, we decline to do so. </w:t>
      </w:r>
      <w:r>
        <w:rPr>
          <w:i/>
        </w:rPr>
        <w:t>See</w:t>
      </w:r>
      <w:r>
        <w:t xml:space="preserve"> </w:t>
      </w:r>
      <w:r>
        <w:rPr>
          <w:i/>
        </w:rPr>
        <w:t>Sierra Club v. Brown</w:t>
      </w:r>
      <w:r>
        <w:t>, 243 So. 3d 903, 911-12 (Fla. 2018).</w:t>
      </w:r>
    </w:p>
  </w:footnote>
  <w:footnote w:id="68">
    <w:p w14:paraId="335D0CCE" w14:textId="77777777" w:rsidR="001227E5" w:rsidRDefault="001227E5" w:rsidP="00292800">
      <w:pPr>
        <w:autoSpaceDE w:val="0"/>
        <w:autoSpaceDN w:val="0"/>
        <w:adjustRightInd w:val="0"/>
      </w:pPr>
      <w:r w:rsidRPr="002A682B">
        <w:rPr>
          <w:rStyle w:val="FootnoteReference"/>
          <w:sz w:val="20"/>
          <w:szCs w:val="20"/>
        </w:rPr>
        <w:footnoteRef/>
      </w:r>
      <w:r>
        <w:rPr>
          <w:sz w:val="20"/>
          <w:szCs w:val="20"/>
        </w:rPr>
        <w:t xml:space="preserve"> We have approved</w:t>
      </w:r>
      <w:r w:rsidRPr="002A682B">
        <w:rPr>
          <w:rFonts w:eastAsiaTheme="minorHAnsi"/>
          <w:sz w:val="20"/>
          <w:szCs w:val="20"/>
        </w:rPr>
        <w:t xml:space="preserve"> substantially the same mechanism in settlements of FPL’s last three rate cases. </w:t>
      </w:r>
      <w:r w:rsidRPr="002A682B">
        <w:rPr>
          <w:rFonts w:eastAsiaTheme="minorHAnsi"/>
          <w:i/>
          <w:iCs/>
          <w:sz w:val="20"/>
          <w:szCs w:val="20"/>
        </w:rPr>
        <w:t xml:space="preserve">See </w:t>
      </w:r>
      <w:r w:rsidRPr="002A682B">
        <w:rPr>
          <w:rFonts w:eastAsiaTheme="minorHAnsi"/>
          <w:sz w:val="20"/>
          <w:szCs w:val="20"/>
        </w:rPr>
        <w:t>Order Nos. PSC-2016-0560-AS-EI, PSC-2013-0023-S-EI, and PSC-2011-0089-S-EI.</w:t>
      </w:r>
    </w:p>
  </w:footnote>
  <w:footnote w:id="69">
    <w:p w14:paraId="13C10E3C" w14:textId="77777777" w:rsidR="001227E5" w:rsidRPr="001C5DD3" w:rsidRDefault="001227E5" w:rsidP="00292800">
      <w:pPr>
        <w:pStyle w:val="FootnoteText"/>
        <w:rPr>
          <w:i/>
        </w:rPr>
      </w:pPr>
      <w:r>
        <w:rPr>
          <w:rStyle w:val="FootnoteReference"/>
        </w:rPr>
        <w:footnoteRef/>
      </w:r>
      <w:r>
        <w:t xml:space="preserve"> Order No. PSC-2013-0023-S-EI, issued January 14, 2013, in Docket No. 120015-EI, </w:t>
      </w:r>
      <w:r>
        <w:rPr>
          <w:i/>
        </w:rPr>
        <w:t>In re: Petition for increase in rates by Florida Power &amp; Light Company.</w:t>
      </w:r>
    </w:p>
  </w:footnote>
  <w:footnote w:id="70">
    <w:p w14:paraId="704BCDA4" w14:textId="45FEF989" w:rsidR="001227E5" w:rsidRDefault="001227E5" w:rsidP="00292800">
      <w:pPr>
        <w:pStyle w:val="FootnoteText"/>
      </w:pPr>
      <w:r>
        <w:rPr>
          <w:rStyle w:val="FootnoteReference"/>
        </w:rPr>
        <w:footnoteRef/>
      </w:r>
      <w:r>
        <w:t xml:space="preserve"> Prior to the pilot program, the only allowed activity under our standard sharing mechanism was economy power sales.</w:t>
      </w:r>
    </w:p>
  </w:footnote>
  <w:footnote w:id="71">
    <w:p w14:paraId="271CEF1C" w14:textId="77777777" w:rsidR="001227E5" w:rsidRDefault="001227E5" w:rsidP="00292800">
      <w:pPr>
        <w:pStyle w:val="FootnoteText"/>
      </w:pPr>
      <w:r>
        <w:rPr>
          <w:rStyle w:val="FootnoteReference"/>
        </w:rPr>
        <w:footnoteRef/>
      </w:r>
      <w:r>
        <w:t xml:space="preserve"> Order No. PSC-2013-0023-S-EI at p. 4.</w:t>
      </w:r>
    </w:p>
  </w:footnote>
  <w:footnote w:id="72">
    <w:p w14:paraId="1C0DD99E" w14:textId="77777777" w:rsidR="001227E5" w:rsidRDefault="001227E5">
      <w:pPr>
        <w:pStyle w:val="FootnoteText"/>
      </w:pPr>
      <w:r>
        <w:rPr>
          <w:rStyle w:val="FootnoteReference"/>
        </w:rPr>
        <w:footnoteRef/>
      </w:r>
      <w:r>
        <w:t xml:space="preserve"> </w:t>
      </w:r>
      <w:r w:rsidRPr="001C13D3">
        <w:rPr>
          <w:i/>
          <w:color w:val="3D3D3D"/>
          <w:bdr w:val="none" w:sz="0" w:space="0" w:color="auto" w:frame="1"/>
        </w:rPr>
        <w:t>Citizens of State v. Fla. Pub. Serv. Comm'n</w:t>
      </w:r>
      <w:r w:rsidRPr="001C13D3">
        <w:rPr>
          <w:color w:val="000000"/>
        </w:rPr>
        <w:t>, 146 So. 3d 1143</w:t>
      </w:r>
      <w:r>
        <w:rPr>
          <w:color w:val="000000"/>
        </w:rPr>
        <w:t>, 1172</w:t>
      </w:r>
      <w:r w:rsidRPr="001C13D3">
        <w:rPr>
          <w:color w:val="000000"/>
        </w:rPr>
        <w:t xml:space="preserve"> (Fla. 2014)</w:t>
      </w:r>
      <w:r>
        <w:rPr>
          <w:color w:val="000000"/>
        </w:rPr>
        <w:t xml:space="preserve"> (“[T]he Commission’s conclusion that the asset optimization incentive program is in the public interest and part of a reasonable resolution of disputed issues is supported by competent, substantial evidence.”).</w:t>
      </w:r>
    </w:p>
  </w:footnote>
  <w:footnote w:id="73">
    <w:p w14:paraId="5A625112" w14:textId="77777777" w:rsidR="001227E5" w:rsidRPr="004A59F3" w:rsidRDefault="001227E5" w:rsidP="00292800">
      <w:pPr>
        <w:pStyle w:val="FootnoteText"/>
      </w:pPr>
      <w:r>
        <w:rPr>
          <w:rStyle w:val="FootnoteReference"/>
        </w:rPr>
        <w:footnoteRef/>
      </w:r>
      <w:r>
        <w:t xml:space="preserve"> Order No. PSC-2016-0560-AS-EI, issued December 15, 2016, in Docket No. 160021-EI, </w:t>
      </w:r>
      <w:r>
        <w:rPr>
          <w:i/>
        </w:rPr>
        <w:t>In re: Petition for rate increase by Florida Power &amp; Light Company.</w:t>
      </w:r>
      <w:r>
        <w:t xml:space="preserve"> This Order was appealed and affirmed by the Florida Supreme Court. </w:t>
      </w:r>
      <w:r>
        <w:rPr>
          <w:i/>
        </w:rPr>
        <w:t>Sierra Club v. Brown</w:t>
      </w:r>
      <w:r>
        <w:t>, 243 So. 3d 903 (Fla. 2018). The Court’s opinion makes no specific mention of the incentive program.</w:t>
      </w:r>
    </w:p>
  </w:footnote>
  <w:footnote w:id="74">
    <w:p w14:paraId="08CD151B" w14:textId="77777777" w:rsidR="001227E5" w:rsidRPr="00F51998" w:rsidRDefault="001227E5" w:rsidP="00292800">
      <w:pPr>
        <w:pStyle w:val="FootnoteText"/>
      </w:pPr>
      <w:r>
        <w:rPr>
          <w:rStyle w:val="FootnoteReference"/>
        </w:rPr>
        <w:footnoteRef/>
      </w:r>
      <w:r>
        <w:t xml:space="preserve"> </w:t>
      </w:r>
      <w:r>
        <w:rPr>
          <w:i/>
        </w:rPr>
        <w:t>Citizens</w:t>
      </w:r>
      <w:r>
        <w:t>, 146 So. 3d at 1172.</w:t>
      </w:r>
    </w:p>
  </w:footnote>
  <w:footnote w:id="75">
    <w:p w14:paraId="3EAF600F" w14:textId="77777777" w:rsidR="001227E5" w:rsidRDefault="001227E5" w:rsidP="00292800">
      <w:pPr>
        <w:pStyle w:val="FootnoteText"/>
      </w:pPr>
      <w:r>
        <w:rPr>
          <w:rStyle w:val="FootnoteReference"/>
        </w:rPr>
        <w:footnoteRef/>
      </w:r>
      <w:r>
        <w:t xml:space="preserve"> </w:t>
      </w:r>
      <w:r w:rsidRPr="00D63313">
        <w:rPr>
          <w:rFonts w:cs="Arial"/>
          <w:i/>
          <w:bdr w:val="none" w:sz="0" w:space="0" w:color="auto" w:frame="1"/>
        </w:rPr>
        <w:t>F</w:t>
      </w:r>
      <w:r>
        <w:rPr>
          <w:rFonts w:cs="Arial"/>
          <w:i/>
          <w:bdr w:val="none" w:sz="0" w:space="0" w:color="auto" w:frame="1"/>
        </w:rPr>
        <w:t>AIR</w:t>
      </w:r>
      <w:r w:rsidRPr="00D63313">
        <w:rPr>
          <w:rFonts w:cs="Arial"/>
          <w:i/>
          <w:bdr w:val="none" w:sz="0" w:space="0" w:color="auto" w:frame="1"/>
        </w:rPr>
        <w:t>,</w:t>
      </w:r>
      <w:r w:rsidRPr="00D63313">
        <w:rPr>
          <w:rFonts w:cs="Arial"/>
        </w:rPr>
        <w:t xml:space="preserve"> </w:t>
      </w:r>
      <w:r>
        <w:rPr>
          <w:rFonts w:cs="Arial"/>
        </w:rPr>
        <w:t>371 So.2d at 907 fn. 2.</w:t>
      </w:r>
    </w:p>
  </w:footnote>
  <w:footnote w:id="76">
    <w:p w14:paraId="69050294" w14:textId="77777777" w:rsidR="001227E5" w:rsidRPr="005A489E" w:rsidRDefault="001227E5" w:rsidP="00292800">
      <w:pPr>
        <w:pStyle w:val="FootnoteText"/>
      </w:pPr>
      <w:r>
        <w:rPr>
          <w:rStyle w:val="FootnoteReference"/>
        </w:rPr>
        <w:footnoteRef/>
      </w:r>
      <w:r>
        <w:t xml:space="preserve"> We do not find the holding in </w:t>
      </w:r>
      <w:r>
        <w:rPr>
          <w:i/>
        </w:rPr>
        <w:t>Citizens of Fla. v. Graham</w:t>
      </w:r>
      <w:r>
        <w:t xml:space="preserve">, 191 So. 3d 897 (Fla. 2016) to be applicable in this instance. The activities allowed under the program as modified all involve maximizing the use of </w:t>
      </w:r>
      <w:r w:rsidRPr="005A489E">
        <w:rPr>
          <w:u w:val="single"/>
        </w:rPr>
        <w:t>existing</w:t>
      </w:r>
      <w:r>
        <w:t xml:space="preserve"> utility assets </w:t>
      </w:r>
      <w:r w:rsidRPr="005A489E">
        <w:rPr>
          <w:u w:val="single"/>
        </w:rPr>
        <w:t>presently employed</w:t>
      </w:r>
      <w:r>
        <w:t xml:space="preserve"> for the transmission, generation, or distribution of electricity, whereas the questioned activity in </w:t>
      </w:r>
      <w:r>
        <w:rPr>
          <w:i/>
        </w:rPr>
        <w:t>Graham</w:t>
      </w:r>
      <w:r>
        <w:t xml:space="preserve"> was the exploration of </w:t>
      </w:r>
      <w:r w:rsidRPr="005A489E">
        <w:rPr>
          <w:u w:val="single"/>
        </w:rPr>
        <w:t>potential</w:t>
      </w:r>
      <w:r>
        <w:t xml:space="preserve"> gas reserves for </w:t>
      </w:r>
      <w:r>
        <w:rPr>
          <w:u w:val="single"/>
        </w:rPr>
        <w:t>future</w:t>
      </w:r>
      <w:r w:rsidRPr="005A489E">
        <w:rPr>
          <w:u w:val="single"/>
        </w:rPr>
        <w:t xml:space="preserve"> applications</w:t>
      </w:r>
      <w:r>
        <w:t>.</w:t>
      </w:r>
    </w:p>
  </w:footnote>
  <w:footnote w:id="77">
    <w:p w14:paraId="0040CD86" w14:textId="63A2BC80" w:rsidR="001227E5" w:rsidRDefault="001227E5" w:rsidP="00292800">
      <w:pPr>
        <w:jc w:val="both"/>
      </w:pPr>
      <w:r>
        <w:rPr>
          <w:rStyle w:val="FootnoteReference"/>
        </w:rPr>
        <w:footnoteRef/>
      </w:r>
      <w:r>
        <w:t xml:space="preserve"> </w:t>
      </w:r>
      <w:r w:rsidRPr="00A07E69">
        <w:rPr>
          <w:sz w:val="20"/>
          <w:szCs w:val="20"/>
        </w:rPr>
        <w:t xml:space="preserve">If the actual capital costs for a solar generation project are </w:t>
      </w:r>
      <w:r w:rsidRPr="00A07E69">
        <w:rPr>
          <w:sz w:val="20"/>
          <w:szCs w:val="20"/>
          <w:u w:val="single"/>
        </w:rPr>
        <w:t>higher</w:t>
      </w:r>
      <w:r w:rsidRPr="00A07E69">
        <w:rPr>
          <w:sz w:val="20"/>
          <w:szCs w:val="20"/>
        </w:rPr>
        <w:t xml:space="preserve"> than the $1,250 kW</w:t>
      </w:r>
      <w:r w:rsidRPr="00A07E69">
        <w:rPr>
          <w:sz w:val="20"/>
          <w:szCs w:val="20"/>
          <w:vertAlign w:val="subscript"/>
        </w:rPr>
        <w:t>AC</w:t>
      </w:r>
      <w:r w:rsidRPr="00A07E69">
        <w:rPr>
          <w:sz w:val="20"/>
          <w:szCs w:val="20"/>
        </w:rPr>
        <w:t xml:space="preserve"> cap or adjusted cap, FPL may initiate a limited proceeding on the issue of whether</w:t>
      </w:r>
      <w:r>
        <w:rPr>
          <w:sz w:val="20"/>
          <w:szCs w:val="20"/>
        </w:rPr>
        <w:t xml:space="preserve"> it</w:t>
      </w:r>
      <w:r w:rsidRPr="00A07E69">
        <w:rPr>
          <w:sz w:val="20"/>
          <w:szCs w:val="20"/>
        </w:rPr>
        <w:t xml:space="preserve"> has met the requirements of Rule 25-22.082(15), F.A.C.  If </w:t>
      </w:r>
      <w:r>
        <w:rPr>
          <w:sz w:val="20"/>
          <w:szCs w:val="20"/>
        </w:rPr>
        <w:t>we</w:t>
      </w:r>
      <w:r w:rsidRPr="00A07E69">
        <w:rPr>
          <w:sz w:val="20"/>
          <w:szCs w:val="20"/>
        </w:rPr>
        <w:t xml:space="preserve"> find that the requirements of Rule 25-22.082(15), F.A.C., have been met, FPL shall be allowed to increase the SoBRA by a corresponding incremental revenue requirement.</w:t>
      </w:r>
    </w:p>
  </w:footnote>
  <w:footnote w:id="78">
    <w:p w14:paraId="4EFCC330" w14:textId="77777777" w:rsidR="001227E5" w:rsidRDefault="001227E5">
      <w:pPr>
        <w:pStyle w:val="FootnoteText"/>
      </w:pPr>
      <w:r>
        <w:rPr>
          <w:rStyle w:val="FootnoteReference"/>
        </w:rPr>
        <w:footnoteRef/>
      </w:r>
      <w:r>
        <w:t xml:space="preserve"> </w:t>
      </w:r>
      <w:r w:rsidRPr="00770B5E">
        <w:rPr>
          <w:i/>
        </w:rPr>
        <w:t>F</w:t>
      </w:r>
      <w:r>
        <w:rPr>
          <w:i/>
        </w:rPr>
        <w:t>AIR</w:t>
      </w:r>
      <w:r w:rsidRPr="00770B5E">
        <w:t xml:space="preserve">, </w:t>
      </w:r>
      <w:r w:rsidRPr="00770B5E">
        <w:rPr>
          <w:rFonts w:cs="Arial"/>
        </w:rPr>
        <w:t>371 So. 3d at 910.</w:t>
      </w:r>
    </w:p>
  </w:footnote>
  <w:footnote w:id="79">
    <w:p w14:paraId="51D8FA41" w14:textId="77777777" w:rsidR="001227E5" w:rsidRPr="00E24435" w:rsidRDefault="001227E5" w:rsidP="008E0C60">
      <w:pPr>
        <w:pStyle w:val="FootnoteText"/>
      </w:pPr>
      <w:r>
        <w:rPr>
          <w:rStyle w:val="FootnoteReference"/>
        </w:rPr>
        <w:footnoteRef/>
      </w:r>
      <w:r>
        <w:t xml:space="preserve"> </w:t>
      </w:r>
      <w:r>
        <w:rPr>
          <w:rFonts w:eastAsiaTheme="minorHAnsi"/>
          <w:i/>
          <w:iCs/>
        </w:rPr>
        <w:t>See Sierra Club v. Brown</w:t>
      </w:r>
      <w:r>
        <w:rPr>
          <w:rFonts w:eastAsiaTheme="minorHAnsi"/>
        </w:rPr>
        <w:t>, 243 So.3d 903, 909 (Fla. 2018).</w:t>
      </w:r>
    </w:p>
  </w:footnote>
  <w:footnote w:id="80">
    <w:p w14:paraId="0C056616" w14:textId="77777777" w:rsidR="001227E5" w:rsidRDefault="001227E5">
      <w:pPr>
        <w:pStyle w:val="FootnoteText"/>
      </w:pPr>
      <w:r>
        <w:rPr>
          <w:rStyle w:val="FootnoteReference"/>
        </w:rPr>
        <w:footnoteRef/>
      </w:r>
      <w:r>
        <w:t xml:space="preserve"> </w:t>
      </w:r>
      <w:r>
        <w:rPr>
          <w:i/>
          <w:bdr w:val="none" w:sz="0" w:space="0" w:color="auto" w:frame="1"/>
        </w:rPr>
        <w:t>FAIR</w:t>
      </w:r>
      <w:r w:rsidRPr="00EB6816">
        <w:t xml:space="preserve">, 371 So. 3d </w:t>
      </w:r>
      <w:r>
        <w:t xml:space="preserve">at </w:t>
      </w:r>
      <w:r w:rsidRPr="00EB6816">
        <w:t>912</w:t>
      </w:r>
      <w:r>
        <w:t>.</w:t>
      </w:r>
    </w:p>
  </w:footnote>
  <w:footnote w:id="81">
    <w:p w14:paraId="4629FEA2" w14:textId="77777777" w:rsidR="001227E5" w:rsidRDefault="001227E5">
      <w:pPr>
        <w:pStyle w:val="FootnoteText"/>
      </w:pPr>
      <w:r>
        <w:rPr>
          <w:rStyle w:val="FootnoteReference"/>
        </w:rPr>
        <w:footnoteRef/>
      </w:r>
      <w:r>
        <w:t xml:space="preserve"> </w:t>
      </w:r>
      <w:r>
        <w:rPr>
          <w:i/>
        </w:rPr>
        <w:t>See</w:t>
      </w:r>
      <w:r>
        <w:t xml:space="preserve"> Fla. Stat. § 366.041(1).</w:t>
      </w:r>
    </w:p>
  </w:footnote>
  <w:footnote w:id="82">
    <w:p w14:paraId="541A5FDF" w14:textId="77777777" w:rsidR="001227E5" w:rsidRPr="009D6498" w:rsidRDefault="001227E5" w:rsidP="00044ED7">
      <w:pPr>
        <w:pStyle w:val="FootnoteText"/>
      </w:pPr>
      <w:r>
        <w:rPr>
          <w:rStyle w:val="FootnoteReference"/>
        </w:rPr>
        <w:footnoteRef/>
      </w:r>
      <w:r>
        <w:t xml:space="preserve"> Order No. PSC-2018-0509-FOF-EG, issued November 26, 2019, in Docket No. 20190015-EG, </w:t>
      </w:r>
      <w:r>
        <w:rPr>
          <w:i/>
        </w:rPr>
        <w:t>In re: Commission review of numeric conservation goals (Florida Power &amp; Light Company)</w:t>
      </w:r>
      <w:r>
        <w:t>.</w:t>
      </w:r>
    </w:p>
  </w:footnote>
  <w:footnote w:id="83">
    <w:p w14:paraId="12DCD1BF" w14:textId="77777777" w:rsidR="001227E5" w:rsidRDefault="001227E5">
      <w:pPr>
        <w:pStyle w:val="FootnoteText"/>
      </w:pPr>
      <w:r>
        <w:rPr>
          <w:rStyle w:val="FootnoteReference"/>
        </w:rPr>
        <w:footnoteRef/>
      </w:r>
      <w:r>
        <w:t xml:space="preserve"> </w:t>
      </w:r>
      <w:r w:rsidRPr="006D7234">
        <w:t xml:space="preserve">Order No. PSC-2020-0274-PAA-EG, issued August 3, 2020, in Docket No. 20200056-EG, </w:t>
      </w:r>
      <w:r w:rsidRPr="006D7234">
        <w:rPr>
          <w:i/>
        </w:rPr>
        <w:t>In re: Petition for approval of demand-side management plan and request for modify residential and business on call tariff, sheets, by Florida Power &amp; Light Company</w:t>
      </w:r>
      <w:r>
        <w:rPr>
          <w:i/>
        </w:rPr>
        <w:t>.</w:t>
      </w:r>
    </w:p>
  </w:footnote>
  <w:footnote w:id="84">
    <w:p w14:paraId="3C6736CC" w14:textId="31343386" w:rsidR="001227E5" w:rsidRDefault="001227E5">
      <w:pPr>
        <w:pStyle w:val="FootnoteText"/>
      </w:pPr>
      <w:r>
        <w:rPr>
          <w:rStyle w:val="FootnoteReference"/>
        </w:rPr>
        <w:footnoteRef/>
      </w:r>
      <w:r>
        <w:t xml:space="preserve"> Much of the testimony regarding DSM and FEECA was provided by witnesses for parties who entered into the 2021 Settlement (The Cleo Institute and Vote Solar).</w:t>
      </w:r>
    </w:p>
  </w:footnote>
  <w:footnote w:id="85">
    <w:p w14:paraId="5EAE029B" w14:textId="77777777" w:rsidR="001227E5" w:rsidRPr="006D7234" w:rsidRDefault="001227E5" w:rsidP="00CE3ABF">
      <w:pPr>
        <w:pStyle w:val="FootnoteText"/>
      </w:pPr>
      <w:r>
        <w:rPr>
          <w:rStyle w:val="FootnoteReference"/>
        </w:rPr>
        <w:footnoteRef/>
      </w:r>
      <w:r>
        <w:t xml:space="preserve"> Docket No. 20240015-EG.</w:t>
      </w:r>
    </w:p>
  </w:footnote>
  <w:footnote w:id="86">
    <w:p w14:paraId="54A6CD9F" w14:textId="73AF368D" w:rsidR="001227E5" w:rsidRPr="006D7234" w:rsidRDefault="001227E5" w:rsidP="00CE3ABF">
      <w:pPr>
        <w:jc w:val="both"/>
        <w:rPr>
          <w:sz w:val="20"/>
          <w:szCs w:val="20"/>
        </w:rPr>
      </w:pPr>
      <w:r w:rsidRPr="006D7234">
        <w:rPr>
          <w:rStyle w:val="FootnoteReference"/>
          <w:sz w:val="20"/>
          <w:szCs w:val="20"/>
        </w:rPr>
        <w:footnoteRef/>
      </w:r>
      <w:r w:rsidRPr="006D7234">
        <w:rPr>
          <w:sz w:val="20"/>
          <w:szCs w:val="20"/>
        </w:rPr>
        <w:t xml:space="preserve"> </w:t>
      </w:r>
      <w:r w:rsidRPr="00CE3ABF">
        <w:rPr>
          <w:sz w:val="20"/>
          <w:szCs w:val="20"/>
        </w:rPr>
        <w:t>In FPL’s 2020 DSM docket,</w:t>
      </w:r>
      <w:r w:rsidRPr="00CE3ABF">
        <w:rPr>
          <w:sz w:val="20"/>
        </w:rPr>
        <w:t xml:space="preserve"> we specifically deferred consideration of two matters to this proceeding</w:t>
      </w:r>
      <w:r w:rsidRPr="00CE3ABF">
        <w:rPr>
          <w:sz w:val="20"/>
          <w:szCs w:val="20"/>
        </w:rPr>
        <w:t xml:space="preserve"> Order No. PSC-2020-0274-PAA-EG, issued August 3, 2020, in Docket No. 20200056-EG, </w:t>
      </w:r>
      <w:r w:rsidRPr="00CE3ABF">
        <w:rPr>
          <w:i/>
          <w:sz w:val="20"/>
          <w:szCs w:val="20"/>
        </w:rPr>
        <w:t>In re: Petition for approval of demand-side management plan and request for modify residential and business on call tariff, sheets, by Florida Power &amp; Light Company</w:t>
      </w:r>
      <w:r w:rsidRPr="00CE3ABF">
        <w:rPr>
          <w:sz w:val="20"/>
          <w:szCs w:val="20"/>
        </w:rPr>
        <w:t>, at p. 4</w:t>
      </w:r>
      <w:r>
        <w:rPr>
          <w:sz w:val="20"/>
          <w:szCs w:val="20"/>
        </w:rPr>
        <w:t xml:space="preserve"> </w:t>
      </w:r>
      <w:r w:rsidRPr="00CE3ABF">
        <w:rPr>
          <w:sz w:val="20"/>
          <w:szCs w:val="20"/>
        </w:rPr>
        <w:t xml:space="preserve">(“Florida Power &amp; Light Company’s Commercial/Industrial Demand Reduction and Commercial/Industrial Load Control programs shall be addressed during the next Florida Power &amp; Light Company base rate proceeding”). </w:t>
      </w:r>
      <w:r>
        <w:rPr>
          <w:sz w:val="20"/>
        </w:rPr>
        <w:t>W</w:t>
      </w:r>
      <w:r w:rsidRPr="00CE3ABF">
        <w:rPr>
          <w:sz w:val="20"/>
        </w:rPr>
        <w:t xml:space="preserve">e </w:t>
      </w:r>
      <w:r>
        <w:rPr>
          <w:sz w:val="20"/>
        </w:rPr>
        <w:t>find that the greater weight of the evidence in this record</w:t>
      </w:r>
      <w:r w:rsidRPr="00CE3ABF">
        <w:rPr>
          <w:sz w:val="20"/>
        </w:rPr>
        <w:t xml:space="preserve"> supports the requested revisions to those two measures.</w:t>
      </w:r>
      <w:r>
        <w:rPr>
          <w:sz w:val="20"/>
        </w:rPr>
        <w:t xml:space="preserve"> The specific testimony regarding the benefits of program revisions is more persuasive than Witness Rabago’s suggestion that the preferable solution is for FPL “to aggressively pursue program enrollment growth” under existing conditions. </w:t>
      </w:r>
    </w:p>
  </w:footnote>
  <w:footnote w:id="87">
    <w:p w14:paraId="1E2B3A62" w14:textId="77777777" w:rsidR="001227E5" w:rsidRPr="00445EB5" w:rsidRDefault="001227E5" w:rsidP="006D7234">
      <w:pPr>
        <w:pStyle w:val="FootnoteText"/>
      </w:pPr>
      <w:r w:rsidRPr="006D7234">
        <w:rPr>
          <w:rStyle w:val="FootnoteReference"/>
        </w:rPr>
        <w:footnoteRef/>
      </w:r>
      <w:r w:rsidRPr="006D7234">
        <w:t xml:space="preserve"> Fla. Stat. § 366.91(1).</w:t>
      </w:r>
    </w:p>
  </w:footnote>
  <w:footnote w:id="88">
    <w:p w14:paraId="7B6B9179" w14:textId="77777777" w:rsidR="001227E5" w:rsidRDefault="001227E5">
      <w:pPr>
        <w:pStyle w:val="FootnoteText"/>
      </w:pPr>
      <w:r>
        <w:rPr>
          <w:rStyle w:val="FootnoteReference"/>
        </w:rPr>
        <w:footnoteRef/>
      </w:r>
      <w:r>
        <w:t xml:space="preserve"> </w:t>
      </w:r>
      <w:r w:rsidRPr="006D7234">
        <w:t>Fla. S</w:t>
      </w:r>
      <w:r>
        <w:t>tat. § 366.91(2</w:t>
      </w:r>
      <w:r w:rsidRPr="006D7234">
        <w:t>)</w:t>
      </w:r>
      <w:r>
        <w:t>(e).</w:t>
      </w:r>
    </w:p>
  </w:footnote>
  <w:footnote w:id="89">
    <w:p w14:paraId="68B8C0EC" w14:textId="77777777" w:rsidR="001227E5" w:rsidRDefault="001227E5">
      <w:pPr>
        <w:pStyle w:val="FootnoteText"/>
      </w:pPr>
      <w:r>
        <w:rPr>
          <w:rStyle w:val="FootnoteReference"/>
        </w:rPr>
        <w:footnoteRef/>
      </w:r>
      <w:r>
        <w:t xml:space="preserve"> </w:t>
      </w:r>
      <w:r>
        <w:rPr>
          <w:shd w:val="clear" w:color="auto" w:fill="FFFFFF"/>
        </w:rPr>
        <w:t>Fla. Stat. § 366.91(1) (emphasis added).</w:t>
      </w:r>
    </w:p>
  </w:footnote>
  <w:footnote w:id="90">
    <w:p w14:paraId="12CE0237" w14:textId="77777777" w:rsidR="001227E5" w:rsidRDefault="001227E5">
      <w:pPr>
        <w:pStyle w:val="FootnoteText"/>
      </w:pPr>
      <w:r>
        <w:rPr>
          <w:rStyle w:val="FootnoteReference"/>
        </w:rPr>
        <w:footnoteRef/>
      </w:r>
      <w:r>
        <w:t xml:space="preserve"> </w:t>
      </w:r>
      <w:hyperlink r:id="rId3" w:history="1">
        <w:r w:rsidRPr="00B97EC1">
          <w:rPr>
            <w:rStyle w:val="Hyperlink"/>
          </w:rPr>
          <w:t>https://www.merriam-webster.com/dictionary/development</w:t>
        </w:r>
      </w:hyperlink>
      <w:r>
        <w:t>, last checked 01/31/24.</w:t>
      </w:r>
    </w:p>
  </w:footnote>
  <w:footnote w:id="91">
    <w:p w14:paraId="0437C1B7" w14:textId="77777777" w:rsidR="001227E5" w:rsidRPr="00955EDE" w:rsidRDefault="001227E5">
      <w:pPr>
        <w:pStyle w:val="FootnoteText"/>
      </w:pPr>
      <w:r>
        <w:rPr>
          <w:rStyle w:val="FootnoteReference"/>
        </w:rPr>
        <w:footnoteRef/>
      </w:r>
      <w:r>
        <w:t xml:space="preserve"> Fla. St</w:t>
      </w:r>
      <w:r w:rsidRPr="00955EDE">
        <w:t>at. § 366.041(1).</w:t>
      </w:r>
    </w:p>
  </w:footnote>
  <w:footnote w:id="92">
    <w:p w14:paraId="6A0F32C4" w14:textId="77777777" w:rsidR="001227E5" w:rsidRPr="00955EDE" w:rsidRDefault="001227E5" w:rsidP="00955EDE">
      <w:pPr>
        <w:jc w:val="both"/>
        <w:rPr>
          <w:shd w:val="clear" w:color="auto" w:fill="FFFFFF"/>
        </w:rPr>
      </w:pPr>
      <w:r w:rsidRPr="00955EDE">
        <w:rPr>
          <w:rStyle w:val="FootnoteReference"/>
          <w:sz w:val="20"/>
          <w:szCs w:val="20"/>
        </w:rPr>
        <w:footnoteRef/>
      </w:r>
      <w:r w:rsidRPr="00955EDE">
        <w:rPr>
          <w:sz w:val="20"/>
          <w:szCs w:val="20"/>
        </w:rPr>
        <w:t xml:space="preserve"> </w:t>
      </w:r>
      <w:r w:rsidRPr="00955EDE">
        <w:rPr>
          <w:sz w:val="20"/>
          <w:szCs w:val="20"/>
          <w:shd w:val="clear" w:color="auto" w:fill="FFFFFF"/>
        </w:rPr>
        <w:t xml:space="preserve">The Court in </w:t>
      </w:r>
      <w:r w:rsidRPr="00955EDE">
        <w:rPr>
          <w:i/>
          <w:sz w:val="20"/>
          <w:szCs w:val="20"/>
          <w:shd w:val="clear" w:color="auto" w:fill="FFFFFF"/>
        </w:rPr>
        <w:t>FAIR</w:t>
      </w:r>
      <w:r w:rsidRPr="00955EDE">
        <w:rPr>
          <w:sz w:val="20"/>
          <w:szCs w:val="20"/>
          <w:shd w:val="clear" w:color="auto" w:fill="FFFFFF"/>
        </w:rPr>
        <w:t xml:space="preserve"> also stated that we could rely upon non-statutory metrics, if such were demonstrated to be relevant, specifically referring to the findings in our 2021 Final Order regarding the comparison of FPL’s average 1000 kWh bill to the national average. As we have discussed herein, such comparisons provide a useful metric in determining the “value” of service as required by sections 366.06(1) and 366.041(1), F.S., and are within the statutory scope of our review.</w:t>
      </w:r>
    </w:p>
  </w:footnote>
  <w:footnote w:id="93">
    <w:p w14:paraId="641B6643" w14:textId="77777777" w:rsidR="001227E5" w:rsidRPr="00BA1F88" w:rsidRDefault="001227E5">
      <w:pPr>
        <w:pStyle w:val="FootnoteText"/>
      </w:pPr>
      <w:r>
        <w:rPr>
          <w:rStyle w:val="FootnoteReference"/>
        </w:rPr>
        <w:footnoteRef/>
      </w:r>
      <w:r>
        <w:t xml:space="preserve"> </w:t>
      </w:r>
      <w:r>
        <w:rPr>
          <w:i/>
        </w:rPr>
        <w:t>Sierra Club v. Brown</w:t>
      </w:r>
      <w:r>
        <w:t>, 243 So.3d 903, 909 (Fla. 2018)(</w:t>
      </w:r>
      <w:r>
        <w:rPr>
          <w:i/>
        </w:rPr>
        <w:t>quoting</w:t>
      </w:r>
      <w:r>
        <w:t xml:space="preserve"> </w:t>
      </w:r>
      <w:r>
        <w:rPr>
          <w:i/>
        </w:rPr>
        <w:t>Citizens of State v. Fla. Pub. Serv. Comm’n</w:t>
      </w:r>
      <w:r>
        <w:t>, 146 So.3d 1143, 1164 (Fla. 2014)).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551BD" w14:textId="77777777" w:rsidR="001227E5" w:rsidRDefault="001227E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F42CAF" w14:textId="060F20E6" w:rsidR="001227E5" w:rsidRDefault="001227E5" w:rsidP="008641F2">
    <w:pPr>
      <w:pStyle w:val="OrderHeader"/>
    </w:pPr>
    <w:r>
      <w:t xml:space="preserve">ORDER NO. PSC-2024-0078-FOF-EI </w:t>
    </w:r>
    <w:r>
      <w:tab/>
    </w:r>
    <w:r>
      <w:tab/>
      <w:t>Attachment A</w:t>
    </w:r>
  </w:p>
  <w:p w14:paraId="3162EC7F" w14:textId="77777777" w:rsidR="001227E5" w:rsidRDefault="001227E5" w:rsidP="008641F2">
    <w:pPr>
      <w:pStyle w:val="OrderHeader"/>
    </w:pPr>
    <w:r>
      <w:t>DOCKET NO. 20210015-EI</w:t>
    </w:r>
  </w:p>
  <w:p w14:paraId="3B17A372" w14:textId="01F0B53D"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45</w:t>
    </w:r>
    <w:r>
      <w:rPr>
        <w:rStyle w:val="PageNumber"/>
      </w:rPr>
      <w:fldChar w:fldCharType="end"/>
    </w:r>
  </w:p>
  <w:p w14:paraId="14E6280E" w14:textId="77777777" w:rsidR="001227E5" w:rsidRDefault="001227E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20FA95" w14:textId="7A210888" w:rsidR="001227E5" w:rsidRDefault="001227E5" w:rsidP="008641F2">
    <w:pPr>
      <w:pStyle w:val="OrderHeader"/>
    </w:pPr>
    <w:r>
      <w:t xml:space="preserve">ORDER NO. PSC-2024-0078-FOF-EI </w:t>
    </w:r>
    <w:r>
      <w:tab/>
    </w:r>
    <w:r>
      <w:tab/>
      <w:t>Attachment A</w:t>
    </w:r>
  </w:p>
  <w:p w14:paraId="113A0EBB" w14:textId="77777777" w:rsidR="001227E5" w:rsidRDefault="001227E5" w:rsidP="008641F2">
    <w:pPr>
      <w:pStyle w:val="OrderHeader"/>
    </w:pPr>
    <w:r>
      <w:t>DOCKET NO. 20210015-EI</w:t>
    </w:r>
  </w:p>
  <w:p w14:paraId="7B53E549" w14:textId="67ACF345"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46</w:t>
    </w:r>
    <w:r>
      <w:rPr>
        <w:rStyle w:val="PageNumber"/>
      </w:rPr>
      <w:fldChar w:fldCharType="end"/>
    </w:r>
  </w:p>
  <w:p w14:paraId="5C901B0D" w14:textId="77777777" w:rsidR="001227E5" w:rsidRDefault="001227E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B1D73" w14:textId="19B0FE4E" w:rsidR="001227E5" w:rsidRDefault="001227E5" w:rsidP="008641F2">
    <w:pPr>
      <w:pStyle w:val="OrderHeader"/>
    </w:pPr>
    <w:r>
      <w:t xml:space="preserve">ORDER NO. PSC-2024-0078-FOF-EI </w:t>
    </w:r>
    <w:r>
      <w:tab/>
    </w:r>
    <w:r>
      <w:tab/>
      <w:t>Attachment A</w:t>
    </w:r>
  </w:p>
  <w:p w14:paraId="01E581C6" w14:textId="77777777" w:rsidR="001227E5" w:rsidRDefault="001227E5" w:rsidP="008641F2">
    <w:pPr>
      <w:pStyle w:val="OrderHeader"/>
    </w:pPr>
    <w:r>
      <w:t>DOCKET NO. 20210015-EI</w:t>
    </w:r>
  </w:p>
  <w:p w14:paraId="5CB036DC" w14:textId="6CE63C04"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47</w:t>
    </w:r>
    <w:r>
      <w:rPr>
        <w:rStyle w:val="PageNumber"/>
      </w:rPr>
      <w:fldChar w:fldCharType="end"/>
    </w:r>
  </w:p>
  <w:p w14:paraId="6F357D06" w14:textId="77777777" w:rsidR="001227E5" w:rsidRDefault="001227E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FA6B9" w14:textId="56019C0D" w:rsidR="001227E5" w:rsidRDefault="001227E5" w:rsidP="008641F2">
    <w:pPr>
      <w:pStyle w:val="OrderHeader"/>
    </w:pPr>
    <w:r>
      <w:t xml:space="preserve">ORDER NO. PSC-2024-0078-FOF-EI </w:t>
    </w:r>
    <w:r>
      <w:tab/>
    </w:r>
    <w:r>
      <w:tab/>
      <w:t>Attachment A</w:t>
    </w:r>
  </w:p>
  <w:p w14:paraId="43ABC612" w14:textId="77777777" w:rsidR="001227E5" w:rsidRDefault="001227E5" w:rsidP="008641F2">
    <w:pPr>
      <w:pStyle w:val="OrderHeader"/>
    </w:pPr>
    <w:r>
      <w:t>DOCKET NO. 20210015-EI</w:t>
    </w:r>
  </w:p>
  <w:p w14:paraId="2FDA8997" w14:textId="582B6840"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B6FB7">
      <w:rPr>
        <w:rStyle w:val="PageNumber"/>
        <w:noProof/>
      </w:rPr>
      <w:t>48</w:t>
    </w:r>
    <w:r>
      <w:rPr>
        <w:rStyle w:val="PageNumber"/>
      </w:rPr>
      <w:fldChar w:fldCharType="end"/>
    </w:r>
  </w:p>
  <w:p w14:paraId="6DDD32A8" w14:textId="77777777" w:rsidR="001227E5" w:rsidRDefault="001227E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D398CD" w14:textId="6B6B2EC9" w:rsidR="001227E5" w:rsidRDefault="001227E5" w:rsidP="008641F2">
    <w:pPr>
      <w:pStyle w:val="OrderHeader"/>
    </w:pPr>
    <w:r>
      <w:t xml:space="preserve">ORDER NO. PSC-2024-0078-FOF-EI </w:t>
    </w:r>
    <w:r>
      <w:tab/>
    </w:r>
    <w:r>
      <w:tab/>
      <w:t>Attachment A</w:t>
    </w:r>
  </w:p>
  <w:p w14:paraId="5D99DB18" w14:textId="77777777" w:rsidR="001227E5" w:rsidRDefault="001227E5" w:rsidP="008641F2">
    <w:pPr>
      <w:pStyle w:val="OrderHeader"/>
    </w:pPr>
    <w:r>
      <w:t>DOCKET NO. 20210015-EI</w:t>
    </w:r>
  </w:p>
  <w:p w14:paraId="727713D6" w14:textId="2AABEA1A"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49</w:t>
    </w:r>
    <w:r>
      <w:rPr>
        <w:rStyle w:val="PageNumber"/>
      </w:rPr>
      <w:fldChar w:fldCharType="end"/>
    </w:r>
  </w:p>
  <w:p w14:paraId="5D40FD10" w14:textId="77777777" w:rsidR="001227E5" w:rsidRDefault="001227E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C44971" w14:textId="7D2167C1" w:rsidR="001227E5" w:rsidRDefault="001227E5" w:rsidP="008641F2">
    <w:pPr>
      <w:pStyle w:val="OrderHeader"/>
    </w:pPr>
    <w:r>
      <w:t xml:space="preserve">ORDER NO. PSC-2024-0078-FOF-EI </w:t>
    </w:r>
    <w:r>
      <w:tab/>
    </w:r>
    <w:r>
      <w:tab/>
      <w:t>Attachment A</w:t>
    </w:r>
  </w:p>
  <w:p w14:paraId="1B4239E3" w14:textId="77777777" w:rsidR="001227E5" w:rsidRDefault="001227E5" w:rsidP="008641F2">
    <w:pPr>
      <w:pStyle w:val="OrderHeader"/>
    </w:pPr>
    <w:r>
      <w:t>DOCKET NO. 20210015-EI</w:t>
    </w:r>
  </w:p>
  <w:p w14:paraId="56B37807" w14:textId="5C267B80"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50</w:t>
    </w:r>
    <w:r>
      <w:rPr>
        <w:rStyle w:val="PageNumber"/>
      </w:rPr>
      <w:fldChar w:fldCharType="end"/>
    </w:r>
  </w:p>
  <w:p w14:paraId="3E109815" w14:textId="77777777" w:rsidR="001227E5" w:rsidRDefault="001227E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9E45FD" w14:textId="44FFF54C" w:rsidR="001227E5" w:rsidRDefault="001227E5" w:rsidP="008641F2">
    <w:pPr>
      <w:pStyle w:val="OrderHeader"/>
    </w:pPr>
    <w:r>
      <w:t xml:space="preserve">ORDER NO. PSC-2024-0078-FOF-EI </w:t>
    </w:r>
    <w:r>
      <w:tab/>
    </w:r>
    <w:r>
      <w:tab/>
      <w:t>Attachment A</w:t>
    </w:r>
  </w:p>
  <w:p w14:paraId="5BEFCCA8" w14:textId="77777777" w:rsidR="001227E5" w:rsidRDefault="001227E5" w:rsidP="008641F2">
    <w:pPr>
      <w:pStyle w:val="OrderHeader"/>
    </w:pPr>
    <w:r>
      <w:t>DOCKET NO. 20210015-EI</w:t>
    </w:r>
  </w:p>
  <w:p w14:paraId="198B4065" w14:textId="3A9DC44D"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51</w:t>
    </w:r>
    <w:r>
      <w:rPr>
        <w:rStyle w:val="PageNumber"/>
      </w:rPr>
      <w:fldChar w:fldCharType="end"/>
    </w:r>
  </w:p>
  <w:p w14:paraId="0E3223BC" w14:textId="77777777" w:rsidR="001227E5" w:rsidRDefault="001227E5">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F40FF" w14:textId="69C17759" w:rsidR="001227E5" w:rsidRDefault="001227E5" w:rsidP="008641F2">
    <w:pPr>
      <w:pStyle w:val="OrderHeader"/>
    </w:pPr>
    <w:r>
      <w:t xml:space="preserve">ORDER NO. PSC-2024-0078-FOF-EI </w:t>
    </w:r>
    <w:r>
      <w:tab/>
    </w:r>
    <w:r>
      <w:tab/>
      <w:t>Attachment A</w:t>
    </w:r>
  </w:p>
  <w:p w14:paraId="727D5A10" w14:textId="77777777" w:rsidR="001227E5" w:rsidRDefault="001227E5" w:rsidP="008641F2">
    <w:pPr>
      <w:pStyle w:val="OrderHeader"/>
    </w:pPr>
    <w:r>
      <w:t>DOCKET NO. 20210015-EI</w:t>
    </w:r>
  </w:p>
  <w:p w14:paraId="4DF51970" w14:textId="6334F50F"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52</w:t>
    </w:r>
    <w:r>
      <w:rPr>
        <w:rStyle w:val="PageNumber"/>
      </w:rPr>
      <w:fldChar w:fldCharType="end"/>
    </w:r>
  </w:p>
  <w:p w14:paraId="4EDDC0D1" w14:textId="77777777" w:rsidR="001227E5" w:rsidRDefault="001227E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F852E" w14:textId="1DB1825E" w:rsidR="001227E5" w:rsidRDefault="001227E5" w:rsidP="008641F2">
    <w:pPr>
      <w:pStyle w:val="OrderHeader"/>
    </w:pPr>
    <w:r>
      <w:t xml:space="preserve">ORDER NO. PSC-2024-0078-FOF-EI </w:t>
    </w:r>
    <w:r>
      <w:tab/>
    </w:r>
    <w:r>
      <w:tab/>
      <w:t>Attachment A</w:t>
    </w:r>
  </w:p>
  <w:p w14:paraId="00B510D4" w14:textId="77777777" w:rsidR="001227E5" w:rsidRDefault="001227E5" w:rsidP="008641F2">
    <w:pPr>
      <w:pStyle w:val="OrderHeader"/>
    </w:pPr>
    <w:r>
      <w:t>DOCKET NO. 20210015-EI</w:t>
    </w:r>
  </w:p>
  <w:p w14:paraId="3D5343B2" w14:textId="21653E50"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53</w:t>
    </w:r>
    <w:r>
      <w:rPr>
        <w:rStyle w:val="PageNumber"/>
      </w:rPr>
      <w:fldChar w:fldCharType="end"/>
    </w:r>
  </w:p>
  <w:p w14:paraId="3E58E3B9" w14:textId="77777777" w:rsidR="001227E5" w:rsidRDefault="001227E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05727" w14:textId="43694915" w:rsidR="001227E5" w:rsidRDefault="001227E5" w:rsidP="008641F2">
    <w:pPr>
      <w:pStyle w:val="OrderHeader"/>
    </w:pPr>
    <w:r>
      <w:t xml:space="preserve">ORDER NO. PSC-2024-0078-FOF-EI </w:t>
    </w:r>
    <w:r>
      <w:tab/>
    </w:r>
    <w:r>
      <w:tab/>
      <w:t>Attachment A</w:t>
    </w:r>
  </w:p>
  <w:p w14:paraId="760C509A" w14:textId="77777777" w:rsidR="001227E5" w:rsidRDefault="001227E5" w:rsidP="008641F2">
    <w:pPr>
      <w:pStyle w:val="OrderHeader"/>
    </w:pPr>
    <w:r>
      <w:t>DOCKET NO. 20210015-EI</w:t>
    </w:r>
  </w:p>
  <w:p w14:paraId="517D1131" w14:textId="447DBA49"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54</w:t>
    </w:r>
    <w:r>
      <w:rPr>
        <w:rStyle w:val="PageNumber"/>
      </w:rPr>
      <w:fldChar w:fldCharType="end"/>
    </w:r>
  </w:p>
  <w:p w14:paraId="46095859" w14:textId="77777777" w:rsidR="001227E5" w:rsidRDefault="001227E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0EA15" w14:textId="024B7133" w:rsidR="001227E5" w:rsidRDefault="001227E5">
    <w:pPr>
      <w:pStyle w:val="OrderHeader"/>
    </w:pPr>
    <w:r>
      <w:t xml:space="preserve">ORDER NO. </w:t>
    </w:r>
    <w:fldSimple w:instr=" REF OrderNo0078 ">
      <w:r w:rsidR="000A5E94">
        <w:t>PSC-2024-0078-FOF-EI</w:t>
      </w:r>
    </w:fldSimple>
  </w:p>
  <w:p w14:paraId="137101B2" w14:textId="77777777" w:rsidR="001227E5" w:rsidRDefault="001227E5">
    <w:pPr>
      <w:pStyle w:val="OrderHeader"/>
    </w:pPr>
    <w:bookmarkStart w:id="11" w:name="HeaderDocketNo"/>
    <w:bookmarkEnd w:id="11"/>
    <w:r>
      <w:t>DOCKET NO. 20210015-EI</w:t>
    </w:r>
  </w:p>
  <w:p w14:paraId="715AC9E0" w14:textId="06467168" w:rsidR="001227E5" w:rsidRDefault="001227E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B6FB7">
      <w:rPr>
        <w:rStyle w:val="PageNumber"/>
        <w:noProof/>
      </w:rPr>
      <w:t>38</w:t>
    </w:r>
    <w:r>
      <w:rPr>
        <w:rStyle w:val="PageNumber"/>
      </w:rPr>
      <w:fldChar w:fldCharType="end"/>
    </w:r>
  </w:p>
  <w:p w14:paraId="42FF89C4" w14:textId="77777777" w:rsidR="001227E5" w:rsidRDefault="001227E5">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8EE95" w14:textId="5D0EC9D4" w:rsidR="001227E5" w:rsidRDefault="001227E5" w:rsidP="008641F2">
    <w:pPr>
      <w:pStyle w:val="OrderHeader"/>
    </w:pPr>
    <w:r>
      <w:t xml:space="preserve">ORDER NO. PSC-2024-0078-FOF-EI </w:t>
    </w:r>
    <w:r>
      <w:tab/>
    </w:r>
    <w:r>
      <w:tab/>
      <w:t>Attachment A</w:t>
    </w:r>
  </w:p>
  <w:p w14:paraId="44959FB2" w14:textId="77777777" w:rsidR="001227E5" w:rsidRDefault="001227E5" w:rsidP="008641F2">
    <w:pPr>
      <w:pStyle w:val="OrderHeader"/>
    </w:pPr>
    <w:r>
      <w:t>DOCKET NO. 20210015-EI</w:t>
    </w:r>
  </w:p>
  <w:p w14:paraId="3B1C5A23" w14:textId="46A6D86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55</w:t>
    </w:r>
    <w:r>
      <w:rPr>
        <w:rStyle w:val="PageNumber"/>
      </w:rPr>
      <w:fldChar w:fldCharType="end"/>
    </w:r>
  </w:p>
  <w:p w14:paraId="49BACED3" w14:textId="77777777" w:rsidR="001227E5" w:rsidRDefault="001227E5">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7D328" w14:textId="10711192" w:rsidR="001227E5" w:rsidRDefault="001227E5" w:rsidP="008641F2">
    <w:pPr>
      <w:pStyle w:val="OrderHeader"/>
    </w:pPr>
    <w:r>
      <w:t xml:space="preserve">ORDER NO. PSC-2024-0078-FOF-EI </w:t>
    </w:r>
    <w:r>
      <w:tab/>
    </w:r>
    <w:r>
      <w:tab/>
      <w:t>Attachment A</w:t>
    </w:r>
  </w:p>
  <w:p w14:paraId="349C6D3D" w14:textId="77777777" w:rsidR="001227E5" w:rsidRDefault="001227E5" w:rsidP="008641F2">
    <w:pPr>
      <w:pStyle w:val="OrderHeader"/>
    </w:pPr>
    <w:r>
      <w:t>DOCKET NO. 20210015-EI</w:t>
    </w:r>
  </w:p>
  <w:p w14:paraId="7017907A" w14:textId="02B67E31"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56</w:t>
    </w:r>
    <w:r>
      <w:rPr>
        <w:rStyle w:val="PageNumber"/>
      </w:rPr>
      <w:fldChar w:fldCharType="end"/>
    </w:r>
  </w:p>
  <w:p w14:paraId="530E97EC" w14:textId="77777777" w:rsidR="001227E5" w:rsidRDefault="001227E5">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4442C" w14:textId="79D9A4AE" w:rsidR="001227E5" w:rsidRDefault="001227E5" w:rsidP="008641F2">
    <w:pPr>
      <w:pStyle w:val="OrderHeader"/>
    </w:pPr>
    <w:r>
      <w:t xml:space="preserve">ORDER NO. PSC-2024-0078-FOF-EI </w:t>
    </w:r>
    <w:r>
      <w:tab/>
    </w:r>
    <w:r>
      <w:tab/>
      <w:t>Attachment A</w:t>
    </w:r>
  </w:p>
  <w:p w14:paraId="24E83137" w14:textId="77777777" w:rsidR="001227E5" w:rsidRDefault="001227E5" w:rsidP="008641F2">
    <w:pPr>
      <w:pStyle w:val="OrderHeader"/>
    </w:pPr>
    <w:r>
      <w:t>DOCKET NO. 20210015-EI</w:t>
    </w:r>
  </w:p>
  <w:p w14:paraId="7AB4CDAA" w14:textId="1053927D"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57</w:t>
    </w:r>
    <w:r>
      <w:rPr>
        <w:rStyle w:val="PageNumber"/>
      </w:rPr>
      <w:fldChar w:fldCharType="end"/>
    </w:r>
  </w:p>
  <w:p w14:paraId="0542E5ED" w14:textId="77777777" w:rsidR="001227E5" w:rsidRDefault="001227E5">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93B4F" w14:textId="2C7BA537" w:rsidR="001227E5" w:rsidRDefault="001227E5" w:rsidP="008641F2">
    <w:pPr>
      <w:pStyle w:val="OrderHeader"/>
    </w:pPr>
    <w:r>
      <w:t xml:space="preserve">ORDER NO. PSC-2024-0078-FOF-EI </w:t>
    </w:r>
    <w:r>
      <w:tab/>
    </w:r>
    <w:r>
      <w:tab/>
      <w:t>Attachment A</w:t>
    </w:r>
  </w:p>
  <w:p w14:paraId="6E652408" w14:textId="77777777" w:rsidR="001227E5" w:rsidRDefault="001227E5" w:rsidP="008641F2">
    <w:pPr>
      <w:pStyle w:val="OrderHeader"/>
    </w:pPr>
    <w:r>
      <w:t>DOCKET NO. 20210015-EI</w:t>
    </w:r>
  </w:p>
  <w:p w14:paraId="39243B0C" w14:textId="5F5CEA2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58</w:t>
    </w:r>
    <w:r>
      <w:rPr>
        <w:rStyle w:val="PageNumber"/>
      </w:rPr>
      <w:fldChar w:fldCharType="end"/>
    </w:r>
  </w:p>
  <w:p w14:paraId="3DFA03D1" w14:textId="77777777" w:rsidR="001227E5" w:rsidRDefault="001227E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8A298" w14:textId="351FB340" w:rsidR="001227E5" w:rsidRDefault="001227E5" w:rsidP="008641F2">
    <w:pPr>
      <w:pStyle w:val="OrderHeader"/>
    </w:pPr>
    <w:r>
      <w:t xml:space="preserve">ORDER NO. PSC-2024-0078-FOF-EI </w:t>
    </w:r>
    <w:r>
      <w:tab/>
    </w:r>
    <w:r>
      <w:tab/>
      <w:t>Attachment A</w:t>
    </w:r>
  </w:p>
  <w:p w14:paraId="46B26EC5" w14:textId="77777777" w:rsidR="001227E5" w:rsidRDefault="001227E5" w:rsidP="008641F2">
    <w:pPr>
      <w:pStyle w:val="OrderHeader"/>
    </w:pPr>
    <w:r>
      <w:t>DOCKET NO. 20210015-EI</w:t>
    </w:r>
  </w:p>
  <w:p w14:paraId="46505555" w14:textId="077F7DF8"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59</w:t>
    </w:r>
    <w:r>
      <w:rPr>
        <w:rStyle w:val="PageNumber"/>
      </w:rPr>
      <w:fldChar w:fldCharType="end"/>
    </w:r>
  </w:p>
  <w:p w14:paraId="12E66896" w14:textId="77777777" w:rsidR="001227E5" w:rsidRDefault="001227E5">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4245D" w14:textId="2842B7B6" w:rsidR="001227E5" w:rsidRDefault="001227E5" w:rsidP="008641F2">
    <w:pPr>
      <w:pStyle w:val="OrderHeader"/>
    </w:pPr>
    <w:r>
      <w:t xml:space="preserve">ORDER NO. PSC-2024-0078-FOF-EI </w:t>
    </w:r>
    <w:r>
      <w:tab/>
    </w:r>
    <w:r>
      <w:tab/>
      <w:t>Attachment A</w:t>
    </w:r>
  </w:p>
  <w:p w14:paraId="6383D3E2" w14:textId="77777777" w:rsidR="001227E5" w:rsidRDefault="001227E5" w:rsidP="008641F2">
    <w:pPr>
      <w:pStyle w:val="OrderHeader"/>
    </w:pPr>
    <w:r>
      <w:t>DOCKET NO. 20210015-EI</w:t>
    </w:r>
  </w:p>
  <w:p w14:paraId="5364659C" w14:textId="5178FC5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60</w:t>
    </w:r>
    <w:r>
      <w:rPr>
        <w:rStyle w:val="PageNumber"/>
      </w:rPr>
      <w:fldChar w:fldCharType="end"/>
    </w:r>
  </w:p>
  <w:p w14:paraId="4D9AE9B6" w14:textId="77777777" w:rsidR="001227E5" w:rsidRDefault="001227E5">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D83A1A" w14:textId="27D4BDDD" w:rsidR="001227E5" w:rsidRDefault="001227E5" w:rsidP="008641F2">
    <w:pPr>
      <w:pStyle w:val="OrderHeader"/>
    </w:pPr>
    <w:r>
      <w:t xml:space="preserve">ORDER NO. PSC-2024-0078-FOF-EI </w:t>
    </w:r>
    <w:r>
      <w:tab/>
    </w:r>
    <w:r>
      <w:tab/>
      <w:t>Attachment A</w:t>
    </w:r>
  </w:p>
  <w:p w14:paraId="5139C4D8" w14:textId="77777777" w:rsidR="001227E5" w:rsidRDefault="001227E5" w:rsidP="008641F2">
    <w:pPr>
      <w:pStyle w:val="OrderHeader"/>
    </w:pPr>
    <w:r>
      <w:t>DOCKET NO. 20210015-EI</w:t>
    </w:r>
  </w:p>
  <w:p w14:paraId="304184A9" w14:textId="6ECF0CE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61</w:t>
    </w:r>
    <w:r>
      <w:rPr>
        <w:rStyle w:val="PageNumber"/>
      </w:rPr>
      <w:fldChar w:fldCharType="end"/>
    </w:r>
  </w:p>
  <w:p w14:paraId="5C8B1A57" w14:textId="77777777" w:rsidR="001227E5" w:rsidRDefault="001227E5">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04385" w14:textId="1F2395B5" w:rsidR="001227E5" w:rsidRDefault="001227E5" w:rsidP="008641F2">
    <w:pPr>
      <w:pStyle w:val="OrderHeader"/>
    </w:pPr>
    <w:r>
      <w:t xml:space="preserve">ORDER NO. PSC-2024-0078-FOF-EI </w:t>
    </w:r>
    <w:r>
      <w:tab/>
    </w:r>
    <w:r>
      <w:tab/>
      <w:t>Attachment A</w:t>
    </w:r>
  </w:p>
  <w:p w14:paraId="2D2B065B" w14:textId="77777777" w:rsidR="001227E5" w:rsidRDefault="001227E5" w:rsidP="008641F2">
    <w:pPr>
      <w:pStyle w:val="OrderHeader"/>
    </w:pPr>
    <w:r>
      <w:t>DOCKET NO. 20210015-EI</w:t>
    </w:r>
  </w:p>
  <w:p w14:paraId="669F9E02" w14:textId="1B9619B9"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62</w:t>
    </w:r>
    <w:r>
      <w:rPr>
        <w:rStyle w:val="PageNumber"/>
      </w:rPr>
      <w:fldChar w:fldCharType="end"/>
    </w:r>
  </w:p>
  <w:p w14:paraId="147DA179" w14:textId="77777777" w:rsidR="001227E5" w:rsidRDefault="001227E5">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E44788" w14:textId="1214EEED" w:rsidR="001227E5" w:rsidRDefault="001227E5" w:rsidP="008641F2">
    <w:pPr>
      <w:pStyle w:val="OrderHeader"/>
    </w:pPr>
    <w:r>
      <w:t xml:space="preserve">ORDER NO. PSC-2024-0078-FOF-EI </w:t>
    </w:r>
    <w:r>
      <w:tab/>
    </w:r>
    <w:r>
      <w:tab/>
      <w:t>Attachment A</w:t>
    </w:r>
  </w:p>
  <w:p w14:paraId="5998E4FA" w14:textId="77777777" w:rsidR="001227E5" w:rsidRDefault="001227E5" w:rsidP="008641F2">
    <w:pPr>
      <w:pStyle w:val="OrderHeader"/>
    </w:pPr>
    <w:r>
      <w:t>DOCKET NO. 20210015-EI</w:t>
    </w:r>
  </w:p>
  <w:p w14:paraId="599529FA" w14:textId="753885D2"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63</w:t>
    </w:r>
    <w:r>
      <w:rPr>
        <w:rStyle w:val="PageNumber"/>
      </w:rPr>
      <w:fldChar w:fldCharType="end"/>
    </w:r>
  </w:p>
  <w:p w14:paraId="4A784FE2" w14:textId="77777777" w:rsidR="001227E5" w:rsidRDefault="001227E5">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CC65" w14:textId="53D9B4AC" w:rsidR="001227E5" w:rsidRDefault="001227E5" w:rsidP="008641F2">
    <w:pPr>
      <w:pStyle w:val="OrderHeader"/>
    </w:pPr>
    <w:r>
      <w:t xml:space="preserve">ORDER NO. PSC-2024-0078-FOF-EI </w:t>
    </w:r>
    <w:r>
      <w:tab/>
    </w:r>
    <w:r>
      <w:tab/>
      <w:t>Attachment A</w:t>
    </w:r>
  </w:p>
  <w:p w14:paraId="79253C58" w14:textId="77777777" w:rsidR="001227E5" w:rsidRDefault="001227E5" w:rsidP="008641F2">
    <w:pPr>
      <w:pStyle w:val="OrderHeader"/>
    </w:pPr>
    <w:r>
      <w:t>DOCKET NO. 20210015-EI</w:t>
    </w:r>
  </w:p>
  <w:p w14:paraId="2488ED56" w14:textId="44591BA9"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64</w:t>
    </w:r>
    <w:r>
      <w:rPr>
        <w:rStyle w:val="PageNumber"/>
      </w:rPr>
      <w:fldChar w:fldCharType="end"/>
    </w:r>
  </w:p>
  <w:p w14:paraId="3405CF57" w14:textId="77777777" w:rsidR="001227E5" w:rsidRDefault="001227E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7F565B" w14:textId="77777777" w:rsidR="001227E5" w:rsidRDefault="001227E5">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B945F2" w14:textId="3DEE63E8" w:rsidR="001227E5" w:rsidRDefault="001227E5" w:rsidP="008641F2">
    <w:pPr>
      <w:pStyle w:val="OrderHeader"/>
    </w:pPr>
    <w:r>
      <w:t xml:space="preserve">ORDER NO. PSC-2024-0078-FOF-EI </w:t>
    </w:r>
    <w:r>
      <w:tab/>
    </w:r>
    <w:r>
      <w:tab/>
      <w:t>Attachment A</w:t>
    </w:r>
  </w:p>
  <w:p w14:paraId="71BD2084" w14:textId="77777777" w:rsidR="001227E5" w:rsidRDefault="001227E5" w:rsidP="008641F2">
    <w:pPr>
      <w:pStyle w:val="OrderHeader"/>
    </w:pPr>
    <w:r>
      <w:t>DOCKET NO. 20210015-EI</w:t>
    </w:r>
  </w:p>
  <w:p w14:paraId="7F954C5A" w14:textId="3278FE49"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65</w:t>
    </w:r>
    <w:r>
      <w:rPr>
        <w:rStyle w:val="PageNumber"/>
      </w:rPr>
      <w:fldChar w:fldCharType="end"/>
    </w:r>
  </w:p>
  <w:p w14:paraId="1D9F282F" w14:textId="77777777" w:rsidR="001227E5" w:rsidRDefault="001227E5">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28A88" w14:textId="552ECD2C" w:rsidR="001227E5" w:rsidRDefault="001227E5" w:rsidP="008641F2">
    <w:pPr>
      <w:pStyle w:val="OrderHeader"/>
    </w:pPr>
    <w:r>
      <w:t xml:space="preserve">ORDER NO. PSC-2024-0078-FOF-EI </w:t>
    </w:r>
    <w:r>
      <w:tab/>
    </w:r>
    <w:r>
      <w:tab/>
      <w:t>Attachment A</w:t>
    </w:r>
  </w:p>
  <w:p w14:paraId="35894C16" w14:textId="77777777" w:rsidR="001227E5" w:rsidRDefault="001227E5" w:rsidP="008641F2">
    <w:pPr>
      <w:pStyle w:val="OrderHeader"/>
    </w:pPr>
    <w:r>
      <w:t>DOCKET NO. 20210015-EI</w:t>
    </w:r>
  </w:p>
  <w:p w14:paraId="6F38C92C" w14:textId="622D5940"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66</w:t>
    </w:r>
    <w:r>
      <w:rPr>
        <w:rStyle w:val="PageNumber"/>
      </w:rPr>
      <w:fldChar w:fldCharType="end"/>
    </w:r>
  </w:p>
  <w:p w14:paraId="708A8D60" w14:textId="77777777" w:rsidR="001227E5" w:rsidRDefault="001227E5">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6F476" w14:textId="74FDE8E4" w:rsidR="001227E5" w:rsidRDefault="001227E5" w:rsidP="008641F2">
    <w:pPr>
      <w:pStyle w:val="OrderHeader"/>
    </w:pPr>
    <w:r>
      <w:t xml:space="preserve">ORDER NO. PSC-2024-0078-FOF-EI </w:t>
    </w:r>
    <w:r>
      <w:tab/>
    </w:r>
    <w:r>
      <w:tab/>
      <w:t>Attachment A</w:t>
    </w:r>
  </w:p>
  <w:p w14:paraId="6D8CFFAC" w14:textId="77777777" w:rsidR="001227E5" w:rsidRDefault="001227E5" w:rsidP="008641F2">
    <w:pPr>
      <w:pStyle w:val="OrderHeader"/>
    </w:pPr>
    <w:r>
      <w:t>DOCKET NO. 20210015-EI</w:t>
    </w:r>
  </w:p>
  <w:p w14:paraId="55395B26" w14:textId="0809B9E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67</w:t>
    </w:r>
    <w:r>
      <w:rPr>
        <w:rStyle w:val="PageNumber"/>
      </w:rPr>
      <w:fldChar w:fldCharType="end"/>
    </w:r>
  </w:p>
  <w:p w14:paraId="146AAFC7" w14:textId="77777777" w:rsidR="001227E5" w:rsidRDefault="001227E5">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EF5F73" w14:textId="277D63AE" w:rsidR="001227E5" w:rsidRDefault="001227E5" w:rsidP="008641F2">
    <w:pPr>
      <w:pStyle w:val="OrderHeader"/>
    </w:pPr>
    <w:r>
      <w:t xml:space="preserve">ORDER NO. PSC-2024-0078-FOF-EI </w:t>
    </w:r>
    <w:r>
      <w:tab/>
    </w:r>
    <w:r>
      <w:tab/>
      <w:t>Attachment A</w:t>
    </w:r>
  </w:p>
  <w:p w14:paraId="692D8FB3" w14:textId="77777777" w:rsidR="001227E5" w:rsidRDefault="001227E5" w:rsidP="008641F2">
    <w:pPr>
      <w:pStyle w:val="OrderHeader"/>
    </w:pPr>
    <w:r>
      <w:t>DOCKET NO. 20210015-EI</w:t>
    </w:r>
  </w:p>
  <w:p w14:paraId="13EEA677" w14:textId="5959EBA6"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68</w:t>
    </w:r>
    <w:r>
      <w:rPr>
        <w:rStyle w:val="PageNumber"/>
      </w:rPr>
      <w:fldChar w:fldCharType="end"/>
    </w:r>
  </w:p>
  <w:p w14:paraId="4574CDF1" w14:textId="77777777" w:rsidR="001227E5" w:rsidRDefault="001227E5">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D39383" w14:textId="65D79AAA" w:rsidR="001227E5" w:rsidRDefault="001227E5" w:rsidP="008641F2">
    <w:pPr>
      <w:pStyle w:val="OrderHeader"/>
    </w:pPr>
    <w:r>
      <w:t xml:space="preserve">ORDER NO. PSC-2024-0078-FOF-EI </w:t>
    </w:r>
    <w:r>
      <w:tab/>
    </w:r>
    <w:r>
      <w:tab/>
      <w:t>Attachment A</w:t>
    </w:r>
  </w:p>
  <w:p w14:paraId="6FCED038" w14:textId="77777777" w:rsidR="001227E5" w:rsidRDefault="001227E5" w:rsidP="008641F2">
    <w:pPr>
      <w:pStyle w:val="OrderHeader"/>
    </w:pPr>
    <w:r>
      <w:t>DOCKET NO. 20210015-EI</w:t>
    </w:r>
  </w:p>
  <w:p w14:paraId="6C16E70E" w14:textId="6BD68784"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69</w:t>
    </w:r>
    <w:r>
      <w:rPr>
        <w:rStyle w:val="PageNumber"/>
      </w:rPr>
      <w:fldChar w:fldCharType="end"/>
    </w:r>
  </w:p>
  <w:p w14:paraId="45AB07E3" w14:textId="77777777" w:rsidR="001227E5" w:rsidRDefault="001227E5">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EFD47" w14:textId="332B437A" w:rsidR="001227E5" w:rsidRDefault="001227E5" w:rsidP="008641F2">
    <w:pPr>
      <w:pStyle w:val="OrderHeader"/>
    </w:pPr>
    <w:r>
      <w:t xml:space="preserve">ORDER NO. PSC-2024-0078-FOF-EI </w:t>
    </w:r>
    <w:r>
      <w:tab/>
    </w:r>
    <w:r>
      <w:tab/>
      <w:t>Attachment A</w:t>
    </w:r>
  </w:p>
  <w:p w14:paraId="32876223" w14:textId="77777777" w:rsidR="001227E5" w:rsidRDefault="001227E5" w:rsidP="008641F2">
    <w:pPr>
      <w:pStyle w:val="OrderHeader"/>
    </w:pPr>
    <w:r>
      <w:t>DOCKET NO. 20210015-EI</w:t>
    </w:r>
  </w:p>
  <w:p w14:paraId="0ECCAE49" w14:textId="6149D17A"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70</w:t>
    </w:r>
    <w:r>
      <w:rPr>
        <w:rStyle w:val="PageNumber"/>
      </w:rPr>
      <w:fldChar w:fldCharType="end"/>
    </w:r>
  </w:p>
  <w:p w14:paraId="5D46EAA1" w14:textId="77777777" w:rsidR="001227E5" w:rsidRDefault="001227E5">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BBB75" w14:textId="322A4AF9" w:rsidR="001227E5" w:rsidRDefault="001227E5" w:rsidP="008641F2">
    <w:pPr>
      <w:pStyle w:val="OrderHeader"/>
    </w:pPr>
    <w:r>
      <w:t xml:space="preserve">ORDER NO. PSC-2024-0078-FOF-EI </w:t>
    </w:r>
    <w:r>
      <w:tab/>
    </w:r>
    <w:r>
      <w:tab/>
      <w:t>Attachment A</w:t>
    </w:r>
  </w:p>
  <w:p w14:paraId="69A373E2" w14:textId="77777777" w:rsidR="001227E5" w:rsidRDefault="001227E5" w:rsidP="008641F2">
    <w:pPr>
      <w:pStyle w:val="OrderHeader"/>
    </w:pPr>
    <w:r>
      <w:t>DOCKET NO. 20210015-EI</w:t>
    </w:r>
  </w:p>
  <w:p w14:paraId="3EA19306" w14:textId="7AB99ECA"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71</w:t>
    </w:r>
    <w:r>
      <w:rPr>
        <w:rStyle w:val="PageNumber"/>
      </w:rPr>
      <w:fldChar w:fldCharType="end"/>
    </w:r>
  </w:p>
  <w:p w14:paraId="57921290" w14:textId="77777777" w:rsidR="001227E5" w:rsidRDefault="001227E5">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E07740" w14:textId="770739FA" w:rsidR="001227E5" w:rsidRDefault="001227E5" w:rsidP="008641F2">
    <w:pPr>
      <w:pStyle w:val="OrderHeader"/>
    </w:pPr>
    <w:r>
      <w:t xml:space="preserve">ORDER NO. PSC-2024-0078-FOF-EI </w:t>
    </w:r>
    <w:r>
      <w:tab/>
    </w:r>
    <w:r>
      <w:tab/>
      <w:t>Attachment A</w:t>
    </w:r>
  </w:p>
  <w:p w14:paraId="764BA0EC" w14:textId="77777777" w:rsidR="001227E5" w:rsidRDefault="001227E5" w:rsidP="008641F2">
    <w:pPr>
      <w:pStyle w:val="OrderHeader"/>
    </w:pPr>
    <w:r>
      <w:t>DOCKET NO. 20210015-EI</w:t>
    </w:r>
  </w:p>
  <w:p w14:paraId="4E6981AA" w14:textId="05B0C619"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72</w:t>
    </w:r>
    <w:r>
      <w:rPr>
        <w:rStyle w:val="PageNumber"/>
      </w:rPr>
      <w:fldChar w:fldCharType="end"/>
    </w:r>
  </w:p>
  <w:p w14:paraId="40A03372" w14:textId="77777777" w:rsidR="001227E5" w:rsidRDefault="001227E5">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0E4782" w14:textId="1FDE3F1C" w:rsidR="001227E5" w:rsidRDefault="001227E5" w:rsidP="008641F2">
    <w:pPr>
      <w:pStyle w:val="OrderHeader"/>
    </w:pPr>
    <w:r>
      <w:t xml:space="preserve">ORDER NO. PSC-2024-0078-FOF-EI </w:t>
    </w:r>
    <w:r>
      <w:tab/>
    </w:r>
    <w:r>
      <w:tab/>
      <w:t>Attachment A</w:t>
    </w:r>
  </w:p>
  <w:p w14:paraId="13DA399F" w14:textId="77777777" w:rsidR="001227E5" w:rsidRDefault="001227E5" w:rsidP="008641F2">
    <w:pPr>
      <w:pStyle w:val="OrderHeader"/>
    </w:pPr>
    <w:r>
      <w:t>DOCKET NO. 20210015-EI</w:t>
    </w:r>
  </w:p>
  <w:p w14:paraId="35E131C0" w14:textId="78463866"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73</w:t>
    </w:r>
    <w:r>
      <w:rPr>
        <w:rStyle w:val="PageNumber"/>
      </w:rPr>
      <w:fldChar w:fldCharType="end"/>
    </w:r>
  </w:p>
  <w:p w14:paraId="1B3E53F1" w14:textId="77777777" w:rsidR="001227E5" w:rsidRDefault="001227E5">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9831D3" w14:textId="465CA43E" w:rsidR="001227E5" w:rsidRDefault="001227E5" w:rsidP="008641F2">
    <w:pPr>
      <w:pStyle w:val="OrderHeader"/>
    </w:pPr>
    <w:r>
      <w:t xml:space="preserve">ORDER NO. PSC-2024-0078-FOF-EI </w:t>
    </w:r>
    <w:r>
      <w:tab/>
    </w:r>
    <w:r>
      <w:tab/>
      <w:t>Attachment A</w:t>
    </w:r>
  </w:p>
  <w:p w14:paraId="63BC33F5" w14:textId="77777777" w:rsidR="001227E5" w:rsidRDefault="001227E5" w:rsidP="008641F2">
    <w:pPr>
      <w:pStyle w:val="OrderHeader"/>
    </w:pPr>
    <w:r>
      <w:t>DOCKET NO. 20210015-EI</w:t>
    </w:r>
  </w:p>
  <w:p w14:paraId="46223118" w14:textId="06B3723A"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74</w:t>
    </w:r>
    <w:r>
      <w:rPr>
        <w:rStyle w:val="PageNumber"/>
      </w:rPr>
      <w:fldChar w:fldCharType="end"/>
    </w:r>
  </w:p>
  <w:p w14:paraId="28C23F8F" w14:textId="77777777" w:rsidR="001227E5" w:rsidRDefault="001227E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CB920" w14:textId="280C0B1C" w:rsidR="001227E5" w:rsidRDefault="001227E5" w:rsidP="008641F2">
    <w:pPr>
      <w:pStyle w:val="OrderHeader"/>
    </w:pPr>
    <w:r>
      <w:t xml:space="preserve">ORDER NO. PSC-2024-0078-FOF-EI </w:t>
    </w:r>
    <w:r>
      <w:tab/>
    </w:r>
    <w:r>
      <w:tab/>
      <w:t>Attachment A</w:t>
    </w:r>
  </w:p>
  <w:p w14:paraId="2CB6CDCD" w14:textId="77777777" w:rsidR="001227E5" w:rsidRDefault="001227E5" w:rsidP="008641F2">
    <w:pPr>
      <w:pStyle w:val="OrderHeader"/>
    </w:pPr>
    <w:r>
      <w:t>DOCKET NO. 20210015-EI</w:t>
    </w:r>
  </w:p>
  <w:p w14:paraId="7C020EC1" w14:textId="28509CEB"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B6FB7">
      <w:rPr>
        <w:rStyle w:val="PageNumber"/>
        <w:noProof/>
      </w:rPr>
      <w:t>39</w:t>
    </w:r>
    <w:r>
      <w:rPr>
        <w:rStyle w:val="PageNumber"/>
      </w:rPr>
      <w:fldChar w:fldCharType="end"/>
    </w:r>
  </w:p>
  <w:p w14:paraId="75FD07C8" w14:textId="77777777" w:rsidR="001227E5" w:rsidRDefault="001227E5">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2CA12" w14:textId="3B11A5E4" w:rsidR="001227E5" w:rsidRDefault="001227E5" w:rsidP="008641F2">
    <w:pPr>
      <w:pStyle w:val="OrderHeader"/>
    </w:pPr>
    <w:r>
      <w:t xml:space="preserve">ORDER NO. PSC-2024-0078-FOF-EI </w:t>
    </w:r>
    <w:r>
      <w:tab/>
    </w:r>
    <w:r>
      <w:tab/>
      <w:t>Attachment A</w:t>
    </w:r>
  </w:p>
  <w:p w14:paraId="233F09A7" w14:textId="77777777" w:rsidR="001227E5" w:rsidRDefault="001227E5" w:rsidP="008641F2">
    <w:pPr>
      <w:pStyle w:val="OrderHeader"/>
    </w:pPr>
    <w:r>
      <w:t>DOCKET NO. 20210015-EI</w:t>
    </w:r>
  </w:p>
  <w:p w14:paraId="446221D6" w14:textId="59B21AB6"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75</w:t>
    </w:r>
    <w:r>
      <w:rPr>
        <w:rStyle w:val="PageNumber"/>
      </w:rPr>
      <w:fldChar w:fldCharType="end"/>
    </w:r>
  </w:p>
  <w:p w14:paraId="03B8E43D" w14:textId="77777777" w:rsidR="001227E5" w:rsidRDefault="001227E5">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0D8F1C" w14:textId="26020DD9" w:rsidR="001227E5" w:rsidRDefault="001227E5" w:rsidP="008641F2">
    <w:pPr>
      <w:pStyle w:val="OrderHeader"/>
    </w:pPr>
    <w:r>
      <w:t xml:space="preserve">ORDER NO. PSC-2024-0078-FOF-EI </w:t>
    </w:r>
    <w:r>
      <w:tab/>
    </w:r>
    <w:r>
      <w:tab/>
      <w:t>Attachment A</w:t>
    </w:r>
  </w:p>
  <w:p w14:paraId="0837F114" w14:textId="77777777" w:rsidR="001227E5" w:rsidRDefault="001227E5" w:rsidP="008641F2">
    <w:pPr>
      <w:pStyle w:val="OrderHeader"/>
    </w:pPr>
    <w:r>
      <w:t>DOCKET NO. 20210015-EI</w:t>
    </w:r>
  </w:p>
  <w:p w14:paraId="65283FD0" w14:textId="672077C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76</w:t>
    </w:r>
    <w:r>
      <w:rPr>
        <w:rStyle w:val="PageNumber"/>
      </w:rPr>
      <w:fldChar w:fldCharType="end"/>
    </w:r>
  </w:p>
  <w:p w14:paraId="54250D91" w14:textId="77777777" w:rsidR="001227E5" w:rsidRDefault="001227E5">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79A4F" w14:textId="60F72EE6" w:rsidR="001227E5" w:rsidRDefault="001227E5" w:rsidP="008641F2">
    <w:pPr>
      <w:pStyle w:val="OrderHeader"/>
    </w:pPr>
    <w:r>
      <w:t xml:space="preserve">ORDER NO. PSC-2024-0078-FOF-EI </w:t>
    </w:r>
    <w:r>
      <w:tab/>
    </w:r>
    <w:r>
      <w:tab/>
      <w:t>Attachment A</w:t>
    </w:r>
  </w:p>
  <w:p w14:paraId="2277AA7C" w14:textId="77777777" w:rsidR="001227E5" w:rsidRDefault="001227E5" w:rsidP="008641F2">
    <w:pPr>
      <w:pStyle w:val="OrderHeader"/>
    </w:pPr>
    <w:r>
      <w:t>DOCKET NO. 20210015-EI</w:t>
    </w:r>
  </w:p>
  <w:p w14:paraId="63D40C18" w14:textId="0202A849"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77</w:t>
    </w:r>
    <w:r>
      <w:rPr>
        <w:rStyle w:val="PageNumber"/>
      </w:rPr>
      <w:fldChar w:fldCharType="end"/>
    </w:r>
  </w:p>
  <w:p w14:paraId="58E0E5A2" w14:textId="77777777" w:rsidR="001227E5" w:rsidRDefault="001227E5">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C25EE" w14:textId="2CA71D05" w:rsidR="001227E5" w:rsidRDefault="001227E5" w:rsidP="008641F2">
    <w:pPr>
      <w:pStyle w:val="OrderHeader"/>
    </w:pPr>
    <w:r>
      <w:t xml:space="preserve">ORDER NO. PSC-2024-0078-FOF-EI </w:t>
    </w:r>
    <w:r>
      <w:tab/>
    </w:r>
    <w:r>
      <w:tab/>
      <w:t>Attachment A</w:t>
    </w:r>
  </w:p>
  <w:p w14:paraId="2AD81406" w14:textId="77777777" w:rsidR="001227E5" w:rsidRDefault="001227E5" w:rsidP="008641F2">
    <w:pPr>
      <w:pStyle w:val="OrderHeader"/>
    </w:pPr>
    <w:r>
      <w:t>DOCKET NO. 20210015-EI</w:t>
    </w:r>
  </w:p>
  <w:p w14:paraId="3E84E79F" w14:textId="2028967F"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78</w:t>
    </w:r>
    <w:r>
      <w:rPr>
        <w:rStyle w:val="PageNumber"/>
      </w:rPr>
      <w:fldChar w:fldCharType="end"/>
    </w:r>
  </w:p>
  <w:p w14:paraId="0BB69682" w14:textId="77777777" w:rsidR="001227E5" w:rsidRDefault="001227E5">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41DF5C" w14:textId="4243B48C" w:rsidR="001227E5" w:rsidRDefault="001227E5" w:rsidP="008641F2">
    <w:pPr>
      <w:pStyle w:val="OrderHeader"/>
    </w:pPr>
    <w:r>
      <w:t xml:space="preserve">ORDER NO. PSC-2024-0078-FOF-EI </w:t>
    </w:r>
    <w:r>
      <w:tab/>
    </w:r>
    <w:r>
      <w:tab/>
      <w:t>Attachment A</w:t>
    </w:r>
  </w:p>
  <w:p w14:paraId="1222CBBA" w14:textId="77777777" w:rsidR="001227E5" w:rsidRDefault="001227E5" w:rsidP="008641F2">
    <w:pPr>
      <w:pStyle w:val="OrderHeader"/>
    </w:pPr>
    <w:r>
      <w:t>DOCKET NO. 20210015-EI</w:t>
    </w:r>
  </w:p>
  <w:p w14:paraId="5BEE696C" w14:textId="374935FE"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79</w:t>
    </w:r>
    <w:r>
      <w:rPr>
        <w:rStyle w:val="PageNumber"/>
      </w:rPr>
      <w:fldChar w:fldCharType="end"/>
    </w:r>
  </w:p>
  <w:p w14:paraId="644F3FAE" w14:textId="77777777" w:rsidR="001227E5" w:rsidRDefault="001227E5">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0F4B7" w14:textId="68C02471" w:rsidR="001227E5" w:rsidRDefault="001227E5" w:rsidP="008641F2">
    <w:pPr>
      <w:pStyle w:val="OrderHeader"/>
    </w:pPr>
    <w:r>
      <w:t xml:space="preserve">ORDER NO. PSC-2024-0078-FOF-EI </w:t>
    </w:r>
    <w:r>
      <w:tab/>
    </w:r>
    <w:r>
      <w:tab/>
      <w:t>Attachment A</w:t>
    </w:r>
  </w:p>
  <w:p w14:paraId="2818E5C0" w14:textId="77777777" w:rsidR="001227E5" w:rsidRDefault="001227E5" w:rsidP="008641F2">
    <w:pPr>
      <w:pStyle w:val="OrderHeader"/>
    </w:pPr>
    <w:r>
      <w:t>DOCKET NO. 20210015-EI</w:t>
    </w:r>
  </w:p>
  <w:p w14:paraId="5E32C559" w14:textId="017B3979"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80</w:t>
    </w:r>
    <w:r>
      <w:rPr>
        <w:rStyle w:val="PageNumber"/>
      </w:rPr>
      <w:fldChar w:fldCharType="end"/>
    </w:r>
  </w:p>
  <w:p w14:paraId="5CC9D5ED" w14:textId="77777777" w:rsidR="001227E5" w:rsidRDefault="001227E5">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B496E4" w14:textId="61BE2FBE" w:rsidR="001227E5" w:rsidRDefault="001227E5" w:rsidP="008641F2">
    <w:pPr>
      <w:pStyle w:val="OrderHeader"/>
    </w:pPr>
    <w:r>
      <w:t xml:space="preserve">ORDER NO. PSC-2024-0078-FOF-EI </w:t>
    </w:r>
    <w:r>
      <w:tab/>
    </w:r>
    <w:r>
      <w:tab/>
      <w:t>Attachment A</w:t>
    </w:r>
  </w:p>
  <w:p w14:paraId="2B0D64B3" w14:textId="77777777" w:rsidR="001227E5" w:rsidRDefault="001227E5" w:rsidP="008641F2">
    <w:pPr>
      <w:pStyle w:val="OrderHeader"/>
    </w:pPr>
    <w:r>
      <w:t>DOCKET NO. 20210015-EI</w:t>
    </w:r>
  </w:p>
  <w:p w14:paraId="3BDCDF86" w14:textId="77827AC8"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81</w:t>
    </w:r>
    <w:r>
      <w:rPr>
        <w:rStyle w:val="PageNumber"/>
      </w:rPr>
      <w:fldChar w:fldCharType="end"/>
    </w:r>
  </w:p>
  <w:p w14:paraId="2377FB60" w14:textId="77777777" w:rsidR="001227E5" w:rsidRDefault="001227E5">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C5D7F7" w14:textId="65582853" w:rsidR="001227E5" w:rsidRDefault="001227E5" w:rsidP="008641F2">
    <w:pPr>
      <w:pStyle w:val="OrderHeader"/>
    </w:pPr>
    <w:r>
      <w:t xml:space="preserve">ORDER NO. PSC-2024-0078-FOF-EI </w:t>
    </w:r>
    <w:r>
      <w:tab/>
    </w:r>
    <w:r>
      <w:tab/>
      <w:t>Attachment A</w:t>
    </w:r>
  </w:p>
  <w:p w14:paraId="66FB1557" w14:textId="77777777" w:rsidR="001227E5" w:rsidRDefault="001227E5" w:rsidP="008641F2">
    <w:pPr>
      <w:pStyle w:val="OrderHeader"/>
    </w:pPr>
    <w:r>
      <w:t>DOCKET NO. 20210015-EI</w:t>
    </w:r>
  </w:p>
  <w:p w14:paraId="496E990D" w14:textId="14F8243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82</w:t>
    </w:r>
    <w:r>
      <w:rPr>
        <w:rStyle w:val="PageNumber"/>
      </w:rPr>
      <w:fldChar w:fldCharType="end"/>
    </w:r>
  </w:p>
  <w:p w14:paraId="32F25786" w14:textId="77777777" w:rsidR="001227E5" w:rsidRDefault="001227E5">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3E7D6" w14:textId="104F6209" w:rsidR="001227E5" w:rsidRDefault="001227E5" w:rsidP="008641F2">
    <w:pPr>
      <w:pStyle w:val="OrderHeader"/>
    </w:pPr>
    <w:r>
      <w:t xml:space="preserve">ORDER NO. PSC-2024-0078-FOF-EI </w:t>
    </w:r>
    <w:r>
      <w:tab/>
    </w:r>
    <w:r>
      <w:tab/>
      <w:t>Attachment A</w:t>
    </w:r>
  </w:p>
  <w:p w14:paraId="2BD1E0FF" w14:textId="77777777" w:rsidR="001227E5" w:rsidRDefault="001227E5" w:rsidP="008641F2">
    <w:pPr>
      <w:pStyle w:val="OrderHeader"/>
    </w:pPr>
    <w:r>
      <w:t>DOCKET NO. 20210015-EI</w:t>
    </w:r>
  </w:p>
  <w:p w14:paraId="2DB171D3" w14:textId="4F8EE0AD"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83</w:t>
    </w:r>
    <w:r>
      <w:rPr>
        <w:rStyle w:val="PageNumber"/>
      </w:rPr>
      <w:fldChar w:fldCharType="end"/>
    </w:r>
  </w:p>
  <w:p w14:paraId="0B6887AB" w14:textId="77777777" w:rsidR="001227E5" w:rsidRDefault="001227E5">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57E6D0" w14:textId="5C8472E5" w:rsidR="001227E5" w:rsidRDefault="001227E5" w:rsidP="008641F2">
    <w:pPr>
      <w:pStyle w:val="OrderHeader"/>
    </w:pPr>
    <w:r>
      <w:t xml:space="preserve">ORDER NO. PSC-2024-0078-FOF-EI </w:t>
    </w:r>
    <w:r>
      <w:tab/>
    </w:r>
    <w:r>
      <w:tab/>
      <w:t>Attachment A</w:t>
    </w:r>
  </w:p>
  <w:p w14:paraId="0E3EBA25" w14:textId="77777777" w:rsidR="001227E5" w:rsidRDefault="001227E5" w:rsidP="008641F2">
    <w:pPr>
      <w:pStyle w:val="OrderHeader"/>
    </w:pPr>
    <w:r>
      <w:t>DOCKET NO. 20210015-EI</w:t>
    </w:r>
  </w:p>
  <w:p w14:paraId="1777C53B" w14:textId="69B9596C"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84</w:t>
    </w:r>
    <w:r>
      <w:rPr>
        <w:rStyle w:val="PageNumber"/>
      </w:rPr>
      <w:fldChar w:fldCharType="end"/>
    </w:r>
  </w:p>
  <w:p w14:paraId="68D62D37" w14:textId="77777777" w:rsidR="001227E5" w:rsidRDefault="001227E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5DA75" w14:textId="630A9273" w:rsidR="001227E5" w:rsidRDefault="001227E5" w:rsidP="008641F2">
    <w:pPr>
      <w:pStyle w:val="OrderHeader"/>
    </w:pPr>
    <w:r>
      <w:t xml:space="preserve">ORDER NO. PSC-2024-0078-FOF-EI </w:t>
    </w:r>
    <w:r>
      <w:tab/>
    </w:r>
    <w:r>
      <w:tab/>
      <w:t>Attachment A</w:t>
    </w:r>
  </w:p>
  <w:p w14:paraId="0D9A90E6" w14:textId="77777777" w:rsidR="001227E5" w:rsidRDefault="001227E5" w:rsidP="008641F2">
    <w:pPr>
      <w:pStyle w:val="OrderHeader"/>
    </w:pPr>
    <w:r>
      <w:t>DOCKET NO. 20210015-EI</w:t>
    </w:r>
  </w:p>
  <w:p w14:paraId="7DB58B96" w14:textId="75D1DA37"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B6FB7">
      <w:rPr>
        <w:rStyle w:val="PageNumber"/>
        <w:noProof/>
      </w:rPr>
      <w:t>40</w:t>
    </w:r>
    <w:r>
      <w:rPr>
        <w:rStyle w:val="PageNumber"/>
      </w:rPr>
      <w:fldChar w:fldCharType="end"/>
    </w:r>
  </w:p>
  <w:p w14:paraId="38B8F6FF" w14:textId="77777777" w:rsidR="001227E5" w:rsidRDefault="001227E5">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5D5501" w14:textId="2D9994A7" w:rsidR="001227E5" w:rsidRDefault="001227E5" w:rsidP="008641F2">
    <w:pPr>
      <w:pStyle w:val="OrderHeader"/>
    </w:pPr>
    <w:r>
      <w:t xml:space="preserve">ORDER NO. PSC-2024-0078-FOF-EI </w:t>
    </w:r>
    <w:r>
      <w:tab/>
    </w:r>
    <w:r>
      <w:tab/>
      <w:t>Attachment A</w:t>
    </w:r>
  </w:p>
  <w:p w14:paraId="1192E181" w14:textId="77777777" w:rsidR="001227E5" w:rsidRDefault="001227E5" w:rsidP="008641F2">
    <w:pPr>
      <w:pStyle w:val="OrderHeader"/>
    </w:pPr>
    <w:r>
      <w:t>DOCKET NO. 20210015-EI</w:t>
    </w:r>
  </w:p>
  <w:p w14:paraId="4AE1D90B" w14:textId="15DC3B15"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85</w:t>
    </w:r>
    <w:r>
      <w:rPr>
        <w:rStyle w:val="PageNumber"/>
      </w:rPr>
      <w:fldChar w:fldCharType="end"/>
    </w:r>
  </w:p>
  <w:p w14:paraId="55506A43" w14:textId="77777777" w:rsidR="001227E5" w:rsidRDefault="001227E5">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7C610" w14:textId="7C9E6274" w:rsidR="001227E5" w:rsidRDefault="001227E5" w:rsidP="008641F2">
    <w:pPr>
      <w:pStyle w:val="OrderHeader"/>
    </w:pPr>
    <w:r>
      <w:t xml:space="preserve">ORDER NO. PSC-2024-0078-FOF-EI </w:t>
    </w:r>
    <w:r>
      <w:tab/>
    </w:r>
    <w:r>
      <w:tab/>
      <w:t>Attachment A</w:t>
    </w:r>
  </w:p>
  <w:p w14:paraId="24164209" w14:textId="77777777" w:rsidR="001227E5" w:rsidRDefault="001227E5" w:rsidP="008641F2">
    <w:pPr>
      <w:pStyle w:val="OrderHeader"/>
    </w:pPr>
    <w:r>
      <w:t>DOCKET NO. 20210015-EI</w:t>
    </w:r>
  </w:p>
  <w:p w14:paraId="04F00E2B" w14:textId="37C5F335"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86</w:t>
    </w:r>
    <w:r>
      <w:rPr>
        <w:rStyle w:val="PageNumber"/>
      </w:rPr>
      <w:fldChar w:fldCharType="end"/>
    </w:r>
  </w:p>
  <w:p w14:paraId="085C3242" w14:textId="77777777" w:rsidR="001227E5" w:rsidRDefault="001227E5">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214CA" w14:textId="697CDCF3" w:rsidR="001227E5" w:rsidRDefault="001227E5" w:rsidP="008641F2">
    <w:pPr>
      <w:pStyle w:val="OrderHeader"/>
    </w:pPr>
    <w:r>
      <w:t xml:space="preserve">ORDER NO. PSC-2024-0078-FOF-EI </w:t>
    </w:r>
    <w:r>
      <w:tab/>
    </w:r>
    <w:r>
      <w:tab/>
      <w:t>Attachment A</w:t>
    </w:r>
  </w:p>
  <w:p w14:paraId="1A945284" w14:textId="77777777" w:rsidR="001227E5" w:rsidRDefault="001227E5" w:rsidP="008641F2">
    <w:pPr>
      <w:pStyle w:val="OrderHeader"/>
    </w:pPr>
    <w:r>
      <w:t>DOCKET NO. 20210015-EI</w:t>
    </w:r>
  </w:p>
  <w:p w14:paraId="472E5038" w14:textId="0453B402"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87</w:t>
    </w:r>
    <w:r>
      <w:rPr>
        <w:rStyle w:val="PageNumber"/>
      </w:rPr>
      <w:fldChar w:fldCharType="end"/>
    </w:r>
  </w:p>
  <w:p w14:paraId="56C84C02" w14:textId="77777777" w:rsidR="001227E5" w:rsidRDefault="001227E5">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299874" w14:textId="5D2401FC" w:rsidR="001227E5" w:rsidRDefault="001227E5" w:rsidP="008641F2">
    <w:pPr>
      <w:pStyle w:val="OrderHeader"/>
    </w:pPr>
    <w:r>
      <w:t xml:space="preserve">ORDER NO. PSC-2024-0078-FOF-EI </w:t>
    </w:r>
    <w:r>
      <w:tab/>
    </w:r>
    <w:r>
      <w:tab/>
      <w:t>Attachment A</w:t>
    </w:r>
  </w:p>
  <w:p w14:paraId="0ECA4F7E" w14:textId="77777777" w:rsidR="001227E5" w:rsidRDefault="001227E5" w:rsidP="008641F2">
    <w:pPr>
      <w:pStyle w:val="OrderHeader"/>
    </w:pPr>
    <w:r>
      <w:t>DOCKET NO. 20210015-EI</w:t>
    </w:r>
  </w:p>
  <w:p w14:paraId="025854D7" w14:textId="328D964B"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88</w:t>
    </w:r>
    <w:r>
      <w:rPr>
        <w:rStyle w:val="PageNumber"/>
      </w:rPr>
      <w:fldChar w:fldCharType="end"/>
    </w:r>
  </w:p>
  <w:p w14:paraId="11BB7B33" w14:textId="77777777" w:rsidR="001227E5" w:rsidRDefault="001227E5">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86844E" w14:textId="065AEA9F" w:rsidR="001227E5" w:rsidRDefault="001227E5" w:rsidP="008641F2">
    <w:pPr>
      <w:pStyle w:val="OrderHeader"/>
    </w:pPr>
    <w:r>
      <w:t xml:space="preserve">ORDER NO. PSC-2024-0078-FOF-EI </w:t>
    </w:r>
    <w:r>
      <w:tab/>
    </w:r>
    <w:r>
      <w:tab/>
      <w:t>Attachment A</w:t>
    </w:r>
  </w:p>
  <w:p w14:paraId="3C8E7170" w14:textId="77777777" w:rsidR="001227E5" w:rsidRDefault="001227E5" w:rsidP="008641F2">
    <w:pPr>
      <w:pStyle w:val="OrderHeader"/>
    </w:pPr>
    <w:r>
      <w:t>DOCKET NO. 20210015-EI</w:t>
    </w:r>
  </w:p>
  <w:p w14:paraId="3FA2AC01" w14:textId="25521B43"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89</w:t>
    </w:r>
    <w:r>
      <w:rPr>
        <w:rStyle w:val="PageNumber"/>
      </w:rPr>
      <w:fldChar w:fldCharType="end"/>
    </w:r>
  </w:p>
  <w:p w14:paraId="5EAD85CB" w14:textId="77777777" w:rsidR="001227E5" w:rsidRDefault="001227E5">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C7DAD2" w14:textId="02C0BA81" w:rsidR="001227E5" w:rsidRDefault="001227E5" w:rsidP="008641F2">
    <w:pPr>
      <w:pStyle w:val="OrderHeader"/>
    </w:pPr>
    <w:r>
      <w:t xml:space="preserve">ORDER NO. PSC-2024-0078-FOF-EI </w:t>
    </w:r>
    <w:r>
      <w:tab/>
    </w:r>
    <w:r>
      <w:tab/>
      <w:t>Attachment A</w:t>
    </w:r>
  </w:p>
  <w:p w14:paraId="412283D4" w14:textId="77777777" w:rsidR="001227E5" w:rsidRDefault="001227E5" w:rsidP="008641F2">
    <w:pPr>
      <w:pStyle w:val="OrderHeader"/>
    </w:pPr>
    <w:r>
      <w:t>DOCKET NO. 20210015-EI</w:t>
    </w:r>
  </w:p>
  <w:p w14:paraId="6428382D" w14:textId="6D67558F"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90</w:t>
    </w:r>
    <w:r>
      <w:rPr>
        <w:rStyle w:val="PageNumber"/>
      </w:rPr>
      <w:fldChar w:fldCharType="end"/>
    </w:r>
  </w:p>
  <w:p w14:paraId="76000038" w14:textId="77777777" w:rsidR="001227E5" w:rsidRDefault="001227E5">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71954" w14:textId="20E61134" w:rsidR="001227E5" w:rsidRDefault="001227E5" w:rsidP="008641F2">
    <w:pPr>
      <w:pStyle w:val="OrderHeader"/>
    </w:pPr>
    <w:r>
      <w:t xml:space="preserve">ORDER NO. PSC-2024-0078-FOF-EI </w:t>
    </w:r>
    <w:r>
      <w:tab/>
    </w:r>
    <w:r>
      <w:tab/>
      <w:t>Attachment A</w:t>
    </w:r>
  </w:p>
  <w:p w14:paraId="04337699" w14:textId="77777777" w:rsidR="001227E5" w:rsidRDefault="001227E5" w:rsidP="008641F2">
    <w:pPr>
      <w:pStyle w:val="OrderHeader"/>
    </w:pPr>
    <w:r>
      <w:t>DOCKET NO. 20210015-EI</w:t>
    </w:r>
  </w:p>
  <w:p w14:paraId="45597F35" w14:textId="2AA2CE87"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91</w:t>
    </w:r>
    <w:r>
      <w:rPr>
        <w:rStyle w:val="PageNumber"/>
      </w:rPr>
      <w:fldChar w:fldCharType="end"/>
    </w:r>
  </w:p>
  <w:p w14:paraId="1571F3DE" w14:textId="77777777" w:rsidR="001227E5" w:rsidRDefault="001227E5">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1B838" w14:textId="2DA52A97" w:rsidR="001227E5" w:rsidRDefault="001227E5" w:rsidP="008641F2">
    <w:pPr>
      <w:pStyle w:val="OrderHeader"/>
    </w:pPr>
    <w:r>
      <w:t xml:space="preserve">ORDER NO. PSC-2024-0078-FOF-EI </w:t>
    </w:r>
    <w:r>
      <w:tab/>
    </w:r>
    <w:r>
      <w:tab/>
      <w:t>Attachment A</w:t>
    </w:r>
  </w:p>
  <w:p w14:paraId="44E50686" w14:textId="77777777" w:rsidR="001227E5" w:rsidRDefault="001227E5" w:rsidP="008641F2">
    <w:pPr>
      <w:pStyle w:val="OrderHeader"/>
    </w:pPr>
    <w:r>
      <w:t>DOCKET NO. 20210015-EI</w:t>
    </w:r>
  </w:p>
  <w:p w14:paraId="213815C7" w14:textId="2BA204C3"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92</w:t>
    </w:r>
    <w:r>
      <w:rPr>
        <w:rStyle w:val="PageNumber"/>
      </w:rPr>
      <w:fldChar w:fldCharType="end"/>
    </w:r>
  </w:p>
  <w:p w14:paraId="7FA837A0" w14:textId="77777777" w:rsidR="001227E5" w:rsidRDefault="001227E5">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609C4" w14:textId="3DA5C4A9" w:rsidR="001227E5" w:rsidRDefault="001227E5" w:rsidP="008641F2">
    <w:pPr>
      <w:pStyle w:val="OrderHeader"/>
    </w:pPr>
    <w:r>
      <w:t xml:space="preserve">ORDER NO. PSC-2024-0078-FOF-EI </w:t>
    </w:r>
    <w:r>
      <w:tab/>
    </w:r>
    <w:r>
      <w:tab/>
      <w:t>Attachment A</w:t>
    </w:r>
  </w:p>
  <w:p w14:paraId="01C19C51" w14:textId="77777777" w:rsidR="001227E5" w:rsidRDefault="001227E5" w:rsidP="008641F2">
    <w:pPr>
      <w:pStyle w:val="OrderHeader"/>
    </w:pPr>
    <w:r>
      <w:t>DOCKET NO. 20210015-EI</w:t>
    </w:r>
  </w:p>
  <w:p w14:paraId="7B96896B" w14:textId="01F7DFC0"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93</w:t>
    </w:r>
    <w:r>
      <w:rPr>
        <w:rStyle w:val="PageNumber"/>
      </w:rPr>
      <w:fldChar w:fldCharType="end"/>
    </w:r>
  </w:p>
  <w:p w14:paraId="5922BE57" w14:textId="77777777" w:rsidR="001227E5" w:rsidRDefault="001227E5">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A4CDA0" w14:textId="26C6E57F" w:rsidR="001227E5" w:rsidRDefault="001227E5" w:rsidP="008641F2">
    <w:pPr>
      <w:pStyle w:val="OrderHeader"/>
    </w:pPr>
    <w:r>
      <w:t xml:space="preserve">ORDER NO. PSC-2024-0078-FOF-EI </w:t>
    </w:r>
    <w:r>
      <w:tab/>
    </w:r>
    <w:r>
      <w:tab/>
      <w:t>Attachment A</w:t>
    </w:r>
  </w:p>
  <w:p w14:paraId="1A712F4C" w14:textId="77777777" w:rsidR="001227E5" w:rsidRDefault="001227E5" w:rsidP="008641F2">
    <w:pPr>
      <w:pStyle w:val="OrderHeader"/>
    </w:pPr>
    <w:r>
      <w:t>DOCKET NO. 20210015-EI</w:t>
    </w:r>
  </w:p>
  <w:p w14:paraId="0330249F" w14:textId="5B00C192"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94</w:t>
    </w:r>
    <w:r>
      <w:rPr>
        <w:rStyle w:val="PageNumber"/>
      </w:rPr>
      <w:fldChar w:fldCharType="end"/>
    </w:r>
  </w:p>
  <w:p w14:paraId="68F9891A" w14:textId="77777777" w:rsidR="001227E5" w:rsidRDefault="001227E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2CA5A1" w14:textId="3B9DB7F0" w:rsidR="001227E5" w:rsidRDefault="001227E5" w:rsidP="008641F2">
    <w:pPr>
      <w:pStyle w:val="OrderHeader"/>
    </w:pPr>
    <w:r>
      <w:t xml:space="preserve">ORDER NO. PSC-2024-0078-FOF-EI </w:t>
    </w:r>
    <w:r>
      <w:tab/>
    </w:r>
    <w:r>
      <w:tab/>
      <w:t>Attachment A</w:t>
    </w:r>
  </w:p>
  <w:p w14:paraId="4ADAD5F9" w14:textId="77777777" w:rsidR="001227E5" w:rsidRDefault="001227E5" w:rsidP="008641F2">
    <w:pPr>
      <w:pStyle w:val="OrderHeader"/>
    </w:pPr>
    <w:r>
      <w:t>DOCKET NO. 20210015-EI</w:t>
    </w:r>
  </w:p>
  <w:p w14:paraId="484F8C0C" w14:textId="5378309E"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41</w:t>
    </w:r>
    <w:r>
      <w:rPr>
        <w:rStyle w:val="PageNumber"/>
      </w:rPr>
      <w:fldChar w:fldCharType="end"/>
    </w:r>
  </w:p>
  <w:p w14:paraId="2EBC72FD" w14:textId="77777777" w:rsidR="001227E5" w:rsidRDefault="001227E5">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82C5BC" w14:textId="6566F7B4" w:rsidR="001227E5" w:rsidRDefault="001227E5" w:rsidP="008641F2">
    <w:pPr>
      <w:pStyle w:val="OrderHeader"/>
    </w:pPr>
    <w:r>
      <w:t xml:space="preserve">ORDER NO. PSC-2024-0078-FOF-EI </w:t>
    </w:r>
    <w:r>
      <w:tab/>
    </w:r>
    <w:r>
      <w:tab/>
      <w:t>Attachment A</w:t>
    </w:r>
  </w:p>
  <w:p w14:paraId="71E8AD76" w14:textId="77777777" w:rsidR="001227E5" w:rsidRDefault="001227E5" w:rsidP="008641F2">
    <w:pPr>
      <w:pStyle w:val="OrderHeader"/>
    </w:pPr>
    <w:r>
      <w:t>DOCKET NO. 20210015-EI</w:t>
    </w:r>
  </w:p>
  <w:p w14:paraId="065384DA" w14:textId="485176EB"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95</w:t>
    </w:r>
    <w:r>
      <w:rPr>
        <w:rStyle w:val="PageNumber"/>
      </w:rPr>
      <w:fldChar w:fldCharType="end"/>
    </w:r>
  </w:p>
  <w:p w14:paraId="4D1C51C5" w14:textId="77777777" w:rsidR="001227E5" w:rsidRDefault="001227E5">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F8707" w14:textId="3E232BDD" w:rsidR="001227E5" w:rsidRDefault="001227E5" w:rsidP="008641F2">
    <w:pPr>
      <w:pStyle w:val="OrderHeader"/>
    </w:pPr>
    <w:r>
      <w:t xml:space="preserve">ORDER NO. PSC-2024-0078-FOF-EI </w:t>
    </w:r>
    <w:r>
      <w:tab/>
    </w:r>
    <w:r>
      <w:tab/>
      <w:t>Attachment A</w:t>
    </w:r>
  </w:p>
  <w:p w14:paraId="63EBDF9F" w14:textId="77777777" w:rsidR="001227E5" w:rsidRDefault="001227E5" w:rsidP="008641F2">
    <w:pPr>
      <w:pStyle w:val="OrderHeader"/>
    </w:pPr>
    <w:r>
      <w:t>DOCKET NO. 20210015-EI</w:t>
    </w:r>
  </w:p>
  <w:p w14:paraId="6AEECCEC" w14:textId="6E300B3A"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96</w:t>
    </w:r>
    <w:r>
      <w:rPr>
        <w:rStyle w:val="PageNumber"/>
      </w:rPr>
      <w:fldChar w:fldCharType="end"/>
    </w:r>
  </w:p>
  <w:p w14:paraId="663864BB" w14:textId="77777777" w:rsidR="001227E5" w:rsidRDefault="001227E5">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1AE84" w14:textId="3DCF1A3D" w:rsidR="001227E5" w:rsidRDefault="001227E5" w:rsidP="008641F2">
    <w:pPr>
      <w:pStyle w:val="OrderHeader"/>
    </w:pPr>
    <w:r>
      <w:t xml:space="preserve">ORDER NO. PSC-2024-0078-FOF-EI </w:t>
    </w:r>
    <w:r>
      <w:tab/>
    </w:r>
    <w:r>
      <w:tab/>
      <w:t>Attachment A</w:t>
    </w:r>
  </w:p>
  <w:p w14:paraId="43D0A36B" w14:textId="77777777" w:rsidR="001227E5" w:rsidRDefault="001227E5" w:rsidP="008641F2">
    <w:pPr>
      <w:pStyle w:val="OrderHeader"/>
    </w:pPr>
    <w:r>
      <w:t>DOCKET NO. 20210015-EI</w:t>
    </w:r>
  </w:p>
  <w:p w14:paraId="361A12D1" w14:textId="4F62DF27"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97</w:t>
    </w:r>
    <w:r>
      <w:rPr>
        <w:rStyle w:val="PageNumber"/>
      </w:rPr>
      <w:fldChar w:fldCharType="end"/>
    </w:r>
  </w:p>
  <w:p w14:paraId="2150B8B0" w14:textId="77777777" w:rsidR="001227E5" w:rsidRDefault="001227E5">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981AC" w14:textId="2780C3C1" w:rsidR="001227E5" w:rsidRDefault="001227E5" w:rsidP="008641F2">
    <w:pPr>
      <w:pStyle w:val="OrderHeader"/>
    </w:pPr>
    <w:r>
      <w:t xml:space="preserve">ORDER NO. PSC-2024-0078-FOF-EI </w:t>
    </w:r>
    <w:r>
      <w:tab/>
    </w:r>
    <w:r>
      <w:tab/>
      <w:t>Attachment A</w:t>
    </w:r>
  </w:p>
  <w:p w14:paraId="41004F51" w14:textId="77777777" w:rsidR="001227E5" w:rsidRDefault="001227E5" w:rsidP="008641F2">
    <w:pPr>
      <w:pStyle w:val="OrderHeader"/>
    </w:pPr>
    <w:r>
      <w:t>DOCKET NO. 20210015-EI</w:t>
    </w:r>
  </w:p>
  <w:p w14:paraId="43EFBA3B" w14:textId="1CAC523A"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98</w:t>
    </w:r>
    <w:r>
      <w:rPr>
        <w:rStyle w:val="PageNumber"/>
      </w:rPr>
      <w:fldChar w:fldCharType="end"/>
    </w:r>
  </w:p>
  <w:p w14:paraId="5EC8412C" w14:textId="77777777" w:rsidR="001227E5" w:rsidRDefault="001227E5">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31B53C" w14:textId="035D9627" w:rsidR="001227E5" w:rsidRDefault="001227E5" w:rsidP="008641F2">
    <w:pPr>
      <w:pStyle w:val="OrderHeader"/>
    </w:pPr>
    <w:r>
      <w:t xml:space="preserve">ORDER NO. PSC-2024-0078-FOF-EI </w:t>
    </w:r>
    <w:r>
      <w:tab/>
    </w:r>
    <w:r>
      <w:tab/>
      <w:t>Attachment A</w:t>
    </w:r>
  </w:p>
  <w:p w14:paraId="4F0286E1" w14:textId="77777777" w:rsidR="001227E5" w:rsidRDefault="001227E5" w:rsidP="008641F2">
    <w:pPr>
      <w:pStyle w:val="OrderHeader"/>
    </w:pPr>
    <w:r>
      <w:t>DOCKET NO. 20210015-EI</w:t>
    </w:r>
  </w:p>
  <w:p w14:paraId="2EFD358A" w14:textId="2FD7E66B"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99</w:t>
    </w:r>
    <w:r>
      <w:rPr>
        <w:rStyle w:val="PageNumber"/>
      </w:rPr>
      <w:fldChar w:fldCharType="end"/>
    </w:r>
  </w:p>
  <w:p w14:paraId="42FBB3C4" w14:textId="77777777" w:rsidR="001227E5" w:rsidRDefault="001227E5">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2CE89" w14:textId="7B1B07A6" w:rsidR="001227E5" w:rsidRDefault="001227E5" w:rsidP="008641F2">
    <w:pPr>
      <w:pStyle w:val="OrderHeader"/>
    </w:pPr>
    <w:r>
      <w:t xml:space="preserve">ORDER NO. PSC-2024-0078-FOF-EI </w:t>
    </w:r>
    <w:r>
      <w:tab/>
    </w:r>
    <w:r>
      <w:tab/>
      <w:t>Attachment B</w:t>
    </w:r>
  </w:p>
  <w:p w14:paraId="5C7A40D3" w14:textId="77777777" w:rsidR="001227E5" w:rsidRDefault="001227E5" w:rsidP="008641F2">
    <w:pPr>
      <w:pStyle w:val="OrderHeader"/>
    </w:pPr>
    <w:r>
      <w:t>DOCKET NO. 20210015-EI</w:t>
    </w:r>
  </w:p>
  <w:p w14:paraId="5915BD6F" w14:textId="3A680AE6"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100</w:t>
    </w:r>
    <w:r>
      <w:rPr>
        <w:rStyle w:val="PageNumber"/>
      </w:rPr>
      <w:fldChar w:fldCharType="end"/>
    </w:r>
  </w:p>
  <w:p w14:paraId="321142E9" w14:textId="77777777" w:rsidR="001227E5" w:rsidRDefault="001227E5">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A49D2" w14:textId="1C8E2A3B" w:rsidR="001227E5" w:rsidRDefault="001227E5" w:rsidP="008641F2">
    <w:pPr>
      <w:pStyle w:val="OrderHeader"/>
    </w:pPr>
    <w:r>
      <w:t xml:space="preserve">ORDER NO. PSC-2024-0078-FOF-EI </w:t>
    </w:r>
    <w:r>
      <w:tab/>
    </w:r>
    <w:r>
      <w:tab/>
      <w:t>Attachment B</w:t>
    </w:r>
  </w:p>
  <w:p w14:paraId="1A2EAE5F" w14:textId="77777777" w:rsidR="001227E5" w:rsidRDefault="001227E5" w:rsidP="008641F2">
    <w:pPr>
      <w:pStyle w:val="OrderHeader"/>
    </w:pPr>
    <w:r>
      <w:t>DOCKET NO. 20210015-EI</w:t>
    </w:r>
  </w:p>
  <w:p w14:paraId="0BE42504" w14:textId="0CD366F4"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101</w:t>
    </w:r>
    <w:r>
      <w:rPr>
        <w:rStyle w:val="PageNumber"/>
      </w:rPr>
      <w:fldChar w:fldCharType="end"/>
    </w:r>
  </w:p>
  <w:p w14:paraId="4A6CCE43" w14:textId="77777777" w:rsidR="001227E5" w:rsidRDefault="001227E5">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CED6E" w14:textId="28E4E184" w:rsidR="001227E5" w:rsidRDefault="001227E5" w:rsidP="008641F2">
    <w:pPr>
      <w:pStyle w:val="OrderHeader"/>
    </w:pPr>
    <w:r>
      <w:t xml:space="preserve">ORDER NO. PSC-2024-0078-FOF-EI </w:t>
    </w:r>
    <w:r>
      <w:tab/>
    </w:r>
    <w:r>
      <w:tab/>
      <w:t>Attachment B</w:t>
    </w:r>
  </w:p>
  <w:p w14:paraId="51AD44B1" w14:textId="77777777" w:rsidR="001227E5" w:rsidRDefault="001227E5" w:rsidP="008641F2">
    <w:pPr>
      <w:pStyle w:val="OrderHeader"/>
    </w:pPr>
    <w:r>
      <w:t>DOCKET NO. 20210015-EI</w:t>
    </w:r>
  </w:p>
  <w:p w14:paraId="7F3108D2" w14:textId="138753FF"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102</w:t>
    </w:r>
    <w:r>
      <w:rPr>
        <w:rStyle w:val="PageNumber"/>
      </w:rPr>
      <w:fldChar w:fldCharType="end"/>
    </w:r>
  </w:p>
  <w:p w14:paraId="172C6E48" w14:textId="77777777" w:rsidR="001227E5" w:rsidRDefault="001227E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2532E1" w14:textId="07A3B892" w:rsidR="001227E5" w:rsidRDefault="001227E5" w:rsidP="008641F2">
    <w:pPr>
      <w:pStyle w:val="OrderHeader"/>
    </w:pPr>
    <w:r>
      <w:t xml:space="preserve">ORDER NO. PSC-2024-0078-FOF-EI </w:t>
    </w:r>
    <w:r>
      <w:tab/>
    </w:r>
    <w:r>
      <w:tab/>
      <w:t>Attachment A</w:t>
    </w:r>
  </w:p>
  <w:p w14:paraId="691DE815" w14:textId="77777777" w:rsidR="001227E5" w:rsidRDefault="001227E5" w:rsidP="008641F2">
    <w:pPr>
      <w:pStyle w:val="OrderHeader"/>
    </w:pPr>
    <w:r>
      <w:t>DOCKET NO. 20210015-EI</w:t>
    </w:r>
  </w:p>
  <w:p w14:paraId="3B5D61B2" w14:textId="504C08E6"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42</w:t>
    </w:r>
    <w:r>
      <w:rPr>
        <w:rStyle w:val="PageNumber"/>
      </w:rPr>
      <w:fldChar w:fldCharType="end"/>
    </w:r>
  </w:p>
  <w:p w14:paraId="0879AB01" w14:textId="77777777" w:rsidR="001227E5" w:rsidRDefault="001227E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A3982" w14:textId="64F2EE7A" w:rsidR="001227E5" w:rsidRDefault="001227E5" w:rsidP="008641F2">
    <w:pPr>
      <w:pStyle w:val="OrderHeader"/>
    </w:pPr>
    <w:r>
      <w:t xml:space="preserve">ORDER NO. PSC-2024-0078-FOF-EI </w:t>
    </w:r>
    <w:r>
      <w:tab/>
    </w:r>
    <w:r>
      <w:tab/>
      <w:t>Attachment A</w:t>
    </w:r>
  </w:p>
  <w:p w14:paraId="397D068B" w14:textId="77777777" w:rsidR="001227E5" w:rsidRDefault="001227E5" w:rsidP="008641F2">
    <w:pPr>
      <w:pStyle w:val="OrderHeader"/>
    </w:pPr>
    <w:r>
      <w:t>DOCKET NO. 20210015-EI</w:t>
    </w:r>
  </w:p>
  <w:p w14:paraId="0C70E5EE" w14:textId="7F532D85"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43</w:t>
    </w:r>
    <w:r>
      <w:rPr>
        <w:rStyle w:val="PageNumber"/>
      </w:rPr>
      <w:fldChar w:fldCharType="end"/>
    </w:r>
  </w:p>
  <w:p w14:paraId="6231905C" w14:textId="77777777" w:rsidR="001227E5" w:rsidRDefault="001227E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7C92A" w14:textId="0136308B" w:rsidR="001227E5" w:rsidRDefault="001227E5" w:rsidP="008641F2">
    <w:pPr>
      <w:pStyle w:val="OrderHeader"/>
    </w:pPr>
    <w:r>
      <w:t xml:space="preserve">ORDER NO. PSC-2024-0078-FOF-EI </w:t>
    </w:r>
    <w:r>
      <w:tab/>
    </w:r>
    <w:r>
      <w:tab/>
      <w:t>Attachment A</w:t>
    </w:r>
  </w:p>
  <w:p w14:paraId="698D2AEB" w14:textId="77777777" w:rsidR="001227E5" w:rsidRDefault="001227E5" w:rsidP="008641F2">
    <w:pPr>
      <w:pStyle w:val="OrderHeader"/>
    </w:pPr>
    <w:r>
      <w:t>DOCKET NO. 20210015-EI</w:t>
    </w:r>
  </w:p>
  <w:p w14:paraId="67B47154" w14:textId="4095F16E" w:rsidR="001227E5" w:rsidRDefault="001227E5" w:rsidP="008641F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A5E94">
      <w:rPr>
        <w:rStyle w:val="PageNumber"/>
        <w:noProof/>
      </w:rPr>
      <w:t>44</w:t>
    </w:r>
    <w:r>
      <w:rPr>
        <w:rStyle w:val="PageNumber"/>
      </w:rPr>
      <w:fldChar w:fldCharType="end"/>
    </w:r>
  </w:p>
  <w:p w14:paraId="106C9C4E" w14:textId="77777777" w:rsidR="001227E5" w:rsidRDefault="001227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DD25FD"/>
    <w:multiLevelType w:val="hybridMultilevel"/>
    <w:tmpl w:val="5C7C8C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249135E"/>
    <w:multiLevelType w:val="hybridMultilevel"/>
    <w:tmpl w:val="DB24B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ctiveWritingStyle w:appName="MSWord" w:lang="fr-FR" w:vendorID="64" w:dllVersion="131078" w:nlCheck="1" w:checkStyle="0"/>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2"/>
  </w:compat>
  <w:docVars>
    <w:docVar w:name="dgnword-docGUID" w:val="{2602033C-50AE-4923-ACD2-6D1619DC4E4C}"/>
    <w:docVar w:name="dgnword-eventsink" w:val="374508672"/>
    <w:docVar w:name="Dockets" w:val="20210015-EI"/>
  </w:docVars>
  <w:rsids>
    <w:rsidRoot w:val="00B07764"/>
    <w:rsid w:val="000022B8"/>
    <w:rsid w:val="0000236E"/>
    <w:rsid w:val="00003883"/>
    <w:rsid w:val="00003B85"/>
    <w:rsid w:val="00011251"/>
    <w:rsid w:val="00012E5E"/>
    <w:rsid w:val="00014B19"/>
    <w:rsid w:val="00025C2A"/>
    <w:rsid w:val="00025C9D"/>
    <w:rsid w:val="00026699"/>
    <w:rsid w:val="00030570"/>
    <w:rsid w:val="0003433F"/>
    <w:rsid w:val="00035A8C"/>
    <w:rsid w:val="00036BDD"/>
    <w:rsid w:val="0003718A"/>
    <w:rsid w:val="00040E74"/>
    <w:rsid w:val="000411BA"/>
    <w:rsid w:val="00041FFD"/>
    <w:rsid w:val="00042C99"/>
    <w:rsid w:val="00043323"/>
    <w:rsid w:val="00044ED7"/>
    <w:rsid w:val="000539E2"/>
    <w:rsid w:val="00053AB9"/>
    <w:rsid w:val="00056229"/>
    <w:rsid w:val="00057AF1"/>
    <w:rsid w:val="00061CDD"/>
    <w:rsid w:val="00063776"/>
    <w:rsid w:val="00065FC2"/>
    <w:rsid w:val="0006736C"/>
    <w:rsid w:val="00067685"/>
    <w:rsid w:val="00067B07"/>
    <w:rsid w:val="000730D7"/>
    <w:rsid w:val="00074046"/>
    <w:rsid w:val="000761EA"/>
    <w:rsid w:val="00076E6B"/>
    <w:rsid w:val="00077C6E"/>
    <w:rsid w:val="00081AE4"/>
    <w:rsid w:val="0008247D"/>
    <w:rsid w:val="000867BD"/>
    <w:rsid w:val="00090AFC"/>
    <w:rsid w:val="00092A55"/>
    <w:rsid w:val="00096388"/>
    <w:rsid w:val="00096507"/>
    <w:rsid w:val="000A474B"/>
    <w:rsid w:val="000A4BA4"/>
    <w:rsid w:val="000A4E0B"/>
    <w:rsid w:val="000A5E94"/>
    <w:rsid w:val="000A6298"/>
    <w:rsid w:val="000A65F7"/>
    <w:rsid w:val="000A774F"/>
    <w:rsid w:val="000B1603"/>
    <w:rsid w:val="000B688F"/>
    <w:rsid w:val="000B7316"/>
    <w:rsid w:val="000B783E"/>
    <w:rsid w:val="000B7D81"/>
    <w:rsid w:val="000C0064"/>
    <w:rsid w:val="000C1994"/>
    <w:rsid w:val="000C3891"/>
    <w:rsid w:val="000C4810"/>
    <w:rsid w:val="000C51CE"/>
    <w:rsid w:val="000C6926"/>
    <w:rsid w:val="000C7CC7"/>
    <w:rsid w:val="000C7E55"/>
    <w:rsid w:val="000D02B8"/>
    <w:rsid w:val="000D06E8"/>
    <w:rsid w:val="000D0AD4"/>
    <w:rsid w:val="000D39A5"/>
    <w:rsid w:val="000D3DDE"/>
    <w:rsid w:val="000D52C1"/>
    <w:rsid w:val="000D6B0F"/>
    <w:rsid w:val="000D6E65"/>
    <w:rsid w:val="000D78FB"/>
    <w:rsid w:val="000D7FF6"/>
    <w:rsid w:val="000E050C"/>
    <w:rsid w:val="000E20F0"/>
    <w:rsid w:val="000E2593"/>
    <w:rsid w:val="000E344D"/>
    <w:rsid w:val="000E3B7D"/>
    <w:rsid w:val="000E3F6D"/>
    <w:rsid w:val="000E5E2D"/>
    <w:rsid w:val="000F11F1"/>
    <w:rsid w:val="000F2704"/>
    <w:rsid w:val="000F359F"/>
    <w:rsid w:val="000F3B2C"/>
    <w:rsid w:val="000F3F6C"/>
    <w:rsid w:val="000F45DA"/>
    <w:rsid w:val="000F48EE"/>
    <w:rsid w:val="000F54F4"/>
    <w:rsid w:val="000F592B"/>
    <w:rsid w:val="000F63EB"/>
    <w:rsid w:val="000F648A"/>
    <w:rsid w:val="000F7BE3"/>
    <w:rsid w:val="00103190"/>
    <w:rsid w:val="00103F0C"/>
    <w:rsid w:val="00104333"/>
    <w:rsid w:val="001052BA"/>
    <w:rsid w:val="001107B3"/>
    <w:rsid w:val="001114B1"/>
    <w:rsid w:val="001139D8"/>
    <w:rsid w:val="00116AD3"/>
    <w:rsid w:val="00121957"/>
    <w:rsid w:val="001227E5"/>
    <w:rsid w:val="001228B3"/>
    <w:rsid w:val="0012387E"/>
    <w:rsid w:val="00125344"/>
    <w:rsid w:val="001259EC"/>
    <w:rsid w:val="00126593"/>
    <w:rsid w:val="0013082A"/>
    <w:rsid w:val="00134177"/>
    <w:rsid w:val="001351A5"/>
    <w:rsid w:val="00136087"/>
    <w:rsid w:val="0013779B"/>
    <w:rsid w:val="00142A96"/>
    <w:rsid w:val="0014629C"/>
    <w:rsid w:val="00146F06"/>
    <w:rsid w:val="0014790C"/>
    <w:rsid w:val="001513DE"/>
    <w:rsid w:val="00154A71"/>
    <w:rsid w:val="00161FAB"/>
    <w:rsid w:val="001636E4"/>
    <w:rsid w:val="0016376D"/>
    <w:rsid w:val="001655D4"/>
    <w:rsid w:val="00165803"/>
    <w:rsid w:val="0017427A"/>
    <w:rsid w:val="00175F57"/>
    <w:rsid w:val="001831FA"/>
    <w:rsid w:val="0018501F"/>
    <w:rsid w:val="001852E5"/>
    <w:rsid w:val="00187E32"/>
    <w:rsid w:val="001918FF"/>
    <w:rsid w:val="00194A97"/>
    <w:rsid w:val="00194DD1"/>
    <w:rsid w:val="00194E1D"/>
    <w:rsid w:val="00194E81"/>
    <w:rsid w:val="0019723D"/>
    <w:rsid w:val="001A15E7"/>
    <w:rsid w:val="001A17E7"/>
    <w:rsid w:val="001A33C9"/>
    <w:rsid w:val="001A3427"/>
    <w:rsid w:val="001A5195"/>
    <w:rsid w:val="001A58F3"/>
    <w:rsid w:val="001A7423"/>
    <w:rsid w:val="001A75D0"/>
    <w:rsid w:val="001B034E"/>
    <w:rsid w:val="001B0D98"/>
    <w:rsid w:val="001B2218"/>
    <w:rsid w:val="001B6D75"/>
    <w:rsid w:val="001C1ED4"/>
    <w:rsid w:val="001C2847"/>
    <w:rsid w:val="001C3BB5"/>
    <w:rsid w:val="001C3F8C"/>
    <w:rsid w:val="001C6097"/>
    <w:rsid w:val="001C7126"/>
    <w:rsid w:val="001D008A"/>
    <w:rsid w:val="001D24C9"/>
    <w:rsid w:val="001D3C3F"/>
    <w:rsid w:val="001D3EDE"/>
    <w:rsid w:val="001E0152"/>
    <w:rsid w:val="001E079A"/>
    <w:rsid w:val="001E0FF5"/>
    <w:rsid w:val="001F0095"/>
    <w:rsid w:val="001F36B0"/>
    <w:rsid w:val="001F4CA3"/>
    <w:rsid w:val="001F59E0"/>
    <w:rsid w:val="001F65B5"/>
    <w:rsid w:val="002002ED"/>
    <w:rsid w:val="00201931"/>
    <w:rsid w:val="00202E2B"/>
    <w:rsid w:val="002044DD"/>
    <w:rsid w:val="00205F43"/>
    <w:rsid w:val="00206408"/>
    <w:rsid w:val="00206A8B"/>
    <w:rsid w:val="00211905"/>
    <w:rsid w:val="00216513"/>
    <w:rsid w:val="002170E5"/>
    <w:rsid w:val="002172F3"/>
    <w:rsid w:val="00220D57"/>
    <w:rsid w:val="00223274"/>
    <w:rsid w:val="00223B99"/>
    <w:rsid w:val="00226BD4"/>
    <w:rsid w:val="0022721A"/>
    <w:rsid w:val="00230BB9"/>
    <w:rsid w:val="002360A9"/>
    <w:rsid w:val="00237C7F"/>
    <w:rsid w:val="00240322"/>
    <w:rsid w:val="00241CEF"/>
    <w:rsid w:val="00241EA5"/>
    <w:rsid w:val="00243154"/>
    <w:rsid w:val="00245BFE"/>
    <w:rsid w:val="0025124E"/>
    <w:rsid w:val="00252B30"/>
    <w:rsid w:val="0025336D"/>
    <w:rsid w:val="00255291"/>
    <w:rsid w:val="00257E9E"/>
    <w:rsid w:val="00260101"/>
    <w:rsid w:val="002613E4"/>
    <w:rsid w:val="00261FF0"/>
    <w:rsid w:val="00262C43"/>
    <w:rsid w:val="00263997"/>
    <w:rsid w:val="0026544B"/>
    <w:rsid w:val="00270F89"/>
    <w:rsid w:val="002722F0"/>
    <w:rsid w:val="00274317"/>
    <w:rsid w:val="002747AD"/>
    <w:rsid w:val="00276CDC"/>
    <w:rsid w:val="00277655"/>
    <w:rsid w:val="00280094"/>
    <w:rsid w:val="002800A5"/>
    <w:rsid w:val="002823C3"/>
    <w:rsid w:val="002824B7"/>
    <w:rsid w:val="00282AC4"/>
    <w:rsid w:val="00283A71"/>
    <w:rsid w:val="00284880"/>
    <w:rsid w:val="002918CE"/>
    <w:rsid w:val="00292800"/>
    <w:rsid w:val="00292A92"/>
    <w:rsid w:val="00293B9F"/>
    <w:rsid w:val="00293DC9"/>
    <w:rsid w:val="00296C35"/>
    <w:rsid w:val="00297C37"/>
    <w:rsid w:val="002A11AC"/>
    <w:rsid w:val="002A1D9B"/>
    <w:rsid w:val="002A6F30"/>
    <w:rsid w:val="002A7884"/>
    <w:rsid w:val="002B3111"/>
    <w:rsid w:val="002B31BA"/>
    <w:rsid w:val="002B62B5"/>
    <w:rsid w:val="002C09F5"/>
    <w:rsid w:val="002C118E"/>
    <w:rsid w:val="002C2096"/>
    <w:rsid w:val="002C3F0B"/>
    <w:rsid w:val="002C7908"/>
    <w:rsid w:val="002D0048"/>
    <w:rsid w:val="002D3368"/>
    <w:rsid w:val="002D391B"/>
    <w:rsid w:val="002D4B1F"/>
    <w:rsid w:val="002D65FF"/>
    <w:rsid w:val="002D6FD6"/>
    <w:rsid w:val="002D7D15"/>
    <w:rsid w:val="002E1B2E"/>
    <w:rsid w:val="002E20CD"/>
    <w:rsid w:val="002E27EB"/>
    <w:rsid w:val="002E4EF4"/>
    <w:rsid w:val="002E61DC"/>
    <w:rsid w:val="002E78B6"/>
    <w:rsid w:val="002F0F1C"/>
    <w:rsid w:val="002F2A9D"/>
    <w:rsid w:val="002F31C2"/>
    <w:rsid w:val="002F7BF6"/>
    <w:rsid w:val="00303495"/>
    <w:rsid w:val="00303FDE"/>
    <w:rsid w:val="00305965"/>
    <w:rsid w:val="00306AE5"/>
    <w:rsid w:val="00306B78"/>
    <w:rsid w:val="003102AA"/>
    <w:rsid w:val="0031076D"/>
    <w:rsid w:val="003109F8"/>
    <w:rsid w:val="00313578"/>
    <w:rsid w:val="00313C5B"/>
    <w:rsid w:val="003140E8"/>
    <w:rsid w:val="003230AB"/>
    <w:rsid w:val="003231C7"/>
    <w:rsid w:val="00323839"/>
    <w:rsid w:val="003264F0"/>
    <w:rsid w:val="003268B7"/>
    <w:rsid w:val="00326D50"/>
    <w:rsid w:val="003270C4"/>
    <w:rsid w:val="00331ED0"/>
    <w:rsid w:val="003320D3"/>
    <w:rsid w:val="00332636"/>
    <w:rsid w:val="00332B0A"/>
    <w:rsid w:val="00333A41"/>
    <w:rsid w:val="00336D60"/>
    <w:rsid w:val="00341036"/>
    <w:rsid w:val="00341EF0"/>
    <w:rsid w:val="00344326"/>
    <w:rsid w:val="00345434"/>
    <w:rsid w:val="00351C22"/>
    <w:rsid w:val="003525AE"/>
    <w:rsid w:val="0035495B"/>
    <w:rsid w:val="00355A93"/>
    <w:rsid w:val="00360859"/>
    <w:rsid w:val="00360F30"/>
    <w:rsid w:val="003614B0"/>
    <w:rsid w:val="00361522"/>
    <w:rsid w:val="003641CD"/>
    <w:rsid w:val="00366E01"/>
    <w:rsid w:val="0037196E"/>
    <w:rsid w:val="003744F5"/>
    <w:rsid w:val="00380304"/>
    <w:rsid w:val="00381D74"/>
    <w:rsid w:val="00382723"/>
    <w:rsid w:val="00382C6A"/>
    <w:rsid w:val="00383DDB"/>
    <w:rsid w:val="0038750C"/>
    <w:rsid w:val="003875A9"/>
    <w:rsid w:val="00387BDE"/>
    <w:rsid w:val="00390DD8"/>
    <w:rsid w:val="00393060"/>
    <w:rsid w:val="00394DC6"/>
    <w:rsid w:val="00395961"/>
    <w:rsid w:val="00397BDF"/>
    <w:rsid w:val="00397C3E"/>
    <w:rsid w:val="003A053A"/>
    <w:rsid w:val="003A29F3"/>
    <w:rsid w:val="003A5967"/>
    <w:rsid w:val="003A716F"/>
    <w:rsid w:val="003B0748"/>
    <w:rsid w:val="003B1A09"/>
    <w:rsid w:val="003B2B6C"/>
    <w:rsid w:val="003B6709"/>
    <w:rsid w:val="003B6F02"/>
    <w:rsid w:val="003C0431"/>
    <w:rsid w:val="003C1657"/>
    <w:rsid w:val="003C29BB"/>
    <w:rsid w:val="003C3F0A"/>
    <w:rsid w:val="003C64E3"/>
    <w:rsid w:val="003C72A2"/>
    <w:rsid w:val="003C76B5"/>
    <w:rsid w:val="003D0174"/>
    <w:rsid w:val="003D3989"/>
    <w:rsid w:val="003D4CCA"/>
    <w:rsid w:val="003D52A6"/>
    <w:rsid w:val="003D5F00"/>
    <w:rsid w:val="003D6416"/>
    <w:rsid w:val="003D7F84"/>
    <w:rsid w:val="003E1D48"/>
    <w:rsid w:val="003E3F40"/>
    <w:rsid w:val="003E711F"/>
    <w:rsid w:val="003F1D2B"/>
    <w:rsid w:val="003F423F"/>
    <w:rsid w:val="003F49A6"/>
    <w:rsid w:val="003F518F"/>
    <w:rsid w:val="003F5B4A"/>
    <w:rsid w:val="003F6BA7"/>
    <w:rsid w:val="003F7445"/>
    <w:rsid w:val="004021B8"/>
    <w:rsid w:val="004060BE"/>
    <w:rsid w:val="0040666A"/>
    <w:rsid w:val="00411DF2"/>
    <w:rsid w:val="00411E8F"/>
    <w:rsid w:val="00422F08"/>
    <w:rsid w:val="00423D6A"/>
    <w:rsid w:val="004247F5"/>
    <w:rsid w:val="0042527B"/>
    <w:rsid w:val="00425BE4"/>
    <w:rsid w:val="00427EAC"/>
    <w:rsid w:val="00430796"/>
    <w:rsid w:val="00434827"/>
    <w:rsid w:val="00436B79"/>
    <w:rsid w:val="004431B4"/>
    <w:rsid w:val="00445604"/>
    <w:rsid w:val="00445EB5"/>
    <w:rsid w:val="00451158"/>
    <w:rsid w:val="004514BA"/>
    <w:rsid w:val="004543AD"/>
    <w:rsid w:val="0045537F"/>
    <w:rsid w:val="00457C9A"/>
    <w:rsid w:val="00457DC7"/>
    <w:rsid w:val="004640B3"/>
    <w:rsid w:val="00464C1F"/>
    <w:rsid w:val="00472BCC"/>
    <w:rsid w:val="00477699"/>
    <w:rsid w:val="00486990"/>
    <w:rsid w:val="00487342"/>
    <w:rsid w:val="00495979"/>
    <w:rsid w:val="00496420"/>
    <w:rsid w:val="004A03EB"/>
    <w:rsid w:val="004A0588"/>
    <w:rsid w:val="004A1F50"/>
    <w:rsid w:val="004A25CD"/>
    <w:rsid w:val="004A26CC"/>
    <w:rsid w:val="004A68DD"/>
    <w:rsid w:val="004B03E8"/>
    <w:rsid w:val="004B2108"/>
    <w:rsid w:val="004B3A2B"/>
    <w:rsid w:val="004B52B9"/>
    <w:rsid w:val="004B70D3"/>
    <w:rsid w:val="004C193A"/>
    <w:rsid w:val="004C312D"/>
    <w:rsid w:val="004D1090"/>
    <w:rsid w:val="004D17AD"/>
    <w:rsid w:val="004D2D1B"/>
    <w:rsid w:val="004D422C"/>
    <w:rsid w:val="004D5067"/>
    <w:rsid w:val="004D6838"/>
    <w:rsid w:val="004D72BC"/>
    <w:rsid w:val="004E16FA"/>
    <w:rsid w:val="004E469D"/>
    <w:rsid w:val="004E73E5"/>
    <w:rsid w:val="004E7F4F"/>
    <w:rsid w:val="004F0BAB"/>
    <w:rsid w:val="004F2DDE"/>
    <w:rsid w:val="004F5A55"/>
    <w:rsid w:val="004F6426"/>
    <w:rsid w:val="004F7826"/>
    <w:rsid w:val="00500926"/>
    <w:rsid w:val="0050097F"/>
    <w:rsid w:val="00502144"/>
    <w:rsid w:val="00507D8E"/>
    <w:rsid w:val="0051115E"/>
    <w:rsid w:val="005149DC"/>
    <w:rsid w:val="00514B1F"/>
    <w:rsid w:val="00523C5C"/>
    <w:rsid w:val="00524884"/>
    <w:rsid w:val="00525E93"/>
    <w:rsid w:val="0052671D"/>
    <w:rsid w:val="00526DB5"/>
    <w:rsid w:val="005300C0"/>
    <w:rsid w:val="00532AAC"/>
    <w:rsid w:val="00533EF6"/>
    <w:rsid w:val="005369B0"/>
    <w:rsid w:val="00540E6B"/>
    <w:rsid w:val="0054109E"/>
    <w:rsid w:val="00547F95"/>
    <w:rsid w:val="0055595D"/>
    <w:rsid w:val="005565A3"/>
    <w:rsid w:val="00556A10"/>
    <w:rsid w:val="00557F50"/>
    <w:rsid w:val="00565201"/>
    <w:rsid w:val="00565492"/>
    <w:rsid w:val="00571D3D"/>
    <w:rsid w:val="0058264B"/>
    <w:rsid w:val="00586368"/>
    <w:rsid w:val="005868AA"/>
    <w:rsid w:val="00586B8F"/>
    <w:rsid w:val="005903B8"/>
    <w:rsid w:val="00590845"/>
    <w:rsid w:val="005919D5"/>
    <w:rsid w:val="005963C2"/>
    <w:rsid w:val="005A0D69"/>
    <w:rsid w:val="005A0EAC"/>
    <w:rsid w:val="005A31F4"/>
    <w:rsid w:val="005A5FD4"/>
    <w:rsid w:val="005A64D1"/>
    <w:rsid w:val="005A73EA"/>
    <w:rsid w:val="005A7BE9"/>
    <w:rsid w:val="005B08AD"/>
    <w:rsid w:val="005B45F7"/>
    <w:rsid w:val="005B63EA"/>
    <w:rsid w:val="005B7F04"/>
    <w:rsid w:val="005C1A88"/>
    <w:rsid w:val="005C5033"/>
    <w:rsid w:val="005D3691"/>
    <w:rsid w:val="005D4E1B"/>
    <w:rsid w:val="005E1939"/>
    <w:rsid w:val="005E3FB0"/>
    <w:rsid w:val="005E4ABC"/>
    <w:rsid w:val="005E751B"/>
    <w:rsid w:val="005E787C"/>
    <w:rsid w:val="005F2751"/>
    <w:rsid w:val="005F3354"/>
    <w:rsid w:val="005F4AD6"/>
    <w:rsid w:val="0060005E"/>
    <w:rsid w:val="0060095B"/>
    <w:rsid w:val="00601266"/>
    <w:rsid w:val="00604615"/>
    <w:rsid w:val="006046C3"/>
    <w:rsid w:val="00606FA3"/>
    <w:rsid w:val="00610221"/>
    <w:rsid w:val="00610E73"/>
    <w:rsid w:val="0061245D"/>
    <w:rsid w:val="00612615"/>
    <w:rsid w:val="00615F9B"/>
    <w:rsid w:val="00616DF2"/>
    <w:rsid w:val="0062385D"/>
    <w:rsid w:val="006255D1"/>
    <w:rsid w:val="00626683"/>
    <w:rsid w:val="0063168D"/>
    <w:rsid w:val="00635C79"/>
    <w:rsid w:val="00636F89"/>
    <w:rsid w:val="0063723B"/>
    <w:rsid w:val="00641925"/>
    <w:rsid w:val="006423A7"/>
    <w:rsid w:val="00642DDB"/>
    <w:rsid w:val="006455DF"/>
    <w:rsid w:val="00645AF6"/>
    <w:rsid w:val="00647025"/>
    <w:rsid w:val="0064730A"/>
    <w:rsid w:val="006507DA"/>
    <w:rsid w:val="006510D5"/>
    <w:rsid w:val="006516E5"/>
    <w:rsid w:val="006531A4"/>
    <w:rsid w:val="00654571"/>
    <w:rsid w:val="006552A6"/>
    <w:rsid w:val="006558D8"/>
    <w:rsid w:val="0065706C"/>
    <w:rsid w:val="006602E7"/>
    <w:rsid w:val="00660774"/>
    <w:rsid w:val="00661127"/>
    <w:rsid w:val="00661342"/>
    <w:rsid w:val="0066389A"/>
    <w:rsid w:val="0066495C"/>
    <w:rsid w:val="00665CC7"/>
    <w:rsid w:val="006719EE"/>
    <w:rsid w:val="00672612"/>
    <w:rsid w:val="00674ECC"/>
    <w:rsid w:val="006750D9"/>
    <w:rsid w:val="00677F18"/>
    <w:rsid w:val="00680437"/>
    <w:rsid w:val="0068308D"/>
    <w:rsid w:val="00685B71"/>
    <w:rsid w:val="006862D2"/>
    <w:rsid w:val="006867C7"/>
    <w:rsid w:val="00690D36"/>
    <w:rsid w:val="0069214B"/>
    <w:rsid w:val="00693483"/>
    <w:rsid w:val="006957BE"/>
    <w:rsid w:val="00696617"/>
    <w:rsid w:val="006A0BF3"/>
    <w:rsid w:val="006A0C1A"/>
    <w:rsid w:val="006A30B7"/>
    <w:rsid w:val="006A7F58"/>
    <w:rsid w:val="006B0036"/>
    <w:rsid w:val="006B0DA6"/>
    <w:rsid w:val="006B2A13"/>
    <w:rsid w:val="006B3FA9"/>
    <w:rsid w:val="006B5954"/>
    <w:rsid w:val="006B6860"/>
    <w:rsid w:val="006C547E"/>
    <w:rsid w:val="006C5FF1"/>
    <w:rsid w:val="006D2B51"/>
    <w:rsid w:val="006D5575"/>
    <w:rsid w:val="006D5FCE"/>
    <w:rsid w:val="006D7191"/>
    <w:rsid w:val="006D7234"/>
    <w:rsid w:val="006E184A"/>
    <w:rsid w:val="006E21C4"/>
    <w:rsid w:val="006E2CD5"/>
    <w:rsid w:val="006E4139"/>
    <w:rsid w:val="006E42BE"/>
    <w:rsid w:val="006E5D4D"/>
    <w:rsid w:val="006E6D16"/>
    <w:rsid w:val="006F0351"/>
    <w:rsid w:val="006F0A39"/>
    <w:rsid w:val="006F2DFD"/>
    <w:rsid w:val="006F7FC1"/>
    <w:rsid w:val="00703F2A"/>
    <w:rsid w:val="00704854"/>
    <w:rsid w:val="00704C5D"/>
    <w:rsid w:val="00705E4E"/>
    <w:rsid w:val="007072BC"/>
    <w:rsid w:val="007146D8"/>
    <w:rsid w:val="00715275"/>
    <w:rsid w:val="007176CB"/>
    <w:rsid w:val="00721B44"/>
    <w:rsid w:val="00722651"/>
    <w:rsid w:val="007232A2"/>
    <w:rsid w:val="00726366"/>
    <w:rsid w:val="007314C7"/>
    <w:rsid w:val="00731AB6"/>
    <w:rsid w:val="00733B6B"/>
    <w:rsid w:val="00734F7B"/>
    <w:rsid w:val="00740808"/>
    <w:rsid w:val="00740A1B"/>
    <w:rsid w:val="00740DBB"/>
    <w:rsid w:val="00744236"/>
    <w:rsid w:val="007467C4"/>
    <w:rsid w:val="0075352D"/>
    <w:rsid w:val="007566DD"/>
    <w:rsid w:val="0076170F"/>
    <w:rsid w:val="0076189B"/>
    <w:rsid w:val="007636A1"/>
    <w:rsid w:val="0076669C"/>
    <w:rsid w:val="00766A8D"/>
    <w:rsid w:val="00766C10"/>
    <w:rsid w:val="00766E46"/>
    <w:rsid w:val="00770B5E"/>
    <w:rsid w:val="00772CCB"/>
    <w:rsid w:val="00777727"/>
    <w:rsid w:val="0078058C"/>
    <w:rsid w:val="0078166A"/>
    <w:rsid w:val="00781E5A"/>
    <w:rsid w:val="00782B79"/>
    <w:rsid w:val="007833DF"/>
    <w:rsid w:val="00783811"/>
    <w:rsid w:val="007865E9"/>
    <w:rsid w:val="0079237D"/>
    <w:rsid w:val="00792383"/>
    <w:rsid w:val="00794D5A"/>
    <w:rsid w:val="00794DD9"/>
    <w:rsid w:val="007A060F"/>
    <w:rsid w:val="007A26F9"/>
    <w:rsid w:val="007A40BC"/>
    <w:rsid w:val="007B02BD"/>
    <w:rsid w:val="007B1088"/>
    <w:rsid w:val="007B1C5E"/>
    <w:rsid w:val="007B350E"/>
    <w:rsid w:val="007B4D62"/>
    <w:rsid w:val="007C0FBC"/>
    <w:rsid w:val="007C2376"/>
    <w:rsid w:val="007C29C9"/>
    <w:rsid w:val="007C35B8"/>
    <w:rsid w:val="007C36E3"/>
    <w:rsid w:val="007C3ABB"/>
    <w:rsid w:val="007C7134"/>
    <w:rsid w:val="007C7976"/>
    <w:rsid w:val="007C7ECF"/>
    <w:rsid w:val="007D0826"/>
    <w:rsid w:val="007D3D20"/>
    <w:rsid w:val="007D44F9"/>
    <w:rsid w:val="007D6E4D"/>
    <w:rsid w:val="007D742E"/>
    <w:rsid w:val="007D7D34"/>
    <w:rsid w:val="007E2783"/>
    <w:rsid w:val="007E3AFD"/>
    <w:rsid w:val="007F2E4D"/>
    <w:rsid w:val="007F4157"/>
    <w:rsid w:val="007F6285"/>
    <w:rsid w:val="007F7C66"/>
    <w:rsid w:val="00800B27"/>
    <w:rsid w:val="00800F68"/>
    <w:rsid w:val="00801DAD"/>
    <w:rsid w:val="00803189"/>
    <w:rsid w:val="00804E7A"/>
    <w:rsid w:val="00805FBB"/>
    <w:rsid w:val="00814292"/>
    <w:rsid w:val="00814CA8"/>
    <w:rsid w:val="00815A22"/>
    <w:rsid w:val="008169A4"/>
    <w:rsid w:val="008255F7"/>
    <w:rsid w:val="008257F2"/>
    <w:rsid w:val="00825B96"/>
    <w:rsid w:val="008278FE"/>
    <w:rsid w:val="00827FDC"/>
    <w:rsid w:val="00831B3F"/>
    <w:rsid w:val="00832598"/>
    <w:rsid w:val="0083397E"/>
    <w:rsid w:val="0083534B"/>
    <w:rsid w:val="0084107C"/>
    <w:rsid w:val="00841265"/>
    <w:rsid w:val="00842035"/>
    <w:rsid w:val="00842602"/>
    <w:rsid w:val="00842792"/>
    <w:rsid w:val="008449F0"/>
    <w:rsid w:val="00845EBF"/>
    <w:rsid w:val="00846F11"/>
    <w:rsid w:val="00847B45"/>
    <w:rsid w:val="00847BA0"/>
    <w:rsid w:val="00850BC2"/>
    <w:rsid w:val="0085662E"/>
    <w:rsid w:val="00863A66"/>
    <w:rsid w:val="008641F2"/>
    <w:rsid w:val="00865641"/>
    <w:rsid w:val="008703D7"/>
    <w:rsid w:val="008738CF"/>
    <w:rsid w:val="00874429"/>
    <w:rsid w:val="00875D22"/>
    <w:rsid w:val="00880C0D"/>
    <w:rsid w:val="00880DEF"/>
    <w:rsid w:val="0088183A"/>
    <w:rsid w:val="00883693"/>
    <w:rsid w:val="00883D9A"/>
    <w:rsid w:val="008848EC"/>
    <w:rsid w:val="008919EF"/>
    <w:rsid w:val="00892B20"/>
    <w:rsid w:val="0089313C"/>
    <w:rsid w:val="008931BC"/>
    <w:rsid w:val="00895409"/>
    <w:rsid w:val="0089695B"/>
    <w:rsid w:val="00897740"/>
    <w:rsid w:val="008A07CA"/>
    <w:rsid w:val="008A12EC"/>
    <w:rsid w:val="008A3D54"/>
    <w:rsid w:val="008A5C2C"/>
    <w:rsid w:val="008B14BE"/>
    <w:rsid w:val="008B19A6"/>
    <w:rsid w:val="008B4EFB"/>
    <w:rsid w:val="008B7615"/>
    <w:rsid w:val="008B799F"/>
    <w:rsid w:val="008C0E42"/>
    <w:rsid w:val="008C21C8"/>
    <w:rsid w:val="008C57C0"/>
    <w:rsid w:val="008C6375"/>
    <w:rsid w:val="008C6A5B"/>
    <w:rsid w:val="008D441D"/>
    <w:rsid w:val="008D498D"/>
    <w:rsid w:val="008D6D36"/>
    <w:rsid w:val="008E0693"/>
    <w:rsid w:val="008E0C60"/>
    <w:rsid w:val="008E221A"/>
    <w:rsid w:val="008E26A5"/>
    <w:rsid w:val="008E42D2"/>
    <w:rsid w:val="008E55DF"/>
    <w:rsid w:val="008E6328"/>
    <w:rsid w:val="008F0846"/>
    <w:rsid w:val="008F20EC"/>
    <w:rsid w:val="008F2224"/>
    <w:rsid w:val="008F578F"/>
    <w:rsid w:val="008F5D04"/>
    <w:rsid w:val="008F6B3F"/>
    <w:rsid w:val="00903431"/>
    <w:rsid w:val="009039B3"/>
    <w:rsid w:val="009040EE"/>
    <w:rsid w:val="00904854"/>
    <w:rsid w:val="009057FD"/>
    <w:rsid w:val="00906FBA"/>
    <w:rsid w:val="00907009"/>
    <w:rsid w:val="00907463"/>
    <w:rsid w:val="00913730"/>
    <w:rsid w:val="00914522"/>
    <w:rsid w:val="009163E8"/>
    <w:rsid w:val="0091763F"/>
    <w:rsid w:val="00921BD3"/>
    <w:rsid w:val="009228C7"/>
    <w:rsid w:val="00922A7F"/>
    <w:rsid w:val="00923A5E"/>
    <w:rsid w:val="00924FE7"/>
    <w:rsid w:val="0092581D"/>
    <w:rsid w:val="00926E27"/>
    <w:rsid w:val="00931C8C"/>
    <w:rsid w:val="00934543"/>
    <w:rsid w:val="009406C4"/>
    <w:rsid w:val="00943D21"/>
    <w:rsid w:val="009440A2"/>
    <w:rsid w:val="0094504B"/>
    <w:rsid w:val="009503B1"/>
    <w:rsid w:val="0095471B"/>
    <w:rsid w:val="00955D4A"/>
    <w:rsid w:val="00955EDE"/>
    <w:rsid w:val="009610AE"/>
    <w:rsid w:val="00964A38"/>
    <w:rsid w:val="00966A9D"/>
    <w:rsid w:val="0096742B"/>
    <w:rsid w:val="00967C64"/>
    <w:rsid w:val="009718C5"/>
    <w:rsid w:val="009736E3"/>
    <w:rsid w:val="00973982"/>
    <w:rsid w:val="009753D5"/>
    <w:rsid w:val="009766C8"/>
    <w:rsid w:val="00976AFF"/>
    <w:rsid w:val="0098511E"/>
    <w:rsid w:val="00986AED"/>
    <w:rsid w:val="009924CF"/>
    <w:rsid w:val="00994100"/>
    <w:rsid w:val="00994EBE"/>
    <w:rsid w:val="009A04B7"/>
    <w:rsid w:val="009A22B1"/>
    <w:rsid w:val="009A23F6"/>
    <w:rsid w:val="009A601F"/>
    <w:rsid w:val="009A6B17"/>
    <w:rsid w:val="009A6C40"/>
    <w:rsid w:val="009A6DF2"/>
    <w:rsid w:val="009B052E"/>
    <w:rsid w:val="009B0C78"/>
    <w:rsid w:val="009B25B7"/>
    <w:rsid w:val="009B473F"/>
    <w:rsid w:val="009B6AE6"/>
    <w:rsid w:val="009C07B5"/>
    <w:rsid w:val="009C66DB"/>
    <w:rsid w:val="009D4C29"/>
    <w:rsid w:val="009D6498"/>
    <w:rsid w:val="009D781E"/>
    <w:rsid w:val="009E136A"/>
    <w:rsid w:val="009E3847"/>
    <w:rsid w:val="009E4C02"/>
    <w:rsid w:val="009E58E9"/>
    <w:rsid w:val="009E6803"/>
    <w:rsid w:val="009E7611"/>
    <w:rsid w:val="009E77FB"/>
    <w:rsid w:val="009F0FB9"/>
    <w:rsid w:val="009F4CA9"/>
    <w:rsid w:val="009F4EF4"/>
    <w:rsid w:val="009F6AD2"/>
    <w:rsid w:val="009F7C1B"/>
    <w:rsid w:val="00A00B5B"/>
    <w:rsid w:val="00A00D8D"/>
    <w:rsid w:val="00A01BB6"/>
    <w:rsid w:val="00A03E05"/>
    <w:rsid w:val="00A108A7"/>
    <w:rsid w:val="00A166A5"/>
    <w:rsid w:val="00A16F0E"/>
    <w:rsid w:val="00A2231A"/>
    <w:rsid w:val="00A228DA"/>
    <w:rsid w:val="00A22B28"/>
    <w:rsid w:val="00A25CCA"/>
    <w:rsid w:val="00A3310C"/>
    <w:rsid w:val="00A3351E"/>
    <w:rsid w:val="00A4303C"/>
    <w:rsid w:val="00A46CAF"/>
    <w:rsid w:val="00A470FD"/>
    <w:rsid w:val="00A50B5E"/>
    <w:rsid w:val="00A5150A"/>
    <w:rsid w:val="00A51887"/>
    <w:rsid w:val="00A55FB3"/>
    <w:rsid w:val="00A564F9"/>
    <w:rsid w:val="00A56B31"/>
    <w:rsid w:val="00A6041F"/>
    <w:rsid w:val="00A627E3"/>
    <w:rsid w:val="00A6294F"/>
    <w:rsid w:val="00A62DAB"/>
    <w:rsid w:val="00A6757A"/>
    <w:rsid w:val="00A71A98"/>
    <w:rsid w:val="00A71F3F"/>
    <w:rsid w:val="00A726A6"/>
    <w:rsid w:val="00A73970"/>
    <w:rsid w:val="00A74395"/>
    <w:rsid w:val="00A74577"/>
    <w:rsid w:val="00A74842"/>
    <w:rsid w:val="00A75BAD"/>
    <w:rsid w:val="00A8269A"/>
    <w:rsid w:val="00A84130"/>
    <w:rsid w:val="00A866CA"/>
    <w:rsid w:val="00A86A50"/>
    <w:rsid w:val="00A87169"/>
    <w:rsid w:val="00A87EFB"/>
    <w:rsid w:val="00A9178A"/>
    <w:rsid w:val="00A9515B"/>
    <w:rsid w:val="00A96941"/>
    <w:rsid w:val="00A97535"/>
    <w:rsid w:val="00AA2BAA"/>
    <w:rsid w:val="00AA55F3"/>
    <w:rsid w:val="00AA6516"/>
    <w:rsid w:val="00AA73F1"/>
    <w:rsid w:val="00AA7C34"/>
    <w:rsid w:val="00AB0E1A"/>
    <w:rsid w:val="00AB1621"/>
    <w:rsid w:val="00AB1A30"/>
    <w:rsid w:val="00AB3C36"/>
    <w:rsid w:val="00AB3D30"/>
    <w:rsid w:val="00AB530E"/>
    <w:rsid w:val="00AC02AB"/>
    <w:rsid w:val="00AC4B09"/>
    <w:rsid w:val="00AC5A01"/>
    <w:rsid w:val="00AC63DA"/>
    <w:rsid w:val="00AC7B58"/>
    <w:rsid w:val="00AD10EB"/>
    <w:rsid w:val="00AD1ED3"/>
    <w:rsid w:val="00AD3717"/>
    <w:rsid w:val="00AD74F4"/>
    <w:rsid w:val="00AE0CBD"/>
    <w:rsid w:val="00AE2157"/>
    <w:rsid w:val="00AF145A"/>
    <w:rsid w:val="00AF149D"/>
    <w:rsid w:val="00AF672B"/>
    <w:rsid w:val="00AF7975"/>
    <w:rsid w:val="00B019C1"/>
    <w:rsid w:val="00B02001"/>
    <w:rsid w:val="00B03C50"/>
    <w:rsid w:val="00B06EAA"/>
    <w:rsid w:val="00B07764"/>
    <w:rsid w:val="00B0777D"/>
    <w:rsid w:val="00B10F68"/>
    <w:rsid w:val="00B11576"/>
    <w:rsid w:val="00B1195F"/>
    <w:rsid w:val="00B12A38"/>
    <w:rsid w:val="00B14D10"/>
    <w:rsid w:val="00B209C7"/>
    <w:rsid w:val="00B2289E"/>
    <w:rsid w:val="00B26423"/>
    <w:rsid w:val="00B3000C"/>
    <w:rsid w:val="00B30C3F"/>
    <w:rsid w:val="00B30E91"/>
    <w:rsid w:val="00B31937"/>
    <w:rsid w:val="00B3486B"/>
    <w:rsid w:val="00B3644F"/>
    <w:rsid w:val="00B4057A"/>
    <w:rsid w:val="00B40894"/>
    <w:rsid w:val="00B40AA8"/>
    <w:rsid w:val="00B41039"/>
    <w:rsid w:val="00B41F37"/>
    <w:rsid w:val="00B42987"/>
    <w:rsid w:val="00B444AE"/>
    <w:rsid w:val="00B45E75"/>
    <w:rsid w:val="00B50876"/>
    <w:rsid w:val="00B51074"/>
    <w:rsid w:val="00B54DAA"/>
    <w:rsid w:val="00B552E0"/>
    <w:rsid w:val="00B5576D"/>
    <w:rsid w:val="00B55AB0"/>
    <w:rsid w:val="00B55BE8"/>
    <w:rsid w:val="00B55EE5"/>
    <w:rsid w:val="00B55F2B"/>
    <w:rsid w:val="00B60997"/>
    <w:rsid w:val="00B61D42"/>
    <w:rsid w:val="00B65448"/>
    <w:rsid w:val="00B665A0"/>
    <w:rsid w:val="00B67A43"/>
    <w:rsid w:val="00B70A75"/>
    <w:rsid w:val="00B71D1F"/>
    <w:rsid w:val="00B72CFF"/>
    <w:rsid w:val="00B73171"/>
    <w:rsid w:val="00B73DE6"/>
    <w:rsid w:val="00B74DD5"/>
    <w:rsid w:val="00B761CD"/>
    <w:rsid w:val="00B76B66"/>
    <w:rsid w:val="00B86A64"/>
    <w:rsid w:val="00B86EF0"/>
    <w:rsid w:val="00B91A77"/>
    <w:rsid w:val="00B96969"/>
    <w:rsid w:val="00B97900"/>
    <w:rsid w:val="00BA1229"/>
    <w:rsid w:val="00BA1F88"/>
    <w:rsid w:val="00BA2003"/>
    <w:rsid w:val="00BA303F"/>
    <w:rsid w:val="00BA3D6F"/>
    <w:rsid w:val="00BA44A8"/>
    <w:rsid w:val="00BA49C5"/>
    <w:rsid w:val="00BA715C"/>
    <w:rsid w:val="00BB0182"/>
    <w:rsid w:val="00BB2F4A"/>
    <w:rsid w:val="00BB41A1"/>
    <w:rsid w:val="00BC14CD"/>
    <w:rsid w:val="00BC2ECC"/>
    <w:rsid w:val="00BC786E"/>
    <w:rsid w:val="00BD063E"/>
    <w:rsid w:val="00BD096C"/>
    <w:rsid w:val="00BD3592"/>
    <w:rsid w:val="00BD37BE"/>
    <w:rsid w:val="00BD5C92"/>
    <w:rsid w:val="00BD67D0"/>
    <w:rsid w:val="00BE0783"/>
    <w:rsid w:val="00BE50E6"/>
    <w:rsid w:val="00BE5611"/>
    <w:rsid w:val="00BE7393"/>
    <w:rsid w:val="00BE7A0C"/>
    <w:rsid w:val="00BF2928"/>
    <w:rsid w:val="00BF4D73"/>
    <w:rsid w:val="00BF5D60"/>
    <w:rsid w:val="00BF6691"/>
    <w:rsid w:val="00C028FC"/>
    <w:rsid w:val="00C037F2"/>
    <w:rsid w:val="00C0386D"/>
    <w:rsid w:val="00C03912"/>
    <w:rsid w:val="00C065A1"/>
    <w:rsid w:val="00C0705C"/>
    <w:rsid w:val="00C10ED5"/>
    <w:rsid w:val="00C12574"/>
    <w:rsid w:val="00C12623"/>
    <w:rsid w:val="00C151A6"/>
    <w:rsid w:val="00C163D2"/>
    <w:rsid w:val="00C174AD"/>
    <w:rsid w:val="00C2274D"/>
    <w:rsid w:val="00C2393F"/>
    <w:rsid w:val="00C24098"/>
    <w:rsid w:val="00C26173"/>
    <w:rsid w:val="00C26CB3"/>
    <w:rsid w:val="00C27BE0"/>
    <w:rsid w:val="00C27F6E"/>
    <w:rsid w:val="00C30A4E"/>
    <w:rsid w:val="00C33B67"/>
    <w:rsid w:val="00C33F7E"/>
    <w:rsid w:val="00C40157"/>
    <w:rsid w:val="00C411F3"/>
    <w:rsid w:val="00C42DEE"/>
    <w:rsid w:val="00C44105"/>
    <w:rsid w:val="00C4753E"/>
    <w:rsid w:val="00C5230B"/>
    <w:rsid w:val="00C523EC"/>
    <w:rsid w:val="00C524BF"/>
    <w:rsid w:val="00C549CE"/>
    <w:rsid w:val="00C55A33"/>
    <w:rsid w:val="00C56C2D"/>
    <w:rsid w:val="00C56E34"/>
    <w:rsid w:val="00C64D49"/>
    <w:rsid w:val="00C665B9"/>
    <w:rsid w:val="00C66692"/>
    <w:rsid w:val="00C673B5"/>
    <w:rsid w:val="00C7063D"/>
    <w:rsid w:val="00C72339"/>
    <w:rsid w:val="00C820BC"/>
    <w:rsid w:val="00C830BC"/>
    <w:rsid w:val="00C8524D"/>
    <w:rsid w:val="00C8606F"/>
    <w:rsid w:val="00C90904"/>
    <w:rsid w:val="00C91123"/>
    <w:rsid w:val="00C91735"/>
    <w:rsid w:val="00C929BF"/>
    <w:rsid w:val="00C9471F"/>
    <w:rsid w:val="00C97250"/>
    <w:rsid w:val="00CA4435"/>
    <w:rsid w:val="00CA4A65"/>
    <w:rsid w:val="00CA4C46"/>
    <w:rsid w:val="00CA5758"/>
    <w:rsid w:val="00CA6CC2"/>
    <w:rsid w:val="00CA71FF"/>
    <w:rsid w:val="00CB2393"/>
    <w:rsid w:val="00CB2456"/>
    <w:rsid w:val="00CB5276"/>
    <w:rsid w:val="00CB5BFC"/>
    <w:rsid w:val="00CB68D7"/>
    <w:rsid w:val="00CB785B"/>
    <w:rsid w:val="00CC1F3A"/>
    <w:rsid w:val="00CC28A4"/>
    <w:rsid w:val="00CC5E5A"/>
    <w:rsid w:val="00CC70BC"/>
    <w:rsid w:val="00CC7E68"/>
    <w:rsid w:val="00CD3D74"/>
    <w:rsid w:val="00CD4882"/>
    <w:rsid w:val="00CD61CA"/>
    <w:rsid w:val="00CD6CAF"/>
    <w:rsid w:val="00CD7132"/>
    <w:rsid w:val="00CE0E6F"/>
    <w:rsid w:val="00CE39C8"/>
    <w:rsid w:val="00CE3ABF"/>
    <w:rsid w:val="00CE3B21"/>
    <w:rsid w:val="00CE3F16"/>
    <w:rsid w:val="00CE4468"/>
    <w:rsid w:val="00CE56FC"/>
    <w:rsid w:val="00CE7A4D"/>
    <w:rsid w:val="00CF32D2"/>
    <w:rsid w:val="00CF4CFE"/>
    <w:rsid w:val="00CF6C7A"/>
    <w:rsid w:val="00D00E8E"/>
    <w:rsid w:val="00D02E0F"/>
    <w:rsid w:val="00D03EE8"/>
    <w:rsid w:val="00D04654"/>
    <w:rsid w:val="00D0612A"/>
    <w:rsid w:val="00D06746"/>
    <w:rsid w:val="00D10250"/>
    <w:rsid w:val="00D11C8F"/>
    <w:rsid w:val="00D13535"/>
    <w:rsid w:val="00D15497"/>
    <w:rsid w:val="00D154E0"/>
    <w:rsid w:val="00D17816"/>
    <w:rsid w:val="00D17B79"/>
    <w:rsid w:val="00D205F5"/>
    <w:rsid w:val="00D215A6"/>
    <w:rsid w:val="00D22C87"/>
    <w:rsid w:val="00D23FEA"/>
    <w:rsid w:val="00D24181"/>
    <w:rsid w:val="00D269CA"/>
    <w:rsid w:val="00D30B48"/>
    <w:rsid w:val="00D3168A"/>
    <w:rsid w:val="00D340E7"/>
    <w:rsid w:val="00D34593"/>
    <w:rsid w:val="00D350D1"/>
    <w:rsid w:val="00D356DE"/>
    <w:rsid w:val="00D35FDD"/>
    <w:rsid w:val="00D37A22"/>
    <w:rsid w:val="00D40AD8"/>
    <w:rsid w:val="00D41E46"/>
    <w:rsid w:val="00D46FAA"/>
    <w:rsid w:val="00D47A40"/>
    <w:rsid w:val="00D51D33"/>
    <w:rsid w:val="00D56217"/>
    <w:rsid w:val="00D57BB2"/>
    <w:rsid w:val="00D57E57"/>
    <w:rsid w:val="00D70752"/>
    <w:rsid w:val="00D71876"/>
    <w:rsid w:val="00D76918"/>
    <w:rsid w:val="00D80E2D"/>
    <w:rsid w:val="00D80EA8"/>
    <w:rsid w:val="00D84D5E"/>
    <w:rsid w:val="00D8560E"/>
    <w:rsid w:val="00D86B5D"/>
    <w:rsid w:val="00D8758F"/>
    <w:rsid w:val="00D92C5B"/>
    <w:rsid w:val="00D9456A"/>
    <w:rsid w:val="00DA04F3"/>
    <w:rsid w:val="00DA3F9C"/>
    <w:rsid w:val="00DA4205"/>
    <w:rsid w:val="00DA4EDD"/>
    <w:rsid w:val="00DA6334"/>
    <w:rsid w:val="00DA6B78"/>
    <w:rsid w:val="00DB122B"/>
    <w:rsid w:val="00DB2661"/>
    <w:rsid w:val="00DB2DAF"/>
    <w:rsid w:val="00DB3942"/>
    <w:rsid w:val="00DB4216"/>
    <w:rsid w:val="00DB4733"/>
    <w:rsid w:val="00DB7881"/>
    <w:rsid w:val="00DC04A1"/>
    <w:rsid w:val="00DC08EA"/>
    <w:rsid w:val="00DC1D94"/>
    <w:rsid w:val="00DC287F"/>
    <w:rsid w:val="00DC2D6E"/>
    <w:rsid w:val="00DC3D6E"/>
    <w:rsid w:val="00DC42CF"/>
    <w:rsid w:val="00DC738A"/>
    <w:rsid w:val="00DC7F30"/>
    <w:rsid w:val="00DD382A"/>
    <w:rsid w:val="00DD592E"/>
    <w:rsid w:val="00DD6B2D"/>
    <w:rsid w:val="00DD7D14"/>
    <w:rsid w:val="00DE057F"/>
    <w:rsid w:val="00DE2082"/>
    <w:rsid w:val="00DE2289"/>
    <w:rsid w:val="00DF09A7"/>
    <w:rsid w:val="00DF2B51"/>
    <w:rsid w:val="00DF6580"/>
    <w:rsid w:val="00DF6E63"/>
    <w:rsid w:val="00E001D6"/>
    <w:rsid w:val="00E03A76"/>
    <w:rsid w:val="00E04410"/>
    <w:rsid w:val="00E061F1"/>
    <w:rsid w:val="00E07484"/>
    <w:rsid w:val="00E07A46"/>
    <w:rsid w:val="00E103EC"/>
    <w:rsid w:val="00E11351"/>
    <w:rsid w:val="00E1156C"/>
    <w:rsid w:val="00E146CA"/>
    <w:rsid w:val="00E14A50"/>
    <w:rsid w:val="00E14E92"/>
    <w:rsid w:val="00E14F6C"/>
    <w:rsid w:val="00E1549E"/>
    <w:rsid w:val="00E205EB"/>
    <w:rsid w:val="00E24435"/>
    <w:rsid w:val="00E248B8"/>
    <w:rsid w:val="00E31AF4"/>
    <w:rsid w:val="00E32C22"/>
    <w:rsid w:val="00E32CE5"/>
    <w:rsid w:val="00E33F44"/>
    <w:rsid w:val="00E371AD"/>
    <w:rsid w:val="00E37524"/>
    <w:rsid w:val="00E37D48"/>
    <w:rsid w:val="00E4225C"/>
    <w:rsid w:val="00E447E2"/>
    <w:rsid w:val="00E44879"/>
    <w:rsid w:val="00E45523"/>
    <w:rsid w:val="00E45ABD"/>
    <w:rsid w:val="00E45F6D"/>
    <w:rsid w:val="00E464F7"/>
    <w:rsid w:val="00E46EBA"/>
    <w:rsid w:val="00E506BC"/>
    <w:rsid w:val="00E56223"/>
    <w:rsid w:val="00E5688B"/>
    <w:rsid w:val="00E623EB"/>
    <w:rsid w:val="00E64DA1"/>
    <w:rsid w:val="00E65414"/>
    <w:rsid w:val="00E72914"/>
    <w:rsid w:val="00E73168"/>
    <w:rsid w:val="00E7568C"/>
    <w:rsid w:val="00E75AE0"/>
    <w:rsid w:val="00E81271"/>
    <w:rsid w:val="00E83C1F"/>
    <w:rsid w:val="00E85684"/>
    <w:rsid w:val="00E8794B"/>
    <w:rsid w:val="00E91775"/>
    <w:rsid w:val="00E92D27"/>
    <w:rsid w:val="00E9639B"/>
    <w:rsid w:val="00E9640D"/>
    <w:rsid w:val="00E966AB"/>
    <w:rsid w:val="00E97656"/>
    <w:rsid w:val="00E97AA3"/>
    <w:rsid w:val="00EA004A"/>
    <w:rsid w:val="00EA07CC"/>
    <w:rsid w:val="00EA16CE"/>
    <w:rsid w:val="00EA172C"/>
    <w:rsid w:val="00EA259B"/>
    <w:rsid w:val="00EA27A7"/>
    <w:rsid w:val="00EA31E9"/>
    <w:rsid w:val="00EA35A3"/>
    <w:rsid w:val="00EA3E6A"/>
    <w:rsid w:val="00EA645B"/>
    <w:rsid w:val="00EA66E1"/>
    <w:rsid w:val="00EA6AB8"/>
    <w:rsid w:val="00EB18EF"/>
    <w:rsid w:val="00EB3474"/>
    <w:rsid w:val="00EB3682"/>
    <w:rsid w:val="00EB58F4"/>
    <w:rsid w:val="00EB6816"/>
    <w:rsid w:val="00EB6FB7"/>
    <w:rsid w:val="00EB7753"/>
    <w:rsid w:val="00EB7951"/>
    <w:rsid w:val="00EC091F"/>
    <w:rsid w:val="00EC4124"/>
    <w:rsid w:val="00EC4261"/>
    <w:rsid w:val="00EC66E5"/>
    <w:rsid w:val="00EC7B9E"/>
    <w:rsid w:val="00ED0A33"/>
    <w:rsid w:val="00ED1178"/>
    <w:rsid w:val="00ED3818"/>
    <w:rsid w:val="00ED6A79"/>
    <w:rsid w:val="00EE05BA"/>
    <w:rsid w:val="00EE17DF"/>
    <w:rsid w:val="00EE1C14"/>
    <w:rsid w:val="00EE29D4"/>
    <w:rsid w:val="00EE629B"/>
    <w:rsid w:val="00EF0A21"/>
    <w:rsid w:val="00EF1482"/>
    <w:rsid w:val="00EF3141"/>
    <w:rsid w:val="00EF4621"/>
    <w:rsid w:val="00EF4D52"/>
    <w:rsid w:val="00EF6312"/>
    <w:rsid w:val="00EF6B0E"/>
    <w:rsid w:val="00F01AB9"/>
    <w:rsid w:val="00F038B0"/>
    <w:rsid w:val="00F05B91"/>
    <w:rsid w:val="00F05F34"/>
    <w:rsid w:val="00F129B6"/>
    <w:rsid w:val="00F17C88"/>
    <w:rsid w:val="00F2034D"/>
    <w:rsid w:val="00F20A4B"/>
    <w:rsid w:val="00F22238"/>
    <w:rsid w:val="00F22A66"/>
    <w:rsid w:val="00F22B27"/>
    <w:rsid w:val="00F234A7"/>
    <w:rsid w:val="00F25056"/>
    <w:rsid w:val="00F277B6"/>
    <w:rsid w:val="00F27DA5"/>
    <w:rsid w:val="00F36681"/>
    <w:rsid w:val="00F37094"/>
    <w:rsid w:val="00F37111"/>
    <w:rsid w:val="00F37E07"/>
    <w:rsid w:val="00F4182A"/>
    <w:rsid w:val="00F443DD"/>
    <w:rsid w:val="00F464ED"/>
    <w:rsid w:val="00F47042"/>
    <w:rsid w:val="00F479F6"/>
    <w:rsid w:val="00F51946"/>
    <w:rsid w:val="00F52129"/>
    <w:rsid w:val="00F54380"/>
    <w:rsid w:val="00F54B47"/>
    <w:rsid w:val="00F57691"/>
    <w:rsid w:val="00F61247"/>
    <w:rsid w:val="00F61F61"/>
    <w:rsid w:val="00F63191"/>
    <w:rsid w:val="00F6702E"/>
    <w:rsid w:val="00F67268"/>
    <w:rsid w:val="00F70E84"/>
    <w:rsid w:val="00F72225"/>
    <w:rsid w:val="00F7713A"/>
    <w:rsid w:val="00F77EB2"/>
    <w:rsid w:val="00F77F3C"/>
    <w:rsid w:val="00F80685"/>
    <w:rsid w:val="00F81B45"/>
    <w:rsid w:val="00F86F4A"/>
    <w:rsid w:val="00F94968"/>
    <w:rsid w:val="00F95044"/>
    <w:rsid w:val="00F953FB"/>
    <w:rsid w:val="00F96829"/>
    <w:rsid w:val="00FA092B"/>
    <w:rsid w:val="00FA3D47"/>
    <w:rsid w:val="00FA43F6"/>
    <w:rsid w:val="00FA4F6C"/>
    <w:rsid w:val="00FA6EFD"/>
    <w:rsid w:val="00FB2CF2"/>
    <w:rsid w:val="00FB34C4"/>
    <w:rsid w:val="00FB3791"/>
    <w:rsid w:val="00FB61BA"/>
    <w:rsid w:val="00FB6780"/>
    <w:rsid w:val="00FB7290"/>
    <w:rsid w:val="00FB74EA"/>
    <w:rsid w:val="00FC542F"/>
    <w:rsid w:val="00FC60B6"/>
    <w:rsid w:val="00FD0ADB"/>
    <w:rsid w:val="00FD2C9E"/>
    <w:rsid w:val="00FD3D30"/>
    <w:rsid w:val="00FD4786"/>
    <w:rsid w:val="00FD4A7A"/>
    <w:rsid w:val="00FD616C"/>
    <w:rsid w:val="00FE53F2"/>
    <w:rsid w:val="00FE5651"/>
    <w:rsid w:val="00FE56C3"/>
    <w:rsid w:val="00FE605F"/>
    <w:rsid w:val="00FF0A00"/>
    <w:rsid w:val="00FF17C2"/>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State"/>
  <w:smartTagType w:namespaceuri="urn:schemas-microsoft-com:office:smarttags" w:name="place"/>
  <w:shapeDefaults>
    <o:shapedefaults v:ext="edit" spidmax="6145"/>
    <o:shapelayout v:ext="edit">
      <o:idmap v:ext="edit" data="1"/>
    </o:shapelayout>
  </w:shapeDefaults>
  <w:decimalSymbol w:val="."/>
  <w:listSeparator w:val=","/>
  <w14:docId w14:val="63F93B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aliases w:val="Style 13,Style 12,(NECG) Footnote Reference,Appel note de bas de p,Style 124,fr,o,Style 3,FR,Style 17,Style 6,Footnote Reference/,Style 77"/>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292800"/>
  </w:style>
  <w:style w:type="paragraph" w:styleId="ListParagraph">
    <w:name w:val="List Paragraph"/>
    <w:basedOn w:val="Normal"/>
    <w:uiPriority w:val="34"/>
    <w:qFormat/>
    <w:rsid w:val="00292800"/>
    <w:pPr>
      <w:ind w:left="720"/>
      <w:contextualSpacing/>
    </w:pPr>
  </w:style>
  <w:style w:type="character" w:styleId="Hyperlink">
    <w:name w:val="Hyperlink"/>
    <w:basedOn w:val="DefaultParagraphFont"/>
    <w:uiPriority w:val="99"/>
    <w:unhideWhenUsed/>
    <w:rsid w:val="00292800"/>
    <w:rPr>
      <w:color w:val="0000FF" w:themeColor="hyperlink"/>
      <w:u w:val="single"/>
    </w:rPr>
  </w:style>
  <w:style w:type="character" w:customStyle="1" w:styleId="cosmallcaps">
    <w:name w:val="co_smallcaps"/>
    <w:basedOn w:val="DefaultParagraphFont"/>
    <w:rsid w:val="00292800"/>
  </w:style>
  <w:style w:type="character" w:customStyle="1" w:styleId="costarpage">
    <w:name w:val="co_starpage"/>
    <w:basedOn w:val="DefaultParagraphFont"/>
    <w:rsid w:val="00292800"/>
  </w:style>
  <w:style w:type="character" w:customStyle="1" w:styleId="coconcept19">
    <w:name w:val="co_concept_1_9"/>
    <w:basedOn w:val="DefaultParagraphFont"/>
    <w:rsid w:val="00292800"/>
  </w:style>
  <w:style w:type="character" w:styleId="Emphasis">
    <w:name w:val="Emphasis"/>
    <w:basedOn w:val="DefaultParagraphFont"/>
    <w:uiPriority w:val="20"/>
    <w:qFormat/>
    <w:rsid w:val="00292800"/>
    <w:rPr>
      <w:i/>
      <w:iCs/>
    </w:rPr>
  </w:style>
  <w:style w:type="character" w:styleId="FollowedHyperlink">
    <w:name w:val="FollowedHyperlink"/>
    <w:basedOn w:val="DefaultParagraphFont"/>
    <w:uiPriority w:val="99"/>
    <w:semiHidden/>
    <w:unhideWhenUsed/>
    <w:rsid w:val="00292800"/>
    <w:rPr>
      <w:color w:val="800080" w:themeColor="followedHyperlink"/>
      <w:u w:val="single"/>
    </w:rPr>
  </w:style>
  <w:style w:type="character" w:customStyle="1" w:styleId="coconcept124">
    <w:name w:val="co_concept_1_24"/>
    <w:basedOn w:val="DefaultParagraphFont"/>
    <w:rsid w:val="00292800"/>
  </w:style>
  <w:style w:type="character" w:customStyle="1" w:styleId="coconcept16">
    <w:name w:val="co_concept_1_6"/>
    <w:basedOn w:val="DefaultParagraphFont"/>
    <w:rsid w:val="00292800"/>
  </w:style>
  <w:style w:type="character" w:customStyle="1" w:styleId="coconcept818">
    <w:name w:val="co_concept_8_18"/>
    <w:basedOn w:val="DefaultParagraphFont"/>
    <w:rsid w:val="00292800"/>
  </w:style>
  <w:style w:type="character" w:customStyle="1" w:styleId="coconcept2126">
    <w:name w:val="co_concept_21_26"/>
    <w:basedOn w:val="DefaultParagraphFont"/>
    <w:rsid w:val="00292800"/>
  </w:style>
  <w:style w:type="character" w:customStyle="1" w:styleId="coconcept919">
    <w:name w:val="co_concept_9_19"/>
    <w:basedOn w:val="DefaultParagraphFont"/>
    <w:rsid w:val="00292800"/>
  </w:style>
  <w:style w:type="paragraph" w:styleId="BalloonText">
    <w:name w:val="Balloon Text"/>
    <w:basedOn w:val="Normal"/>
    <w:link w:val="BalloonTextChar"/>
    <w:semiHidden/>
    <w:unhideWhenUsed/>
    <w:rsid w:val="00241EA5"/>
    <w:rPr>
      <w:rFonts w:ascii="Segoe UI" w:hAnsi="Segoe UI" w:cs="Segoe UI"/>
      <w:sz w:val="18"/>
      <w:szCs w:val="18"/>
    </w:rPr>
  </w:style>
  <w:style w:type="character" w:customStyle="1" w:styleId="BalloonTextChar">
    <w:name w:val="Balloon Text Char"/>
    <w:basedOn w:val="DefaultParagraphFont"/>
    <w:link w:val="BalloonText"/>
    <w:semiHidden/>
    <w:rsid w:val="00241EA5"/>
    <w:rPr>
      <w:rFonts w:ascii="Segoe UI" w:hAnsi="Segoe UI" w:cs="Segoe UI"/>
      <w:sz w:val="18"/>
      <w:szCs w:val="18"/>
    </w:rPr>
  </w:style>
  <w:style w:type="character" w:customStyle="1" w:styleId="coconcept1521">
    <w:name w:val="co_concept_15_21"/>
    <w:basedOn w:val="DefaultParagraphFont"/>
    <w:rsid w:val="005E3FB0"/>
  </w:style>
  <w:style w:type="character" w:customStyle="1" w:styleId="coconcept110">
    <w:name w:val="co_concept_1_10"/>
    <w:basedOn w:val="DefaultParagraphFont"/>
    <w:rsid w:val="005E3FB0"/>
  </w:style>
  <w:style w:type="character" w:customStyle="1" w:styleId="coconcept2635">
    <w:name w:val="co_concept_26_35"/>
    <w:basedOn w:val="DefaultParagraphFont"/>
    <w:rsid w:val="005E3FB0"/>
  </w:style>
  <w:style w:type="paragraph" w:styleId="Revision">
    <w:name w:val="Revision"/>
    <w:hidden/>
    <w:uiPriority w:val="99"/>
    <w:semiHidden/>
    <w:rsid w:val="00831B3F"/>
    <w:rPr>
      <w:sz w:val="24"/>
      <w:szCs w:val="24"/>
    </w:rPr>
  </w:style>
  <w:style w:type="character" w:styleId="CommentReference">
    <w:name w:val="annotation reference"/>
    <w:basedOn w:val="DefaultParagraphFont"/>
    <w:semiHidden/>
    <w:unhideWhenUsed/>
    <w:rsid w:val="009440A2"/>
    <w:rPr>
      <w:sz w:val="16"/>
      <w:szCs w:val="16"/>
    </w:rPr>
  </w:style>
  <w:style w:type="paragraph" w:styleId="CommentText">
    <w:name w:val="annotation text"/>
    <w:basedOn w:val="Normal"/>
    <w:link w:val="CommentTextChar"/>
    <w:semiHidden/>
    <w:unhideWhenUsed/>
    <w:rsid w:val="009440A2"/>
    <w:rPr>
      <w:sz w:val="20"/>
      <w:szCs w:val="20"/>
    </w:rPr>
  </w:style>
  <w:style w:type="character" w:customStyle="1" w:styleId="CommentTextChar">
    <w:name w:val="Comment Text Char"/>
    <w:basedOn w:val="DefaultParagraphFont"/>
    <w:link w:val="CommentText"/>
    <w:semiHidden/>
    <w:rsid w:val="009440A2"/>
  </w:style>
  <w:style w:type="paragraph" w:styleId="CommentSubject">
    <w:name w:val="annotation subject"/>
    <w:basedOn w:val="CommentText"/>
    <w:next w:val="CommentText"/>
    <w:link w:val="CommentSubjectChar"/>
    <w:semiHidden/>
    <w:unhideWhenUsed/>
    <w:rsid w:val="009440A2"/>
    <w:rPr>
      <w:b/>
      <w:bCs/>
    </w:rPr>
  </w:style>
  <w:style w:type="character" w:customStyle="1" w:styleId="CommentSubjectChar">
    <w:name w:val="Comment Subject Char"/>
    <w:basedOn w:val="CommentTextChar"/>
    <w:link w:val="CommentSubject"/>
    <w:semiHidden/>
    <w:rsid w:val="009440A2"/>
    <w:rPr>
      <w:b/>
      <w:bCs/>
    </w:rPr>
  </w:style>
  <w:style w:type="paragraph" w:customStyle="1" w:styleId="IssueSubsectionHeading">
    <w:name w:val="Issue Subsection Heading"/>
    <w:basedOn w:val="Heading2"/>
    <w:next w:val="BodyText"/>
    <w:link w:val="IssueSubsectionHeadingChar"/>
    <w:qFormat/>
    <w:rsid w:val="00296C35"/>
    <w:pPr>
      <w:keepNext w:val="0"/>
    </w:pPr>
    <w:rPr>
      <w:rFonts w:ascii="Arial" w:hAnsi="Arial"/>
      <w:b/>
      <w:i/>
    </w:rPr>
  </w:style>
  <w:style w:type="character" w:customStyle="1" w:styleId="IssueSubsectionHeadingChar">
    <w:name w:val="Issue Subsection Heading Char"/>
    <w:link w:val="IssueSubsectionHeading"/>
    <w:rsid w:val="00296C35"/>
    <w:rPr>
      <w:rFonts w:ascii="Arial" w:hAnsi="Arial" w:cs="Arial"/>
      <w:b/>
      <w:bCs/>
      <w:i/>
      <w:iCs/>
      <w:sz w:val="2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 w:id="711199047">
      <w:bodyDiv w:val="1"/>
      <w:marLeft w:val="0"/>
      <w:marRight w:val="0"/>
      <w:marTop w:val="0"/>
      <w:marBottom w:val="0"/>
      <w:divBdr>
        <w:top w:val="none" w:sz="0" w:space="0" w:color="auto"/>
        <w:left w:val="none" w:sz="0" w:space="0" w:color="auto"/>
        <w:bottom w:val="none" w:sz="0" w:space="0" w:color="auto"/>
        <w:right w:val="none" w:sz="0" w:space="0" w:color="auto"/>
      </w:divBdr>
      <w:divsChild>
        <w:div w:id="1653482059">
          <w:marLeft w:val="0"/>
          <w:marRight w:val="0"/>
          <w:marTop w:val="0"/>
          <w:marBottom w:val="0"/>
          <w:divBdr>
            <w:top w:val="none" w:sz="0" w:space="0" w:color="3D3D3D"/>
            <w:left w:val="none" w:sz="0" w:space="0" w:color="3D3D3D"/>
            <w:bottom w:val="none" w:sz="0" w:space="0" w:color="3D3D3D"/>
            <w:right w:val="none" w:sz="0" w:space="0" w:color="3D3D3D"/>
          </w:divBdr>
          <w:divsChild>
            <w:div w:id="1689133237">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052538785">
      <w:bodyDiv w:val="1"/>
      <w:marLeft w:val="0"/>
      <w:marRight w:val="0"/>
      <w:marTop w:val="0"/>
      <w:marBottom w:val="0"/>
      <w:divBdr>
        <w:top w:val="none" w:sz="0" w:space="0" w:color="auto"/>
        <w:left w:val="none" w:sz="0" w:space="0" w:color="auto"/>
        <w:bottom w:val="none" w:sz="0" w:space="0" w:color="auto"/>
        <w:right w:val="none" w:sz="0" w:space="0" w:color="auto"/>
      </w:divBdr>
    </w:div>
    <w:div w:id="1075511356">
      <w:bodyDiv w:val="1"/>
      <w:marLeft w:val="0"/>
      <w:marRight w:val="0"/>
      <w:marTop w:val="0"/>
      <w:marBottom w:val="0"/>
      <w:divBdr>
        <w:top w:val="none" w:sz="0" w:space="0" w:color="auto"/>
        <w:left w:val="none" w:sz="0" w:space="0" w:color="auto"/>
        <w:bottom w:val="none" w:sz="0" w:space="0" w:color="auto"/>
        <w:right w:val="none" w:sz="0" w:space="0" w:color="auto"/>
      </w:divBdr>
      <w:divsChild>
        <w:div w:id="649987301">
          <w:marLeft w:val="0"/>
          <w:marRight w:val="0"/>
          <w:marTop w:val="0"/>
          <w:marBottom w:val="0"/>
          <w:divBdr>
            <w:top w:val="none" w:sz="0" w:space="0" w:color="3D3D3D"/>
            <w:left w:val="none" w:sz="0" w:space="0" w:color="3D3D3D"/>
            <w:bottom w:val="none" w:sz="0" w:space="0" w:color="3D3D3D"/>
            <w:right w:val="none" w:sz="0" w:space="0" w:color="3D3D3D"/>
          </w:divBdr>
          <w:divsChild>
            <w:div w:id="2025402416">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2126921672">
      <w:bodyDiv w:val="1"/>
      <w:marLeft w:val="0"/>
      <w:marRight w:val="0"/>
      <w:marTop w:val="0"/>
      <w:marBottom w:val="0"/>
      <w:divBdr>
        <w:top w:val="none" w:sz="0" w:space="0" w:color="auto"/>
        <w:left w:val="none" w:sz="0" w:space="0" w:color="auto"/>
        <w:bottom w:val="none" w:sz="0" w:space="0" w:color="auto"/>
        <w:right w:val="none" w:sz="0" w:space="0" w:color="auto"/>
      </w:divBdr>
      <w:divsChild>
        <w:div w:id="1472136032">
          <w:marLeft w:val="0"/>
          <w:marRight w:val="0"/>
          <w:marTop w:val="0"/>
          <w:marBottom w:val="0"/>
          <w:divBdr>
            <w:top w:val="none" w:sz="0" w:space="0" w:color="3D3D3D"/>
            <w:left w:val="none" w:sz="0" w:space="0" w:color="3D3D3D"/>
            <w:bottom w:val="none" w:sz="0" w:space="0" w:color="3D3D3D"/>
            <w:right w:val="none" w:sz="0" w:space="0" w:color="3D3D3D"/>
          </w:divBdr>
          <w:divsChild>
            <w:div w:id="815268062">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header" Target="header53.xml"/><Relationship Id="rId21" Type="http://schemas.openxmlformats.org/officeDocument/2006/relationships/header" Target="header5.xml"/><Relationship Id="rId42" Type="http://schemas.openxmlformats.org/officeDocument/2006/relationships/image" Target="media/image13.jpeg"/><Relationship Id="rId47" Type="http://schemas.openxmlformats.org/officeDocument/2006/relationships/header" Target="header18.xml"/><Relationship Id="rId63" Type="http://schemas.openxmlformats.org/officeDocument/2006/relationships/header" Target="header26.xml"/><Relationship Id="rId68" Type="http://schemas.openxmlformats.org/officeDocument/2006/relationships/image" Target="media/image26.jpeg"/><Relationship Id="rId84" Type="http://schemas.openxmlformats.org/officeDocument/2006/relationships/image" Target="media/image34.jpeg"/><Relationship Id="rId89" Type="http://schemas.openxmlformats.org/officeDocument/2006/relationships/header" Target="header39.xml"/><Relationship Id="rId112" Type="http://schemas.openxmlformats.org/officeDocument/2006/relationships/image" Target="media/image48.jpeg"/><Relationship Id="rId133" Type="http://schemas.openxmlformats.org/officeDocument/2006/relationships/header" Target="header61.xml"/><Relationship Id="rId138" Type="http://schemas.openxmlformats.org/officeDocument/2006/relationships/image" Target="media/image61.jpeg"/><Relationship Id="rId16" Type="http://schemas.openxmlformats.org/officeDocument/2006/relationships/header" Target="header3.xml"/><Relationship Id="rId107" Type="http://schemas.openxmlformats.org/officeDocument/2006/relationships/header" Target="header48.xml"/><Relationship Id="rId11" Type="http://schemas.openxmlformats.org/officeDocument/2006/relationships/hyperlink" Target="https://www.westlaw.com/Link/Document/FullText?findType=Y&amp;serNum=2044556402&amp;pubNum=0003926&amp;originatingDoc=I167229605e2711eea23abe0556fad673&amp;refType=RP&amp;originationContext=document&amp;vr=3.0&amp;rs=cblt1.0&amp;transitionType=DocumentItem&amp;contextData=(sc.Search)" TargetMode="External"/><Relationship Id="rId32" Type="http://schemas.openxmlformats.org/officeDocument/2006/relationships/image" Target="media/image8.jpeg"/><Relationship Id="rId37" Type="http://schemas.openxmlformats.org/officeDocument/2006/relationships/header" Target="header13.xml"/><Relationship Id="rId53" Type="http://schemas.openxmlformats.org/officeDocument/2006/relationships/header" Target="header21.xml"/><Relationship Id="rId58"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header" Target="header34.xml"/><Relationship Id="rId102" Type="http://schemas.openxmlformats.org/officeDocument/2006/relationships/image" Target="media/image43.jpeg"/><Relationship Id="rId123" Type="http://schemas.openxmlformats.org/officeDocument/2006/relationships/header" Target="header56.xml"/><Relationship Id="rId128" Type="http://schemas.openxmlformats.org/officeDocument/2006/relationships/image" Target="media/image56.jpeg"/><Relationship Id="rId144"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header" Target="header42.xml"/><Relationship Id="rId22" Type="http://schemas.openxmlformats.org/officeDocument/2006/relationships/image" Target="media/image3.jpeg"/><Relationship Id="rId27" Type="http://schemas.openxmlformats.org/officeDocument/2006/relationships/header" Target="header8.xml"/><Relationship Id="rId43" Type="http://schemas.openxmlformats.org/officeDocument/2006/relationships/header" Target="header16.xml"/><Relationship Id="rId48" Type="http://schemas.openxmlformats.org/officeDocument/2006/relationships/image" Target="media/image16.jpeg"/><Relationship Id="rId64" Type="http://schemas.openxmlformats.org/officeDocument/2006/relationships/image" Target="media/image24.jpeg"/><Relationship Id="rId69" Type="http://schemas.openxmlformats.org/officeDocument/2006/relationships/header" Target="header29.xml"/><Relationship Id="rId113" Type="http://schemas.openxmlformats.org/officeDocument/2006/relationships/header" Target="header51.xml"/><Relationship Id="rId118" Type="http://schemas.openxmlformats.org/officeDocument/2006/relationships/image" Target="media/image51.jpeg"/><Relationship Id="rId134" Type="http://schemas.openxmlformats.org/officeDocument/2006/relationships/image" Target="media/image59.jpeg"/><Relationship Id="rId139" Type="http://schemas.openxmlformats.org/officeDocument/2006/relationships/header" Target="header64.xml"/><Relationship Id="rId80" Type="http://schemas.openxmlformats.org/officeDocument/2006/relationships/image" Target="media/image32.jpeg"/><Relationship Id="rId85" Type="http://schemas.openxmlformats.org/officeDocument/2006/relationships/header" Target="header37.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7.xml"/><Relationship Id="rId33" Type="http://schemas.openxmlformats.org/officeDocument/2006/relationships/header" Target="header11.xml"/><Relationship Id="rId38" Type="http://schemas.openxmlformats.org/officeDocument/2006/relationships/image" Target="media/image11.jpeg"/><Relationship Id="rId46" Type="http://schemas.openxmlformats.org/officeDocument/2006/relationships/image" Target="media/image15.jpeg"/><Relationship Id="rId59" Type="http://schemas.openxmlformats.org/officeDocument/2006/relationships/header" Target="header24.xml"/><Relationship Id="rId67" Type="http://schemas.openxmlformats.org/officeDocument/2006/relationships/header" Target="header28.xml"/><Relationship Id="rId103" Type="http://schemas.openxmlformats.org/officeDocument/2006/relationships/header" Target="header46.xml"/><Relationship Id="rId108" Type="http://schemas.openxmlformats.org/officeDocument/2006/relationships/image" Target="media/image46.jpeg"/><Relationship Id="rId116" Type="http://schemas.openxmlformats.org/officeDocument/2006/relationships/image" Target="media/image50.jpeg"/><Relationship Id="rId124" Type="http://schemas.openxmlformats.org/officeDocument/2006/relationships/image" Target="media/image54.jpeg"/><Relationship Id="rId129" Type="http://schemas.openxmlformats.org/officeDocument/2006/relationships/header" Target="header59.xml"/><Relationship Id="rId137" Type="http://schemas.openxmlformats.org/officeDocument/2006/relationships/header" Target="header63.xml"/><Relationship Id="rId20" Type="http://schemas.openxmlformats.org/officeDocument/2006/relationships/image" Target="media/image2.jpeg"/><Relationship Id="rId41" Type="http://schemas.openxmlformats.org/officeDocument/2006/relationships/header" Target="header15.xml"/><Relationship Id="rId54" Type="http://schemas.openxmlformats.org/officeDocument/2006/relationships/image" Target="media/image19.jpeg"/><Relationship Id="rId62" Type="http://schemas.openxmlformats.org/officeDocument/2006/relationships/image" Target="media/image23.jpeg"/><Relationship Id="rId70" Type="http://schemas.openxmlformats.org/officeDocument/2006/relationships/image" Target="media/image27.jpeg"/><Relationship Id="rId75" Type="http://schemas.openxmlformats.org/officeDocument/2006/relationships/header" Target="header32.xml"/><Relationship Id="rId83" Type="http://schemas.openxmlformats.org/officeDocument/2006/relationships/header" Target="header36.xml"/><Relationship Id="rId88" Type="http://schemas.openxmlformats.org/officeDocument/2006/relationships/image" Target="media/image36.jpeg"/><Relationship Id="rId91" Type="http://schemas.openxmlformats.org/officeDocument/2006/relationships/header" Target="header40.xml"/><Relationship Id="rId96" Type="http://schemas.openxmlformats.org/officeDocument/2006/relationships/image" Target="media/image40.jpeg"/><Relationship Id="rId111" Type="http://schemas.openxmlformats.org/officeDocument/2006/relationships/header" Target="header50.xml"/><Relationship Id="rId132" Type="http://schemas.openxmlformats.org/officeDocument/2006/relationships/image" Target="media/image58.jpeg"/><Relationship Id="rId140" Type="http://schemas.openxmlformats.org/officeDocument/2006/relationships/image" Target="media/image62.jpeg"/><Relationship Id="rId145" Type="http://schemas.openxmlformats.org/officeDocument/2006/relationships/header" Target="header6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6.xml"/><Relationship Id="rId28" Type="http://schemas.openxmlformats.org/officeDocument/2006/relationships/image" Target="media/image6.jpeg"/><Relationship Id="rId36" Type="http://schemas.openxmlformats.org/officeDocument/2006/relationships/image" Target="media/image10.jpeg"/><Relationship Id="rId49" Type="http://schemas.openxmlformats.org/officeDocument/2006/relationships/header" Target="header19.xml"/><Relationship Id="rId57" Type="http://schemas.openxmlformats.org/officeDocument/2006/relationships/header" Target="header23.xml"/><Relationship Id="rId106" Type="http://schemas.openxmlformats.org/officeDocument/2006/relationships/image" Target="media/image45.jpeg"/><Relationship Id="rId114" Type="http://schemas.openxmlformats.org/officeDocument/2006/relationships/image" Target="media/image49.jpeg"/><Relationship Id="rId119" Type="http://schemas.openxmlformats.org/officeDocument/2006/relationships/header" Target="header54.xml"/><Relationship Id="rId127" Type="http://schemas.openxmlformats.org/officeDocument/2006/relationships/header" Target="header58.xml"/><Relationship Id="rId10" Type="http://schemas.openxmlformats.org/officeDocument/2006/relationships/hyperlink" Target="https://www.westlaw.com/Link/Document/FullText?findType=Y&amp;serNum=2044556402&amp;pubNum=0003926&amp;originatingDoc=I167229605e2711eea23abe0556fad673&amp;refType=RP&amp;fi=co_pp_sp_3926_911&amp;originationContext=document&amp;vr=3.0&amp;rs=cblt1.0&amp;transitionType=DocumentItem&amp;contextData=(sc.Search)" TargetMode="External"/><Relationship Id="rId31" Type="http://schemas.openxmlformats.org/officeDocument/2006/relationships/header" Target="header10.xml"/><Relationship Id="rId44" Type="http://schemas.openxmlformats.org/officeDocument/2006/relationships/image" Target="media/image14.jpeg"/><Relationship Id="rId52" Type="http://schemas.openxmlformats.org/officeDocument/2006/relationships/image" Target="media/image18.jpeg"/><Relationship Id="rId60" Type="http://schemas.openxmlformats.org/officeDocument/2006/relationships/image" Target="media/image22.jpeg"/><Relationship Id="rId65" Type="http://schemas.openxmlformats.org/officeDocument/2006/relationships/header" Target="header27.xml"/><Relationship Id="rId73" Type="http://schemas.openxmlformats.org/officeDocument/2006/relationships/header" Target="header31.xml"/><Relationship Id="rId78" Type="http://schemas.openxmlformats.org/officeDocument/2006/relationships/image" Target="media/image31.jpeg"/><Relationship Id="rId81" Type="http://schemas.openxmlformats.org/officeDocument/2006/relationships/header" Target="header35.xml"/><Relationship Id="rId86" Type="http://schemas.openxmlformats.org/officeDocument/2006/relationships/image" Target="media/image35.jpeg"/><Relationship Id="rId94" Type="http://schemas.openxmlformats.org/officeDocument/2006/relationships/image" Target="media/image39.jpeg"/><Relationship Id="rId99" Type="http://schemas.openxmlformats.org/officeDocument/2006/relationships/header" Target="header44.xml"/><Relationship Id="rId101" Type="http://schemas.openxmlformats.org/officeDocument/2006/relationships/header" Target="header45.xml"/><Relationship Id="rId122" Type="http://schemas.openxmlformats.org/officeDocument/2006/relationships/image" Target="media/image53.jpeg"/><Relationship Id="rId130" Type="http://schemas.openxmlformats.org/officeDocument/2006/relationships/image" Target="media/image57.jpeg"/><Relationship Id="rId135" Type="http://schemas.openxmlformats.org/officeDocument/2006/relationships/header" Target="header62.xml"/><Relationship Id="rId143" Type="http://schemas.openxmlformats.org/officeDocument/2006/relationships/header" Target="header66.xml"/><Relationship Id="rId4" Type="http://schemas.openxmlformats.org/officeDocument/2006/relationships/settings" Target="settings.xml"/><Relationship Id="rId9" Type="http://schemas.openxmlformats.org/officeDocument/2006/relationships/hyperlink" Target="https://www.westlaw.com/Link/Document/FullText?findType=L&amp;pubNum=1000006&amp;cite=FLSTS366.91&amp;originatingDoc=I167229605e2711eea23abe0556fad673&amp;refType=SP&amp;originationContext=document&amp;vr=3.0&amp;rs=cblt1.0&amp;transitionType=DocumentItem&amp;contextData=(sc.Search)" TargetMode="External"/><Relationship Id="rId13" Type="http://schemas.openxmlformats.org/officeDocument/2006/relationships/header" Target="header2.xml"/><Relationship Id="rId18" Type="http://schemas.openxmlformats.org/officeDocument/2006/relationships/image" Target="media/image1.jpeg"/><Relationship Id="rId39" Type="http://schemas.openxmlformats.org/officeDocument/2006/relationships/header" Target="header14.xml"/><Relationship Id="rId109" Type="http://schemas.openxmlformats.org/officeDocument/2006/relationships/header" Target="header49.xml"/><Relationship Id="rId34" Type="http://schemas.openxmlformats.org/officeDocument/2006/relationships/image" Target="media/image9.jpeg"/><Relationship Id="rId50" Type="http://schemas.openxmlformats.org/officeDocument/2006/relationships/image" Target="media/image17.jpeg"/><Relationship Id="rId55" Type="http://schemas.openxmlformats.org/officeDocument/2006/relationships/header" Target="header22.xml"/><Relationship Id="rId76" Type="http://schemas.openxmlformats.org/officeDocument/2006/relationships/image" Target="media/image30.jpeg"/><Relationship Id="rId97" Type="http://schemas.openxmlformats.org/officeDocument/2006/relationships/header" Target="header43.xml"/><Relationship Id="rId104" Type="http://schemas.openxmlformats.org/officeDocument/2006/relationships/image" Target="media/image44.jpeg"/><Relationship Id="rId120" Type="http://schemas.openxmlformats.org/officeDocument/2006/relationships/image" Target="media/image52.jpeg"/><Relationship Id="rId125" Type="http://schemas.openxmlformats.org/officeDocument/2006/relationships/header" Target="header57.xml"/><Relationship Id="rId141" Type="http://schemas.openxmlformats.org/officeDocument/2006/relationships/header" Target="header65.xm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30.xml"/><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image" Target="media/image4.jpeg"/><Relationship Id="rId40" Type="http://schemas.openxmlformats.org/officeDocument/2006/relationships/image" Target="media/image12.jpeg"/><Relationship Id="rId45" Type="http://schemas.openxmlformats.org/officeDocument/2006/relationships/header" Target="header17.xml"/><Relationship Id="rId66" Type="http://schemas.openxmlformats.org/officeDocument/2006/relationships/image" Target="media/image25.jpeg"/><Relationship Id="rId87" Type="http://schemas.openxmlformats.org/officeDocument/2006/relationships/header" Target="header38.xml"/><Relationship Id="rId110" Type="http://schemas.openxmlformats.org/officeDocument/2006/relationships/image" Target="media/image47.jpeg"/><Relationship Id="rId115" Type="http://schemas.openxmlformats.org/officeDocument/2006/relationships/header" Target="header52.xml"/><Relationship Id="rId131" Type="http://schemas.openxmlformats.org/officeDocument/2006/relationships/header" Target="header60.xml"/><Relationship Id="rId136" Type="http://schemas.openxmlformats.org/officeDocument/2006/relationships/image" Target="media/image60.jpeg"/><Relationship Id="rId61" Type="http://schemas.openxmlformats.org/officeDocument/2006/relationships/header" Target="header25.xml"/><Relationship Id="rId82" Type="http://schemas.openxmlformats.org/officeDocument/2006/relationships/image" Target="media/image33.jpeg"/><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image" Target="media/image7.jpeg"/><Relationship Id="rId35" Type="http://schemas.openxmlformats.org/officeDocument/2006/relationships/header" Target="header12.xml"/><Relationship Id="rId56" Type="http://schemas.openxmlformats.org/officeDocument/2006/relationships/image" Target="media/image20.jpeg"/><Relationship Id="rId77" Type="http://schemas.openxmlformats.org/officeDocument/2006/relationships/header" Target="header33.xml"/><Relationship Id="rId100" Type="http://schemas.openxmlformats.org/officeDocument/2006/relationships/image" Target="media/image42.jpeg"/><Relationship Id="rId105" Type="http://schemas.openxmlformats.org/officeDocument/2006/relationships/header" Target="header47.xml"/><Relationship Id="rId126" Type="http://schemas.openxmlformats.org/officeDocument/2006/relationships/image" Target="media/image55.jpeg"/><Relationship Id="rId147" Type="http://schemas.openxmlformats.org/officeDocument/2006/relationships/theme" Target="theme/theme1.xml"/><Relationship Id="rId8" Type="http://schemas.openxmlformats.org/officeDocument/2006/relationships/hyperlink" Target="https://www.westlaw.com/Link/Document/FullText?findType=L&amp;pubNum=1000006&amp;cite=FLSTS366.041&amp;originatingDoc=I167229605e2711eea23abe0556fad673&amp;refType=SP&amp;originationContext=document&amp;vr=3.0&amp;rs=cblt1.0&amp;transitionType=DocumentItem&amp;contextData=(sc.Search)" TargetMode="External"/><Relationship Id="rId51" Type="http://schemas.openxmlformats.org/officeDocument/2006/relationships/header" Target="header20.xml"/><Relationship Id="rId72" Type="http://schemas.openxmlformats.org/officeDocument/2006/relationships/image" Target="media/image28.jpeg"/><Relationship Id="rId93" Type="http://schemas.openxmlformats.org/officeDocument/2006/relationships/header" Target="header41.xml"/><Relationship Id="rId98" Type="http://schemas.openxmlformats.org/officeDocument/2006/relationships/image" Target="media/image41.jpeg"/><Relationship Id="rId121" Type="http://schemas.openxmlformats.org/officeDocument/2006/relationships/header" Target="header55.xml"/><Relationship Id="rId142" Type="http://schemas.openxmlformats.org/officeDocument/2006/relationships/image" Target="media/image63.jpeg"/></Relationships>
</file>

<file path=word/_rels/footnotes.xml.rels><?xml version="1.0" encoding="UTF-8" standalone="yes"?>
<Relationships xmlns="http://schemas.openxmlformats.org/package/2006/relationships"><Relationship Id="rId3" Type="http://schemas.openxmlformats.org/officeDocument/2006/relationships/hyperlink" Target="https://www.merriam-webster.com/dictionary/development" TargetMode="External"/><Relationship Id="rId2" Type="http://schemas.openxmlformats.org/officeDocument/2006/relationships/hyperlink" Target="https://www.merriam-webster.com/dictionary/value" TargetMode="External"/><Relationship Id="rId1" Type="http://schemas.openxmlformats.org/officeDocument/2006/relationships/hyperlink" Target="https://www.merriam-webster.com/dictionary/cos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43D4B8-A8CA-4D57-8414-E914C9949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La Rosa, Graham, Clark, Fay, and Passidomo</Template>
  <TotalTime>0</TotalTime>
  <Pages>102</Pages>
  <Words>14783</Words>
  <Characters>84264</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2024-03-25T16:36:00Z</dcterms:created>
  <dcterms:modified xsi:type="dcterms:W3CDTF">2024-03-25T17:17:00Z</dcterms:modified>
</cp:coreProperties>
</file>