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5CC5" w:rsidP="00A65CC5">
      <w:pPr>
        <w:pStyle w:val="OrderHeading"/>
      </w:pPr>
      <w:r>
        <w:t>BEFORE THE FLORIDA PUBLIC SERVICE COMMISSION</w:t>
      </w:r>
    </w:p>
    <w:p w:rsidR="00A65CC5" w:rsidRDefault="00A65CC5" w:rsidP="00A65C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5CC5" w:rsidRPr="00C63FCF" w:rsidTr="00C63FCF">
        <w:trPr>
          <w:trHeight w:val="828"/>
        </w:trPr>
        <w:tc>
          <w:tcPr>
            <w:tcW w:w="4788" w:type="dxa"/>
            <w:tcBorders>
              <w:bottom w:val="single" w:sz="8" w:space="0" w:color="auto"/>
              <w:right w:val="double" w:sz="6" w:space="0" w:color="auto"/>
            </w:tcBorders>
            <w:shd w:val="clear" w:color="auto" w:fill="auto"/>
          </w:tcPr>
          <w:p w:rsidR="00A65CC5" w:rsidRDefault="00A65CC5" w:rsidP="00C63FCF">
            <w:pPr>
              <w:pStyle w:val="OrderBody"/>
              <w:tabs>
                <w:tab w:val="center" w:pos="4320"/>
                <w:tab w:val="right" w:pos="8640"/>
              </w:tabs>
              <w:jc w:val="left"/>
            </w:pPr>
            <w:r>
              <w:t xml:space="preserve">In re: </w:t>
            </w:r>
            <w:bookmarkStart w:id="0" w:name="SSInRe"/>
            <w:bookmarkEnd w:id="0"/>
            <w:r>
              <w:t>Petition for approval to establish new regulatory subaccounts, amortization rates, and reclassification of associated investment and reserve balances, by Florida Public Utilities Company.</w:t>
            </w:r>
          </w:p>
        </w:tc>
        <w:tc>
          <w:tcPr>
            <w:tcW w:w="4788" w:type="dxa"/>
            <w:tcBorders>
              <w:left w:val="double" w:sz="6" w:space="0" w:color="auto"/>
            </w:tcBorders>
            <w:shd w:val="clear" w:color="auto" w:fill="auto"/>
          </w:tcPr>
          <w:p w:rsidR="00A65CC5" w:rsidRDefault="00A65CC5" w:rsidP="00A65CC5">
            <w:pPr>
              <w:pStyle w:val="OrderBody"/>
            </w:pPr>
            <w:r>
              <w:t xml:space="preserve">DOCKET NO. </w:t>
            </w:r>
            <w:bookmarkStart w:id="1" w:name="SSDocketNo"/>
            <w:bookmarkEnd w:id="1"/>
            <w:r>
              <w:t>20240060-GU</w:t>
            </w:r>
          </w:p>
          <w:p w:rsidR="00A65CC5" w:rsidRDefault="00A65CC5" w:rsidP="00C63FCF">
            <w:pPr>
              <w:pStyle w:val="OrderBody"/>
              <w:tabs>
                <w:tab w:val="center" w:pos="4320"/>
                <w:tab w:val="right" w:pos="8640"/>
              </w:tabs>
              <w:jc w:val="left"/>
            </w:pPr>
            <w:r>
              <w:t xml:space="preserve">ORDER NO. </w:t>
            </w:r>
            <w:bookmarkStart w:id="2" w:name="OrderNo0366"/>
            <w:r w:rsidR="004639FC">
              <w:t>PSC-2024-0366-PAA-GU</w:t>
            </w:r>
            <w:bookmarkEnd w:id="2"/>
          </w:p>
          <w:p w:rsidR="00A65CC5" w:rsidRDefault="00A65CC5" w:rsidP="00C63FCF">
            <w:pPr>
              <w:pStyle w:val="OrderBody"/>
              <w:tabs>
                <w:tab w:val="center" w:pos="4320"/>
                <w:tab w:val="right" w:pos="8640"/>
              </w:tabs>
              <w:jc w:val="left"/>
            </w:pPr>
            <w:r>
              <w:t xml:space="preserve">ISSUED: </w:t>
            </w:r>
            <w:r w:rsidR="004639FC">
              <w:t>August 19, 2024</w:t>
            </w:r>
          </w:p>
        </w:tc>
      </w:tr>
    </w:tbl>
    <w:p w:rsidR="00A65CC5" w:rsidRDefault="00A65CC5" w:rsidP="00A65CC5"/>
    <w:p w:rsidR="00A65CC5" w:rsidRDefault="00A65CC5" w:rsidP="00B67A43">
      <w:pPr>
        <w:ind w:firstLine="720"/>
        <w:jc w:val="both"/>
      </w:pPr>
      <w:bookmarkStart w:id="3" w:name="Commissioners"/>
      <w:bookmarkEnd w:id="3"/>
      <w:r>
        <w:t>The following Commissioners participated in the disposition of this matter:</w:t>
      </w:r>
    </w:p>
    <w:p w:rsidR="00A65CC5" w:rsidRDefault="00A65CC5" w:rsidP="00B67A43"/>
    <w:p w:rsidR="00A65CC5" w:rsidRDefault="00A65CC5" w:rsidP="00477699">
      <w:pPr>
        <w:jc w:val="center"/>
      </w:pPr>
      <w:r>
        <w:t>MIKE LA ROSA, Chairman</w:t>
      </w:r>
    </w:p>
    <w:p w:rsidR="00A65CC5" w:rsidRDefault="00A65CC5" w:rsidP="00B67A43">
      <w:pPr>
        <w:jc w:val="center"/>
      </w:pPr>
      <w:r>
        <w:t>ART GRAHAM</w:t>
      </w:r>
    </w:p>
    <w:p w:rsidR="00A65CC5" w:rsidRDefault="00A65CC5" w:rsidP="00B67A43">
      <w:pPr>
        <w:jc w:val="center"/>
      </w:pPr>
      <w:r>
        <w:t>GARY F. CLARK</w:t>
      </w:r>
    </w:p>
    <w:p w:rsidR="00A65CC5" w:rsidRDefault="00A65CC5" w:rsidP="00B67A43">
      <w:pPr>
        <w:jc w:val="center"/>
      </w:pPr>
      <w:r>
        <w:t>ANDREW GILES FAY</w:t>
      </w:r>
    </w:p>
    <w:p w:rsidR="00A65CC5" w:rsidRPr="005F2751" w:rsidRDefault="00A65CC5" w:rsidP="00B67A43">
      <w:pPr>
        <w:jc w:val="center"/>
      </w:pPr>
      <w:r w:rsidRPr="005F2751">
        <w:rPr>
          <w:lang w:val="en"/>
        </w:rPr>
        <w:t>GABRIELLA PASSIDOMO</w:t>
      </w:r>
    </w:p>
    <w:p w:rsidR="00CB5276" w:rsidRDefault="00CB5276">
      <w:pPr>
        <w:pStyle w:val="OrderBody"/>
      </w:pPr>
    </w:p>
    <w:p w:rsidR="00320483" w:rsidRDefault="00320483" w:rsidP="00A65CC5">
      <w:pPr>
        <w:pStyle w:val="CenterUnderline"/>
      </w:pPr>
      <w:r w:rsidRPr="003E4B2D">
        <w:t>NOTICE OF PROPOSED AGENCY ACTIO</w:t>
      </w:r>
      <w:r>
        <w:t>N</w:t>
      </w:r>
    </w:p>
    <w:p w:rsidR="00320483" w:rsidRDefault="00A65CC5" w:rsidP="00A65CC5">
      <w:pPr>
        <w:pStyle w:val="CenterUnderline"/>
      </w:pPr>
      <w:r>
        <w:t>ORDER</w:t>
      </w:r>
      <w:bookmarkStart w:id="4" w:name="OrderTitle"/>
      <w:r>
        <w:t xml:space="preserve"> APPROVING</w:t>
      </w:r>
      <w:r w:rsidR="00320483">
        <w:t xml:space="preserve"> </w:t>
      </w:r>
      <w:r>
        <w:t>FLORIDA PUBLIC UTILITIES</w:t>
      </w:r>
      <w:r w:rsidR="00320483">
        <w:t xml:space="preserve"> </w:t>
      </w:r>
      <w:r>
        <w:t xml:space="preserve"> COMPANY’S</w:t>
      </w:r>
    </w:p>
    <w:p w:rsidR="00320483" w:rsidRDefault="00A65CC5" w:rsidP="00A65CC5">
      <w:pPr>
        <w:pStyle w:val="CenterUnderline"/>
      </w:pPr>
      <w:r>
        <w:t xml:space="preserve"> REGULATORY</w:t>
      </w:r>
      <w:r w:rsidR="00320483">
        <w:t xml:space="preserve"> </w:t>
      </w:r>
      <w:r>
        <w:t>SUBACCOUNTS, AMORTIZATION RATES AND</w:t>
      </w:r>
    </w:p>
    <w:p w:rsidR="00320483" w:rsidRDefault="00A65CC5" w:rsidP="00A65CC5">
      <w:pPr>
        <w:pStyle w:val="CenterUnderline"/>
      </w:pPr>
      <w:r>
        <w:t xml:space="preserve"> RECLASSIFICATION OF ASSOCIATED </w:t>
      </w:r>
      <w:bookmarkEnd w:id="4"/>
      <w:r>
        <w:t xml:space="preserve"> INVESTMENTS</w:t>
      </w:r>
    </w:p>
    <w:p w:rsidR="00A65CC5" w:rsidRDefault="00A65CC5" w:rsidP="00A65CC5">
      <w:pPr>
        <w:pStyle w:val="CenterUnderline"/>
      </w:pPr>
      <w:r>
        <w:t>AND RESERVE BALANCES</w:t>
      </w:r>
    </w:p>
    <w:p w:rsidR="00A65CC5" w:rsidRDefault="00A65CC5" w:rsidP="00A65CC5">
      <w:pPr>
        <w:pStyle w:val="CenterUnderline"/>
      </w:pPr>
    </w:p>
    <w:p w:rsidR="00A65CC5" w:rsidRDefault="00A65CC5" w:rsidP="00A65CC5">
      <w:pPr>
        <w:pStyle w:val="OrderBody"/>
      </w:pPr>
      <w:r>
        <w:t>BY THE COMMISSION:</w:t>
      </w:r>
    </w:p>
    <w:p w:rsidR="00320483" w:rsidRDefault="00320483" w:rsidP="00A65CC5">
      <w:pPr>
        <w:pStyle w:val="OrderBody"/>
      </w:pPr>
    </w:p>
    <w:p w:rsidR="00320483" w:rsidRDefault="00320483" w:rsidP="00320483">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320483" w:rsidRDefault="00320483" w:rsidP="00A65CC5">
      <w:pPr>
        <w:pStyle w:val="OrderBody"/>
      </w:pPr>
    </w:p>
    <w:p w:rsidR="00A65CC5" w:rsidRPr="00A65CC5" w:rsidRDefault="00A65CC5" w:rsidP="00A65CC5">
      <w:pPr>
        <w:pStyle w:val="BodyText"/>
        <w:ind w:firstLine="720"/>
        <w:jc w:val="center"/>
      </w:pPr>
      <w:r w:rsidRPr="00A65CC5">
        <w:rPr>
          <w:u w:val="single"/>
        </w:rPr>
        <w:t>BACKGROUND</w:t>
      </w:r>
    </w:p>
    <w:p w:rsidR="00A65CC5" w:rsidRDefault="00A65CC5" w:rsidP="003225A3">
      <w:pPr>
        <w:pStyle w:val="BodyText"/>
        <w:spacing w:after="0"/>
        <w:ind w:firstLine="720"/>
        <w:jc w:val="both"/>
      </w:pPr>
      <w:r w:rsidRPr="00AB2AD2">
        <w:t>On A</w:t>
      </w:r>
      <w:r>
        <w:t>pril 11, 2024</w:t>
      </w:r>
      <w:r w:rsidRPr="00AB2AD2">
        <w:t xml:space="preserve">, </w:t>
      </w:r>
      <w:r w:rsidRPr="00CC27DC">
        <w:t>Florida Public Utilities Company</w:t>
      </w:r>
      <w:r w:rsidRPr="00AB2AD2">
        <w:t xml:space="preserve"> (</w:t>
      </w:r>
      <w:r>
        <w:t>FPUC</w:t>
      </w:r>
      <w:r w:rsidRPr="00AB2AD2">
        <w:t xml:space="preserve"> or Company) filed </w:t>
      </w:r>
      <w:r>
        <w:t xml:space="preserve">a </w:t>
      </w:r>
      <w:r>
        <w:rPr>
          <w:bCs/>
        </w:rPr>
        <w:t>Petition for a</w:t>
      </w:r>
      <w:r w:rsidRPr="00893C0F">
        <w:rPr>
          <w:bCs/>
        </w:rPr>
        <w:t xml:space="preserve">pproval </w:t>
      </w:r>
      <w:r>
        <w:rPr>
          <w:bCs/>
        </w:rPr>
        <w:t>t</w:t>
      </w:r>
      <w:r w:rsidRPr="00893C0F">
        <w:rPr>
          <w:bCs/>
        </w:rPr>
        <w:t xml:space="preserve">o </w:t>
      </w:r>
      <w:r>
        <w:rPr>
          <w:bCs/>
        </w:rPr>
        <w:t>e</w:t>
      </w:r>
      <w:r w:rsidRPr="00893C0F">
        <w:rPr>
          <w:bCs/>
        </w:rPr>
        <w:t xml:space="preserve">stablish </w:t>
      </w:r>
      <w:r>
        <w:rPr>
          <w:bCs/>
        </w:rPr>
        <w:t>n</w:t>
      </w:r>
      <w:r w:rsidRPr="00893C0F">
        <w:rPr>
          <w:bCs/>
        </w:rPr>
        <w:t xml:space="preserve">ew </w:t>
      </w:r>
      <w:r>
        <w:rPr>
          <w:bCs/>
        </w:rPr>
        <w:t>r</w:t>
      </w:r>
      <w:r w:rsidRPr="00893C0F">
        <w:rPr>
          <w:bCs/>
        </w:rPr>
        <w:t>egulatory</w:t>
      </w:r>
      <w:r>
        <w:rPr>
          <w:bCs/>
        </w:rPr>
        <w:t xml:space="preserve"> s</w:t>
      </w:r>
      <w:r w:rsidRPr="00893C0F">
        <w:rPr>
          <w:bCs/>
        </w:rPr>
        <w:t xml:space="preserve">ubaccounts, </w:t>
      </w:r>
      <w:r>
        <w:rPr>
          <w:bCs/>
        </w:rPr>
        <w:t>a</w:t>
      </w:r>
      <w:r w:rsidRPr="00893C0F">
        <w:rPr>
          <w:bCs/>
        </w:rPr>
        <w:t xml:space="preserve">mortization </w:t>
      </w:r>
      <w:r>
        <w:rPr>
          <w:bCs/>
        </w:rPr>
        <w:t>r</w:t>
      </w:r>
      <w:r w:rsidRPr="00893C0F">
        <w:rPr>
          <w:bCs/>
        </w:rPr>
        <w:t xml:space="preserve">ates, </w:t>
      </w:r>
      <w:r>
        <w:rPr>
          <w:bCs/>
        </w:rPr>
        <w:t>a</w:t>
      </w:r>
      <w:r w:rsidRPr="00893C0F">
        <w:rPr>
          <w:bCs/>
        </w:rPr>
        <w:t xml:space="preserve">nd </w:t>
      </w:r>
      <w:r>
        <w:rPr>
          <w:bCs/>
        </w:rPr>
        <w:t>r</w:t>
      </w:r>
      <w:r w:rsidRPr="00893C0F">
        <w:rPr>
          <w:bCs/>
        </w:rPr>
        <w:t xml:space="preserve">eclassification </w:t>
      </w:r>
      <w:r>
        <w:rPr>
          <w:bCs/>
        </w:rPr>
        <w:t>o</w:t>
      </w:r>
      <w:r w:rsidRPr="00893C0F">
        <w:rPr>
          <w:bCs/>
        </w:rPr>
        <w:t>f</w:t>
      </w:r>
      <w:r>
        <w:rPr>
          <w:bCs/>
        </w:rPr>
        <w:t xml:space="preserve"> a</w:t>
      </w:r>
      <w:r w:rsidRPr="00893C0F">
        <w:rPr>
          <w:bCs/>
        </w:rPr>
        <w:t xml:space="preserve">ssociated </w:t>
      </w:r>
      <w:r>
        <w:rPr>
          <w:bCs/>
        </w:rPr>
        <w:t>i</w:t>
      </w:r>
      <w:r w:rsidRPr="00893C0F">
        <w:rPr>
          <w:bCs/>
        </w:rPr>
        <w:t xml:space="preserve">nvestment </w:t>
      </w:r>
      <w:r>
        <w:rPr>
          <w:bCs/>
        </w:rPr>
        <w:t>a</w:t>
      </w:r>
      <w:r w:rsidRPr="00893C0F">
        <w:rPr>
          <w:bCs/>
        </w:rPr>
        <w:t xml:space="preserve">nd </w:t>
      </w:r>
      <w:r>
        <w:rPr>
          <w:bCs/>
        </w:rPr>
        <w:t>r</w:t>
      </w:r>
      <w:r w:rsidRPr="00893C0F">
        <w:rPr>
          <w:bCs/>
        </w:rPr>
        <w:t xml:space="preserve">eserve </w:t>
      </w:r>
      <w:r>
        <w:rPr>
          <w:bCs/>
        </w:rPr>
        <w:t>b</w:t>
      </w:r>
      <w:r w:rsidRPr="00893C0F">
        <w:rPr>
          <w:bCs/>
        </w:rPr>
        <w:t xml:space="preserve">alances </w:t>
      </w:r>
      <w:r w:rsidRPr="00AB2AD2">
        <w:t>(Petition).</w:t>
      </w:r>
      <w:r>
        <w:t xml:space="preserve">  </w:t>
      </w:r>
      <w:r w:rsidRPr="00AB2AD2">
        <w:t>The Company’s request is in accordance with Rules 25-</w:t>
      </w:r>
      <w:r>
        <w:t>7</w:t>
      </w:r>
      <w:r w:rsidRPr="00AB2AD2">
        <w:t>.04</w:t>
      </w:r>
      <w:r>
        <w:t>5</w:t>
      </w:r>
      <w:r w:rsidRPr="00AB2AD2">
        <w:t>(</w:t>
      </w:r>
      <w:r>
        <w:t>2</w:t>
      </w:r>
      <w:r w:rsidRPr="00AB2AD2">
        <w:t>)(</w:t>
      </w:r>
      <w:r>
        <w:t>a</w:t>
      </w:r>
      <w:r w:rsidRPr="00AB2AD2">
        <w:t>), F.A.C., which provides that “[n]o utility shall change any existing depreciation rate or initiate any new depreciation rate without prior Commission approval;” and Rule 25-</w:t>
      </w:r>
      <w:r>
        <w:t>7</w:t>
      </w:r>
      <w:r w:rsidRPr="00AB2AD2">
        <w:t>.04</w:t>
      </w:r>
      <w:r>
        <w:t>5</w:t>
      </w:r>
      <w:r w:rsidRPr="00AB2AD2">
        <w:t>(</w:t>
      </w:r>
      <w:r>
        <w:t>3</w:t>
      </w:r>
      <w:r w:rsidRPr="00AB2AD2">
        <w:t xml:space="preserve">)(b), F.A.C., which requires that: “[u]pon establishing a new account or subaccount classification, each utility shall request Commission approval of a depreciation rate for the new plant category.” </w:t>
      </w:r>
    </w:p>
    <w:p w:rsidR="003225A3" w:rsidRPr="00893C0F" w:rsidRDefault="003225A3" w:rsidP="003225A3">
      <w:pPr>
        <w:pStyle w:val="BodyText"/>
        <w:spacing w:after="0"/>
        <w:ind w:firstLine="720"/>
        <w:jc w:val="both"/>
        <w:rPr>
          <w:bCs/>
        </w:rPr>
      </w:pPr>
    </w:p>
    <w:p w:rsidR="00A65CC5" w:rsidRDefault="00A65CC5" w:rsidP="00A65CC5">
      <w:pPr>
        <w:pStyle w:val="BodyText"/>
        <w:ind w:firstLine="720"/>
        <w:jc w:val="both"/>
      </w:pPr>
      <w:r w:rsidRPr="00AB2AD2">
        <w:t>Pursuant to Rule 25-</w:t>
      </w:r>
      <w:r>
        <w:t>7</w:t>
      </w:r>
      <w:r w:rsidRPr="00AB2AD2">
        <w:t>.04</w:t>
      </w:r>
      <w:r>
        <w:t>5</w:t>
      </w:r>
      <w:r w:rsidRPr="00AB2AD2">
        <w:t xml:space="preserve">(3)(a), F.A.C., </w:t>
      </w:r>
      <w:r>
        <w:t>gas</w:t>
      </w:r>
      <w:r w:rsidRPr="00AB2AD2">
        <w:t xml:space="preserve"> utilities are required to maintain depreciation rates and accumulated depreciation reserves in accounts or subaccounts in accordance with the</w:t>
      </w:r>
      <w:r>
        <w:t xml:space="preserve"> Uniform System of Accounts (USOA) </w:t>
      </w:r>
      <w:r w:rsidRPr="00AB2AD2">
        <w:t>for Public Utilities and Licensees</w:t>
      </w:r>
      <w:r>
        <w:t>, as found in the Code of Federal Regulations,</w:t>
      </w:r>
      <w:r>
        <w:rPr>
          <w:rStyle w:val="FootnoteReference"/>
        </w:rPr>
        <w:footnoteReference w:id="1"/>
      </w:r>
      <w:r>
        <w:t xml:space="preserve"> which is incorporated by reference in Rule 25-7.014(1), F.A.C.</w:t>
      </w:r>
    </w:p>
    <w:p w:rsidR="00A65CC5" w:rsidRDefault="00A65CC5" w:rsidP="00A65CC5">
      <w:pPr>
        <w:pStyle w:val="BodyText"/>
        <w:ind w:firstLine="720"/>
        <w:jc w:val="both"/>
      </w:pPr>
      <w:r w:rsidRPr="00CD761B">
        <w:lastRenderedPageBreak/>
        <w:t xml:space="preserve">All </w:t>
      </w:r>
      <w:r>
        <w:t xml:space="preserve">of </w:t>
      </w:r>
      <w:r w:rsidRPr="00CD761B">
        <w:t>FPUC</w:t>
      </w:r>
      <w:r>
        <w:t>’s</w:t>
      </w:r>
      <w:r w:rsidRPr="00CD761B">
        <w:t xml:space="preserve"> capitalized software is currently rec</w:t>
      </w:r>
      <w:r>
        <w:t xml:space="preserve">orded in amortizable Account 3914 − Computer </w:t>
      </w:r>
      <w:r w:rsidRPr="00CD761B">
        <w:t>Software</w:t>
      </w:r>
      <w:r w:rsidRPr="007C38A6">
        <w:t xml:space="preserve"> </w:t>
      </w:r>
      <w:r>
        <w:t>with a 10-</w:t>
      </w:r>
      <w:r w:rsidRPr="00CD761B">
        <w:t xml:space="preserve">year amortization period, </w:t>
      </w:r>
      <w:r>
        <w:t xml:space="preserve">which is </w:t>
      </w:r>
      <w:r w:rsidRPr="00CD761B">
        <w:t>a subaccount of Account 391</w:t>
      </w:r>
      <w:r>
        <w:t xml:space="preserve"> −</w:t>
      </w:r>
      <w:r w:rsidRPr="00CD761B">
        <w:t xml:space="preserve"> Office Furniture and Equipment</w:t>
      </w:r>
      <w:r>
        <w:t>.  FPUC states that Account 3914</w:t>
      </w:r>
      <w:r w:rsidRPr="00591891">
        <w:t xml:space="preserve"> </w:t>
      </w:r>
      <w:r>
        <w:t xml:space="preserve">includes both general purpose and customized application software.  </w:t>
      </w:r>
      <w:r w:rsidRPr="006B6F17">
        <w:t xml:space="preserve">After a review of its various software, </w:t>
      </w:r>
      <w:r>
        <w:t xml:space="preserve">the Company </w:t>
      </w:r>
      <w:r w:rsidRPr="00591891">
        <w:t xml:space="preserve">determined that </w:t>
      </w:r>
      <w:r>
        <w:t xml:space="preserve">the more appropriate classification of </w:t>
      </w:r>
      <w:r w:rsidRPr="00591891">
        <w:t>certain customized software investment</w:t>
      </w:r>
      <w:r>
        <w:t>s that are</w:t>
      </w:r>
      <w:r w:rsidRPr="00591891">
        <w:t xml:space="preserve"> cu</w:t>
      </w:r>
      <w:r>
        <w:t>rrently recorded in Account 3914 is a</w:t>
      </w:r>
      <w:r w:rsidRPr="00591891">
        <w:t xml:space="preserve"> classifi</w:t>
      </w:r>
      <w:r>
        <w:t>cation</w:t>
      </w:r>
      <w:r w:rsidRPr="00591891">
        <w:t xml:space="preserve"> as intangible plant</w:t>
      </w:r>
      <w:r>
        <w:t xml:space="preserve">.  With this determination, </w:t>
      </w:r>
      <w:r w:rsidRPr="0065764F">
        <w:t xml:space="preserve">FPUC </w:t>
      </w:r>
      <w:r>
        <w:t xml:space="preserve">filed the instant Petition for </w:t>
      </w:r>
      <w:r w:rsidRPr="0065764F">
        <w:t xml:space="preserve">approval </w:t>
      </w:r>
      <w:r>
        <w:t>t</w:t>
      </w:r>
      <w:r w:rsidRPr="0065764F">
        <w:t xml:space="preserve">o establish </w:t>
      </w:r>
      <w:r>
        <w:t>a</w:t>
      </w:r>
      <w:r w:rsidRPr="0065764F">
        <w:t xml:space="preserve"> new </w:t>
      </w:r>
      <w:r>
        <w:t>Account 3031 − Miscellaneous Intangible Plant - 15 Years,</w:t>
      </w:r>
      <w:r w:rsidRPr="00FA5E21">
        <w:t xml:space="preserve"> </w:t>
      </w:r>
      <w:r>
        <w:t xml:space="preserve">as a </w:t>
      </w:r>
      <w:r w:rsidRPr="0065764F">
        <w:t>subaccoun</w:t>
      </w:r>
      <w:r>
        <w:t xml:space="preserve">t for </w:t>
      </w:r>
      <w:r w:rsidRPr="0065764F">
        <w:t>FERC Account 3</w:t>
      </w:r>
      <w:r>
        <w:t>030 − Miscellaneous Intangibles and, as implied in the account name, proposes using a 15-year amortization period for the new account.</w:t>
      </w:r>
    </w:p>
    <w:p w:rsidR="00A65CC5" w:rsidRDefault="00A65CC5" w:rsidP="00A65CC5">
      <w:pPr>
        <w:pStyle w:val="BodyText"/>
        <w:ind w:firstLine="720"/>
        <w:jc w:val="both"/>
      </w:pPr>
      <w:r w:rsidRPr="00A67A62">
        <w:t xml:space="preserve">The Company requests that the January 1, 2024 </w:t>
      </w:r>
      <w:r>
        <w:t xml:space="preserve">investment and reserve balances associated with </w:t>
      </w:r>
      <w:r w:rsidRPr="00A67A62">
        <w:t>the existing software customized for the s</w:t>
      </w:r>
      <w:r>
        <w:t xml:space="preserve">ole use of FPUC’s operations be </w:t>
      </w:r>
      <w:r w:rsidRPr="00A67A62">
        <w:t>reclassified from Account 3914 to Account 3031</w:t>
      </w:r>
      <w:r>
        <w:t xml:space="preserve">, </w:t>
      </w:r>
      <w:r w:rsidRPr="00A67A62">
        <w:t xml:space="preserve">and the associated net plant balance be </w:t>
      </w:r>
      <w:r>
        <w:t xml:space="preserve">amortized over 15 years.  FPUC </w:t>
      </w:r>
      <w:r w:rsidRPr="008E47D2">
        <w:t xml:space="preserve">has </w:t>
      </w:r>
      <w:r>
        <w:t xml:space="preserve">proposed </w:t>
      </w:r>
      <w:r w:rsidRPr="00A67A62">
        <w:t xml:space="preserve">an effective date of January 1, 2024, </w:t>
      </w:r>
      <w:r>
        <w:t>for commencement of the new subaccount</w:t>
      </w:r>
      <w:r w:rsidRPr="00A67A62">
        <w:t>, amortization periods, and transfers</w:t>
      </w:r>
      <w:r>
        <w:t xml:space="preserve"> of investment and reserve from </w:t>
      </w:r>
      <w:r w:rsidRPr="00A67A62">
        <w:t>Accounts 3914 to 303</w:t>
      </w:r>
      <w:r>
        <w:t>1.  Further, FPUC petitioned to establish a new Account 3032 −</w:t>
      </w:r>
      <w:r w:rsidRPr="00444D80">
        <w:t xml:space="preserve"> Miscellaneo</w:t>
      </w:r>
      <w:r>
        <w:t>us Intangible Plant</w:t>
      </w:r>
      <w:r w:rsidRPr="007F6091">
        <w:t xml:space="preserve"> </w:t>
      </w:r>
      <w:r>
        <w:t xml:space="preserve">with a 20-year amortization period, also as a </w:t>
      </w:r>
      <w:r w:rsidRPr="0065764F">
        <w:t>subaccoun</w:t>
      </w:r>
      <w:r>
        <w:t xml:space="preserve">t </w:t>
      </w:r>
      <w:r w:rsidRPr="008E47D2">
        <w:t xml:space="preserve">of </w:t>
      </w:r>
      <w:r w:rsidRPr="0065764F">
        <w:t>FERC Account 3</w:t>
      </w:r>
      <w:r>
        <w:t xml:space="preserve">030, for recording the Company’s </w:t>
      </w:r>
      <w:r w:rsidRPr="00444D80">
        <w:t xml:space="preserve">new </w:t>
      </w:r>
      <w:r>
        <w:t xml:space="preserve">software applications, including the </w:t>
      </w:r>
      <w:r w:rsidRPr="00FB3926">
        <w:t>Customer Information and Billing System</w:t>
      </w:r>
      <w:r>
        <w:t xml:space="preserve"> and the </w:t>
      </w:r>
      <w:r w:rsidRPr="00FB3926">
        <w:t>Enterprise Resource Planning system</w:t>
      </w:r>
      <w:r>
        <w:t xml:space="preserve">. FPUC </w:t>
      </w:r>
      <w:r w:rsidRPr="008E47D2">
        <w:t xml:space="preserve">has </w:t>
      </w:r>
      <w:r>
        <w:t>also requested a January 1, 2024 effective date for the new Account 3032.</w:t>
      </w:r>
    </w:p>
    <w:p w:rsidR="00A65CC5" w:rsidRDefault="00A65CC5" w:rsidP="00A65CC5">
      <w:pPr>
        <w:pStyle w:val="OrderBody"/>
        <w:ind w:firstLine="720"/>
      </w:pPr>
      <w:r>
        <w:t xml:space="preserve">We have </w:t>
      </w:r>
      <w:r w:rsidRPr="00780735">
        <w:t>jurisdiction over this matter pursuant to Sections 366.04, 366.05, and</w:t>
      </w:r>
      <w:r>
        <w:t xml:space="preserve"> </w:t>
      </w:r>
      <w:r w:rsidRPr="00780735">
        <w:t xml:space="preserve">366.06, </w:t>
      </w:r>
      <w:r w:rsidR="0097696E">
        <w:t>Florida Statutes (</w:t>
      </w:r>
      <w:r w:rsidRPr="00780735">
        <w:t>F</w:t>
      </w:r>
      <w:r>
        <w:t>.</w:t>
      </w:r>
      <w:r w:rsidRPr="00780735">
        <w:t>S</w:t>
      </w:r>
      <w:r>
        <w:t>.</w:t>
      </w:r>
      <w:r w:rsidR="0097696E">
        <w:t>).</w:t>
      </w:r>
    </w:p>
    <w:p w:rsidR="00A65CC5" w:rsidRPr="0097696E" w:rsidRDefault="0097696E" w:rsidP="0097696E">
      <w:pPr>
        <w:pStyle w:val="BodyText"/>
        <w:ind w:firstLine="720"/>
        <w:jc w:val="center"/>
        <w:rPr>
          <w:u w:val="single"/>
        </w:rPr>
      </w:pPr>
      <w:r w:rsidRPr="0097696E">
        <w:rPr>
          <w:u w:val="single"/>
        </w:rPr>
        <w:t>DECISION</w:t>
      </w:r>
    </w:p>
    <w:p w:rsidR="00837EB8" w:rsidRPr="00837EB8" w:rsidRDefault="00837EB8" w:rsidP="0097696E">
      <w:pPr>
        <w:pStyle w:val="BodyText"/>
        <w:ind w:firstLine="720"/>
        <w:jc w:val="both"/>
        <w:rPr>
          <w:u w:val="single"/>
        </w:rPr>
      </w:pPr>
      <w:r w:rsidRPr="00837EB8">
        <w:rPr>
          <w:u w:val="single"/>
        </w:rPr>
        <w:t>New regulatory subaccounts</w:t>
      </w:r>
    </w:p>
    <w:p w:rsidR="0097696E" w:rsidRDefault="0097696E" w:rsidP="0097696E">
      <w:pPr>
        <w:pStyle w:val="BodyText"/>
        <w:ind w:firstLine="720"/>
        <w:jc w:val="both"/>
      </w:pPr>
      <w:r>
        <w:t xml:space="preserve">Currently, </w:t>
      </w:r>
      <w:r w:rsidRPr="004C6DE0">
        <w:t>FPUC</w:t>
      </w:r>
      <w:r>
        <w:t xml:space="preserve"> records its</w:t>
      </w:r>
      <w:r w:rsidRPr="004C6DE0">
        <w:t xml:space="preserve"> capitalized software </w:t>
      </w:r>
      <w:r>
        <w:t xml:space="preserve">in the amortizable Account 3914 </w:t>
      </w:r>
      <w:r>
        <w:rPr>
          <w:bCs/>
        </w:rPr>
        <w:t xml:space="preserve">− </w:t>
      </w:r>
      <w:r w:rsidRPr="004C6DE0">
        <w:t>Computer</w:t>
      </w:r>
      <w:r>
        <w:t xml:space="preserve"> </w:t>
      </w:r>
      <w:r w:rsidRPr="004C6DE0">
        <w:t xml:space="preserve">Software, </w:t>
      </w:r>
      <w:r>
        <w:t xml:space="preserve">which is </w:t>
      </w:r>
      <w:r w:rsidRPr="004C6DE0">
        <w:t>a subaccount of Account 391</w:t>
      </w:r>
      <w:r>
        <w:t xml:space="preserve"> </w:t>
      </w:r>
      <w:r>
        <w:rPr>
          <w:bCs/>
        </w:rPr>
        <w:t>−</w:t>
      </w:r>
      <w:r w:rsidRPr="004C6DE0">
        <w:t xml:space="preserve"> Office Furniture and Equipme</w:t>
      </w:r>
      <w:r>
        <w:t>nt, with an approved 10-year</w:t>
      </w:r>
      <w:r w:rsidRPr="004C6DE0">
        <w:t xml:space="preserve"> amortization </w:t>
      </w:r>
      <w:r>
        <w:t xml:space="preserve">period (resulting in </w:t>
      </w:r>
      <w:r w:rsidRPr="00ED799E">
        <w:t xml:space="preserve">an annual amortization rate of </w:t>
      </w:r>
      <w:r>
        <w:t>10.0</w:t>
      </w:r>
      <w:r w:rsidRPr="00ED799E">
        <w:t xml:space="preserve"> percent</w:t>
      </w:r>
      <w:r>
        <w:t>).</w:t>
      </w:r>
      <w:r w:rsidRPr="004C6DE0">
        <w:t xml:space="preserve"> </w:t>
      </w:r>
      <w:r>
        <w:t xml:space="preserve"> </w:t>
      </w:r>
      <w:r w:rsidRPr="004C6DE0">
        <w:t>Thi</w:t>
      </w:r>
      <w:r>
        <w:t xml:space="preserve">s subaccount includes both general </w:t>
      </w:r>
      <w:r w:rsidRPr="004C6DE0">
        <w:t>purpose and customized application software.</w:t>
      </w:r>
      <w:r>
        <w:t xml:space="preserve"> After a review of its various types of software systems/platforms, FPUC determined that it would be more appropriate to reclassify certain </w:t>
      </w:r>
      <w:r w:rsidRPr="003E53C0">
        <w:t>highly customized software systems</w:t>
      </w:r>
      <w:r>
        <w:t xml:space="preserve">/platforms </w:t>
      </w:r>
      <w:r w:rsidRPr="003E53C0">
        <w:t>as intangible plant</w:t>
      </w:r>
      <w:r>
        <w:t xml:space="preserve"> and record them in a new subaccount for </w:t>
      </w:r>
      <w:r w:rsidRPr="007D3BD0">
        <w:t>FERC Account 3030 - Miscellaneous Intangibles</w:t>
      </w:r>
      <w:r>
        <w:t>.</w:t>
      </w:r>
      <w:r>
        <w:rPr>
          <w:rStyle w:val="FootnoteReference"/>
        </w:rPr>
        <w:footnoteReference w:id="2"/>
      </w:r>
      <w:r>
        <w:t xml:space="preserve">  Hence, FPUC </w:t>
      </w:r>
      <w:r w:rsidRPr="008E47D2">
        <w:t xml:space="preserve">has </w:t>
      </w:r>
      <w:r>
        <w:t xml:space="preserve">petitioned </w:t>
      </w:r>
      <w:r w:rsidR="00C73825">
        <w:t xml:space="preserve">us </w:t>
      </w:r>
      <w:r>
        <w:t>for approval to establish a new Account 3031</w:t>
      </w:r>
      <w:r w:rsidRPr="007D3BD0">
        <w:t xml:space="preserve"> </w:t>
      </w:r>
      <w:r>
        <w:rPr>
          <w:bCs/>
        </w:rPr>
        <w:t>−</w:t>
      </w:r>
      <w:r w:rsidRPr="007D3BD0">
        <w:t xml:space="preserve"> Miscellaneous Intangible</w:t>
      </w:r>
      <w:r>
        <w:t xml:space="preserve"> Plant - 15 Years and </w:t>
      </w:r>
      <w:r w:rsidRPr="008E47D2">
        <w:t xml:space="preserve">to change </w:t>
      </w:r>
      <w:r>
        <w:t>the existing 10-year amortization period to a 15-year</w:t>
      </w:r>
      <w:r w:rsidRPr="004C6DE0">
        <w:t xml:space="preserve"> amortization </w:t>
      </w:r>
      <w:r>
        <w:t>period (or</w:t>
      </w:r>
      <w:r w:rsidRPr="00ED799E">
        <w:t xml:space="preserve"> </w:t>
      </w:r>
      <w:r>
        <w:t xml:space="preserve">an </w:t>
      </w:r>
      <w:r w:rsidRPr="00ED799E">
        <w:t xml:space="preserve">annual amortization rate of </w:t>
      </w:r>
      <w:r>
        <w:t>6.7</w:t>
      </w:r>
      <w:r w:rsidRPr="00ED799E">
        <w:t xml:space="preserve"> percent</w:t>
      </w:r>
      <w:r>
        <w:t>) for the reclassified customized software systems/platforms</w:t>
      </w:r>
      <w:r w:rsidRPr="007D3BD0">
        <w:t>.</w:t>
      </w:r>
      <w:r>
        <w:t xml:space="preserve"> </w:t>
      </w:r>
    </w:p>
    <w:p w:rsidR="0097696E" w:rsidRDefault="0097696E" w:rsidP="003225A3">
      <w:pPr>
        <w:pStyle w:val="BodyText"/>
        <w:ind w:firstLine="720"/>
        <w:jc w:val="both"/>
      </w:pPr>
      <w:r>
        <w:t xml:space="preserve">There are four types of </w:t>
      </w:r>
      <w:r w:rsidRPr="00B855E4">
        <w:t xml:space="preserve">customized software systems/platforms </w:t>
      </w:r>
      <w:r>
        <w:t>that FPUC intends to reclassify as intangible plant and include in Account 3031:</w:t>
      </w:r>
    </w:p>
    <w:p w:rsidR="0097696E" w:rsidRDefault="0097696E" w:rsidP="0097696E">
      <w:pPr>
        <w:pStyle w:val="BodyText"/>
        <w:numPr>
          <w:ilvl w:val="0"/>
          <w:numId w:val="1"/>
        </w:numPr>
        <w:spacing w:after="240"/>
        <w:jc w:val="both"/>
      </w:pPr>
      <w:r>
        <w:lastRenderedPageBreak/>
        <w:t>The ArcGIS Enterprise Geographic Information System (GIS), which is a spatial system that manages and maps Florida’s natural gas assets (i.e., pipeline, valves, stations, etc.) along with all relative data. It also organizes and shares GIS data within the Company. This system has been in-service for about 10 years.</w:t>
      </w:r>
    </w:p>
    <w:p w:rsidR="0097696E" w:rsidRDefault="0097696E" w:rsidP="00C370B4">
      <w:pPr>
        <w:pStyle w:val="BodyText"/>
        <w:numPr>
          <w:ilvl w:val="0"/>
          <w:numId w:val="1"/>
        </w:numPr>
        <w:spacing w:after="240"/>
        <w:jc w:val="both"/>
      </w:pPr>
      <w:r>
        <w:t xml:space="preserve">The Convergence Gas Tracking System (GTS), which is a customized cloud-based software application used to manage the Company’s natural gas transportation and customer choice programs. Placed in-service in 2020, this system provides </w:t>
      </w:r>
      <w:r w:rsidRPr="00C30E1F">
        <w:t>e</w:t>
      </w:r>
      <w:r>
        <w:t>nh</w:t>
      </w:r>
      <w:r w:rsidRPr="00C30E1F">
        <w:t>anced</w:t>
      </w:r>
      <w:r>
        <w:t xml:space="preserve"> tracking, accounting, and billing features for natural gas transportation and customer choice programs and streamlines business processes</w:t>
      </w:r>
      <w:r w:rsidRPr="00C30E1F">
        <w:t xml:space="preserve"> with improved operational communications</w:t>
      </w:r>
      <w:r>
        <w:t xml:space="preserve">. </w:t>
      </w:r>
    </w:p>
    <w:p w:rsidR="00C370B4" w:rsidRPr="00C370B4" w:rsidRDefault="00C370B4" w:rsidP="00C370B4">
      <w:pPr>
        <w:pStyle w:val="BodyText"/>
        <w:numPr>
          <w:ilvl w:val="0"/>
          <w:numId w:val="1"/>
        </w:numPr>
        <w:jc w:val="both"/>
      </w:pPr>
      <w:r w:rsidRPr="00C370B4">
        <w:t>PowerPlan, which is a cloud-based fixed asset solution placed in service in 2020. It houses FPUC’s Capital Project Management that includes capital month end closing, Asset Depreciation, Lease Asset Management, Property Tax, and Tax Provisions.</w:t>
      </w:r>
    </w:p>
    <w:p w:rsidR="00C370B4" w:rsidRPr="00C370B4" w:rsidRDefault="00C370B4" w:rsidP="00C370B4">
      <w:pPr>
        <w:pStyle w:val="BodyText"/>
        <w:numPr>
          <w:ilvl w:val="0"/>
          <w:numId w:val="1"/>
        </w:numPr>
        <w:jc w:val="both"/>
      </w:pPr>
      <w:r w:rsidRPr="00C370B4">
        <w:t>Utilities International (UI), which is the budgeting and forecasting solution that was implemented in 2016 and is still in service.</w:t>
      </w:r>
    </w:p>
    <w:p w:rsidR="00C370B4" w:rsidRDefault="00C370B4" w:rsidP="003225A3">
      <w:pPr>
        <w:pStyle w:val="BodyText"/>
        <w:ind w:firstLine="720"/>
        <w:jc w:val="both"/>
      </w:pPr>
      <w:r>
        <w:t>FPUC explained that t</w:t>
      </w:r>
      <w:r w:rsidRPr="00034626">
        <w:t>hese software systems/platforms were purchased</w:t>
      </w:r>
      <w:r>
        <w:t>,</w:t>
      </w:r>
      <w:r w:rsidRPr="00034626">
        <w:t xml:space="preserve"> </w:t>
      </w:r>
      <w:r>
        <w:t>then</w:t>
      </w:r>
      <w:r w:rsidRPr="00034626">
        <w:t xml:space="preserve"> significantly modified by </w:t>
      </w:r>
      <w:r>
        <w:t xml:space="preserve">its parent </w:t>
      </w:r>
      <w:r w:rsidRPr="00034626">
        <w:t>company, Chesapeake Utilities Corporation (CUC), for</w:t>
      </w:r>
      <w:r>
        <w:t xml:space="preserve"> the sole use of CUC’s business </w:t>
      </w:r>
      <w:r w:rsidRPr="00034626">
        <w:t>entities to conduct and streamline utility operations.</w:t>
      </w:r>
      <w:r>
        <w:t xml:space="preserve">  </w:t>
      </w:r>
      <w:r w:rsidRPr="00034626">
        <w:t>Each bus</w:t>
      </w:r>
      <w:r>
        <w:t xml:space="preserve">iness unit is allocated a share </w:t>
      </w:r>
      <w:r w:rsidRPr="00034626">
        <w:t>of the total software costs.</w:t>
      </w:r>
      <w:r>
        <w:rPr>
          <w:rStyle w:val="FootnoteReference"/>
        </w:rPr>
        <w:footnoteReference w:id="3"/>
      </w:r>
      <w:r w:rsidRPr="00034626">
        <w:t xml:space="preserve"> </w:t>
      </w:r>
      <w:r w:rsidR="00C73825">
        <w:t>We</w:t>
      </w:r>
      <w:r>
        <w:t xml:space="preserve"> agree with the Company that, g</w:t>
      </w:r>
      <w:r w:rsidRPr="00034626">
        <w:t xml:space="preserve">iven the amount of internal </w:t>
      </w:r>
      <w:r>
        <w:t xml:space="preserve">development involved with these </w:t>
      </w:r>
      <w:r w:rsidRPr="00034626">
        <w:t xml:space="preserve">software </w:t>
      </w:r>
      <w:r>
        <w:t xml:space="preserve">systems/platforms and their intended CUC-specific </w:t>
      </w:r>
      <w:r w:rsidRPr="00034626">
        <w:t xml:space="preserve">applications, </w:t>
      </w:r>
      <w:r>
        <w:t xml:space="preserve">it is </w:t>
      </w:r>
      <w:r w:rsidRPr="00034626">
        <w:t xml:space="preserve">appropriate </w:t>
      </w:r>
      <w:r>
        <w:t xml:space="preserve">to </w:t>
      </w:r>
      <w:r w:rsidRPr="00216A58">
        <w:t xml:space="preserve">reclassify them as intangible </w:t>
      </w:r>
      <w:r>
        <w:t>asset</w:t>
      </w:r>
      <w:r w:rsidRPr="00216A58">
        <w:t xml:space="preserve">s and </w:t>
      </w:r>
      <w:r>
        <w:t>record</w:t>
      </w:r>
      <w:r w:rsidRPr="00216A58">
        <w:t xml:space="preserve"> </w:t>
      </w:r>
      <w:r>
        <w:t xml:space="preserve">them </w:t>
      </w:r>
      <w:r w:rsidRPr="00216A58">
        <w:t xml:space="preserve">in </w:t>
      </w:r>
      <w:r>
        <w:t xml:space="preserve">a </w:t>
      </w:r>
      <w:r w:rsidRPr="00216A58">
        <w:t xml:space="preserve">new Account 3031 </w:t>
      </w:r>
      <w:r w:rsidRPr="00216A58">
        <w:rPr>
          <w:bCs/>
        </w:rPr>
        <w:t>−</w:t>
      </w:r>
      <w:r w:rsidRPr="00216A58">
        <w:t xml:space="preserve"> Miscellaneous Intangible Plant</w:t>
      </w:r>
      <w:r>
        <w:t>.</w:t>
      </w:r>
    </w:p>
    <w:p w:rsidR="00C370B4" w:rsidRDefault="00C370B4" w:rsidP="003225A3">
      <w:pPr>
        <w:pStyle w:val="BodyText"/>
        <w:ind w:firstLine="720"/>
        <w:jc w:val="both"/>
      </w:pPr>
      <w:r>
        <w:t>As of December 31, 2023, FPUC’s respective amount of plant investment and amortization reserve of the Account 3914 was $7,029,521 and $3,347,879.</w:t>
      </w:r>
      <w:r>
        <w:rPr>
          <w:rStyle w:val="FootnoteReference"/>
        </w:rPr>
        <w:footnoteReference w:id="4"/>
      </w:r>
      <w:r>
        <w:t xml:space="preserve">  Of these amounts, FPUC’s total</w:t>
      </w:r>
      <w:r w:rsidRPr="005F04D8">
        <w:t xml:space="preserve"> plant and reserve</w:t>
      </w:r>
      <w:r>
        <w:t xml:space="preserve"> balance associated with the aforementioned </w:t>
      </w:r>
      <w:r w:rsidRPr="005F04D8">
        <w:t xml:space="preserve">four types of customized </w:t>
      </w:r>
      <w:r>
        <w:t xml:space="preserve">software systems/platforms was </w:t>
      </w:r>
      <w:r w:rsidRPr="00ED799E">
        <w:t>$2,657,582 and $745,627</w:t>
      </w:r>
      <w:r>
        <w:t>, respectively.</w:t>
      </w:r>
      <w:r>
        <w:rPr>
          <w:rStyle w:val="FootnoteReference"/>
        </w:rPr>
        <w:footnoteReference w:id="5"/>
      </w:r>
      <w:r>
        <w:t xml:space="preserve"> FPUC requests the reclassification of these customized software-related plant and reserve amounts from Account 3914 to Account 3031 and amortization of the unrecovered balance over 15 years, effective January 1, 2024, should the establishment of the new account be approved. </w:t>
      </w:r>
    </w:p>
    <w:p w:rsidR="00C370B4" w:rsidRPr="00651631" w:rsidRDefault="00C370B4" w:rsidP="003225A3">
      <w:pPr>
        <w:pStyle w:val="BodyText"/>
        <w:ind w:firstLine="720"/>
        <w:jc w:val="both"/>
      </w:pPr>
      <w:r>
        <w:t xml:space="preserve">FPUC explained that it proposed a 15-year amortization </w:t>
      </w:r>
      <w:r w:rsidRPr="00960B19">
        <w:t>period</w:t>
      </w:r>
      <w:r>
        <w:t xml:space="preserve"> (or an annual </w:t>
      </w:r>
      <w:r>
        <w:rPr>
          <w:bCs/>
        </w:rPr>
        <w:t>amortization rate of 6.7 percent)</w:t>
      </w:r>
      <w:r w:rsidRPr="00960B19">
        <w:t xml:space="preserve"> based on </w:t>
      </w:r>
      <w:r>
        <w:t xml:space="preserve">the age </w:t>
      </w:r>
      <w:r w:rsidRPr="00960B19">
        <w:t xml:space="preserve">and/or </w:t>
      </w:r>
      <w:r>
        <w:t>years in service of the existing software that will be recorded in Account 3031.</w:t>
      </w:r>
      <w:r>
        <w:rPr>
          <w:rStyle w:val="FootnoteReference"/>
        </w:rPr>
        <w:footnoteReference w:id="6"/>
      </w:r>
      <w:r>
        <w:t xml:space="preserve">  The Company also pointed out that the life span of </w:t>
      </w:r>
      <w:r w:rsidRPr="00960B19">
        <w:t>the</w:t>
      </w:r>
      <w:r>
        <w:t>se</w:t>
      </w:r>
      <w:r w:rsidRPr="00960B19">
        <w:t xml:space="preserve"> </w:t>
      </w:r>
      <w:r>
        <w:t xml:space="preserve">software-related </w:t>
      </w:r>
      <w:r w:rsidRPr="00960B19">
        <w:t xml:space="preserve">investments has normally exceeded the </w:t>
      </w:r>
      <w:r>
        <w:t>existing</w:t>
      </w:r>
      <w:r w:rsidRPr="00960B19">
        <w:t xml:space="preserve"> </w:t>
      </w:r>
      <w:r>
        <w:t xml:space="preserve">10-year </w:t>
      </w:r>
      <w:r w:rsidRPr="00960B19">
        <w:t>amor</w:t>
      </w:r>
      <w:r>
        <w:t xml:space="preserve">tization period established for </w:t>
      </w:r>
      <w:r w:rsidRPr="00960B19">
        <w:t>Account 3914 - Software.</w:t>
      </w:r>
      <w:r>
        <w:t xml:space="preserve"> We agree with FPUC that using a 15-year amortization period </w:t>
      </w:r>
      <w:r w:rsidRPr="00651631">
        <w:t>will better align the investments with their expected benefit period</w:t>
      </w:r>
      <w:r>
        <w:t>,</w:t>
      </w:r>
      <w:r w:rsidRPr="00651631">
        <w:t xml:space="preserve"> given the current age of this software and how long the previous</w:t>
      </w:r>
      <w:r>
        <w:t>ly</w:t>
      </w:r>
      <w:r w:rsidRPr="00651631">
        <w:t xml:space="preserve"> installed software was in service</w:t>
      </w:r>
      <w:r>
        <w:t xml:space="preserve">. FPUC’s proposed </w:t>
      </w:r>
      <w:r>
        <w:lastRenderedPageBreak/>
        <w:t>amortization period/rate is in line with our prior orders which authorize a 15-year amortization period for miscellaneous intangible plant accounts</w:t>
      </w:r>
      <w:r w:rsidRPr="00651631">
        <w:t>.</w:t>
      </w:r>
      <w:r>
        <w:rPr>
          <w:rStyle w:val="FootnoteReference"/>
        </w:rPr>
        <w:footnoteReference w:id="7"/>
      </w:r>
    </w:p>
    <w:p w:rsidR="00C370B4" w:rsidRDefault="00C370B4" w:rsidP="003225A3">
      <w:pPr>
        <w:pStyle w:val="BodyText"/>
        <w:ind w:firstLine="720"/>
        <w:jc w:val="both"/>
      </w:pPr>
      <w:r>
        <w:t>In its Petition, FPUC further claimed that using a 15-year, instead of a 10-year, amortization</w:t>
      </w:r>
      <w:r w:rsidRPr="002D00C8">
        <w:t xml:space="preserve"> period </w:t>
      </w:r>
      <w:r>
        <w:t xml:space="preserve">for these software systems/platforms </w:t>
      </w:r>
      <w:r w:rsidRPr="002D00C8">
        <w:t xml:space="preserve">will provide </w:t>
      </w:r>
      <w:r>
        <w:t xml:space="preserve">the </w:t>
      </w:r>
      <w:r w:rsidRPr="002D00C8">
        <w:t>benefit of decreasing the reven</w:t>
      </w:r>
      <w:r>
        <w:t>ue requirement when the Company’</w:t>
      </w:r>
      <w:r w:rsidRPr="002D00C8">
        <w:t>s base rates are next</w:t>
      </w:r>
      <w:r>
        <w:t xml:space="preserve"> </w:t>
      </w:r>
      <w:r w:rsidRPr="002D00C8">
        <w:t>set.</w:t>
      </w:r>
      <w:r w:rsidRPr="00651631">
        <w:rPr>
          <w:vertAlign w:val="superscript"/>
        </w:rPr>
        <w:footnoteReference w:id="8"/>
      </w:r>
      <w:r w:rsidRPr="002D00C8">
        <w:t xml:space="preserve"> </w:t>
      </w:r>
      <w:r>
        <w:t xml:space="preserve"> T</w:t>
      </w:r>
      <w:r w:rsidRPr="002D00C8">
        <w:t xml:space="preserve">he associated annual </w:t>
      </w:r>
      <w:r>
        <w:t>amortiz</w:t>
      </w:r>
      <w:r w:rsidRPr="002D00C8">
        <w:t>ation expenses for these investments will decrease</w:t>
      </w:r>
      <w:r>
        <w:t xml:space="preserve"> </w:t>
      </w:r>
      <w:r w:rsidRPr="002D00C8">
        <w:t>by almost $88,000</w:t>
      </w:r>
      <w:r>
        <w:t>, as reflected in Table 1 below:</w:t>
      </w:r>
    </w:p>
    <w:p w:rsidR="00C370B4" w:rsidRDefault="00C370B4" w:rsidP="00C370B4">
      <w:pPr>
        <w:pStyle w:val="BodyText"/>
        <w:spacing w:after="0"/>
      </w:pPr>
      <w:r w:rsidRPr="00DD1302">
        <w:rPr>
          <w:noProof/>
        </w:rPr>
        <w:drawing>
          <wp:inline distT="0" distB="0" distL="0" distR="0" wp14:anchorId="65EF29B8" wp14:editId="23205369">
            <wp:extent cx="5943600" cy="1373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73114"/>
                    </a:xfrm>
                    <a:prstGeom prst="rect">
                      <a:avLst/>
                    </a:prstGeom>
                    <a:noFill/>
                    <a:ln>
                      <a:noFill/>
                    </a:ln>
                  </pic:spPr>
                </pic:pic>
              </a:graphicData>
            </a:graphic>
          </wp:inline>
        </w:drawing>
      </w:r>
    </w:p>
    <w:p w:rsidR="00C370B4" w:rsidRDefault="00C370B4" w:rsidP="00C370B4">
      <w:pPr>
        <w:pStyle w:val="BodyText"/>
        <w:spacing w:after="0"/>
        <w:ind w:left="360" w:hanging="360"/>
      </w:pPr>
    </w:p>
    <w:p w:rsidR="00C370B4" w:rsidRDefault="00C370B4" w:rsidP="00C370B4">
      <w:pPr>
        <w:pStyle w:val="BodyText"/>
        <w:ind w:firstLine="720"/>
        <w:jc w:val="both"/>
      </w:pPr>
      <w:r>
        <w:t>In its Petition, FPUC acknowledged that its parent company, C</w:t>
      </w:r>
      <w:r w:rsidRPr="00CC2A60">
        <w:t>UC</w:t>
      </w:r>
      <w:r>
        <w:t xml:space="preserve">, is in the </w:t>
      </w:r>
      <w:r w:rsidRPr="00CC2A60">
        <w:t>process of consolidating the</w:t>
      </w:r>
      <w:r>
        <w:t xml:space="preserve"> various customer billing and management </w:t>
      </w:r>
      <w:r w:rsidRPr="00CC2A60">
        <w:t xml:space="preserve">system platforms of its divisions in Florida, Delaware, and Maryland </w:t>
      </w:r>
      <w:r w:rsidRPr="008E47D2">
        <w:t>in</w:t>
      </w:r>
      <w:r w:rsidRPr="00CC2A60">
        <w:t>to</w:t>
      </w:r>
      <w:r w:rsidR="00347CF0">
        <w:t xml:space="preserve"> </w:t>
      </w:r>
      <w:r w:rsidRPr="00CC2A60">
        <w:t>one platform</w:t>
      </w:r>
      <w:r>
        <w:t>.</w:t>
      </w:r>
      <w:r>
        <w:rPr>
          <w:rStyle w:val="FootnoteReference"/>
        </w:rPr>
        <w:footnoteReference w:id="9"/>
      </w:r>
      <w:r w:rsidR="00347CF0">
        <w:t xml:space="preserve">  </w:t>
      </w:r>
      <w:r>
        <w:t xml:space="preserve">Initially, FPUC indicated that the </w:t>
      </w:r>
      <w:r w:rsidRPr="00CC2A60">
        <w:t>Customer Information and Billing System</w:t>
      </w:r>
      <w:r>
        <w:t xml:space="preserve"> (</w:t>
      </w:r>
      <w:r w:rsidRPr="00CC2A60">
        <w:t>CIS</w:t>
      </w:r>
      <w:r>
        <w:t>)</w:t>
      </w:r>
      <w:r w:rsidRPr="00CC2A60">
        <w:t xml:space="preserve"> and Enterprise Resource Planning system</w:t>
      </w:r>
      <w:r>
        <w:t xml:space="preserve"> (</w:t>
      </w:r>
      <w:r w:rsidRPr="00CC2A60">
        <w:t>ERP</w:t>
      </w:r>
      <w:r>
        <w:t>)</w:t>
      </w:r>
      <w:r w:rsidRPr="00CC2A60">
        <w:t xml:space="preserve"> are expected to b</w:t>
      </w:r>
      <w:r>
        <w:t xml:space="preserve">e operational in 2025 and 2026, </w:t>
      </w:r>
      <w:r w:rsidRPr="00CC2A60">
        <w:t>respectively.</w:t>
      </w:r>
      <w:r>
        <w:t xml:space="preserve"> </w:t>
      </w:r>
      <w:r w:rsidR="00347CF0">
        <w:t xml:space="preserve"> </w:t>
      </w:r>
      <w:r>
        <w:t xml:space="preserve">However, the Company </w:t>
      </w:r>
      <w:r w:rsidR="00347CF0">
        <w:t xml:space="preserve">now has advised that </w:t>
      </w:r>
      <w:r>
        <w:t xml:space="preserve">CIS is </w:t>
      </w:r>
      <w:r w:rsidRPr="004A002A">
        <w:t>scheduled to go live in 2024</w:t>
      </w:r>
      <w:r>
        <w:t>.</w:t>
      </w:r>
      <w:r>
        <w:rPr>
          <w:rStyle w:val="FootnoteReference"/>
        </w:rPr>
        <w:footnoteReference w:id="10"/>
      </w:r>
    </w:p>
    <w:p w:rsidR="00C370B4" w:rsidRDefault="00C370B4" w:rsidP="00347CF0">
      <w:pPr>
        <w:pStyle w:val="BodyText"/>
        <w:ind w:firstLine="720"/>
        <w:jc w:val="both"/>
      </w:pPr>
      <w:r>
        <w:t>FPUC explained the potential functions and advantages of the CIS and ERP, including the fact that both of them are cloud-</w:t>
      </w:r>
      <w:r w:rsidRPr="00B047C2">
        <w:t>based a</w:t>
      </w:r>
      <w:r>
        <w:t xml:space="preserve">nd will continuously be updated </w:t>
      </w:r>
      <w:r w:rsidRPr="00B047C2">
        <w:t>and maintained</w:t>
      </w:r>
      <w:r>
        <w:t>:</w:t>
      </w:r>
      <w:r>
        <w:rPr>
          <w:rStyle w:val="FootnoteReference"/>
        </w:rPr>
        <w:footnoteReference w:id="11"/>
      </w:r>
    </w:p>
    <w:p w:rsidR="00C370B4" w:rsidRDefault="00C370B4" w:rsidP="00C370B4">
      <w:pPr>
        <w:pStyle w:val="BodyText"/>
        <w:ind w:left="720" w:right="720"/>
        <w:jc w:val="both"/>
      </w:pPr>
      <w:r>
        <w:t xml:space="preserve">CIS will be capable of </w:t>
      </w:r>
      <w:r w:rsidRPr="00A975AC">
        <w:t>providing enhanced accounting tools, cross-functional communication, data</w:t>
      </w:r>
      <w:r>
        <w:t xml:space="preserve"> </w:t>
      </w:r>
      <w:r w:rsidRPr="00A975AC">
        <w:t>tracking and analyses, and other business pro</w:t>
      </w:r>
      <w:r>
        <w:t>cesses in the areas of customer ser</w:t>
      </w:r>
      <w:r w:rsidRPr="00A975AC">
        <w:t>vice, billing and information, financial perfo</w:t>
      </w:r>
      <w:r>
        <w:t xml:space="preserve">rmance, supply chain/inventory, </w:t>
      </w:r>
      <w:r w:rsidRPr="00A975AC">
        <w:t xml:space="preserve">human resources, and asset management. </w:t>
      </w:r>
      <w:r w:rsidR="00347CF0">
        <w:t xml:space="preserve"> </w:t>
      </w:r>
      <w:r w:rsidRPr="00A975AC">
        <w:t xml:space="preserve">Additionally, it will provide </w:t>
      </w:r>
      <w:r>
        <w:t xml:space="preserve">a more </w:t>
      </w:r>
      <w:r w:rsidRPr="00A975AC">
        <w:t>flexible platform for enhancing the customer experi</w:t>
      </w:r>
      <w:r>
        <w:t xml:space="preserve">ence with a new set of customer </w:t>
      </w:r>
      <w:r w:rsidRPr="00A975AC">
        <w:t>service and communication tools</w:t>
      </w:r>
      <w:r>
        <w:t>.</w:t>
      </w:r>
    </w:p>
    <w:p w:rsidR="00C370B4" w:rsidRDefault="00C370B4" w:rsidP="00C370B4">
      <w:pPr>
        <w:pStyle w:val="BodyText"/>
        <w:ind w:left="720" w:right="720"/>
        <w:jc w:val="both"/>
      </w:pPr>
      <w:r w:rsidRPr="00A975AC">
        <w:t>ERP is a type of</w:t>
      </w:r>
      <w:r>
        <w:t xml:space="preserve"> </w:t>
      </w:r>
      <w:r w:rsidRPr="00A975AC">
        <w:t>business management software that includes pr</w:t>
      </w:r>
      <w:r>
        <w:t xml:space="preserve">ocurement, cash management, and </w:t>
      </w:r>
      <w:r w:rsidRPr="00A975AC">
        <w:t>the general ledger in an integrated system.</w:t>
      </w:r>
      <w:r>
        <w:t xml:space="preserve"> </w:t>
      </w:r>
      <w:r w:rsidR="00347CF0">
        <w:t xml:space="preserve"> </w:t>
      </w:r>
      <w:r>
        <w:t xml:space="preserve">[Its benefits] include </w:t>
      </w:r>
      <w:r w:rsidRPr="00B047C2">
        <w:t>improved reporting; increased productivity,</w:t>
      </w:r>
      <w:r>
        <w:t xml:space="preserve"> efficiency, and integration of </w:t>
      </w:r>
      <w:r w:rsidRPr="00B047C2">
        <w:t>information; faster responses to inquiries an</w:t>
      </w:r>
      <w:r>
        <w:t xml:space="preserve">d better customer satisfaction; </w:t>
      </w:r>
      <w:r w:rsidRPr="00B047C2">
        <w:lastRenderedPageBreak/>
        <w:t>standardization and centralization of data that is secure and reliable</w:t>
      </w:r>
      <w:r>
        <w:t xml:space="preserve">; reduced </w:t>
      </w:r>
      <w:r w:rsidRPr="00B047C2">
        <w:t>processing time; better decision making and higher r</w:t>
      </w:r>
      <w:r>
        <w:t xml:space="preserve">eturn on investment; and better </w:t>
      </w:r>
      <w:r w:rsidRPr="00B047C2">
        <w:t>communication and increased sharing of in</w:t>
      </w:r>
      <w:r>
        <w:t>formation across different depart</w:t>
      </w:r>
      <w:r w:rsidRPr="00B047C2">
        <w:t>ments.</w:t>
      </w:r>
    </w:p>
    <w:p w:rsidR="00C370B4" w:rsidRDefault="00C370B4" w:rsidP="00347CF0">
      <w:pPr>
        <w:pStyle w:val="BodyText"/>
        <w:ind w:firstLine="720"/>
        <w:jc w:val="both"/>
      </w:pPr>
      <w:r>
        <w:t xml:space="preserve">The estimate of FPUC’s </w:t>
      </w:r>
      <w:r w:rsidRPr="0045572D">
        <w:t xml:space="preserve">portion of the </w:t>
      </w:r>
      <w:r>
        <w:t xml:space="preserve">costs associated with these </w:t>
      </w:r>
      <w:r w:rsidRPr="0045572D">
        <w:t xml:space="preserve">two </w:t>
      </w:r>
      <w:r>
        <w:t xml:space="preserve">new software systems is approximately $20 million. </w:t>
      </w:r>
      <w:r w:rsidR="00347CF0">
        <w:t xml:space="preserve"> </w:t>
      </w:r>
      <w:r w:rsidRPr="0045572D">
        <w:t xml:space="preserve">The allocations </w:t>
      </w:r>
      <w:r>
        <w:t>of the</w:t>
      </w:r>
      <w:r w:rsidRPr="0045572D">
        <w:t xml:space="preserve"> CIS and ERP</w:t>
      </w:r>
      <w:r>
        <w:t>-related</w:t>
      </w:r>
      <w:r w:rsidRPr="0045572D">
        <w:t xml:space="preserve"> cost</w:t>
      </w:r>
      <w:r>
        <w:t>s</w:t>
      </w:r>
      <w:r w:rsidRPr="0045572D">
        <w:t xml:space="preserve"> will be based on the number of customers and</w:t>
      </w:r>
      <w:r>
        <w:t xml:space="preserve"> a</w:t>
      </w:r>
      <w:r w:rsidRPr="0045572D">
        <w:t xml:space="preserve"> </w:t>
      </w:r>
      <w:r>
        <w:t xml:space="preserve">multi-factors </w:t>
      </w:r>
      <w:r w:rsidRPr="00222C19">
        <w:t>Distrigas allocation method</w:t>
      </w:r>
      <w:r>
        <w:t xml:space="preserve">, </w:t>
      </w:r>
      <w:r w:rsidRPr="008E47D2">
        <w:t>respectively.</w:t>
      </w:r>
      <w:r>
        <w:rPr>
          <w:rStyle w:val="FootnoteReference"/>
        </w:rPr>
        <w:footnoteReference w:id="12"/>
      </w:r>
    </w:p>
    <w:p w:rsidR="00C370B4" w:rsidRPr="00360E7F" w:rsidRDefault="00C370B4" w:rsidP="00347CF0">
      <w:pPr>
        <w:pStyle w:val="BodyText"/>
        <w:ind w:firstLine="720"/>
        <w:jc w:val="both"/>
      </w:pPr>
      <w:r>
        <w:t xml:space="preserve">To record the plant investment associated with the CIS and ERP, FPUC </w:t>
      </w:r>
      <w:r w:rsidRPr="008E47D2">
        <w:t>has requested</w:t>
      </w:r>
      <w:r>
        <w:t xml:space="preserve"> to establish a new subaccount</w:t>
      </w:r>
      <w:r w:rsidRPr="00585579">
        <w:t xml:space="preserve"> of FERC Account 3030 </w:t>
      </w:r>
      <w:r w:rsidRPr="00585579">
        <w:rPr>
          <w:bCs/>
        </w:rPr>
        <w:t>−</w:t>
      </w:r>
      <w:r w:rsidRPr="00585579">
        <w:t xml:space="preserve"> Miscellaneous Intangibles</w:t>
      </w:r>
      <w:r>
        <w:t>,</w:t>
      </w:r>
      <w:r w:rsidRPr="00585579">
        <w:t xml:space="preserve"> </w:t>
      </w:r>
      <w:r>
        <w:t>Account 3032</w:t>
      </w:r>
      <w:r w:rsidRPr="00585579">
        <w:t xml:space="preserve"> </w:t>
      </w:r>
      <w:r w:rsidRPr="00585579">
        <w:rPr>
          <w:bCs/>
        </w:rPr>
        <w:t>−</w:t>
      </w:r>
      <w:r w:rsidRPr="00585579">
        <w:t xml:space="preserve"> Miscellaneous Intangibles</w:t>
      </w:r>
      <w:r>
        <w:t>; and proposed</w:t>
      </w:r>
      <w:r w:rsidRPr="00585579">
        <w:t xml:space="preserve"> a </w:t>
      </w:r>
      <w:r>
        <w:t>20</w:t>
      </w:r>
      <w:r w:rsidRPr="00585579">
        <w:t>-year amortization period resultin</w:t>
      </w:r>
      <w:r>
        <w:t>g in</w:t>
      </w:r>
      <w:r w:rsidRPr="00585579">
        <w:t xml:space="preserve"> an annual amortization rate of </w:t>
      </w:r>
      <w:r>
        <w:t>5.0</w:t>
      </w:r>
      <w:r w:rsidRPr="00585579">
        <w:t xml:space="preserve"> percent.</w:t>
      </w:r>
      <w:r>
        <w:t xml:space="preserve"> </w:t>
      </w:r>
      <w:r w:rsidR="00347CF0">
        <w:t xml:space="preserve"> </w:t>
      </w:r>
      <w:r>
        <w:t>FPUC’s existing software systems being replaced by the CIS and ERP have been in service for more than 20 years, which indicates that these types of software investments are likely to have a much longer useful period of service.</w:t>
      </w:r>
      <w:r>
        <w:rPr>
          <w:rStyle w:val="FootnoteReference"/>
        </w:rPr>
        <w:footnoteReference w:id="13"/>
      </w:r>
    </w:p>
    <w:p w:rsidR="00C370B4" w:rsidRDefault="00347CF0" w:rsidP="00347CF0">
      <w:pPr>
        <w:pStyle w:val="BodyText"/>
        <w:ind w:firstLine="720"/>
        <w:jc w:val="both"/>
      </w:pPr>
      <w:r>
        <w:t xml:space="preserve">We find </w:t>
      </w:r>
      <w:r w:rsidR="00C370B4">
        <w:t>that FPUC’s proposed Account 3032</w:t>
      </w:r>
      <w:r w:rsidR="00C370B4" w:rsidRPr="00585579">
        <w:t xml:space="preserve"> </w:t>
      </w:r>
      <w:r w:rsidR="00C370B4">
        <w:rPr>
          <w:bCs/>
        </w:rPr>
        <w:t>with</w:t>
      </w:r>
      <w:r w:rsidR="00C370B4" w:rsidRPr="00585579">
        <w:t xml:space="preserve"> </w:t>
      </w:r>
      <w:r w:rsidR="00C370B4">
        <w:t>a 20</w:t>
      </w:r>
      <w:r w:rsidR="00C370B4" w:rsidRPr="00585579">
        <w:t xml:space="preserve">-year amortization period </w:t>
      </w:r>
      <w:r w:rsidR="00C370B4">
        <w:t>(</w:t>
      </w:r>
      <w:r w:rsidR="00C370B4" w:rsidRPr="00585579">
        <w:t xml:space="preserve">amortization rate of </w:t>
      </w:r>
      <w:r w:rsidR="00C370B4">
        <w:t>5.0</w:t>
      </w:r>
      <w:r w:rsidR="00C370B4" w:rsidRPr="00585579">
        <w:t xml:space="preserve"> percent</w:t>
      </w:r>
      <w:r w:rsidR="00C370B4">
        <w:t>) is reasonable. This plant asset classification and the associated amortization rate are</w:t>
      </w:r>
      <w:r w:rsidR="00C370B4" w:rsidRPr="00597BCD">
        <w:t xml:space="preserve"> consistent with </w:t>
      </w:r>
      <w:r>
        <w:t>our</w:t>
      </w:r>
      <w:r w:rsidR="00C370B4">
        <w:t xml:space="preserve"> prior orders</w:t>
      </w:r>
      <w:r w:rsidR="00C370B4" w:rsidRPr="00597BCD">
        <w:t>.</w:t>
      </w:r>
      <w:r w:rsidR="00C370B4">
        <w:rPr>
          <w:rStyle w:val="FootnoteReference"/>
        </w:rPr>
        <w:footnoteReference w:id="14"/>
      </w:r>
    </w:p>
    <w:p w:rsidR="00C370B4" w:rsidRDefault="00C370B4" w:rsidP="00347CF0">
      <w:pPr>
        <w:pStyle w:val="BodyText"/>
        <w:ind w:firstLine="720"/>
        <w:jc w:val="both"/>
        <w:rPr>
          <w:bCs/>
        </w:rPr>
      </w:pPr>
      <w:r>
        <w:t>For the reasons outlined in this</w:t>
      </w:r>
      <w:r w:rsidRPr="00230BDC">
        <w:t xml:space="preserve"> analysis</w:t>
      </w:r>
      <w:r>
        <w:t>,</w:t>
      </w:r>
      <w:r w:rsidRPr="00230BDC">
        <w:t xml:space="preserve"> </w:t>
      </w:r>
      <w:r w:rsidR="00347CF0">
        <w:t xml:space="preserve">we approve </w:t>
      </w:r>
      <w:r>
        <w:t>FPUC</w:t>
      </w:r>
      <w:r w:rsidRPr="00230BDC">
        <w:t xml:space="preserve">’s </w:t>
      </w:r>
      <w:r>
        <w:t>petition</w:t>
      </w:r>
      <w:r w:rsidRPr="00230BDC">
        <w:t xml:space="preserve"> </w:t>
      </w:r>
      <w:r>
        <w:t xml:space="preserve">for </w:t>
      </w:r>
      <w:r w:rsidRPr="00230BDC">
        <w:t>establish</w:t>
      </w:r>
      <w:r>
        <w:t>ing</w:t>
      </w:r>
      <w:r w:rsidRPr="00230BDC">
        <w:t xml:space="preserve"> </w:t>
      </w:r>
      <w:r w:rsidRPr="00230BDC">
        <w:rPr>
          <w:bCs/>
        </w:rPr>
        <w:t xml:space="preserve">two </w:t>
      </w:r>
      <w:r>
        <w:rPr>
          <w:bCs/>
        </w:rPr>
        <w:t xml:space="preserve">new </w:t>
      </w:r>
      <w:r w:rsidRPr="00230BDC">
        <w:rPr>
          <w:bCs/>
        </w:rPr>
        <w:t>subaccount</w:t>
      </w:r>
      <w:r>
        <w:rPr>
          <w:bCs/>
        </w:rPr>
        <w:t xml:space="preserve">s for </w:t>
      </w:r>
      <w:r w:rsidRPr="00230BDC">
        <w:rPr>
          <w:bCs/>
        </w:rPr>
        <w:t>FERC Account 3030 − Miscellaneous Intangibles: Account 3031 −</w:t>
      </w:r>
      <w:r>
        <w:rPr>
          <w:bCs/>
        </w:rPr>
        <w:t xml:space="preserve"> Miscellaneous Intangible Plant - 15 Years, with </w:t>
      </w:r>
      <w:r w:rsidRPr="00230BDC">
        <w:rPr>
          <w:bCs/>
        </w:rPr>
        <w:t>a 15-year amortization</w:t>
      </w:r>
      <w:r>
        <w:rPr>
          <w:bCs/>
        </w:rPr>
        <w:t xml:space="preserve"> period (annual amortization rate of 6.7 percent), </w:t>
      </w:r>
      <w:r w:rsidRPr="00230BDC">
        <w:rPr>
          <w:bCs/>
        </w:rPr>
        <w:t>and Account 3032 − Miscellaneous Intangible Plant</w:t>
      </w:r>
      <w:r>
        <w:rPr>
          <w:bCs/>
        </w:rPr>
        <w:t xml:space="preserve"> - 20 Years, with </w:t>
      </w:r>
      <w:r w:rsidRPr="00230BDC">
        <w:rPr>
          <w:bCs/>
        </w:rPr>
        <w:t xml:space="preserve">a 20-year amortization </w:t>
      </w:r>
      <w:r>
        <w:rPr>
          <w:bCs/>
        </w:rPr>
        <w:t xml:space="preserve">period (annual amortization </w:t>
      </w:r>
      <w:r w:rsidRPr="00230BDC">
        <w:rPr>
          <w:bCs/>
        </w:rPr>
        <w:t>rate</w:t>
      </w:r>
      <w:r>
        <w:rPr>
          <w:bCs/>
        </w:rPr>
        <w:t xml:space="preserve"> of 0.5 percent). </w:t>
      </w:r>
      <w:r w:rsidR="00347CF0">
        <w:rPr>
          <w:bCs/>
        </w:rPr>
        <w:t xml:space="preserve"> </w:t>
      </w:r>
      <w:r>
        <w:rPr>
          <w:bCs/>
        </w:rPr>
        <w:t xml:space="preserve">Further, </w:t>
      </w:r>
      <w:r w:rsidR="002A3AD1">
        <w:rPr>
          <w:bCs/>
        </w:rPr>
        <w:t xml:space="preserve">we </w:t>
      </w:r>
      <w:r w:rsidR="00347CF0">
        <w:rPr>
          <w:bCs/>
        </w:rPr>
        <w:t xml:space="preserve">approve </w:t>
      </w:r>
      <w:r>
        <w:rPr>
          <w:bCs/>
        </w:rPr>
        <w:t xml:space="preserve">FPUC’s request to reclassify its </w:t>
      </w:r>
      <w:r w:rsidRPr="00261876">
        <w:rPr>
          <w:bCs/>
        </w:rPr>
        <w:t>customized software systems/platforms</w:t>
      </w:r>
      <w:r>
        <w:rPr>
          <w:bCs/>
        </w:rPr>
        <w:t xml:space="preserve">-related </w:t>
      </w:r>
      <w:r w:rsidRPr="00261876">
        <w:rPr>
          <w:bCs/>
        </w:rPr>
        <w:t>plant and reserve</w:t>
      </w:r>
      <w:r>
        <w:rPr>
          <w:bCs/>
        </w:rPr>
        <w:t>, in th</w:t>
      </w:r>
      <w:r w:rsidRPr="00261876">
        <w:rPr>
          <w:bCs/>
        </w:rPr>
        <w:t>e amounts</w:t>
      </w:r>
      <w:r>
        <w:rPr>
          <w:bCs/>
        </w:rPr>
        <w:t xml:space="preserve"> of </w:t>
      </w:r>
      <w:r w:rsidRPr="00261876">
        <w:rPr>
          <w:bCs/>
        </w:rPr>
        <w:t>$2,657,582 and $745,627, respectively</w:t>
      </w:r>
      <w:r>
        <w:rPr>
          <w:bCs/>
        </w:rPr>
        <w:t>,</w:t>
      </w:r>
      <w:r w:rsidRPr="00261876">
        <w:rPr>
          <w:bCs/>
        </w:rPr>
        <w:t xml:space="preserve"> from</w:t>
      </w:r>
      <w:r>
        <w:rPr>
          <w:bCs/>
        </w:rPr>
        <w:t xml:space="preserve"> </w:t>
      </w:r>
      <w:r w:rsidRPr="00261876">
        <w:rPr>
          <w:bCs/>
        </w:rPr>
        <w:t xml:space="preserve">Account 3914 to </w:t>
      </w:r>
      <w:r>
        <w:rPr>
          <w:bCs/>
        </w:rPr>
        <w:t xml:space="preserve">the </w:t>
      </w:r>
      <w:r w:rsidRPr="00261876">
        <w:rPr>
          <w:bCs/>
        </w:rPr>
        <w:t>new Account 3031</w:t>
      </w:r>
      <w:r>
        <w:rPr>
          <w:bCs/>
        </w:rPr>
        <w:t>.</w:t>
      </w:r>
    </w:p>
    <w:p w:rsidR="002A3AD1" w:rsidRPr="002A3AD1" w:rsidRDefault="00FE5B09" w:rsidP="00320483">
      <w:pPr>
        <w:pStyle w:val="BodyText"/>
        <w:ind w:firstLine="720"/>
        <w:jc w:val="both"/>
        <w:rPr>
          <w:u w:val="single"/>
        </w:rPr>
      </w:pPr>
      <w:r>
        <w:rPr>
          <w:u w:val="single"/>
        </w:rPr>
        <w:t>Effective date</w:t>
      </w:r>
    </w:p>
    <w:p w:rsidR="00320483" w:rsidRDefault="00320483" w:rsidP="00320483">
      <w:pPr>
        <w:pStyle w:val="BodyText"/>
        <w:ind w:firstLine="720"/>
        <w:jc w:val="both"/>
      </w:pPr>
      <w:r>
        <w:t>Depreciation</w:t>
      </w:r>
      <w:r w:rsidRPr="000C0AB3">
        <w:t xml:space="preserve"> </w:t>
      </w:r>
      <w:r>
        <w:t xml:space="preserve">and/or </w:t>
      </w:r>
      <w:r w:rsidRPr="000C0AB3">
        <w:t>Amortization is the recovery of invested capital representing equipment that is providing service to the public.</w:t>
      </w:r>
      <w:r>
        <w:t xml:space="preserve">  </w:t>
      </w:r>
      <w:r w:rsidRPr="000C0AB3">
        <w:t xml:space="preserve">This recovery is designed to take place over the related period of service to the public, which begins with the equipment’s in-service date. </w:t>
      </w:r>
    </w:p>
    <w:p w:rsidR="00320483" w:rsidRDefault="00320483" w:rsidP="00320483">
      <w:pPr>
        <w:pStyle w:val="BodyText"/>
        <w:ind w:firstLine="720"/>
        <w:jc w:val="both"/>
        <w:rPr>
          <w:bCs/>
        </w:rPr>
      </w:pPr>
      <w:r>
        <w:t xml:space="preserve">If new subaccounts are approved, </w:t>
      </w:r>
      <w:r>
        <w:rPr>
          <w:bCs/>
        </w:rPr>
        <w:t>FPUC’s customized software systems/platforms that are currently booked in Account 391,</w:t>
      </w:r>
      <w:r w:rsidR="003225A3">
        <w:rPr>
          <w:bCs/>
        </w:rPr>
        <w:t xml:space="preserve"> with a 10-year amortization period, </w:t>
      </w:r>
      <w:r>
        <w:t>would be reclassified to n</w:t>
      </w:r>
      <w:r w:rsidRPr="000C0AB3">
        <w:t xml:space="preserve">ew Account </w:t>
      </w:r>
      <w:r>
        <w:rPr>
          <w:bCs/>
        </w:rPr>
        <w:t>3031, with a 15-year amortization period.</w:t>
      </w:r>
      <w:r w:rsidR="003225A3">
        <w:rPr>
          <w:bCs/>
        </w:rPr>
        <w:t xml:space="preserve">  </w:t>
      </w:r>
      <w:r>
        <w:rPr>
          <w:bCs/>
        </w:rPr>
        <w:t xml:space="preserve">Also, based on such approval, the </w:t>
      </w:r>
      <w:r w:rsidR="003225A3">
        <w:rPr>
          <w:bCs/>
        </w:rPr>
        <w:t xml:space="preserve">amortization of the </w:t>
      </w:r>
      <w:r>
        <w:rPr>
          <w:bCs/>
        </w:rPr>
        <w:t xml:space="preserve">unrecovered balance of these systems/platforms would take place in Account 3031.  FPUC </w:t>
      </w:r>
      <w:r w:rsidR="00FE5B09">
        <w:rPr>
          <w:bCs/>
        </w:rPr>
        <w:t xml:space="preserve">has </w:t>
      </w:r>
      <w:r>
        <w:rPr>
          <w:bCs/>
        </w:rPr>
        <w:t xml:space="preserve">proposed </w:t>
      </w:r>
      <w:r>
        <w:t xml:space="preserve">January </w:t>
      </w:r>
      <w:r w:rsidRPr="00361249">
        <w:t>1,</w:t>
      </w:r>
      <w:r>
        <w:t xml:space="preserve"> 2024</w:t>
      </w:r>
      <w:r w:rsidR="003225A3">
        <w:t>,</w:t>
      </w:r>
      <w:r>
        <w:t xml:space="preserve"> </w:t>
      </w:r>
      <w:r>
        <w:rPr>
          <w:bCs/>
        </w:rPr>
        <w:t xml:space="preserve">as the effective date for the new Account 3031 and </w:t>
      </w:r>
      <w:r>
        <w:t>the reclassification of the customized software from Account 3941 to Account 3031</w:t>
      </w:r>
      <w:r>
        <w:rPr>
          <w:bCs/>
        </w:rPr>
        <w:t>.</w:t>
      </w:r>
      <w:r w:rsidRPr="00736B54">
        <w:rPr>
          <w:bCs/>
        </w:rPr>
        <w:t xml:space="preserve"> </w:t>
      </w:r>
      <w:r>
        <w:rPr>
          <w:bCs/>
        </w:rPr>
        <w:t>We find that the Company’s proposal is appropriate as it is in line with the purpose of the amortization.</w:t>
      </w:r>
    </w:p>
    <w:p w:rsidR="00320483" w:rsidRDefault="00320483" w:rsidP="00837EB8">
      <w:pPr>
        <w:pStyle w:val="BodyText"/>
        <w:ind w:firstLine="720"/>
        <w:jc w:val="both"/>
        <w:rPr>
          <w:bCs/>
        </w:rPr>
      </w:pPr>
      <w:r>
        <w:rPr>
          <w:bCs/>
        </w:rPr>
        <w:lastRenderedPageBreak/>
        <w:t>If new subaccounts are approved, FPUC’s new software systems CIS and ERP</w:t>
      </w:r>
      <w:r w:rsidRPr="00736B54">
        <w:rPr>
          <w:bCs/>
        </w:rPr>
        <w:t xml:space="preserve"> </w:t>
      </w:r>
      <w:r>
        <w:rPr>
          <w:bCs/>
        </w:rPr>
        <w:t xml:space="preserve">would be recorded in </w:t>
      </w:r>
      <w:r w:rsidRPr="00736B54">
        <w:rPr>
          <w:bCs/>
        </w:rPr>
        <w:t>new Account 303</w:t>
      </w:r>
      <w:r>
        <w:rPr>
          <w:bCs/>
        </w:rPr>
        <w:t>2</w:t>
      </w:r>
      <w:r w:rsidRPr="00736B54">
        <w:rPr>
          <w:bCs/>
        </w:rPr>
        <w:t xml:space="preserve"> − Miscellaneous Intangible, with </w:t>
      </w:r>
      <w:r>
        <w:rPr>
          <w:bCs/>
        </w:rPr>
        <w:t>a 20</w:t>
      </w:r>
      <w:r w:rsidRPr="00736B54">
        <w:rPr>
          <w:bCs/>
        </w:rPr>
        <w:t>-year amortization period</w:t>
      </w:r>
      <w:r>
        <w:rPr>
          <w:bCs/>
        </w:rPr>
        <w:t xml:space="preserve">. FPUC </w:t>
      </w:r>
      <w:r w:rsidR="00FE5B09">
        <w:rPr>
          <w:bCs/>
        </w:rPr>
        <w:t>has stated t</w:t>
      </w:r>
      <w:r>
        <w:rPr>
          <w:bCs/>
        </w:rPr>
        <w:t>hat CIS and ERP will be placed in-service in 2024 and 2026, respectively.</w:t>
      </w:r>
      <w:r>
        <w:rPr>
          <w:rStyle w:val="FootnoteReference"/>
          <w:bCs/>
        </w:rPr>
        <w:footnoteReference w:id="15"/>
      </w:r>
      <w:r>
        <w:rPr>
          <w:bCs/>
        </w:rPr>
        <w:t xml:space="preserve"> The Company </w:t>
      </w:r>
      <w:r w:rsidR="00FE5B09">
        <w:rPr>
          <w:bCs/>
        </w:rPr>
        <w:t xml:space="preserve">has </w:t>
      </w:r>
      <w:r>
        <w:rPr>
          <w:bCs/>
        </w:rPr>
        <w:t xml:space="preserve">also </w:t>
      </w:r>
      <w:r w:rsidRPr="008E47D2">
        <w:rPr>
          <w:bCs/>
        </w:rPr>
        <w:t>stated</w:t>
      </w:r>
      <w:r>
        <w:rPr>
          <w:bCs/>
        </w:rPr>
        <w:t xml:space="preserve"> that it </w:t>
      </w:r>
      <w:r w:rsidR="00837EB8">
        <w:rPr>
          <w:bCs/>
        </w:rPr>
        <w:t>i</w:t>
      </w:r>
      <w:r w:rsidRPr="00C50DCB">
        <w:rPr>
          <w:bCs/>
        </w:rPr>
        <w:t xml:space="preserve">ncurred $7.8 </w:t>
      </w:r>
      <w:r w:rsidR="00C73825">
        <w:rPr>
          <w:bCs/>
        </w:rPr>
        <w:t>m</w:t>
      </w:r>
      <w:r w:rsidRPr="00C50DCB">
        <w:rPr>
          <w:bCs/>
        </w:rPr>
        <w:t>illion in costs related to the CIS</w:t>
      </w:r>
      <w:r>
        <w:rPr>
          <w:bCs/>
        </w:rPr>
        <w:t xml:space="preserve"> </w:t>
      </w:r>
      <w:r w:rsidRPr="00C50DCB">
        <w:rPr>
          <w:bCs/>
        </w:rPr>
        <w:t>project</w:t>
      </w:r>
      <w:r>
        <w:rPr>
          <w:bCs/>
        </w:rPr>
        <w:t>, which</w:t>
      </w:r>
      <w:r w:rsidRPr="00844BD4">
        <w:rPr>
          <w:bCs/>
        </w:rPr>
        <w:t xml:space="preserve"> are currently reflected on CUC</w:t>
      </w:r>
      <w:r>
        <w:rPr>
          <w:bCs/>
        </w:rPr>
        <w:t xml:space="preserve">’s Account 1070 - </w:t>
      </w:r>
      <w:r w:rsidRPr="00844BD4">
        <w:rPr>
          <w:bCs/>
        </w:rPr>
        <w:t>Construction Work in Progress</w:t>
      </w:r>
      <w:r>
        <w:rPr>
          <w:bCs/>
        </w:rPr>
        <w:t xml:space="preserve">, and </w:t>
      </w:r>
      <w:r w:rsidR="00FE5B09">
        <w:rPr>
          <w:bCs/>
        </w:rPr>
        <w:t xml:space="preserve">that </w:t>
      </w:r>
      <w:r>
        <w:rPr>
          <w:bCs/>
        </w:rPr>
        <w:t>no costs have been incurred for ERP to date.</w:t>
      </w:r>
      <w:r>
        <w:rPr>
          <w:rStyle w:val="FootnoteReference"/>
          <w:bCs/>
        </w:rPr>
        <w:footnoteReference w:id="16"/>
      </w:r>
      <w:r>
        <w:rPr>
          <w:bCs/>
        </w:rPr>
        <w:t xml:space="preserve"> </w:t>
      </w:r>
      <w:r w:rsidR="00837EB8">
        <w:rPr>
          <w:bCs/>
        </w:rPr>
        <w:t xml:space="preserve"> </w:t>
      </w:r>
      <w:r>
        <w:rPr>
          <w:bCs/>
        </w:rPr>
        <w:t xml:space="preserve">To promote a smooth and efficient accounting process, </w:t>
      </w:r>
      <w:r w:rsidR="00837EB8">
        <w:rPr>
          <w:bCs/>
        </w:rPr>
        <w:t>we approve of</w:t>
      </w:r>
      <w:r w:rsidRPr="006E0CDD">
        <w:rPr>
          <w:bCs/>
        </w:rPr>
        <w:t xml:space="preserve"> January 1, 202</w:t>
      </w:r>
      <w:r>
        <w:rPr>
          <w:bCs/>
        </w:rPr>
        <w:t xml:space="preserve">4, as the effective date for the new </w:t>
      </w:r>
      <w:r w:rsidRPr="006E0CDD">
        <w:rPr>
          <w:bCs/>
        </w:rPr>
        <w:t>Account 3032</w:t>
      </w:r>
      <w:r>
        <w:rPr>
          <w:bCs/>
        </w:rPr>
        <w:t xml:space="preserve">, so that the CIS and ERP software-related plant can be appropriately recorded and amortized after these plant items are placed in-service. </w:t>
      </w:r>
    </w:p>
    <w:p w:rsidR="00347CF0" w:rsidRDefault="00320483" w:rsidP="00347CF0">
      <w:pPr>
        <w:pStyle w:val="BodyText"/>
        <w:ind w:firstLine="720"/>
        <w:jc w:val="both"/>
        <w:rPr>
          <w:bCs/>
        </w:rPr>
      </w:pPr>
      <w:r>
        <w:rPr>
          <w:bCs/>
        </w:rPr>
        <w:t>Based on the foregoing, it is</w:t>
      </w:r>
    </w:p>
    <w:p w:rsidR="00320483" w:rsidRDefault="00320483" w:rsidP="00347CF0">
      <w:pPr>
        <w:pStyle w:val="BodyText"/>
        <w:ind w:firstLine="720"/>
        <w:jc w:val="both"/>
        <w:rPr>
          <w:bCs/>
        </w:rPr>
      </w:pPr>
      <w:r>
        <w:rPr>
          <w:bCs/>
        </w:rPr>
        <w:t xml:space="preserve">ORDERED by the Florida Public Service Commission </w:t>
      </w:r>
      <w:r w:rsidR="00FE5B09">
        <w:rPr>
          <w:bCs/>
        </w:rPr>
        <w:t>that Florida Public Utilities Company’s request to establish two subaccounts</w:t>
      </w:r>
      <w:r w:rsidR="00C73825">
        <w:rPr>
          <w:bCs/>
        </w:rPr>
        <w:t xml:space="preserve"> is approved</w:t>
      </w:r>
      <w:r w:rsidR="00FE5B09">
        <w:rPr>
          <w:bCs/>
        </w:rPr>
        <w:t>:  Account 3031 – Miscellaneous Intangible Plant – 15 Years, with an annual amortization rate of 6.7 percent resulting from the 15</w:t>
      </w:r>
      <w:r w:rsidR="000124F1">
        <w:rPr>
          <w:bCs/>
        </w:rPr>
        <w:t>-</w:t>
      </w:r>
      <w:r w:rsidR="00FE5B09">
        <w:rPr>
          <w:bCs/>
        </w:rPr>
        <w:t>year amortization, for reclassifying certain existing customized software, and Account 3032 –Miscellaneous Intangible Plant – 20 years, with an annual amortization rate of 5.0 percent resulting from the 20-year amortization period, for reco</w:t>
      </w:r>
      <w:r w:rsidR="000124F1">
        <w:rPr>
          <w:bCs/>
        </w:rPr>
        <w:t>r</w:t>
      </w:r>
      <w:r w:rsidR="00FE5B09">
        <w:rPr>
          <w:bCs/>
        </w:rPr>
        <w:t xml:space="preserve">ding specified new customer billing and business management software.  </w:t>
      </w:r>
      <w:r w:rsidR="000124F1">
        <w:rPr>
          <w:bCs/>
        </w:rPr>
        <w:t>It is further</w:t>
      </w:r>
    </w:p>
    <w:p w:rsidR="000124F1" w:rsidRDefault="000124F1" w:rsidP="00347CF0">
      <w:pPr>
        <w:pStyle w:val="BodyText"/>
        <w:ind w:firstLine="720"/>
        <w:jc w:val="both"/>
        <w:rPr>
          <w:bCs/>
        </w:rPr>
      </w:pPr>
      <w:r>
        <w:rPr>
          <w:bCs/>
        </w:rPr>
        <w:t>ORDERED that January 1, 2024 is the effective date for the new Accounts 3031 and 3032, as well as the reclassification of the customized software from Account 3914 to new Account 3031.  It is further</w:t>
      </w:r>
    </w:p>
    <w:p w:rsidR="007B3DEC" w:rsidRDefault="00C73825" w:rsidP="00347CF0">
      <w:pPr>
        <w:pStyle w:val="BodyText"/>
        <w:ind w:firstLine="720"/>
        <w:jc w:val="both"/>
        <w:rPr>
          <w:bCs/>
        </w:rPr>
      </w:pPr>
      <w:r>
        <w:rPr>
          <w:bCs/>
        </w:rPr>
        <w:t xml:space="preserve">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attached hereto.  </w:t>
      </w:r>
      <w:r w:rsidR="007B3DEC">
        <w:rPr>
          <w:bCs/>
        </w:rPr>
        <w:t>It is further</w:t>
      </w:r>
    </w:p>
    <w:p w:rsidR="007B3DEC" w:rsidRDefault="007B3DEC" w:rsidP="007B3DEC">
      <w:pPr>
        <w:pStyle w:val="BodyText"/>
        <w:ind w:firstLine="720"/>
        <w:jc w:val="both"/>
        <w:rPr>
          <w:bCs/>
        </w:rPr>
      </w:pPr>
      <w:r>
        <w:rPr>
          <w:bCs/>
        </w:rPr>
        <w:t xml:space="preserve">ORDERED that if no person whose substantial interests are affected by the proposed agency action files a protest within 21 days of the issuance of the Order, this docket shall be closed upon the issuance of a Consummating Order. </w:t>
      </w:r>
    </w:p>
    <w:p w:rsidR="007B3DEC" w:rsidRDefault="007B3DEC">
      <w:pPr>
        <w:rPr>
          <w:bCs/>
        </w:rPr>
      </w:pPr>
      <w:r>
        <w:rPr>
          <w:bCs/>
        </w:rPr>
        <w:br w:type="page"/>
      </w:r>
    </w:p>
    <w:p w:rsidR="000124F1" w:rsidRDefault="000124F1" w:rsidP="004639FC">
      <w:pPr>
        <w:pStyle w:val="BodyText"/>
        <w:ind w:firstLine="720"/>
        <w:jc w:val="both"/>
        <w:rPr>
          <w:bCs/>
        </w:rPr>
      </w:pPr>
      <w:r>
        <w:rPr>
          <w:bCs/>
        </w:rPr>
        <w:lastRenderedPageBreak/>
        <w:t xml:space="preserve">By ORDER of the Florida Public Service Commission this </w:t>
      </w:r>
      <w:bookmarkStart w:id="5" w:name="replaceDate"/>
      <w:bookmarkEnd w:id="5"/>
      <w:r w:rsidR="004639FC">
        <w:rPr>
          <w:bCs/>
          <w:u w:val="single"/>
        </w:rPr>
        <w:t>19th</w:t>
      </w:r>
      <w:r w:rsidR="004639FC">
        <w:rPr>
          <w:bCs/>
        </w:rPr>
        <w:t xml:space="preserve"> day of </w:t>
      </w:r>
      <w:r w:rsidR="004639FC">
        <w:rPr>
          <w:bCs/>
          <w:u w:val="single"/>
        </w:rPr>
        <w:t>August</w:t>
      </w:r>
      <w:r w:rsidR="004639FC">
        <w:rPr>
          <w:bCs/>
        </w:rPr>
        <w:t xml:space="preserve">, </w:t>
      </w:r>
      <w:r w:rsidR="004639FC">
        <w:rPr>
          <w:bCs/>
          <w:u w:val="single"/>
        </w:rPr>
        <w:t>2024</w:t>
      </w:r>
      <w:r w:rsidR="004639FC">
        <w:rPr>
          <w:bCs/>
        </w:rPr>
        <w:t>.</w:t>
      </w:r>
    </w:p>
    <w:p w:rsidR="000124F1" w:rsidRDefault="000124F1" w:rsidP="000124F1">
      <w:pPr>
        <w:pStyle w:val="BodyText"/>
        <w:keepNext/>
        <w:keepLines/>
        <w:ind w:firstLine="720"/>
        <w:jc w:val="both"/>
        <w:rPr>
          <w:bCs/>
        </w:rPr>
      </w:pPr>
    </w:p>
    <w:p w:rsidR="000124F1" w:rsidRDefault="000124F1" w:rsidP="000124F1">
      <w:pPr>
        <w:pStyle w:val="BodyText"/>
        <w:keepNext/>
        <w:keepLines/>
        <w:ind w:firstLine="720"/>
        <w:jc w:val="both"/>
        <w:rPr>
          <w:bCs/>
        </w:rPr>
      </w:pPr>
    </w:p>
    <w:p w:rsidR="000124F1" w:rsidRDefault="000124F1" w:rsidP="000124F1">
      <w:pPr>
        <w:pStyle w:val="BodyText"/>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0124F1" w:rsidTr="000124F1">
        <w:tc>
          <w:tcPr>
            <w:tcW w:w="720" w:type="dxa"/>
            <w:shd w:val="clear" w:color="auto" w:fill="auto"/>
          </w:tcPr>
          <w:p w:rsidR="000124F1" w:rsidRDefault="000124F1" w:rsidP="000124F1">
            <w:pPr>
              <w:pStyle w:val="BodyText"/>
              <w:keepNext/>
              <w:keepLines/>
              <w:jc w:val="both"/>
              <w:rPr>
                <w:bCs/>
              </w:rPr>
            </w:pPr>
            <w:bookmarkStart w:id="6" w:name="bkmrkSignature" w:colFirst="0" w:colLast="0"/>
          </w:p>
        </w:tc>
        <w:tc>
          <w:tcPr>
            <w:tcW w:w="4320" w:type="dxa"/>
            <w:tcBorders>
              <w:bottom w:val="single" w:sz="4" w:space="0" w:color="auto"/>
            </w:tcBorders>
            <w:shd w:val="clear" w:color="auto" w:fill="auto"/>
          </w:tcPr>
          <w:p w:rsidR="000124F1" w:rsidRDefault="00C56947" w:rsidP="000124F1">
            <w:pPr>
              <w:pStyle w:val="BodyText"/>
              <w:keepNext/>
              <w:keepLines/>
              <w:jc w:val="both"/>
              <w:rPr>
                <w:bCs/>
              </w:rPr>
            </w:pPr>
            <w:r>
              <w:rPr>
                <w:bCs/>
              </w:rPr>
              <w:t>/s/ Adam J. Teitzman</w:t>
            </w:r>
            <w:bookmarkStart w:id="7" w:name="_GoBack"/>
            <w:bookmarkEnd w:id="7"/>
          </w:p>
        </w:tc>
      </w:tr>
      <w:bookmarkEnd w:id="6"/>
      <w:tr w:rsidR="000124F1" w:rsidTr="000124F1">
        <w:tc>
          <w:tcPr>
            <w:tcW w:w="720" w:type="dxa"/>
            <w:shd w:val="clear" w:color="auto" w:fill="auto"/>
          </w:tcPr>
          <w:p w:rsidR="000124F1" w:rsidRDefault="000124F1" w:rsidP="000124F1">
            <w:pPr>
              <w:pStyle w:val="BodyText"/>
              <w:keepNext/>
              <w:keepLines/>
              <w:jc w:val="both"/>
              <w:rPr>
                <w:bCs/>
              </w:rPr>
            </w:pPr>
          </w:p>
        </w:tc>
        <w:tc>
          <w:tcPr>
            <w:tcW w:w="4320" w:type="dxa"/>
            <w:tcBorders>
              <w:top w:val="single" w:sz="4" w:space="0" w:color="auto"/>
            </w:tcBorders>
            <w:shd w:val="clear" w:color="auto" w:fill="auto"/>
          </w:tcPr>
          <w:p w:rsidR="000124F1" w:rsidRDefault="000124F1" w:rsidP="000124F1">
            <w:pPr>
              <w:pStyle w:val="BodyText"/>
              <w:keepNext/>
              <w:keepLines/>
              <w:jc w:val="both"/>
              <w:rPr>
                <w:bCs/>
              </w:rPr>
            </w:pPr>
            <w:r>
              <w:rPr>
                <w:bCs/>
              </w:rPr>
              <w:t>ADAM J. TEITZMAN</w:t>
            </w:r>
          </w:p>
          <w:p w:rsidR="000124F1" w:rsidRDefault="000124F1" w:rsidP="000124F1">
            <w:pPr>
              <w:pStyle w:val="BodyText"/>
              <w:keepNext/>
              <w:keepLines/>
              <w:jc w:val="both"/>
              <w:rPr>
                <w:bCs/>
              </w:rPr>
            </w:pPr>
            <w:r>
              <w:rPr>
                <w:bCs/>
              </w:rPr>
              <w:t>Commission Clerk</w:t>
            </w:r>
          </w:p>
        </w:tc>
      </w:tr>
    </w:tbl>
    <w:p w:rsidR="000124F1" w:rsidRDefault="000124F1" w:rsidP="000124F1">
      <w:pPr>
        <w:pStyle w:val="OrderSigInfo"/>
        <w:keepNext/>
        <w:keepLines/>
      </w:pPr>
      <w:r>
        <w:t>Florida Public Service Commission</w:t>
      </w:r>
    </w:p>
    <w:p w:rsidR="000124F1" w:rsidRDefault="000124F1" w:rsidP="000124F1">
      <w:pPr>
        <w:pStyle w:val="OrderSigInfo"/>
        <w:keepNext/>
        <w:keepLines/>
      </w:pPr>
      <w:r>
        <w:t>2540 Shumard Oak Boulevard</w:t>
      </w:r>
    </w:p>
    <w:p w:rsidR="000124F1" w:rsidRDefault="000124F1" w:rsidP="000124F1">
      <w:pPr>
        <w:pStyle w:val="OrderSigInfo"/>
        <w:keepNext/>
        <w:keepLines/>
      </w:pPr>
      <w:r>
        <w:t>Tallahassee, Florida 32399</w:t>
      </w:r>
    </w:p>
    <w:p w:rsidR="000124F1" w:rsidRDefault="000124F1" w:rsidP="000124F1">
      <w:pPr>
        <w:pStyle w:val="OrderSigInfo"/>
        <w:keepNext/>
        <w:keepLines/>
      </w:pPr>
      <w:r>
        <w:t>(850) 413</w:t>
      </w:r>
      <w:r>
        <w:noBreakHyphen/>
        <w:t>6770</w:t>
      </w:r>
    </w:p>
    <w:p w:rsidR="000124F1" w:rsidRDefault="000124F1" w:rsidP="000124F1">
      <w:pPr>
        <w:pStyle w:val="OrderSigInfo"/>
        <w:keepNext/>
        <w:keepLines/>
      </w:pPr>
      <w:r>
        <w:t>www.floridapsc.com</w:t>
      </w:r>
    </w:p>
    <w:p w:rsidR="000124F1" w:rsidRDefault="000124F1" w:rsidP="000124F1">
      <w:pPr>
        <w:pStyle w:val="OrderSigInfo"/>
        <w:keepNext/>
        <w:keepLines/>
      </w:pPr>
    </w:p>
    <w:p w:rsidR="000124F1" w:rsidRDefault="000124F1" w:rsidP="000124F1">
      <w:pPr>
        <w:pStyle w:val="OrderSigInfo"/>
        <w:keepNext/>
        <w:keepLines/>
      </w:pPr>
      <w:r>
        <w:t>Copies furnished:  A copy of this document is provided to the parties of record at the time of issuance and, if applicable, interested persons.</w:t>
      </w:r>
    </w:p>
    <w:p w:rsidR="000124F1" w:rsidRDefault="000124F1" w:rsidP="000124F1">
      <w:pPr>
        <w:pStyle w:val="OrderBody"/>
        <w:keepNext/>
        <w:keepLines/>
      </w:pPr>
      <w:r>
        <w:t xml:space="preserve"> SBr</w:t>
      </w:r>
    </w:p>
    <w:p w:rsidR="004609F8" w:rsidRDefault="004609F8" w:rsidP="000124F1">
      <w:pPr>
        <w:pStyle w:val="OrderBody"/>
        <w:keepNext/>
        <w:keepLines/>
      </w:pPr>
    </w:p>
    <w:p w:rsidR="004609F8" w:rsidRDefault="004609F8" w:rsidP="004609F8">
      <w:pPr>
        <w:pStyle w:val="CenterUnderline"/>
      </w:pPr>
      <w:r>
        <w:t>NOTICE OF FURTHER PROCEEDINGS OR JUDICIAL REVIEW</w:t>
      </w:r>
    </w:p>
    <w:p w:rsidR="000124F1" w:rsidRDefault="000124F1" w:rsidP="004609F8">
      <w:pPr>
        <w:pStyle w:val="CenterUnderline"/>
      </w:pPr>
    </w:p>
    <w:p w:rsidR="004609F8" w:rsidRDefault="004609F8" w:rsidP="004609F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609F8" w:rsidRDefault="004609F8" w:rsidP="004609F8">
      <w:pPr>
        <w:pStyle w:val="OrderBody"/>
      </w:pPr>
    </w:p>
    <w:p w:rsidR="004609F8" w:rsidRDefault="004609F8" w:rsidP="004609F8">
      <w:pPr>
        <w:pStyle w:val="OrderBody"/>
      </w:pPr>
      <w:r>
        <w:tab/>
        <w:t>Mediation may be available on a case-by-case basis.  If mediation is conducted, it does not affect a substantially interested person's right to a hearing.</w:t>
      </w:r>
    </w:p>
    <w:p w:rsidR="004609F8" w:rsidRDefault="004609F8" w:rsidP="004609F8">
      <w:pPr>
        <w:pStyle w:val="OrderBody"/>
      </w:pPr>
    </w:p>
    <w:p w:rsidR="004609F8" w:rsidRDefault="004609F8" w:rsidP="004609F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639FC">
        <w:rPr>
          <w:u w:val="single"/>
        </w:rPr>
        <w:t>September 9, 2024</w:t>
      </w:r>
      <w:r>
        <w:t>.</w:t>
      </w:r>
    </w:p>
    <w:p w:rsidR="004609F8" w:rsidRDefault="004609F8" w:rsidP="004609F8">
      <w:pPr>
        <w:pStyle w:val="OrderBody"/>
      </w:pPr>
    </w:p>
    <w:p w:rsidR="004609F8" w:rsidRDefault="004609F8" w:rsidP="004609F8">
      <w:pPr>
        <w:pStyle w:val="OrderBody"/>
      </w:pPr>
      <w:r>
        <w:tab/>
        <w:t>In the absence of such a petition, this order shall become final and effective upon the issuance of a Consummating Order.</w:t>
      </w:r>
    </w:p>
    <w:p w:rsidR="004609F8" w:rsidRDefault="004609F8" w:rsidP="004609F8">
      <w:pPr>
        <w:pStyle w:val="OrderBody"/>
      </w:pPr>
    </w:p>
    <w:p w:rsidR="004609F8" w:rsidRPr="004609F8" w:rsidRDefault="004609F8" w:rsidP="004609F8">
      <w:pPr>
        <w:pStyle w:val="OrderBody"/>
      </w:pPr>
      <w:r>
        <w:tab/>
        <w:t>Any objection or protest filed in this/these docket(s) before the issuance date of this order is considered abandoned unless it satisfies the foregoing conditions and is renewed within the specified protest period.</w:t>
      </w:r>
    </w:p>
    <w:sectPr w:rsidR="004609F8" w:rsidRPr="004609F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C5" w:rsidRDefault="00A65CC5">
      <w:r>
        <w:separator/>
      </w:r>
    </w:p>
  </w:endnote>
  <w:endnote w:type="continuationSeparator" w:id="0">
    <w:p w:rsidR="00A65CC5" w:rsidRDefault="00A6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C5" w:rsidRDefault="00A65CC5">
      <w:r>
        <w:separator/>
      </w:r>
    </w:p>
  </w:footnote>
  <w:footnote w:type="continuationSeparator" w:id="0">
    <w:p w:rsidR="00A65CC5" w:rsidRDefault="00A65CC5">
      <w:r>
        <w:continuationSeparator/>
      </w:r>
    </w:p>
  </w:footnote>
  <w:footnote w:id="1">
    <w:p w:rsidR="00A65CC5" w:rsidRDefault="00A65CC5" w:rsidP="00A65CC5">
      <w:pPr>
        <w:pStyle w:val="FootnoteText"/>
      </w:pPr>
      <w:r>
        <w:rPr>
          <w:rStyle w:val="FootnoteReference"/>
        </w:rPr>
        <w:footnoteRef/>
      </w:r>
      <w:r>
        <w:t xml:space="preserve"> Code </w:t>
      </w:r>
      <w:r w:rsidRPr="00CC27DC">
        <w:t>of Federal Regulations, Title 18, Subchapter C, Part 101, for Major Utilities, as revised April 1, 2013.</w:t>
      </w:r>
    </w:p>
  </w:footnote>
  <w:footnote w:id="2">
    <w:p w:rsidR="0097696E" w:rsidRDefault="0097696E" w:rsidP="0097696E">
      <w:pPr>
        <w:pStyle w:val="FootnoteText"/>
      </w:pPr>
      <w:r>
        <w:rPr>
          <w:rStyle w:val="FootnoteReference"/>
        </w:rPr>
        <w:footnoteRef/>
      </w:r>
      <w:r>
        <w:t xml:space="preserve"> T</w:t>
      </w:r>
      <w:r w:rsidRPr="007D3BD0">
        <w:t xml:space="preserve">he Code of Federal Regulations, Title 18, </w:t>
      </w:r>
      <w:r>
        <w:t xml:space="preserve">Subchapter C, Part 101, Account </w:t>
      </w:r>
      <w:r w:rsidRPr="007D3BD0">
        <w:t xml:space="preserve">303 regarding Miscellaneous Intangible Plant states </w:t>
      </w:r>
      <w:r>
        <w:t xml:space="preserve">“[this account] shall include the cost of </w:t>
      </w:r>
      <w:r w:rsidRPr="007D3BD0">
        <w:t>patent rights, licenses, privileges, and other intangible proper</w:t>
      </w:r>
      <w:r>
        <w:t xml:space="preserve">ty necessary or valuable in the </w:t>
      </w:r>
      <w:r w:rsidRPr="007D3BD0">
        <w:t>conduct of utility operations and not specifically chargeable to any other account."</w:t>
      </w:r>
    </w:p>
  </w:footnote>
  <w:footnote w:id="3">
    <w:p w:rsidR="00C370B4" w:rsidRDefault="00C370B4" w:rsidP="00C370B4">
      <w:pPr>
        <w:pStyle w:val="FootnoteText"/>
      </w:pPr>
      <w:r>
        <w:rPr>
          <w:rStyle w:val="FootnoteReference"/>
        </w:rPr>
        <w:footnoteRef/>
      </w:r>
      <w:r>
        <w:t xml:space="preserve"> Document No. 04345-2024, FPUC’s Response to Staff’s Second Data Request, No. 1.</w:t>
      </w:r>
    </w:p>
  </w:footnote>
  <w:footnote w:id="4">
    <w:p w:rsidR="00C370B4" w:rsidRDefault="00C370B4" w:rsidP="00C370B4">
      <w:pPr>
        <w:pStyle w:val="FootnoteText"/>
      </w:pPr>
      <w:r>
        <w:rPr>
          <w:rStyle w:val="FootnoteReference"/>
        </w:rPr>
        <w:footnoteRef/>
      </w:r>
      <w:r>
        <w:t xml:space="preserve"> Petition, paragraph (4).</w:t>
      </w:r>
    </w:p>
  </w:footnote>
  <w:footnote w:id="5">
    <w:p w:rsidR="00C370B4" w:rsidRDefault="00C370B4" w:rsidP="00C370B4">
      <w:pPr>
        <w:pStyle w:val="FootnoteText"/>
      </w:pPr>
      <w:r>
        <w:rPr>
          <w:rStyle w:val="FootnoteReference"/>
        </w:rPr>
        <w:footnoteRef/>
      </w:r>
      <w:r>
        <w:t xml:space="preserve"> Petition, paragraphs (8).</w:t>
      </w:r>
    </w:p>
  </w:footnote>
  <w:footnote w:id="6">
    <w:p w:rsidR="00C370B4" w:rsidRDefault="00C370B4" w:rsidP="00C370B4">
      <w:pPr>
        <w:pStyle w:val="FootnoteText"/>
      </w:pPr>
      <w:r>
        <w:rPr>
          <w:rStyle w:val="FootnoteReference"/>
        </w:rPr>
        <w:footnoteRef/>
      </w:r>
      <w:r>
        <w:t xml:space="preserve"> Document No. 04170-2024, FPUC’s Response to Staff’s First Data Request, No. 2.b.</w:t>
      </w:r>
    </w:p>
  </w:footnote>
  <w:footnote w:id="7">
    <w:p w:rsidR="00C370B4" w:rsidRPr="00C6785A" w:rsidRDefault="00C370B4" w:rsidP="00C370B4">
      <w:pPr>
        <w:pStyle w:val="FootnoteText"/>
      </w:pPr>
      <w:r>
        <w:rPr>
          <w:rStyle w:val="FootnoteReference"/>
        </w:rPr>
        <w:footnoteRef/>
      </w:r>
      <w:r>
        <w:t xml:space="preserve"> </w:t>
      </w:r>
      <w:r w:rsidRPr="00597BCD">
        <w:t>Order No</w:t>
      </w:r>
      <w:r>
        <w:t>s</w:t>
      </w:r>
      <w:r w:rsidRPr="00597BCD">
        <w:t>. PSC-2023-0384-PAA-EI, issued D</w:t>
      </w:r>
      <w:r>
        <w:t xml:space="preserve">ecember 21, 2023, in Docket No. </w:t>
      </w:r>
      <w:r w:rsidRPr="00597BCD">
        <w:t>20230079-EI</w:t>
      </w:r>
      <w:r>
        <w:t xml:space="preserve">, </w:t>
      </w:r>
      <w:r w:rsidRPr="002C3737">
        <w:rPr>
          <w:i/>
        </w:rPr>
        <w:t>In re: Petition for approval of 2023 depreciation study by Florida Public Utilities Company</w:t>
      </w:r>
      <w:r>
        <w:t xml:space="preserve">; PSC-2021-0202A-AS-EI, issued June 28, 2021, in Docket No.20210026-EI, </w:t>
      </w:r>
      <w:r w:rsidRPr="007940F1">
        <w:rPr>
          <w:i/>
        </w:rPr>
        <w:t>In re: Petition for limited proceeding to approve 2021 settlement agreement, including general base rate increases, by Duke Energy Florida, LLC.</w:t>
      </w:r>
      <w:r>
        <w:t xml:space="preserve">; PSC-2021-0423-S-EI, issued November 10, 2021, in Docket No. 20200264, </w:t>
      </w:r>
      <w:r w:rsidRPr="007940F1">
        <w:rPr>
          <w:i/>
        </w:rPr>
        <w:t>In re: Petition for approval of 2020 depreciation and dismantlement study and capital recovery schedules, by Tampa Electric Company</w:t>
      </w:r>
      <w:r>
        <w:t>.</w:t>
      </w:r>
    </w:p>
  </w:footnote>
  <w:footnote w:id="8">
    <w:p w:rsidR="00C370B4" w:rsidRDefault="00C370B4" w:rsidP="00C370B4">
      <w:pPr>
        <w:pStyle w:val="FootnoteText"/>
      </w:pPr>
      <w:r>
        <w:rPr>
          <w:rStyle w:val="FootnoteReference"/>
        </w:rPr>
        <w:footnoteRef/>
      </w:r>
      <w:r>
        <w:t xml:space="preserve"> </w:t>
      </w:r>
      <w:r w:rsidRPr="00042933">
        <w:t>Petition,</w:t>
      </w:r>
      <w:r>
        <w:t xml:space="preserve"> paragraphs (9</w:t>
      </w:r>
      <w:r w:rsidRPr="00042933">
        <w:t>)</w:t>
      </w:r>
      <w:r>
        <w:t>.</w:t>
      </w:r>
    </w:p>
  </w:footnote>
  <w:footnote w:id="9">
    <w:p w:rsidR="00C370B4" w:rsidRDefault="00C370B4" w:rsidP="00C370B4">
      <w:pPr>
        <w:pStyle w:val="FootnoteText"/>
      </w:pPr>
      <w:r>
        <w:rPr>
          <w:rStyle w:val="FootnoteReference"/>
        </w:rPr>
        <w:footnoteRef/>
      </w:r>
      <w:r>
        <w:t xml:space="preserve"> </w:t>
      </w:r>
      <w:r w:rsidRPr="00042933">
        <w:t>Petition,</w:t>
      </w:r>
      <w:r>
        <w:t xml:space="preserve"> paragraphs (11</w:t>
      </w:r>
      <w:r w:rsidRPr="00042933">
        <w:t>)</w:t>
      </w:r>
      <w:r>
        <w:t>.</w:t>
      </w:r>
    </w:p>
  </w:footnote>
  <w:footnote w:id="10">
    <w:p w:rsidR="00C370B4" w:rsidRDefault="00C370B4" w:rsidP="00C370B4">
      <w:pPr>
        <w:pStyle w:val="FootnoteText"/>
      </w:pPr>
      <w:r>
        <w:rPr>
          <w:rStyle w:val="FootnoteReference"/>
        </w:rPr>
        <w:footnoteRef/>
      </w:r>
      <w:r>
        <w:t xml:space="preserve"> Document No. 04170-2024, FPUC’s Response to Staff’s First Data Request, No. 1.b.</w:t>
      </w:r>
    </w:p>
  </w:footnote>
  <w:footnote w:id="11">
    <w:p w:rsidR="00C370B4" w:rsidRDefault="00C370B4" w:rsidP="00C370B4">
      <w:pPr>
        <w:pStyle w:val="FootnoteText"/>
      </w:pPr>
      <w:r>
        <w:rPr>
          <w:rStyle w:val="FootnoteReference"/>
        </w:rPr>
        <w:footnoteRef/>
      </w:r>
      <w:r>
        <w:t xml:space="preserve"> </w:t>
      </w:r>
      <w:r w:rsidRPr="00A975AC">
        <w:t>Petition, paragraphs (</w:t>
      </w:r>
      <w:r>
        <w:t>5</w:t>
      </w:r>
      <w:r w:rsidRPr="00A975AC">
        <w:t>).</w:t>
      </w:r>
    </w:p>
  </w:footnote>
  <w:footnote w:id="12">
    <w:p w:rsidR="00C370B4" w:rsidRDefault="00C370B4" w:rsidP="00C370B4">
      <w:pPr>
        <w:pStyle w:val="FootnoteText"/>
      </w:pPr>
      <w:r>
        <w:rPr>
          <w:rStyle w:val="FootnoteReference"/>
        </w:rPr>
        <w:footnoteRef/>
      </w:r>
      <w:r>
        <w:t xml:space="preserve"> Details of the </w:t>
      </w:r>
      <w:r w:rsidRPr="00E3684C">
        <w:t xml:space="preserve">method </w:t>
      </w:r>
      <w:r>
        <w:t>is provided in Document No. 04345-2024, FPUC’s Response to Staff’s Second Data Request, No. 2.a.</w:t>
      </w:r>
    </w:p>
  </w:footnote>
  <w:footnote w:id="13">
    <w:p w:rsidR="00C370B4" w:rsidRDefault="00C370B4" w:rsidP="00C370B4">
      <w:pPr>
        <w:pStyle w:val="FootnoteText"/>
      </w:pPr>
      <w:r>
        <w:rPr>
          <w:rStyle w:val="FootnoteReference"/>
        </w:rPr>
        <w:footnoteRef/>
      </w:r>
      <w:r>
        <w:t xml:space="preserve"> Document No. 04345-2024, FPUC’s Response to Staff’s Second Data Request, No.3.b.</w:t>
      </w:r>
    </w:p>
  </w:footnote>
  <w:footnote w:id="14">
    <w:p w:rsidR="00C370B4" w:rsidRDefault="00C370B4" w:rsidP="00C370B4">
      <w:pPr>
        <w:pStyle w:val="FootnoteText"/>
      </w:pPr>
      <w:r>
        <w:rPr>
          <w:rStyle w:val="FootnoteReference"/>
        </w:rPr>
        <w:footnoteRef/>
      </w:r>
      <w:r>
        <w:t xml:space="preserve"> Order No. PSC-2023-0384-PAA-EI; and </w:t>
      </w:r>
      <w:r w:rsidRPr="002C3737">
        <w:t>Order No. PSC-2020-0489-PAA-GU, issued December 11, 2020, in Docket No. 20200191-GU</w:t>
      </w:r>
      <w:r w:rsidRPr="002C3737">
        <w:rPr>
          <w:i/>
        </w:rPr>
        <w:t>, In re: Petition for approval of amortization rate for Sta</w:t>
      </w:r>
      <w:r>
        <w:rPr>
          <w:i/>
        </w:rPr>
        <w:t>rn</w:t>
      </w:r>
      <w:r w:rsidRPr="002C3737">
        <w:rPr>
          <w:i/>
        </w:rPr>
        <w:t>ik customer information system and other software accounting adjustments, by Florida City Gas</w:t>
      </w:r>
      <w:r w:rsidRPr="002C3737">
        <w:t>.</w:t>
      </w:r>
    </w:p>
  </w:footnote>
  <w:footnote w:id="15">
    <w:p w:rsidR="00320483" w:rsidRDefault="00320483" w:rsidP="00320483">
      <w:pPr>
        <w:pStyle w:val="FootnoteText"/>
      </w:pPr>
      <w:r>
        <w:rPr>
          <w:rStyle w:val="FootnoteReference"/>
        </w:rPr>
        <w:footnoteRef/>
      </w:r>
      <w:r>
        <w:t xml:space="preserve"> Document 04170-02024, FPUC’s Response to Staff’s First Data Request, No. 1.b.</w:t>
      </w:r>
    </w:p>
  </w:footnote>
  <w:footnote w:id="16">
    <w:p w:rsidR="00320483" w:rsidRDefault="00320483" w:rsidP="00320483">
      <w:pPr>
        <w:pStyle w:val="FootnoteText"/>
      </w:pPr>
      <w:r>
        <w:rPr>
          <w:rStyle w:val="FootnoteReference"/>
        </w:rPr>
        <w:footnoteRef/>
      </w:r>
      <w:r>
        <w:t xml:space="preserve"> Document 04345-2024, FPUC’s Response to Staff’s Second Data Request, No. 2.b.</w:t>
      </w:r>
    </w:p>
    <w:p w:rsidR="00320483" w:rsidRDefault="00320483" w:rsidP="003204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6 ">
      <w:r w:rsidR="00C56947">
        <w:t>PSC-2024-0366-PAA-GU</w:t>
      </w:r>
    </w:fldSimple>
  </w:p>
  <w:p w:rsidR="00FA6EFD" w:rsidRDefault="00A65CC5">
    <w:pPr>
      <w:pStyle w:val="OrderHeader"/>
    </w:pPr>
    <w:bookmarkStart w:id="8" w:name="HeaderDocketNo"/>
    <w:bookmarkEnd w:id="8"/>
    <w:r>
      <w:t>DOCKET NO. 20240060-GU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6947">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903BF"/>
    <w:multiLevelType w:val="hybridMultilevel"/>
    <w:tmpl w:val="980CA20E"/>
    <w:lvl w:ilvl="0" w:tplc="61E2A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14F09"/>
    <w:multiLevelType w:val="hybridMultilevel"/>
    <w:tmpl w:val="D99A876E"/>
    <w:lvl w:ilvl="0" w:tplc="61E2ABD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F6BAE"/>
    <w:multiLevelType w:val="hybridMultilevel"/>
    <w:tmpl w:val="836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0-GU"/>
  </w:docVars>
  <w:rsids>
    <w:rsidRoot w:val="00A65CC5"/>
    <w:rsid w:val="000022B8"/>
    <w:rsid w:val="00003883"/>
    <w:rsid w:val="00011251"/>
    <w:rsid w:val="000124F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3AD1"/>
    <w:rsid w:val="002A6F30"/>
    <w:rsid w:val="002A7884"/>
    <w:rsid w:val="002B3111"/>
    <w:rsid w:val="002C09F5"/>
    <w:rsid w:val="002C118E"/>
    <w:rsid w:val="002C2096"/>
    <w:rsid w:val="002C7908"/>
    <w:rsid w:val="002D391B"/>
    <w:rsid w:val="002D4B1F"/>
    <w:rsid w:val="002D7D15"/>
    <w:rsid w:val="002E1B2E"/>
    <w:rsid w:val="002E27EB"/>
    <w:rsid w:val="002E4EF4"/>
    <w:rsid w:val="002E58EC"/>
    <w:rsid w:val="002E78B6"/>
    <w:rsid w:val="002F0F1C"/>
    <w:rsid w:val="002F2A9D"/>
    <w:rsid w:val="002F31C2"/>
    <w:rsid w:val="002F7BF6"/>
    <w:rsid w:val="00303FDE"/>
    <w:rsid w:val="00313C5B"/>
    <w:rsid w:val="003140E8"/>
    <w:rsid w:val="00320483"/>
    <w:rsid w:val="003225A3"/>
    <w:rsid w:val="003231C7"/>
    <w:rsid w:val="00323839"/>
    <w:rsid w:val="003270C4"/>
    <w:rsid w:val="00331ED0"/>
    <w:rsid w:val="00332B0A"/>
    <w:rsid w:val="00333A41"/>
    <w:rsid w:val="00341036"/>
    <w:rsid w:val="00345434"/>
    <w:rsid w:val="00347CF0"/>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09F8"/>
    <w:rsid w:val="004639FC"/>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5B2E"/>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75A"/>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DEC"/>
    <w:rsid w:val="007C0FBC"/>
    <w:rsid w:val="007C29C9"/>
    <w:rsid w:val="007C35B8"/>
    <w:rsid w:val="007C36E3"/>
    <w:rsid w:val="007C3ABB"/>
    <w:rsid w:val="007C7134"/>
    <w:rsid w:val="007C7ECF"/>
    <w:rsid w:val="007D3D20"/>
    <w:rsid w:val="007D44F9"/>
    <w:rsid w:val="007D5D46"/>
    <w:rsid w:val="007D742E"/>
    <w:rsid w:val="007E28EC"/>
    <w:rsid w:val="007E2CF9"/>
    <w:rsid w:val="007E3AFD"/>
    <w:rsid w:val="00801DAD"/>
    <w:rsid w:val="00803189"/>
    <w:rsid w:val="00804E7A"/>
    <w:rsid w:val="00805FBB"/>
    <w:rsid w:val="00814292"/>
    <w:rsid w:val="008169A4"/>
    <w:rsid w:val="008213D3"/>
    <w:rsid w:val="008278FE"/>
    <w:rsid w:val="00832598"/>
    <w:rsid w:val="0083397E"/>
    <w:rsid w:val="0083534B"/>
    <w:rsid w:val="00837EB8"/>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0D99"/>
    <w:rsid w:val="00943D21"/>
    <w:rsid w:val="0094504B"/>
    <w:rsid w:val="00964A38"/>
    <w:rsid w:val="00966A9D"/>
    <w:rsid w:val="0096742B"/>
    <w:rsid w:val="00967C64"/>
    <w:rsid w:val="009718C5"/>
    <w:rsid w:val="0097696E"/>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76D0"/>
    <w:rsid w:val="00A228DA"/>
    <w:rsid w:val="00A22B28"/>
    <w:rsid w:val="00A3351E"/>
    <w:rsid w:val="00A4303C"/>
    <w:rsid w:val="00A46CAF"/>
    <w:rsid w:val="00A470FD"/>
    <w:rsid w:val="00A50B5E"/>
    <w:rsid w:val="00A62DAB"/>
    <w:rsid w:val="00A65CC5"/>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BF6EFA"/>
    <w:rsid w:val="00C028FC"/>
    <w:rsid w:val="00C037F2"/>
    <w:rsid w:val="00C0386D"/>
    <w:rsid w:val="00C065A1"/>
    <w:rsid w:val="00C10ED5"/>
    <w:rsid w:val="00C12574"/>
    <w:rsid w:val="00C151A6"/>
    <w:rsid w:val="00C24098"/>
    <w:rsid w:val="00C30A4E"/>
    <w:rsid w:val="00C370B4"/>
    <w:rsid w:val="00C411F3"/>
    <w:rsid w:val="00C44105"/>
    <w:rsid w:val="00C523EC"/>
    <w:rsid w:val="00C55A33"/>
    <w:rsid w:val="00C56947"/>
    <w:rsid w:val="00C64D49"/>
    <w:rsid w:val="00C66692"/>
    <w:rsid w:val="00C673B5"/>
    <w:rsid w:val="00C7063D"/>
    <w:rsid w:val="00C72339"/>
    <w:rsid w:val="00C73825"/>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611"/>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0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370B4"/>
    <w:pPr>
      <w:jc w:val="center"/>
    </w:pPr>
    <w:rPr>
      <w:rFonts w:ascii="Arial" w:hAnsi="Arial"/>
      <w:b/>
    </w:rPr>
  </w:style>
  <w:style w:type="paragraph" w:styleId="ListParagraph">
    <w:name w:val="List Paragraph"/>
    <w:basedOn w:val="Normal"/>
    <w:uiPriority w:val="34"/>
    <w:qFormat/>
    <w:rsid w:val="00C370B4"/>
    <w:pPr>
      <w:ind w:left="720"/>
      <w:contextualSpacing/>
    </w:pPr>
  </w:style>
  <w:style w:type="paragraph" w:styleId="BalloonText">
    <w:name w:val="Balloon Text"/>
    <w:basedOn w:val="Normal"/>
    <w:link w:val="BalloonTextChar"/>
    <w:semiHidden/>
    <w:unhideWhenUsed/>
    <w:rsid w:val="004609F8"/>
    <w:rPr>
      <w:rFonts w:ascii="Segoe UI" w:hAnsi="Segoe UI" w:cs="Segoe UI"/>
      <w:sz w:val="18"/>
      <w:szCs w:val="18"/>
    </w:rPr>
  </w:style>
  <w:style w:type="character" w:customStyle="1" w:styleId="BalloonTextChar">
    <w:name w:val="Balloon Text Char"/>
    <w:basedOn w:val="DefaultParagraphFont"/>
    <w:link w:val="BalloonText"/>
    <w:semiHidden/>
    <w:rsid w:val="00460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9337-9C8A-4C95-928C-8ABE979E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2024-08-19T13:48:00Z</dcterms:created>
  <dcterms:modified xsi:type="dcterms:W3CDTF">2024-08-19T14:50:00Z</dcterms:modified>
</cp:coreProperties>
</file>