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6A8C4" w14:textId="77777777" w:rsidR="00CB5276" w:rsidRDefault="008020FB" w:rsidP="008020FB">
      <w:pPr>
        <w:pStyle w:val="OrderHeading"/>
      </w:pPr>
      <w:r>
        <w:t>BEFORE THE FLORIDA PUBLIC SERVICE COMMISSION</w:t>
      </w:r>
    </w:p>
    <w:p w14:paraId="10D54E28" w14:textId="77777777" w:rsidR="008020FB" w:rsidRDefault="008020FB" w:rsidP="008020FB">
      <w:pPr>
        <w:pStyle w:val="OrderBody"/>
      </w:pPr>
    </w:p>
    <w:p w14:paraId="62241E09" w14:textId="77777777" w:rsidR="008020FB" w:rsidRDefault="008020FB" w:rsidP="008020F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020FB" w:rsidRPr="00C63FCF" w14:paraId="4765AD5A" w14:textId="77777777" w:rsidTr="00C63FCF">
        <w:trPr>
          <w:trHeight w:val="828"/>
        </w:trPr>
        <w:tc>
          <w:tcPr>
            <w:tcW w:w="4788" w:type="dxa"/>
            <w:tcBorders>
              <w:bottom w:val="single" w:sz="8" w:space="0" w:color="auto"/>
              <w:right w:val="double" w:sz="6" w:space="0" w:color="auto"/>
            </w:tcBorders>
            <w:shd w:val="clear" w:color="auto" w:fill="auto"/>
          </w:tcPr>
          <w:p w14:paraId="1EA12061" w14:textId="77777777" w:rsidR="008020FB" w:rsidRDefault="008020FB" w:rsidP="00C63FCF">
            <w:pPr>
              <w:pStyle w:val="OrderBody"/>
              <w:tabs>
                <w:tab w:val="center" w:pos="4320"/>
                <w:tab w:val="right" w:pos="8640"/>
              </w:tabs>
              <w:jc w:val="left"/>
            </w:pPr>
            <w:r>
              <w:t xml:space="preserve">In re: </w:t>
            </w:r>
            <w:bookmarkStart w:id="0" w:name="SSInRe"/>
            <w:bookmarkEnd w:id="0"/>
            <w:r>
              <w:t>Petition for approval of accounting treatment for the transfer of proportional share of Plant Daniel Units 1 and 2 to Mississippi Power Company, by Florida Power &amp; Light Company.</w:t>
            </w:r>
          </w:p>
        </w:tc>
        <w:tc>
          <w:tcPr>
            <w:tcW w:w="4788" w:type="dxa"/>
            <w:tcBorders>
              <w:left w:val="double" w:sz="6" w:space="0" w:color="auto"/>
            </w:tcBorders>
            <w:shd w:val="clear" w:color="auto" w:fill="auto"/>
          </w:tcPr>
          <w:p w14:paraId="2663EC4D" w14:textId="77777777" w:rsidR="008020FB" w:rsidRDefault="008020FB" w:rsidP="008020FB">
            <w:pPr>
              <w:pStyle w:val="OrderBody"/>
            </w:pPr>
            <w:r>
              <w:t xml:space="preserve">DOCKET NO. </w:t>
            </w:r>
            <w:bookmarkStart w:id="1" w:name="SSDocketNo"/>
            <w:bookmarkEnd w:id="1"/>
            <w:r>
              <w:t>20240155-EI</w:t>
            </w:r>
          </w:p>
          <w:p w14:paraId="626D0F40" w14:textId="66C8CEA7" w:rsidR="008020FB" w:rsidRDefault="008020FB" w:rsidP="00C63FCF">
            <w:pPr>
              <w:pStyle w:val="OrderBody"/>
              <w:tabs>
                <w:tab w:val="center" w:pos="4320"/>
                <w:tab w:val="right" w:pos="8640"/>
              </w:tabs>
              <w:jc w:val="left"/>
            </w:pPr>
            <w:r>
              <w:t xml:space="preserve">ORDER NO. </w:t>
            </w:r>
            <w:bookmarkStart w:id="2" w:name="OrderNo0139"/>
            <w:r w:rsidR="00C40F40">
              <w:t>PSC-2025-0139-PAA-EI</w:t>
            </w:r>
            <w:bookmarkEnd w:id="2"/>
          </w:p>
          <w:p w14:paraId="0CEEFCD2" w14:textId="40ACC4E5" w:rsidR="008020FB" w:rsidRDefault="008020FB" w:rsidP="00C63FCF">
            <w:pPr>
              <w:pStyle w:val="OrderBody"/>
              <w:tabs>
                <w:tab w:val="center" w:pos="4320"/>
                <w:tab w:val="right" w:pos="8640"/>
              </w:tabs>
              <w:jc w:val="left"/>
            </w:pPr>
            <w:r>
              <w:t xml:space="preserve">ISSUED: </w:t>
            </w:r>
            <w:r w:rsidR="00C40F40">
              <w:t>April 21, 2025</w:t>
            </w:r>
          </w:p>
        </w:tc>
      </w:tr>
    </w:tbl>
    <w:p w14:paraId="22B81DDA" w14:textId="77777777" w:rsidR="008020FB" w:rsidRDefault="008020FB" w:rsidP="008020FB"/>
    <w:p w14:paraId="0C5E0AF7" w14:textId="77777777" w:rsidR="008020FB" w:rsidRDefault="008020FB" w:rsidP="008020FB"/>
    <w:p w14:paraId="0ED7663F" w14:textId="77777777" w:rsidR="008020FB" w:rsidRDefault="008020FB" w:rsidP="00B67A43">
      <w:pPr>
        <w:ind w:firstLine="720"/>
        <w:jc w:val="both"/>
      </w:pPr>
      <w:bookmarkStart w:id="3" w:name="Commissioners"/>
      <w:bookmarkEnd w:id="3"/>
      <w:r>
        <w:t>The following Commissioners participated in the disposition of this matter:</w:t>
      </w:r>
    </w:p>
    <w:p w14:paraId="787A416C" w14:textId="77777777" w:rsidR="008020FB" w:rsidRDefault="008020FB" w:rsidP="00B67A43"/>
    <w:p w14:paraId="052CB177" w14:textId="77777777" w:rsidR="008020FB" w:rsidRDefault="008020FB" w:rsidP="00477699">
      <w:pPr>
        <w:jc w:val="center"/>
      </w:pPr>
      <w:r>
        <w:t>MIKE LA ROSA, Chairman</w:t>
      </w:r>
    </w:p>
    <w:p w14:paraId="1EA0E4FE" w14:textId="77777777" w:rsidR="008020FB" w:rsidRDefault="008020FB" w:rsidP="00B67A43">
      <w:pPr>
        <w:jc w:val="center"/>
      </w:pPr>
      <w:r>
        <w:t>ART GRAHAM</w:t>
      </w:r>
    </w:p>
    <w:p w14:paraId="1D7DB80C" w14:textId="77777777" w:rsidR="008020FB" w:rsidRDefault="008020FB" w:rsidP="00B67A43">
      <w:pPr>
        <w:jc w:val="center"/>
      </w:pPr>
      <w:r>
        <w:t>GARY F. CLARK</w:t>
      </w:r>
    </w:p>
    <w:p w14:paraId="7B0A5AAE" w14:textId="77777777" w:rsidR="008020FB" w:rsidRDefault="008020FB" w:rsidP="00B67A43">
      <w:pPr>
        <w:jc w:val="center"/>
      </w:pPr>
      <w:r>
        <w:t>ANDREW GILES FAY</w:t>
      </w:r>
    </w:p>
    <w:p w14:paraId="5745B980" w14:textId="77777777" w:rsidR="008020FB" w:rsidRPr="005F2751" w:rsidRDefault="008020FB" w:rsidP="00B67A43">
      <w:pPr>
        <w:jc w:val="center"/>
      </w:pPr>
      <w:r w:rsidRPr="005F2751">
        <w:rPr>
          <w:lang w:val="en"/>
        </w:rPr>
        <w:t>GABRIELLA PASSIDOMO</w:t>
      </w:r>
      <w:r>
        <w:rPr>
          <w:lang w:val="en"/>
        </w:rPr>
        <w:t xml:space="preserve"> SMITH</w:t>
      </w:r>
    </w:p>
    <w:p w14:paraId="28EA39BF" w14:textId="77777777" w:rsidR="008020FB" w:rsidRDefault="008020FB" w:rsidP="00B67A43"/>
    <w:p w14:paraId="3CB60A7C" w14:textId="77777777" w:rsidR="008020FB" w:rsidRDefault="008020FB" w:rsidP="008020FB">
      <w:pPr>
        <w:pStyle w:val="OrderBody"/>
      </w:pPr>
    </w:p>
    <w:bookmarkStart w:id="4" w:name="OrderText"/>
    <w:bookmarkEnd w:id="4"/>
    <w:p w14:paraId="2EBD166F" w14:textId="2A2210EA" w:rsidR="008020FB" w:rsidRPr="003E4B2D" w:rsidRDefault="008020FB">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27125C92" w14:textId="77777777" w:rsidR="007B656F" w:rsidRDefault="008020FB">
      <w:pPr>
        <w:pStyle w:val="OrderBody"/>
        <w:jc w:val="center"/>
        <w:rPr>
          <w:u w:val="single"/>
        </w:rPr>
      </w:pPr>
      <w:r w:rsidRPr="003E4B2D">
        <w:rPr>
          <w:u w:val="single"/>
        </w:rPr>
        <w:t>ORDER</w:t>
      </w:r>
      <w:bookmarkStart w:id="5" w:name="OrderTitle"/>
      <w:r w:rsidR="007B656F">
        <w:rPr>
          <w:u w:val="single"/>
        </w:rPr>
        <w:t xml:space="preserve"> APPROVING ACCOUNTING TREATMENT FOR THE</w:t>
      </w:r>
    </w:p>
    <w:p w14:paraId="06760204" w14:textId="77777777" w:rsidR="007B656F" w:rsidRDefault="007B656F">
      <w:pPr>
        <w:pStyle w:val="OrderBody"/>
        <w:jc w:val="center"/>
        <w:rPr>
          <w:u w:val="single"/>
        </w:rPr>
      </w:pPr>
      <w:r>
        <w:rPr>
          <w:u w:val="single"/>
        </w:rPr>
        <w:t>TRANSFER OF PROPORTIONAL SHARE OF PLANT DANIELS</w:t>
      </w:r>
    </w:p>
    <w:p w14:paraId="78381709" w14:textId="77777777" w:rsidR="007B656F" w:rsidRDefault="007B656F">
      <w:pPr>
        <w:pStyle w:val="OrderBody"/>
        <w:jc w:val="center"/>
        <w:rPr>
          <w:u w:val="single"/>
        </w:rPr>
      </w:pPr>
      <w:r>
        <w:rPr>
          <w:u w:val="single"/>
        </w:rPr>
        <w:t>UNITS 1 AND 2 TO MISSISSIPPI POWER COMPANY</w:t>
      </w:r>
    </w:p>
    <w:p w14:paraId="1AD8AE55" w14:textId="77777777" w:rsidR="008020FB" w:rsidRPr="003E4B2D" w:rsidRDefault="007B656F">
      <w:pPr>
        <w:pStyle w:val="OrderBody"/>
        <w:jc w:val="center"/>
        <w:rPr>
          <w:u w:val="single"/>
        </w:rPr>
      </w:pPr>
      <w:r>
        <w:rPr>
          <w:u w:val="single"/>
        </w:rPr>
        <w:t>FROM FLORIDA POWER &amp; LIGHT COMPANY</w:t>
      </w:r>
      <w:r w:rsidR="008020FB">
        <w:rPr>
          <w:u w:val="single"/>
        </w:rPr>
        <w:t xml:space="preserve"> </w:t>
      </w:r>
      <w:bookmarkEnd w:id="5"/>
    </w:p>
    <w:p w14:paraId="05A4A250" w14:textId="77777777" w:rsidR="008020FB" w:rsidRPr="003E4B2D" w:rsidRDefault="008020FB">
      <w:pPr>
        <w:pStyle w:val="OrderBody"/>
      </w:pPr>
    </w:p>
    <w:p w14:paraId="17F389B8" w14:textId="77777777" w:rsidR="008020FB" w:rsidRPr="003E4B2D" w:rsidRDefault="008020FB">
      <w:pPr>
        <w:pStyle w:val="OrderBody"/>
      </w:pPr>
    </w:p>
    <w:p w14:paraId="74F70339" w14:textId="77777777" w:rsidR="008020FB" w:rsidRPr="003E4B2D" w:rsidRDefault="008020FB">
      <w:pPr>
        <w:pStyle w:val="OrderBody"/>
      </w:pPr>
      <w:r w:rsidRPr="003E4B2D">
        <w:t>BY THE COMMISSION:</w:t>
      </w:r>
    </w:p>
    <w:p w14:paraId="4343A86E" w14:textId="77777777" w:rsidR="008020FB" w:rsidRPr="003E4B2D" w:rsidRDefault="008020FB">
      <w:pPr>
        <w:pStyle w:val="OrderBody"/>
      </w:pPr>
    </w:p>
    <w:p w14:paraId="15A14E38" w14:textId="77777777" w:rsidR="008020FB" w:rsidRDefault="008020FB">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14:paraId="68426E0B" w14:textId="77777777" w:rsidR="00CB5276" w:rsidRDefault="00CB5276" w:rsidP="008020FB"/>
    <w:p w14:paraId="57848292" w14:textId="77777777" w:rsidR="008020FB" w:rsidRPr="00D42E51" w:rsidRDefault="008020FB" w:rsidP="008020FB">
      <w:pPr>
        <w:keepNext/>
        <w:spacing w:after="240"/>
        <w:jc w:val="center"/>
        <w:outlineLvl w:val="0"/>
        <w:rPr>
          <w:bCs/>
          <w:kern w:val="32"/>
          <w:szCs w:val="32"/>
          <w:u w:val="single"/>
        </w:rPr>
      </w:pPr>
      <w:bookmarkStart w:id="6" w:name="CaseBackground"/>
      <w:r w:rsidRPr="00D42E51">
        <w:rPr>
          <w:bCs/>
          <w:kern w:val="32"/>
          <w:szCs w:val="32"/>
          <w:u w:val="single"/>
        </w:rPr>
        <w:t>Background</w:t>
      </w:r>
    </w:p>
    <w:bookmarkEnd w:id="6"/>
    <w:p w14:paraId="11920E6F" w14:textId="77777777" w:rsidR="00D42E51" w:rsidRPr="008020FB" w:rsidRDefault="00D42E51" w:rsidP="00D42E51">
      <w:pPr>
        <w:spacing w:after="240"/>
        <w:jc w:val="both"/>
      </w:pPr>
      <w:r>
        <w:tab/>
      </w:r>
      <w:r w:rsidRPr="008020FB">
        <w:t xml:space="preserve">On November 8, 2024, Florida Power &amp; Light Company (FPL or the Company) filed a petition for approval to transfer FPL’s 50 percent share of Plant Daniel Units 1 &amp; 2 (Units 1 &amp; 2) to Mississippi Power Company (MPC). This follows a 2019 acquisition of Gulf Power Company (Gulf) by NextEra Energy, Inc. (NextEra), </w:t>
      </w:r>
      <w:r w:rsidR="003745F7">
        <w:t xml:space="preserve">FPL’s parent company, </w:t>
      </w:r>
      <w:r w:rsidRPr="008020FB">
        <w:t xml:space="preserve">where NextEra gained control of Gulf’s 50 percent share of Units 1 &amp; 2 and transferred ownership to FPL. FPL announced it would continue with </w:t>
      </w:r>
      <w:r w:rsidR="003745F7">
        <w:t xml:space="preserve">existing </w:t>
      </w:r>
      <w:r w:rsidRPr="008020FB">
        <w:t>plans made by Gulf to retire its shares of Units 1 &amp; 2 by January 2024. FPL has stated that while its shares of Units 1 &amp; 2 have been retired, based on a 2022 operating agreement made be</w:t>
      </w:r>
      <w:r w:rsidR="003745F7">
        <w:t>tween FPL and MPC, the Company remain</w:t>
      </w:r>
      <w:r w:rsidRPr="008020FB">
        <w:t xml:space="preserve">s responsible for Common Facilities costs, related to common ownership, until MPC retires its shares in 2031. On November 8, 2024, FPL entered into a purchase and sale agreement (PSA) with MPC to transfer its shares of Units 1 &amp; 2 to MPC and pay MPC $45 million (the Transaction), to alleviate FPL’s </w:t>
      </w:r>
      <w:r w:rsidRPr="008020FB">
        <w:lastRenderedPageBreak/>
        <w:t xml:space="preserve">ongoing Common Facilities costs. FPL has stated that this PSA will result in approximately $10 million in avoided costs </w:t>
      </w:r>
      <w:r w:rsidR="008E16F0">
        <w:t>annually for</w:t>
      </w:r>
      <w:r w:rsidR="003745F7">
        <w:t xml:space="preserve"> </w:t>
      </w:r>
      <w:r w:rsidRPr="008020FB">
        <w:t xml:space="preserve">2025 through 2031. </w:t>
      </w:r>
    </w:p>
    <w:p w14:paraId="2B406150" w14:textId="77777777" w:rsidR="00D42E51" w:rsidRPr="008020FB" w:rsidRDefault="00D42E51" w:rsidP="00D42E51">
      <w:pPr>
        <w:spacing w:after="240"/>
        <w:jc w:val="both"/>
      </w:pPr>
      <w:r>
        <w:tab/>
      </w:r>
      <w:r w:rsidRPr="008020FB">
        <w:t xml:space="preserve">In the Petition, FPL also requested </w:t>
      </w:r>
      <w:r>
        <w:t>that we</w:t>
      </w:r>
      <w:r w:rsidRPr="008020FB">
        <w:t xml:space="preserve"> authorize the Company to continue to accrue its proportional share of dismantlement costs in base rates.</w:t>
      </w:r>
    </w:p>
    <w:p w14:paraId="5FE1FB40" w14:textId="77777777" w:rsidR="00D42E51" w:rsidRPr="008020FB" w:rsidRDefault="00D42E51" w:rsidP="00D42E51">
      <w:pPr>
        <w:spacing w:after="240"/>
        <w:jc w:val="both"/>
      </w:pPr>
      <w:r>
        <w:tab/>
      </w:r>
      <w:r w:rsidRPr="008020FB">
        <w:t>FPL is not requesting a regulatory asset for the remaining net book value of its ownership share of Units 1 &amp; 2 in the instant docket. Since FPL’s retirement of the units, the Company has reflected the estimated remaining investment as a negative amount in the accumulated reserve for the respective plant accounts, and has continued its depreciation for the retirements using ra</w:t>
      </w:r>
      <w:r w:rsidR="00B853FA">
        <w:t>tes approved as part of its 2021</w:t>
      </w:r>
      <w:r w:rsidRPr="008020FB">
        <w:t xml:space="preserve"> rate case settlement.</w:t>
      </w:r>
      <w:r w:rsidRPr="008020FB">
        <w:rPr>
          <w:vertAlign w:val="superscript"/>
        </w:rPr>
        <w:footnoteReference w:id="1"/>
      </w:r>
    </w:p>
    <w:p w14:paraId="7B70A122" w14:textId="77777777" w:rsidR="00D42E51" w:rsidRPr="008020FB" w:rsidRDefault="00D42E51" w:rsidP="00D42E51">
      <w:pPr>
        <w:spacing w:after="240"/>
        <w:jc w:val="both"/>
      </w:pPr>
      <w:r>
        <w:tab/>
      </w:r>
      <w:r w:rsidRPr="008020FB">
        <w:t xml:space="preserve">In FPL’s petition, the Company proposed the creation of a regulatory asset worth $39.3 million, representing the proportion of the transfer price associated with base rate components, to be collected over 10 years, beginning at FPL's next base rate adjustment. Until this adjustment, FPL has requested to continue recovering dismantlement and decommissioning costs related to Units 1 &amp; 2 in base rates. FPL also proposed the creation of a regulatory asset worth $5.7 million representing the proportion of the transfer price associated with environmental costs, to be recovered through the Environmental Cost Recovery Clause (ECRC) over 10 years, beginning January 1, 2026. FPL has stated that it is still responsible for environmental costs for anything that occurred before the transfer, and has requested to continue recovering these costs through the ECRC. Until the balance on the regulatory assets has been fully recovered, FPL has requested that it receive a return based on the unamortized balances of the regulatory assets. </w:t>
      </w:r>
    </w:p>
    <w:p w14:paraId="2AE2A238" w14:textId="77777777" w:rsidR="00D42E51" w:rsidRDefault="00D42E51" w:rsidP="00D42E51">
      <w:pPr>
        <w:spacing w:after="240"/>
        <w:jc w:val="both"/>
      </w:pPr>
      <w:r>
        <w:tab/>
        <w:t>We acknowledged intervention by t</w:t>
      </w:r>
      <w:r w:rsidRPr="008020FB">
        <w:t>he Office of Pub</w:t>
      </w:r>
      <w:r w:rsidR="00B853FA">
        <w:t>l</w:t>
      </w:r>
      <w:r w:rsidRPr="008020FB">
        <w:t>ic Counsel (OPC) in Order No. PSC-2025-0083-PCO-EI, filed March 18, 2025</w:t>
      </w:r>
      <w:r>
        <w:t>.</w:t>
      </w:r>
    </w:p>
    <w:p w14:paraId="53760467" w14:textId="77777777" w:rsidR="008020FB" w:rsidRDefault="008020FB" w:rsidP="00D42E51">
      <w:pPr>
        <w:spacing w:after="240"/>
        <w:jc w:val="both"/>
        <w:rPr>
          <w:iCs/>
          <w:color w:val="000000"/>
        </w:rPr>
      </w:pPr>
      <w:r>
        <w:rPr>
          <w:iCs/>
          <w:color w:val="000000"/>
        </w:rPr>
        <w:tab/>
      </w:r>
      <w:r w:rsidR="005B7EDC">
        <w:rPr>
          <w:iCs/>
          <w:color w:val="000000"/>
        </w:rPr>
        <w:t>We have</w:t>
      </w:r>
      <w:r w:rsidRPr="008020FB">
        <w:rPr>
          <w:iCs/>
          <w:color w:val="000000"/>
        </w:rPr>
        <w:t xml:space="preserve"> jurisdiction pursuant to Sections 366.04, 366.06, and 366.07, Florida Statutes.</w:t>
      </w:r>
    </w:p>
    <w:p w14:paraId="7193B6E3" w14:textId="77777777" w:rsidR="008020FB" w:rsidRPr="005B7EDC" w:rsidRDefault="008020FB" w:rsidP="008020FB">
      <w:pPr>
        <w:keepNext/>
        <w:spacing w:after="240"/>
        <w:jc w:val="center"/>
        <w:outlineLvl w:val="0"/>
        <w:rPr>
          <w:bCs/>
          <w:kern w:val="32"/>
          <w:szCs w:val="32"/>
          <w:u w:val="single"/>
        </w:rPr>
      </w:pPr>
      <w:bookmarkStart w:id="7" w:name="DiscussionOfIssues"/>
      <w:r w:rsidRPr="005B7EDC">
        <w:rPr>
          <w:bCs/>
          <w:kern w:val="32"/>
          <w:szCs w:val="32"/>
          <w:u w:val="single"/>
        </w:rPr>
        <w:t>D</w:t>
      </w:r>
      <w:r w:rsidR="005B7EDC" w:rsidRPr="005B7EDC">
        <w:rPr>
          <w:bCs/>
          <w:kern w:val="32"/>
          <w:szCs w:val="32"/>
          <w:u w:val="single"/>
        </w:rPr>
        <w:t>e</w:t>
      </w:r>
      <w:r w:rsidRPr="005B7EDC">
        <w:rPr>
          <w:bCs/>
          <w:kern w:val="32"/>
          <w:szCs w:val="32"/>
          <w:u w:val="single"/>
        </w:rPr>
        <w:t>c</w:t>
      </w:r>
      <w:r w:rsidR="005B7EDC" w:rsidRPr="005B7EDC">
        <w:rPr>
          <w:bCs/>
          <w:kern w:val="32"/>
          <w:szCs w:val="32"/>
          <w:u w:val="single"/>
        </w:rPr>
        <w:t>i</w:t>
      </w:r>
      <w:r w:rsidRPr="005B7EDC">
        <w:rPr>
          <w:bCs/>
          <w:kern w:val="32"/>
          <w:szCs w:val="32"/>
          <w:u w:val="single"/>
        </w:rPr>
        <w:t>sion</w:t>
      </w:r>
    </w:p>
    <w:bookmarkEnd w:id="7"/>
    <w:p w14:paraId="4ADC09A4" w14:textId="77777777" w:rsidR="00533ED5" w:rsidRDefault="008020FB" w:rsidP="005B7EDC">
      <w:pPr>
        <w:spacing w:after="240"/>
        <w:jc w:val="both"/>
        <w:outlineLvl w:val="0"/>
      </w:pPr>
      <w:r>
        <w:rPr>
          <w:rFonts w:ascii="Arial" w:hAnsi="Arial" w:cs="Arial"/>
          <w:b/>
          <w:bCs/>
          <w:i/>
          <w:kern w:val="32"/>
          <w:szCs w:val="32"/>
        </w:rPr>
        <w:tab/>
      </w:r>
      <w:r w:rsidRPr="008020FB">
        <w:t>FPL request</w:t>
      </w:r>
      <w:r w:rsidR="00083535">
        <w:t>s</w:t>
      </w:r>
      <w:r w:rsidRPr="008020FB">
        <w:t xml:space="preserve"> </w:t>
      </w:r>
      <w:r w:rsidR="00083535">
        <w:t>that we</w:t>
      </w:r>
      <w:r w:rsidRPr="008020FB">
        <w:t xml:space="preserve"> ap</w:t>
      </w:r>
      <w:r w:rsidR="005B7EDC">
        <w:t>prov</w:t>
      </w:r>
      <w:r w:rsidR="00083535">
        <w:t>e</w:t>
      </w:r>
      <w:r w:rsidR="005B7EDC">
        <w:t xml:space="preserve"> the PSA with MPC that</w:t>
      </w:r>
      <w:r w:rsidRPr="008020FB">
        <w:t xml:space="preserve"> transfers FPL’s 50 percent ownership share of Units 1 &amp; 2 to MPC. </w:t>
      </w:r>
      <w:r w:rsidR="00083535">
        <w:t>This</w:t>
      </w:r>
      <w:r w:rsidRPr="008020FB">
        <w:t xml:space="preserve"> approval would alleviate FPL’s share of ongoing cost responsibilities associated with the common facilities at Units 1 &amp; 2. FPL is asking </w:t>
      </w:r>
      <w:r w:rsidR="005B7EDC">
        <w:t>us</w:t>
      </w:r>
      <w:r w:rsidRPr="008020FB">
        <w:t xml:space="preserve"> to determine that the PSA is in the best interest of its customers.</w:t>
      </w:r>
    </w:p>
    <w:p w14:paraId="766AB70F" w14:textId="77777777" w:rsidR="00533ED5" w:rsidRPr="00533ED5" w:rsidRDefault="00533ED5" w:rsidP="00533ED5">
      <w:pPr>
        <w:spacing w:after="240"/>
        <w:jc w:val="center"/>
        <w:outlineLvl w:val="0"/>
        <w:rPr>
          <w:u w:val="single"/>
        </w:rPr>
      </w:pPr>
      <w:r>
        <w:rPr>
          <w:u w:val="single"/>
        </w:rPr>
        <w:t>Retirement of Units 1 &amp; 2 and the PSA</w:t>
      </w:r>
    </w:p>
    <w:p w14:paraId="76FDBC86" w14:textId="77777777" w:rsidR="008020FB" w:rsidRDefault="00533ED5" w:rsidP="005B7EDC">
      <w:pPr>
        <w:spacing w:after="240"/>
        <w:jc w:val="both"/>
        <w:outlineLvl w:val="0"/>
      </w:pPr>
      <w:r>
        <w:tab/>
      </w:r>
      <w:r w:rsidR="005B7EDC">
        <w:t>In our evaluation of the Company’s request, we have</w:t>
      </w:r>
      <w:r w:rsidR="008020FB" w:rsidRPr="008020FB">
        <w:t xml:space="preserve"> reviewed both the initial decision by FPL to retire its share of Units 1 &amp; 2 an</w:t>
      </w:r>
      <w:r w:rsidR="005B7EDC">
        <w:t>d the PSA terms and conditions.</w:t>
      </w:r>
    </w:p>
    <w:p w14:paraId="7F36471A" w14:textId="77777777" w:rsidR="009965CE" w:rsidRDefault="009965CE" w:rsidP="005B7EDC">
      <w:pPr>
        <w:spacing w:after="240"/>
        <w:jc w:val="both"/>
        <w:outlineLvl w:val="0"/>
      </w:pPr>
    </w:p>
    <w:p w14:paraId="6052BC56" w14:textId="77777777" w:rsidR="009965CE" w:rsidRDefault="009965CE" w:rsidP="005B7EDC">
      <w:pPr>
        <w:spacing w:after="240"/>
        <w:jc w:val="both"/>
        <w:outlineLvl w:val="0"/>
      </w:pPr>
    </w:p>
    <w:p w14:paraId="61100DE0" w14:textId="77777777" w:rsidR="008020FB" w:rsidRPr="005B7EDC" w:rsidRDefault="008020FB" w:rsidP="008020FB">
      <w:pPr>
        <w:jc w:val="both"/>
        <w:outlineLvl w:val="2"/>
        <w:rPr>
          <w:bCs/>
          <w:iCs/>
          <w:szCs w:val="28"/>
          <w:u w:val="single"/>
        </w:rPr>
      </w:pPr>
      <w:r w:rsidRPr="005B7EDC">
        <w:rPr>
          <w:bCs/>
          <w:iCs/>
          <w:szCs w:val="28"/>
          <w:u w:val="single"/>
        </w:rPr>
        <w:lastRenderedPageBreak/>
        <w:t>Ownership Interests in Plant Daniel Units 1 &amp; 2</w:t>
      </w:r>
    </w:p>
    <w:p w14:paraId="3FF13406" w14:textId="77777777" w:rsidR="005B7EDC" w:rsidRPr="00147E49" w:rsidRDefault="005B7EDC" w:rsidP="008020FB">
      <w:pPr>
        <w:jc w:val="both"/>
        <w:outlineLvl w:val="2"/>
        <w:rPr>
          <w:bCs/>
          <w:iCs/>
          <w:szCs w:val="28"/>
        </w:rPr>
      </w:pPr>
    </w:p>
    <w:p w14:paraId="2365A85E" w14:textId="77777777" w:rsidR="008020FB" w:rsidRPr="008020FB" w:rsidRDefault="008020FB" w:rsidP="008020FB">
      <w:pPr>
        <w:spacing w:after="240"/>
        <w:jc w:val="both"/>
        <w:rPr>
          <w:b/>
          <w:i/>
        </w:rPr>
      </w:pPr>
      <w:r>
        <w:tab/>
      </w:r>
      <w:r w:rsidRPr="008020FB">
        <w:t xml:space="preserve">Gulf acquired 50 percent ownership in Units 1 &amp; 2 by sharing in the construction and operating expenses with MPC in 1976. </w:t>
      </w:r>
      <w:r w:rsidR="005B7EDC">
        <w:t>Gulf and MP</w:t>
      </w:r>
      <w:r w:rsidR="003745F7">
        <w:t>C</w:t>
      </w:r>
      <w:r w:rsidR="005B7EDC">
        <w:t xml:space="preserve"> </w:t>
      </w:r>
      <w:r w:rsidR="00083535">
        <w:t xml:space="preserve">subsequently </w:t>
      </w:r>
      <w:r w:rsidR="005B7EDC">
        <w:t>established a</w:t>
      </w:r>
      <w:r w:rsidRPr="008020FB">
        <w:t xml:space="preserve"> Plant Operating Agreement in 1981. In 2019, Gulf’s ownership in Units 1 &amp; 2 was transferred to FPL following the acquisition of Gulf by NextEra, the parent company of FPL. Following this transfer, FPL provided a notice to MPC that it intended to retire its share of Units 1 &amp; 2 in January 2024. According to FPL’s petition, Units 1 &amp; 2 were inefficient compared to the other generating units in FPL’s fleet</w:t>
      </w:r>
      <w:r w:rsidR="005B7EDC">
        <w:rPr>
          <w:rStyle w:val="FootnoteReference"/>
        </w:rPr>
        <w:footnoteReference w:id="2"/>
      </w:r>
      <w:r w:rsidR="00931794">
        <w:t xml:space="preserve"> and, t</w:t>
      </w:r>
      <w:r w:rsidRPr="008020FB">
        <w:t>herefore, it was not feasible to consider using Units 1 &amp; 2 for economic dispatch</w:t>
      </w:r>
      <w:r w:rsidR="00931794">
        <w:t xml:space="preserve">. </w:t>
      </w:r>
      <w:r w:rsidRPr="008020FB">
        <w:t xml:space="preserve"> FPL</w:t>
      </w:r>
      <w:r w:rsidR="00931794">
        <w:t xml:space="preserve"> continues that </w:t>
      </w:r>
      <w:r w:rsidRPr="008020FB">
        <w:t>retirement of Units 1 &amp; 2 was reasonable since the units were not needed at the time by FPL for reliability purposes</w:t>
      </w:r>
      <w:r w:rsidR="00931794">
        <w:t>,</w:t>
      </w:r>
      <w:r w:rsidRPr="008020FB">
        <w:t xml:space="preserve"> and the retirement was projected to result in a net present value (NPV) of $229 million for FPL’s customers based on a cumulative present value of revenue requirements (CPVRR) analysis.</w:t>
      </w:r>
    </w:p>
    <w:p w14:paraId="0DF8DDFE" w14:textId="77777777" w:rsidR="008020FB" w:rsidRPr="008020FB" w:rsidRDefault="008020FB" w:rsidP="008020FB">
      <w:pPr>
        <w:spacing w:after="240"/>
        <w:jc w:val="both"/>
        <w:rPr>
          <w:b/>
          <w:i/>
        </w:rPr>
      </w:pPr>
      <w:r>
        <w:tab/>
      </w:r>
      <w:r w:rsidRPr="008020FB">
        <w:t>In 2022, FPL and MPC negotiated an amendment to the 1981 Plant Operating Agreement between Gulf and MPC. This negotiation resulted in the 2022 Second Amended and Restated Plant Daniel Operating Agreement (2022 Operating Agreement)</w:t>
      </w:r>
      <w:r w:rsidR="00931794">
        <w:t>,</w:t>
      </w:r>
      <w:r w:rsidRPr="008020FB">
        <w:t xml:space="preserve"> which was used to adjust the cost allocation between FPL and MPC due to FPL’s announced retirement of share of Units 1 &amp; 2. MPC had an option to purchase FPL’s 50 percent ownership of Units 1 &amp; 2 for one dollar ($1.00) at any time 120 days prior to and including the retirement date of January 15, 2024, but did not exercise this option. In 2024, FPL engaged in discussions and negotiations with Southern Company, the parent company of MPC, to reduce or eliminate costs associated with FPL’s share of Plant Daniel. These discussions and negotiations culminated in the PSA to transfer FPL’s share of Units 1 &amp; 2 to MPC.  </w:t>
      </w:r>
    </w:p>
    <w:p w14:paraId="1F690376" w14:textId="77777777" w:rsidR="008020FB" w:rsidRPr="00931794" w:rsidRDefault="008020FB" w:rsidP="008020FB">
      <w:pPr>
        <w:jc w:val="both"/>
        <w:outlineLvl w:val="2"/>
        <w:rPr>
          <w:bCs/>
          <w:iCs/>
          <w:szCs w:val="28"/>
          <w:u w:val="single"/>
        </w:rPr>
      </w:pPr>
      <w:r w:rsidRPr="00931794">
        <w:rPr>
          <w:bCs/>
          <w:iCs/>
          <w:szCs w:val="28"/>
          <w:u w:val="single"/>
        </w:rPr>
        <w:t>Purchase and Sale Agreement</w:t>
      </w:r>
    </w:p>
    <w:p w14:paraId="1AB68376" w14:textId="77777777" w:rsidR="00931794" w:rsidRPr="00147E49" w:rsidRDefault="00931794" w:rsidP="008020FB">
      <w:pPr>
        <w:jc w:val="both"/>
        <w:outlineLvl w:val="2"/>
        <w:rPr>
          <w:bCs/>
          <w:iCs/>
          <w:szCs w:val="28"/>
        </w:rPr>
      </w:pPr>
    </w:p>
    <w:p w14:paraId="66DE052E" w14:textId="77777777" w:rsidR="008020FB" w:rsidRDefault="008020FB" w:rsidP="008020FB">
      <w:pPr>
        <w:spacing w:after="240"/>
        <w:jc w:val="both"/>
      </w:pPr>
      <w:r>
        <w:tab/>
      </w:r>
      <w:r w:rsidRPr="008020FB">
        <w:t>Under the 2022 Operating Agreement, FPL pays common facilities costs for ownership of Units 1 &amp; 2 through MPC’s proposed retirement of Units 1 &amp; 2 in 2031. These costs are approximately $10 million per year regardless of whether Units 1 &amp; 2 are providing service to FPL customers. The PSA required a $45 million payment by FPL to MPC, if the transaction closed on or before December 31, 2024, and eliminated all ongoing common facilities expenses and capital costs, including ad valorem tax associated with Units 1 &amp; 2. If the transaction occurre</w:t>
      </w:r>
      <w:r w:rsidR="003745F7">
        <w:t>d after December 31, 2024, the ad v</w:t>
      </w:r>
      <w:r w:rsidRPr="008020FB">
        <w:t xml:space="preserve">alorem liability for the accrual year 2025 would stay with FPL and the transfer payment would be reduced by the same amount. In response to a </w:t>
      </w:r>
      <w:r w:rsidR="00931794">
        <w:t xml:space="preserve">Commission </w:t>
      </w:r>
      <w:r w:rsidRPr="008020FB">
        <w:t xml:space="preserve">staff data request, FPL stated that if </w:t>
      </w:r>
      <w:r w:rsidR="00931794">
        <w:t>we approve</w:t>
      </w:r>
      <w:r w:rsidRPr="008020FB">
        <w:t xml:space="preserve"> this petition in April 2025</w:t>
      </w:r>
      <w:r w:rsidR="00931794">
        <w:t xml:space="preserve"> and that approval is not challenged</w:t>
      </w:r>
      <w:r w:rsidRPr="008020FB">
        <w:t xml:space="preserve">, the most probable closing date would be July 2025, resulting in a transfer payment to MPC of approximately $36.02 million. Under the PSA, FPL will relinquish its 50 percent interest in Units 1 &amp; 2 and MPC will assume FPL’s share of certain operating costs and incremental liabilities created after the closing date. </w:t>
      </w:r>
    </w:p>
    <w:p w14:paraId="6E79A234" w14:textId="77777777" w:rsidR="009965CE" w:rsidRPr="008020FB" w:rsidRDefault="009965CE" w:rsidP="008020FB">
      <w:pPr>
        <w:spacing w:after="240"/>
        <w:jc w:val="both"/>
      </w:pPr>
    </w:p>
    <w:p w14:paraId="4B50A5B1" w14:textId="77777777" w:rsidR="008020FB" w:rsidRPr="00931794" w:rsidRDefault="008020FB" w:rsidP="008020FB">
      <w:pPr>
        <w:jc w:val="both"/>
        <w:outlineLvl w:val="2"/>
        <w:rPr>
          <w:bCs/>
          <w:iCs/>
          <w:szCs w:val="28"/>
          <w:u w:val="single"/>
        </w:rPr>
      </w:pPr>
      <w:r w:rsidRPr="00931794">
        <w:rPr>
          <w:bCs/>
          <w:iCs/>
          <w:szCs w:val="28"/>
          <w:u w:val="single"/>
        </w:rPr>
        <w:lastRenderedPageBreak/>
        <w:t xml:space="preserve">PSA Cost-Effectiveness </w:t>
      </w:r>
    </w:p>
    <w:p w14:paraId="6FF15A6E" w14:textId="77777777" w:rsidR="00931794" w:rsidRPr="00147E49" w:rsidRDefault="00931794" w:rsidP="008020FB">
      <w:pPr>
        <w:jc w:val="both"/>
        <w:outlineLvl w:val="2"/>
        <w:rPr>
          <w:bCs/>
          <w:iCs/>
          <w:szCs w:val="28"/>
        </w:rPr>
      </w:pPr>
    </w:p>
    <w:p w14:paraId="192713B7" w14:textId="77777777" w:rsidR="008020FB" w:rsidRDefault="008020FB" w:rsidP="008020FB">
      <w:pPr>
        <w:spacing w:after="240"/>
        <w:jc w:val="both"/>
      </w:pPr>
      <w:r>
        <w:tab/>
      </w:r>
      <w:r w:rsidRPr="008020FB">
        <w:t xml:space="preserve">While FPL has retired its share of the Plant Daniel Units, </w:t>
      </w:r>
      <w:r w:rsidR="00931794">
        <w:t>the Company</w:t>
      </w:r>
      <w:r w:rsidRPr="008020FB">
        <w:t xml:space="preserve"> is still responsible for </w:t>
      </w:r>
      <w:r w:rsidR="00931794">
        <w:t>site maintenance</w:t>
      </w:r>
      <w:r w:rsidRPr="008020FB">
        <w:t xml:space="preserve"> and associated environmental concerns until Plant Daniel has been decommissioned as a whole, including MPC’s ownership share. Operation and maintenance exposures and capital costs for projects such as security and water management are ongoing. FPL will not be obligated for most common facilities costs, but it will remain obligated for common costs related to coal combustion residuals produced prior to the closing and decommissioning of Units 1 &amp; 2. In addition</w:t>
      </w:r>
      <w:r w:rsidR="008E16F0">
        <w:t>,</w:t>
      </w:r>
      <w:r w:rsidRPr="008020FB">
        <w:t xml:space="preserve"> FPL is liable for 50 percent of the decommissioning costs both pre-closing and post-closing. FPL’s petition asserted that the PSA results in a</w:t>
      </w:r>
      <w:r w:rsidR="00931794">
        <w:t xml:space="preserve"> </w:t>
      </w:r>
      <w:r w:rsidRPr="008020FB">
        <w:t>n</w:t>
      </w:r>
      <w:r w:rsidR="00931794">
        <w:t>et present value</w:t>
      </w:r>
      <w:r w:rsidRPr="008020FB">
        <w:t xml:space="preserve"> </w:t>
      </w:r>
      <w:r w:rsidR="00931794">
        <w:t>(</w:t>
      </w:r>
      <w:r w:rsidRPr="008020FB">
        <w:t>NPV</w:t>
      </w:r>
      <w:r w:rsidR="00931794">
        <w:t>)</w:t>
      </w:r>
      <w:r w:rsidRPr="008020FB">
        <w:t xml:space="preserve"> savings to FPL’s customers of $13.4 million based on a 2031 retirement date by MPC and the PSA closing before December 31, 2024. The actual savings could be impacted by FPL’s future cost obligations identified above. </w:t>
      </w:r>
      <w:r w:rsidR="00931794">
        <w:t>We have</w:t>
      </w:r>
      <w:r w:rsidRPr="008020FB">
        <w:t xml:space="preserve"> reviewed MPC’s initial retirement date and reasons for subsequent retirement date extensions, </w:t>
      </w:r>
      <w:r w:rsidR="00931794">
        <w:t>and</w:t>
      </w:r>
      <w:r w:rsidRPr="008020FB">
        <w:t xml:space="preserve"> discuss</w:t>
      </w:r>
      <w:r w:rsidR="00931794">
        <w:t xml:space="preserve"> them</w:t>
      </w:r>
      <w:r w:rsidRPr="008020FB">
        <w:t xml:space="preserve"> in greater detail below. </w:t>
      </w:r>
    </w:p>
    <w:p w14:paraId="0B2C20BC" w14:textId="77777777" w:rsidR="00931794" w:rsidRPr="001C6138" w:rsidRDefault="001C6138" w:rsidP="008020FB">
      <w:pPr>
        <w:spacing w:after="240"/>
        <w:jc w:val="both"/>
      </w:pPr>
      <w:r>
        <w:tab/>
      </w:r>
      <w:r>
        <w:rPr>
          <w:i/>
          <w:u w:val="single"/>
        </w:rPr>
        <w:t>MPC Retirement Date of Remaining Ownership Interest in Units 1 &amp; 2</w:t>
      </w:r>
    </w:p>
    <w:p w14:paraId="36F08A30" w14:textId="77777777" w:rsidR="008020FB" w:rsidRPr="008020FB" w:rsidRDefault="008020FB" w:rsidP="008020FB">
      <w:pPr>
        <w:spacing w:after="240"/>
        <w:jc w:val="both"/>
      </w:pPr>
      <w:r>
        <w:tab/>
      </w:r>
      <w:r w:rsidRPr="008020FB">
        <w:t>At the time the 2022 Operating Agreement was approved, MPC’s planned retirement date for its ownership share of Units 1 &amp; 2 was 2027 based on its April 2021 Integrated Resource Plan (IRP) update. Subsequently, MPC’s 2024 IRP revised this retirement date to 2028 to meet near-term and medium-term capacity needs while new generation was being built, with further changes possible if capacity needs arose. On January 9, 2025, MPC notified its regulator, the Mississippi Public Service Commission, that it had entered into two separate electric service agreements, totaling approximately 600 MW of load</w:t>
      </w:r>
      <w:r w:rsidR="001C6138">
        <w:t xml:space="preserve"> </w:t>
      </w:r>
      <w:r w:rsidRPr="008020FB">
        <w:t>that would require extending the retirement date for Units 1 &amp; 2 beyond 2028 and into the mid-2030s. Without the PSA, a retirement date beyond 2031 would increase the cost obligation of FPL’s customers, while consummation of the PSA would further increase the economic benefit to the same customers.</w:t>
      </w:r>
    </w:p>
    <w:p w14:paraId="44F22EA0" w14:textId="77777777" w:rsidR="008020FB" w:rsidRPr="008020FB" w:rsidRDefault="008020FB" w:rsidP="008020FB">
      <w:pPr>
        <w:spacing w:after="240"/>
        <w:jc w:val="both"/>
      </w:pPr>
      <w:r>
        <w:tab/>
      </w:r>
      <w:r w:rsidRPr="008020FB">
        <w:t xml:space="preserve">MPC’s retirement of Units 1 &amp; 2 in 2031 is currently the most probable scenario due to existing US Environmental Protection Agency (EPA) greenhouse gas (GHG) </w:t>
      </w:r>
      <w:r w:rsidR="008E16F0" w:rsidRPr="008020FB">
        <w:t>rules that</w:t>
      </w:r>
      <w:r w:rsidRPr="008020FB">
        <w:t xml:space="preserve"> were finalized in April 2024. The rules require coal plants to convert to 100 percent gas operation or to install carbon capture equipment in order to remain operational beyond 2031. These costly modifications would most likely require MPC to retire Units 1 &amp; 2 in 2031. However, if the EPA GHG rules are repealed, it may be economical for MPC to continue operating the units beyond 2031. The NPV savings would increase and make a retirement beyond 2031 more beneficial for FPL’s customers. Based on </w:t>
      </w:r>
      <w:r w:rsidR="001C6138">
        <w:t>our</w:t>
      </w:r>
      <w:r w:rsidRPr="008020FB">
        <w:t xml:space="preserve"> review, </w:t>
      </w:r>
      <w:r w:rsidR="001C6138">
        <w:t>we find it</w:t>
      </w:r>
      <w:r w:rsidRPr="008020FB">
        <w:t xml:space="preserve"> reasonable to assume that MPC’s share of Units 1 &amp; 2 will continue to operate until at least 2031 based on currently available information and regulatory filings.</w:t>
      </w:r>
    </w:p>
    <w:p w14:paraId="19F38C24" w14:textId="77777777" w:rsidR="008020FB" w:rsidRPr="001C6138" w:rsidRDefault="008020FB" w:rsidP="008020FB">
      <w:pPr>
        <w:ind w:left="720"/>
        <w:jc w:val="both"/>
        <w:outlineLvl w:val="3"/>
        <w:rPr>
          <w:bCs/>
          <w:i/>
          <w:iCs/>
          <w:szCs w:val="28"/>
          <w:u w:val="single"/>
        </w:rPr>
      </w:pPr>
      <w:r w:rsidRPr="001C6138">
        <w:rPr>
          <w:bCs/>
          <w:i/>
          <w:iCs/>
          <w:szCs w:val="28"/>
          <w:u w:val="single"/>
        </w:rPr>
        <w:t>Avoided Costs</w:t>
      </w:r>
    </w:p>
    <w:p w14:paraId="2F53F6A7" w14:textId="77777777" w:rsidR="001C6138" w:rsidRPr="00147E49" w:rsidRDefault="001C6138" w:rsidP="008020FB">
      <w:pPr>
        <w:ind w:left="720"/>
        <w:jc w:val="both"/>
        <w:outlineLvl w:val="3"/>
        <w:rPr>
          <w:bCs/>
          <w:iCs/>
          <w:szCs w:val="28"/>
        </w:rPr>
      </w:pPr>
    </w:p>
    <w:p w14:paraId="432A39A3" w14:textId="77777777" w:rsidR="008020FB" w:rsidRDefault="008020FB" w:rsidP="008020FB">
      <w:pPr>
        <w:jc w:val="both"/>
      </w:pPr>
      <w:r>
        <w:tab/>
      </w:r>
      <w:r w:rsidRPr="008020FB">
        <w:t>The common facilities expense includes FPL’s 50 percent allocation of common facilities O&amp;M and capital expenses, such as Jackson County (Mississippi) Port Authority’s Black Creek Cooling Facility maintenance projects, administrative and general expens</w:t>
      </w:r>
      <w:r w:rsidR="00F60391">
        <w:t>e, and property insurance. The property/ad valorem t</w:t>
      </w:r>
      <w:r w:rsidRPr="008020FB">
        <w:t xml:space="preserve">ax of $15.32 million NPV includes two years following </w:t>
      </w:r>
      <w:r w:rsidRPr="008020FB">
        <w:lastRenderedPageBreak/>
        <w:t>retirement for decommissioning of Units 1 &amp; 2. FPL assumes the transaction closing date takes place on July 31, 2025, which FPL identified as the expected closing date with an April 2025 approval</w:t>
      </w:r>
      <w:r w:rsidR="008343B3">
        <w:t xml:space="preserve"> from us</w:t>
      </w:r>
      <w:r w:rsidRPr="008020FB">
        <w:t>.</w:t>
      </w:r>
      <w:r w:rsidR="00806E10">
        <w:rPr>
          <w:rStyle w:val="FootnoteReference"/>
        </w:rPr>
        <w:footnoteReference w:id="3"/>
      </w:r>
      <w:r w:rsidRPr="008020FB">
        <w:t xml:space="preserve"> These costs includes both expenses covered in base rates and the ECRC. Using this date and its preferred recovery of the regulatory assets beginning January 1, 2026, FPL projects the estimated net benefit to customers is $13.4 million, assuming a complete retirement of Units 1 &amp; 2 by MPC in 2031. Table 1 outlines the annual and total NPV values by category. </w:t>
      </w:r>
    </w:p>
    <w:p w14:paraId="45F1FB4E" w14:textId="77777777" w:rsidR="008020FB" w:rsidRPr="008020FB" w:rsidRDefault="008020FB" w:rsidP="008020FB">
      <w:pPr>
        <w:jc w:val="both"/>
      </w:pPr>
    </w:p>
    <w:p w14:paraId="6F42B80C" w14:textId="77777777" w:rsidR="008020FB" w:rsidRPr="00CD3934" w:rsidRDefault="008020FB" w:rsidP="008020FB">
      <w:pPr>
        <w:keepNext/>
        <w:jc w:val="center"/>
        <w:rPr>
          <w:b/>
        </w:rPr>
      </w:pPr>
      <w:r w:rsidRPr="00CD3934">
        <w:rPr>
          <w:b/>
        </w:rPr>
        <w:t>Table 1</w:t>
      </w:r>
    </w:p>
    <w:p w14:paraId="6D9BA6F5" w14:textId="77777777" w:rsidR="008020FB" w:rsidRPr="008020FB" w:rsidRDefault="008020FB" w:rsidP="008020FB">
      <w:pPr>
        <w:keepNext/>
        <w:jc w:val="center"/>
        <w:rPr>
          <w:rFonts w:ascii="Arial" w:hAnsi="Arial"/>
          <w:b/>
        </w:rPr>
      </w:pPr>
      <w:r w:rsidRPr="00CD3934">
        <w:rPr>
          <w:b/>
        </w:rPr>
        <w:t>Cost-Effectiveness Analysis for PSA ($ Millions)</w:t>
      </w:r>
    </w:p>
    <w:tbl>
      <w:tblPr>
        <w:tblStyle w:val="TableGrid"/>
        <w:tblW w:w="0" w:type="auto"/>
        <w:tblInd w:w="-72" w:type="dxa"/>
        <w:tblLook w:val="04A0" w:firstRow="1" w:lastRow="0" w:firstColumn="1" w:lastColumn="0" w:noHBand="0" w:noVBand="1"/>
      </w:tblPr>
      <w:tblGrid>
        <w:gridCol w:w="1512"/>
        <w:gridCol w:w="676"/>
        <w:gridCol w:w="676"/>
        <w:gridCol w:w="676"/>
        <w:gridCol w:w="676"/>
        <w:gridCol w:w="676"/>
        <w:gridCol w:w="676"/>
        <w:gridCol w:w="700"/>
        <w:gridCol w:w="616"/>
        <w:gridCol w:w="616"/>
        <w:gridCol w:w="616"/>
        <w:gridCol w:w="616"/>
        <w:gridCol w:w="916"/>
      </w:tblGrid>
      <w:tr w:rsidR="008020FB" w:rsidRPr="008020FB" w14:paraId="48E2BA53" w14:textId="77777777" w:rsidTr="00A70E4C">
        <w:tc>
          <w:tcPr>
            <w:tcW w:w="1512" w:type="dxa"/>
          </w:tcPr>
          <w:p w14:paraId="0760F5ED" w14:textId="77777777" w:rsidR="008020FB" w:rsidRPr="008020FB" w:rsidRDefault="008020FB" w:rsidP="008020FB">
            <w:pPr>
              <w:rPr>
                <w:b/>
                <w:sz w:val="20"/>
                <w:szCs w:val="20"/>
              </w:rPr>
            </w:pPr>
          </w:p>
        </w:tc>
        <w:tc>
          <w:tcPr>
            <w:tcW w:w="676" w:type="dxa"/>
            <w:vAlign w:val="center"/>
          </w:tcPr>
          <w:p w14:paraId="2DC72E62" w14:textId="77777777" w:rsidR="008020FB" w:rsidRPr="008020FB" w:rsidRDefault="008020FB" w:rsidP="008020FB">
            <w:pPr>
              <w:rPr>
                <w:b/>
                <w:sz w:val="20"/>
                <w:szCs w:val="20"/>
              </w:rPr>
            </w:pPr>
            <w:r w:rsidRPr="008020FB">
              <w:rPr>
                <w:b/>
                <w:sz w:val="20"/>
                <w:szCs w:val="20"/>
              </w:rPr>
              <w:t>2025</w:t>
            </w:r>
          </w:p>
        </w:tc>
        <w:tc>
          <w:tcPr>
            <w:tcW w:w="676" w:type="dxa"/>
            <w:vAlign w:val="center"/>
          </w:tcPr>
          <w:p w14:paraId="4D4B42A9" w14:textId="77777777" w:rsidR="008020FB" w:rsidRPr="008020FB" w:rsidRDefault="008020FB" w:rsidP="008020FB">
            <w:pPr>
              <w:rPr>
                <w:b/>
                <w:sz w:val="20"/>
                <w:szCs w:val="20"/>
              </w:rPr>
            </w:pPr>
            <w:r w:rsidRPr="008020FB">
              <w:rPr>
                <w:b/>
                <w:sz w:val="20"/>
                <w:szCs w:val="20"/>
              </w:rPr>
              <w:t>2026</w:t>
            </w:r>
          </w:p>
        </w:tc>
        <w:tc>
          <w:tcPr>
            <w:tcW w:w="676" w:type="dxa"/>
            <w:vAlign w:val="center"/>
          </w:tcPr>
          <w:p w14:paraId="5B493E29" w14:textId="77777777" w:rsidR="008020FB" w:rsidRPr="008020FB" w:rsidRDefault="008020FB" w:rsidP="008020FB">
            <w:pPr>
              <w:rPr>
                <w:b/>
                <w:sz w:val="20"/>
                <w:szCs w:val="20"/>
              </w:rPr>
            </w:pPr>
            <w:r w:rsidRPr="008020FB">
              <w:rPr>
                <w:b/>
                <w:sz w:val="20"/>
                <w:szCs w:val="20"/>
              </w:rPr>
              <w:t>2027</w:t>
            </w:r>
          </w:p>
        </w:tc>
        <w:tc>
          <w:tcPr>
            <w:tcW w:w="676" w:type="dxa"/>
            <w:vAlign w:val="center"/>
          </w:tcPr>
          <w:p w14:paraId="23E292E6" w14:textId="77777777" w:rsidR="008020FB" w:rsidRPr="008020FB" w:rsidRDefault="008020FB" w:rsidP="008020FB">
            <w:pPr>
              <w:rPr>
                <w:b/>
                <w:sz w:val="20"/>
                <w:szCs w:val="20"/>
              </w:rPr>
            </w:pPr>
            <w:r w:rsidRPr="008020FB">
              <w:rPr>
                <w:b/>
                <w:sz w:val="20"/>
                <w:szCs w:val="20"/>
              </w:rPr>
              <w:t>2028</w:t>
            </w:r>
          </w:p>
        </w:tc>
        <w:tc>
          <w:tcPr>
            <w:tcW w:w="676" w:type="dxa"/>
            <w:vAlign w:val="center"/>
          </w:tcPr>
          <w:p w14:paraId="462A3987" w14:textId="77777777" w:rsidR="008020FB" w:rsidRPr="008020FB" w:rsidRDefault="008020FB" w:rsidP="008020FB">
            <w:pPr>
              <w:rPr>
                <w:b/>
                <w:sz w:val="20"/>
                <w:szCs w:val="20"/>
              </w:rPr>
            </w:pPr>
            <w:r w:rsidRPr="008020FB">
              <w:rPr>
                <w:b/>
                <w:sz w:val="20"/>
                <w:szCs w:val="20"/>
              </w:rPr>
              <w:t>2029</w:t>
            </w:r>
          </w:p>
        </w:tc>
        <w:tc>
          <w:tcPr>
            <w:tcW w:w="676" w:type="dxa"/>
            <w:vAlign w:val="center"/>
          </w:tcPr>
          <w:p w14:paraId="5CEDBDD1" w14:textId="77777777" w:rsidR="008020FB" w:rsidRPr="008020FB" w:rsidRDefault="008020FB" w:rsidP="008020FB">
            <w:pPr>
              <w:rPr>
                <w:b/>
                <w:sz w:val="20"/>
                <w:szCs w:val="20"/>
              </w:rPr>
            </w:pPr>
            <w:r w:rsidRPr="008020FB">
              <w:rPr>
                <w:b/>
                <w:sz w:val="20"/>
                <w:szCs w:val="20"/>
              </w:rPr>
              <w:t>2030</w:t>
            </w:r>
          </w:p>
        </w:tc>
        <w:tc>
          <w:tcPr>
            <w:tcW w:w="700" w:type="dxa"/>
            <w:vAlign w:val="center"/>
          </w:tcPr>
          <w:p w14:paraId="2797E999" w14:textId="77777777" w:rsidR="008020FB" w:rsidRPr="008020FB" w:rsidRDefault="008020FB" w:rsidP="008020FB">
            <w:pPr>
              <w:rPr>
                <w:b/>
                <w:sz w:val="20"/>
                <w:szCs w:val="20"/>
              </w:rPr>
            </w:pPr>
            <w:r w:rsidRPr="008020FB">
              <w:rPr>
                <w:b/>
                <w:sz w:val="20"/>
                <w:szCs w:val="20"/>
              </w:rPr>
              <w:t>2031</w:t>
            </w:r>
          </w:p>
        </w:tc>
        <w:tc>
          <w:tcPr>
            <w:tcW w:w="616" w:type="dxa"/>
            <w:vAlign w:val="center"/>
          </w:tcPr>
          <w:p w14:paraId="09E950ED" w14:textId="77777777" w:rsidR="008020FB" w:rsidRPr="008020FB" w:rsidRDefault="008020FB" w:rsidP="008020FB">
            <w:pPr>
              <w:rPr>
                <w:b/>
                <w:sz w:val="20"/>
                <w:szCs w:val="20"/>
              </w:rPr>
            </w:pPr>
            <w:r w:rsidRPr="008020FB">
              <w:rPr>
                <w:b/>
                <w:sz w:val="20"/>
                <w:szCs w:val="20"/>
              </w:rPr>
              <w:t>2032</w:t>
            </w:r>
          </w:p>
        </w:tc>
        <w:tc>
          <w:tcPr>
            <w:tcW w:w="616" w:type="dxa"/>
            <w:vAlign w:val="center"/>
          </w:tcPr>
          <w:p w14:paraId="56D24C5E" w14:textId="77777777" w:rsidR="008020FB" w:rsidRPr="008020FB" w:rsidRDefault="008020FB" w:rsidP="008020FB">
            <w:pPr>
              <w:rPr>
                <w:b/>
                <w:sz w:val="20"/>
                <w:szCs w:val="20"/>
              </w:rPr>
            </w:pPr>
            <w:r w:rsidRPr="008020FB">
              <w:rPr>
                <w:b/>
                <w:sz w:val="20"/>
                <w:szCs w:val="20"/>
              </w:rPr>
              <w:t>2033</w:t>
            </w:r>
          </w:p>
        </w:tc>
        <w:tc>
          <w:tcPr>
            <w:tcW w:w="616" w:type="dxa"/>
            <w:vAlign w:val="center"/>
          </w:tcPr>
          <w:p w14:paraId="5CC89BCC" w14:textId="77777777" w:rsidR="008020FB" w:rsidRPr="008020FB" w:rsidRDefault="008020FB" w:rsidP="008020FB">
            <w:pPr>
              <w:rPr>
                <w:b/>
                <w:sz w:val="20"/>
                <w:szCs w:val="20"/>
              </w:rPr>
            </w:pPr>
            <w:r w:rsidRPr="008020FB">
              <w:rPr>
                <w:b/>
                <w:sz w:val="20"/>
                <w:szCs w:val="20"/>
              </w:rPr>
              <w:t>2034</w:t>
            </w:r>
          </w:p>
        </w:tc>
        <w:tc>
          <w:tcPr>
            <w:tcW w:w="616" w:type="dxa"/>
            <w:vAlign w:val="center"/>
          </w:tcPr>
          <w:p w14:paraId="170DBF4C" w14:textId="77777777" w:rsidR="008020FB" w:rsidRPr="008020FB" w:rsidRDefault="008020FB" w:rsidP="008020FB">
            <w:pPr>
              <w:rPr>
                <w:b/>
                <w:sz w:val="20"/>
                <w:szCs w:val="20"/>
              </w:rPr>
            </w:pPr>
            <w:r w:rsidRPr="008020FB">
              <w:rPr>
                <w:b/>
                <w:sz w:val="20"/>
                <w:szCs w:val="20"/>
              </w:rPr>
              <w:t>2035</w:t>
            </w:r>
          </w:p>
        </w:tc>
        <w:tc>
          <w:tcPr>
            <w:tcW w:w="916" w:type="dxa"/>
            <w:vAlign w:val="center"/>
          </w:tcPr>
          <w:p w14:paraId="05708674" w14:textId="77777777" w:rsidR="008020FB" w:rsidRPr="008020FB" w:rsidRDefault="008020FB" w:rsidP="008020FB">
            <w:pPr>
              <w:rPr>
                <w:b/>
                <w:sz w:val="20"/>
                <w:szCs w:val="20"/>
              </w:rPr>
            </w:pPr>
            <w:r w:rsidRPr="008020FB">
              <w:rPr>
                <w:b/>
                <w:sz w:val="20"/>
                <w:szCs w:val="20"/>
              </w:rPr>
              <w:t>SUM (NPV)</w:t>
            </w:r>
          </w:p>
        </w:tc>
      </w:tr>
      <w:tr w:rsidR="008020FB" w:rsidRPr="008020FB" w14:paraId="19127F7D" w14:textId="77777777" w:rsidTr="00A70E4C">
        <w:tc>
          <w:tcPr>
            <w:tcW w:w="9648" w:type="dxa"/>
            <w:gridSpan w:val="13"/>
          </w:tcPr>
          <w:p w14:paraId="3D12E61B" w14:textId="77777777" w:rsidR="008020FB" w:rsidRPr="008020FB" w:rsidRDefault="008020FB" w:rsidP="008020FB">
            <w:pPr>
              <w:jc w:val="center"/>
              <w:rPr>
                <w:b/>
                <w:i/>
                <w:sz w:val="20"/>
                <w:szCs w:val="20"/>
              </w:rPr>
            </w:pPr>
            <w:r w:rsidRPr="008020FB">
              <w:rPr>
                <w:b/>
                <w:i/>
                <w:sz w:val="20"/>
                <w:szCs w:val="20"/>
              </w:rPr>
              <w:t>Avoidable Costs</w:t>
            </w:r>
          </w:p>
        </w:tc>
      </w:tr>
      <w:tr w:rsidR="008020FB" w:rsidRPr="008020FB" w14:paraId="59DB27EB" w14:textId="77777777" w:rsidTr="00A70E4C">
        <w:tc>
          <w:tcPr>
            <w:tcW w:w="1512" w:type="dxa"/>
          </w:tcPr>
          <w:p w14:paraId="75B1A48A" w14:textId="77777777" w:rsidR="008020FB" w:rsidRPr="008020FB" w:rsidRDefault="008020FB" w:rsidP="008020FB">
            <w:pPr>
              <w:rPr>
                <w:sz w:val="20"/>
                <w:szCs w:val="20"/>
              </w:rPr>
            </w:pPr>
            <w:r w:rsidRPr="008020FB">
              <w:rPr>
                <w:sz w:val="20"/>
                <w:szCs w:val="20"/>
              </w:rPr>
              <w:t>Common Facilities</w:t>
            </w:r>
          </w:p>
        </w:tc>
        <w:tc>
          <w:tcPr>
            <w:tcW w:w="676" w:type="dxa"/>
            <w:vAlign w:val="center"/>
          </w:tcPr>
          <w:p w14:paraId="3B0242EF" w14:textId="77777777" w:rsidR="008020FB" w:rsidRPr="008020FB" w:rsidRDefault="008020FB" w:rsidP="008020FB">
            <w:pPr>
              <w:jc w:val="center"/>
              <w:rPr>
                <w:sz w:val="20"/>
                <w:szCs w:val="20"/>
              </w:rPr>
            </w:pPr>
            <w:r w:rsidRPr="008020FB">
              <w:rPr>
                <w:sz w:val="20"/>
                <w:szCs w:val="20"/>
              </w:rPr>
              <w:t>(2.9)</w:t>
            </w:r>
          </w:p>
        </w:tc>
        <w:tc>
          <w:tcPr>
            <w:tcW w:w="676" w:type="dxa"/>
            <w:vAlign w:val="center"/>
          </w:tcPr>
          <w:p w14:paraId="60CEADF4" w14:textId="77777777" w:rsidR="008020FB" w:rsidRPr="008020FB" w:rsidRDefault="008020FB" w:rsidP="008020FB">
            <w:pPr>
              <w:jc w:val="center"/>
              <w:rPr>
                <w:sz w:val="20"/>
                <w:szCs w:val="20"/>
              </w:rPr>
            </w:pPr>
            <w:r w:rsidRPr="008020FB">
              <w:rPr>
                <w:sz w:val="20"/>
                <w:szCs w:val="20"/>
              </w:rPr>
              <w:t>(6.5)</w:t>
            </w:r>
          </w:p>
        </w:tc>
        <w:tc>
          <w:tcPr>
            <w:tcW w:w="676" w:type="dxa"/>
            <w:vAlign w:val="center"/>
          </w:tcPr>
          <w:p w14:paraId="73F44F64" w14:textId="77777777" w:rsidR="008020FB" w:rsidRPr="008020FB" w:rsidRDefault="008020FB" w:rsidP="008020FB">
            <w:pPr>
              <w:jc w:val="center"/>
              <w:rPr>
                <w:sz w:val="20"/>
                <w:szCs w:val="20"/>
              </w:rPr>
            </w:pPr>
            <w:r w:rsidRPr="008020FB">
              <w:rPr>
                <w:sz w:val="20"/>
                <w:szCs w:val="20"/>
              </w:rPr>
              <w:t>(6.6)</w:t>
            </w:r>
          </w:p>
        </w:tc>
        <w:tc>
          <w:tcPr>
            <w:tcW w:w="676" w:type="dxa"/>
            <w:vAlign w:val="center"/>
          </w:tcPr>
          <w:p w14:paraId="7E96A2CA" w14:textId="77777777" w:rsidR="008020FB" w:rsidRPr="008020FB" w:rsidRDefault="008020FB" w:rsidP="008020FB">
            <w:pPr>
              <w:jc w:val="center"/>
              <w:rPr>
                <w:sz w:val="20"/>
                <w:szCs w:val="20"/>
              </w:rPr>
            </w:pPr>
            <w:r w:rsidRPr="008020FB">
              <w:rPr>
                <w:sz w:val="20"/>
                <w:szCs w:val="20"/>
              </w:rPr>
              <w:t>(6.9)</w:t>
            </w:r>
          </w:p>
        </w:tc>
        <w:tc>
          <w:tcPr>
            <w:tcW w:w="676" w:type="dxa"/>
            <w:vAlign w:val="center"/>
          </w:tcPr>
          <w:p w14:paraId="73F01C23" w14:textId="77777777" w:rsidR="008020FB" w:rsidRPr="008020FB" w:rsidRDefault="008020FB" w:rsidP="008020FB">
            <w:pPr>
              <w:jc w:val="center"/>
              <w:rPr>
                <w:sz w:val="20"/>
                <w:szCs w:val="20"/>
              </w:rPr>
            </w:pPr>
            <w:r w:rsidRPr="008020FB">
              <w:rPr>
                <w:sz w:val="20"/>
                <w:szCs w:val="20"/>
              </w:rPr>
              <w:t>(7.0)</w:t>
            </w:r>
          </w:p>
        </w:tc>
        <w:tc>
          <w:tcPr>
            <w:tcW w:w="676" w:type="dxa"/>
            <w:vAlign w:val="center"/>
          </w:tcPr>
          <w:p w14:paraId="5D745530" w14:textId="77777777" w:rsidR="008020FB" w:rsidRPr="008020FB" w:rsidRDefault="008020FB" w:rsidP="008020FB">
            <w:pPr>
              <w:jc w:val="center"/>
              <w:rPr>
                <w:sz w:val="20"/>
                <w:szCs w:val="20"/>
              </w:rPr>
            </w:pPr>
            <w:r w:rsidRPr="008020FB">
              <w:rPr>
                <w:sz w:val="20"/>
                <w:szCs w:val="20"/>
              </w:rPr>
              <w:t>(7.1)</w:t>
            </w:r>
          </w:p>
        </w:tc>
        <w:tc>
          <w:tcPr>
            <w:tcW w:w="700" w:type="dxa"/>
            <w:vAlign w:val="center"/>
          </w:tcPr>
          <w:p w14:paraId="52F4F09F" w14:textId="77777777" w:rsidR="008020FB" w:rsidRPr="008020FB" w:rsidRDefault="008020FB" w:rsidP="008020FB">
            <w:pPr>
              <w:jc w:val="center"/>
              <w:rPr>
                <w:sz w:val="20"/>
                <w:szCs w:val="20"/>
              </w:rPr>
            </w:pPr>
            <w:r w:rsidRPr="008020FB">
              <w:rPr>
                <w:sz w:val="20"/>
                <w:szCs w:val="20"/>
              </w:rPr>
              <w:t>(7.3)</w:t>
            </w:r>
          </w:p>
        </w:tc>
        <w:tc>
          <w:tcPr>
            <w:tcW w:w="616" w:type="dxa"/>
            <w:vAlign w:val="center"/>
          </w:tcPr>
          <w:p w14:paraId="19BFE9F7" w14:textId="77777777" w:rsidR="008020FB" w:rsidRPr="008020FB" w:rsidRDefault="008020FB" w:rsidP="008020FB">
            <w:pPr>
              <w:jc w:val="center"/>
              <w:rPr>
                <w:sz w:val="20"/>
                <w:szCs w:val="20"/>
              </w:rPr>
            </w:pPr>
            <w:r w:rsidRPr="008020FB">
              <w:rPr>
                <w:sz w:val="20"/>
                <w:szCs w:val="20"/>
              </w:rPr>
              <w:t>0.0</w:t>
            </w:r>
          </w:p>
        </w:tc>
        <w:tc>
          <w:tcPr>
            <w:tcW w:w="616" w:type="dxa"/>
            <w:vAlign w:val="center"/>
          </w:tcPr>
          <w:p w14:paraId="727F7947" w14:textId="77777777" w:rsidR="008020FB" w:rsidRPr="008020FB" w:rsidRDefault="008020FB" w:rsidP="008020FB">
            <w:pPr>
              <w:jc w:val="center"/>
              <w:rPr>
                <w:sz w:val="20"/>
                <w:szCs w:val="20"/>
              </w:rPr>
            </w:pPr>
            <w:r w:rsidRPr="008020FB">
              <w:rPr>
                <w:sz w:val="20"/>
                <w:szCs w:val="20"/>
              </w:rPr>
              <w:t>0.0</w:t>
            </w:r>
          </w:p>
        </w:tc>
        <w:tc>
          <w:tcPr>
            <w:tcW w:w="616" w:type="dxa"/>
            <w:vAlign w:val="center"/>
          </w:tcPr>
          <w:p w14:paraId="1F5C7CC0" w14:textId="77777777" w:rsidR="008020FB" w:rsidRPr="008020FB" w:rsidRDefault="008020FB" w:rsidP="008020FB">
            <w:pPr>
              <w:jc w:val="center"/>
              <w:rPr>
                <w:sz w:val="20"/>
                <w:szCs w:val="20"/>
              </w:rPr>
            </w:pPr>
            <w:r w:rsidRPr="008020FB">
              <w:rPr>
                <w:sz w:val="20"/>
                <w:szCs w:val="20"/>
              </w:rPr>
              <w:t>0.0</w:t>
            </w:r>
          </w:p>
        </w:tc>
        <w:tc>
          <w:tcPr>
            <w:tcW w:w="616" w:type="dxa"/>
            <w:vAlign w:val="center"/>
          </w:tcPr>
          <w:p w14:paraId="3A2A9137" w14:textId="77777777" w:rsidR="008020FB" w:rsidRPr="008020FB" w:rsidRDefault="008020FB" w:rsidP="008020FB">
            <w:pPr>
              <w:jc w:val="center"/>
              <w:rPr>
                <w:sz w:val="20"/>
                <w:szCs w:val="20"/>
              </w:rPr>
            </w:pPr>
            <w:r w:rsidRPr="008020FB">
              <w:rPr>
                <w:sz w:val="20"/>
                <w:szCs w:val="20"/>
              </w:rPr>
              <w:t>0.0</w:t>
            </w:r>
          </w:p>
        </w:tc>
        <w:tc>
          <w:tcPr>
            <w:tcW w:w="916" w:type="dxa"/>
            <w:vAlign w:val="center"/>
          </w:tcPr>
          <w:p w14:paraId="0E11BF0E" w14:textId="77777777" w:rsidR="008020FB" w:rsidRPr="008020FB" w:rsidRDefault="008020FB" w:rsidP="008020FB">
            <w:pPr>
              <w:jc w:val="center"/>
              <w:rPr>
                <w:sz w:val="20"/>
                <w:szCs w:val="20"/>
              </w:rPr>
            </w:pPr>
            <w:r w:rsidRPr="008020FB">
              <w:rPr>
                <w:sz w:val="20"/>
                <w:szCs w:val="20"/>
              </w:rPr>
              <w:t>(33.15)</w:t>
            </w:r>
          </w:p>
        </w:tc>
      </w:tr>
      <w:tr w:rsidR="008020FB" w:rsidRPr="008020FB" w14:paraId="323BC389" w14:textId="77777777" w:rsidTr="00A70E4C">
        <w:tc>
          <w:tcPr>
            <w:tcW w:w="1512" w:type="dxa"/>
          </w:tcPr>
          <w:p w14:paraId="4797462D" w14:textId="77777777" w:rsidR="008020FB" w:rsidRPr="008020FB" w:rsidRDefault="008020FB" w:rsidP="008020FB">
            <w:pPr>
              <w:rPr>
                <w:sz w:val="20"/>
                <w:szCs w:val="20"/>
                <w:u w:val="single"/>
              </w:rPr>
            </w:pPr>
            <w:r w:rsidRPr="008020FB">
              <w:rPr>
                <w:sz w:val="20"/>
                <w:szCs w:val="20"/>
                <w:u w:val="single"/>
              </w:rPr>
              <w:t>Property/Ad Valorem Tax</w:t>
            </w:r>
          </w:p>
        </w:tc>
        <w:tc>
          <w:tcPr>
            <w:tcW w:w="676" w:type="dxa"/>
            <w:vAlign w:val="center"/>
          </w:tcPr>
          <w:p w14:paraId="116C0418" w14:textId="77777777" w:rsidR="008020FB" w:rsidRPr="008020FB" w:rsidRDefault="008020FB" w:rsidP="008020FB">
            <w:pPr>
              <w:jc w:val="center"/>
              <w:rPr>
                <w:sz w:val="20"/>
                <w:szCs w:val="20"/>
              </w:rPr>
            </w:pPr>
            <w:r w:rsidRPr="008020FB">
              <w:rPr>
                <w:sz w:val="20"/>
                <w:szCs w:val="20"/>
              </w:rPr>
              <w:t>-</w:t>
            </w:r>
          </w:p>
        </w:tc>
        <w:tc>
          <w:tcPr>
            <w:tcW w:w="676" w:type="dxa"/>
            <w:vAlign w:val="center"/>
          </w:tcPr>
          <w:p w14:paraId="77E5B4BA" w14:textId="77777777" w:rsidR="008020FB" w:rsidRPr="008020FB" w:rsidRDefault="008020FB" w:rsidP="008020FB">
            <w:pPr>
              <w:jc w:val="center"/>
              <w:rPr>
                <w:sz w:val="20"/>
                <w:szCs w:val="20"/>
                <w:u w:val="single"/>
              </w:rPr>
            </w:pPr>
            <w:r w:rsidRPr="008020FB">
              <w:rPr>
                <w:sz w:val="20"/>
                <w:szCs w:val="20"/>
                <w:u w:val="single"/>
              </w:rPr>
              <w:t>(2.8)</w:t>
            </w:r>
          </w:p>
        </w:tc>
        <w:tc>
          <w:tcPr>
            <w:tcW w:w="676" w:type="dxa"/>
            <w:vAlign w:val="center"/>
          </w:tcPr>
          <w:p w14:paraId="4253439F" w14:textId="77777777" w:rsidR="008020FB" w:rsidRPr="008020FB" w:rsidRDefault="008020FB" w:rsidP="008020FB">
            <w:pPr>
              <w:jc w:val="center"/>
              <w:rPr>
                <w:sz w:val="20"/>
                <w:szCs w:val="20"/>
                <w:u w:val="single"/>
              </w:rPr>
            </w:pPr>
            <w:r w:rsidRPr="008020FB">
              <w:rPr>
                <w:sz w:val="20"/>
                <w:szCs w:val="20"/>
                <w:u w:val="single"/>
              </w:rPr>
              <w:t>(2.8)</w:t>
            </w:r>
          </w:p>
        </w:tc>
        <w:tc>
          <w:tcPr>
            <w:tcW w:w="676" w:type="dxa"/>
            <w:vAlign w:val="center"/>
          </w:tcPr>
          <w:p w14:paraId="0F5614F0" w14:textId="77777777" w:rsidR="008020FB" w:rsidRPr="008020FB" w:rsidRDefault="008020FB" w:rsidP="008020FB">
            <w:pPr>
              <w:jc w:val="center"/>
              <w:rPr>
                <w:sz w:val="20"/>
                <w:szCs w:val="20"/>
                <w:u w:val="single"/>
              </w:rPr>
            </w:pPr>
            <w:r w:rsidRPr="008020FB">
              <w:rPr>
                <w:sz w:val="20"/>
                <w:szCs w:val="20"/>
                <w:u w:val="single"/>
              </w:rPr>
              <w:t>(2.8)</w:t>
            </w:r>
          </w:p>
        </w:tc>
        <w:tc>
          <w:tcPr>
            <w:tcW w:w="676" w:type="dxa"/>
            <w:vAlign w:val="center"/>
          </w:tcPr>
          <w:p w14:paraId="746DFD6C" w14:textId="77777777" w:rsidR="008020FB" w:rsidRPr="008020FB" w:rsidRDefault="008020FB" w:rsidP="008020FB">
            <w:pPr>
              <w:jc w:val="center"/>
              <w:rPr>
                <w:sz w:val="20"/>
                <w:szCs w:val="20"/>
                <w:u w:val="single"/>
              </w:rPr>
            </w:pPr>
            <w:r w:rsidRPr="008020FB">
              <w:rPr>
                <w:sz w:val="20"/>
                <w:szCs w:val="20"/>
                <w:u w:val="single"/>
              </w:rPr>
              <w:t>(2.8)</w:t>
            </w:r>
          </w:p>
        </w:tc>
        <w:tc>
          <w:tcPr>
            <w:tcW w:w="676" w:type="dxa"/>
            <w:vAlign w:val="center"/>
          </w:tcPr>
          <w:p w14:paraId="3AA007F4" w14:textId="77777777" w:rsidR="008020FB" w:rsidRPr="008020FB" w:rsidRDefault="008020FB" w:rsidP="008020FB">
            <w:pPr>
              <w:jc w:val="center"/>
              <w:rPr>
                <w:sz w:val="20"/>
                <w:szCs w:val="20"/>
                <w:u w:val="single"/>
              </w:rPr>
            </w:pPr>
            <w:r w:rsidRPr="008020FB">
              <w:rPr>
                <w:sz w:val="20"/>
                <w:szCs w:val="20"/>
                <w:u w:val="single"/>
              </w:rPr>
              <w:t>(2.8)</w:t>
            </w:r>
          </w:p>
        </w:tc>
        <w:tc>
          <w:tcPr>
            <w:tcW w:w="700" w:type="dxa"/>
            <w:vAlign w:val="center"/>
          </w:tcPr>
          <w:p w14:paraId="285DEEE3" w14:textId="77777777" w:rsidR="008020FB" w:rsidRPr="008020FB" w:rsidRDefault="008020FB" w:rsidP="008020FB">
            <w:pPr>
              <w:jc w:val="center"/>
              <w:rPr>
                <w:sz w:val="20"/>
                <w:szCs w:val="20"/>
                <w:u w:val="single"/>
              </w:rPr>
            </w:pPr>
            <w:r w:rsidRPr="008020FB">
              <w:rPr>
                <w:sz w:val="20"/>
                <w:szCs w:val="20"/>
                <w:u w:val="single"/>
              </w:rPr>
              <w:t>(2.8)</w:t>
            </w:r>
          </w:p>
        </w:tc>
        <w:tc>
          <w:tcPr>
            <w:tcW w:w="616" w:type="dxa"/>
            <w:vAlign w:val="center"/>
          </w:tcPr>
          <w:p w14:paraId="36A24CBD" w14:textId="77777777" w:rsidR="008020FB" w:rsidRPr="008020FB" w:rsidRDefault="008020FB" w:rsidP="008020FB">
            <w:pPr>
              <w:jc w:val="center"/>
              <w:rPr>
                <w:sz w:val="20"/>
                <w:szCs w:val="20"/>
                <w:u w:val="single"/>
              </w:rPr>
            </w:pPr>
            <w:r w:rsidRPr="008020FB">
              <w:rPr>
                <w:sz w:val="20"/>
                <w:szCs w:val="20"/>
                <w:u w:val="single"/>
              </w:rPr>
              <w:t>(2.8)</w:t>
            </w:r>
          </w:p>
        </w:tc>
        <w:tc>
          <w:tcPr>
            <w:tcW w:w="616" w:type="dxa"/>
            <w:vAlign w:val="center"/>
          </w:tcPr>
          <w:p w14:paraId="0B66B313" w14:textId="77777777" w:rsidR="008020FB" w:rsidRPr="008020FB" w:rsidRDefault="008020FB" w:rsidP="008020FB">
            <w:pPr>
              <w:jc w:val="center"/>
              <w:rPr>
                <w:sz w:val="20"/>
                <w:szCs w:val="20"/>
                <w:u w:val="single"/>
              </w:rPr>
            </w:pPr>
            <w:r w:rsidRPr="008020FB">
              <w:rPr>
                <w:sz w:val="20"/>
                <w:szCs w:val="20"/>
                <w:u w:val="single"/>
              </w:rPr>
              <w:t>(2.8)</w:t>
            </w:r>
          </w:p>
        </w:tc>
        <w:tc>
          <w:tcPr>
            <w:tcW w:w="616" w:type="dxa"/>
            <w:vAlign w:val="center"/>
          </w:tcPr>
          <w:p w14:paraId="7DF08D28" w14:textId="77777777" w:rsidR="008020FB" w:rsidRPr="008020FB" w:rsidRDefault="008020FB" w:rsidP="008020FB">
            <w:pPr>
              <w:jc w:val="center"/>
              <w:rPr>
                <w:sz w:val="20"/>
                <w:szCs w:val="20"/>
              </w:rPr>
            </w:pPr>
            <w:r w:rsidRPr="008020FB">
              <w:rPr>
                <w:sz w:val="20"/>
                <w:szCs w:val="20"/>
              </w:rPr>
              <w:t>-</w:t>
            </w:r>
          </w:p>
        </w:tc>
        <w:tc>
          <w:tcPr>
            <w:tcW w:w="616" w:type="dxa"/>
            <w:vAlign w:val="center"/>
          </w:tcPr>
          <w:p w14:paraId="10642CA6" w14:textId="77777777" w:rsidR="008020FB" w:rsidRPr="008020FB" w:rsidRDefault="008020FB" w:rsidP="008020FB">
            <w:pPr>
              <w:jc w:val="center"/>
              <w:rPr>
                <w:sz w:val="20"/>
                <w:szCs w:val="20"/>
              </w:rPr>
            </w:pPr>
            <w:r w:rsidRPr="008020FB">
              <w:rPr>
                <w:sz w:val="20"/>
                <w:szCs w:val="20"/>
              </w:rPr>
              <w:t>-</w:t>
            </w:r>
          </w:p>
        </w:tc>
        <w:tc>
          <w:tcPr>
            <w:tcW w:w="916" w:type="dxa"/>
            <w:vAlign w:val="center"/>
          </w:tcPr>
          <w:p w14:paraId="6E118C2E" w14:textId="77777777" w:rsidR="008020FB" w:rsidRPr="008020FB" w:rsidRDefault="008020FB" w:rsidP="008020FB">
            <w:pPr>
              <w:jc w:val="center"/>
              <w:rPr>
                <w:sz w:val="20"/>
                <w:szCs w:val="20"/>
                <w:u w:val="single"/>
              </w:rPr>
            </w:pPr>
            <w:r w:rsidRPr="008020FB">
              <w:rPr>
                <w:sz w:val="20"/>
                <w:szCs w:val="20"/>
                <w:u w:val="single"/>
              </w:rPr>
              <w:t>(15.32)</w:t>
            </w:r>
          </w:p>
        </w:tc>
      </w:tr>
      <w:tr w:rsidR="008020FB" w:rsidRPr="008020FB" w14:paraId="2573D925" w14:textId="77777777" w:rsidTr="00A70E4C">
        <w:tc>
          <w:tcPr>
            <w:tcW w:w="1512" w:type="dxa"/>
          </w:tcPr>
          <w:p w14:paraId="39C93E4E" w14:textId="77777777" w:rsidR="008020FB" w:rsidRPr="008020FB" w:rsidRDefault="008020FB" w:rsidP="008020FB">
            <w:pPr>
              <w:rPr>
                <w:b/>
                <w:sz w:val="20"/>
                <w:szCs w:val="20"/>
              </w:rPr>
            </w:pPr>
            <w:r w:rsidRPr="008020FB">
              <w:rPr>
                <w:b/>
                <w:sz w:val="20"/>
                <w:szCs w:val="20"/>
              </w:rPr>
              <w:t>Avoidable Costs</w:t>
            </w:r>
          </w:p>
        </w:tc>
        <w:tc>
          <w:tcPr>
            <w:tcW w:w="676" w:type="dxa"/>
            <w:vAlign w:val="center"/>
          </w:tcPr>
          <w:p w14:paraId="78680083" w14:textId="77777777" w:rsidR="008020FB" w:rsidRPr="008020FB" w:rsidRDefault="008020FB" w:rsidP="008020FB">
            <w:pPr>
              <w:jc w:val="center"/>
              <w:rPr>
                <w:b/>
                <w:sz w:val="20"/>
                <w:szCs w:val="20"/>
              </w:rPr>
            </w:pPr>
            <w:r w:rsidRPr="008020FB">
              <w:rPr>
                <w:b/>
                <w:sz w:val="20"/>
                <w:szCs w:val="20"/>
              </w:rPr>
              <w:t>(2.9)</w:t>
            </w:r>
          </w:p>
        </w:tc>
        <w:tc>
          <w:tcPr>
            <w:tcW w:w="676" w:type="dxa"/>
            <w:vAlign w:val="center"/>
          </w:tcPr>
          <w:p w14:paraId="48E89B0C" w14:textId="77777777" w:rsidR="008020FB" w:rsidRPr="008020FB" w:rsidRDefault="008020FB" w:rsidP="008020FB">
            <w:pPr>
              <w:jc w:val="center"/>
              <w:rPr>
                <w:b/>
                <w:sz w:val="20"/>
                <w:szCs w:val="20"/>
              </w:rPr>
            </w:pPr>
            <w:r w:rsidRPr="008020FB">
              <w:rPr>
                <w:b/>
                <w:sz w:val="20"/>
                <w:szCs w:val="20"/>
              </w:rPr>
              <w:t>(9.3)</w:t>
            </w:r>
          </w:p>
        </w:tc>
        <w:tc>
          <w:tcPr>
            <w:tcW w:w="676" w:type="dxa"/>
            <w:vAlign w:val="center"/>
          </w:tcPr>
          <w:p w14:paraId="1E910622" w14:textId="77777777" w:rsidR="008020FB" w:rsidRPr="008020FB" w:rsidRDefault="008020FB" w:rsidP="008020FB">
            <w:pPr>
              <w:jc w:val="center"/>
              <w:rPr>
                <w:b/>
                <w:sz w:val="20"/>
                <w:szCs w:val="20"/>
              </w:rPr>
            </w:pPr>
            <w:r w:rsidRPr="008020FB">
              <w:rPr>
                <w:b/>
                <w:sz w:val="20"/>
                <w:szCs w:val="20"/>
              </w:rPr>
              <w:t>(9.4)</w:t>
            </w:r>
          </w:p>
        </w:tc>
        <w:tc>
          <w:tcPr>
            <w:tcW w:w="676" w:type="dxa"/>
            <w:vAlign w:val="center"/>
          </w:tcPr>
          <w:p w14:paraId="3CA519F9" w14:textId="77777777" w:rsidR="008020FB" w:rsidRPr="008020FB" w:rsidRDefault="008020FB" w:rsidP="008020FB">
            <w:pPr>
              <w:jc w:val="center"/>
              <w:rPr>
                <w:b/>
                <w:sz w:val="20"/>
                <w:szCs w:val="20"/>
              </w:rPr>
            </w:pPr>
            <w:r w:rsidRPr="008020FB">
              <w:rPr>
                <w:b/>
                <w:sz w:val="20"/>
                <w:szCs w:val="20"/>
              </w:rPr>
              <w:t>(9.6)</w:t>
            </w:r>
          </w:p>
        </w:tc>
        <w:tc>
          <w:tcPr>
            <w:tcW w:w="676" w:type="dxa"/>
            <w:vAlign w:val="center"/>
          </w:tcPr>
          <w:p w14:paraId="24E23435" w14:textId="77777777" w:rsidR="008020FB" w:rsidRPr="008020FB" w:rsidRDefault="008020FB" w:rsidP="008020FB">
            <w:pPr>
              <w:jc w:val="center"/>
              <w:rPr>
                <w:b/>
                <w:sz w:val="20"/>
                <w:szCs w:val="20"/>
              </w:rPr>
            </w:pPr>
            <w:r w:rsidRPr="008020FB">
              <w:rPr>
                <w:b/>
                <w:sz w:val="20"/>
                <w:szCs w:val="20"/>
              </w:rPr>
              <w:t>(9.8)</w:t>
            </w:r>
          </w:p>
        </w:tc>
        <w:tc>
          <w:tcPr>
            <w:tcW w:w="676" w:type="dxa"/>
            <w:vAlign w:val="center"/>
          </w:tcPr>
          <w:p w14:paraId="14F9AB6D" w14:textId="77777777" w:rsidR="008020FB" w:rsidRPr="008020FB" w:rsidRDefault="008020FB" w:rsidP="008020FB">
            <w:pPr>
              <w:jc w:val="center"/>
              <w:rPr>
                <w:b/>
                <w:sz w:val="20"/>
                <w:szCs w:val="20"/>
              </w:rPr>
            </w:pPr>
            <w:r w:rsidRPr="008020FB">
              <w:rPr>
                <w:b/>
                <w:sz w:val="20"/>
                <w:szCs w:val="20"/>
              </w:rPr>
              <w:t>(9.9)</w:t>
            </w:r>
          </w:p>
        </w:tc>
        <w:tc>
          <w:tcPr>
            <w:tcW w:w="700" w:type="dxa"/>
            <w:vAlign w:val="center"/>
          </w:tcPr>
          <w:p w14:paraId="493223BA" w14:textId="77777777" w:rsidR="008020FB" w:rsidRPr="008020FB" w:rsidRDefault="008020FB" w:rsidP="008020FB">
            <w:pPr>
              <w:jc w:val="center"/>
              <w:rPr>
                <w:b/>
                <w:sz w:val="20"/>
                <w:szCs w:val="20"/>
              </w:rPr>
            </w:pPr>
            <w:r w:rsidRPr="008020FB">
              <w:rPr>
                <w:b/>
                <w:sz w:val="20"/>
                <w:szCs w:val="20"/>
              </w:rPr>
              <w:t>(10.1)</w:t>
            </w:r>
          </w:p>
        </w:tc>
        <w:tc>
          <w:tcPr>
            <w:tcW w:w="616" w:type="dxa"/>
            <w:vAlign w:val="center"/>
          </w:tcPr>
          <w:p w14:paraId="23917A14" w14:textId="77777777" w:rsidR="008020FB" w:rsidRPr="008020FB" w:rsidRDefault="008020FB" w:rsidP="008020FB">
            <w:pPr>
              <w:jc w:val="center"/>
              <w:rPr>
                <w:b/>
                <w:sz w:val="20"/>
                <w:szCs w:val="20"/>
              </w:rPr>
            </w:pPr>
            <w:r w:rsidRPr="008020FB">
              <w:rPr>
                <w:b/>
                <w:sz w:val="20"/>
                <w:szCs w:val="20"/>
              </w:rPr>
              <w:t>(2.8)</w:t>
            </w:r>
          </w:p>
        </w:tc>
        <w:tc>
          <w:tcPr>
            <w:tcW w:w="616" w:type="dxa"/>
            <w:vAlign w:val="center"/>
          </w:tcPr>
          <w:p w14:paraId="1F050D23" w14:textId="77777777" w:rsidR="008020FB" w:rsidRPr="008020FB" w:rsidRDefault="008020FB" w:rsidP="008020FB">
            <w:pPr>
              <w:jc w:val="center"/>
              <w:rPr>
                <w:b/>
                <w:sz w:val="20"/>
                <w:szCs w:val="20"/>
              </w:rPr>
            </w:pPr>
            <w:r w:rsidRPr="008020FB">
              <w:rPr>
                <w:b/>
                <w:sz w:val="20"/>
                <w:szCs w:val="20"/>
              </w:rPr>
              <w:t>(2.8)</w:t>
            </w:r>
          </w:p>
        </w:tc>
        <w:tc>
          <w:tcPr>
            <w:tcW w:w="616" w:type="dxa"/>
            <w:vAlign w:val="center"/>
          </w:tcPr>
          <w:p w14:paraId="1FD5B037" w14:textId="77777777" w:rsidR="008020FB" w:rsidRPr="008020FB" w:rsidRDefault="008020FB" w:rsidP="008020FB">
            <w:pPr>
              <w:jc w:val="center"/>
              <w:rPr>
                <w:b/>
                <w:sz w:val="20"/>
                <w:szCs w:val="20"/>
              </w:rPr>
            </w:pPr>
            <w:r w:rsidRPr="008020FB">
              <w:rPr>
                <w:b/>
                <w:sz w:val="20"/>
                <w:szCs w:val="20"/>
              </w:rPr>
              <w:t>-</w:t>
            </w:r>
          </w:p>
        </w:tc>
        <w:tc>
          <w:tcPr>
            <w:tcW w:w="616" w:type="dxa"/>
            <w:vAlign w:val="center"/>
          </w:tcPr>
          <w:p w14:paraId="63D5DFCE" w14:textId="77777777" w:rsidR="008020FB" w:rsidRPr="008020FB" w:rsidRDefault="008020FB" w:rsidP="008020FB">
            <w:pPr>
              <w:jc w:val="center"/>
              <w:rPr>
                <w:b/>
                <w:sz w:val="20"/>
                <w:szCs w:val="20"/>
              </w:rPr>
            </w:pPr>
            <w:r w:rsidRPr="008020FB">
              <w:rPr>
                <w:b/>
                <w:sz w:val="20"/>
                <w:szCs w:val="20"/>
              </w:rPr>
              <w:t>-</w:t>
            </w:r>
          </w:p>
        </w:tc>
        <w:tc>
          <w:tcPr>
            <w:tcW w:w="916" w:type="dxa"/>
            <w:vAlign w:val="center"/>
          </w:tcPr>
          <w:p w14:paraId="1EF7DA06" w14:textId="77777777" w:rsidR="008020FB" w:rsidRPr="008020FB" w:rsidRDefault="008020FB" w:rsidP="008020FB">
            <w:pPr>
              <w:jc w:val="center"/>
              <w:rPr>
                <w:b/>
                <w:sz w:val="20"/>
                <w:szCs w:val="20"/>
              </w:rPr>
            </w:pPr>
            <w:r w:rsidRPr="008020FB">
              <w:rPr>
                <w:b/>
                <w:sz w:val="20"/>
                <w:szCs w:val="20"/>
              </w:rPr>
              <w:t>(48.47)</w:t>
            </w:r>
          </w:p>
        </w:tc>
      </w:tr>
      <w:tr w:rsidR="008020FB" w:rsidRPr="008020FB" w14:paraId="7EF4F019" w14:textId="77777777" w:rsidTr="00A70E4C">
        <w:tc>
          <w:tcPr>
            <w:tcW w:w="9648" w:type="dxa"/>
            <w:gridSpan w:val="13"/>
            <w:vAlign w:val="center"/>
          </w:tcPr>
          <w:p w14:paraId="685E266C" w14:textId="77777777" w:rsidR="008020FB" w:rsidRPr="008020FB" w:rsidRDefault="008020FB" w:rsidP="008020FB">
            <w:pPr>
              <w:jc w:val="center"/>
              <w:rPr>
                <w:b/>
                <w:i/>
                <w:sz w:val="20"/>
                <w:szCs w:val="20"/>
              </w:rPr>
            </w:pPr>
            <w:r w:rsidRPr="008020FB">
              <w:rPr>
                <w:b/>
                <w:i/>
                <w:sz w:val="20"/>
                <w:szCs w:val="20"/>
              </w:rPr>
              <w:t xml:space="preserve">Regulatory Asset Costs </w:t>
            </w:r>
          </w:p>
        </w:tc>
      </w:tr>
      <w:tr w:rsidR="008020FB" w:rsidRPr="008020FB" w14:paraId="4A3E8EAC" w14:textId="77777777" w:rsidTr="00A70E4C">
        <w:tc>
          <w:tcPr>
            <w:tcW w:w="1512" w:type="dxa"/>
          </w:tcPr>
          <w:p w14:paraId="15ABDA62" w14:textId="77777777" w:rsidR="008020FB" w:rsidRPr="008020FB" w:rsidRDefault="008020FB" w:rsidP="008020FB">
            <w:pPr>
              <w:rPr>
                <w:sz w:val="20"/>
                <w:szCs w:val="20"/>
              </w:rPr>
            </w:pPr>
            <w:r w:rsidRPr="008020FB">
              <w:rPr>
                <w:sz w:val="20"/>
                <w:szCs w:val="20"/>
              </w:rPr>
              <w:t>Amortization of Reg</w:t>
            </w:r>
            <w:r w:rsidR="009965CE">
              <w:rPr>
                <w:sz w:val="20"/>
                <w:szCs w:val="20"/>
              </w:rPr>
              <w:t>.</w:t>
            </w:r>
            <w:r w:rsidRPr="008020FB">
              <w:rPr>
                <w:sz w:val="20"/>
                <w:szCs w:val="20"/>
              </w:rPr>
              <w:t xml:space="preserve"> Assets</w:t>
            </w:r>
          </w:p>
        </w:tc>
        <w:tc>
          <w:tcPr>
            <w:tcW w:w="676" w:type="dxa"/>
            <w:vAlign w:val="center"/>
          </w:tcPr>
          <w:p w14:paraId="7CE59945" w14:textId="77777777" w:rsidR="008020FB" w:rsidRPr="008020FB" w:rsidRDefault="008020FB" w:rsidP="008020FB">
            <w:pPr>
              <w:jc w:val="center"/>
              <w:rPr>
                <w:sz w:val="20"/>
                <w:szCs w:val="20"/>
              </w:rPr>
            </w:pPr>
            <w:r w:rsidRPr="008020FB">
              <w:rPr>
                <w:sz w:val="20"/>
                <w:szCs w:val="20"/>
              </w:rPr>
              <w:t>-</w:t>
            </w:r>
          </w:p>
        </w:tc>
        <w:tc>
          <w:tcPr>
            <w:tcW w:w="676" w:type="dxa"/>
            <w:vAlign w:val="center"/>
          </w:tcPr>
          <w:p w14:paraId="0F35EAB3" w14:textId="77777777" w:rsidR="008020FB" w:rsidRPr="008020FB" w:rsidRDefault="008020FB" w:rsidP="008020FB">
            <w:pPr>
              <w:jc w:val="center"/>
              <w:rPr>
                <w:sz w:val="20"/>
                <w:szCs w:val="20"/>
              </w:rPr>
            </w:pPr>
            <w:r w:rsidRPr="008020FB">
              <w:rPr>
                <w:sz w:val="20"/>
                <w:szCs w:val="20"/>
              </w:rPr>
              <w:t>3.6</w:t>
            </w:r>
          </w:p>
        </w:tc>
        <w:tc>
          <w:tcPr>
            <w:tcW w:w="676" w:type="dxa"/>
            <w:vAlign w:val="center"/>
          </w:tcPr>
          <w:p w14:paraId="2279879B" w14:textId="77777777" w:rsidR="008020FB" w:rsidRPr="008020FB" w:rsidRDefault="008020FB" w:rsidP="008020FB">
            <w:pPr>
              <w:jc w:val="center"/>
              <w:rPr>
                <w:sz w:val="20"/>
                <w:szCs w:val="20"/>
              </w:rPr>
            </w:pPr>
            <w:r w:rsidRPr="008020FB">
              <w:rPr>
                <w:sz w:val="20"/>
                <w:szCs w:val="20"/>
              </w:rPr>
              <w:t>3.6</w:t>
            </w:r>
          </w:p>
        </w:tc>
        <w:tc>
          <w:tcPr>
            <w:tcW w:w="676" w:type="dxa"/>
            <w:vAlign w:val="center"/>
          </w:tcPr>
          <w:p w14:paraId="2B541017" w14:textId="77777777" w:rsidR="008020FB" w:rsidRPr="008020FB" w:rsidRDefault="008020FB" w:rsidP="008020FB">
            <w:pPr>
              <w:jc w:val="center"/>
              <w:rPr>
                <w:sz w:val="20"/>
                <w:szCs w:val="20"/>
              </w:rPr>
            </w:pPr>
            <w:r w:rsidRPr="008020FB">
              <w:rPr>
                <w:sz w:val="20"/>
                <w:szCs w:val="20"/>
              </w:rPr>
              <w:t>3.6</w:t>
            </w:r>
          </w:p>
        </w:tc>
        <w:tc>
          <w:tcPr>
            <w:tcW w:w="676" w:type="dxa"/>
            <w:vAlign w:val="center"/>
          </w:tcPr>
          <w:p w14:paraId="52FA0078" w14:textId="77777777" w:rsidR="008020FB" w:rsidRPr="008020FB" w:rsidRDefault="008020FB" w:rsidP="008020FB">
            <w:pPr>
              <w:jc w:val="center"/>
              <w:rPr>
                <w:sz w:val="20"/>
                <w:szCs w:val="20"/>
              </w:rPr>
            </w:pPr>
            <w:r w:rsidRPr="008020FB">
              <w:rPr>
                <w:sz w:val="20"/>
                <w:szCs w:val="20"/>
              </w:rPr>
              <w:t>3.6</w:t>
            </w:r>
          </w:p>
        </w:tc>
        <w:tc>
          <w:tcPr>
            <w:tcW w:w="676" w:type="dxa"/>
            <w:vAlign w:val="center"/>
          </w:tcPr>
          <w:p w14:paraId="5BF0EBAF" w14:textId="77777777" w:rsidR="008020FB" w:rsidRPr="008020FB" w:rsidRDefault="008020FB" w:rsidP="008020FB">
            <w:pPr>
              <w:jc w:val="center"/>
              <w:rPr>
                <w:sz w:val="20"/>
                <w:szCs w:val="20"/>
              </w:rPr>
            </w:pPr>
            <w:r w:rsidRPr="008020FB">
              <w:rPr>
                <w:sz w:val="20"/>
                <w:szCs w:val="20"/>
              </w:rPr>
              <w:t>3.6</w:t>
            </w:r>
          </w:p>
        </w:tc>
        <w:tc>
          <w:tcPr>
            <w:tcW w:w="700" w:type="dxa"/>
            <w:vAlign w:val="center"/>
          </w:tcPr>
          <w:p w14:paraId="448E8E96" w14:textId="77777777" w:rsidR="008020FB" w:rsidRPr="008020FB" w:rsidRDefault="008020FB" w:rsidP="008020FB">
            <w:pPr>
              <w:jc w:val="center"/>
              <w:rPr>
                <w:sz w:val="20"/>
                <w:szCs w:val="20"/>
              </w:rPr>
            </w:pPr>
            <w:r w:rsidRPr="008020FB">
              <w:rPr>
                <w:sz w:val="20"/>
                <w:szCs w:val="20"/>
              </w:rPr>
              <w:t>3.6</w:t>
            </w:r>
          </w:p>
        </w:tc>
        <w:tc>
          <w:tcPr>
            <w:tcW w:w="616" w:type="dxa"/>
            <w:vAlign w:val="center"/>
          </w:tcPr>
          <w:p w14:paraId="2C00ED8E" w14:textId="77777777" w:rsidR="008020FB" w:rsidRPr="008020FB" w:rsidRDefault="008020FB" w:rsidP="008020FB">
            <w:pPr>
              <w:jc w:val="center"/>
              <w:rPr>
                <w:sz w:val="20"/>
                <w:szCs w:val="20"/>
              </w:rPr>
            </w:pPr>
            <w:r w:rsidRPr="008020FB">
              <w:rPr>
                <w:sz w:val="20"/>
                <w:szCs w:val="20"/>
              </w:rPr>
              <w:t>3.6</w:t>
            </w:r>
          </w:p>
        </w:tc>
        <w:tc>
          <w:tcPr>
            <w:tcW w:w="616" w:type="dxa"/>
            <w:vAlign w:val="center"/>
          </w:tcPr>
          <w:p w14:paraId="3AA62AFE" w14:textId="77777777" w:rsidR="008020FB" w:rsidRPr="008020FB" w:rsidRDefault="008020FB" w:rsidP="008020FB">
            <w:pPr>
              <w:jc w:val="center"/>
              <w:rPr>
                <w:sz w:val="20"/>
                <w:szCs w:val="20"/>
              </w:rPr>
            </w:pPr>
            <w:r w:rsidRPr="008020FB">
              <w:rPr>
                <w:sz w:val="20"/>
                <w:szCs w:val="20"/>
              </w:rPr>
              <w:t>3.6</w:t>
            </w:r>
          </w:p>
        </w:tc>
        <w:tc>
          <w:tcPr>
            <w:tcW w:w="616" w:type="dxa"/>
            <w:vAlign w:val="center"/>
          </w:tcPr>
          <w:p w14:paraId="13CC13EA" w14:textId="77777777" w:rsidR="008020FB" w:rsidRPr="008020FB" w:rsidRDefault="008020FB" w:rsidP="008020FB">
            <w:pPr>
              <w:jc w:val="center"/>
              <w:rPr>
                <w:sz w:val="20"/>
                <w:szCs w:val="20"/>
              </w:rPr>
            </w:pPr>
            <w:r w:rsidRPr="008020FB">
              <w:rPr>
                <w:sz w:val="20"/>
                <w:szCs w:val="20"/>
              </w:rPr>
              <w:t>3.6</w:t>
            </w:r>
          </w:p>
        </w:tc>
        <w:tc>
          <w:tcPr>
            <w:tcW w:w="616" w:type="dxa"/>
            <w:vAlign w:val="center"/>
          </w:tcPr>
          <w:p w14:paraId="1724AFFB" w14:textId="77777777" w:rsidR="008020FB" w:rsidRPr="008020FB" w:rsidRDefault="008020FB" w:rsidP="008020FB">
            <w:pPr>
              <w:jc w:val="center"/>
              <w:rPr>
                <w:sz w:val="20"/>
                <w:szCs w:val="20"/>
              </w:rPr>
            </w:pPr>
            <w:r w:rsidRPr="008020FB">
              <w:rPr>
                <w:sz w:val="20"/>
                <w:szCs w:val="20"/>
              </w:rPr>
              <w:t>3.6</w:t>
            </w:r>
          </w:p>
        </w:tc>
        <w:tc>
          <w:tcPr>
            <w:tcW w:w="916" w:type="dxa"/>
            <w:vAlign w:val="center"/>
          </w:tcPr>
          <w:p w14:paraId="757FFDF5" w14:textId="77777777" w:rsidR="008020FB" w:rsidRPr="008020FB" w:rsidRDefault="008020FB" w:rsidP="008020FB">
            <w:pPr>
              <w:jc w:val="center"/>
              <w:rPr>
                <w:sz w:val="20"/>
                <w:szCs w:val="20"/>
              </w:rPr>
            </w:pPr>
            <w:r w:rsidRPr="008020FB">
              <w:rPr>
                <w:sz w:val="20"/>
                <w:szCs w:val="20"/>
              </w:rPr>
              <w:t>23.09</w:t>
            </w:r>
          </w:p>
        </w:tc>
      </w:tr>
      <w:tr w:rsidR="008020FB" w:rsidRPr="008020FB" w14:paraId="322C0019" w14:textId="77777777" w:rsidTr="00A70E4C">
        <w:tc>
          <w:tcPr>
            <w:tcW w:w="1512" w:type="dxa"/>
          </w:tcPr>
          <w:p w14:paraId="5CF44143" w14:textId="77777777" w:rsidR="008020FB" w:rsidRPr="008020FB" w:rsidRDefault="008020FB" w:rsidP="008020FB">
            <w:pPr>
              <w:rPr>
                <w:sz w:val="20"/>
                <w:szCs w:val="20"/>
                <w:u w:val="single"/>
              </w:rPr>
            </w:pPr>
            <w:r w:rsidRPr="008020FB">
              <w:rPr>
                <w:sz w:val="20"/>
                <w:szCs w:val="20"/>
                <w:u w:val="single"/>
              </w:rPr>
              <w:t>Interest, ROE, Income Tax</w:t>
            </w:r>
          </w:p>
        </w:tc>
        <w:tc>
          <w:tcPr>
            <w:tcW w:w="676" w:type="dxa"/>
            <w:vAlign w:val="center"/>
          </w:tcPr>
          <w:p w14:paraId="21788CF2" w14:textId="77777777" w:rsidR="008020FB" w:rsidRPr="008020FB" w:rsidRDefault="008020FB" w:rsidP="008020FB">
            <w:pPr>
              <w:jc w:val="center"/>
              <w:rPr>
                <w:sz w:val="20"/>
                <w:szCs w:val="20"/>
                <w:u w:val="single"/>
              </w:rPr>
            </w:pPr>
            <w:r w:rsidRPr="008020FB">
              <w:rPr>
                <w:sz w:val="20"/>
                <w:szCs w:val="20"/>
                <w:u w:val="single"/>
              </w:rPr>
              <w:t>1.4</w:t>
            </w:r>
          </w:p>
        </w:tc>
        <w:tc>
          <w:tcPr>
            <w:tcW w:w="676" w:type="dxa"/>
            <w:vAlign w:val="center"/>
          </w:tcPr>
          <w:p w14:paraId="28C3DF15" w14:textId="77777777" w:rsidR="008020FB" w:rsidRPr="008020FB" w:rsidRDefault="008020FB" w:rsidP="008020FB">
            <w:pPr>
              <w:jc w:val="center"/>
              <w:rPr>
                <w:sz w:val="20"/>
                <w:szCs w:val="20"/>
                <w:u w:val="single"/>
              </w:rPr>
            </w:pPr>
            <w:r w:rsidRPr="008020FB">
              <w:rPr>
                <w:sz w:val="20"/>
                <w:szCs w:val="20"/>
                <w:u w:val="single"/>
              </w:rPr>
              <w:t>2.8</w:t>
            </w:r>
          </w:p>
        </w:tc>
        <w:tc>
          <w:tcPr>
            <w:tcW w:w="676" w:type="dxa"/>
            <w:vAlign w:val="center"/>
          </w:tcPr>
          <w:p w14:paraId="7D51E0D2" w14:textId="77777777" w:rsidR="008020FB" w:rsidRPr="008020FB" w:rsidRDefault="008020FB" w:rsidP="008020FB">
            <w:pPr>
              <w:jc w:val="center"/>
              <w:rPr>
                <w:sz w:val="20"/>
                <w:szCs w:val="20"/>
                <w:u w:val="single"/>
              </w:rPr>
            </w:pPr>
            <w:r w:rsidRPr="008020FB">
              <w:rPr>
                <w:sz w:val="20"/>
                <w:szCs w:val="20"/>
                <w:u w:val="single"/>
              </w:rPr>
              <w:t>2.5</w:t>
            </w:r>
          </w:p>
        </w:tc>
        <w:tc>
          <w:tcPr>
            <w:tcW w:w="676" w:type="dxa"/>
            <w:vAlign w:val="center"/>
          </w:tcPr>
          <w:p w14:paraId="492AE155" w14:textId="77777777" w:rsidR="008020FB" w:rsidRPr="008020FB" w:rsidRDefault="008020FB" w:rsidP="008020FB">
            <w:pPr>
              <w:jc w:val="center"/>
              <w:rPr>
                <w:sz w:val="20"/>
                <w:szCs w:val="20"/>
                <w:u w:val="single"/>
              </w:rPr>
            </w:pPr>
            <w:r w:rsidRPr="008020FB">
              <w:rPr>
                <w:sz w:val="20"/>
                <w:szCs w:val="20"/>
                <w:u w:val="single"/>
              </w:rPr>
              <w:t>2.2</w:t>
            </w:r>
          </w:p>
        </w:tc>
        <w:tc>
          <w:tcPr>
            <w:tcW w:w="676" w:type="dxa"/>
            <w:vAlign w:val="center"/>
          </w:tcPr>
          <w:p w14:paraId="0D135C43" w14:textId="77777777" w:rsidR="008020FB" w:rsidRPr="008020FB" w:rsidRDefault="008020FB" w:rsidP="008020FB">
            <w:pPr>
              <w:jc w:val="center"/>
              <w:rPr>
                <w:sz w:val="20"/>
                <w:szCs w:val="20"/>
                <w:u w:val="single"/>
              </w:rPr>
            </w:pPr>
            <w:r w:rsidRPr="008020FB">
              <w:rPr>
                <w:sz w:val="20"/>
                <w:szCs w:val="20"/>
                <w:u w:val="single"/>
              </w:rPr>
              <w:t>1.9</w:t>
            </w:r>
          </w:p>
        </w:tc>
        <w:tc>
          <w:tcPr>
            <w:tcW w:w="676" w:type="dxa"/>
            <w:vAlign w:val="center"/>
          </w:tcPr>
          <w:p w14:paraId="3AC73CC6" w14:textId="77777777" w:rsidR="008020FB" w:rsidRPr="008020FB" w:rsidRDefault="008020FB" w:rsidP="008020FB">
            <w:pPr>
              <w:jc w:val="center"/>
              <w:rPr>
                <w:sz w:val="20"/>
                <w:szCs w:val="20"/>
                <w:u w:val="single"/>
              </w:rPr>
            </w:pPr>
            <w:r w:rsidRPr="008020FB">
              <w:rPr>
                <w:sz w:val="20"/>
                <w:szCs w:val="20"/>
                <w:u w:val="single"/>
              </w:rPr>
              <w:t>1.6</w:t>
            </w:r>
          </w:p>
        </w:tc>
        <w:tc>
          <w:tcPr>
            <w:tcW w:w="700" w:type="dxa"/>
            <w:vAlign w:val="center"/>
          </w:tcPr>
          <w:p w14:paraId="087347E2" w14:textId="77777777" w:rsidR="008020FB" w:rsidRPr="008020FB" w:rsidRDefault="008020FB" w:rsidP="008020FB">
            <w:pPr>
              <w:jc w:val="center"/>
              <w:rPr>
                <w:sz w:val="20"/>
                <w:szCs w:val="20"/>
                <w:u w:val="single"/>
              </w:rPr>
            </w:pPr>
            <w:r w:rsidRPr="008020FB">
              <w:rPr>
                <w:sz w:val="20"/>
                <w:szCs w:val="20"/>
                <w:u w:val="single"/>
              </w:rPr>
              <w:t>1.4</w:t>
            </w:r>
          </w:p>
        </w:tc>
        <w:tc>
          <w:tcPr>
            <w:tcW w:w="616" w:type="dxa"/>
            <w:vAlign w:val="center"/>
          </w:tcPr>
          <w:p w14:paraId="4999554F" w14:textId="77777777" w:rsidR="008020FB" w:rsidRPr="008020FB" w:rsidRDefault="008020FB" w:rsidP="008020FB">
            <w:pPr>
              <w:jc w:val="center"/>
              <w:rPr>
                <w:sz w:val="20"/>
                <w:szCs w:val="20"/>
                <w:u w:val="single"/>
              </w:rPr>
            </w:pPr>
            <w:r w:rsidRPr="008020FB">
              <w:rPr>
                <w:sz w:val="20"/>
                <w:szCs w:val="20"/>
                <w:u w:val="single"/>
              </w:rPr>
              <w:t>1.0</w:t>
            </w:r>
          </w:p>
        </w:tc>
        <w:tc>
          <w:tcPr>
            <w:tcW w:w="616" w:type="dxa"/>
            <w:vAlign w:val="center"/>
          </w:tcPr>
          <w:p w14:paraId="1A6A97FC" w14:textId="77777777" w:rsidR="008020FB" w:rsidRPr="008020FB" w:rsidRDefault="008020FB" w:rsidP="008020FB">
            <w:pPr>
              <w:jc w:val="center"/>
              <w:rPr>
                <w:sz w:val="20"/>
                <w:szCs w:val="20"/>
                <w:u w:val="single"/>
              </w:rPr>
            </w:pPr>
            <w:r w:rsidRPr="008020FB">
              <w:rPr>
                <w:sz w:val="20"/>
                <w:szCs w:val="20"/>
                <w:u w:val="single"/>
              </w:rPr>
              <w:t>0.7</w:t>
            </w:r>
          </w:p>
        </w:tc>
        <w:tc>
          <w:tcPr>
            <w:tcW w:w="616" w:type="dxa"/>
            <w:vAlign w:val="center"/>
          </w:tcPr>
          <w:p w14:paraId="065561B0" w14:textId="77777777" w:rsidR="008020FB" w:rsidRPr="008020FB" w:rsidRDefault="008020FB" w:rsidP="008020FB">
            <w:pPr>
              <w:jc w:val="center"/>
              <w:rPr>
                <w:sz w:val="20"/>
                <w:szCs w:val="20"/>
                <w:u w:val="single"/>
              </w:rPr>
            </w:pPr>
            <w:r w:rsidRPr="008020FB">
              <w:rPr>
                <w:sz w:val="20"/>
                <w:szCs w:val="20"/>
                <w:u w:val="single"/>
              </w:rPr>
              <w:t>0.5</w:t>
            </w:r>
          </w:p>
        </w:tc>
        <w:tc>
          <w:tcPr>
            <w:tcW w:w="616" w:type="dxa"/>
            <w:vAlign w:val="center"/>
          </w:tcPr>
          <w:p w14:paraId="149146D3" w14:textId="77777777" w:rsidR="008020FB" w:rsidRPr="008020FB" w:rsidRDefault="008020FB" w:rsidP="008020FB">
            <w:pPr>
              <w:jc w:val="center"/>
              <w:rPr>
                <w:sz w:val="20"/>
                <w:szCs w:val="20"/>
                <w:u w:val="single"/>
              </w:rPr>
            </w:pPr>
            <w:r w:rsidRPr="008020FB">
              <w:rPr>
                <w:sz w:val="20"/>
                <w:szCs w:val="20"/>
                <w:u w:val="single"/>
              </w:rPr>
              <w:t>0.1</w:t>
            </w:r>
          </w:p>
        </w:tc>
        <w:tc>
          <w:tcPr>
            <w:tcW w:w="916" w:type="dxa"/>
            <w:vAlign w:val="center"/>
          </w:tcPr>
          <w:p w14:paraId="2456D4BC" w14:textId="77777777" w:rsidR="008020FB" w:rsidRPr="008020FB" w:rsidRDefault="008020FB" w:rsidP="008020FB">
            <w:pPr>
              <w:jc w:val="center"/>
              <w:rPr>
                <w:sz w:val="20"/>
                <w:szCs w:val="20"/>
                <w:u w:val="single"/>
              </w:rPr>
            </w:pPr>
            <w:r w:rsidRPr="008020FB">
              <w:rPr>
                <w:sz w:val="20"/>
                <w:szCs w:val="20"/>
                <w:u w:val="single"/>
              </w:rPr>
              <w:t>11.98</w:t>
            </w:r>
          </w:p>
        </w:tc>
      </w:tr>
      <w:tr w:rsidR="008020FB" w:rsidRPr="008020FB" w14:paraId="475A9B7B" w14:textId="77777777" w:rsidTr="00A70E4C">
        <w:tc>
          <w:tcPr>
            <w:tcW w:w="1512" w:type="dxa"/>
          </w:tcPr>
          <w:p w14:paraId="5D0C83B7" w14:textId="77777777" w:rsidR="008020FB" w:rsidRPr="008020FB" w:rsidRDefault="008020FB" w:rsidP="008020FB">
            <w:pPr>
              <w:rPr>
                <w:b/>
                <w:sz w:val="20"/>
                <w:szCs w:val="20"/>
              </w:rPr>
            </w:pPr>
            <w:r w:rsidRPr="008020FB">
              <w:rPr>
                <w:b/>
                <w:sz w:val="20"/>
                <w:szCs w:val="20"/>
              </w:rPr>
              <w:t>Regulatory Asset Costs</w:t>
            </w:r>
          </w:p>
        </w:tc>
        <w:tc>
          <w:tcPr>
            <w:tcW w:w="676" w:type="dxa"/>
            <w:vAlign w:val="center"/>
          </w:tcPr>
          <w:p w14:paraId="4425EC01" w14:textId="77777777" w:rsidR="008020FB" w:rsidRPr="008020FB" w:rsidRDefault="008020FB" w:rsidP="008020FB">
            <w:pPr>
              <w:jc w:val="center"/>
              <w:rPr>
                <w:b/>
                <w:sz w:val="20"/>
                <w:szCs w:val="20"/>
              </w:rPr>
            </w:pPr>
            <w:r w:rsidRPr="008020FB">
              <w:rPr>
                <w:b/>
                <w:sz w:val="20"/>
                <w:szCs w:val="20"/>
              </w:rPr>
              <w:t>1.4</w:t>
            </w:r>
          </w:p>
        </w:tc>
        <w:tc>
          <w:tcPr>
            <w:tcW w:w="676" w:type="dxa"/>
            <w:vAlign w:val="center"/>
          </w:tcPr>
          <w:p w14:paraId="7DDBCB1C" w14:textId="77777777" w:rsidR="008020FB" w:rsidRPr="008020FB" w:rsidRDefault="008020FB" w:rsidP="008020FB">
            <w:pPr>
              <w:jc w:val="center"/>
              <w:rPr>
                <w:b/>
                <w:sz w:val="20"/>
                <w:szCs w:val="20"/>
              </w:rPr>
            </w:pPr>
            <w:r w:rsidRPr="008020FB">
              <w:rPr>
                <w:b/>
                <w:sz w:val="20"/>
                <w:szCs w:val="20"/>
              </w:rPr>
              <w:t>6.4</w:t>
            </w:r>
          </w:p>
        </w:tc>
        <w:tc>
          <w:tcPr>
            <w:tcW w:w="676" w:type="dxa"/>
            <w:vAlign w:val="center"/>
          </w:tcPr>
          <w:p w14:paraId="740BEED3" w14:textId="77777777" w:rsidR="008020FB" w:rsidRPr="008020FB" w:rsidRDefault="008020FB" w:rsidP="008020FB">
            <w:pPr>
              <w:jc w:val="center"/>
              <w:rPr>
                <w:b/>
                <w:sz w:val="20"/>
                <w:szCs w:val="20"/>
              </w:rPr>
            </w:pPr>
            <w:r w:rsidRPr="008020FB">
              <w:rPr>
                <w:b/>
                <w:sz w:val="20"/>
                <w:szCs w:val="20"/>
              </w:rPr>
              <w:t>6.1</w:t>
            </w:r>
          </w:p>
        </w:tc>
        <w:tc>
          <w:tcPr>
            <w:tcW w:w="676" w:type="dxa"/>
            <w:vAlign w:val="center"/>
          </w:tcPr>
          <w:p w14:paraId="08D60606" w14:textId="77777777" w:rsidR="008020FB" w:rsidRPr="008020FB" w:rsidRDefault="008020FB" w:rsidP="008020FB">
            <w:pPr>
              <w:jc w:val="center"/>
              <w:rPr>
                <w:b/>
                <w:sz w:val="20"/>
                <w:szCs w:val="20"/>
              </w:rPr>
            </w:pPr>
            <w:r w:rsidRPr="008020FB">
              <w:rPr>
                <w:b/>
                <w:sz w:val="20"/>
                <w:szCs w:val="20"/>
              </w:rPr>
              <w:t>5.8</w:t>
            </w:r>
          </w:p>
        </w:tc>
        <w:tc>
          <w:tcPr>
            <w:tcW w:w="676" w:type="dxa"/>
            <w:vAlign w:val="center"/>
          </w:tcPr>
          <w:p w14:paraId="15B1C0EA" w14:textId="77777777" w:rsidR="008020FB" w:rsidRPr="008020FB" w:rsidRDefault="008020FB" w:rsidP="008020FB">
            <w:pPr>
              <w:jc w:val="center"/>
              <w:rPr>
                <w:b/>
                <w:sz w:val="20"/>
                <w:szCs w:val="20"/>
              </w:rPr>
            </w:pPr>
            <w:r w:rsidRPr="008020FB">
              <w:rPr>
                <w:b/>
                <w:sz w:val="20"/>
                <w:szCs w:val="20"/>
              </w:rPr>
              <w:t>5.5</w:t>
            </w:r>
          </w:p>
        </w:tc>
        <w:tc>
          <w:tcPr>
            <w:tcW w:w="676" w:type="dxa"/>
            <w:vAlign w:val="center"/>
          </w:tcPr>
          <w:p w14:paraId="5F429557" w14:textId="77777777" w:rsidR="008020FB" w:rsidRPr="008020FB" w:rsidRDefault="008020FB" w:rsidP="008020FB">
            <w:pPr>
              <w:jc w:val="center"/>
              <w:rPr>
                <w:b/>
                <w:sz w:val="20"/>
                <w:szCs w:val="20"/>
              </w:rPr>
            </w:pPr>
            <w:r w:rsidRPr="008020FB">
              <w:rPr>
                <w:b/>
                <w:sz w:val="20"/>
                <w:szCs w:val="20"/>
              </w:rPr>
              <w:t>5.2</w:t>
            </w:r>
          </w:p>
        </w:tc>
        <w:tc>
          <w:tcPr>
            <w:tcW w:w="700" w:type="dxa"/>
            <w:vAlign w:val="center"/>
          </w:tcPr>
          <w:p w14:paraId="18681DA0" w14:textId="77777777" w:rsidR="008020FB" w:rsidRPr="008020FB" w:rsidRDefault="008020FB" w:rsidP="008020FB">
            <w:pPr>
              <w:jc w:val="center"/>
              <w:rPr>
                <w:b/>
                <w:sz w:val="20"/>
                <w:szCs w:val="20"/>
              </w:rPr>
            </w:pPr>
            <w:r w:rsidRPr="008020FB">
              <w:rPr>
                <w:b/>
                <w:sz w:val="20"/>
                <w:szCs w:val="20"/>
              </w:rPr>
              <w:t>4.9</w:t>
            </w:r>
          </w:p>
        </w:tc>
        <w:tc>
          <w:tcPr>
            <w:tcW w:w="616" w:type="dxa"/>
            <w:vAlign w:val="center"/>
          </w:tcPr>
          <w:p w14:paraId="6D452FA1" w14:textId="77777777" w:rsidR="008020FB" w:rsidRPr="008020FB" w:rsidRDefault="008020FB" w:rsidP="008020FB">
            <w:pPr>
              <w:jc w:val="center"/>
              <w:rPr>
                <w:b/>
                <w:sz w:val="20"/>
                <w:szCs w:val="20"/>
              </w:rPr>
            </w:pPr>
            <w:r w:rsidRPr="008020FB">
              <w:rPr>
                <w:b/>
                <w:sz w:val="20"/>
                <w:szCs w:val="20"/>
              </w:rPr>
              <w:t>4.6</w:t>
            </w:r>
          </w:p>
        </w:tc>
        <w:tc>
          <w:tcPr>
            <w:tcW w:w="616" w:type="dxa"/>
            <w:vAlign w:val="center"/>
          </w:tcPr>
          <w:p w14:paraId="12412FA6" w14:textId="77777777" w:rsidR="008020FB" w:rsidRPr="008020FB" w:rsidRDefault="008020FB" w:rsidP="008020FB">
            <w:pPr>
              <w:jc w:val="center"/>
              <w:rPr>
                <w:b/>
                <w:sz w:val="20"/>
                <w:szCs w:val="20"/>
              </w:rPr>
            </w:pPr>
            <w:r w:rsidRPr="008020FB">
              <w:rPr>
                <w:b/>
                <w:sz w:val="20"/>
                <w:szCs w:val="20"/>
              </w:rPr>
              <w:t>4.3</w:t>
            </w:r>
          </w:p>
        </w:tc>
        <w:tc>
          <w:tcPr>
            <w:tcW w:w="616" w:type="dxa"/>
            <w:vAlign w:val="center"/>
          </w:tcPr>
          <w:p w14:paraId="69CDA607" w14:textId="77777777" w:rsidR="008020FB" w:rsidRPr="008020FB" w:rsidRDefault="008020FB" w:rsidP="008020FB">
            <w:pPr>
              <w:jc w:val="center"/>
              <w:rPr>
                <w:b/>
                <w:sz w:val="20"/>
                <w:szCs w:val="20"/>
              </w:rPr>
            </w:pPr>
            <w:r w:rsidRPr="008020FB">
              <w:rPr>
                <w:b/>
                <w:sz w:val="20"/>
                <w:szCs w:val="20"/>
              </w:rPr>
              <w:t>4.0</w:t>
            </w:r>
          </w:p>
        </w:tc>
        <w:tc>
          <w:tcPr>
            <w:tcW w:w="616" w:type="dxa"/>
            <w:vAlign w:val="center"/>
          </w:tcPr>
          <w:p w14:paraId="116759A0" w14:textId="77777777" w:rsidR="008020FB" w:rsidRPr="008020FB" w:rsidRDefault="008020FB" w:rsidP="008020FB">
            <w:pPr>
              <w:jc w:val="center"/>
              <w:rPr>
                <w:b/>
                <w:sz w:val="20"/>
                <w:szCs w:val="20"/>
              </w:rPr>
            </w:pPr>
            <w:r w:rsidRPr="008020FB">
              <w:rPr>
                <w:b/>
                <w:sz w:val="20"/>
                <w:szCs w:val="20"/>
              </w:rPr>
              <w:t>3.7</w:t>
            </w:r>
          </w:p>
        </w:tc>
        <w:tc>
          <w:tcPr>
            <w:tcW w:w="916" w:type="dxa"/>
            <w:vAlign w:val="center"/>
          </w:tcPr>
          <w:p w14:paraId="44E60500" w14:textId="77777777" w:rsidR="008020FB" w:rsidRPr="008020FB" w:rsidRDefault="008020FB" w:rsidP="008020FB">
            <w:pPr>
              <w:jc w:val="center"/>
              <w:rPr>
                <w:b/>
                <w:sz w:val="20"/>
                <w:szCs w:val="20"/>
              </w:rPr>
            </w:pPr>
            <w:r w:rsidRPr="008020FB">
              <w:rPr>
                <w:b/>
                <w:sz w:val="20"/>
                <w:szCs w:val="20"/>
              </w:rPr>
              <w:t>35.07</w:t>
            </w:r>
          </w:p>
        </w:tc>
      </w:tr>
      <w:tr w:rsidR="008020FB" w:rsidRPr="008020FB" w14:paraId="384085F8" w14:textId="77777777" w:rsidTr="00A70E4C">
        <w:tc>
          <w:tcPr>
            <w:tcW w:w="1512" w:type="dxa"/>
          </w:tcPr>
          <w:p w14:paraId="7A0B8649" w14:textId="77777777" w:rsidR="008020FB" w:rsidRPr="008020FB" w:rsidRDefault="008020FB" w:rsidP="008020FB">
            <w:pPr>
              <w:rPr>
                <w:b/>
                <w:sz w:val="20"/>
                <w:szCs w:val="20"/>
              </w:rPr>
            </w:pPr>
            <w:r w:rsidRPr="008020FB">
              <w:rPr>
                <w:b/>
                <w:sz w:val="20"/>
                <w:szCs w:val="20"/>
              </w:rPr>
              <w:t>Net Customer Costs/Savings</w:t>
            </w:r>
          </w:p>
        </w:tc>
        <w:tc>
          <w:tcPr>
            <w:tcW w:w="676" w:type="dxa"/>
            <w:vAlign w:val="center"/>
          </w:tcPr>
          <w:p w14:paraId="272B9F19" w14:textId="77777777" w:rsidR="008020FB" w:rsidRPr="008020FB" w:rsidRDefault="008020FB" w:rsidP="008020FB">
            <w:pPr>
              <w:jc w:val="center"/>
              <w:rPr>
                <w:b/>
                <w:sz w:val="20"/>
                <w:szCs w:val="20"/>
              </w:rPr>
            </w:pPr>
            <w:r w:rsidRPr="008020FB">
              <w:rPr>
                <w:b/>
                <w:sz w:val="20"/>
                <w:szCs w:val="20"/>
              </w:rPr>
              <w:t>(1.5)</w:t>
            </w:r>
          </w:p>
        </w:tc>
        <w:tc>
          <w:tcPr>
            <w:tcW w:w="676" w:type="dxa"/>
            <w:vAlign w:val="center"/>
          </w:tcPr>
          <w:p w14:paraId="4F83503B" w14:textId="77777777" w:rsidR="008020FB" w:rsidRPr="008020FB" w:rsidRDefault="008020FB" w:rsidP="008020FB">
            <w:pPr>
              <w:jc w:val="center"/>
              <w:rPr>
                <w:b/>
                <w:sz w:val="20"/>
                <w:szCs w:val="20"/>
              </w:rPr>
            </w:pPr>
            <w:r w:rsidRPr="008020FB">
              <w:rPr>
                <w:b/>
                <w:sz w:val="20"/>
                <w:szCs w:val="20"/>
              </w:rPr>
              <w:t>(2.9)</w:t>
            </w:r>
          </w:p>
        </w:tc>
        <w:tc>
          <w:tcPr>
            <w:tcW w:w="676" w:type="dxa"/>
            <w:vAlign w:val="center"/>
          </w:tcPr>
          <w:p w14:paraId="7BA9D294" w14:textId="77777777" w:rsidR="008020FB" w:rsidRPr="008020FB" w:rsidRDefault="008020FB" w:rsidP="008020FB">
            <w:pPr>
              <w:jc w:val="center"/>
              <w:rPr>
                <w:b/>
                <w:sz w:val="20"/>
                <w:szCs w:val="20"/>
              </w:rPr>
            </w:pPr>
            <w:r w:rsidRPr="008020FB">
              <w:rPr>
                <w:b/>
                <w:sz w:val="20"/>
                <w:szCs w:val="20"/>
              </w:rPr>
              <w:t>(3.3)</w:t>
            </w:r>
          </w:p>
        </w:tc>
        <w:tc>
          <w:tcPr>
            <w:tcW w:w="676" w:type="dxa"/>
            <w:vAlign w:val="center"/>
          </w:tcPr>
          <w:p w14:paraId="3D006E3A" w14:textId="77777777" w:rsidR="008020FB" w:rsidRPr="008020FB" w:rsidRDefault="008020FB" w:rsidP="008020FB">
            <w:pPr>
              <w:jc w:val="center"/>
              <w:rPr>
                <w:b/>
                <w:sz w:val="20"/>
                <w:szCs w:val="20"/>
              </w:rPr>
            </w:pPr>
            <w:r w:rsidRPr="008020FB">
              <w:rPr>
                <w:b/>
                <w:sz w:val="20"/>
                <w:szCs w:val="20"/>
              </w:rPr>
              <w:t>(3.8)</w:t>
            </w:r>
          </w:p>
        </w:tc>
        <w:tc>
          <w:tcPr>
            <w:tcW w:w="676" w:type="dxa"/>
            <w:vAlign w:val="center"/>
          </w:tcPr>
          <w:p w14:paraId="549187A7" w14:textId="77777777" w:rsidR="008020FB" w:rsidRPr="008020FB" w:rsidRDefault="008020FB" w:rsidP="008020FB">
            <w:pPr>
              <w:jc w:val="center"/>
              <w:rPr>
                <w:b/>
                <w:sz w:val="20"/>
                <w:szCs w:val="20"/>
              </w:rPr>
            </w:pPr>
            <w:r w:rsidRPr="008020FB">
              <w:rPr>
                <w:b/>
                <w:sz w:val="20"/>
                <w:szCs w:val="20"/>
              </w:rPr>
              <w:t>(4.3)</w:t>
            </w:r>
          </w:p>
        </w:tc>
        <w:tc>
          <w:tcPr>
            <w:tcW w:w="676" w:type="dxa"/>
            <w:vAlign w:val="center"/>
          </w:tcPr>
          <w:p w14:paraId="6E0DF0AD" w14:textId="77777777" w:rsidR="008020FB" w:rsidRPr="008020FB" w:rsidRDefault="008020FB" w:rsidP="008020FB">
            <w:pPr>
              <w:jc w:val="center"/>
              <w:rPr>
                <w:b/>
                <w:sz w:val="20"/>
                <w:szCs w:val="20"/>
              </w:rPr>
            </w:pPr>
            <w:r w:rsidRPr="008020FB">
              <w:rPr>
                <w:b/>
                <w:sz w:val="20"/>
                <w:szCs w:val="20"/>
              </w:rPr>
              <w:t>($.7)</w:t>
            </w:r>
          </w:p>
        </w:tc>
        <w:tc>
          <w:tcPr>
            <w:tcW w:w="700" w:type="dxa"/>
            <w:vAlign w:val="center"/>
          </w:tcPr>
          <w:p w14:paraId="27D702FA" w14:textId="77777777" w:rsidR="008020FB" w:rsidRPr="008020FB" w:rsidRDefault="008020FB" w:rsidP="008020FB">
            <w:pPr>
              <w:jc w:val="center"/>
              <w:rPr>
                <w:b/>
                <w:sz w:val="20"/>
                <w:szCs w:val="20"/>
              </w:rPr>
            </w:pPr>
            <w:r w:rsidRPr="008020FB">
              <w:rPr>
                <w:b/>
                <w:sz w:val="20"/>
                <w:szCs w:val="20"/>
              </w:rPr>
              <w:t>(5.1)</w:t>
            </w:r>
          </w:p>
        </w:tc>
        <w:tc>
          <w:tcPr>
            <w:tcW w:w="616" w:type="dxa"/>
            <w:vAlign w:val="center"/>
          </w:tcPr>
          <w:p w14:paraId="7E99FA79" w14:textId="77777777" w:rsidR="008020FB" w:rsidRPr="008020FB" w:rsidRDefault="008020FB" w:rsidP="008020FB">
            <w:pPr>
              <w:jc w:val="center"/>
              <w:rPr>
                <w:b/>
                <w:sz w:val="20"/>
                <w:szCs w:val="20"/>
              </w:rPr>
            </w:pPr>
            <w:r w:rsidRPr="008020FB">
              <w:rPr>
                <w:b/>
                <w:sz w:val="20"/>
                <w:szCs w:val="20"/>
              </w:rPr>
              <w:t>1.8</w:t>
            </w:r>
          </w:p>
        </w:tc>
        <w:tc>
          <w:tcPr>
            <w:tcW w:w="616" w:type="dxa"/>
            <w:vAlign w:val="center"/>
          </w:tcPr>
          <w:p w14:paraId="742AE2FF" w14:textId="77777777" w:rsidR="008020FB" w:rsidRPr="008020FB" w:rsidRDefault="008020FB" w:rsidP="008020FB">
            <w:pPr>
              <w:jc w:val="center"/>
              <w:rPr>
                <w:b/>
                <w:sz w:val="20"/>
                <w:szCs w:val="20"/>
              </w:rPr>
            </w:pPr>
            <w:r w:rsidRPr="008020FB">
              <w:rPr>
                <w:b/>
                <w:sz w:val="20"/>
                <w:szCs w:val="20"/>
              </w:rPr>
              <w:t>1.5</w:t>
            </w:r>
          </w:p>
        </w:tc>
        <w:tc>
          <w:tcPr>
            <w:tcW w:w="616" w:type="dxa"/>
            <w:vAlign w:val="center"/>
          </w:tcPr>
          <w:p w14:paraId="2C535855" w14:textId="77777777" w:rsidR="008020FB" w:rsidRPr="008020FB" w:rsidRDefault="008020FB" w:rsidP="008020FB">
            <w:pPr>
              <w:jc w:val="center"/>
              <w:rPr>
                <w:b/>
                <w:sz w:val="20"/>
                <w:szCs w:val="20"/>
              </w:rPr>
            </w:pPr>
            <w:r w:rsidRPr="008020FB">
              <w:rPr>
                <w:b/>
                <w:sz w:val="20"/>
                <w:szCs w:val="20"/>
              </w:rPr>
              <w:t>4.0</w:t>
            </w:r>
          </w:p>
        </w:tc>
        <w:tc>
          <w:tcPr>
            <w:tcW w:w="616" w:type="dxa"/>
            <w:vAlign w:val="center"/>
          </w:tcPr>
          <w:p w14:paraId="14708CEC" w14:textId="77777777" w:rsidR="008020FB" w:rsidRPr="008020FB" w:rsidRDefault="008020FB" w:rsidP="008020FB">
            <w:pPr>
              <w:jc w:val="center"/>
              <w:rPr>
                <w:b/>
                <w:sz w:val="20"/>
                <w:szCs w:val="20"/>
              </w:rPr>
            </w:pPr>
            <w:r w:rsidRPr="008020FB">
              <w:rPr>
                <w:b/>
                <w:sz w:val="20"/>
                <w:szCs w:val="20"/>
              </w:rPr>
              <w:t>3.7</w:t>
            </w:r>
          </w:p>
        </w:tc>
        <w:tc>
          <w:tcPr>
            <w:tcW w:w="916" w:type="dxa"/>
            <w:vAlign w:val="center"/>
          </w:tcPr>
          <w:p w14:paraId="3CDAFD9F" w14:textId="77777777" w:rsidR="008020FB" w:rsidRPr="008020FB" w:rsidRDefault="008020FB" w:rsidP="008020FB">
            <w:pPr>
              <w:jc w:val="center"/>
              <w:rPr>
                <w:b/>
                <w:sz w:val="20"/>
                <w:szCs w:val="20"/>
              </w:rPr>
            </w:pPr>
            <w:r w:rsidRPr="008020FB">
              <w:rPr>
                <w:b/>
                <w:sz w:val="20"/>
                <w:szCs w:val="20"/>
              </w:rPr>
              <w:t>(13.40)</w:t>
            </w:r>
          </w:p>
        </w:tc>
      </w:tr>
    </w:tbl>
    <w:p w14:paraId="1E604054" w14:textId="77777777" w:rsidR="008020FB" w:rsidRDefault="008020FB" w:rsidP="008020FB">
      <w:pPr>
        <w:jc w:val="both"/>
      </w:pPr>
      <w:r w:rsidRPr="008020FB">
        <w:t>Source: FPL’s Response to Staff’s Second Data Request</w:t>
      </w:r>
    </w:p>
    <w:p w14:paraId="6D90AA0F" w14:textId="77777777" w:rsidR="008020FB" w:rsidRPr="00CD3934" w:rsidRDefault="008020FB" w:rsidP="008020FB">
      <w:pPr>
        <w:jc w:val="both"/>
        <w:rPr>
          <w:u w:val="single"/>
        </w:rPr>
      </w:pPr>
    </w:p>
    <w:p w14:paraId="61D8EF98" w14:textId="77777777" w:rsidR="008020FB" w:rsidRPr="00CD3934" w:rsidRDefault="008020FB" w:rsidP="008020FB">
      <w:pPr>
        <w:jc w:val="both"/>
        <w:outlineLvl w:val="2"/>
        <w:rPr>
          <w:bCs/>
          <w:iCs/>
          <w:szCs w:val="28"/>
          <w:u w:val="single"/>
        </w:rPr>
      </w:pPr>
      <w:r w:rsidRPr="00CD3934">
        <w:rPr>
          <w:bCs/>
          <w:iCs/>
          <w:szCs w:val="28"/>
          <w:u w:val="single"/>
        </w:rPr>
        <w:t>Conclusion</w:t>
      </w:r>
    </w:p>
    <w:p w14:paraId="5A6C74A8" w14:textId="77777777" w:rsidR="008020FB" w:rsidRPr="008020FB" w:rsidRDefault="008020FB" w:rsidP="008020FB">
      <w:pPr>
        <w:jc w:val="both"/>
        <w:outlineLvl w:val="2"/>
        <w:rPr>
          <w:bCs/>
          <w:iCs/>
          <w:szCs w:val="28"/>
        </w:rPr>
      </w:pPr>
    </w:p>
    <w:p w14:paraId="0DC43417" w14:textId="77777777" w:rsidR="008020FB" w:rsidRDefault="008020FB" w:rsidP="008020FB">
      <w:pPr>
        <w:pStyle w:val="OrderBody"/>
      </w:pPr>
      <w:r>
        <w:tab/>
      </w:r>
      <w:r w:rsidR="00F60391">
        <w:t xml:space="preserve">Based on the above, we </w:t>
      </w:r>
      <w:r w:rsidR="00885307">
        <w:t>approve</w:t>
      </w:r>
      <w:r w:rsidR="00F60391">
        <w:t xml:space="preserve"> t</w:t>
      </w:r>
      <w:r w:rsidRPr="008020FB">
        <w:t>he PSA between FPL and MPC transferring FPL’s 50 percent ownership in Units 1 &amp; 2 to MPC</w:t>
      </w:r>
      <w:r w:rsidR="00F60391">
        <w:t>.</w:t>
      </w:r>
    </w:p>
    <w:p w14:paraId="3B0F0EC7" w14:textId="77777777" w:rsidR="008020FB" w:rsidRDefault="008020FB" w:rsidP="008020FB">
      <w:pPr>
        <w:pStyle w:val="OrderBody"/>
      </w:pPr>
    </w:p>
    <w:p w14:paraId="4BB6B984" w14:textId="77777777" w:rsidR="00533ED5" w:rsidRPr="00533ED5" w:rsidRDefault="00533ED5" w:rsidP="00533ED5">
      <w:pPr>
        <w:spacing w:after="240"/>
        <w:jc w:val="center"/>
        <w:rPr>
          <w:bCs/>
          <w:kern w:val="32"/>
          <w:szCs w:val="32"/>
          <w:u w:val="single"/>
        </w:rPr>
      </w:pPr>
      <w:r w:rsidRPr="00533ED5">
        <w:rPr>
          <w:bCs/>
          <w:kern w:val="32"/>
          <w:szCs w:val="32"/>
          <w:u w:val="single"/>
        </w:rPr>
        <w:t>Creation of Regulatory Assets</w:t>
      </w:r>
    </w:p>
    <w:p w14:paraId="3BF7D2E5" w14:textId="4F86C2B2" w:rsidR="008020FB" w:rsidRPr="008020FB" w:rsidRDefault="00533ED5" w:rsidP="008020FB">
      <w:pPr>
        <w:spacing w:after="240"/>
        <w:jc w:val="both"/>
      </w:pPr>
      <w:r>
        <w:tab/>
      </w:r>
      <w:r w:rsidRPr="008020FB">
        <w:t>FPL</w:t>
      </w:r>
      <w:r w:rsidR="008020FB" w:rsidRPr="008020FB">
        <w:t xml:space="preserve"> originally requested </w:t>
      </w:r>
      <w:r w:rsidRPr="008020FB">
        <w:t xml:space="preserve">$39.3 million </w:t>
      </w:r>
      <w:r w:rsidR="008020FB" w:rsidRPr="008020FB">
        <w:t xml:space="preserve">to cover the portion of the transfer price related to otherwise recoverable base rate expenses. </w:t>
      </w:r>
      <w:r w:rsidRPr="008020FB">
        <w:t>FPL</w:t>
      </w:r>
      <w:r w:rsidR="008020FB" w:rsidRPr="008020FB">
        <w:t xml:space="preserve"> original</w:t>
      </w:r>
      <w:r>
        <w:t>ly</w:t>
      </w:r>
      <w:r w:rsidR="008020FB" w:rsidRPr="008020FB">
        <w:t xml:space="preserve"> requested</w:t>
      </w:r>
      <w:r>
        <w:t xml:space="preserve"> </w:t>
      </w:r>
      <w:r w:rsidRPr="008020FB">
        <w:t>$5.7 million</w:t>
      </w:r>
      <w:r w:rsidR="008020FB" w:rsidRPr="008020FB">
        <w:t xml:space="preserve"> related to environmental costs otherwise recovered through the E</w:t>
      </w:r>
      <w:r>
        <w:t>CRC</w:t>
      </w:r>
      <w:r w:rsidR="008020FB" w:rsidRPr="008020FB">
        <w:t xml:space="preserve">. FPL proposed a recovery period of 10 years for both the base rate and ECRC regulatory assets, commencing at the resetting of base rates and January 1, 2026, respectively. On February 28, 2025, FPL filed a petition for a base rate increase, with new rates requested to be implemented January 1, 2026. In its petition, FPL </w:t>
      </w:r>
      <w:r w:rsidR="008020FB" w:rsidRPr="008020FB">
        <w:lastRenderedPageBreak/>
        <w:t xml:space="preserve">highlighted previous </w:t>
      </w:r>
      <w:r w:rsidR="00C1724F">
        <w:t>o</w:t>
      </w:r>
      <w:r w:rsidR="008020FB" w:rsidRPr="008020FB">
        <w:t xml:space="preserve">rders </w:t>
      </w:r>
      <w:r w:rsidR="008343B3">
        <w:t xml:space="preserve">where we </w:t>
      </w:r>
      <w:r w:rsidR="008020FB" w:rsidRPr="008020FB">
        <w:t>approv</w:t>
      </w:r>
      <w:r w:rsidR="008343B3">
        <w:t>ed</w:t>
      </w:r>
      <w:r w:rsidR="008020FB" w:rsidRPr="008020FB">
        <w:t xml:space="preserve"> settlements that established regulatory assets for the purpose of exiting unprofitable generation agreements and thereby creating customer savings.</w:t>
      </w:r>
      <w:r w:rsidR="008020FB" w:rsidRPr="008020FB">
        <w:rPr>
          <w:vertAlign w:val="superscript"/>
        </w:rPr>
        <w:footnoteReference w:id="4"/>
      </w:r>
    </w:p>
    <w:p w14:paraId="2D628225" w14:textId="77777777" w:rsidR="008020FB" w:rsidRPr="008020FB" w:rsidRDefault="008020FB" w:rsidP="008020FB">
      <w:pPr>
        <w:spacing w:after="240"/>
        <w:jc w:val="both"/>
      </w:pPr>
      <w:r>
        <w:tab/>
      </w:r>
      <w:r w:rsidR="009A296C">
        <w:t>We have</w:t>
      </w:r>
      <w:r w:rsidRPr="008020FB">
        <w:t xml:space="preserve"> cited Financial Accounting Standards Board's Accounting Standards Codification 980 Regulated Operations (FASB ASC 980) in previous decisions regarding the approval of regulatory assets. The recognition and establishment of regulatory assets are addressed in FASB ASC 980, which allows a regulated entity to capitalize all or part of an incurred cost, provided that: 1) it is probable that future revenue in an amount at least equal to the capitalized cost will result from inclusion of that cost in allowable costs for ratemaking purposes; and 2) based on available evidence, the future revenue will be provided to permit recovery of the previously incurred cost rather than to provide for expected levels of similar future costs. Based on </w:t>
      </w:r>
      <w:r w:rsidR="009A296C">
        <w:t>our decision</w:t>
      </w:r>
      <w:r w:rsidRPr="008020FB">
        <w:t xml:space="preserve"> </w:t>
      </w:r>
      <w:r w:rsidR="009A296C">
        <w:t>above regarding the transfer of</w:t>
      </w:r>
      <w:r w:rsidRPr="008020FB">
        <w:t xml:space="preserve"> ownership of Units 1 &amp; 2 to MPC, </w:t>
      </w:r>
      <w:r w:rsidR="009A296C">
        <w:t>we approve</w:t>
      </w:r>
      <w:r w:rsidRPr="008020FB">
        <w:t xml:space="preserve"> the recognition and recovery of each regulatory asset. </w:t>
      </w:r>
    </w:p>
    <w:p w14:paraId="37278EF2" w14:textId="77777777" w:rsidR="008020FB" w:rsidRDefault="008020FB" w:rsidP="008020FB">
      <w:pPr>
        <w:pStyle w:val="OrderBody"/>
      </w:pPr>
      <w:r>
        <w:tab/>
      </w:r>
      <w:r w:rsidRPr="008020FB">
        <w:t>As FPL stated in its initial petition, due to the PSA approval going beyond the original requested date of December 31, 2024, the $45 million transfer price has been reduced to approximately $38.1 million to reflect the $6.9 million in property taxes that FPL was required to pay. Furthermore, FPL has stated that it is responsible for approximately $0.3 million in monthly operating costs, which will also reduce the transfer price.  According to FPL, if approved in April 2025, the PSA would have a price of $36.02 million, with $31.04 million being the new value for the portion of the transfer price that represents base rates and $4.98 million being the portion that represents the environmental costs that would otherwise be recovere</w:t>
      </w:r>
      <w:r w:rsidR="009A296C">
        <w:t>d through the ECRC. We agree</w:t>
      </w:r>
      <w:r w:rsidRPr="008020FB">
        <w:t xml:space="preserve"> that the creation of regulatory assets worth $31.04 million and $4.98 million is the appropriate accounting treatment for recovery of the transfer price related to base rates and environmental costs, respectively. Furthermore, </w:t>
      </w:r>
      <w:r w:rsidR="009A296C">
        <w:t>we approve</w:t>
      </w:r>
      <w:r w:rsidRPr="008020FB">
        <w:t xml:space="preserve"> FPL begin</w:t>
      </w:r>
      <w:r w:rsidR="009A296C">
        <w:t>ning</w:t>
      </w:r>
      <w:r w:rsidRPr="008020FB">
        <w:t xml:space="preserve"> recovery at its next base rate reset, which has been filed as Docket No. 20250011-EI, with a recovery period of 10 years, as well as earn a return on the unamortized asset balance at the Company’s overall weighted average cost of capital.</w:t>
      </w:r>
    </w:p>
    <w:p w14:paraId="03A3BB06" w14:textId="77777777" w:rsidR="008020FB" w:rsidRPr="009A296C" w:rsidRDefault="008020FB" w:rsidP="008020FB">
      <w:pPr>
        <w:pStyle w:val="OrderBody"/>
      </w:pPr>
    </w:p>
    <w:p w14:paraId="3B4A983E" w14:textId="77777777" w:rsidR="008020FB" w:rsidRPr="009A296C" w:rsidRDefault="009A296C" w:rsidP="00D55BE6">
      <w:pPr>
        <w:spacing w:after="240"/>
        <w:jc w:val="center"/>
        <w:outlineLvl w:val="0"/>
        <w:rPr>
          <w:u w:val="single"/>
        </w:rPr>
      </w:pPr>
      <w:r w:rsidRPr="009A296C">
        <w:rPr>
          <w:kern w:val="32"/>
          <w:szCs w:val="32"/>
          <w:u w:val="single"/>
        </w:rPr>
        <w:t>R</w:t>
      </w:r>
      <w:r w:rsidR="008020FB" w:rsidRPr="009A296C">
        <w:rPr>
          <w:u w:val="single"/>
        </w:rPr>
        <w:t xml:space="preserve">ecovering </w:t>
      </w:r>
      <w:r w:rsidRPr="009A296C">
        <w:rPr>
          <w:u w:val="single"/>
        </w:rPr>
        <w:t>E</w:t>
      </w:r>
      <w:r w:rsidR="008020FB" w:rsidRPr="009A296C">
        <w:rPr>
          <w:u w:val="single"/>
        </w:rPr>
        <w:t xml:space="preserve">ligible </w:t>
      </w:r>
      <w:r w:rsidRPr="009A296C">
        <w:rPr>
          <w:u w:val="single"/>
        </w:rPr>
        <w:t>P</w:t>
      </w:r>
      <w:r w:rsidR="008020FB" w:rsidRPr="009A296C">
        <w:rPr>
          <w:u w:val="single"/>
        </w:rPr>
        <w:t>re-</w:t>
      </w:r>
      <w:r w:rsidRPr="009A296C">
        <w:rPr>
          <w:u w:val="single"/>
        </w:rPr>
        <w:t>C</w:t>
      </w:r>
      <w:r w:rsidR="008020FB" w:rsidRPr="009A296C">
        <w:rPr>
          <w:u w:val="single"/>
        </w:rPr>
        <w:t xml:space="preserve">losing </w:t>
      </w:r>
      <w:r w:rsidRPr="009A296C">
        <w:rPr>
          <w:u w:val="single"/>
        </w:rPr>
        <w:t>E</w:t>
      </w:r>
      <w:r w:rsidR="008020FB" w:rsidRPr="009A296C">
        <w:rPr>
          <w:u w:val="single"/>
        </w:rPr>
        <w:t xml:space="preserve">nvironmental </w:t>
      </w:r>
      <w:r w:rsidRPr="009A296C">
        <w:rPr>
          <w:u w:val="single"/>
        </w:rPr>
        <w:t>C</w:t>
      </w:r>
      <w:r w:rsidR="008020FB" w:rsidRPr="009A296C">
        <w:rPr>
          <w:u w:val="single"/>
        </w:rPr>
        <w:t xml:space="preserve">osts </w:t>
      </w:r>
      <w:r w:rsidR="008E16F0">
        <w:rPr>
          <w:u w:val="single"/>
        </w:rPr>
        <w:t>t</w:t>
      </w:r>
      <w:r w:rsidR="008020FB" w:rsidRPr="009A296C">
        <w:rPr>
          <w:u w:val="single"/>
        </w:rPr>
        <w:t>hrough the ECRC</w:t>
      </w:r>
    </w:p>
    <w:p w14:paraId="37BF4BCE" w14:textId="77777777" w:rsidR="008020FB" w:rsidRDefault="009A296C" w:rsidP="008020FB">
      <w:pPr>
        <w:pStyle w:val="OrderBody"/>
      </w:pPr>
      <w:r>
        <w:tab/>
      </w:r>
      <w:r w:rsidR="008020FB" w:rsidRPr="008020FB">
        <w:t xml:space="preserve">In </w:t>
      </w:r>
      <w:r>
        <w:t>its petition, FPL requested</w:t>
      </w:r>
      <w:r w:rsidR="008020FB" w:rsidRPr="008020FB">
        <w:t xml:space="preserve"> authorization to continue recovery of eligible prudently incurred pre-closing environmental costs pertaining to FPL’s proportionate share of Units 1 &amp; 2 through the ECRC. While the PSA shifts most Common Facilities costs to MPC, FPL remains obligated to cover common costs related to Coal Combustion Residuals produced prior to the Transaction’s closing date, as well as other environmental liabilities arising from pre-closing activities. As discussed </w:t>
      </w:r>
      <w:r w:rsidR="00D55BE6">
        <w:t>above</w:t>
      </w:r>
      <w:r w:rsidR="008020FB" w:rsidRPr="008020FB">
        <w:t xml:space="preserve">, </w:t>
      </w:r>
      <w:r w:rsidR="00D55BE6">
        <w:t>we find</w:t>
      </w:r>
      <w:r w:rsidR="008020FB" w:rsidRPr="008020FB">
        <w:t xml:space="preserve"> the transaction trans</w:t>
      </w:r>
      <w:r w:rsidR="00D55BE6">
        <w:t>ferring ownership of the units to be</w:t>
      </w:r>
      <w:r w:rsidR="008020FB" w:rsidRPr="008020FB">
        <w:t xml:space="preserve"> </w:t>
      </w:r>
      <w:r w:rsidR="008020FB" w:rsidRPr="008020FB">
        <w:lastRenderedPageBreak/>
        <w:t>prudent. As such, obligated environmental costs incurred prior to the Transaction’s closing date sh</w:t>
      </w:r>
      <w:r w:rsidR="00D55BE6">
        <w:t>all</w:t>
      </w:r>
      <w:r w:rsidR="008020FB" w:rsidRPr="008020FB">
        <w:t xml:space="preserve"> be eligible for recovery through the ECRC. Those costs are still reviewed as part of the annual ECRC proceeding.</w:t>
      </w:r>
    </w:p>
    <w:p w14:paraId="40CBEA0A" w14:textId="77777777" w:rsidR="008020FB" w:rsidRDefault="008020FB" w:rsidP="008020FB">
      <w:pPr>
        <w:pStyle w:val="OrderBody"/>
      </w:pPr>
    </w:p>
    <w:p w14:paraId="69DE510E" w14:textId="77777777" w:rsidR="008020FB" w:rsidRPr="00D55BE6" w:rsidRDefault="00D55BE6" w:rsidP="00D55BE6">
      <w:pPr>
        <w:spacing w:after="240"/>
        <w:jc w:val="center"/>
        <w:outlineLvl w:val="0"/>
        <w:rPr>
          <w:u w:val="single"/>
        </w:rPr>
      </w:pPr>
      <w:r w:rsidRPr="00D55BE6">
        <w:rPr>
          <w:bCs/>
          <w:kern w:val="32"/>
          <w:szCs w:val="32"/>
          <w:u w:val="single"/>
        </w:rPr>
        <w:t>A</w:t>
      </w:r>
      <w:r w:rsidR="008020FB" w:rsidRPr="00D55BE6">
        <w:rPr>
          <w:u w:val="single"/>
        </w:rPr>
        <w:t>ccru</w:t>
      </w:r>
      <w:r w:rsidRPr="00D55BE6">
        <w:rPr>
          <w:u w:val="single"/>
        </w:rPr>
        <w:t>al of Dismantlement Costs for</w:t>
      </w:r>
      <w:r w:rsidR="008020FB" w:rsidRPr="00D55BE6">
        <w:rPr>
          <w:u w:val="single"/>
        </w:rPr>
        <w:t xml:space="preserve"> Units 1 &amp; 2 in </w:t>
      </w:r>
      <w:r w:rsidRPr="00D55BE6">
        <w:rPr>
          <w:u w:val="single"/>
        </w:rPr>
        <w:t>B</w:t>
      </w:r>
      <w:r w:rsidR="008020FB" w:rsidRPr="00D55BE6">
        <w:rPr>
          <w:u w:val="single"/>
        </w:rPr>
        <w:t xml:space="preserve">ase </w:t>
      </w:r>
      <w:r w:rsidRPr="00D55BE6">
        <w:rPr>
          <w:u w:val="single"/>
        </w:rPr>
        <w:t>R</w:t>
      </w:r>
      <w:r w:rsidR="008020FB" w:rsidRPr="00D55BE6">
        <w:rPr>
          <w:u w:val="single"/>
        </w:rPr>
        <w:t>ates</w:t>
      </w:r>
    </w:p>
    <w:p w14:paraId="10D8749C" w14:textId="7FE800E0" w:rsidR="008020FB" w:rsidRPr="008020FB" w:rsidRDefault="008020FB" w:rsidP="00D55BE6">
      <w:pPr>
        <w:spacing w:after="240"/>
        <w:jc w:val="both"/>
        <w:outlineLvl w:val="1"/>
      </w:pPr>
      <w:r>
        <w:rPr>
          <w:rFonts w:ascii="Arial" w:hAnsi="Arial" w:cs="Arial"/>
          <w:b/>
          <w:bCs/>
          <w:i/>
          <w:iCs/>
          <w:szCs w:val="28"/>
        </w:rPr>
        <w:tab/>
      </w:r>
      <w:r w:rsidR="00D55BE6">
        <w:t>U</w:t>
      </w:r>
      <w:r w:rsidRPr="008020FB">
        <w:t>nder the PSA, FPL will retain dismantlement and asset retirement obligations on the existing plant, including decommissioning liabilities related to dismantling Plant Daniel and restoration of the plant site. These obligations are calculated as a percentage of FPL’s pre-closing ownership interest. As such, FPL requests that it be permitted to continue to accrue Units 1 &amp; 2 dismantlement costs in base rates until the annual accrual is next reset with the support of a dismantlement study.</w:t>
      </w:r>
      <w:r w:rsidRPr="008020FB" w:rsidDel="00B8478D">
        <w:t xml:space="preserve"> </w:t>
      </w:r>
      <w:r w:rsidRPr="008020FB">
        <w:t xml:space="preserve">The Company claimed that this request is consistent with Paragraph 19 of FPL’s 2021 rate case settlement agreement that </w:t>
      </w:r>
      <w:r w:rsidR="00D55BE6">
        <w:t>we</w:t>
      </w:r>
      <w:r w:rsidRPr="008020FB">
        <w:t xml:space="preserve"> approved.</w:t>
      </w:r>
      <w:r w:rsidRPr="008020FB">
        <w:rPr>
          <w:vertAlign w:val="superscript"/>
        </w:rPr>
        <w:footnoteReference w:id="5"/>
      </w:r>
      <w:r w:rsidRPr="008020FB">
        <w:t xml:space="preserve"> Both </w:t>
      </w:r>
      <w:r w:rsidR="00C1724F">
        <w:t>o</w:t>
      </w:r>
      <w:r w:rsidRPr="008020FB">
        <w:t xml:space="preserve">rders specify that the base rates, in which the dismantlement accrual amounts are incorporated, in effect at the beginning of the settlement’s term will remain in effect until FPL’s base rates are next reset in a general base rate proceeding. </w:t>
      </w:r>
    </w:p>
    <w:p w14:paraId="5AFE3513" w14:textId="77777777" w:rsidR="008020FB" w:rsidRPr="008020FB" w:rsidRDefault="00766F3C" w:rsidP="008020FB">
      <w:pPr>
        <w:spacing w:after="240"/>
        <w:jc w:val="both"/>
      </w:pPr>
      <w:r>
        <w:tab/>
      </w:r>
      <w:r w:rsidR="008020FB" w:rsidRPr="008020FB">
        <w:t>On February 28, 2025, FPL filed a new petition for a general base rate proceeding.</w:t>
      </w:r>
      <w:r w:rsidR="008020FB" w:rsidRPr="008020FB">
        <w:rPr>
          <w:vertAlign w:val="superscript"/>
        </w:rPr>
        <w:footnoteReference w:id="6"/>
      </w:r>
      <w:r w:rsidR="008020FB" w:rsidRPr="008020FB">
        <w:t xml:space="preserve"> With the rate case petition, the Company also submitted an updated dismantlement study</w:t>
      </w:r>
      <w:r w:rsidR="00D55BE6">
        <w:t>,</w:t>
      </w:r>
      <w:r w:rsidR="008020FB" w:rsidRPr="008020FB">
        <w:t xml:space="preserve"> which includes the updated dismantlement costs and accruals pertaining FPL’s ownership share of Units 1 &amp; 2 for Commission approval. </w:t>
      </w:r>
    </w:p>
    <w:p w14:paraId="654700C7" w14:textId="77777777" w:rsidR="008020FB" w:rsidRPr="008020FB" w:rsidRDefault="00766F3C" w:rsidP="008020FB">
      <w:pPr>
        <w:spacing w:after="240"/>
        <w:jc w:val="both"/>
      </w:pPr>
      <w:r>
        <w:tab/>
      </w:r>
      <w:r w:rsidR="00D55BE6">
        <w:t xml:space="preserve">We find that </w:t>
      </w:r>
      <w:r w:rsidR="008020FB" w:rsidRPr="008020FB">
        <w:t xml:space="preserve">FPL’s request </w:t>
      </w:r>
      <w:r w:rsidR="00D55BE6">
        <w:t>complies</w:t>
      </w:r>
      <w:r w:rsidR="008020FB" w:rsidRPr="008020FB">
        <w:t xml:space="preserve"> with Rule 25-6.04364(1), F</w:t>
      </w:r>
      <w:r w:rsidR="00D55BE6">
        <w:t>.A.C.</w:t>
      </w:r>
      <w:r w:rsidR="008020FB" w:rsidRPr="008020FB">
        <w:t xml:space="preserve">, which provides that “[e]ach utility that owns a generating unit is required to establish a dismantlement accrual as approved by the Commission to accumulate a reserve to meet all expenses at the time of dismantlement.” Further, the request </w:t>
      </w:r>
      <w:r w:rsidR="00D55BE6">
        <w:t>complies</w:t>
      </w:r>
      <w:r w:rsidR="008020FB" w:rsidRPr="008020FB">
        <w:t xml:space="preserve"> with Rule 25-6.04364(6), F</w:t>
      </w:r>
      <w:r w:rsidR="00D55BE6">
        <w:t>.A.C.</w:t>
      </w:r>
      <w:r w:rsidR="008020FB" w:rsidRPr="008020FB">
        <w:t>, which specifies that “[a] utility shall not establish a new annual dismantlement accrual, revise its annual dismantlement accrual, or transfer a dismantlement reserve without prior Commission approval.”</w:t>
      </w:r>
    </w:p>
    <w:p w14:paraId="6FF5BB31" w14:textId="77777777" w:rsidR="008020FB" w:rsidRDefault="00766F3C" w:rsidP="008020FB">
      <w:pPr>
        <w:pStyle w:val="OrderBody"/>
      </w:pPr>
      <w:r>
        <w:tab/>
      </w:r>
      <w:r w:rsidR="008020FB" w:rsidRPr="008020FB">
        <w:t xml:space="preserve">Based on the above, </w:t>
      </w:r>
      <w:r w:rsidR="00D55BE6">
        <w:t>we approve</w:t>
      </w:r>
      <w:r w:rsidR="008020FB" w:rsidRPr="008020FB">
        <w:t xml:space="preserve"> FPL’s request to continue to accrue its proportionate share of dismantlement costs associated with Plant Daniel Units 1 &amp; 2 in base rates.</w:t>
      </w:r>
    </w:p>
    <w:p w14:paraId="411B2C07" w14:textId="77777777" w:rsidR="008020FB" w:rsidRDefault="008020FB" w:rsidP="008020FB">
      <w:pPr>
        <w:pStyle w:val="OrderBody"/>
      </w:pPr>
    </w:p>
    <w:p w14:paraId="4A74F1AB" w14:textId="77777777" w:rsidR="00DB2002" w:rsidRDefault="008020FB" w:rsidP="008020FB">
      <w:pPr>
        <w:pStyle w:val="OrderBody"/>
      </w:pPr>
      <w:r>
        <w:tab/>
        <w:t>Based on the foregoing, it is</w:t>
      </w:r>
    </w:p>
    <w:p w14:paraId="036800E5" w14:textId="77777777" w:rsidR="00DB2002" w:rsidRDefault="00DB2002" w:rsidP="008020FB">
      <w:pPr>
        <w:pStyle w:val="OrderBody"/>
      </w:pPr>
    </w:p>
    <w:p w14:paraId="47F70784" w14:textId="77777777" w:rsidR="00885307" w:rsidRDefault="00DB2002" w:rsidP="008020FB">
      <w:pPr>
        <w:pStyle w:val="OrderBody"/>
      </w:pPr>
      <w:r>
        <w:tab/>
      </w:r>
      <w:r w:rsidR="00885307">
        <w:t xml:space="preserve">ORDERED by the Florida Public Service Commission that the petition by </w:t>
      </w:r>
      <w:r w:rsidR="00885307" w:rsidRPr="008020FB">
        <w:t>Florida Power &amp; Light Company</w:t>
      </w:r>
      <w:r w:rsidR="00885307">
        <w:t xml:space="preserve"> </w:t>
      </w:r>
      <w:r w:rsidR="00885307" w:rsidRPr="008020FB">
        <w:t xml:space="preserve">to transfer </w:t>
      </w:r>
      <w:r w:rsidR="00885307">
        <w:t>its</w:t>
      </w:r>
      <w:r w:rsidR="00885307" w:rsidRPr="008020FB">
        <w:t xml:space="preserve"> 50 percent share of Plant Daniel Units 1 &amp; 2</w:t>
      </w:r>
      <w:r w:rsidR="00885307">
        <w:t xml:space="preserve"> </w:t>
      </w:r>
      <w:r w:rsidR="00885307" w:rsidRPr="008020FB">
        <w:t>to Mississippi Power Company</w:t>
      </w:r>
      <w:r w:rsidR="00885307">
        <w:t xml:space="preserve"> is approved. It is further</w:t>
      </w:r>
    </w:p>
    <w:p w14:paraId="6AE820E0" w14:textId="77777777" w:rsidR="00885307" w:rsidRDefault="00885307" w:rsidP="008020FB">
      <w:pPr>
        <w:pStyle w:val="OrderBody"/>
      </w:pPr>
    </w:p>
    <w:p w14:paraId="66422DFB" w14:textId="77777777" w:rsidR="008020FB" w:rsidRDefault="00885307" w:rsidP="008020FB">
      <w:pPr>
        <w:pStyle w:val="OrderBody"/>
      </w:pPr>
      <w:r>
        <w:tab/>
        <w:t>ORDERED that</w:t>
      </w:r>
      <w:r w:rsidRPr="00885307">
        <w:t xml:space="preserve"> </w:t>
      </w:r>
      <w:r w:rsidRPr="008020FB">
        <w:t>Florida Power &amp; Light Company</w:t>
      </w:r>
      <w:r>
        <w:t xml:space="preserve"> shall </w:t>
      </w:r>
      <w:r w:rsidRPr="008020FB">
        <w:t>creat</w:t>
      </w:r>
      <w:r>
        <w:t>e</w:t>
      </w:r>
      <w:r w:rsidRPr="008020FB">
        <w:t xml:space="preserve"> regulatory assets </w:t>
      </w:r>
      <w:r>
        <w:t>a</w:t>
      </w:r>
      <w:r w:rsidRPr="008020FB">
        <w:t xml:space="preserve">s the appropriate accounting treatment for recovery of the transfer price related to base rates and environmental costs, </w:t>
      </w:r>
      <w:r>
        <w:t>with</w:t>
      </w:r>
      <w:r w:rsidRPr="008020FB">
        <w:t xml:space="preserve"> </w:t>
      </w:r>
      <w:r>
        <w:t xml:space="preserve">a </w:t>
      </w:r>
      <w:r w:rsidRPr="008020FB">
        <w:t>recovery</w:t>
      </w:r>
      <w:r>
        <w:t xml:space="preserve"> period of 10 years beginning </w:t>
      </w:r>
      <w:r w:rsidRPr="008020FB">
        <w:t xml:space="preserve">at </w:t>
      </w:r>
      <w:r>
        <w:t>the</w:t>
      </w:r>
      <w:r w:rsidRPr="008020FB">
        <w:t xml:space="preserve"> next base rate reset</w:t>
      </w:r>
      <w:r>
        <w:t>, and</w:t>
      </w:r>
      <w:r w:rsidRPr="008020FB">
        <w:t xml:space="preserve"> </w:t>
      </w:r>
      <w:r w:rsidRPr="008020FB">
        <w:lastRenderedPageBreak/>
        <w:t>a return on the unamortized asset balance at the Company’s overall weighted average cost of capital.</w:t>
      </w:r>
      <w:r>
        <w:t xml:space="preserve"> It is further</w:t>
      </w:r>
    </w:p>
    <w:p w14:paraId="13EAD2B9" w14:textId="77777777" w:rsidR="00885307" w:rsidRDefault="00885307" w:rsidP="008020FB">
      <w:pPr>
        <w:pStyle w:val="OrderBody"/>
      </w:pPr>
    </w:p>
    <w:p w14:paraId="32A2C332" w14:textId="77777777" w:rsidR="00885307" w:rsidRDefault="00885307" w:rsidP="008020FB">
      <w:pPr>
        <w:pStyle w:val="OrderBody"/>
      </w:pPr>
      <w:r>
        <w:tab/>
        <w:t xml:space="preserve">ORDERED that </w:t>
      </w:r>
      <w:r w:rsidR="00F841D6" w:rsidRPr="008020FB">
        <w:t xml:space="preserve">Florida Power &amp; Light Company </w:t>
      </w:r>
      <w:r w:rsidR="00F841D6">
        <w:t>shall</w:t>
      </w:r>
      <w:r w:rsidR="00F841D6" w:rsidRPr="008020FB">
        <w:t xml:space="preserve"> continue recovery of eligible prudently incurred pre-closing environmental costs pertaining to </w:t>
      </w:r>
      <w:r w:rsidR="00F841D6">
        <w:t>it</w:t>
      </w:r>
      <w:r w:rsidR="00F841D6" w:rsidRPr="008020FB">
        <w:t xml:space="preserve">s proportionate share of </w:t>
      </w:r>
      <w:r w:rsidR="00F841D6">
        <w:t xml:space="preserve">Plant Daniel </w:t>
      </w:r>
      <w:r w:rsidR="00F841D6" w:rsidRPr="008020FB">
        <w:t>Units 1 &amp; 2 through the E</w:t>
      </w:r>
      <w:r w:rsidR="00F841D6">
        <w:t xml:space="preserve">nvironmental </w:t>
      </w:r>
      <w:r w:rsidR="00F841D6" w:rsidRPr="008020FB">
        <w:t>C</w:t>
      </w:r>
      <w:r w:rsidR="00F841D6">
        <w:t xml:space="preserve">ost </w:t>
      </w:r>
      <w:r w:rsidR="00F841D6" w:rsidRPr="008020FB">
        <w:t>R</w:t>
      </w:r>
      <w:r w:rsidR="00F841D6">
        <w:t xml:space="preserve">ecovery </w:t>
      </w:r>
      <w:r w:rsidR="00F841D6" w:rsidRPr="008020FB">
        <w:t>C</w:t>
      </w:r>
      <w:r w:rsidR="00F841D6">
        <w:t>lause, subject to annual review in that docket</w:t>
      </w:r>
      <w:r w:rsidR="00F841D6" w:rsidRPr="008020FB">
        <w:t>.</w:t>
      </w:r>
      <w:r w:rsidR="00F841D6">
        <w:t xml:space="preserve"> It is further</w:t>
      </w:r>
    </w:p>
    <w:p w14:paraId="292733A6" w14:textId="77777777" w:rsidR="00F841D6" w:rsidRDefault="00F841D6" w:rsidP="008020FB">
      <w:pPr>
        <w:pStyle w:val="OrderBody"/>
      </w:pPr>
    </w:p>
    <w:p w14:paraId="5FF54304" w14:textId="77777777" w:rsidR="00F841D6" w:rsidRDefault="00F841D6" w:rsidP="008020FB">
      <w:pPr>
        <w:pStyle w:val="OrderBody"/>
      </w:pPr>
      <w:r>
        <w:tab/>
        <w:t xml:space="preserve">ORDERED that </w:t>
      </w:r>
      <w:r w:rsidRPr="008020FB">
        <w:t>Florida Power &amp; Light Company</w:t>
      </w:r>
      <w:r w:rsidRPr="00F841D6">
        <w:t xml:space="preserve"> </w:t>
      </w:r>
      <w:r>
        <w:t>shall</w:t>
      </w:r>
      <w:r w:rsidRPr="008020FB">
        <w:t xml:space="preserve"> continue to accrue </w:t>
      </w:r>
      <w:r>
        <w:t xml:space="preserve">Plant Daniel </w:t>
      </w:r>
      <w:r w:rsidRPr="008020FB">
        <w:t>Units 1 &amp; 2 dismantlement costs in base rates until the annual accrual is next reset with the support of a dismantlement study.</w:t>
      </w:r>
      <w:r w:rsidR="00DB2002">
        <w:t xml:space="preserve"> It is further </w:t>
      </w:r>
    </w:p>
    <w:p w14:paraId="5F18D6E1" w14:textId="77777777" w:rsidR="0066795A" w:rsidRDefault="0066795A" w:rsidP="008020FB">
      <w:pPr>
        <w:pStyle w:val="OrderBody"/>
      </w:pPr>
    </w:p>
    <w:p w14:paraId="56F85B31" w14:textId="77777777" w:rsidR="0066795A" w:rsidRDefault="0066795A" w:rsidP="00C479A6">
      <w:pPr>
        <w:ind w:firstLine="720"/>
        <w:jc w:val="both"/>
      </w:pPr>
      <w:r>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14:paraId="10CF3E65" w14:textId="77777777" w:rsidR="008020FB" w:rsidRDefault="008020FB" w:rsidP="008020FB">
      <w:pPr>
        <w:pStyle w:val="OrderBody"/>
      </w:pPr>
    </w:p>
    <w:p w14:paraId="79996920" w14:textId="77777777" w:rsidR="00DB2002" w:rsidRDefault="00D55BE6" w:rsidP="00DB2002">
      <w:pPr>
        <w:jc w:val="both"/>
      </w:pPr>
      <w:r>
        <w:t xml:space="preserve"> </w:t>
      </w:r>
      <w:r w:rsidR="00DB2002">
        <w:tab/>
        <w:t>ORDERED that i</w:t>
      </w:r>
      <w:r w:rsidR="00DB2002" w:rsidRPr="00F12F6F">
        <w:t xml:space="preserve">f no person whose substantial interests are affected by the proposed agency action files a protest within 21 days of the issuance </w:t>
      </w:r>
      <w:r w:rsidR="00DB2002">
        <w:t>of the order, this docket shall</w:t>
      </w:r>
      <w:r w:rsidR="00DB2002" w:rsidRPr="00F12F6F">
        <w:t xml:space="preserve"> be closed upon the issuance of a consummating order.</w:t>
      </w:r>
    </w:p>
    <w:p w14:paraId="0D62F8EC" w14:textId="77777777" w:rsidR="008020FB" w:rsidRDefault="008020FB" w:rsidP="008020FB">
      <w:pPr>
        <w:pStyle w:val="OrderBody"/>
      </w:pPr>
    </w:p>
    <w:p w14:paraId="3C33B364" w14:textId="5500E136" w:rsidR="008020FB" w:rsidRDefault="008020FB" w:rsidP="008020FB">
      <w:pPr>
        <w:pStyle w:val="OrderBody"/>
        <w:keepNext/>
        <w:keepLines/>
      </w:pPr>
      <w:r>
        <w:tab/>
        <w:t xml:space="preserve">By ORDER of the Florida Public Service Commission this </w:t>
      </w:r>
      <w:bookmarkStart w:id="8" w:name="replaceDate"/>
      <w:bookmarkEnd w:id="8"/>
      <w:r w:rsidR="00C40F40">
        <w:rPr>
          <w:u w:val="single"/>
        </w:rPr>
        <w:t>21st</w:t>
      </w:r>
      <w:r w:rsidR="00C40F40">
        <w:t xml:space="preserve"> day of </w:t>
      </w:r>
      <w:r w:rsidR="00C40F40">
        <w:rPr>
          <w:u w:val="single"/>
        </w:rPr>
        <w:t>April</w:t>
      </w:r>
      <w:r w:rsidR="00C40F40">
        <w:t xml:space="preserve">, </w:t>
      </w:r>
      <w:r w:rsidR="00C40F40">
        <w:rPr>
          <w:u w:val="single"/>
        </w:rPr>
        <w:t>2025</w:t>
      </w:r>
      <w:r w:rsidR="00C40F40">
        <w:t>.</w:t>
      </w:r>
    </w:p>
    <w:p w14:paraId="1DCCB74D" w14:textId="77777777" w:rsidR="00C40F40" w:rsidRPr="00C40F40" w:rsidRDefault="00C40F40" w:rsidP="008020FB">
      <w:pPr>
        <w:pStyle w:val="OrderBody"/>
        <w:keepNext/>
        <w:keepLines/>
      </w:pPr>
    </w:p>
    <w:p w14:paraId="2675CF88" w14:textId="77777777" w:rsidR="008020FB" w:rsidRDefault="008020FB" w:rsidP="008020FB">
      <w:pPr>
        <w:pStyle w:val="OrderBody"/>
        <w:keepNext/>
        <w:keepLines/>
      </w:pPr>
    </w:p>
    <w:p w14:paraId="10A763D5" w14:textId="77777777" w:rsidR="008020FB" w:rsidRDefault="008020FB" w:rsidP="008020FB">
      <w:pPr>
        <w:pStyle w:val="OrderBody"/>
        <w:keepNext/>
        <w:keepLines/>
      </w:pPr>
    </w:p>
    <w:p w14:paraId="00ADAA8A" w14:textId="77777777" w:rsidR="008020FB" w:rsidRDefault="008020FB" w:rsidP="008020F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020FB" w14:paraId="4C6BC458" w14:textId="77777777" w:rsidTr="008020FB">
        <w:tc>
          <w:tcPr>
            <w:tcW w:w="720" w:type="dxa"/>
            <w:shd w:val="clear" w:color="auto" w:fill="auto"/>
          </w:tcPr>
          <w:p w14:paraId="2174208A" w14:textId="77777777" w:rsidR="008020FB" w:rsidRDefault="008020FB" w:rsidP="008020FB">
            <w:pPr>
              <w:pStyle w:val="OrderBody"/>
              <w:keepNext/>
              <w:keepLines/>
            </w:pPr>
            <w:bookmarkStart w:id="9" w:name="bkmrkSignature" w:colFirst="0" w:colLast="0"/>
          </w:p>
        </w:tc>
        <w:tc>
          <w:tcPr>
            <w:tcW w:w="4320" w:type="dxa"/>
            <w:tcBorders>
              <w:bottom w:val="single" w:sz="4" w:space="0" w:color="auto"/>
            </w:tcBorders>
            <w:shd w:val="clear" w:color="auto" w:fill="auto"/>
          </w:tcPr>
          <w:p w14:paraId="7F110EA5" w14:textId="43C56396" w:rsidR="008020FB" w:rsidRDefault="00C40F40" w:rsidP="008020FB">
            <w:pPr>
              <w:pStyle w:val="OrderBody"/>
              <w:keepNext/>
              <w:keepLines/>
            </w:pPr>
            <w:r>
              <w:t>/s/ Adam J. Teitzman</w:t>
            </w:r>
            <w:bookmarkStart w:id="10" w:name="_GoBack"/>
            <w:bookmarkEnd w:id="10"/>
          </w:p>
        </w:tc>
      </w:tr>
      <w:bookmarkEnd w:id="9"/>
      <w:tr w:rsidR="008020FB" w14:paraId="21E9C764" w14:textId="77777777" w:rsidTr="008020FB">
        <w:tc>
          <w:tcPr>
            <w:tcW w:w="720" w:type="dxa"/>
            <w:shd w:val="clear" w:color="auto" w:fill="auto"/>
          </w:tcPr>
          <w:p w14:paraId="5D583185" w14:textId="77777777" w:rsidR="008020FB" w:rsidRDefault="008020FB" w:rsidP="008020FB">
            <w:pPr>
              <w:pStyle w:val="OrderBody"/>
              <w:keepNext/>
              <w:keepLines/>
            </w:pPr>
          </w:p>
        </w:tc>
        <w:tc>
          <w:tcPr>
            <w:tcW w:w="4320" w:type="dxa"/>
            <w:tcBorders>
              <w:top w:val="single" w:sz="4" w:space="0" w:color="auto"/>
            </w:tcBorders>
            <w:shd w:val="clear" w:color="auto" w:fill="auto"/>
          </w:tcPr>
          <w:p w14:paraId="1B709515" w14:textId="77777777" w:rsidR="008020FB" w:rsidRDefault="008020FB" w:rsidP="008020FB">
            <w:pPr>
              <w:pStyle w:val="OrderBody"/>
              <w:keepNext/>
              <w:keepLines/>
            </w:pPr>
            <w:r>
              <w:t>ADAM J. TEITZMAN</w:t>
            </w:r>
          </w:p>
          <w:p w14:paraId="49141155" w14:textId="77777777" w:rsidR="008020FB" w:rsidRDefault="008020FB" w:rsidP="008020FB">
            <w:pPr>
              <w:pStyle w:val="OrderBody"/>
              <w:keepNext/>
              <w:keepLines/>
            </w:pPr>
            <w:r>
              <w:t>Commission Clerk</w:t>
            </w:r>
          </w:p>
        </w:tc>
      </w:tr>
    </w:tbl>
    <w:p w14:paraId="2093152E" w14:textId="77777777" w:rsidR="008020FB" w:rsidRDefault="008020FB" w:rsidP="008020FB">
      <w:pPr>
        <w:pStyle w:val="OrderSigInfo"/>
        <w:keepNext/>
        <w:keepLines/>
      </w:pPr>
      <w:r>
        <w:t>Florida Public Service Commission</w:t>
      </w:r>
    </w:p>
    <w:p w14:paraId="45A054FC" w14:textId="77777777" w:rsidR="008020FB" w:rsidRDefault="008020FB" w:rsidP="008020FB">
      <w:pPr>
        <w:pStyle w:val="OrderSigInfo"/>
        <w:keepNext/>
        <w:keepLines/>
      </w:pPr>
      <w:r>
        <w:t>2540 Shumard Oak Boulevard</w:t>
      </w:r>
    </w:p>
    <w:p w14:paraId="32E92821" w14:textId="77777777" w:rsidR="008020FB" w:rsidRDefault="008020FB" w:rsidP="008020FB">
      <w:pPr>
        <w:pStyle w:val="OrderSigInfo"/>
        <w:keepNext/>
        <w:keepLines/>
      </w:pPr>
      <w:r>
        <w:t>Tallahassee, Florida 32399</w:t>
      </w:r>
    </w:p>
    <w:p w14:paraId="35B55900" w14:textId="77777777" w:rsidR="008020FB" w:rsidRDefault="008020FB" w:rsidP="008020FB">
      <w:pPr>
        <w:pStyle w:val="OrderSigInfo"/>
        <w:keepNext/>
        <w:keepLines/>
      </w:pPr>
      <w:r>
        <w:t>(850) 413</w:t>
      </w:r>
      <w:r>
        <w:noBreakHyphen/>
        <w:t>6770</w:t>
      </w:r>
    </w:p>
    <w:p w14:paraId="092414C5" w14:textId="77777777" w:rsidR="008020FB" w:rsidRDefault="008020FB" w:rsidP="008020FB">
      <w:pPr>
        <w:pStyle w:val="OrderSigInfo"/>
        <w:keepNext/>
        <w:keepLines/>
      </w:pPr>
      <w:r>
        <w:t>www.floridapsc.com</w:t>
      </w:r>
    </w:p>
    <w:p w14:paraId="483D6CC8" w14:textId="77777777" w:rsidR="008020FB" w:rsidRDefault="008020FB" w:rsidP="008020FB">
      <w:pPr>
        <w:pStyle w:val="OrderSigInfo"/>
        <w:keepNext/>
        <w:keepLines/>
      </w:pPr>
    </w:p>
    <w:p w14:paraId="77831CBB" w14:textId="77777777" w:rsidR="008020FB" w:rsidRDefault="008020FB" w:rsidP="008020FB">
      <w:pPr>
        <w:pStyle w:val="OrderSigInfo"/>
        <w:keepNext/>
        <w:keepLines/>
      </w:pPr>
      <w:r>
        <w:t>Copies furnished:  A copy of this document is provided to the parties of record at the time of issuance and, if applicable, interested persons.</w:t>
      </w:r>
    </w:p>
    <w:p w14:paraId="7BF2173C" w14:textId="77777777" w:rsidR="008020FB" w:rsidRDefault="008020FB" w:rsidP="008020FB">
      <w:pPr>
        <w:pStyle w:val="OrderBody"/>
        <w:keepNext/>
        <w:keepLines/>
      </w:pPr>
    </w:p>
    <w:p w14:paraId="117248D1" w14:textId="77777777" w:rsidR="008020FB" w:rsidRDefault="008020FB" w:rsidP="008020FB">
      <w:pPr>
        <w:pStyle w:val="OrderBody"/>
        <w:keepNext/>
        <w:keepLines/>
      </w:pPr>
    </w:p>
    <w:p w14:paraId="686042AE" w14:textId="1B0B5CA7" w:rsidR="008020FB" w:rsidRDefault="008020FB" w:rsidP="008020FB">
      <w:pPr>
        <w:pStyle w:val="OrderBody"/>
        <w:keepNext/>
        <w:keepLines/>
      </w:pPr>
      <w:r>
        <w:t>SPS</w:t>
      </w:r>
    </w:p>
    <w:p w14:paraId="1DEE3595" w14:textId="77777777" w:rsidR="00C40F40" w:rsidRDefault="00C40F40" w:rsidP="008020FB">
      <w:pPr>
        <w:pStyle w:val="OrderBody"/>
        <w:keepNext/>
        <w:keepLines/>
      </w:pPr>
    </w:p>
    <w:p w14:paraId="03D3B6B2" w14:textId="77777777" w:rsidR="008020FB" w:rsidRDefault="008020FB" w:rsidP="008020FB">
      <w:pPr>
        <w:pStyle w:val="OrderBody"/>
      </w:pPr>
    </w:p>
    <w:p w14:paraId="6C149032" w14:textId="77777777" w:rsidR="008020FB" w:rsidRDefault="008020FB" w:rsidP="008020FB">
      <w:pPr>
        <w:pStyle w:val="CenterUnderline"/>
      </w:pPr>
      <w:r>
        <w:lastRenderedPageBreak/>
        <w:t>NOTICE OF FURTHER PROCEEDINGS OR JUDICIAL REVIEW</w:t>
      </w:r>
    </w:p>
    <w:p w14:paraId="6BECBD95" w14:textId="77777777" w:rsidR="008020FB" w:rsidRDefault="008020FB" w:rsidP="008020FB">
      <w:pPr>
        <w:pStyle w:val="CenterUnderline"/>
      </w:pPr>
    </w:p>
    <w:p w14:paraId="7431DADD" w14:textId="77777777" w:rsidR="008020FB" w:rsidRDefault="008020FB" w:rsidP="008020FB">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37A6331E" w14:textId="77777777" w:rsidR="008020FB" w:rsidRDefault="008020FB" w:rsidP="008020FB">
      <w:pPr>
        <w:pStyle w:val="OrderBody"/>
      </w:pPr>
    </w:p>
    <w:p w14:paraId="7E03CFD9" w14:textId="77777777" w:rsidR="008020FB" w:rsidRDefault="008020FB" w:rsidP="008020FB">
      <w:pPr>
        <w:pStyle w:val="OrderBody"/>
      </w:pPr>
      <w:r>
        <w:tab/>
        <w:t>Mediation may be available on a case-by-case basis.  If mediation is conducted, it does not affect a substantially interested person's right to a hearing.</w:t>
      </w:r>
    </w:p>
    <w:p w14:paraId="7349C2BF" w14:textId="77777777" w:rsidR="008020FB" w:rsidRDefault="008020FB" w:rsidP="008020FB">
      <w:pPr>
        <w:pStyle w:val="OrderBody"/>
      </w:pPr>
    </w:p>
    <w:p w14:paraId="6FC11098" w14:textId="37F97271" w:rsidR="008020FB" w:rsidRDefault="008020FB" w:rsidP="008020FB">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C40F40">
        <w:rPr>
          <w:u w:val="single"/>
        </w:rPr>
        <w:t>May 12, 2025</w:t>
      </w:r>
      <w:r>
        <w:t>.</w:t>
      </w:r>
    </w:p>
    <w:p w14:paraId="5CA6971F" w14:textId="77777777" w:rsidR="008020FB" w:rsidRDefault="008020FB" w:rsidP="008020FB">
      <w:pPr>
        <w:pStyle w:val="OrderBody"/>
      </w:pPr>
    </w:p>
    <w:p w14:paraId="7E005C7F" w14:textId="77777777" w:rsidR="008020FB" w:rsidRDefault="008020FB" w:rsidP="008020FB">
      <w:pPr>
        <w:pStyle w:val="OrderBody"/>
      </w:pPr>
      <w:r>
        <w:tab/>
        <w:t>In the absence of such a petition, this order shall become final and effective upon the issuance of a Consummating Order.</w:t>
      </w:r>
    </w:p>
    <w:p w14:paraId="6EE964FA" w14:textId="77777777" w:rsidR="008020FB" w:rsidRDefault="008020FB" w:rsidP="008020FB">
      <w:pPr>
        <w:pStyle w:val="OrderBody"/>
      </w:pPr>
    </w:p>
    <w:p w14:paraId="0AD3B9F1" w14:textId="77777777" w:rsidR="008020FB" w:rsidRDefault="008020FB" w:rsidP="008020FB">
      <w:pPr>
        <w:pStyle w:val="OrderBody"/>
      </w:pPr>
      <w:r>
        <w:tab/>
        <w:t>Any objection or protest filed in this/these docket(s) before the issuance date of this order is considered abandoned unless it satisfies the foregoing conditions and is renewed within the specified protest period.</w:t>
      </w:r>
    </w:p>
    <w:p w14:paraId="77911469" w14:textId="77777777" w:rsidR="008020FB" w:rsidRDefault="008020FB" w:rsidP="008020FB">
      <w:pPr>
        <w:pStyle w:val="OrderBody"/>
      </w:pPr>
    </w:p>
    <w:p w14:paraId="13C8F363" w14:textId="77777777" w:rsidR="008020FB" w:rsidRDefault="008020FB" w:rsidP="008020FB">
      <w:pPr>
        <w:pStyle w:val="OrderBody"/>
      </w:pPr>
    </w:p>
    <w:p w14:paraId="1F2DDE88" w14:textId="77777777" w:rsidR="008020FB" w:rsidRPr="008020FB" w:rsidRDefault="008020FB" w:rsidP="008020FB">
      <w:pPr>
        <w:pStyle w:val="OrderBody"/>
      </w:pPr>
    </w:p>
    <w:sectPr w:rsidR="008020FB" w:rsidRPr="008020F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B3861" w14:textId="77777777" w:rsidR="008020FB" w:rsidRDefault="008020FB">
      <w:r>
        <w:separator/>
      </w:r>
    </w:p>
  </w:endnote>
  <w:endnote w:type="continuationSeparator" w:id="0">
    <w:p w14:paraId="14A48F50" w14:textId="77777777" w:rsidR="008020FB" w:rsidRDefault="00802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CE6FB" w14:textId="77777777" w:rsidR="00FA6EFD" w:rsidRDefault="00FA6EFD">
    <w:pPr>
      <w:pStyle w:val="Footer"/>
    </w:pPr>
  </w:p>
  <w:p w14:paraId="57C5FC84"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55D4D" w14:textId="77777777" w:rsidR="008020FB" w:rsidRDefault="008020FB">
      <w:r>
        <w:separator/>
      </w:r>
    </w:p>
  </w:footnote>
  <w:footnote w:type="continuationSeparator" w:id="0">
    <w:p w14:paraId="201A6839" w14:textId="77777777" w:rsidR="008020FB" w:rsidRDefault="008020FB">
      <w:r>
        <w:continuationSeparator/>
      </w:r>
    </w:p>
  </w:footnote>
  <w:footnote w:id="1">
    <w:p w14:paraId="7695E5A3" w14:textId="77777777" w:rsidR="00D42E51" w:rsidRDefault="00D42E51" w:rsidP="00D42E51">
      <w:pPr>
        <w:pStyle w:val="FootnoteText"/>
      </w:pPr>
      <w:r>
        <w:rPr>
          <w:rStyle w:val="FootnoteReference"/>
        </w:rPr>
        <w:footnoteRef/>
      </w:r>
      <w:r>
        <w:t xml:space="preserve">Order Nos. </w:t>
      </w:r>
      <w:r w:rsidRPr="00A9136B">
        <w:t>PSC-2021-0446-S-EI</w:t>
      </w:r>
      <w:r>
        <w:t xml:space="preserve"> and PSC-2024-0078-FOF-EI, issued December 2, 2021, and March 3, 2025, respectively, in Docket No. 20210015-EI, </w:t>
      </w:r>
      <w:r w:rsidRPr="00B70D4C">
        <w:rPr>
          <w:i/>
        </w:rPr>
        <w:t>In re: Petition for rate increase by Florida Power &amp; Light Company</w:t>
      </w:r>
      <w:r>
        <w:rPr>
          <w:i/>
        </w:rPr>
        <w:t>.</w:t>
      </w:r>
    </w:p>
  </w:footnote>
  <w:footnote w:id="2">
    <w:p w14:paraId="6F978B3C" w14:textId="77777777" w:rsidR="005B7EDC" w:rsidRDefault="005B7EDC">
      <w:pPr>
        <w:pStyle w:val="FootnoteText"/>
      </w:pPr>
      <w:r>
        <w:rPr>
          <w:rStyle w:val="FootnoteReference"/>
        </w:rPr>
        <w:footnoteRef/>
      </w:r>
      <w:r w:rsidRPr="008020FB">
        <w:t>In 2023, the average heat rate for Units 1 &amp; 2 was 11,210 British thermal unit per kilowatt-hour (Btu/kWh) compared to an average of 7,032 Btu/kWh for the other FPL generating units.</w:t>
      </w:r>
    </w:p>
  </w:footnote>
  <w:footnote w:id="3">
    <w:p w14:paraId="23C561BA" w14:textId="77777777" w:rsidR="00806E10" w:rsidRDefault="00806E10">
      <w:pPr>
        <w:pStyle w:val="FootnoteText"/>
      </w:pPr>
      <w:r>
        <w:rPr>
          <w:rStyle w:val="FootnoteReference"/>
        </w:rPr>
        <w:footnoteRef/>
      </w:r>
      <w:r w:rsidR="00F60391">
        <w:t>W</w:t>
      </w:r>
      <w:r w:rsidR="00533ED5">
        <w:t>e acknowledge</w:t>
      </w:r>
      <w:r w:rsidR="00F60391">
        <w:t xml:space="preserve"> that this expected closing date may change due to a protest of our PAA in this docket or other circumstances, and that certain expenses may increase or decrease as a result.</w:t>
      </w:r>
      <w:r w:rsidR="00533ED5">
        <w:t xml:space="preserve"> Staff is granted administrative authority to recognize appropriate adjustments to the regulatory asset amounts</w:t>
      </w:r>
      <w:r w:rsidR="009A296C">
        <w:t>, if necessary,</w:t>
      </w:r>
      <w:r w:rsidR="00533ED5">
        <w:t xml:space="preserve"> </w:t>
      </w:r>
      <w:r w:rsidR="009D78D0">
        <w:t>based on confirmation by FPL of the actual closing date and any resulting changes in expenses</w:t>
      </w:r>
      <w:r w:rsidR="009A296C">
        <w:t>.</w:t>
      </w:r>
    </w:p>
  </w:footnote>
  <w:footnote w:id="4">
    <w:p w14:paraId="6642E9D2" w14:textId="77777777" w:rsidR="008020FB" w:rsidRDefault="008020FB" w:rsidP="008020FB">
      <w:pPr>
        <w:pStyle w:val="FootnoteText"/>
      </w:pPr>
      <w:r>
        <w:rPr>
          <w:rStyle w:val="FootnoteReference"/>
        </w:rPr>
        <w:footnoteRef/>
      </w:r>
      <w:r w:rsidRPr="00C479A6">
        <w:rPr>
          <w:i/>
        </w:rPr>
        <w:t>See</w:t>
      </w:r>
      <w:r>
        <w:t xml:space="preserve"> </w:t>
      </w:r>
      <w:r w:rsidRPr="00441EC7">
        <w:t>Order No. PSC-15-0401-AS-EI issued September 23, 2015 in Docket No.</w:t>
      </w:r>
      <w:r>
        <w:t xml:space="preserve"> </w:t>
      </w:r>
      <w:r w:rsidRPr="00441EC7">
        <w:t>150075-EI</w:t>
      </w:r>
      <w:r>
        <w:t xml:space="preserve">, </w:t>
      </w:r>
      <w:r w:rsidRPr="00984523">
        <w:rPr>
          <w:i/>
        </w:rPr>
        <w:t>I</w:t>
      </w:r>
      <w:r>
        <w:rPr>
          <w:i/>
        </w:rPr>
        <w:t>n re: P</w:t>
      </w:r>
      <w:r w:rsidRPr="00441EC7">
        <w:rPr>
          <w:i/>
        </w:rPr>
        <w:t>etition for approval of arrangement to mitigate impact of unfavorable Cedar Bay power purchase obligation, by Florida Power &amp; Light Company</w:t>
      </w:r>
      <w:r>
        <w:t xml:space="preserve">; Order No. </w:t>
      </w:r>
      <w:r w:rsidRPr="00441EC7">
        <w:t>PSC-16-0506-FOF-EI issued November 2, 2016 in Docket</w:t>
      </w:r>
      <w:r>
        <w:t xml:space="preserve"> </w:t>
      </w:r>
      <w:r w:rsidRPr="00441EC7">
        <w:t>No. 160154-EI</w:t>
      </w:r>
      <w:r>
        <w:t xml:space="preserve">, </w:t>
      </w:r>
      <w:r w:rsidRPr="00984523">
        <w:rPr>
          <w:i/>
        </w:rPr>
        <w:t>I</w:t>
      </w:r>
      <w:r>
        <w:rPr>
          <w:i/>
        </w:rPr>
        <w:t xml:space="preserve">n re: </w:t>
      </w:r>
      <w:r w:rsidRPr="00984523">
        <w:rPr>
          <w:i/>
        </w:rPr>
        <w:t>Petition for approval of a purchase and sale agreement between Florida Power &amp; Light Company and Calypso Energy Holdings, LLC, for the ownership of the Indiantown Cogeneration LP and related power purchase agreement</w:t>
      </w:r>
      <w:r>
        <w:t xml:space="preserve">, and Order No. </w:t>
      </w:r>
      <w:r w:rsidRPr="00984523">
        <w:t>PSC-2017-0415-AS-EI issued October 24,</w:t>
      </w:r>
      <w:r>
        <w:t xml:space="preserve"> </w:t>
      </w:r>
      <w:r w:rsidRPr="00984523">
        <w:t>2017 in Docket No. 20170123-EI</w:t>
      </w:r>
      <w:r>
        <w:t xml:space="preserve">, </w:t>
      </w:r>
      <w:r w:rsidRPr="00984523">
        <w:rPr>
          <w:i/>
        </w:rPr>
        <w:t>I</w:t>
      </w:r>
      <w:r>
        <w:rPr>
          <w:i/>
        </w:rPr>
        <w:t xml:space="preserve">n re: </w:t>
      </w:r>
      <w:r w:rsidRPr="00984523">
        <w:rPr>
          <w:i/>
        </w:rPr>
        <w:t>Petition for approval of arrangement to mitigate unfavorable impact of St. Johns River Power Park, by Florida Power &amp; Light Company</w:t>
      </w:r>
      <w:r w:rsidRPr="00984523">
        <w:t>.</w:t>
      </w:r>
    </w:p>
  </w:footnote>
  <w:footnote w:id="5">
    <w:p w14:paraId="3011018B" w14:textId="77777777" w:rsidR="008020FB" w:rsidRPr="00A9136B" w:rsidRDefault="008020FB" w:rsidP="008020FB">
      <w:pPr>
        <w:pStyle w:val="FootnoteText"/>
      </w:pPr>
      <w:r>
        <w:rPr>
          <w:rStyle w:val="FootnoteReference"/>
        </w:rPr>
        <w:footnoteRef/>
      </w:r>
      <w:r w:rsidRPr="00A9136B">
        <w:t>Order Nos. PSC-2021-0446-S-EI</w:t>
      </w:r>
      <w:r w:rsidRPr="00BF61E2">
        <w:t xml:space="preserve"> </w:t>
      </w:r>
      <w:r>
        <w:t>and</w:t>
      </w:r>
      <w:r w:rsidRPr="00A9136B">
        <w:t xml:space="preserve"> PSC-2024-0078-FOF-EI</w:t>
      </w:r>
      <w:r>
        <w:t xml:space="preserve">, issued December 2, 2021 and March 25, 2024, respectively, in Docket No. 20210015-EI, </w:t>
      </w:r>
      <w:r w:rsidRPr="00A9136B">
        <w:rPr>
          <w:i/>
        </w:rPr>
        <w:t>In re: Petition for rate increase by Florida Power &amp; Light Company</w:t>
      </w:r>
      <w:r>
        <w:t>.</w:t>
      </w:r>
    </w:p>
  </w:footnote>
  <w:footnote w:id="6">
    <w:p w14:paraId="17750CB0" w14:textId="77777777" w:rsidR="008020FB" w:rsidRDefault="008020FB" w:rsidP="008020FB">
      <w:pPr>
        <w:pStyle w:val="FootnoteText"/>
      </w:pPr>
      <w:r>
        <w:rPr>
          <w:rStyle w:val="FootnoteReference"/>
        </w:rPr>
        <w:footnoteRef/>
      </w:r>
      <w:r>
        <w:t xml:space="preserve"> Docket No. 2025011-EI, </w:t>
      </w:r>
      <w:r w:rsidRPr="00797462">
        <w:rPr>
          <w:i/>
        </w:rPr>
        <w:t>In re: Petition for rate increase by Florida Power &amp; Light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04F3C" w14:textId="76D293EF" w:rsidR="00FA6EFD" w:rsidRDefault="00FA6EFD">
    <w:pPr>
      <w:pStyle w:val="OrderHeader"/>
    </w:pPr>
    <w:r>
      <w:t xml:space="preserve">ORDER NO. </w:t>
    </w:r>
    <w:fldSimple w:instr=" REF OrderNo0139 ">
      <w:r w:rsidR="00C40F40">
        <w:t>PSC-2025-0139-PAA-EI</w:t>
      </w:r>
    </w:fldSimple>
  </w:p>
  <w:p w14:paraId="639C68C4" w14:textId="77777777" w:rsidR="00FA6EFD" w:rsidRDefault="008020FB">
    <w:pPr>
      <w:pStyle w:val="OrderHeader"/>
    </w:pPr>
    <w:bookmarkStart w:id="11" w:name="HeaderDocketNo"/>
    <w:bookmarkEnd w:id="11"/>
    <w:r>
      <w:t>DOCKET NO. 20240155-EI</w:t>
    </w:r>
  </w:p>
  <w:p w14:paraId="026C1B59" w14:textId="58888B50"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40F40">
      <w:rPr>
        <w:rStyle w:val="PageNumber"/>
        <w:noProof/>
      </w:rPr>
      <w:t>8</w:t>
    </w:r>
    <w:r>
      <w:rPr>
        <w:rStyle w:val="PageNumber"/>
      </w:rPr>
      <w:fldChar w:fldCharType="end"/>
    </w:r>
  </w:p>
  <w:p w14:paraId="0861C747"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55-EI"/>
  </w:docVars>
  <w:rsids>
    <w:rsidRoot w:val="008020FB"/>
    <w:rsid w:val="000022B8"/>
    <w:rsid w:val="00003883"/>
    <w:rsid w:val="00011251"/>
    <w:rsid w:val="000163E4"/>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83535"/>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7E49"/>
    <w:rsid w:val="001513DE"/>
    <w:rsid w:val="00154A71"/>
    <w:rsid w:val="001655D4"/>
    <w:rsid w:val="00165803"/>
    <w:rsid w:val="00187E32"/>
    <w:rsid w:val="001918FF"/>
    <w:rsid w:val="00194A97"/>
    <w:rsid w:val="00194E81"/>
    <w:rsid w:val="00197CC0"/>
    <w:rsid w:val="001A15E7"/>
    <w:rsid w:val="001A33C9"/>
    <w:rsid w:val="001A58F3"/>
    <w:rsid w:val="001B034E"/>
    <w:rsid w:val="001C2847"/>
    <w:rsid w:val="001C3BB5"/>
    <w:rsid w:val="001C3F8C"/>
    <w:rsid w:val="001C445C"/>
    <w:rsid w:val="001C6097"/>
    <w:rsid w:val="001C6138"/>
    <w:rsid w:val="001C7126"/>
    <w:rsid w:val="001D008A"/>
    <w:rsid w:val="001D5B36"/>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5410"/>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745F7"/>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D5"/>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B7EDC"/>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6795A"/>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66F3C"/>
    <w:rsid w:val="00772CCB"/>
    <w:rsid w:val="00777727"/>
    <w:rsid w:val="0078166A"/>
    <w:rsid w:val="00782B79"/>
    <w:rsid w:val="00783811"/>
    <w:rsid w:val="007865E9"/>
    <w:rsid w:val="0079237D"/>
    <w:rsid w:val="00792383"/>
    <w:rsid w:val="00794D5A"/>
    <w:rsid w:val="00794DD9"/>
    <w:rsid w:val="007A060F"/>
    <w:rsid w:val="007B1C5E"/>
    <w:rsid w:val="007B350E"/>
    <w:rsid w:val="007B656F"/>
    <w:rsid w:val="007C0FBC"/>
    <w:rsid w:val="007C29C9"/>
    <w:rsid w:val="007C35B8"/>
    <w:rsid w:val="007C36E3"/>
    <w:rsid w:val="007C3ABB"/>
    <w:rsid w:val="007C7134"/>
    <w:rsid w:val="007C7ECF"/>
    <w:rsid w:val="007D3D20"/>
    <w:rsid w:val="007D44F9"/>
    <w:rsid w:val="007D742E"/>
    <w:rsid w:val="007E3AFD"/>
    <w:rsid w:val="007E542E"/>
    <w:rsid w:val="00801DAD"/>
    <w:rsid w:val="008020FB"/>
    <w:rsid w:val="00803189"/>
    <w:rsid w:val="00804E7A"/>
    <w:rsid w:val="00805FBB"/>
    <w:rsid w:val="00806E10"/>
    <w:rsid w:val="00814292"/>
    <w:rsid w:val="008169A4"/>
    <w:rsid w:val="00822500"/>
    <w:rsid w:val="008278FE"/>
    <w:rsid w:val="00832598"/>
    <w:rsid w:val="0083397E"/>
    <w:rsid w:val="008343B3"/>
    <w:rsid w:val="0083534B"/>
    <w:rsid w:val="00842035"/>
    <w:rsid w:val="00842602"/>
    <w:rsid w:val="008449F0"/>
    <w:rsid w:val="008462BB"/>
    <w:rsid w:val="00846F11"/>
    <w:rsid w:val="00847B45"/>
    <w:rsid w:val="00863A66"/>
    <w:rsid w:val="008703D7"/>
    <w:rsid w:val="00874429"/>
    <w:rsid w:val="00875D22"/>
    <w:rsid w:val="00883D9A"/>
    <w:rsid w:val="00885307"/>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16F0"/>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794"/>
    <w:rsid w:val="00931C8C"/>
    <w:rsid w:val="00943D21"/>
    <w:rsid w:val="0094504B"/>
    <w:rsid w:val="00964A38"/>
    <w:rsid w:val="00966A9D"/>
    <w:rsid w:val="0096742B"/>
    <w:rsid w:val="00967C64"/>
    <w:rsid w:val="009718C5"/>
    <w:rsid w:val="00976AFF"/>
    <w:rsid w:val="00986AED"/>
    <w:rsid w:val="009924CF"/>
    <w:rsid w:val="00994100"/>
    <w:rsid w:val="009965CE"/>
    <w:rsid w:val="009A04B7"/>
    <w:rsid w:val="009A296C"/>
    <w:rsid w:val="009A6B17"/>
    <w:rsid w:val="009B052E"/>
    <w:rsid w:val="009B4E00"/>
    <w:rsid w:val="009D4C29"/>
    <w:rsid w:val="009D78D0"/>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53FA"/>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1724F"/>
    <w:rsid w:val="00C24098"/>
    <w:rsid w:val="00C30A4E"/>
    <w:rsid w:val="00C40F40"/>
    <w:rsid w:val="00C411F3"/>
    <w:rsid w:val="00C44105"/>
    <w:rsid w:val="00C479A6"/>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934"/>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2E51"/>
    <w:rsid w:val="00D46FAA"/>
    <w:rsid w:val="00D47A40"/>
    <w:rsid w:val="00D51D33"/>
    <w:rsid w:val="00D55BE6"/>
    <w:rsid w:val="00D57BB2"/>
    <w:rsid w:val="00D57E57"/>
    <w:rsid w:val="00D70752"/>
    <w:rsid w:val="00D80E2D"/>
    <w:rsid w:val="00D84D5E"/>
    <w:rsid w:val="00D8560E"/>
    <w:rsid w:val="00D8758F"/>
    <w:rsid w:val="00DA4EDD"/>
    <w:rsid w:val="00DA6B78"/>
    <w:rsid w:val="00DB122B"/>
    <w:rsid w:val="00DB2002"/>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17F4"/>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0391"/>
    <w:rsid w:val="00F61247"/>
    <w:rsid w:val="00F61F61"/>
    <w:rsid w:val="00F63191"/>
    <w:rsid w:val="00F6702E"/>
    <w:rsid w:val="00F70E84"/>
    <w:rsid w:val="00F80685"/>
    <w:rsid w:val="00F841D6"/>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914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uiPriority w:val="99"/>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8020FB"/>
  </w:style>
  <w:style w:type="character" w:styleId="CommentReference">
    <w:name w:val="annotation reference"/>
    <w:basedOn w:val="DefaultParagraphFont"/>
    <w:semiHidden/>
    <w:unhideWhenUsed/>
    <w:rsid w:val="0066795A"/>
    <w:rPr>
      <w:sz w:val="16"/>
      <w:szCs w:val="16"/>
    </w:rPr>
  </w:style>
  <w:style w:type="paragraph" w:styleId="CommentText">
    <w:name w:val="annotation text"/>
    <w:basedOn w:val="Normal"/>
    <w:link w:val="CommentTextChar"/>
    <w:semiHidden/>
    <w:unhideWhenUsed/>
    <w:rsid w:val="0066795A"/>
    <w:rPr>
      <w:sz w:val="20"/>
      <w:szCs w:val="20"/>
    </w:rPr>
  </w:style>
  <w:style w:type="character" w:customStyle="1" w:styleId="CommentTextChar">
    <w:name w:val="Comment Text Char"/>
    <w:basedOn w:val="DefaultParagraphFont"/>
    <w:link w:val="CommentText"/>
    <w:semiHidden/>
    <w:rsid w:val="0066795A"/>
  </w:style>
  <w:style w:type="paragraph" w:styleId="CommentSubject">
    <w:name w:val="annotation subject"/>
    <w:basedOn w:val="CommentText"/>
    <w:next w:val="CommentText"/>
    <w:link w:val="CommentSubjectChar"/>
    <w:semiHidden/>
    <w:unhideWhenUsed/>
    <w:rsid w:val="0066795A"/>
    <w:rPr>
      <w:b/>
      <w:bCs/>
    </w:rPr>
  </w:style>
  <w:style w:type="character" w:customStyle="1" w:styleId="CommentSubjectChar">
    <w:name w:val="Comment Subject Char"/>
    <w:basedOn w:val="CommentTextChar"/>
    <w:link w:val="CommentSubject"/>
    <w:semiHidden/>
    <w:rsid w:val="0066795A"/>
    <w:rPr>
      <w:b/>
      <w:bCs/>
    </w:rPr>
  </w:style>
  <w:style w:type="paragraph" w:styleId="BalloonText">
    <w:name w:val="Balloon Text"/>
    <w:basedOn w:val="Normal"/>
    <w:link w:val="BalloonTextChar"/>
    <w:semiHidden/>
    <w:unhideWhenUsed/>
    <w:rsid w:val="0066795A"/>
    <w:rPr>
      <w:rFonts w:ascii="Segoe UI" w:hAnsi="Segoe UI" w:cs="Segoe UI"/>
      <w:sz w:val="18"/>
      <w:szCs w:val="18"/>
    </w:rPr>
  </w:style>
  <w:style w:type="character" w:customStyle="1" w:styleId="BalloonTextChar">
    <w:name w:val="Balloon Text Char"/>
    <w:basedOn w:val="DefaultParagraphFont"/>
    <w:link w:val="BalloonText"/>
    <w:semiHidden/>
    <w:rsid w:val="006679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22FE6-12B0-4E8B-BCCC-262BD7658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9</Pages>
  <Words>3274</Words>
  <Characters>18663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2025-04-21T14:42:00Z</dcterms:created>
  <dcterms:modified xsi:type="dcterms:W3CDTF">2025-04-21T14:49:00Z</dcterms:modified>
</cp:coreProperties>
</file>