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EE" w:rsidRPr="00EF1968" w:rsidRDefault="00572FEE">
      <w:pPr>
        <w:suppressAutoHyphens/>
        <w:spacing w:line="240" w:lineRule="atLeast"/>
        <w:jc w:val="center"/>
        <w:rPr>
          <w:rFonts w:ascii="Courier New" w:hAnsi="Courier New" w:cs="Courier New"/>
          <w:sz w:val="24"/>
          <w:szCs w:val="24"/>
        </w:rPr>
      </w:pPr>
      <w:r w:rsidRPr="00EF1968">
        <w:rPr>
          <w:rFonts w:ascii="Courier New" w:hAnsi="Courier New" w:cs="Courier New"/>
          <w:sz w:val="24"/>
          <w:szCs w:val="24"/>
        </w:rPr>
        <w:t>FLORIDA PUBLIC SERVICE COMMISSION</w:t>
      </w:r>
      <w:r w:rsidRPr="00EF1968">
        <w:rPr>
          <w:rFonts w:ascii="Courier New" w:hAnsi="Courier New" w:cs="Courier New"/>
          <w:sz w:val="24"/>
          <w:szCs w:val="24"/>
        </w:rPr>
        <w:fldChar w:fldCharType="begin"/>
      </w:r>
      <w:r w:rsidRPr="00EF1968">
        <w:rPr>
          <w:rFonts w:ascii="Courier New" w:hAnsi="Courier New" w:cs="Courier New"/>
          <w:sz w:val="24"/>
          <w:szCs w:val="24"/>
        </w:rPr>
        <w:instrText xml:space="preserve">PRIVATE </w:instrText>
      </w:r>
      <w:r w:rsidRPr="00EF1968">
        <w:rPr>
          <w:rFonts w:ascii="Courier New" w:hAnsi="Courier New" w:cs="Courier New"/>
          <w:sz w:val="24"/>
          <w:szCs w:val="24"/>
        </w:rPr>
        <w:fldChar w:fldCharType="end"/>
      </w:r>
    </w:p>
    <w:p w:rsidR="00572FEE" w:rsidRPr="00EF1968" w:rsidRDefault="00572FEE">
      <w:pPr>
        <w:suppressAutoHyphens/>
        <w:spacing w:line="240" w:lineRule="atLeast"/>
        <w:jc w:val="center"/>
        <w:rPr>
          <w:rFonts w:ascii="Courier New" w:hAnsi="Courier New" w:cs="Courier New"/>
          <w:sz w:val="24"/>
          <w:szCs w:val="24"/>
        </w:rPr>
      </w:pPr>
    </w:p>
    <w:p w:rsidR="00572FEE" w:rsidRPr="00EF1968" w:rsidRDefault="00572FEE">
      <w:pPr>
        <w:suppressAutoHyphens/>
        <w:spacing w:line="240" w:lineRule="atLeast"/>
        <w:jc w:val="center"/>
        <w:rPr>
          <w:rFonts w:ascii="Courier New" w:hAnsi="Courier New" w:cs="Courier New"/>
          <w:sz w:val="24"/>
          <w:szCs w:val="24"/>
        </w:rPr>
      </w:pPr>
      <w:r w:rsidRPr="00EF1968">
        <w:rPr>
          <w:rFonts w:ascii="Courier New" w:hAnsi="Courier New" w:cs="Courier New"/>
          <w:sz w:val="24"/>
          <w:szCs w:val="24"/>
        </w:rPr>
        <w:t>Fletcher Building</w:t>
      </w:r>
    </w:p>
    <w:p w:rsidR="00572FEE" w:rsidRPr="00EF1968" w:rsidRDefault="00572FEE">
      <w:pPr>
        <w:suppressAutoHyphens/>
        <w:spacing w:line="240" w:lineRule="atLeast"/>
        <w:jc w:val="center"/>
        <w:rPr>
          <w:rFonts w:ascii="Courier New" w:hAnsi="Courier New" w:cs="Courier New"/>
          <w:sz w:val="24"/>
          <w:szCs w:val="24"/>
        </w:rPr>
      </w:pPr>
      <w:r w:rsidRPr="00EF1968">
        <w:rPr>
          <w:rFonts w:ascii="Courier New" w:hAnsi="Courier New" w:cs="Courier New"/>
          <w:sz w:val="24"/>
          <w:szCs w:val="24"/>
        </w:rPr>
        <w:t>101 East Gaines Street</w:t>
      </w:r>
    </w:p>
    <w:p w:rsidR="00572FEE" w:rsidRPr="00EF1968" w:rsidRDefault="00572FEE">
      <w:pPr>
        <w:suppressAutoHyphens/>
        <w:spacing w:line="240" w:lineRule="atLeast"/>
        <w:jc w:val="center"/>
        <w:rPr>
          <w:rFonts w:ascii="Courier New" w:hAnsi="Courier New" w:cs="Courier New"/>
          <w:sz w:val="24"/>
          <w:szCs w:val="24"/>
        </w:rPr>
      </w:pPr>
      <w:r w:rsidRPr="00EF1968">
        <w:rPr>
          <w:rFonts w:ascii="Courier New" w:hAnsi="Courier New" w:cs="Courier New"/>
          <w:sz w:val="24"/>
          <w:szCs w:val="24"/>
        </w:rPr>
        <w:t>Tallahassee, Florida  32399-0850</w:t>
      </w:r>
    </w:p>
    <w:p w:rsidR="00572FEE" w:rsidRPr="00EF1968" w:rsidRDefault="00572FEE">
      <w:pPr>
        <w:suppressAutoHyphens/>
        <w:spacing w:line="240" w:lineRule="atLeast"/>
        <w:jc w:val="center"/>
        <w:rPr>
          <w:rFonts w:ascii="Courier New" w:hAnsi="Courier New" w:cs="Courier New"/>
          <w:sz w:val="24"/>
          <w:szCs w:val="24"/>
        </w:rPr>
      </w:pPr>
    </w:p>
    <w:p w:rsidR="00572FEE" w:rsidRPr="00EF1968" w:rsidRDefault="00572FEE">
      <w:pPr>
        <w:suppressAutoHyphens/>
        <w:spacing w:line="240" w:lineRule="atLeast"/>
        <w:jc w:val="center"/>
        <w:rPr>
          <w:rFonts w:ascii="Courier New" w:hAnsi="Courier New" w:cs="Courier New"/>
          <w:sz w:val="24"/>
          <w:szCs w:val="24"/>
        </w:rPr>
      </w:pPr>
      <w:r w:rsidRPr="00EF1968">
        <w:rPr>
          <w:rFonts w:ascii="Courier New" w:hAnsi="Courier New" w:cs="Courier New"/>
          <w:sz w:val="24"/>
          <w:szCs w:val="24"/>
          <w:u w:val="single"/>
        </w:rPr>
        <w:t>M E M O R A N D U M</w:t>
      </w:r>
    </w:p>
    <w:p w:rsidR="00572FEE" w:rsidRPr="00EF1968" w:rsidRDefault="00572FEE">
      <w:pPr>
        <w:suppressAutoHyphens/>
        <w:spacing w:line="240" w:lineRule="atLeast"/>
        <w:jc w:val="center"/>
        <w:rPr>
          <w:rFonts w:ascii="Courier New" w:hAnsi="Courier New" w:cs="Courier New"/>
          <w:sz w:val="24"/>
          <w:szCs w:val="24"/>
        </w:rPr>
      </w:pPr>
    </w:p>
    <w:p w:rsidR="00572FEE" w:rsidRPr="00EF1968" w:rsidRDefault="00572FEE">
      <w:pPr>
        <w:suppressAutoHyphens/>
        <w:spacing w:line="240" w:lineRule="atLeast"/>
        <w:jc w:val="center"/>
        <w:rPr>
          <w:rFonts w:ascii="Courier New" w:hAnsi="Courier New" w:cs="Courier New"/>
          <w:sz w:val="24"/>
          <w:szCs w:val="24"/>
        </w:rPr>
      </w:pPr>
      <w:r w:rsidRPr="00EF1968">
        <w:rPr>
          <w:rFonts w:ascii="Courier New" w:hAnsi="Courier New" w:cs="Courier New"/>
          <w:sz w:val="24"/>
          <w:szCs w:val="24"/>
        </w:rPr>
        <w:t>April 8, 1993</w:t>
      </w:r>
    </w:p>
    <w:p w:rsidR="00572FEE" w:rsidRPr="00EF1968" w:rsidRDefault="00572FEE">
      <w:pPr>
        <w:suppressAutoHyphens/>
        <w:spacing w:line="240" w:lineRule="atLeast"/>
        <w:jc w:val="both"/>
        <w:rPr>
          <w:rFonts w:ascii="Courier New" w:hAnsi="Courier New" w:cs="Courier New"/>
          <w:spacing w:val="-3"/>
          <w:sz w:val="24"/>
          <w:szCs w:val="24"/>
        </w:rPr>
      </w:pPr>
    </w:p>
    <w:p w:rsidR="00572FEE" w:rsidRPr="00EF1968" w:rsidRDefault="00572FEE">
      <w:pPr>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EF1968">
        <w:rPr>
          <w:rFonts w:ascii="Courier New" w:hAnsi="Courier New" w:cs="Courier New"/>
          <w:spacing w:val="-3"/>
          <w:sz w:val="24"/>
          <w:szCs w:val="24"/>
        </w:rPr>
        <w:t>TO</w:t>
      </w:r>
      <w:r w:rsidRPr="00EF1968">
        <w:rPr>
          <w:rFonts w:ascii="Courier New" w:hAnsi="Courier New" w:cs="Courier New"/>
          <w:spacing w:val="-3"/>
          <w:sz w:val="24"/>
          <w:szCs w:val="24"/>
        </w:rPr>
        <w:tab/>
        <w:t>:</w:t>
      </w:r>
      <w:r w:rsidR="00EF1968">
        <w:rPr>
          <w:rFonts w:ascii="Courier New" w:hAnsi="Courier New" w:cs="Courier New"/>
          <w:spacing w:val="-3"/>
          <w:sz w:val="24"/>
          <w:szCs w:val="24"/>
        </w:rPr>
        <w:tab/>
      </w:r>
      <w:r w:rsidRPr="00EF1968">
        <w:rPr>
          <w:rFonts w:ascii="Courier New" w:hAnsi="Courier New" w:cs="Courier New"/>
          <w:spacing w:val="-3"/>
          <w:sz w:val="24"/>
          <w:szCs w:val="24"/>
        </w:rPr>
        <w:t>DIRECTOR, DIVISION OF RECORDS AND REPORTING</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EF1968">
        <w:rPr>
          <w:rFonts w:ascii="Courier New" w:hAnsi="Courier New" w:cs="Courier New"/>
          <w:spacing w:val="-3"/>
          <w:sz w:val="24"/>
          <w:szCs w:val="24"/>
        </w:rPr>
        <w:t>FROM</w:t>
      </w:r>
      <w:r w:rsidRPr="00EF1968">
        <w:rPr>
          <w:rFonts w:ascii="Courier New" w:hAnsi="Courier New" w:cs="Courier New"/>
          <w:spacing w:val="-3"/>
          <w:sz w:val="24"/>
          <w:szCs w:val="24"/>
        </w:rPr>
        <w:tab/>
        <w:t>:</w:t>
      </w:r>
      <w:r w:rsidR="00EF1968">
        <w:rPr>
          <w:rFonts w:ascii="Courier New" w:hAnsi="Courier New" w:cs="Courier New"/>
          <w:spacing w:val="-3"/>
          <w:sz w:val="24"/>
          <w:szCs w:val="24"/>
        </w:rPr>
        <w:tab/>
      </w:r>
      <w:r w:rsidRPr="00EF1968">
        <w:rPr>
          <w:rFonts w:ascii="Courier New" w:hAnsi="Courier New" w:cs="Courier New"/>
          <w:spacing w:val="-3"/>
          <w:sz w:val="24"/>
          <w:szCs w:val="24"/>
        </w:rPr>
        <w:t>DIVISION OF ELECTRIC AND GAS [BASS]</w:t>
      </w:r>
    </w:p>
    <w:p w:rsidR="00572FEE" w:rsidRPr="00EF1968" w:rsidRDefault="00572FEE">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EF1968">
        <w:rPr>
          <w:rFonts w:ascii="Courier New" w:hAnsi="Courier New" w:cs="Courier New"/>
          <w:spacing w:val="-3"/>
          <w:sz w:val="24"/>
          <w:szCs w:val="24"/>
        </w:rPr>
        <w:tab/>
      </w:r>
      <w:r w:rsidR="00EF1968">
        <w:rPr>
          <w:rFonts w:ascii="Courier New" w:hAnsi="Courier New" w:cs="Courier New"/>
          <w:spacing w:val="-3"/>
          <w:sz w:val="24"/>
          <w:szCs w:val="24"/>
        </w:rPr>
        <w:tab/>
      </w:r>
      <w:r w:rsidRPr="00EF1968">
        <w:rPr>
          <w:rFonts w:ascii="Courier New" w:hAnsi="Courier New" w:cs="Courier New"/>
          <w:spacing w:val="-3"/>
          <w:sz w:val="24"/>
          <w:szCs w:val="24"/>
        </w:rPr>
        <w:t>DIVISION OF LEGAL SERVICES [BROWN]</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EF1968">
        <w:rPr>
          <w:rFonts w:ascii="Courier New" w:hAnsi="Courier New" w:cs="Courier New"/>
          <w:spacing w:val="-3"/>
          <w:sz w:val="24"/>
          <w:szCs w:val="24"/>
        </w:rPr>
        <w:t>RE</w:t>
      </w:r>
      <w:r w:rsidRPr="00EF1968">
        <w:rPr>
          <w:rFonts w:ascii="Courier New" w:hAnsi="Courier New" w:cs="Courier New"/>
          <w:spacing w:val="-3"/>
          <w:sz w:val="24"/>
          <w:szCs w:val="24"/>
        </w:rPr>
        <w:tab/>
        <w:t>:</w:t>
      </w:r>
      <w:r w:rsidR="00EF1968">
        <w:rPr>
          <w:rFonts w:ascii="Courier New" w:hAnsi="Courier New" w:cs="Courier New"/>
          <w:spacing w:val="-3"/>
          <w:sz w:val="24"/>
          <w:szCs w:val="24"/>
        </w:rPr>
        <w:tab/>
      </w:r>
      <w:r w:rsidRPr="00EF1968">
        <w:rPr>
          <w:rFonts w:ascii="Courier New" w:hAnsi="Courier New" w:cs="Courier New"/>
          <w:spacing w:val="-3"/>
          <w:sz w:val="24"/>
          <w:szCs w:val="24"/>
        </w:rPr>
        <w:t>DOCKET NO. 930001-EI - FUEL AND PURCHASED POWER COST RECOVERY CLAUSE AND GENERATING PERFORMANCE INCENTIVE FACTOR</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EF1968">
        <w:rPr>
          <w:rFonts w:ascii="Courier New" w:hAnsi="Courier New" w:cs="Courier New"/>
          <w:spacing w:val="-3"/>
          <w:sz w:val="24"/>
          <w:szCs w:val="24"/>
        </w:rPr>
        <w:t>AGENDA:</w:t>
      </w:r>
      <w:r w:rsidR="00EF1968">
        <w:rPr>
          <w:rFonts w:ascii="Courier New" w:hAnsi="Courier New" w:cs="Courier New"/>
          <w:spacing w:val="-3"/>
          <w:sz w:val="24"/>
          <w:szCs w:val="24"/>
        </w:rPr>
        <w:tab/>
      </w:r>
      <w:r w:rsidRPr="00EF1968">
        <w:rPr>
          <w:rFonts w:ascii="Courier New" w:hAnsi="Courier New" w:cs="Courier New"/>
          <w:spacing w:val="-3"/>
          <w:sz w:val="24"/>
          <w:szCs w:val="24"/>
        </w:rPr>
        <w:t>4/20/93 - CONTROVERSIAL AGENDA - PROPOSED AGENCY ACTION -PARTIES MAY PARTICIPATE</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EF1968">
        <w:rPr>
          <w:rFonts w:ascii="Courier New" w:hAnsi="Courier New" w:cs="Courier New"/>
          <w:spacing w:val="-3"/>
          <w:sz w:val="24"/>
          <w:szCs w:val="24"/>
        </w:rPr>
        <w:t>PANEL:</w:t>
      </w:r>
      <w:r w:rsidR="00EF1968">
        <w:rPr>
          <w:rFonts w:ascii="Courier New" w:hAnsi="Courier New" w:cs="Courier New"/>
          <w:spacing w:val="-3"/>
          <w:sz w:val="24"/>
          <w:szCs w:val="24"/>
        </w:rPr>
        <w:tab/>
      </w:r>
      <w:r w:rsidRPr="00EF1968">
        <w:rPr>
          <w:rFonts w:ascii="Courier New" w:hAnsi="Courier New" w:cs="Courier New"/>
          <w:spacing w:val="-3"/>
          <w:sz w:val="24"/>
          <w:szCs w:val="24"/>
        </w:rPr>
        <w:t>FULL COMMISSION</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spacing w:val="-3"/>
          <w:sz w:val="24"/>
          <w:szCs w:val="24"/>
        </w:rPr>
      </w:pPr>
      <w:r w:rsidRPr="00EF1968">
        <w:rPr>
          <w:rFonts w:ascii="Courier New" w:hAnsi="Courier New" w:cs="Courier New"/>
          <w:spacing w:val="-3"/>
          <w:sz w:val="24"/>
          <w:szCs w:val="24"/>
        </w:rPr>
        <w:t>CRITICAL DATES:</w:t>
      </w:r>
      <w:r w:rsidR="00EF1968">
        <w:rPr>
          <w:rFonts w:ascii="Courier New" w:hAnsi="Courier New" w:cs="Courier New"/>
          <w:spacing w:val="-3"/>
          <w:sz w:val="24"/>
          <w:szCs w:val="24"/>
        </w:rPr>
        <w:tab/>
      </w:r>
      <w:r w:rsidRPr="00EF1968">
        <w:rPr>
          <w:rFonts w:ascii="Courier New" w:hAnsi="Courier New" w:cs="Courier New"/>
          <w:spacing w:val="-3"/>
          <w:sz w:val="24"/>
          <w:szCs w:val="24"/>
        </w:rPr>
        <w:t>NONE</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spacing w:val="-3"/>
          <w:sz w:val="24"/>
          <w:szCs w:val="24"/>
        </w:rPr>
      </w:pPr>
      <w:r w:rsidRPr="00EF1968">
        <w:rPr>
          <w:rFonts w:ascii="Courier New" w:hAnsi="Courier New" w:cs="Courier New"/>
          <w:spacing w:val="-3"/>
          <w:sz w:val="24"/>
          <w:szCs w:val="24"/>
        </w:rPr>
        <w:t>SPECIAL INSTRUCTIONS:I:\PSC\EAG\WP\930001.RCM</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t>___________________________________</w:t>
      </w:r>
      <w:r w:rsidR="00EF1968">
        <w:rPr>
          <w:rFonts w:ascii="Courier New" w:hAnsi="Courier New" w:cs="Courier New"/>
          <w:spacing w:val="-3"/>
          <w:sz w:val="24"/>
          <w:szCs w:val="24"/>
        </w:rPr>
        <w:t>_______________________________</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center" w:pos="468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tab/>
      </w:r>
      <w:r w:rsidRPr="00EF1968">
        <w:rPr>
          <w:rFonts w:ascii="Courier New" w:hAnsi="Courier New" w:cs="Courier New"/>
          <w:spacing w:val="-3"/>
          <w:sz w:val="24"/>
          <w:szCs w:val="24"/>
          <w:u w:val="single"/>
        </w:rPr>
        <w:t>CASE BACKGROUND</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tab/>
        <w:t>On October 2, 1992, Staff conducted a workshop to consider and hear comments from investor-owned utilities regarding the feasibility of holding fuel and purchased power cost recovery hearings annually instead of semi-annually.  The workshop was attended by representatives from Florida Power Corporation, Florida Power &amp; Light Company, Tampa Electric Company, Gulf Power Company, Florida Public Utilities Company and Florida Industrial Power Users Group.  The utilities were asked to provide written comments to issues addressed during the workshop.  These comments have been incorporated into this recommendation whenever practicable.</w:t>
      </w:r>
    </w:p>
    <w:p w:rsidR="00572FEE" w:rsidRDefault="00572FEE">
      <w:pPr>
        <w:tabs>
          <w:tab w:val="left" w:pos="-720"/>
        </w:tabs>
        <w:suppressAutoHyphens/>
        <w:spacing w:line="240" w:lineRule="atLeast"/>
        <w:jc w:val="both"/>
        <w:rPr>
          <w:rFonts w:ascii="Courier New" w:hAnsi="Courier New" w:cs="Courier New"/>
          <w:spacing w:val="-3"/>
          <w:sz w:val="24"/>
          <w:szCs w:val="24"/>
        </w:rPr>
      </w:pPr>
    </w:p>
    <w:p w:rsidR="00C50401" w:rsidRDefault="00C50401">
      <w:pPr>
        <w:tabs>
          <w:tab w:val="left" w:pos="-720"/>
        </w:tabs>
        <w:suppressAutoHyphens/>
        <w:spacing w:line="240" w:lineRule="atLeast"/>
        <w:jc w:val="both"/>
        <w:rPr>
          <w:rFonts w:ascii="Courier New" w:hAnsi="Courier New" w:cs="Courier New"/>
          <w:spacing w:val="-3"/>
          <w:sz w:val="24"/>
          <w:szCs w:val="24"/>
        </w:rPr>
      </w:pPr>
    </w:p>
    <w:p w:rsidR="00C50401" w:rsidRDefault="00C50401">
      <w:pPr>
        <w:tabs>
          <w:tab w:val="left" w:pos="-720"/>
        </w:tabs>
        <w:suppressAutoHyphens/>
        <w:spacing w:line="240" w:lineRule="atLeast"/>
        <w:jc w:val="both"/>
        <w:rPr>
          <w:rFonts w:ascii="Courier New" w:hAnsi="Courier New" w:cs="Courier New"/>
          <w:spacing w:val="-3"/>
          <w:sz w:val="24"/>
          <w:szCs w:val="24"/>
        </w:rPr>
      </w:pPr>
    </w:p>
    <w:p w:rsidR="00C50401" w:rsidRDefault="00C50401">
      <w:pPr>
        <w:tabs>
          <w:tab w:val="left" w:pos="-720"/>
        </w:tabs>
        <w:suppressAutoHyphens/>
        <w:spacing w:line="240" w:lineRule="atLeast"/>
        <w:jc w:val="both"/>
        <w:rPr>
          <w:rFonts w:ascii="Courier New" w:hAnsi="Courier New" w:cs="Courier New"/>
          <w:spacing w:val="-3"/>
          <w:sz w:val="24"/>
          <w:szCs w:val="24"/>
        </w:rPr>
      </w:pPr>
    </w:p>
    <w:p w:rsidR="00C50401" w:rsidRPr="00EF1968" w:rsidRDefault="00C50401">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center" w:pos="468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lastRenderedPageBreak/>
        <w:tab/>
      </w:r>
      <w:r w:rsidRPr="00EF1968">
        <w:rPr>
          <w:rFonts w:ascii="Courier New" w:hAnsi="Courier New" w:cs="Courier New"/>
          <w:spacing w:val="-3"/>
          <w:sz w:val="24"/>
          <w:szCs w:val="24"/>
          <w:u w:val="single"/>
        </w:rPr>
        <w:t>DISCUSSION OF ISSUE</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u w:val="single"/>
        </w:rPr>
        <w:t>ISSUE:</w:t>
      </w:r>
      <w:r w:rsidRPr="00EF1968">
        <w:rPr>
          <w:rFonts w:ascii="Courier New" w:hAnsi="Courier New" w:cs="Courier New"/>
          <w:spacing w:val="-3"/>
          <w:sz w:val="24"/>
          <w:szCs w:val="24"/>
        </w:rPr>
        <w:tab/>
        <w:t>Should the Commission approve a change in the frequency of fuel and purchased power cost recovery hearings from semi-annually to annually?</w:t>
      </w:r>
      <w:bookmarkStart w:id="0" w:name="_GoBack"/>
      <w:bookmarkEnd w:id="0"/>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u w:val="single"/>
        </w:rPr>
        <w:t>RECOMMENDATION:</w:t>
      </w:r>
      <w:r w:rsidRPr="00EF1968">
        <w:rPr>
          <w:rFonts w:ascii="Courier New" w:hAnsi="Courier New" w:cs="Courier New"/>
          <w:spacing w:val="-3"/>
          <w:sz w:val="24"/>
          <w:szCs w:val="24"/>
        </w:rPr>
        <w:tab/>
      </w:r>
      <w:r w:rsidR="00EF1968">
        <w:rPr>
          <w:rFonts w:ascii="Courier New" w:hAnsi="Courier New" w:cs="Courier New"/>
          <w:spacing w:val="-3"/>
          <w:sz w:val="24"/>
          <w:szCs w:val="24"/>
        </w:rPr>
        <w:tab/>
      </w:r>
      <w:r w:rsidRPr="00EF1968">
        <w:rPr>
          <w:rFonts w:ascii="Courier New" w:hAnsi="Courier New" w:cs="Courier New"/>
          <w:spacing w:val="-3"/>
          <w:sz w:val="24"/>
          <w:szCs w:val="24"/>
        </w:rPr>
        <w:t>Yes.  The Commission should approve the change to annual hearings.</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u w:val="single"/>
        </w:rPr>
        <w:t>STAFF ANALYSIS:</w:t>
      </w:r>
      <w:r w:rsidRPr="00EF1968">
        <w:rPr>
          <w:rFonts w:ascii="Courier New" w:hAnsi="Courier New" w:cs="Courier New"/>
          <w:spacing w:val="-3"/>
          <w:sz w:val="24"/>
          <w:szCs w:val="24"/>
        </w:rPr>
        <w:tab/>
        <w:t>Staff is proposing to change the frequency of the fuel and purchased power cost recovery hearings from semi-annually to annually.  The goal of the proposed change is to reduce the time and dollars spent during the preparation for and attendance at cost recovery proceedings, thereby producing savings that will benefit utility ratepayers.  Under Staff's proposal, the Commission would consider the recovery of fuel costs, purchased power costs, oil-backout costs, capacity costs and generating performance incentives during a two-day hearing in August of each year.  A time-line depicting the cost recovery periods, including the transition period, is attached as Exhibit 1.</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tab/>
        <w:t>Staff believes there are substantial benefits to be derived from a change to annual hearings.  A reduction in the number of days scheduled for hearings will not only free up Commissioners' time, but Staff and company employees' time as well.  As stated by Gulf Power Company, affected company employees could better utilize the time pursuing other company interests, and the ratepayers would save the incremental costs (airfare, hotel, meals, etc.) related to an additional hearing.  There also would be lower administrative and legal expenses associated with preparing and filing projections annually versus semi-annually.  All such savings would directly benefit ratepayers.</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tab/>
        <w:t xml:space="preserve">The utilities that submitted written comments subsequent to the workshop are generally in agreement with the change to annual hearings.  Florida Power &amp; Light Company does not believe however that there will be any overall benefits resulting from a reduction in the frequency of fuel cost recovery proceedings.  The company asserts that the probability of encountering large over/under recoveries is greatly enhanced by the extended time between projections.  Staff agrees that there is a probability that this could occur, but with the extension of the cost recovery period, there is also the probability that the accumulation of over/under recoveries could be offset during the </w:t>
      </w:r>
      <w:r w:rsidRPr="00EF1968">
        <w:rPr>
          <w:rFonts w:ascii="Courier New" w:hAnsi="Courier New" w:cs="Courier New"/>
          <w:spacing w:val="-3"/>
          <w:sz w:val="24"/>
          <w:szCs w:val="24"/>
        </w:rPr>
        <w:lastRenderedPageBreak/>
        <w:t xml:space="preserve">extended period.  Florida Power &amp; Light Company asserts that any benefits from the change would be outweighed by the amount of unplanned mid-course corrections that would probably occur.  Florida Power &amp; Light Company states that during the past 12 years, the company has had to file 9 mid-course corrections and 4 supplemental filings under the current system.  A review of Commission orders reveals that since 1982, Florida Power Corporation has requested mid-course corrections three times, Gulf Power Company and Tampa Electric Company have each requested one mid-course correction and Florida Public Utilities Company has not requested a mid-course correction.  Staff submits that the frequency of Florida Power &amp; Light Company's request for mid-course corrections is not typical of the other investor-owned electric utilities.    </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tab/>
        <w:t xml:space="preserve">Gulf Power Company indicated that it supports an annual fuel recovery period, but it would prefer that that recovery period be April through March instead of October through September.  The company explains that the schedule of filing fuel projections in January is more consistent with the completion of Gulf's fuel budgeting process and would allow the company to utilize the most current information available to prepare its fuel cost projections for the following period.  While Staff agrees that it is preferable to use the most current information, .  One reason favoring the August hearing dates is that the methodology used to calculate a price for transactions between Florida Power Corporation and its affiliate, Powell Mountain Coal Company, uses FERC Form 423 data  which is not available until at least April of each year.  The appropriate market price is then considered at the August fuel hearings.  If the fuel hearings were held in February of each year, there would be a ten-month delay between the company incurring fuel costs and the Commission's approval of recovery of those costs.  Another reason favoring the August dates is the timing of implementation of this change.  Because the change in the conservation cost recovery clause requires a change in a Commission rule, implementation of an annual conservation cost recovery hearing would be delayed until August 1994.  Implementation of an annual fuel and purchased power cost recovery hearing would be delayed until February 1994.  Although the delays would not cause insurmountable problems, Staff would like the annual hearings to be implemented as soon as possible. </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tab/>
        <w:t xml:space="preserve">Florida Public Utilities Company indicated it did not object to changing the current filing requirements from six months to one year subject to the following condition.  The company would like to be able to file two independent six-month levelized factors to reflect the </w:t>
      </w:r>
      <w:r w:rsidRPr="00EF1968">
        <w:rPr>
          <w:rFonts w:ascii="Courier New" w:hAnsi="Courier New" w:cs="Courier New"/>
          <w:spacing w:val="-3"/>
          <w:sz w:val="24"/>
          <w:szCs w:val="24"/>
        </w:rPr>
        <w:lastRenderedPageBreak/>
        <w:t>difference in seasonal costs.  Staff sees no problem in allowing companies to file seasonal factors.  However, the filing of seasonal factors should be optional for all the companies.</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tab/>
        <w:t>Florida Power Corporation conurs with Staff's proposed schedule for implementing annual hearings in August 1993 for fuel, purchased power and capacity cot recovery.  Tampa Electric Company did not submit written comments subsequent to the workshop.</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tab/>
        <w:t>The mid-course correction procedure would not change with a change in the frequency of cost recovery hearings.  It was suggested by two companies that the variance percentage should be increased from 10% to 15%.  Gulf Power Company suggested that the percentage remain at 10% stating that any greater percentage may cause large fluctuations in the fuel factor in order to adjust for the over\underrecovery in subsequent periods.  Any lesser percentage may cause a utility to unnecessarily adjust for a variance that later in the recovery period may correct itself or could be handled through the true-up mechanism.  Staff agrees and recommends that the threshold percentage remain at 10%.</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t xml:space="preserve"> </w:t>
      </w:r>
    </w:p>
    <w:p w:rsidR="00572FEE" w:rsidRPr="00EF1968" w:rsidRDefault="00572FEE">
      <w:pPr>
        <w:tabs>
          <w:tab w:val="left" w:pos="-720"/>
        </w:tabs>
        <w:suppressAutoHyphens/>
        <w:spacing w:line="240" w:lineRule="atLeast"/>
        <w:jc w:val="both"/>
        <w:rPr>
          <w:rFonts w:ascii="Courier New" w:hAnsi="Courier New" w:cs="Courier New"/>
          <w:spacing w:val="-3"/>
          <w:sz w:val="24"/>
          <w:szCs w:val="24"/>
        </w:rPr>
      </w:pPr>
      <w:r w:rsidRPr="00EF1968">
        <w:rPr>
          <w:rFonts w:ascii="Courier New" w:hAnsi="Courier New" w:cs="Courier New"/>
          <w:spacing w:val="-3"/>
          <w:sz w:val="24"/>
          <w:szCs w:val="24"/>
        </w:rPr>
        <w:tab/>
        <w:t>A change in the frequency of cost recovery hearings will require a change in the forms filed by the utilities.  If the change is approved by the Commission, Staff recommends that a workshop be conducted to discuss revisions and modifications to fuel, purchased power, capacity cost, oil-backout cost and generating performance incentive factor forms.</w:t>
      </w:r>
    </w:p>
    <w:sectPr w:rsidR="00572FEE" w:rsidRPr="00EF1968" w:rsidSect="00572FEE">
      <w:foot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EE" w:rsidRDefault="00572FEE">
      <w:pPr>
        <w:spacing w:line="20" w:lineRule="exact"/>
        <w:rPr>
          <w:rFonts w:cstheme="minorBidi"/>
          <w:sz w:val="24"/>
          <w:szCs w:val="24"/>
        </w:rPr>
      </w:pPr>
    </w:p>
  </w:endnote>
  <w:endnote w:type="continuationSeparator" w:id="0">
    <w:p w:rsidR="00572FEE" w:rsidRDefault="00572FEE" w:rsidP="00572FEE">
      <w:r>
        <w:rPr>
          <w:rFonts w:cstheme="minorBidi"/>
          <w:sz w:val="24"/>
          <w:szCs w:val="24"/>
        </w:rPr>
        <w:t xml:space="preserve"> </w:t>
      </w:r>
    </w:p>
  </w:endnote>
  <w:endnote w:type="continuationNotice" w:id="1">
    <w:p w:rsidR="00572FEE" w:rsidRDefault="00572FEE" w:rsidP="00572FE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FEE" w:rsidRDefault="00572FEE">
    <w:pPr>
      <w:spacing w:before="140" w:line="100" w:lineRule="exact"/>
      <w:rPr>
        <w:rFonts w:cstheme="minorBidi"/>
        <w:sz w:val="10"/>
        <w:szCs w:val="10"/>
      </w:rPr>
    </w:pPr>
  </w:p>
  <w:p w:rsidR="00572FEE" w:rsidRDefault="00572FEE">
    <w:pPr>
      <w:suppressAutoHyphens/>
      <w:spacing w:line="240" w:lineRule="atLeast"/>
      <w:jc w:val="center"/>
      <w:rPr>
        <w:rFonts w:cstheme="minorBidi"/>
        <w:sz w:val="24"/>
        <w:szCs w:val="24"/>
      </w:rPr>
    </w:pPr>
  </w:p>
  <w:p w:rsidR="00572FEE" w:rsidRDefault="00EF1968" w:rsidP="00572FEE">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2FEE" w:rsidRPr="00EF1968" w:rsidRDefault="00572FEE">
                          <w:pPr>
                            <w:tabs>
                              <w:tab w:val="center" w:pos="4680"/>
                              <w:tab w:val="right" w:pos="9360"/>
                            </w:tabs>
                            <w:rPr>
                              <w:rFonts w:ascii="Courier New" w:hAnsi="Courier New" w:cs="Courier New"/>
                              <w:sz w:val="24"/>
                              <w:szCs w:val="24"/>
                            </w:rPr>
                          </w:pPr>
                          <w:r>
                            <w:rPr>
                              <w:rFonts w:cstheme="minorBidi"/>
                              <w:sz w:val="24"/>
                              <w:szCs w:val="24"/>
                            </w:rPr>
                            <w:tab/>
                          </w:r>
                          <w:r w:rsidRPr="00EF1968">
                            <w:rPr>
                              <w:rFonts w:ascii="Courier New" w:hAnsi="Courier New" w:cs="Courier New"/>
                              <w:sz w:val="24"/>
                              <w:szCs w:val="24"/>
                            </w:rPr>
                            <w:fldChar w:fldCharType="begin"/>
                          </w:r>
                          <w:r w:rsidRPr="00EF1968">
                            <w:rPr>
                              <w:rFonts w:ascii="Courier New" w:hAnsi="Courier New" w:cs="Courier New"/>
                              <w:sz w:val="24"/>
                              <w:szCs w:val="24"/>
                            </w:rPr>
                            <w:instrText>page \* arabic</w:instrText>
                          </w:r>
                          <w:r w:rsidRPr="00EF1968">
                            <w:rPr>
                              <w:rFonts w:ascii="Courier New" w:hAnsi="Courier New" w:cs="Courier New"/>
                              <w:sz w:val="24"/>
                              <w:szCs w:val="24"/>
                            </w:rPr>
                            <w:fldChar w:fldCharType="separate"/>
                          </w:r>
                          <w:r w:rsidR="00C50401">
                            <w:rPr>
                              <w:rFonts w:ascii="Courier New" w:hAnsi="Courier New" w:cs="Courier New"/>
                              <w:noProof/>
                              <w:sz w:val="24"/>
                              <w:szCs w:val="24"/>
                            </w:rPr>
                            <w:t>4</w:t>
                          </w:r>
                          <w:r w:rsidRPr="00EF1968">
                            <w:rPr>
                              <w:rFonts w:ascii="Courier New" w:hAnsi="Courier New" w:cs="Courier New"/>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572FEE" w:rsidRPr="00EF1968" w:rsidRDefault="00572FEE">
                    <w:pPr>
                      <w:tabs>
                        <w:tab w:val="center" w:pos="4680"/>
                        <w:tab w:val="right" w:pos="9360"/>
                      </w:tabs>
                      <w:rPr>
                        <w:rFonts w:ascii="Courier New" w:hAnsi="Courier New" w:cs="Courier New"/>
                        <w:sz w:val="24"/>
                        <w:szCs w:val="24"/>
                      </w:rPr>
                    </w:pPr>
                    <w:r>
                      <w:rPr>
                        <w:rFonts w:cstheme="minorBidi"/>
                        <w:sz w:val="24"/>
                        <w:szCs w:val="24"/>
                      </w:rPr>
                      <w:tab/>
                    </w:r>
                    <w:r w:rsidRPr="00EF1968">
                      <w:rPr>
                        <w:rFonts w:ascii="Courier New" w:hAnsi="Courier New" w:cs="Courier New"/>
                        <w:sz w:val="24"/>
                        <w:szCs w:val="24"/>
                      </w:rPr>
                      <w:fldChar w:fldCharType="begin"/>
                    </w:r>
                    <w:r w:rsidRPr="00EF1968">
                      <w:rPr>
                        <w:rFonts w:ascii="Courier New" w:hAnsi="Courier New" w:cs="Courier New"/>
                        <w:sz w:val="24"/>
                        <w:szCs w:val="24"/>
                      </w:rPr>
                      <w:instrText>page \* arabic</w:instrText>
                    </w:r>
                    <w:r w:rsidRPr="00EF1968">
                      <w:rPr>
                        <w:rFonts w:ascii="Courier New" w:hAnsi="Courier New" w:cs="Courier New"/>
                        <w:sz w:val="24"/>
                        <w:szCs w:val="24"/>
                      </w:rPr>
                      <w:fldChar w:fldCharType="separate"/>
                    </w:r>
                    <w:r w:rsidR="00C50401">
                      <w:rPr>
                        <w:rFonts w:ascii="Courier New" w:hAnsi="Courier New" w:cs="Courier New"/>
                        <w:noProof/>
                        <w:sz w:val="24"/>
                        <w:szCs w:val="24"/>
                      </w:rPr>
                      <w:t>4</w:t>
                    </w:r>
                    <w:r w:rsidRPr="00EF1968">
                      <w:rPr>
                        <w:rFonts w:ascii="Courier New" w:hAnsi="Courier New" w:cs="Courier New"/>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EE" w:rsidRDefault="00572FEE" w:rsidP="00572FEE">
      <w:r>
        <w:rPr>
          <w:rFonts w:cstheme="minorBidi"/>
          <w:sz w:val="24"/>
          <w:szCs w:val="24"/>
        </w:rPr>
        <w:separator/>
      </w:r>
    </w:p>
  </w:footnote>
  <w:footnote w:type="continuationSeparator" w:id="0">
    <w:p w:rsidR="00572FEE" w:rsidRDefault="00572FEE" w:rsidP="00572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EE"/>
    <w:rsid w:val="00572FEE"/>
    <w:rsid w:val="00C50401"/>
    <w:rsid w:val="00EF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72FEE"/>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72FEE"/>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F1968"/>
    <w:pPr>
      <w:tabs>
        <w:tab w:val="center" w:pos="4680"/>
        <w:tab w:val="right" w:pos="9360"/>
      </w:tabs>
    </w:pPr>
  </w:style>
  <w:style w:type="character" w:customStyle="1" w:styleId="HeaderChar">
    <w:name w:val="Header Char"/>
    <w:basedOn w:val="DefaultParagraphFont"/>
    <w:link w:val="Header"/>
    <w:uiPriority w:val="99"/>
    <w:rsid w:val="00EF1968"/>
    <w:rPr>
      <w:rFonts w:ascii="Lucida Sans Typewriter" w:hAnsi="Lucida Sans Typewriter" w:cs="Lucida Sans Typewriter"/>
      <w:sz w:val="20"/>
      <w:szCs w:val="20"/>
    </w:rPr>
  </w:style>
  <w:style w:type="paragraph" w:styleId="Footer">
    <w:name w:val="footer"/>
    <w:basedOn w:val="Normal"/>
    <w:link w:val="FooterChar"/>
    <w:uiPriority w:val="99"/>
    <w:unhideWhenUsed/>
    <w:rsid w:val="00EF1968"/>
    <w:pPr>
      <w:tabs>
        <w:tab w:val="center" w:pos="4680"/>
        <w:tab w:val="right" w:pos="9360"/>
      </w:tabs>
    </w:pPr>
  </w:style>
  <w:style w:type="character" w:customStyle="1" w:styleId="FooterChar">
    <w:name w:val="Footer Char"/>
    <w:basedOn w:val="DefaultParagraphFont"/>
    <w:link w:val="Footer"/>
    <w:uiPriority w:val="99"/>
    <w:rsid w:val="00EF1968"/>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72FEE"/>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72FEE"/>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F1968"/>
    <w:pPr>
      <w:tabs>
        <w:tab w:val="center" w:pos="4680"/>
        <w:tab w:val="right" w:pos="9360"/>
      </w:tabs>
    </w:pPr>
  </w:style>
  <w:style w:type="character" w:customStyle="1" w:styleId="HeaderChar">
    <w:name w:val="Header Char"/>
    <w:basedOn w:val="DefaultParagraphFont"/>
    <w:link w:val="Header"/>
    <w:uiPriority w:val="99"/>
    <w:rsid w:val="00EF1968"/>
    <w:rPr>
      <w:rFonts w:ascii="Lucida Sans Typewriter" w:hAnsi="Lucida Sans Typewriter" w:cs="Lucida Sans Typewriter"/>
      <w:sz w:val="20"/>
      <w:szCs w:val="20"/>
    </w:rPr>
  </w:style>
  <w:style w:type="paragraph" w:styleId="Footer">
    <w:name w:val="footer"/>
    <w:basedOn w:val="Normal"/>
    <w:link w:val="FooterChar"/>
    <w:uiPriority w:val="99"/>
    <w:unhideWhenUsed/>
    <w:rsid w:val="00EF1968"/>
    <w:pPr>
      <w:tabs>
        <w:tab w:val="center" w:pos="4680"/>
        <w:tab w:val="right" w:pos="9360"/>
      </w:tabs>
    </w:pPr>
  </w:style>
  <w:style w:type="character" w:customStyle="1" w:styleId="FooterChar">
    <w:name w:val="Footer Char"/>
    <w:basedOn w:val="DefaultParagraphFont"/>
    <w:link w:val="Footer"/>
    <w:uiPriority w:val="99"/>
    <w:rsid w:val="00EF1968"/>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2015-08-24T18:39:00Z</dcterms:created>
  <dcterms:modified xsi:type="dcterms:W3CDTF">2015-08-24T20:33:00Z</dcterms:modified>
</cp:coreProperties>
</file>