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B2" w:rsidRPr="00B72321" w:rsidRDefault="00BE4DB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Pr>
          <w:rFonts w:cs="Courier"/>
        </w:rPr>
        <w:tab/>
      </w:r>
      <w:r w:rsidRPr="00B72321">
        <w:rPr>
          <w:rFonts w:ascii="Courier New" w:hAnsi="Courier New" w:cs="Courier New"/>
          <w:b/>
          <w:bCs/>
        </w:rPr>
        <w:t>FLORIDA PUBLIC SERVICE COMMISSION</w:t>
      </w:r>
    </w:p>
    <w:p w:rsidR="00BE4DB2" w:rsidRPr="00B72321" w:rsidRDefault="00BE4DB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B72321">
        <w:rPr>
          <w:rFonts w:ascii="Courier New" w:hAnsi="Courier New" w:cs="Courier New"/>
          <w:b/>
          <w:bCs/>
        </w:rPr>
        <w:tab/>
        <w:t xml:space="preserve">Capital Circle Office Center </w:t>
      </w:r>
      <w:r w:rsidRPr="00B72321">
        <w:rPr>
          <w:rFonts w:ascii="Courier New" w:hAnsi="Courier New" w:cs="Courier New"/>
          <w:b/>
          <w:bCs/>
        </w:rPr>
        <w:sym w:font="WP TypographicSymbols" w:char="0021"/>
      </w:r>
      <w:r w:rsidRPr="00B72321">
        <w:rPr>
          <w:rFonts w:ascii="Courier New" w:hAnsi="Courier New" w:cs="Courier New"/>
          <w:b/>
          <w:bCs/>
        </w:rPr>
        <w:t xml:space="preserve"> 2540 Shumard Oak Boulevard</w:t>
      </w:r>
    </w:p>
    <w:p w:rsidR="00BE4DB2" w:rsidRPr="00B72321" w:rsidRDefault="00BE4DB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B72321">
        <w:rPr>
          <w:rFonts w:ascii="Courier New" w:hAnsi="Courier New" w:cs="Courier New"/>
          <w:b/>
          <w:bCs/>
        </w:rPr>
        <w:tab/>
        <w:t>Tallahassee, Florida  32399-0850</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BE4DB2" w:rsidRPr="00B72321" w:rsidRDefault="00BE4DB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B72321">
        <w:rPr>
          <w:rFonts w:ascii="Courier New" w:hAnsi="Courier New" w:cs="Courier New"/>
          <w:b/>
          <w:bCs/>
        </w:rPr>
        <w:tab/>
      </w:r>
      <w:r w:rsidRPr="00B72321">
        <w:rPr>
          <w:rFonts w:ascii="Courier New" w:hAnsi="Courier New" w:cs="Courier New"/>
          <w:b/>
          <w:bCs/>
          <w:u w:val="single"/>
        </w:rPr>
        <w:t>M</w:t>
      </w:r>
      <w:r w:rsidRPr="00B72321">
        <w:rPr>
          <w:rFonts w:ascii="Courier New" w:hAnsi="Courier New" w:cs="Courier New"/>
          <w:b/>
          <w:bCs/>
        </w:rPr>
        <w:t xml:space="preserve"> </w:t>
      </w:r>
      <w:r w:rsidRPr="00B72321">
        <w:rPr>
          <w:rFonts w:ascii="Courier New" w:hAnsi="Courier New" w:cs="Courier New"/>
          <w:b/>
          <w:bCs/>
          <w:u w:val="single"/>
        </w:rPr>
        <w:t>E</w:t>
      </w:r>
      <w:r w:rsidRPr="00B72321">
        <w:rPr>
          <w:rFonts w:ascii="Courier New" w:hAnsi="Courier New" w:cs="Courier New"/>
          <w:b/>
          <w:bCs/>
        </w:rPr>
        <w:t xml:space="preserve"> </w:t>
      </w:r>
      <w:r w:rsidRPr="00B72321">
        <w:rPr>
          <w:rFonts w:ascii="Courier New" w:hAnsi="Courier New" w:cs="Courier New"/>
          <w:b/>
          <w:bCs/>
          <w:u w:val="single"/>
        </w:rPr>
        <w:t>M</w:t>
      </w:r>
      <w:r w:rsidRPr="00B72321">
        <w:rPr>
          <w:rFonts w:ascii="Courier New" w:hAnsi="Courier New" w:cs="Courier New"/>
          <w:b/>
          <w:bCs/>
        </w:rPr>
        <w:t xml:space="preserve"> </w:t>
      </w:r>
      <w:r w:rsidRPr="00B72321">
        <w:rPr>
          <w:rFonts w:ascii="Courier New" w:hAnsi="Courier New" w:cs="Courier New"/>
          <w:b/>
          <w:bCs/>
          <w:u w:val="single"/>
        </w:rPr>
        <w:t>O</w:t>
      </w:r>
      <w:r w:rsidRPr="00B72321">
        <w:rPr>
          <w:rFonts w:ascii="Courier New" w:hAnsi="Courier New" w:cs="Courier New"/>
          <w:b/>
          <w:bCs/>
        </w:rPr>
        <w:t xml:space="preserve"> </w:t>
      </w:r>
      <w:r w:rsidRPr="00B72321">
        <w:rPr>
          <w:rFonts w:ascii="Courier New" w:hAnsi="Courier New" w:cs="Courier New"/>
          <w:b/>
          <w:bCs/>
          <w:u w:val="single"/>
        </w:rPr>
        <w:t>R</w:t>
      </w:r>
      <w:r w:rsidRPr="00B72321">
        <w:rPr>
          <w:rFonts w:ascii="Courier New" w:hAnsi="Courier New" w:cs="Courier New"/>
          <w:b/>
          <w:bCs/>
        </w:rPr>
        <w:t xml:space="preserve"> </w:t>
      </w:r>
      <w:r w:rsidRPr="00B72321">
        <w:rPr>
          <w:rFonts w:ascii="Courier New" w:hAnsi="Courier New" w:cs="Courier New"/>
          <w:b/>
          <w:bCs/>
          <w:u w:val="single"/>
        </w:rPr>
        <w:t>A</w:t>
      </w:r>
      <w:r w:rsidRPr="00B72321">
        <w:rPr>
          <w:rFonts w:ascii="Courier New" w:hAnsi="Courier New" w:cs="Courier New"/>
          <w:b/>
          <w:bCs/>
        </w:rPr>
        <w:t xml:space="preserve"> </w:t>
      </w:r>
      <w:r w:rsidRPr="00B72321">
        <w:rPr>
          <w:rFonts w:ascii="Courier New" w:hAnsi="Courier New" w:cs="Courier New"/>
          <w:b/>
          <w:bCs/>
          <w:u w:val="single"/>
        </w:rPr>
        <w:t>N</w:t>
      </w:r>
      <w:r w:rsidRPr="00B72321">
        <w:rPr>
          <w:rFonts w:ascii="Courier New" w:hAnsi="Courier New" w:cs="Courier New"/>
          <w:b/>
          <w:bCs/>
        </w:rPr>
        <w:t xml:space="preserve"> </w:t>
      </w:r>
      <w:r w:rsidRPr="00B72321">
        <w:rPr>
          <w:rFonts w:ascii="Courier New" w:hAnsi="Courier New" w:cs="Courier New"/>
          <w:b/>
          <w:bCs/>
          <w:u w:val="single"/>
        </w:rPr>
        <w:t>D</w:t>
      </w:r>
      <w:r w:rsidRPr="00B72321">
        <w:rPr>
          <w:rFonts w:ascii="Courier New" w:hAnsi="Courier New" w:cs="Courier New"/>
          <w:b/>
          <w:bCs/>
        </w:rPr>
        <w:t xml:space="preserve"> </w:t>
      </w:r>
      <w:r w:rsidRPr="00B72321">
        <w:rPr>
          <w:rFonts w:ascii="Courier New" w:hAnsi="Courier New" w:cs="Courier New"/>
          <w:b/>
          <w:bCs/>
          <w:u w:val="single"/>
        </w:rPr>
        <w:t>U</w:t>
      </w:r>
      <w:r w:rsidRPr="00B72321">
        <w:rPr>
          <w:rFonts w:ascii="Courier New" w:hAnsi="Courier New" w:cs="Courier New"/>
          <w:b/>
          <w:bCs/>
        </w:rPr>
        <w:t xml:space="preserve"> </w:t>
      </w:r>
      <w:r w:rsidRPr="00B72321">
        <w:rPr>
          <w:rFonts w:ascii="Courier New" w:hAnsi="Courier New" w:cs="Courier New"/>
          <w:b/>
          <w:bCs/>
          <w:u w:val="single"/>
        </w:rPr>
        <w:t>M</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BE4DB2" w:rsidRPr="00B72321" w:rsidRDefault="00BE4DB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B72321">
        <w:rPr>
          <w:rFonts w:ascii="Courier New" w:hAnsi="Courier New" w:cs="Courier New"/>
          <w:b/>
          <w:bCs/>
        </w:rPr>
        <w:tab/>
        <w:t>September 11, 1997</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B72321">
        <w:rPr>
          <w:rFonts w:ascii="Courier New" w:hAnsi="Courier New" w:cs="Courier New"/>
          <w:b/>
          <w:bCs/>
        </w:rPr>
        <w:t>TO:</w:t>
      </w:r>
      <w:r w:rsidRPr="00B72321">
        <w:rPr>
          <w:rFonts w:ascii="Courier New" w:hAnsi="Courier New" w:cs="Courier New"/>
          <w:b/>
          <w:bCs/>
        </w:rPr>
        <w:tab/>
      </w:r>
      <w:r w:rsidRPr="00B72321">
        <w:rPr>
          <w:rFonts w:ascii="Courier New" w:hAnsi="Courier New" w:cs="Courier New"/>
          <w:b/>
          <w:bCs/>
        </w:rPr>
        <w:tab/>
        <w:t>DIRECTOR, DIVISION OF RECORDS AND REPORTING (BAYO)</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B72321">
        <w:rPr>
          <w:rFonts w:ascii="Courier New" w:hAnsi="Courier New" w:cs="Courier New"/>
          <w:b/>
          <w:bCs/>
        </w:rPr>
        <w:t>FROM:</w:t>
      </w:r>
      <w:r w:rsidRPr="00B72321">
        <w:rPr>
          <w:rFonts w:ascii="Courier New" w:hAnsi="Courier New" w:cs="Courier New"/>
          <w:b/>
          <w:bCs/>
        </w:rPr>
        <w:tab/>
        <w:t>DIVISION OF APPEALS (HELTON)</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B72321">
        <w:rPr>
          <w:rFonts w:ascii="Courier New" w:hAnsi="Courier New" w:cs="Courier New"/>
          <w:b/>
          <w:bCs/>
        </w:rPr>
        <w:t xml:space="preserve">DIVISION OF ELECTRIC &amp; GAS (BALLINGER, BULECZA-BANKS, COLSON, DILLMORE, FLOYD, GING) </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B72321">
        <w:rPr>
          <w:rFonts w:ascii="Courier New" w:hAnsi="Courier New" w:cs="Courier New"/>
          <w:b/>
          <w:bCs/>
        </w:rPr>
        <w:t>DIVISION OF AUDITING &amp; FINANCIAL ANALYSIS (MERTA, VANDIVER)</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B72321">
        <w:rPr>
          <w:rFonts w:ascii="Courier New" w:hAnsi="Courier New" w:cs="Courier New"/>
          <w:b/>
          <w:bCs/>
        </w:rPr>
        <w:t>DIVISION OF RESEARCH &amp; REGULATORY REVIEW (HEWITT)</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B72321">
        <w:rPr>
          <w:rFonts w:ascii="Courier New" w:hAnsi="Courier New" w:cs="Courier New"/>
          <w:b/>
          <w:bCs/>
        </w:rPr>
        <w:t>RE:</w:t>
      </w:r>
      <w:r w:rsidRPr="00B72321">
        <w:rPr>
          <w:rFonts w:ascii="Courier New" w:hAnsi="Courier New" w:cs="Courier New"/>
          <w:b/>
          <w:bCs/>
        </w:rPr>
        <w:tab/>
      </w:r>
      <w:r w:rsidRPr="00B72321">
        <w:rPr>
          <w:rFonts w:ascii="Courier New" w:hAnsi="Courier New" w:cs="Courier New"/>
          <w:b/>
          <w:bCs/>
        </w:rPr>
        <w:tab/>
        <w:t>DOCKET NO. 961378-EG - PROPOSED AMENDMENT OF RULE 25-17.015, F.A.C., ENERGY CONSERVATION COST RECOVERY</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B72321">
        <w:rPr>
          <w:rFonts w:ascii="Courier New" w:hAnsi="Courier New" w:cs="Courier New"/>
          <w:b/>
          <w:bCs/>
        </w:rPr>
        <w:t>AGENDA:</w:t>
      </w:r>
      <w:r w:rsidRPr="00B72321">
        <w:rPr>
          <w:rFonts w:ascii="Courier New" w:hAnsi="Courier New" w:cs="Courier New"/>
          <w:b/>
          <w:bCs/>
        </w:rPr>
        <w:tab/>
        <w:t>9/23/97 - REGULAR AGENDA - RULE ADOPTION - PARTICIPATION IS LIMITED TO COMMISSIONERS AND STAFF</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Courier New" w:hAnsi="Courier New" w:cs="Courier New"/>
          <w:b/>
          <w:bCs/>
        </w:rPr>
      </w:pPr>
      <w:r w:rsidRPr="00B72321">
        <w:rPr>
          <w:rFonts w:ascii="Courier New" w:hAnsi="Courier New" w:cs="Courier New"/>
          <w:b/>
          <w:bCs/>
        </w:rPr>
        <w:t>RULE STATUS:</w:t>
      </w:r>
      <w:r w:rsidRPr="00B72321">
        <w:rPr>
          <w:rFonts w:ascii="Courier New" w:hAnsi="Courier New" w:cs="Courier New"/>
          <w:b/>
          <w:bCs/>
        </w:rPr>
        <w:tab/>
        <w:t xml:space="preserve">ADOPTION MAY BE DEFERRED </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B72321">
        <w:rPr>
          <w:rFonts w:ascii="Courier New" w:hAnsi="Courier New" w:cs="Courier New"/>
          <w:b/>
          <w:bCs/>
        </w:rPr>
        <w:t>SPECIAL INSTRUCTIONS:  S:\PSC\APP\WP\961378AD.RCM</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B72321">
        <w:rPr>
          <w:rFonts w:ascii="Courier New" w:hAnsi="Courier New" w:cs="Courier New"/>
          <w:b/>
          <w:bCs/>
          <w:u w:val="single"/>
        </w:rPr>
        <w:t xml:space="preserve">                                                                 </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rPr>
      </w:pPr>
      <w:r w:rsidRPr="00B72321">
        <w:rPr>
          <w:rFonts w:ascii="Courier New" w:hAnsi="Courier New" w:cs="Courier New"/>
          <w:b/>
          <w:bCs/>
          <w:u w:val="single"/>
        </w:rPr>
        <w:t>CASE BACKGROUND</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B72321">
        <w:rPr>
          <w:rFonts w:ascii="Courier New" w:hAnsi="Courier New" w:cs="Courier New"/>
        </w:rPr>
        <w:t xml:space="preserve">    Tampa Electric Company (TECO), Florida Public Utilities Company  (FPUC), and Florida Power and Light Company (FPL) timely filed comments concerning the proposed amendments to Rule 25-17.015, Florida Administrative Code, which were published in the Florida Administrative Weekly on August 1, 1997.  Staff is recommending that changes be made to Rule 25</w:t>
      </w:r>
      <w:r w:rsidRPr="00B72321">
        <w:rPr>
          <w:rFonts w:ascii="Courier New" w:hAnsi="Courier New" w:cs="Courier New"/>
        </w:rPr>
        <w:noBreakHyphen/>
        <w:t>17.015 based on the comments as discussed below.</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B72321">
        <w:rPr>
          <w:rFonts w:ascii="Courier New" w:hAnsi="Courier New" w:cs="Courier New"/>
        </w:rPr>
        <w:tab/>
      </w:r>
      <w:r w:rsidRPr="00B72321">
        <w:rPr>
          <w:rFonts w:ascii="Courier New" w:hAnsi="Courier New" w:cs="Courier New"/>
          <w:b/>
          <w:bCs/>
          <w:u w:val="single"/>
        </w:rPr>
        <w:t>DISCUSSION OF ISSUES</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B72321">
        <w:rPr>
          <w:rFonts w:ascii="Courier New" w:hAnsi="Courier New" w:cs="Courier New"/>
          <w:b/>
          <w:bCs/>
          <w:u w:val="single"/>
        </w:rPr>
        <w:t xml:space="preserve">ISSUE </w:t>
      </w:r>
      <w:r w:rsidRPr="00B72321">
        <w:rPr>
          <w:rFonts w:ascii="Courier New" w:hAnsi="Courier New" w:cs="Courier New"/>
          <w:b/>
          <w:bCs/>
          <w:u w:val="single"/>
        </w:rPr>
        <w:fldChar w:fldCharType="begin"/>
      </w:r>
      <w:r w:rsidRPr="00B72321">
        <w:rPr>
          <w:rFonts w:ascii="Courier New" w:hAnsi="Courier New" w:cs="Courier New"/>
          <w:b/>
          <w:bCs/>
          <w:u w:val="single"/>
        </w:rPr>
        <w:instrText>LISTNUM 1 \l 1</w:instrText>
      </w:r>
      <w:r w:rsidRPr="00B72321">
        <w:rPr>
          <w:rFonts w:ascii="Courier New" w:hAnsi="Courier New" w:cs="Courier New"/>
          <w:b/>
          <w:bCs/>
          <w:u w:val="single"/>
        </w:rPr>
        <w:fldChar w:fldCharType="end"/>
      </w:r>
      <w:r w:rsidRPr="00B72321">
        <w:rPr>
          <w:rFonts w:ascii="Courier New" w:hAnsi="Courier New" w:cs="Courier New"/>
          <w:b/>
          <w:bCs/>
        </w:rPr>
        <w:t>:</w:t>
      </w:r>
      <w:r w:rsidRPr="00B72321">
        <w:rPr>
          <w:rFonts w:ascii="Courier New" w:hAnsi="Courier New" w:cs="Courier New"/>
        </w:rPr>
        <w:t xml:space="preserve">  Should the Commission adopt amendments to Rule 25-17.015, F.A.C., Energy Conservation Cost Recovery, with changes?</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B72321">
        <w:rPr>
          <w:rFonts w:ascii="Courier New" w:hAnsi="Courier New" w:cs="Courier New"/>
          <w:b/>
          <w:bCs/>
          <w:u w:val="single"/>
        </w:rPr>
        <w:lastRenderedPageBreak/>
        <w:t>RECOMMENDATION</w:t>
      </w:r>
      <w:r w:rsidRPr="00B72321">
        <w:rPr>
          <w:rFonts w:ascii="Courier New" w:hAnsi="Courier New" w:cs="Courier New"/>
          <w:b/>
          <w:bCs/>
        </w:rPr>
        <w:t>:</w:t>
      </w:r>
      <w:r w:rsidRPr="00B72321">
        <w:rPr>
          <w:rFonts w:ascii="Courier New" w:hAnsi="Courier New" w:cs="Courier New"/>
        </w:rPr>
        <w:t xml:space="preserve">  Yes, the rule should be adopted with the attached  redlined changes based on timely filed comments.</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B72321">
        <w:rPr>
          <w:rFonts w:ascii="Courier New" w:hAnsi="Courier New" w:cs="Courier New"/>
          <w:b/>
          <w:bCs/>
          <w:u w:val="single"/>
        </w:rPr>
        <w:t>STAFF ANALYSIS</w:t>
      </w:r>
      <w:r w:rsidRPr="00B72321">
        <w:rPr>
          <w:rFonts w:ascii="Courier New" w:hAnsi="Courier New" w:cs="Courier New"/>
          <w:b/>
          <w:bCs/>
        </w:rPr>
        <w:t>:</w:t>
      </w:r>
      <w:r w:rsidRPr="00B72321">
        <w:rPr>
          <w:rFonts w:ascii="Courier New" w:hAnsi="Courier New" w:cs="Courier New"/>
        </w:rPr>
        <w:t xml:space="preserve">  Staff recommends the Commission adopt the changes suggested by FPUC and TECO, as discussed below.  Staff, however, does not recommend adopting the changes suggested by FPL.</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BE4DB2" w:rsidRPr="00B72321">
          <w:pgSz w:w="12240" w:h="15840"/>
          <w:pgMar w:top="1440" w:right="1440" w:bottom="1440" w:left="1440" w:header="1440" w:footer="1440" w:gutter="0"/>
          <w:cols w:space="720"/>
          <w:noEndnote/>
        </w:sect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B72321">
        <w:rPr>
          <w:rFonts w:ascii="Courier New" w:hAnsi="Courier New" w:cs="Courier New"/>
          <w:b/>
          <w:bCs/>
        </w:rPr>
        <w:lastRenderedPageBreak/>
        <w:t>Subsection (2) - Accounting for Program Specific Revenues</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B72321">
        <w:rPr>
          <w:rFonts w:ascii="Courier New" w:hAnsi="Courier New" w:cs="Courier New"/>
        </w:rPr>
        <w:t>Subsection (2) requires utilities to track revenues derived from each program in a separate subaccount.  When the rule amendments were proposed, staff overzealously recommended striking the qualifier that only customer specific revenues must be tracked.  Based on comments filed by FPUC, staff recommends this qualifier be added back to the rule by adopting the redlined changes to subsection (2).</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B72321">
        <w:rPr>
          <w:rFonts w:ascii="Courier New" w:hAnsi="Courier New" w:cs="Courier New"/>
          <w:b/>
          <w:bCs/>
        </w:rPr>
        <w:t>Subsection (4) - Cost Recovery Prior to Program Approval</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B72321">
        <w:rPr>
          <w:rFonts w:ascii="Courier New" w:hAnsi="Courier New" w:cs="Courier New"/>
        </w:rPr>
        <w:t>The intent of subsection (4) is to require utilities to obtain prior approval before seeking cost recovery for new or modified conservation programs.  Although utilities cannot recover rebates or incentives paid out prior to program approval, utilities may recover prudent program implementation costs incurred prior to program approval.  TECO suggested changes to this subsection to make it clearer.  Staff agrees that TECO</w:t>
      </w:r>
      <w:r w:rsidRPr="00B72321">
        <w:rPr>
          <w:rFonts w:ascii="Courier New" w:hAnsi="Courier New" w:cs="Courier New"/>
        </w:rPr>
        <w:sym w:font="WP TypographicSymbols" w:char="003D"/>
      </w:r>
      <w:r w:rsidRPr="00B72321">
        <w:rPr>
          <w:rFonts w:ascii="Courier New" w:hAnsi="Courier New" w:cs="Courier New"/>
        </w:rPr>
        <w:t>s suggested language is, for the most part, easier to understand.  However, staff disagrees that developmental costs should also be recovered through the clause as recommended by TECO.  Staff recommends that the attached redlined changes, based on TECO</w:t>
      </w:r>
      <w:r w:rsidRPr="00B72321">
        <w:rPr>
          <w:rFonts w:ascii="Courier New" w:hAnsi="Courier New" w:cs="Courier New"/>
        </w:rPr>
        <w:sym w:font="WP TypographicSymbols" w:char="003D"/>
      </w:r>
      <w:r w:rsidRPr="00B72321">
        <w:rPr>
          <w:rFonts w:ascii="Courier New" w:hAnsi="Courier New" w:cs="Courier New"/>
        </w:rPr>
        <w:t xml:space="preserve">s comments, be adopted. </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B72321">
        <w:rPr>
          <w:rFonts w:ascii="Courier New" w:hAnsi="Courier New" w:cs="Courier New"/>
          <w:b/>
          <w:bCs/>
        </w:rPr>
        <w:t>Subsection (5) - Cost Recovery and Filing Requirements Associated with Advertising Expenses</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B72321">
        <w:rPr>
          <w:rFonts w:ascii="Courier New" w:hAnsi="Courier New" w:cs="Courier New"/>
        </w:rPr>
        <w:t xml:space="preserve">The proposed rule amendments preclude cost recovery of advertising expenses for advertisements that </w:t>
      </w:r>
      <w:r w:rsidRPr="00B72321">
        <w:rPr>
          <w:rFonts w:ascii="Courier New" w:hAnsi="Courier New" w:cs="Courier New"/>
        </w:rPr>
        <w:sym w:font="WP TypographicSymbols" w:char="0041"/>
      </w:r>
      <w:r w:rsidRPr="00B72321">
        <w:rPr>
          <w:rFonts w:ascii="Courier New" w:hAnsi="Courier New" w:cs="Courier New"/>
        </w:rPr>
        <w:t>mention a competing energy source.</w:t>
      </w:r>
      <w:r w:rsidRPr="00B72321">
        <w:rPr>
          <w:rFonts w:ascii="Courier New" w:hAnsi="Courier New" w:cs="Courier New"/>
        </w:rPr>
        <w:sym w:font="WP TypographicSymbols" w:char="0040"/>
      </w:r>
      <w:r w:rsidRPr="00B72321">
        <w:rPr>
          <w:rFonts w:ascii="Courier New" w:hAnsi="Courier New" w:cs="Courier New"/>
        </w:rPr>
        <w:t xml:space="preserve">  FPL takes issue with this prohibition arguing it is </w:t>
      </w:r>
      <w:r w:rsidRPr="00B72321">
        <w:rPr>
          <w:rFonts w:ascii="Courier New" w:hAnsi="Courier New" w:cs="Courier New"/>
        </w:rPr>
        <w:sym w:font="WP TypographicSymbols" w:char="0041"/>
      </w:r>
      <w:r w:rsidRPr="00B72321">
        <w:rPr>
          <w:rFonts w:ascii="Courier New" w:hAnsi="Courier New" w:cs="Courier New"/>
        </w:rPr>
        <w:t>too prescriptive and will result in more rather than less customer confusion.</w:t>
      </w:r>
      <w:r w:rsidRPr="00B72321">
        <w:rPr>
          <w:rFonts w:ascii="Courier New" w:hAnsi="Courier New" w:cs="Courier New"/>
        </w:rPr>
        <w:sym w:font="WP TypographicSymbols" w:char="0040"/>
      </w:r>
      <w:r w:rsidRPr="00B72321">
        <w:rPr>
          <w:rFonts w:ascii="Courier New" w:hAnsi="Courier New" w:cs="Courier New"/>
        </w:rPr>
        <w:t xml:space="preserve">  (FPL comments at 1)</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B72321">
        <w:rPr>
          <w:rFonts w:ascii="Courier New" w:hAnsi="Courier New" w:cs="Courier New"/>
        </w:rPr>
        <w:t>This prohibition implements Section 366.82(5), Florida Statutes, which states in pertinent part:</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B72321">
        <w:rPr>
          <w:rFonts w:ascii="Courier New" w:hAnsi="Courier New" w:cs="Courier New"/>
        </w:rPr>
        <w:t>Reasonable and prudent unreimbursed costs projected to be incurred, or any portion of such costs, may be added to the rates which would otherwise be charged by a utility upon approval by the commission, provided that the commission shall not allow the recovery of the cost of any company image</w:t>
      </w:r>
      <w:r w:rsidRPr="00B72321">
        <w:rPr>
          <w:rFonts w:ascii="Courier New" w:hAnsi="Courier New" w:cs="Courier New"/>
        </w:rPr>
        <w:noBreakHyphen/>
        <w:t xml:space="preserve">enhancing advertising or of any </w:t>
      </w:r>
      <w:r w:rsidRPr="00B72321">
        <w:rPr>
          <w:rFonts w:ascii="Courier New" w:hAnsi="Courier New" w:cs="Courier New"/>
        </w:rPr>
        <w:lastRenderedPageBreak/>
        <w:t>advertising not directly related to an approved conservation program.</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BE4DB2" w:rsidRPr="00B72321">
          <w:headerReference w:type="default" r:id="rId8"/>
          <w:footerReference w:type="default" r:id="rId9"/>
          <w:type w:val="continuous"/>
          <w:pgSz w:w="12240" w:h="15840"/>
          <w:pgMar w:top="1440" w:right="1440" w:bottom="1440" w:left="1440" w:header="1440" w:footer="1440" w:gutter="0"/>
          <w:cols w:space="720"/>
          <w:noEndnote/>
        </w:sect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B72321">
        <w:rPr>
          <w:rFonts w:ascii="Courier New" w:hAnsi="Courier New" w:cs="Courier New"/>
        </w:rPr>
        <w:lastRenderedPageBreak/>
        <w:t>According to FPL, the proposed rule goes beyond Section 366.82(5) and, thus, revises or extends the statute instead of implementing it.  FPL argues that only two types of advertisements are prohibited by the statute -- image-enhancing advertisements and advertisements not directly related to an approved conservation program.</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B72321">
        <w:rPr>
          <w:rFonts w:ascii="Courier New" w:hAnsi="Courier New" w:cs="Courier New"/>
        </w:rPr>
        <w:t>Perhaps staff failed to state the obvious in its recommendation to propose amendments to the rule.  Advertisements that tout one energy source over another are image enhancing.  Electric utility advertisements that state electricity is better than natural gas, and vice versa, are clearly image enhancing.</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B72321">
        <w:rPr>
          <w:rFonts w:ascii="Courier New" w:hAnsi="Courier New" w:cs="Courier New"/>
        </w:rPr>
        <w:t>Furthermore, contrary to FPL</w:t>
      </w:r>
      <w:r w:rsidRPr="00B72321">
        <w:rPr>
          <w:rFonts w:ascii="Courier New" w:hAnsi="Courier New" w:cs="Courier New"/>
        </w:rPr>
        <w:sym w:font="WP TypographicSymbols" w:char="003D"/>
      </w:r>
      <w:r w:rsidRPr="00B72321">
        <w:rPr>
          <w:rFonts w:ascii="Courier New" w:hAnsi="Courier New" w:cs="Courier New"/>
        </w:rPr>
        <w:t>s assertions, under the express terms of the statute, the Commission may disallow cost recovery for advertisements other than those that are image-enhancing or that are not directly related to an approved conservation program.  The Legislature clearly intended that the costs of the two types of advertisements mentioned above may not be recovered through the conservation clause.  However, in doing so, the Legislature did not remove the Commission</w:t>
      </w:r>
      <w:r w:rsidRPr="00B72321">
        <w:rPr>
          <w:rFonts w:ascii="Courier New" w:hAnsi="Courier New" w:cs="Courier New"/>
        </w:rPr>
        <w:sym w:font="WP TypographicSymbols" w:char="003D"/>
      </w:r>
      <w:r w:rsidRPr="00B72321">
        <w:rPr>
          <w:rFonts w:ascii="Courier New" w:hAnsi="Courier New" w:cs="Courier New"/>
        </w:rPr>
        <w:t xml:space="preserve">s discretion to find other types of advertisements to be unreasonable or imprudent and, therefore, to disallow costs associated with them.  </w:t>
      </w:r>
      <w:r w:rsidRPr="00B72321">
        <w:rPr>
          <w:rFonts w:ascii="Courier New" w:hAnsi="Courier New" w:cs="Courier New"/>
          <w:u w:val="single"/>
        </w:rPr>
        <w:t>Florida Waterworks Ass</w:t>
      </w:r>
      <w:r w:rsidRPr="00B72321">
        <w:rPr>
          <w:rFonts w:ascii="Courier New" w:hAnsi="Courier New" w:cs="Courier New"/>
          <w:u w:val="single"/>
        </w:rPr>
        <w:sym w:font="WP TypographicSymbols" w:char="003D"/>
      </w:r>
      <w:r w:rsidRPr="00B72321">
        <w:rPr>
          <w:rFonts w:ascii="Courier New" w:hAnsi="Courier New" w:cs="Courier New"/>
          <w:u w:val="single"/>
        </w:rPr>
        <w:t>n v. Florida Pub. Serv. Comm</w:t>
      </w:r>
      <w:r w:rsidRPr="00B72321">
        <w:rPr>
          <w:rFonts w:ascii="Courier New" w:hAnsi="Courier New" w:cs="Courier New"/>
          <w:u w:val="single"/>
        </w:rPr>
        <w:sym w:font="WP TypographicSymbols" w:char="003D"/>
      </w:r>
      <w:r w:rsidRPr="00B72321">
        <w:rPr>
          <w:rFonts w:ascii="Courier New" w:hAnsi="Courier New" w:cs="Courier New"/>
          <w:u w:val="single"/>
        </w:rPr>
        <w:t>n</w:t>
      </w:r>
      <w:r w:rsidRPr="00B72321">
        <w:rPr>
          <w:rFonts w:ascii="Courier New" w:hAnsi="Courier New" w:cs="Courier New"/>
        </w:rPr>
        <w:t xml:space="preserve">, 473 So. 2d 237, 240 (Fla. 1st DCA 1985)(citation omitted)(The Commission has wide discretion to interpret the statutes which it administers </w:t>
      </w:r>
      <w:r w:rsidRPr="00B72321">
        <w:rPr>
          <w:rFonts w:ascii="Courier New" w:hAnsi="Courier New" w:cs="Courier New"/>
        </w:rPr>
        <w:sym w:font="WP TypographicSymbols" w:char="0041"/>
      </w:r>
      <w:r w:rsidRPr="00B72321">
        <w:rPr>
          <w:rFonts w:ascii="Courier New" w:hAnsi="Courier New" w:cs="Courier New"/>
        </w:rPr>
        <w:t>and will not be overturned on appeal unless clearly erroneous.</w:t>
      </w:r>
      <w:r w:rsidRPr="00B72321">
        <w:rPr>
          <w:rFonts w:ascii="Courier New" w:hAnsi="Courier New" w:cs="Courier New"/>
        </w:rPr>
        <w:sym w:font="WP TypographicSymbols" w:char="0040"/>
      </w:r>
      <w:r w:rsidRPr="00B72321">
        <w:rPr>
          <w:rFonts w:ascii="Courier New" w:hAnsi="Courier New" w:cs="Courier New"/>
        </w:rPr>
        <w:t>).</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B72321">
        <w:rPr>
          <w:rFonts w:ascii="Courier New" w:hAnsi="Courier New" w:cs="Courier New"/>
        </w:rPr>
        <w:t>As staff recommended when the rule amendments were proposed, the proposed version makes clear the Commission</w:t>
      </w:r>
      <w:r w:rsidRPr="00B72321">
        <w:rPr>
          <w:rFonts w:ascii="Courier New" w:hAnsi="Courier New" w:cs="Courier New"/>
        </w:rPr>
        <w:sym w:font="WP TypographicSymbols" w:char="003D"/>
      </w:r>
      <w:r w:rsidRPr="00B72321">
        <w:rPr>
          <w:rFonts w:ascii="Courier New" w:hAnsi="Courier New" w:cs="Courier New"/>
        </w:rPr>
        <w:t>s implementation of the Legislative mandate in Section 366.82(5), Florida Statutes.</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B72321">
        <w:rPr>
          <w:rFonts w:ascii="Courier New" w:hAnsi="Courier New" w:cs="Courier New"/>
        </w:rPr>
        <w:t>FPL also disputes staff</w:t>
      </w:r>
      <w:r w:rsidRPr="00B72321">
        <w:rPr>
          <w:rFonts w:ascii="Courier New" w:hAnsi="Courier New" w:cs="Courier New"/>
        </w:rPr>
        <w:sym w:font="WP TypographicSymbols" w:char="003D"/>
      </w:r>
      <w:r w:rsidRPr="00B72321">
        <w:rPr>
          <w:rFonts w:ascii="Courier New" w:hAnsi="Courier New" w:cs="Courier New"/>
        </w:rPr>
        <w:t xml:space="preserve">s argument that the Florida Energy Efficiency and Conservation Act (FEECA) did not intend for conservation programs to be used as a competitive tool.  According to FPL, staff </w:t>
      </w:r>
      <w:r w:rsidRPr="00B72321">
        <w:rPr>
          <w:rFonts w:ascii="Courier New" w:hAnsi="Courier New" w:cs="Courier New"/>
        </w:rPr>
        <w:sym w:font="WP TypographicSymbols" w:char="0041"/>
      </w:r>
      <w:r w:rsidRPr="00B72321">
        <w:rPr>
          <w:rFonts w:ascii="Courier New" w:hAnsi="Courier New" w:cs="Courier New"/>
        </w:rPr>
        <w:t>is reading into a neutral statute an intent which is not evidenced anywhere in the language or the history of the Act.</w:t>
      </w:r>
      <w:r w:rsidRPr="00B72321">
        <w:rPr>
          <w:rFonts w:ascii="Courier New" w:hAnsi="Courier New" w:cs="Courier New"/>
        </w:rPr>
        <w:sym w:font="WP TypographicSymbols" w:char="0040"/>
      </w:r>
      <w:r w:rsidRPr="00B72321">
        <w:rPr>
          <w:rFonts w:ascii="Courier New" w:hAnsi="Courier New" w:cs="Courier New"/>
        </w:rPr>
        <w:t xml:space="preserve">  (FPL Comments at 3)  Staff maintains that utilities should not be allowed to use FEECA to gain a competitive edge over rivals, especially since competition does not ensure conservation.  Again, FPL</w:t>
      </w:r>
      <w:r w:rsidRPr="00B72321">
        <w:rPr>
          <w:rFonts w:ascii="Courier New" w:hAnsi="Courier New" w:cs="Courier New"/>
        </w:rPr>
        <w:sym w:font="WP TypographicSymbols" w:char="003D"/>
      </w:r>
      <w:r w:rsidRPr="00B72321">
        <w:rPr>
          <w:rFonts w:ascii="Courier New" w:hAnsi="Courier New" w:cs="Courier New"/>
        </w:rPr>
        <w:t>s arguments overlook the Commission</w:t>
      </w:r>
      <w:r w:rsidRPr="00B72321">
        <w:rPr>
          <w:rFonts w:ascii="Courier New" w:hAnsi="Courier New" w:cs="Courier New"/>
        </w:rPr>
        <w:sym w:font="WP TypographicSymbols" w:char="003D"/>
      </w:r>
      <w:r w:rsidRPr="00B72321">
        <w:rPr>
          <w:rFonts w:ascii="Courier New" w:hAnsi="Courier New" w:cs="Courier New"/>
        </w:rPr>
        <w:t xml:space="preserve">s wide discretion in </w:t>
      </w:r>
      <w:r w:rsidRPr="00B72321">
        <w:rPr>
          <w:rFonts w:ascii="Courier New" w:hAnsi="Courier New" w:cs="Courier New"/>
        </w:rPr>
        <w:lastRenderedPageBreak/>
        <w:t xml:space="preserve">interpreting the statutes it administers.  </w:t>
      </w:r>
      <w:r w:rsidRPr="00B72321">
        <w:rPr>
          <w:rFonts w:ascii="Courier New" w:hAnsi="Courier New" w:cs="Courier New"/>
          <w:u w:val="single"/>
        </w:rPr>
        <w:t>Florida Waterworks</w:t>
      </w:r>
      <w:r w:rsidRPr="00B72321">
        <w:rPr>
          <w:rFonts w:ascii="Courier New" w:hAnsi="Courier New" w:cs="Courier New"/>
        </w:rPr>
        <w:t>, 473 So. 2d at 240.</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BE4DB2" w:rsidRPr="00B72321">
          <w:type w:val="continuous"/>
          <w:pgSz w:w="12240" w:h="15840"/>
          <w:pgMar w:top="1440" w:right="1440" w:bottom="1440" w:left="1440" w:header="1440" w:footer="1440" w:gutter="0"/>
          <w:cols w:space="720"/>
          <w:noEndnote/>
        </w:sect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B72321">
        <w:rPr>
          <w:rFonts w:ascii="Courier New" w:hAnsi="Courier New" w:cs="Courier New"/>
        </w:rPr>
        <w:lastRenderedPageBreak/>
        <w:t xml:space="preserve">In addition, FPL argues that in Order No. PSC-97-0927-FOF-EI, closing Docket No. 970046-EI - </w:t>
      </w:r>
      <w:r w:rsidRPr="00B72321">
        <w:rPr>
          <w:rFonts w:ascii="Courier New" w:hAnsi="Courier New" w:cs="Courier New"/>
          <w:u w:val="single"/>
        </w:rPr>
        <w:t>In re: Investigation into the appropriate cost recovery of marginally cost-effective electric utility sponsored demand-side management programs</w:t>
      </w:r>
      <w:r w:rsidRPr="00B72321">
        <w:rPr>
          <w:rFonts w:ascii="Courier New" w:hAnsi="Courier New" w:cs="Courier New"/>
        </w:rPr>
        <w:t xml:space="preserve">, issued August 4, 1997, the Commission indicated </w:t>
      </w:r>
      <w:r w:rsidRPr="00B72321">
        <w:rPr>
          <w:rFonts w:ascii="Courier New" w:hAnsi="Courier New" w:cs="Courier New"/>
        </w:rPr>
        <w:sym w:font="WP TypographicSymbols" w:char="0041"/>
      </w:r>
      <w:r w:rsidRPr="00B72321">
        <w:rPr>
          <w:rFonts w:ascii="Courier New" w:hAnsi="Courier New" w:cs="Courier New"/>
        </w:rPr>
        <w:t xml:space="preserve">it </w:t>
      </w:r>
      <w:r w:rsidRPr="00B72321">
        <w:rPr>
          <w:rFonts w:ascii="Courier New" w:hAnsi="Courier New" w:cs="Courier New"/>
          <w:u w:val="single"/>
        </w:rPr>
        <w:t>may</w:t>
      </w:r>
      <w:r w:rsidRPr="00B72321">
        <w:rPr>
          <w:rFonts w:ascii="Courier New" w:hAnsi="Courier New" w:cs="Courier New"/>
        </w:rPr>
        <w:t xml:space="preserve"> consider this very issue [of fuel neutrality] in upcoming conservation goals proceedings.</w:t>
      </w:r>
      <w:r w:rsidRPr="00B72321">
        <w:rPr>
          <w:rFonts w:ascii="Courier New" w:hAnsi="Courier New" w:cs="Courier New"/>
        </w:rPr>
        <w:sym w:font="WP TypographicSymbols" w:char="0040"/>
      </w:r>
      <w:r w:rsidRPr="00B72321">
        <w:rPr>
          <w:rFonts w:ascii="Courier New" w:hAnsi="Courier New" w:cs="Courier New"/>
        </w:rPr>
        <w:t xml:space="preserve">  (FPL Comments at 3)(Emphasis added)  Therefore, FPL does not believe it is appropriate to prohibit cost recovery now, especially since it denies the </w:t>
      </w:r>
      <w:r w:rsidRPr="00B72321">
        <w:rPr>
          <w:rFonts w:ascii="Courier New" w:hAnsi="Courier New" w:cs="Courier New"/>
        </w:rPr>
        <w:sym w:font="WP TypographicSymbols" w:char="0041"/>
      </w:r>
      <w:r w:rsidRPr="00B72321">
        <w:rPr>
          <w:rFonts w:ascii="Courier New" w:hAnsi="Courier New" w:cs="Courier New"/>
        </w:rPr>
        <w:t>reality that electric and gas competition will continue through DSM even if cost recovery of advertising is improperly prohibited.</w:t>
      </w:r>
      <w:r w:rsidRPr="00B72321">
        <w:rPr>
          <w:rFonts w:ascii="Courier New" w:hAnsi="Courier New" w:cs="Courier New"/>
        </w:rPr>
        <w:sym w:font="WP TypographicSymbols" w:char="0040"/>
      </w:r>
      <w:r w:rsidRPr="00B72321">
        <w:rPr>
          <w:rFonts w:ascii="Courier New" w:hAnsi="Courier New" w:cs="Courier New"/>
        </w:rPr>
        <w:t xml:space="preserve">  (FPL Comments at 4)  In Order No. PSC-97-0927-FOF-EI, the Commisison did mention that there is disagreement over whether the competitive use of DSM programs should be funded through the energy conservation cost recovery (ECCR) clause.  (Order No. PSC-97-0927-FOF-EI at 2)  The Commission also remarked that </w:t>
      </w:r>
      <w:r w:rsidRPr="00B72321">
        <w:rPr>
          <w:rFonts w:ascii="Courier New" w:hAnsi="Courier New" w:cs="Courier New"/>
        </w:rPr>
        <w:sym w:font="WP TypographicSymbols" w:char="0041"/>
      </w:r>
      <w:r w:rsidRPr="00B72321">
        <w:rPr>
          <w:rFonts w:ascii="Courier New" w:hAnsi="Courier New" w:cs="Courier New"/>
        </w:rPr>
        <w:t>[m]any issues relating to the use of DSM for competitive purposes can be considered in the goal setting proceedings.</w:t>
      </w:r>
      <w:r w:rsidRPr="00B72321">
        <w:rPr>
          <w:rFonts w:ascii="Courier New" w:hAnsi="Courier New" w:cs="Courier New"/>
        </w:rPr>
        <w:sym w:font="WP TypographicSymbols" w:char="0040"/>
      </w:r>
      <w:r w:rsidRPr="00B72321">
        <w:rPr>
          <w:rFonts w:ascii="Courier New" w:hAnsi="Courier New" w:cs="Courier New"/>
        </w:rPr>
        <w:t xml:space="preserve">  </w:t>
      </w:r>
      <w:r w:rsidRPr="00B72321">
        <w:rPr>
          <w:rFonts w:ascii="Courier New" w:hAnsi="Courier New" w:cs="Courier New"/>
          <w:u w:val="single"/>
        </w:rPr>
        <w:t>Id</w:t>
      </w:r>
      <w:r w:rsidRPr="00B72321">
        <w:rPr>
          <w:rFonts w:ascii="Courier New" w:hAnsi="Courier New" w:cs="Courier New"/>
        </w:rPr>
        <w:t xml:space="preserve">. at 2-3.  However, the Commission never stated that it would ultimately rule on the appropriateness of cost recovery of competitive DSM programs under FEECA through the ECCR clause in the next conservation goals setting docket.  Moreover, the Commission stated that goals may be set as late as October 1999.  </w:t>
      </w:r>
      <w:r w:rsidRPr="00B72321">
        <w:rPr>
          <w:rFonts w:ascii="Courier New" w:hAnsi="Courier New" w:cs="Courier New"/>
          <w:u w:val="single"/>
        </w:rPr>
        <w:t>Id</w:t>
      </w:r>
      <w:r w:rsidRPr="00B72321">
        <w:rPr>
          <w:rFonts w:ascii="Courier New" w:hAnsi="Courier New" w:cs="Courier New"/>
        </w:rPr>
        <w:t>. at 2.  If the Commission later finds that cost recovery should be permitted for advertisements that mention a competing energy source, Rule 25-17.015 can be amended.  The policy espoused by the proposed rule, however, is appropriate under the Commission</w:t>
      </w:r>
      <w:r w:rsidRPr="00B72321">
        <w:rPr>
          <w:rFonts w:ascii="Courier New" w:hAnsi="Courier New" w:cs="Courier New"/>
        </w:rPr>
        <w:sym w:font="WP TypographicSymbols" w:char="003D"/>
      </w:r>
      <w:r w:rsidRPr="00B72321">
        <w:rPr>
          <w:rFonts w:ascii="Courier New" w:hAnsi="Courier New" w:cs="Courier New"/>
        </w:rPr>
        <w:t>s current reading of FEECA.</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B72321">
        <w:rPr>
          <w:rFonts w:ascii="Courier New" w:hAnsi="Courier New" w:cs="Courier New"/>
        </w:rPr>
        <w:t>FPL also disputes staff</w:t>
      </w:r>
      <w:r w:rsidRPr="00B72321">
        <w:rPr>
          <w:rFonts w:ascii="Courier New" w:hAnsi="Courier New" w:cs="Courier New"/>
        </w:rPr>
        <w:sym w:font="WP TypographicSymbols" w:char="003D"/>
      </w:r>
      <w:r w:rsidRPr="00B72321">
        <w:rPr>
          <w:rFonts w:ascii="Courier New" w:hAnsi="Courier New" w:cs="Courier New"/>
        </w:rPr>
        <w:t>s rationale that advertisements which mention a competing energy source may cause customer confusion.  When electric utilities state that electricity is better than natural gas, and natural gas utilities state that natural gas is better than electricity, customers often become confused.  FPL asserts that it is better to risk customer confusion than to leave customers in the dark about viable alternatives which the utilities are obligated to promote.  Staff still recommends that the Commission should not advance a policy that may cause customer confusion.</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B72321">
        <w:rPr>
          <w:rFonts w:ascii="Courier New" w:hAnsi="Courier New" w:cs="Courier New"/>
        </w:rPr>
        <w:t xml:space="preserve">In addition, FPL argues that if it develops gas measures in the future, the utility would not be able to promote them under the proposed version of the rule.  Staff disagrees.  If FPL offers a Commission-approved gas program, the rule would not prohibit the </w:t>
      </w:r>
      <w:r w:rsidRPr="00B72321">
        <w:rPr>
          <w:rFonts w:ascii="Courier New" w:hAnsi="Courier New" w:cs="Courier New"/>
        </w:rPr>
        <w:lastRenderedPageBreak/>
        <w:t>utility from recovering advertisement expenses associated with the measure since it would be FPL that is offering the gas program.</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B72321">
        <w:rPr>
          <w:rFonts w:ascii="Courier New" w:hAnsi="Courier New" w:cs="Courier New"/>
        </w:rPr>
        <w:t xml:space="preserve">  </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BE4DB2" w:rsidRPr="00B72321">
          <w:type w:val="continuous"/>
          <w:pgSz w:w="12240" w:h="15840"/>
          <w:pgMar w:top="1440" w:right="1440" w:bottom="1440" w:left="1440" w:header="1440" w:footer="1440" w:gutter="0"/>
          <w:cols w:space="720"/>
          <w:noEndnote/>
        </w:sectPr>
      </w:pP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B72321">
        <w:rPr>
          <w:rFonts w:ascii="Courier New" w:hAnsi="Courier New" w:cs="Courier New"/>
        </w:rPr>
        <w:lastRenderedPageBreak/>
        <w:t xml:space="preserve">Finally, the proposed rule also requires utilities to file </w:t>
      </w:r>
      <w:r w:rsidRPr="00B72321">
        <w:rPr>
          <w:rFonts w:ascii="Courier New" w:hAnsi="Courier New" w:cs="Courier New"/>
        </w:rPr>
        <w:sym w:font="WP TypographicSymbols" w:char="0041"/>
      </w:r>
      <w:r w:rsidRPr="00B72321">
        <w:rPr>
          <w:rFonts w:ascii="Courier New" w:hAnsi="Courier New" w:cs="Courier New"/>
        </w:rPr>
        <w:t>all data sources and calculations used to substantiate [energy savings] claims.</w:t>
      </w:r>
      <w:r w:rsidRPr="00B72321">
        <w:rPr>
          <w:rFonts w:ascii="Courier New" w:hAnsi="Courier New" w:cs="Courier New"/>
        </w:rPr>
        <w:sym w:font="WP TypographicSymbols" w:char="0040"/>
      </w:r>
      <w:r w:rsidRPr="00B72321">
        <w:rPr>
          <w:rFonts w:ascii="Courier New" w:hAnsi="Courier New" w:cs="Courier New"/>
        </w:rPr>
        <w:t xml:space="preserve">  FPL also takes issue with this requirement.  According to FPL, </w:t>
      </w:r>
      <w:r w:rsidRPr="00B72321">
        <w:rPr>
          <w:rFonts w:ascii="Courier New" w:hAnsi="Courier New" w:cs="Courier New"/>
        </w:rPr>
        <w:sym w:font="WP TypographicSymbols" w:char="0041"/>
      </w:r>
      <w:r w:rsidRPr="00B72321">
        <w:rPr>
          <w:rFonts w:ascii="Courier New" w:hAnsi="Courier New" w:cs="Courier New"/>
        </w:rPr>
        <w:t>this filing requirement is unnecessary and wasteful and commits to the rule a matter best left for discovery by interested parties.</w:t>
      </w:r>
      <w:r w:rsidRPr="00B72321">
        <w:rPr>
          <w:rFonts w:ascii="Courier New" w:hAnsi="Courier New" w:cs="Courier New"/>
        </w:rPr>
        <w:sym w:font="WP TypographicSymbols" w:char="0040"/>
      </w:r>
      <w:r w:rsidRPr="00B72321">
        <w:rPr>
          <w:rFonts w:ascii="Courier New" w:hAnsi="Courier New" w:cs="Courier New"/>
        </w:rPr>
        <w:t xml:space="preserve">  (FPL comments at 1)  FPL also believes this filing requirement will have a chilling effect on advertising.  Staff maintains that this information will allow staff and other interested persons to verify advertising claims.  Furthermore, this requirement will ensure accountability and truth in utility advertising.  In addition, the results of the filing requirement may very well demonstrate the need for additional discovery. </w:t>
      </w:r>
    </w:p>
    <w:p w:rsidR="00BE4DB2" w:rsidRPr="00B72321" w:rsidRDefault="00BE4D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BE4DB2" w:rsidRPr="00B72321" w:rsidRDefault="00BE4DB2">
      <w:pPr>
        <w:widowControl/>
        <w:tabs>
          <w:tab w:val="left" w:pos="-1440"/>
          <w:tab w:val="left" w:pos="-720"/>
          <w:tab w:val="left" w:pos="720"/>
          <w:tab w:val="left" w:pos="1440"/>
          <w:tab w:val="left" w:pos="2160"/>
          <w:tab w:val="left" w:pos="4320"/>
          <w:tab w:val="left" w:pos="5040"/>
        </w:tabs>
        <w:jc w:val="both"/>
        <w:rPr>
          <w:rFonts w:ascii="Courier New" w:hAnsi="Courier New" w:cs="Courier New"/>
          <w:b/>
          <w:bCs/>
        </w:rPr>
      </w:pPr>
    </w:p>
    <w:p w:rsidR="00BE4DB2" w:rsidRPr="00B72321" w:rsidRDefault="00BE4DB2">
      <w:pPr>
        <w:widowControl/>
        <w:tabs>
          <w:tab w:val="left" w:pos="-1440"/>
          <w:tab w:val="left" w:pos="-720"/>
          <w:tab w:val="left" w:pos="720"/>
          <w:tab w:val="left" w:pos="1440"/>
          <w:tab w:val="left" w:pos="2160"/>
          <w:tab w:val="left" w:pos="4320"/>
          <w:tab w:val="left" w:pos="5040"/>
        </w:tabs>
        <w:jc w:val="both"/>
        <w:rPr>
          <w:rFonts w:ascii="Courier New" w:hAnsi="Courier New" w:cs="Courier New"/>
          <w:b/>
          <w:bCs/>
        </w:rPr>
      </w:pPr>
    </w:p>
    <w:p w:rsidR="00BE4DB2" w:rsidRPr="00B72321" w:rsidRDefault="00BE4DB2">
      <w:pPr>
        <w:widowControl/>
        <w:tabs>
          <w:tab w:val="left" w:pos="-1440"/>
          <w:tab w:val="left" w:pos="-720"/>
          <w:tab w:val="left" w:pos="720"/>
          <w:tab w:val="left" w:pos="1440"/>
          <w:tab w:val="left" w:pos="2160"/>
          <w:tab w:val="left" w:pos="4320"/>
          <w:tab w:val="left" w:pos="5040"/>
        </w:tabs>
        <w:jc w:val="both"/>
        <w:rPr>
          <w:rFonts w:ascii="Courier New" w:hAnsi="Courier New" w:cs="Courier New"/>
        </w:rPr>
      </w:pPr>
      <w:r w:rsidRPr="00B72321">
        <w:rPr>
          <w:rFonts w:ascii="Courier New" w:hAnsi="Courier New" w:cs="Courier New"/>
          <w:b/>
          <w:bCs/>
          <w:u w:val="single"/>
        </w:rPr>
        <w:t>ISSUE 2:</w:t>
      </w:r>
      <w:r w:rsidRPr="00B72321">
        <w:rPr>
          <w:rFonts w:ascii="Courier New" w:hAnsi="Courier New" w:cs="Courier New"/>
        </w:rPr>
        <w:t xml:space="preserve">  Should the Commission file the rule for adoption with  changes and close the docket?</w:t>
      </w:r>
    </w:p>
    <w:p w:rsidR="00BE4DB2" w:rsidRPr="00B72321" w:rsidRDefault="00BE4DB2">
      <w:pPr>
        <w:widowControl/>
        <w:tabs>
          <w:tab w:val="left" w:pos="-1440"/>
          <w:tab w:val="left" w:pos="-720"/>
          <w:tab w:val="left" w:pos="720"/>
          <w:tab w:val="left" w:pos="1440"/>
          <w:tab w:val="left" w:pos="2160"/>
          <w:tab w:val="left" w:pos="4320"/>
          <w:tab w:val="left" w:pos="5040"/>
        </w:tabs>
        <w:jc w:val="both"/>
        <w:rPr>
          <w:rFonts w:ascii="Courier New" w:hAnsi="Courier New" w:cs="Courier New"/>
        </w:rPr>
      </w:pPr>
    </w:p>
    <w:p w:rsidR="00BE4DB2" w:rsidRPr="00B72321" w:rsidRDefault="00BE4DB2">
      <w:pPr>
        <w:widowControl/>
        <w:tabs>
          <w:tab w:val="left" w:pos="-1440"/>
          <w:tab w:val="left" w:pos="-720"/>
          <w:tab w:val="left" w:pos="720"/>
          <w:tab w:val="left" w:pos="1440"/>
          <w:tab w:val="left" w:pos="2160"/>
          <w:tab w:val="left" w:pos="4320"/>
          <w:tab w:val="left" w:pos="5040"/>
        </w:tabs>
        <w:jc w:val="both"/>
        <w:rPr>
          <w:rFonts w:ascii="Courier New" w:hAnsi="Courier New" w:cs="Courier New"/>
        </w:rPr>
      </w:pPr>
      <w:r w:rsidRPr="00B72321">
        <w:rPr>
          <w:rFonts w:ascii="Courier New" w:hAnsi="Courier New" w:cs="Courier New"/>
          <w:b/>
          <w:bCs/>
          <w:u w:val="single"/>
        </w:rPr>
        <w:t>RECOMMENDATION:</w:t>
      </w:r>
      <w:r w:rsidRPr="00B72321">
        <w:rPr>
          <w:rFonts w:ascii="Courier New" w:hAnsi="Courier New" w:cs="Courier New"/>
        </w:rPr>
        <w:t xml:space="preserve">  Yes.  A notice of change should be published and the changed rule should then be filed for adoption with the Secretary of State and the docket be closed.</w:t>
      </w:r>
    </w:p>
    <w:p w:rsidR="00BE4DB2" w:rsidRPr="00B72321" w:rsidRDefault="00BE4DB2">
      <w:pPr>
        <w:widowControl/>
        <w:tabs>
          <w:tab w:val="left" w:pos="-1440"/>
          <w:tab w:val="left" w:pos="-720"/>
          <w:tab w:val="left" w:pos="720"/>
          <w:tab w:val="left" w:pos="1440"/>
          <w:tab w:val="left" w:pos="2160"/>
          <w:tab w:val="left" w:pos="4320"/>
          <w:tab w:val="left" w:pos="5040"/>
        </w:tabs>
        <w:jc w:val="both"/>
        <w:rPr>
          <w:rFonts w:ascii="Courier New" w:hAnsi="Courier New" w:cs="Courier New"/>
        </w:rPr>
      </w:pPr>
    </w:p>
    <w:p w:rsidR="00BE4DB2" w:rsidRPr="00B72321" w:rsidRDefault="00BE4DB2">
      <w:pPr>
        <w:widowControl/>
        <w:tabs>
          <w:tab w:val="left" w:pos="-1440"/>
          <w:tab w:val="left" w:pos="-720"/>
          <w:tab w:val="left" w:pos="720"/>
          <w:tab w:val="left" w:pos="1440"/>
          <w:tab w:val="left" w:pos="2160"/>
          <w:tab w:val="left" w:pos="4320"/>
          <w:tab w:val="left" w:pos="5040"/>
        </w:tabs>
        <w:jc w:val="both"/>
        <w:rPr>
          <w:rFonts w:ascii="Courier New" w:hAnsi="Courier New" w:cs="Courier New"/>
        </w:rPr>
      </w:pPr>
      <w:r w:rsidRPr="00B72321">
        <w:rPr>
          <w:rFonts w:ascii="Courier New" w:hAnsi="Courier New" w:cs="Courier New"/>
          <w:b/>
          <w:bCs/>
          <w:u w:val="single"/>
        </w:rPr>
        <w:t>STAFF ANALYSIS:</w:t>
      </w:r>
      <w:r w:rsidRPr="00B72321">
        <w:rPr>
          <w:rFonts w:ascii="Courier New" w:hAnsi="Courier New" w:cs="Courier New"/>
        </w:rPr>
        <w:t xml:space="preserve">  The docket may be closed after the notice of change is published and the rule is filed for adoption.                                                      </w:t>
      </w:r>
    </w:p>
    <w:p w:rsidR="00BE4DB2" w:rsidRPr="00B72321" w:rsidRDefault="00BE4DB2">
      <w:pPr>
        <w:widowControl/>
        <w:tabs>
          <w:tab w:val="left" w:pos="-1440"/>
          <w:tab w:val="left" w:pos="-720"/>
          <w:tab w:val="left" w:pos="720"/>
          <w:tab w:val="left" w:pos="1440"/>
          <w:tab w:val="left" w:pos="2160"/>
          <w:tab w:val="left" w:pos="4320"/>
          <w:tab w:val="left" w:pos="5040"/>
        </w:tabs>
        <w:jc w:val="both"/>
        <w:rPr>
          <w:rFonts w:ascii="Courier New" w:hAnsi="Courier New" w:cs="Courier New"/>
        </w:rPr>
      </w:pPr>
    </w:p>
    <w:p w:rsidR="00BE4DB2" w:rsidRPr="00B72321" w:rsidRDefault="00BE4DB2">
      <w:pPr>
        <w:widowControl/>
        <w:tabs>
          <w:tab w:val="left" w:pos="-1440"/>
          <w:tab w:val="left" w:pos="-720"/>
          <w:tab w:val="left" w:pos="720"/>
          <w:tab w:val="left" w:pos="1440"/>
          <w:tab w:val="left" w:pos="2160"/>
          <w:tab w:val="left" w:pos="4320"/>
          <w:tab w:val="left" w:pos="5040"/>
        </w:tabs>
        <w:jc w:val="both"/>
        <w:rPr>
          <w:rFonts w:ascii="Courier New" w:hAnsi="Courier New" w:cs="Courier New"/>
        </w:rPr>
      </w:pPr>
      <w:r w:rsidRPr="00B72321">
        <w:rPr>
          <w:rFonts w:ascii="Courier New" w:hAnsi="Courier New" w:cs="Courier New"/>
        </w:rPr>
        <w:t>Attachments:</w:t>
      </w:r>
    </w:p>
    <w:p w:rsidR="00BE4DB2" w:rsidRPr="00B72321" w:rsidRDefault="00BE4DB2">
      <w:pPr>
        <w:widowControl/>
        <w:tabs>
          <w:tab w:val="left" w:pos="-1440"/>
          <w:tab w:val="left" w:pos="-720"/>
          <w:tab w:val="left" w:pos="720"/>
          <w:tab w:val="left" w:pos="1440"/>
          <w:tab w:val="left" w:pos="2160"/>
          <w:tab w:val="left" w:pos="4320"/>
          <w:tab w:val="left" w:pos="5040"/>
        </w:tabs>
        <w:jc w:val="both"/>
        <w:rPr>
          <w:rFonts w:ascii="Courier New" w:hAnsi="Courier New" w:cs="Courier New"/>
        </w:rPr>
      </w:pPr>
      <w:r w:rsidRPr="00B72321">
        <w:rPr>
          <w:rFonts w:ascii="Courier New" w:hAnsi="Courier New" w:cs="Courier New"/>
        </w:rPr>
        <w:t xml:space="preserve">Proposed rule with redlined recommended </w:t>
      </w:r>
      <w:bookmarkStart w:id="0" w:name="_GoBack"/>
      <w:bookmarkEnd w:id="0"/>
      <w:r w:rsidRPr="00B72321">
        <w:rPr>
          <w:rFonts w:ascii="Courier New" w:hAnsi="Courier New" w:cs="Courier New"/>
        </w:rPr>
        <w:t>changes</w:t>
      </w:r>
    </w:p>
    <w:sectPr w:rsidR="00BE4DB2" w:rsidRPr="00B72321" w:rsidSect="00BE4DB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DB2" w:rsidRDefault="00BE4DB2" w:rsidP="00BE4DB2">
      <w:r>
        <w:separator/>
      </w:r>
    </w:p>
  </w:endnote>
  <w:endnote w:type="continuationSeparator" w:id="0">
    <w:p w:rsidR="00BE4DB2" w:rsidRDefault="00BE4DB2" w:rsidP="00BE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B2" w:rsidRDefault="00BE4DB2">
    <w:pPr>
      <w:spacing w:line="240" w:lineRule="exact"/>
    </w:pPr>
  </w:p>
  <w:p w:rsidR="00BE4DB2" w:rsidRPr="00B72321" w:rsidRDefault="00BE4DB2">
    <w:pPr>
      <w:framePr w:w="9361" w:wrap="notBeside" w:vAnchor="text" w:hAnchor="text" w:x="1" w:y="1"/>
      <w:jc w:val="center"/>
      <w:rPr>
        <w:rFonts w:ascii="Courier New" w:hAnsi="Courier New" w:cs="Courier New"/>
      </w:rPr>
    </w:pPr>
    <w:r w:rsidRPr="00B72321">
      <w:rPr>
        <w:rFonts w:ascii="Courier New" w:hAnsi="Courier New" w:cs="Courier New"/>
      </w:rPr>
      <w:sym w:font="WP Phonetic" w:char="F02D"/>
    </w:r>
    <w:r w:rsidRPr="00B72321">
      <w:rPr>
        <w:rFonts w:ascii="Courier New" w:hAnsi="Courier New" w:cs="Courier New"/>
      </w:rPr>
      <w:sym w:font="WP Phonetic" w:char="F020"/>
    </w:r>
    <w:r w:rsidRPr="00B72321">
      <w:rPr>
        <w:rFonts w:ascii="Courier New" w:hAnsi="Courier New" w:cs="Courier New"/>
      </w:rPr>
      <w:fldChar w:fldCharType="begin"/>
    </w:r>
    <w:r w:rsidRPr="00B72321">
      <w:rPr>
        <w:rFonts w:ascii="Courier New" w:hAnsi="Courier New" w:cs="Courier New"/>
      </w:rPr>
      <w:instrText xml:space="preserve">PAGE </w:instrText>
    </w:r>
    <w:r w:rsidR="00B72321" w:rsidRPr="00B72321">
      <w:rPr>
        <w:rFonts w:ascii="Courier New" w:hAnsi="Courier New" w:cs="Courier New"/>
      </w:rPr>
      <w:fldChar w:fldCharType="separate"/>
    </w:r>
    <w:r w:rsidR="00B72321">
      <w:rPr>
        <w:rFonts w:ascii="Courier New" w:hAnsi="Courier New" w:cs="Courier New"/>
        <w:noProof/>
      </w:rPr>
      <w:t>5</w:t>
    </w:r>
    <w:r w:rsidRPr="00B72321">
      <w:rPr>
        <w:rFonts w:ascii="Courier New" w:hAnsi="Courier New" w:cs="Courier New"/>
      </w:rPr>
      <w:fldChar w:fldCharType="end"/>
    </w:r>
    <w:r w:rsidRPr="00B72321">
      <w:rPr>
        <w:rFonts w:ascii="Courier New" w:hAnsi="Courier New" w:cs="Courier New"/>
      </w:rPr>
      <w:sym w:font="WP Phonetic" w:char="F020"/>
    </w:r>
    <w:r w:rsidRPr="00B72321">
      <w:rPr>
        <w:rFonts w:ascii="Courier New" w:hAnsi="Courier New" w:cs="Courier New"/>
      </w:rPr>
      <w:sym w:font="WP Phonetic" w:char="F02D"/>
    </w:r>
  </w:p>
  <w:p w:rsidR="00BE4DB2" w:rsidRDefault="00BE4D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DB2" w:rsidRDefault="00BE4DB2" w:rsidP="00BE4DB2">
      <w:r>
        <w:separator/>
      </w:r>
    </w:p>
  </w:footnote>
  <w:footnote w:type="continuationSeparator" w:id="0">
    <w:p w:rsidR="00BE4DB2" w:rsidRDefault="00BE4DB2" w:rsidP="00BE4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B2" w:rsidRPr="00B72321" w:rsidRDefault="00BE4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B72321">
      <w:rPr>
        <w:rFonts w:ascii="Courier New" w:hAnsi="Courier New" w:cs="Courier New"/>
      </w:rPr>
      <w:t>DOCKET NO. 961378-EG</w:t>
    </w:r>
  </w:p>
  <w:p w:rsidR="00BE4DB2" w:rsidRPr="00B72321" w:rsidRDefault="00BE4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B72321">
      <w:rPr>
        <w:rFonts w:ascii="Courier New" w:hAnsi="Courier New" w:cs="Courier New"/>
      </w:rPr>
      <w:t>DATE: September 11, 1997</w:t>
    </w:r>
  </w:p>
  <w:p w:rsidR="00BE4DB2" w:rsidRDefault="00BE4D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BE4DB2" w:rsidRDefault="00BE4DB2">
    <w:pPr>
      <w:spacing w:line="240" w:lineRule="exact"/>
      <w:rPr>
        <w:rFonts w:cs="Couri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B2"/>
    <w:rsid w:val="00B72321"/>
    <w:rsid w:val="00BE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72321"/>
    <w:pPr>
      <w:tabs>
        <w:tab w:val="center" w:pos="4680"/>
        <w:tab w:val="right" w:pos="9360"/>
      </w:tabs>
    </w:pPr>
  </w:style>
  <w:style w:type="character" w:customStyle="1" w:styleId="HeaderChar">
    <w:name w:val="Header Char"/>
    <w:basedOn w:val="DefaultParagraphFont"/>
    <w:link w:val="Header"/>
    <w:uiPriority w:val="99"/>
    <w:rsid w:val="00B72321"/>
    <w:rPr>
      <w:rFonts w:ascii="Courier" w:hAnsi="Courier"/>
      <w:sz w:val="24"/>
      <w:szCs w:val="24"/>
    </w:rPr>
  </w:style>
  <w:style w:type="paragraph" w:styleId="Footer">
    <w:name w:val="footer"/>
    <w:basedOn w:val="Normal"/>
    <w:link w:val="FooterChar"/>
    <w:uiPriority w:val="99"/>
    <w:unhideWhenUsed/>
    <w:rsid w:val="00B72321"/>
    <w:pPr>
      <w:tabs>
        <w:tab w:val="center" w:pos="4680"/>
        <w:tab w:val="right" w:pos="9360"/>
      </w:tabs>
    </w:pPr>
  </w:style>
  <w:style w:type="character" w:customStyle="1" w:styleId="FooterChar">
    <w:name w:val="Footer Char"/>
    <w:basedOn w:val="DefaultParagraphFont"/>
    <w:link w:val="Footer"/>
    <w:uiPriority w:val="99"/>
    <w:rsid w:val="00B72321"/>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72321"/>
    <w:pPr>
      <w:tabs>
        <w:tab w:val="center" w:pos="4680"/>
        <w:tab w:val="right" w:pos="9360"/>
      </w:tabs>
    </w:pPr>
  </w:style>
  <w:style w:type="character" w:customStyle="1" w:styleId="HeaderChar">
    <w:name w:val="Header Char"/>
    <w:basedOn w:val="DefaultParagraphFont"/>
    <w:link w:val="Header"/>
    <w:uiPriority w:val="99"/>
    <w:rsid w:val="00B72321"/>
    <w:rPr>
      <w:rFonts w:ascii="Courier" w:hAnsi="Courier"/>
      <w:sz w:val="24"/>
      <w:szCs w:val="24"/>
    </w:rPr>
  </w:style>
  <w:style w:type="paragraph" w:styleId="Footer">
    <w:name w:val="footer"/>
    <w:basedOn w:val="Normal"/>
    <w:link w:val="FooterChar"/>
    <w:uiPriority w:val="99"/>
    <w:unhideWhenUsed/>
    <w:rsid w:val="00B72321"/>
    <w:pPr>
      <w:tabs>
        <w:tab w:val="center" w:pos="4680"/>
        <w:tab w:val="right" w:pos="9360"/>
      </w:tabs>
    </w:pPr>
  </w:style>
  <w:style w:type="character" w:customStyle="1" w:styleId="FooterChar">
    <w:name w:val="Footer Char"/>
    <w:basedOn w:val="DefaultParagraphFont"/>
    <w:link w:val="Footer"/>
    <w:uiPriority w:val="99"/>
    <w:rsid w:val="00B7232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2015-09-16T18:49:00Z</dcterms:created>
  <dcterms:modified xsi:type="dcterms:W3CDTF">2015-09-16T18:49:00Z</dcterms:modified>
</cp:coreProperties>
</file>