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323" w:rsidRDefault="00405323" w:rsidP="00072796">
      <w:pPr>
        <w:jc w:val="center"/>
        <w:rPr>
          <w:rFonts w:ascii="Arial" w:hAnsi="Arial"/>
        </w:rPr>
      </w:pPr>
      <w:r>
        <w:rPr>
          <w:rFonts w:ascii="Arial" w:hAnsi="Arial"/>
        </w:rPr>
        <w:t>GULF POWER COMPANY</w:t>
      </w:r>
    </w:p>
    <w:p w:rsidR="00072796" w:rsidRDefault="00072796" w:rsidP="00072796">
      <w:pPr>
        <w:jc w:val="center"/>
        <w:rPr>
          <w:rFonts w:ascii="Arial" w:hAnsi="Arial"/>
        </w:rPr>
        <w:sectPr w:rsidR="00072796">
          <w:pgSz w:w="12240" w:h="15840" w:code="1"/>
          <w:pgMar w:top="1440" w:right="1440" w:bottom="1440" w:left="2160" w:header="720" w:footer="720" w:gutter="0"/>
          <w:lnNumType w:countBy="1"/>
          <w:cols w:space="720"/>
          <w:docGrid w:linePitch="65"/>
        </w:sectPr>
      </w:pPr>
    </w:p>
    <w:p w:rsidR="00405323" w:rsidRDefault="00405323" w:rsidP="00072796">
      <w:pPr>
        <w:jc w:val="center"/>
        <w:rPr>
          <w:rFonts w:ascii="Arial" w:hAnsi="Arial"/>
        </w:rPr>
      </w:pPr>
      <w:r w:rsidRPr="008B35F1">
        <w:rPr>
          <w:rFonts w:ascii="Arial" w:hAnsi="Arial"/>
        </w:rPr>
        <w:lastRenderedPageBreak/>
        <w:t>Before the Florida Public Service Commission</w:t>
      </w:r>
    </w:p>
    <w:p w:rsidR="00072796" w:rsidRDefault="00072796" w:rsidP="00072796">
      <w:pPr>
        <w:jc w:val="center"/>
        <w:rPr>
          <w:rFonts w:ascii="Arial" w:hAnsi="Arial"/>
        </w:rPr>
        <w:sectPr w:rsidR="00072796" w:rsidSect="00072796">
          <w:type w:val="continuous"/>
          <w:pgSz w:w="12240" w:h="15840" w:code="1"/>
          <w:pgMar w:top="1440" w:right="1440" w:bottom="1440" w:left="2160" w:header="720" w:footer="720" w:gutter="0"/>
          <w:cols w:space="720"/>
          <w:docGrid w:linePitch="326"/>
        </w:sectPr>
      </w:pPr>
    </w:p>
    <w:p w:rsidR="00405323" w:rsidRDefault="00B21498" w:rsidP="00072796">
      <w:pPr>
        <w:jc w:val="center"/>
        <w:rPr>
          <w:rFonts w:ascii="Arial" w:hAnsi="Arial"/>
        </w:rPr>
      </w:pPr>
      <w:r>
        <w:rPr>
          <w:rFonts w:ascii="Arial" w:hAnsi="Arial"/>
        </w:rPr>
        <w:lastRenderedPageBreak/>
        <w:t xml:space="preserve">Prepared </w:t>
      </w:r>
      <w:r w:rsidR="00405323" w:rsidRPr="008B35F1">
        <w:rPr>
          <w:rFonts w:ascii="Arial" w:hAnsi="Arial"/>
        </w:rPr>
        <w:t>Direct Testimony of</w:t>
      </w:r>
    </w:p>
    <w:p w:rsidR="00072796" w:rsidRDefault="00072796" w:rsidP="00072796">
      <w:pPr>
        <w:jc w:val="center"/>
        <w:rPr>
          <w:rFonts w:ascii="Arial" w:hAnsi="Arial"/>
        </w:rPr>
        <w:sectPr w:rsidR="00072796" w:rsidSect="00072796">
          <w:type w:val="continuous"/>
          <w:pgSz w:w="12240" w:h="15840" w:code="1"/>
          <w:pgMar w:top="1440" w:right="1440" w:bottom="1440" w:left="2160" w:header="720" w:footer="720" w:gutter="0"/>
          <w:lnNumType w:countBy="1" w:start="1"/>
          <w:cols w:space="720"/>
          <w:docGrid w:linePitch="326"/>
        </w:sectPr>
      </w:pPr>
    </w:p>
    <w:p w:rsidR="00405323" w:rsidRDefault="00405323" w:rsidP="00072796">
      <w:pPr>
        <w:jc w:val="center"/>
        <w:rPr>
          <w:rFonts w:ascii="Arial" w:hAnsi="Arial"/>
        </w:rPr>
      </w:pPr>
      <w:r w:rsidRPr="008B35F1">
        <w:rPr>
          <w:rFonts w:ascii="Arial" w:hAnsi="Arial"/>
        </w:rPr>
        <w:lastRenderedPageBreak/>
        <w:t>Michael T. O'Sheasy</w:t>
      </w:r>
    </w:p>
    <w:p w:rsidR="00072796" w:rsidRDefault="00072796" w:rsidP="00072796">
      <w:pPr>
        <w:jc w:val="center"/>
        <w:rPr>
          <w:rFonts w:ascii="Arial" w:hAnsi="Arial"/>
        </w:rPr>
        <w:sectPr w:rsidR="00072796" w:rsidSect="00072796">
          <w:type w:val="continuous"/>
          <w:pgSz w:w="12240" w:h="15840" w:code="1"/>
          <w:pgMar w:top="1440" w:right="1440" w:bottom="1440" w:left="2160" w:header="720" w:footer="720" w:gutter="0"/>
          <w:cols w:space="720"/>
          <w:docGrid w:linePitch="326"/>
        </w:sectPr>
      </w:pPr>
    </w:p>
    <w:p w:rsidR="00405323" w:rsidRDefault="00405323" w:rsidP="00072796">
      <w:pPr>
        <w:jc w:val="center"/>
        <w:rPr>
          <w:rFonts w:ascii="Arial" w:hAnsi="Arial"/>
        </w:rPr>
      </w:pPr>
      <w:r w:rsidRPr="008B35F1">
        <w:rPr>
          <w:rFonts w:ascii="Arial" w:hAnsi="Arial"/>
        </w:rPr>
        <w:lastRenderedPageBreak/>
        <w:t xml:space="preserve">Docket No. </w:t>
      </w:r>
      <w:r>
        <w:rPr>
          <w:rFonts w:ascii="Arial" w:hAnsi="Arial"/>
        </w:rPr>
        <w:t>110138-EI</w:t>
      </w:r>
    </w:p>
    <w:p w:rsidR="00072796" w:rsidRDefault="00072796" w:rsidP="00072796">
      <w:pPr>
        <w:jc w:val="center"/>
        <w:rPr>
          <w:rFonts w:ascii="Arial" w:hAnsi="Arial"/>
        </w:rPr>
        <w:sectPr w:rsidR="00072796" w:rsidSect="00072796">
          <w:type w:val="continuous"/>
          <w:pgSz w:w="12240" w:h="15840" w:code="1"/>
          <w:pgMar w:top="1440" w:right="1440" w:bottom="1440" w:left="2160" w:header="720" w:footer="720" w:gutter="0"/>
          <w:lnNumType w:countBy="1" w:start="2"/>
          <w:cols w:space="720"/>
          <w:docGrid w:linePitch="326"/>
        </w:sectPr>
      </w:pPr>
    </w:p>
    <w:p w:rsidR="00405323" w:rsidRDefault="00405323" w:rsidP="00072796">
      <w:pPr>
        <w:jc w:val="center"/>
        <w:rPr>
          <w:rFonts w:ascii="Arial" w:hAnsi="Arial"/>
        </w:rPr>
      </w:pPr>
      <w:r w:rsidRPr="008B35F1">
        <w:rPr>
          <w:rFonts w:ascii="Arial" w:hAnsi="Arial"/>
        </w:rPr>
        <w:lastRenderedPageBreak/>
        <w:t>In Support of Rate Relief</w:t>
      </w:r>
    </w:p>
    <w:p w:rsidR="00072796" w:rsidRDefault="00072796" w:rsidP="00072796">
      <w:pPr>
        <w:jc w:val="center"/>
        <w:rPr>
          <w:rFonts w:ascii="Arial" w:hAnsi="Arial"/>
        </w:rPr>
        <w:sectPr w:rsidR="00072796" w:rsidSect="00072796">
          <w:type w:val="continuous"/>
          <w:pgSz w:w="12240" w:h="15840" w:code="1"/>
          <w:pgMar w:top="1440" w:right="1440" w:bottom="1440" w:left="2160" w:header="720" w:footer="720" w:gutter="0"/>
          <w:cols w:space="720"/>
          <w:docGrid w:linePitch="326"/>
        </w:sectPr>
      </w:pPr>
    </w:p>
    <w:p w:rsidR="00405323" w:rsidRDefault="00405323" w:rsidP="00072796">
      <w:pPr>
        <w:jc w:val="center"/>
        <w:rPr>
          <w:rFonts w:ascii="Arial" w:hAnsi="Arial"/>
        </w:rPr>
      </w:pPr>
      <w:r w:rsidRPr="008B35F1">
        <w:rPr>
          <w:rFonts w:ascii="Arial" w:hAnsi="Arial"/>
        </w:rPr>
        <w:lastRenderedPageBreak/>
        <w:t>Date of Filing:</w:t>
      </w:r>
      <w:r>
        <w:rPr>
          <w:rFonts w:ascii="Arial" w:hAnsi="Arial"/>
        </w:rPr>
        <w:t xml:space="preserve"> July </w:t>
      </w:r>
      <w:r w:rsidR="00801CEC">
        <w:rPr>
          <w:rFonts w:ascii="Arial" w:hAnsi="Arial"/>
        </w:rPr>
        <w:t>8</w:t>
      </w:r>
      <w:r>
        <w:rPr>
          <w:rFonts w:ascii="Arial" w:hAnsi="Arial"/>
        </w:rPr>
        <w:t>, 2011</w:t>
      </w:r>
    </w:p>
    <w:p w:rsidR="00072796" w:rsidRDefault="00072796" w:rsidP="00072796">
      <w:pPr>
        <w:jc w:val="center"/>
        <w:rPr>
          <w:rFonts w:ascii="Arial" w:hAnsi="Arial"/>
        </w:rPr>
        <w:sectPr w:rsidR="00072796" w:rsidSect="00072796">
          <w:type w:val="continuous"/>
          <w:pgSz w:w="12240" w:h="15840" w:code="1"/>
          <w:pgMar w:top="1440" w:right="1440" w:bottom="1440" w:left="2160" w:header="720" w:footer="720" w:gutter="0"/>
          <w:lnNumType w:countBy="1" w:start="3"/>
          <w:cols w:space="720"/>
          <w:docGrid w:linePitch="326"/>
        </w:sectPr>
      </w:pPr>
    </w:p>
    <w:p w:rsidR="00405323" w:rsidRPr="008B35F1" w:rsidRDefault="00405323" w:rsidP="00072796">
      <w:pPr>
        <w:spacing w:line="480" w:lineRule="atLeast"/>
        <w:jc w:val="center"/>
        <w:rPr>
          <w:rFonts w:ascii="Arial" w:hAnsi="Arial"/>
        </w:rPr>
      </w:pPr>
    </w:p>
    <w:p w:rsidR="00405323" w:rsidRDefault="00405323" w:rsidP="00072796">
      <w:pPr>
        <w:pStyle w:val="Question"/>
        <w:tabs>
          <w:tab w:val="clear" w:pos="480"/>
        </w:tabs>
        <w:spacing w:line="480" w:lineRule="atLeast"/>
        <w:ind w:left="720" w:hanging="720"/>
      </w:pPr>
      <w:r>
        <w:t>Please state your name, business address and occupation.</w:t>
      </w:r>
    </w:p>
    <w:p w:rsidR="00405323" w:rsidRDefault="00405323" w:rsidP="00072796">
      <w:pPr>
        <w:pStyle w:val="Answer"/>
        <w:spacing w:line="480" w:lineRule="atLeast"/>
      </w:pPr>
      <w:r>
        <w:t>My name is Michael T. O'Sheasy.</w:t>
      </w:r>
      <w:r w:rsidR="00072796">
        <w:t xml:space="preserve"> </w:t>
      </w:r>
      <w:r>
        <w:t xml:space="preserve"> My business address is </w:t>
      </w:r>
      <w:smartTag w:uri="urn:schemas-microsoft-com:office:smarttags" w:element="State">
        <w:smartTag w:uri="urn:schemas-microsoft-com:office:smarttags" w:element="State">
          <w:r>
            <w:t>5001 Kingswood Drive</w:t>
          </w:r>
        </w:smartTag>
        <w:r>
          <w:t xml:space="preserve">, </w:t>
        </w:r>
        <w:smartTag w:uri="urn:schemas-microsoft-com:office:smarttags" w:element="State">
          <w:r>
            <w:t>Roswell</w:t>
          </w:r>
        </w:smartTag>
        <w:r>
          <w:t xml:space="preserve">, </w:t>
        </w:r>
        <w:smartTag w:uri="urn:schemas-microsoft-com:office:smarttags" w:element="State">
          <w:r>
            <w:t>Georgia</w:t>
          </w:r>
        </w:smartTag>
      </w:smartTag>
      <w:r>
        <w:t xml:space="preserve"> 30075.  I am a Vice President with Christensen Associates, Inc.</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Question"/>
        <w:tabs>
          <w:tab w:val="clear" w:pos="480"/>
        </w:tabs>
        <w:spacing w:line="480" w:lineRule="atLeast"/>
        <w:ind w:left="720" w:hanging="720"/>
      </w:pPr>
      <w:r>
        <w:t>State briefly your education background and experience.</w:t>
      </w:r>
    </w:p>
    <w:p w:rsidR="00072796" w:rsidRDefault="00405323" w:rsidP="00072796">
      <w:pPr>
        <w:pStyle w:val="Answer"/>
        <w:numPr>
          <w:ilvl w:val="0"/>
          <w:numId w:val="4"/>
        </w:numPr>
        <w:spacing w:line="480" w:lineRule="atLeast"/>
        <w:ind w:hanging="720"/>
        <w:sectPr w:rsidR="00072796" w:rsidSect="00072796">
          <w:type w:val="continuous"/>
          <w:pgSz w:w="12240" w:h="15840" w:code="1"/>
          <w:pgMar w:top="1800" w:right="1440" w:bottom="1800" w:left="2160" w:header="720" w:footer="720" w:gutter="0"/>
          <w:lnNumType w:countBy="1" w:start="4"/>
          <w:cols w:space="720"/>
          <w:docGrid w:linePitch="326"/>
        </w:sectPr>
      </w:pPr>
      <w:r>
        <w:t xml:space="preserve">I received a Bachelors of Industrial Engineering from the Georgia Institute of Technology in 1970.  In 1974, I earned a Masters in Business Administration from </w:t>
      </w:r>
      <w:smartTag w:uri="urn:schemas-microsoft-com:office:smarttags" w:element="State">
        <w:smartTag w:uri="urn:schemas-microsoft-com:office:smarttags" w:element="State">
          <w:r>
            <w:t>Georgia</w:t>
          </w:r>
        </w:smartTag>
        <w:r>
          <w:t xml:space="preserve"> </w:t>
        </w:r>
        <w:smartTag w:uri="urn:schemas-microsoft-com:office:smarttags" w:element="State">
          <w:r>
            <w:t>State</w:t>
          </w:r>
        </w:smartTag>
        <w:r>
          <w:t xml:space="preserve"> </w:t>
        </w:r>
        <w:smartTag w:uri="urn:schemas-microsoft-com:office:smarttags" w:element="State">
          <w:r>
            <w:t>University</w:t>
          </w:r>
        </w:smartTag>
      </w:smartTag>
      <w:r>
        <w:t xml:space="preserve">.  From 1971 to 1975, I was employed by the John W. Eshelman Company -- Division of the Carnation Company -- as a plant superintendent in their Chamblee, </w:t>
      </w:r>
      <w:smartTag w:uri="urn:schemas-microsoft-com:office:smarttags" w:element="State">
        <w:r>
          <w:t>Georgia</w:t>
        </w:r>
      </w:smartTag>
      <w:r>
        <w:t xml:space="preserve"> operation.  From 1975 to 1980, I worked for the John Harland Corporation initially as an assistant plant manager and then as a plant manager in their </w:t>
      </w:r>
      <w:smartTag w:uri="urn:schemas-microsoft-com:office:smarttags" w:element="State">
        <w:r>
          <w:t>Jacksonville</w:t>
        </w:r>
      </w:smartTag>
      <w:r>
        <w:t xml:space="preserve">, </w:t>
      </w:r>
      <w:smartTag w:uri="urn:schemas-microsoft-com:office:smarttags" w:element="State">
        <w:r>
          <w:t>Florida</w:t>
        </w:r>
      </w:smartTag>
      <w:r>
        <w:t xml:space="preserve"> plant, and finally as their plant manager in </w:t>
      </w:r>
      <w:smartTag w:uri="urn:schemas-microsoft-com:office:smarttags" w:element="State">
        <w:smartTag w:uri="urn:schemas-microsoft-com:office:smarttags" w:element="State">
          <w:r>
            <w:t>Miami</w:t>
          </w:r>
        </w:smartTag>
        <w:r>
          <w:t xml:space="preserve">, </w:t>
        </w:r>
        <w:smartTag w:uri="urn:schemas-microsoft-com:office:smarttags" w:element="State">
          <w:r>
            <w:t>Florida</w:t>
          </w:r>
        </w:smartTag>
      </w:smartTag>
      <w:r>
        <w:t xml:space="preserve">.  I joined Southern Company Services in 1980 as an engineering cost analyst and progressed through various positions to the position of supervisor, during which time I began serving as an expert witness in costing.  I testified as Gulf Power Company's (Gulf or the Company) cost-of-service witness and provided other support to Gulf in matters before the Florida Public Service Commission (FPSC or the Commission).  </w:t>
      </w:r>
    </w:p>
    <w:p w:rsidR="00405323" w:rsidRDefault="009F02A3" w:rsidP="00072796">
      <w:pPr>
        <w:pStyle w:val="Answer"/>
        <w:numPr>
          <w:ilvl w:val="0"/>
          <w:numId w:val="0"/>
        </w:numPr>
        <w:spacing w:line="480" w:lineRule="atLeast"/>
        <w:ind w:left="720"/>
      </w:pPr>
      <w:r>
        <w:lastRenderedPageBreak/>
        <w:t>In 1990</w:t>
      </w:r>
      <w:r w:rsidR="009C654A">
        <w:t>, I</w:t>
      </w:r>
      <w:r>
        <w:t xml:space="preserve"> </w:t>
      </w:r>
      <w:r w:rsidR="00405323">
        <w:t>became Manager of Product Design for Georgia Power Company and have testified before the Georgia Public Service Commission as an expert witness on rate design and pricing.  I retired from Georgia Power Company on May 1, 2001 and became a consultant with Christensen Associates.</w:t>
      </w:r>
    </w:p>
    <w:p w:rsidR="00405323" w:rsidRDefault="00405323" w:rsidP="00072796">
      <w:pPr>
        <w:pStyle w:val="Question"/>
        <w:numPr>
          <w:ilvl w:val="0"/>
          <w:numId w:val="0"/>
        </w:numPr>
        <w:spacing w:line="480" w:lineRule="atLeast"/>
        <w:ind w:left="720" w:hanging="720"/>
      </w:pPr>
    </w:p>
    <w:p w:rsidR="00405323" w:rsidRDefault="00405323" w:rsidP="00072796">
      <w:pPr>
        <w:pStyle w:val="Question"/>
        <w:tabs>
          <w:tab w:val="clear" w:pos="480"/>
        </w:tabs>
        <w:spacing w:line="480" w:lineRule="atLeast"/>
        <w:ind w:left="720" w:hanging="720"/>
      </w:pPr>
      <w:r>
        <w:t xml:space="preserve">Please </w:t>
      </w:r>
      <w:r w:rsidR="00B21498">
        <w:t>identify the</w:t>
      </w:r>
      <w:r>
        <w:t xml:space="preserve"> specific dockets in which you have previously testified before the FPSC.</w:t>
      </w:r>
    </w:p>
    <w:p w:rsidR="00405323" w:rsidRDefault="00405323" w:rsidP="00072796">
      <w:pPr>
        <w:pStyle w:val="Answer"/>
        <w:spacing w:line="480" w:lineRule="atLeast"/>
      </w:pPr>
      <w:r>
        <w:t>I testified before the FPSC on behalf of Gulf as their cost-of-service witness in their last rate case filing, Docket No. 010949-EI, and in prior rate cases in Docket Nos. 891345-EI and 881167-EI.  I was extensively involved in the preparation of exhibits and Minimum Filing Requirements (MFRs) in those cases.  Also, I was the back-up cost-of-service witness for Gulf in its 1984 rate case, Docket No. 840086-EI, where I helped prepare the related analyses.  I also testified in Docket No. 850673-EU regarding standby back-up electric service.</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Question"/>
        <w:tabs>
          <w:tab w:val="clear" w:pos="480"/>
        </w:tabs>
        <w:spacing w:line="480" w:lineRule="atLeast"/>
        <w:ind w:left="720" w:hanging="720"/>
      </w:pPr>
      <w:r>
        <w:t>What is the purpose of your testimony in this proceeding?</w:t>
      </w:r>
    </w:p>
    <w:p w:rsidR="00405323" w:rsidRDefault="00405323" w:rsidP="00072796">
      <w:pPr>
        <w:pStyle w:val="Answer"/>
        <w:spacing w:line="480" w:lineRule="atLeast"/>
      </w:pPr>
      <w:r>
        <w:t>The purpose of my testimony is to support the development and results of the cost-of-service study for Gulf.</w:t>
      </w:r>
    </w:p>
    <w:p w:rsidR="002912F7" w:rsidRDefault="002912F7" w:rsidP="00072796">
      <w:pPr>
        <w:pStyle w:val="Answer"/>
        <w:numPr>
          <w:ilvl w:val="0"/>
          <w:numId w:val="0"/>
        </w:numPr>
        <w:spacing w:line="480" w:lineRule="atLeast"/>
        <w:ind w:left="720" w:hanging="720"/>
      </w:pPr>
    </w:p>
    <w:p w:rsidR="00405323" w:rsidRDefault="00405323" w:rsidP="00072796">
      <w:pPr>
        <w:pStyle w:val="Question"/>
        <w:numPr>
          <w:ilvl w:val="0"/>
          <w:numId w:val="0"/>
        </w:numPr>
        <w:tabs>
          <w:tab w:val="decimal" w:pos="-24"/>
          <w:tab w:val="left" w:pos="720"/>
        </w:tabs>
        <w:spacing w:line="480" w:lineRule="atLeast"/>
        <w:ind w:left="720" w:hanging="720"/>
      </w:pPr>
      <w:r>
        <w:t>Q.</w:t>
      </w:r>
      <w:r>
        <w:tab/>
        <w:t>Do you have any exhibits that contain information to which you will refer in your testimony?</w:t>
      </w:r>
    </w:p>
    <w:p w:rsidR="00405323" w:rsidRDefault="00405323" w:rsidP="00072796">
      <w:pPr>
        <w:pStyle w:val="Question"/>
        <w:numPr>
          <w:ilvl w:val="0"/>
          <w:numId w:val="0"/>
        </w:numPr>
        <w:tabs>
          <w:tab w:val="clear" w:pos="720"/>
          <w:tab w:val="decimal" w:pos="-24"/>
        </w:tabs>
        <w:spacing w:line="480" w:lineRule="atLeast"/>
        <w:ind w:left="720" w:hanging="720"/>
      </w:pPr>
      <w:r>
        <w:t>A.</w:t>
      </w:r>
      <w:r>
        <w:tab/>
        <w:t>Yes</w:t>
      </w:r>
      <w:r w:rsidR="00171F5F">
        <w:t>.</w:t>
      </w:r>
      <w:r>
        <w:t xml:space="preserve">  </w:t>
      </w:r>
      <w:r w:rsidRPr="00003C39">
        <w:t xml:space="preserve">My Exhibit MTO-1 (consisting of Schedules 1 to 3) and Exhibit </w:t>
      </w:r>
      <w:r w:rsidR="00531F13">
        <w:t> </w:t>
      </w:r>
      <w:r w:rsidRPr="00003C39">
        <w:t>MTO-2 (containing Schedules 1</w:t>
      </w:r>
      <w:r w:rsidR="006E2C1F">
        <w:t>.0</w:t>
      </w:r>
      <w:r w:rsidRPr="00003C39">
        <w:t xml:space="preserve"> to 6.</w:t>
      </w:r>
      <w:r w:rsidR="0015102D">
        <w:t>9</w:t>
      </w:r>
      <w:r w:rsidRPr="00003C39">
        <w:t xml:space="preserve">) </w:t>
      </w:r>
      <w:r>
        <w:t xml:space="preserve">were prepared under my </w:t>
      </w:r>
      <w:r>
        <w:lastRenderedPageBreak/>
        <w:t>supervision and direction by the Costing, Forecasting &amp; Energy Analysis Department of Southern Company Services (SCS), which is the service company in the Southern electric system (SES).  SCS provides engineering and other technical support for Gulf and the other SES operating companies.  I have thoroughly reviewed the schedules in my exhibits and agree with their content.</w:t>
      </w:r>
    </w:p>
    <w:p w:rsidR="00405323" w:rsidRDefault="00405323" w:rsidP="00072796">
      <w:pPr>
        <w:pStyle w:val="Question"/>
        <w:numPr>
          <w:ilvl w:val="0"/>
          <w:numId w:val="0"/>
        </w:numPr>
        <w:tabs>
          <w:tab w:val="clear" w:pos="720"/>
          <w:tab w:val="decimal" w:pos="-24"/>
        </w:tabs>
        <w:spacing w:line="480" w:lineRule="atLeast"/>
        <w:ind w:left="720" w:hanging="720"/>
      </w:pPr>
    </w:p>
    <w:p w:rsidR="00405323" w:rsidRPr="008B35F1" w:rsidRDefault="00405323" w:rsidP="00072796">
      <w:pPr>
        <w:pStyle w:val="DoubleSpacing"/>
        <w:keepNext/>
        <w:keepLines/>
        <w:tabs>
          <w:tab w:val="left" w:pos="720"/>
        </w:tabs>
        <w:spacing w:line="480" w:lineRule="atLeast"/>
        <w:ind w:left="720" w:hanging="720"/>
        <w:rPr>
          <w:rFonts w:ascii="Arial" w:hAnsi="Arial"/>
        </w:rPr>
      </w:pPr>
      <w:r w:rsidRPr="008B35F1">
        <w:rPr>
          <w:rFonts w:ascii="Arial" w:hAnsi="Arial"/>
        </w:rPr>
        <w:t>Q.</w:t>
      </w:r>
      <w:r w:rsidRPr="008B35F1">
        <w:rPr>
          <w:rFonts w:ascii="Arial" w:hAnsi="Arial"/>
        </w:rPr>
        <w:tab/>
        <w:t>Are you the sponsor of certain MFRs?</w:t>
      </w:r>
    </w:p>
    <w:p w:rsidR="00405323" w:rsidRPr="008B35F1" w:rsidRDefault="00405323" w:rsidP="00072796">
      <w:pPr>
        <w:pStyle w:val="DoubleSpacing"/>
        <w:keepNext/>
        <w:keepLines/>
        <w:numPr>
          <w:ilvl w:val="0"/>
          <w:numId w:val="3"/>
        </w:numPr>
        <w:tabs>
          <w:tab w:val="left" w:pos="1416"/>
        </w:tabs>
        <w:spacing w:line="480" w:lineRule="atLeast"/>
        <w:ind w:left="720" w:hanging="720"/>
        <w:rPr>
          <w:rFonts w:ascii="Arial" w:hAnsi="Arial"/>
        </w:rPr>
      </w:pPr>
      <w:r w:rsidRPr="008B35F1">
        <w:rPr>
          <w:rFonts w:ascii="Arial" w:hAnsi="Arial"/>
        </w:rPr>
        <w:t xml:space="preserve">Yes.  The MFRs which I am sponsoring, in part or in whole, are listed on Schedule </w:t>
      </w:r>
      <w:r>
        <w:rPr>
          <w:rFonts w:ascii="Arial" w:hAnsi="Arial"/>
        </w:rPr>
        <w:t xml:space="preserve">1 of Exhibit MTO-1. </w:t>
      </w:r>
      <w:r w:rsidRPr="008B35F1">
        <w:rPr>
          <w:rFonts w:ascii="Arial" w:hAnsi="Arial"/>
        </w:rPr>
        <w:t xml:space="preserve"> To the best of my knowledge, the information contained in these MFRs is true and correct.</w:t>
      </w:r>
    </w:p>
    <w:p w:rsidR="00405323" w:rsidRPr="008B35F1" w:rsidRDefault="00405323" w:rsidP="00072796">
      <w:pPr>
        <w:pStyle w:val="DoubleSpacing"/>
        <w:keepNext/>
        <w:keepLines/>
        <w:tabs>
          <w:tab w:val="left" w:pos="1416"/>
        </w:tabs>
        <w:spacing w:line="480" w:lineRule="atLeast"/>
        <w:ind w:left="720" w:hanging="720"/>
        <w:rPr>
          <w:rFonts w:ascii="Arial" w:hAnsi="Arial"/>
        </w:rPr>
      </w:pPr>
    </w:p>
    <w:p w:rsidR="00405323" w:rsidRDefault="00405323" w:rsidP="00072796">
      <w:pPr>
        <w:pStyle w:val="Question"/>
        <w:tabs>
          <w:tab w:val="clear" w:pos="480"/>
        </w:tabs>
        <w:spacing w:line="480" w:lineRule="atLeast"/>
        <w:ind w:left="720" w:hanging="720"/>
      </w:pPr>
      <w:r>
        <w:t xml:space="preserve">Please describe the contents of your Exhibit MTO-2. </w:t>
      </w:r>
    </w:p>
    <w:p w:rsidR="00405323" w:rsidRDefault="00405323" w:rsidP="00072796">
      <w:pPr>
        <w:pStyle w:val="Answer"/>
        <w:spacing w:line="480" w:lineRule="atLeast"/>
      </w:pPr>
      <w:r>
        <w:t xml:space="preserve">My Exhibit MTO-2 consists of a number of schedules and sub-schedules that set forth the results of the cost-of-service study used as a basis for this case.  Each schedule was prepared in the manner approved by the Commission in its final order for Gulf's last retail rate case, Docket No. 010949-EI, with one modification, which is to utilize the Minimum Distribution System to more properly account for </w:t>
      </w:r>
      <w:r w:rsidR="00EB4DE3">
        <w:t>customer-related</w:t>
      </w:r>
      <w:r>
        <w:t xml:space="preserve"> costs.  The rationale and justification for this change will be explained in my subsequent testimony.</w:t>
      </w:r>
    </w:p>
    <w:p w:rsidR="00405323" w:rsidRDefault="00405323" w:rsidP="00072796">
      <w:pPr>
        <w:pStyle w:val="Answer"/>
        <w:numPr>
          <w:ilvl w:val="0"/>
          <w:numId w:val="0"/>
        </w:numPr>
        <w:spacing w:line="480" w:lineRule="atLeast"/>
        <w:ind w:left="720" w:hanging="720"/>
      </w:pPr>
    </w:p>
    <w:p w:rsidR="009F02A3" w:rsidRDefault="009F02A3" w:rsidP="00072796">
      <w:pPr>
        <w:pStyle w:val="Answer"/>
        <w:numPr>
          <w:ilvl w:val="0"/>
          <w:numId w:val="0"/>
        </w:numPr>
        <w:spacing w:line="480" w:lineRule="atLeast"/>
        <w:ind w:left="720" w:hanging="720"/>
      </w:pPr>
    </w:p>
    <w:p w:rsidR="009F02A3" w:rsidRDefault="009F02A3" w:rsidP="00072796">
      <w:pPr>
        <w:pStyle w:val="Answer"/>
        <w:numPr>
          <w:ilvl w:val="0"/>
          <w:numId w:val="0"/>
        </w:numPr>
        <w:spacing w:line="480" w:lineRule="atLeast"/>
        <w:ind w:left="720" w:hanging="720"/>
      </w:pPr>
    </w:p>
    <w:p w:rsidR="009F02A3" w:rsidRDefault="009F02A3" w:rsidP="00072796">
      <w:pPr>
        <w:pStyle w:val="Answer"/>
        <w:numPr>
          <w:ilvl w:val="0"/>
          <w:numId w:val="0"/>
        </w:numPr>
        <w:spacing w:line="480" w:lineRule="atLeast"/>
        <w:ind w:left="720" w:hanging="720"/>
      </w:pPr>
    </w:p>
    <w:p w:rsidR="00405323" w:rsidRPr="00EB4DE3" w:rsidRDefault="00DC74F8" w:rsidP="00072796">
      <w:pPr>
        <w:pStyle w:val="Answer"/>
        <w:numPr>
          <w:ilvl w:val="0"/>
          <w:numId w:val="0"/>
        </w:numPr>
        <w:tabs>
          <w:tab w:val="clear" w:pos="720"/>
        </w:tabs>
        <w:spacing w:line="480" w:lineRule="atLeast"/>
        <w:ind w:left="720" w:hanging="720"/>
        <w:jc w:val="center"/>
        <w:rPr>
          <w:b/>
        </w:rPr>
      </w:pPr>
      <w:r w:rsidRPr="00DC74F8">
        <w:rPr>
          <w:b/>
        </w:rPr>
        <w:lastRenderedPageBreak/>
        <w:t>I.  COST-OF-SERVICE METHODOLOGY</w:t>
      </w:r>
    </w:p>
    <w:p w:rsidR="00405323" w:rsidRDefault="00405323" w:rsidP="00072796">
      <w:pPr>
        <w:pStyle w:val="Answer"/>
        <w:numPr>
          <w:ilvl w:val="0"/>
          <w:numId w:val="0"/>
        </w:numPr>
        <w:tabs>
          <w:tab w:val="clear" w:pos="720"/>
        </w:tabs>
        <w:spacing w:line="480" w:lineRule="atLeast"/>
        <w:ind w:left="720" w:hanging="720"/>
        <w:jc w:val="center"/>
      </w:pPr>
    </w:p>
    <w:p w:rsidR="00405323" w:rsidRDefault="00405323" w:rsidP="00072796">
      <w:pPr>
        <w:pStyle w:val="Question"/>
        <w:tabs>
          <w:tab w:val="clear" w:pos="480"/>
        </w:tabs>
        <w:spacing w:line="480" w:lineRule="atLeast"/>
        <w:ind w:left="720" w:hanging="720"/>
      </w:pPr>
      <w:r>
        <w:t>What is a cost-of-service study</w:t>
      </w:r>
      <w:r w:rsidR="002D435F">
        <w:t>?</w:t>
      </w:r>
    </w:p>
    <w:p w:rsidR="002D435F" w:rsidRDefault="002D435F" w:rsidP="00072796">
      <w:pPr>
        <w:pStyle w:val="Answer"/>
        <w:spacing w:line="480" w:lineRule="atLeast"/>
      </w:pPr>
      <w:r>
        <w:t>A cost-of-service study is a tool used to separate a utility's total electric investments, revenues and expenses first among the regulatory jurisdictions which an electric utility serves (jurisdictional separation) and then among the rate classes within each jurisdiction.</w:t>
      </w:r>
    </w:p>
    <w:p w:rsidR="002D435F" w:rsidRDefault="002D435F" w:rsidP="00072796">
      <w:pPr>
        <w:pStyle w:val="Answer"/>
        <w:numPr>
          <w:ilvl w:val="0"/>
          <w:numId w:val="0"/>
        </w:numPr>
        <w:spacing w:line="480" w:lineRule="atLeast"/>
        <w:ind w:left="720"/>
      </w:pPr>
    </w:p>
    <w:p w:rsidR="002D435F" w:rsidRDefault="002D435F" w:rsidP="00072796">
      <w:pPr>
        <w:pStyle w:val="Question"/>
        <w:tabs>
          <w:tab w:val="clear" w:pos="480"/>
          <w:tab w:val="clear" w:pos="720"/>
        </w:tabs>
        <w:spacing w:line="480" w:lineRule="atLeast"/>
        <w:ind w:left="720" w:hanging="720"/>
      </w:pPr>
      <w:r>
        <w:t>Why is a cost-of-service study necessary?</w:t>
      </w:r>
    </w:p>
    <w:p w:rsidR="00405323" w:rsidRDefault="0023417F" w:rsidP="00072796">
      <w:pPr>
        <w:pStyle w:val="Answer"/>
        <w:spacing w:line="480" w:lineRule="atLeast"/>
      </w:pPr>
      <w:r>
        <w:t>Gulf</w:t>
      </w:r>
      <w:r w:rsidRPr="008B35F1">
        <w:t xml:space="preserve"> is regulated by </w:t>
      </w:r>
      <w:r>
        <w:t>the FPSC</w:t>
      </w:r>
      <w:r w:rsidRPr="008B35F1">
        <w:t xml:space="preserve"> for retail sales and</w:t>
      </w:r>
      <w:r>
        <w:t xml:space="preserve"> by</w:t>
      </w:r>
      <w:r w:rsidRPr="008B35F1">
        <w:t xml:space="preserve"> the </w:t>
      </w:r>
      <w:r w:rsidR="003D55F3">
        <w:t>Federal Energy Regulatory Commission (</w:t>
      </w:r>
      <w:r w:rsidRPr="008B35F1">
        <w:t>FERC</w:t>
      </w:r>
      <w:r w:rsidR="003D55F3">
        <w:t>)</w:t>
      </w:r>
      <w:r w:rsidRPr="008B35F1">
        <w:t xml:space="preserve"> for wholesale sales.  Costs and revenues must be divided</w:t>
      </w:r>
      <w:r>
        <w:t xml:space="preserve"> between the two jurisdictions</w:t>
      </w:r>
      <w:r w:rsidRPr="008B35F1">
        <w:t xml:space="preserve"> using assignments and allocations so that each respective commission can evaluate the rates over which it has authority.</w:t>
      </w:r>
      <w:r>
        <w:t xml:space="preserve">  In order for each regulatory commission to review the utility's earnings and to evaluate the contribution made by rate classes within its jurisdiction, it is also necessary to analyze the costs to serve the respective rate classes.  </w:t>
      </w:r>
      <w:r w:rsidR="00405323">
        <w:t xml:space="preserve">  </w:t>
      </w:r>
    </w:p>
    <w:p w:rsidR="00405323" w:rsidRPr="008B35F1" w:rsidRDefault="00405323" w:rsidP="00072796">
      <w:pPr>
        <w:pStyle w:val="DoubleSpacing"/>
        <w:spacing w:line="480" w:lineRule="atLeast"/>
        <w:ind w:left="720" w:hanging="720"/>
        <w:rPr>
          <w:rFonts w:ascii="Arial" w:hAnsi="Arial"/>
        </w:rPr>
      </w:pPr>
    </w:p>
    <w:p w:rsidR="00405323" w:rsidRPr="008B35F1" w:rsidRDefault="00405323" w:rsidP="00072796">
      <w:pPr>
        <w:pStyle w:val="DoubleSpacing"/>
        <w:spacing w:line="480" w:lineRule="atLeast"/>
        <w:ind w:left="720"/>
        <w:rPr>
          <w:rFonts w:ascii="Arial" w:hAnsi="Arial"/>
        </w:rPr>
      </w:pPr>
      <w:r>
        <w:rPr>
          <w:rFonts w:ascii="Arial" w:hAnsi="Arial"/>
        </w:rPr>
        <w:t>Gulf</w:t>
      </w:r>
      <w:r w:rsidRPr="008B35F1">
        <w:rPr>
          <w:rFonts w:ascii="Arial" w:hAnsi="Arial"/>
        </w:rPr>
        <w:t>, like other electric utilities, maintains its books and records in accordance with the Uniform System of Accounts as directed by the FERC and this Commission.  Although this system of accounting reveals company-wide information, it does not separate the Company's investments, revenues and expenses by jurisdiction or by rate classes within jurisdiction</w:t>
      </w:r>
      <w:r>
        <w:rPr>
          <w:rFonts w:ascii="Arial" w:hAnsi="Arial"/>
        </w:rPr>
        <w:t>s</w:t>
      </w:r>
      <w:r w:rsidRPr="008B35F1">
        <w:rPr>
          <w:rFonts w:ascii="Arial" w:hAnsi="Arial"/>
        </w:rPr>
        <w:t>.  The cost-of-service study that has been performed for Gulf accomplishes this objective.</w:t>
      </w:r>
    </w:p>
    <w:p w:rsidR="00405323" w:rsidRDefault="00405323" w:rsidP="00072796">
      <w:pPr>
        <w:pStyle w:val="Question"/>
        <w:tabs>
          <w:tab w:val="clear" w:pos="480"/>
          <w:tab w:val="clear" w:pos="720"/>
        </w:tabs>
        <w:spacing w:line="480" w:lineRule="atLeast"/>
        <w:ind w:left="720" w:hanging="720"/>
      </w:pPr>
      <w:r>
        <w:lastRenderedPageBreak/>
        <w:t>What is the goal of a cost-of-service study?</w:t>
      </w:r>
    </w:p>
    <w:p w:rsidR="00405323" w:rsidRDefault="00405323" w:rsidP="00072796">
      <w:pPr>
        <w:pStyle w:val="Answer"/>
        <w:numPr>
          <w:ilvl w:val="0"/>
          <w:numId w:val="0"/>
        </w:numPr>
        <w:tabs>
          <w:tab w:val="clear" w:pos="720"/>
        </w:tabs>
        <w:spacing w:line="480" w:lineRule="atLeast"/>
        <w:ind w:left="720" w:hanging="720"/>
      </w:pPr>
      <w:r>
        <w:t>A.</w:t>
      </w:r>
      <w:r>
        <w:tab/>
      </w:r>
      <w:r w:rsidRPr="00777C4E">
        <w:t xml:space="preserve">The goal of a cost-of-service study is to </w:t>
      </w:r>
      <w:r>
        <w:t xml:space="preserve">identify </w:t>
      </w:r>
      <w:r w:rsidRPr="00777C4E">
        <w:t xml:space="preserve">what costs are incurred to provide service to certain groups of customers.  If it is performed well, it can be a useful (and often times the primary) tool for determining the adequacy of current rates. </w:t>
      </w:r>
      <w:r>
        <w:t xml:space="preserve"> </w:t>
      </w:r>
      <w:r w:rsidRPr="00777C4E">
        <w:t>For those rate</w:t>
      </w:r>
      <w:r>
        <w:t xml:space="preserve"> classes</w:t>
      </w:r>
      <w:r w:rsidRPr="00777C4E">
        <w:t xml:space="preserve"> which the cost-of-service study reveals </w:t>
      </w:r>
      <w:r>
        <w:t>have</w:t>
      </w:r>
      <w:r w:rsidRPr="00777C4E">
        <w:t xml:space="preserve"> inadequate </w:t>
      </w:r>
      <w:r>
        <w:t xml:space="preserve">returns </w:t>
      </w:r>
      <w:r w:rsidRPr="00777C4E">
        <w:t xml:space="preserve">at current </w:t>
      </w:r>
      <w:r>
        <w:t>rate</w:t>
      </w:r>
      <w:r w:rsidRPr="00777C4E">
        <w:t xml:space="preserve"> levels, the cost-of-service study is an appropriate tool for determining what rate changes should be made.  On the other hand, if a cost-of-service study is not performed well, erroneous conclusions can be drawn with resulting negative consequences if it influences subsequent rate design.  Although there are other ways to allocate costs, the Company’s </w:t>
      </w:r>
      <w:r>
        <w:t xml:space="preserve">proposed </w:t>
      </w:r>
      <w:r w:rsidRPr="00777C4E">
        <w:t>methodology is objective, consistent with the methodology used in numerous prior cases, and provides the most accurate information.</w:t>
      </w:r>
    </w:p>
    <w:p w:rsidR="00405323" w:rsidRPr="008B35F1" w:rsidRDefault="00405323" w:rsidP="00072796">
      <w:pPr>
        <w:spacing w:line="480" w:lineRule="atLeast"/>
        <w:ind w:left="720" w:hanging="720"/>
        <w:rPr>
          <w:rFonts w:ascii="Arial" w:hAnsi="Arial"/>
        </w:rPr>
      </w:pPr>
    </w:p>
    <w:p w:rsidR="00405323" w:rsidRPr="008B35F1" w:rsidRDefault="00405323" w:rsidP="00072796">
      <w:pPr>
        <w:spacing w:line="480" w:lineRule="atLeast"/>
        <w:ind w:left="720" w:hanging="720"/>
        <w:rPr>
          <w:rFonts w:ascii="Arial" w:hAnsi="Arial"/>
        </w:rPr>
      </w:pPr>
      <w:r w:rsidRPr="008B35F1">
        <w:rPr>
          <w:rFonts w:ascii="Arial" w:hAnsi="Arial"/>
        </w:rPr>
        <w:t>Q</w:t>
      </w:r>
      <w:r>
        <w:rPr>
          <w:rFonts w:ascii="Arial" w:hAnsi="Arial"/>
        </w:rPr>
        <w:t>.</w:t>
      </w:r>
      <w:r w:rsidRPr="008B35F1">
        <w:rPr>
          <w:rFonts w:ascii="Arial" w:hAnsi="Arial"/>
        </w:rPr>
        <w:tab/>
        <w:t xml:space="preserve">How was the cost-of-service study used by </w:t>
      </w:r>
      <w:r>
        <w:rPr>
          <w:rFonts w:ascii="Arial" w:hAnsi="Arial"/>
        </w:rPr>
        <w:t>Gulf</w:t>
      </w:r>
      <w:r w:rsidRPr="008B35F1">
        <w:rPr>
          <w:rFonts w:ascii="Arial" w:hAnsi="Arial"/>
        </w:rPr>
        <w:t xml:space="preserve"> in this retail rate filing?</w:t>
      </w:r>
    </w:p>
    <w:p w:rsidR="00405323" w:rsidRDefault="00405323" w:rsidP="00072796">
      <w:pPr>
        <w:spacing w:line="480" w:lineRule="atLeast"/>
        <w:ind w:left="720" w:hanging="720"/>
        <w:rPr>
          <w:rFonts w:ascii="Arial" w:hAnsi="Arial"/>
        </w:rPr>
      </w:pPr>
      <w:r w:rsidRPr="008B35F1">
        <w:rPr>
          <w:rFonts w:ascii="Arial" w:hAnsi="Arial"/>
        </w:rPr>
        <w:t>A.</w:t>
      </w:r>
      <w:r w:rsidRPr="008B35F1">
        <w:rPr>
          <w:rFonts w:ascii="Arial" w:hAnsi="Arial"/>
        </w:rPr>
        <w:tab/>
      </w:r>
      <w:r w:rsidRPr="00C47F98">
        <w:rPr>
          <w:rFonts w:ascii="Arial" w:hAnsi="Arial" w:cs="Arial"/>
        </w:rPr>
        <w:t xml:space="preserve">The jurisdictional separations of rate base and net operating income resulting from the study were used by </w:t>
      </w:r>
      <w:r>
        <w:rPr>
          <w:rFonts w:ascii="Arial" w:hAnsi="Arial" w:cs="Arial"/>
        </w:rPr>
        <w:t xml:space="preserve">Gulf </w:t>
      </w:r>
      <w:r w:rsidRPr="00C47F98">
        <w:rPr>
          <w:rFonts w:ascii="Arial" w:hAnsi="Arial" w:cs="Arial"/>
        </w:rPr>
        <w:t>Witness McMillan to determine the proposed jurisdictional revenue increase needed in order to achieve the requested rate of return.  These jurisdictional separation factors were calculated according to accepted cost-of-service principles and followed the methodology accepted by the Commission.  The retail jurisdiction was further divided into the respective rate classes using sound cost-causative</w:t>
      </w:r>
      <w:r w:rsidRPr="008B35F1">
        <w:rPr>
          <w:rFonts w:ascii="Arial" w:hAnsi="Arial"/>
        </w:rPr>
        <w:t xml:space="preserve"> methodologies.  The resultant rate class information from the cost-of-service study was then considered by </w:t>
      </w:r>
      <w:r>
        <w:rPr>
          <w:rFonts w:ascii="Arial" w:hAnsi="Arial"/>
        </w:rPr>
        <w:t xml:space="preserve">Gulf </w:t>
      </w:r>
      <w:r w:rsidRPr="008B35F1">
        <w:rPr>
          <w:rFonts w:ascii="Arial" w:hAnsi="Arial"/>
        </w:rPr>
        <w:t>Witness Thompson as a basis for the design of proposed rates in this docket.</w:t>
      </w:r>
    </w:p>
    <w:p w:rsidR="00405323" w:rsidRDefault="00405323" w:rsidP="00072796">
      <w:pPr>
        <w:pStyle w:val="Question"/>
        <w:tabs>
          <w:tab w:val="clear" w:pos="480"/>
          <w:tab w:val="clear" w:pos="720"/>
        </w:tabs>
        <w:spacing w:line="480" w:lineRule="atLeast"/>
        <w:ind w:left="720" w:hanging="720"/>
      </w:pPr>
      <w:r w:rsidRPr="00802C84">
        <w:lastRenderedPageBreak/>
        <w:t>In</w:t>
      </w:r>
      <w:r w:rsidRPr="00777C4E">
        <w:t xml:space="preserve"> preparing a cost-of-service study, is there some overall guiding principle or concept that should be followed?</w:t>
      </w:r>
    </w:p>
    <w:p w:rsidR="00405323" w:rsidRDefault="00405323" w:rsidP="00072796">
      <w:pPr>
        <w:pStyle w:val="Answer"/>
        <w:tabs>
          <w:tab w:val="clear" w:pos="1440"/>
          <w:tab w:val="num" w:pos="720"/>
        </w:tabs>
        <w:spacing w:line="480" w:lineRule="atLeast"/>
      </w:pPr>
      <w:r>
        <w:t xml:space="preserve">Yes. </w:t>
      </w:r>
      <w:r w:rsidRPr="00777C4E">
        <w:t>The overall objective</w:t>
      </w:r>
      <w:r>
        <w:t xml:space="preserve"> of a cost-of-service study</w:t>
      </w:r>
      <w:r w:rsidRPr="00777C4E">
        <w:t xml:space="preserve"> is to assign or allocate costs fairly and equitably to all customers.  This objective is accomplished when the resulting cost-of-service study reflects “cost causation,” i.e., those customers who caused a particular cost to be incurred by the Company in providing them service should be responsible for th</w:t>
      </w:r>
      <w:r w:rsidR="00B21498">
        <w:t xml:space="preserve">at </w:t>
      </w:r>
      <w:r w:rsidRPr="00777C4E">
        <w:t>cost.</w:t>
      </w:r>
    </w:p>
    <w:p w:rsidR="00405323" w:rsidRDefault="00405323" w:rsidP="00072796">
      <w:pPr>
        <w:pStyle w:val="Answer"/>
        <w:numPr>
          <w:ilvl w:val="0"/>
          <w:numId w:val="0"/>
        </w:numPr>
        <w:spacing w:line="480" w:lineRule="atLeast"/>
        <w:ind w:left="720" w:hanging="720"/>
      </w:pPr>
    </w:p>
    <w:p w:rsidR="00405323" w:rsidRDefault="00405323" w:rsidP="00072796">
      <w:pPr>
        <w:pStyle w:val="Answersub"/>
        <w:spacing w:line="480" w:lineRule="atLeast"/>
        <w:ind w:firstLine="0"/>
        <w:jc w:val="left"/>
        <w:rPr>
          <w:rFonts w:ascii="Arial" w:hAnsi="Arial"/>
        </w:rPr>
      </w:pPr>
      <w:r w:rsidRPr="00650DC2">
        <w:rPr>
          <w:rFonts w:ascii="Arial" w:hAnsi="Arial"/>
        </w:rPr>
        <w:t>When certain costs are readily identified with a particular customer group</w:t>
      </w:r>
      <w:r>
        <w:rPr>
          <w:rFonts w:ascii="Arial" w:hAnsi="Arial"/>
        </w:rPr>
        <w:t xml:space="preserve"> (rate class)</w:t>
      </w:r>
      <w:r w:rsidRPr="00650DC2">
        <w:rPr>
          <w:rFonts w:ascii="Arial" w:hAnsi="Arial"/>
        </w:rPr>
        <w:t>, the assignment of those costs to that group clearly reflects cost causation and is fair and equitable to all customers.  However, most parts of an electric system are planned, designed, constructed, operated and maintained to serve all customers.  Most of G</w:t>
      </w:r>
      <w:r>
        <w:rPr>
          <w:rFonts w:ascii="Arial" w:hAnsi="Arial"/>
        </w:rPr>
        <w:t>ulf</w:t>
      </w:r>
      <w:r w:rsidRPr="00650DC2">
        <w:rPr>
          <w:rFonts w:ascii="Arial" w:hAnsi="Arial"/>
        </w:rPr>
        <w:t>’s costs have been incurred to serve all customers</w:t>
      </w:r>
      <w:r>
        <w:rPr>
          <w:rFonts w:ascii="Arial" w:hAnsi="Arial"/>
        </w:rPr>
        <w:t xml:space="preserve">. </w:t>
      </w:r>
      <w:r w:rsidR="0039284B">
        <w:rPr>
          <w:rFonts w:ascii="Arial" w:hAnsi="Arial"/>
        </w:rPr>
        <w:t xml:space="preserve"> </w:t>
      </w:r>
      <w:r>
        <w:rPr>
          <w:rFonts w:ascii="Arial" w:hAnsi="Arial"/>
        </w:rPr>
        <w:t>T</w:t>
      </w:r>
      <w:r w:rsidRPr="00650DC2">
        <w:rPr>
          <w:rFonts w:ascii="Arial" w:hAnsi="Arial"/>
        </w:rPr>
        <w:t>hese costs are referred to as joint or common costs.  Joint or common costs must be allocated to customer groups based on the nature (i.e., drivers) of the costs incurred, and the aggregate requirements and service characteristics of the customers that caused the costs to be incurred.  By adhering to this fundamental and essential principle of cost causation, the results of the cost-of-service study will be fair and equitable to all customers.</w:t>
      </w:r>
    </w:p>
    <w:p w:rsidR="00405323" w:rsidRDefault="00405323" w:rsidP="00072796">
      <w:pPr>
        <w:pStyle w:val="Answersub"/>
        <w:spacing w:line="480" w:lineRule="atLeast"/>
        <w:jc w:val="left"/>
        <w:rPr>
          <w:rFonts w:ascii="Arial" w:hAnsi="Arial"/>
          <w:b/>
        </w:rPr>
      </w:pPr>
    </w:p>
    <w:p w:rsidR="00405323" w:rsidRPr="008B35F1" w:rsidRDefault="00405323" w:rsidP="00072796">
      <w:pPr>
        <w:pStyle w:val="DoubleSpacing"/>
        <w:spacing w:line="480" w:lineRule="atLeast"/>
        <w:ind w:left="720" w:hanging="720"/>
        <w:rPr>
          <w:rFonts w:ascii="Arial" w:hAnsi="Arial"/>
        </w:rPr>
      </w:pPr>
      <w:r w:rsidRPr="008B35F1">
        <w:rPr>
          <w:rFonts w:ascii="Arial" w:hAnsi="Arial"/>
        </w:rPr>
        <w:t>Q.</w:t>
      </w:r>
      <w:r w:rsidRPr="008B35F1">
        <w:rPr>
          <w:rFonts w:ascii="Arial" w:hAnsi="Arial"/>
        </w:rPr>
        <w:tab/>
        <w:t>How is a cost-of-service analysis performed?</w:t>
      </w:r>
    </w:p>
    <w:p w:rsidR="00405323" w:rsidRPr="008B35F1" w:rsidRDefault="00405323" w:rsidP="00072796">
      <w:pPr>
        <w:pStyle w:val="DoubleSpacing"/>
        <w:spacing w:line="480" w:lineRule="atLeast"/>
        <w:ind w:left="720" w:hanging="720"/>
        <w:rPr>
          <w:rFonts w:ascii="Arial" w:hAnsi="Arial"/>
        </w:rPr>
      </w:pPr>
      <w:r w:rsidRPr="008B35F1">
        <w:rPr>
          <w:rFonts w:ascii="Arial" w:hAnsi="Arial"/>
        </w:rPr>
        <w:t>A.</w:t>
      </w:r>
      <w:r w:rsidRPr="008B35F1">
        <w:rPr>
          <w:rFonts w:ascii="Arial" w:hAnsi="Arial"/>
        </w:rPr>
        <w:tab/>
        <w:t xml:space="preserve">In order to determine the </w:t>
      </w:r>
      <w:r>
        <w:rPr>
          <w:rFonts w:ascii="Arial" w:hAnsi="Arial"/>
        </w:rPr>
        <w:t>costs</w:t>
      </w:r>
      <w:r w:rsidRPr="008B35F1">
        <w:rPr>
          <w:rFonts w:ascii="Arial" w:hAnsi="Arial"/>
        </w:rPr>
        <w:t xml:space="preserve"> to serve each group of customers in a fair and equitable manner, the utility company's records are analyzed to </w:t>
      </w:r>
      <w:r w:rsidRPr="008B35F1">
        <w:rPr>
          <w:rFonts w:ascii="Arial" w:hAnsi="Arial"/>
        </w:rPr>
        <w:lastRenderedPageBreak/>
        <w:t xml:space="preserve">determine how each group of customers influenced the actual incurrence of </w:t>
      </w:r>
      <w:r>
        <w:rPr>
          <w:rFonts w:ascii="Arial" w:hAnsi="Arial"/>
        </w:rPr>
        <w:t>costs</w:t>
      </w:r>
      <w:r w:rsidRPr="008B35F1">
        <w:rPr>
          <w:rFonts w:ascii="Arial" w:hAnsi="Arial"/>
        </w:rPr>
        <w:t xml:space="preserve"> by the utility.  This review discloses certain direct costs that should be assigned to the specific rate class for which these costs were directly incurred.  This review also discloses costs which are incurred to perform a function within the electric system for </w:t>
      </w:r>
      <w:r>
        <w:rPr>
          <w:rFonts w:ascii="Arial" w:hAnsi="Arial"/>
        </w:rPr>
        <w:t xml:space="preserve">multiple </w:t>
      </w:r>
      <w:r w:rsidRPr="008B35F1">
        <w:rPr>
          <w:rFonts w:ascii="Arial" w:hAnsi="Arial"/>
        </w:rPr>
        <w:t xml:space="preserve">customer </w:t>
      </w:r>
      <w:r>
        <w:rPr>
          <w:rFonts w:ascii="Arial" w:hAnsi="Arial"/>
        </w:rPr>
        <w:t xml:space="preserve">rate </w:t>
      </w:r>
      <w:r w:rsidRPr="008B35F1">
        <w:rPr>
          <w:rFonts w:ascii="Arial" w:hAnsi="Arial"/>
        </w:rPr>
        <w:t>classes, referred to as common costs</w:t>
      </w:r>
      <w:r>
        <w:rPr>
          <w:rFonts w:ascii="Arial" w:hAnsi="Arial"/>
        </w:rPr>
        <w:t xml:space="preserve">.  These common costs </w:t>
      </w:r>
      <w:r w:rsidRPr="008B35F1">
        <w:rPr>
          <w:rFonts w:ascii="Arial" w:hAnsi="Arial"/>
        </w:rPr>
        <w:t xml:space="preserve">are then allocated </w:t>
      </w:r>
      <w:r>
        <w:rPr>
          <w:rFonts w:ascii="Arial" w:hAnsi="Arial"/>
        </w:rPr>
        <w:t>among those rate classes using an allocator that appropriately reflects the underlying cost causative relationship(s).</w:t>
      </w:r>
    </w:p>
    <w:p w:rsidR="00405323" w:rsidRPr="008B35F1" w:rsidRDefault="00405323" w:rsidP="00072796">
      <w:pPr>
        <w:pStyle w:val="DoubleSpacing"/>
        <w:spacing w:line="480" w:lineRule="atLeast"/>
        <w:ind w:left="720" w:hanging="720"/>
        <w:rPr>
          <w:rFonts w:ascii="Arial" w:hAnsi="Arial"/>
        </w:rPr>
      </w:pPr>
    </w:p>
    <w:p w:rsidR="00405323" w:rsidRPr="008B35F1" w:rsidRDefault="00405323" w:rsidP="00072796">
      <w:pPr>
        <w:pStyle w:val="DoubleSpacing"/>
        <w:spacing w:line="480" w:lineRule="atLeast"/>
        <w:ind w:left="720" w:hanging="720"/>
        <w:rPr>
          <w:rFonts w:ascii="Arial" w:hAnsi="Arial"/>
        </w:rPr>
      </w:pPr>
      <w:r w:rsidRPr="008B35F1">
        <w:rPr>
          <w:rFonts w:ascii="Arial" w:hAnsi="Arial"/>
        </w:rPr>
        <w:t>Q.</w:t>
      </w:r>
      <w:r w:rsidRPr="008B35F1">
        <w:rPr>
          <w:rFonts w:ascii="Arial" w:hAnsi="Arial"/>
        </w:rPr>
        <w:tab/>
        <w:t xml:space="preserve">Please elaborate on the distinctions between various types of </w:t>
      </w:r>
      <w:r>
        <w:rPr>
          <w:rFonts w:ascii="Arial" w:hAnsi="Arial"/>
        </w:rPr>
        <w:t xml:space="preserve">direct and allocated </w:t>
      </w:r>
      <w:r w:rsidRPr="008B35F1">
        <w:rPr>
          <w:rFonts w:ascii="Arial" w:hAnsi="Arial"/>
        </w:rPr>
        <w:t>costs.</w:t>
      </w:r>
    </w:p>
    <w:p w:rsidR="00405323" w:rsidRDefault="00405323" w:rsidP="00072796">
      <w:pPr>
        <w:pStyle w:val="DoubleSpacing"/>
        <w:spacing w:line="480" w:lineRule="atLeast"/>
        <w:ind w:left="720" w:hanging="720"/>
        <w:rPr>
          <w:rFonts w:ascii="Arial" w:hAnsi="Arial" w:cs="Arial"/>
        </w:rPr>
      </w:pPr>
      <w:r w:rsidRPr="008B35F1">
        <w:rPr>
          <w:rFonts w:ascii="Arial" w:hAnsi="Arial"/>
        </w:rPr>
        <w:t>A.</w:t>
      </w:r>
      <w:r w:rsidRPr="008B35F1">
        <w:rPr>
          <w:rFonts w:ascii="Arial" w:hAnsi="Arial"/>
        </w:rPr>
        <w:tab/>
      </w:r>
      <w:r w:rsidRPr="00C47F98">
        <w:rPr>
          <w:rFonts w:ascii="Arial" w:hAnsi="Arial" w:cs="Arial"/>
        </w:rPr>
        <w:t xml:space="preserve">Certain costs are directly associated with one particular group of customers and are, therefore, </w:t>
      </w:r>
      <w:r>
        <w:rPr>
          <w:rFonts w:ascii="Arial" w:hAnsi="Arial" w:cs="Arial"/>
        </w:rPr>
        <w:t xml:space="preserve">directly </w:t>
      </w:r>
      <w:r w:rsidRPr="00C47F98">
        <w:rPr>
          <w:rFonts w:ascii="Arial" w:hAnsi="Arial" w:cs="Arial"/>
        </w:rPr>
        <w:t>assigned to that group.  An example is FERC Account 373 – Street Lighting.  All costs associated with this account will be assigned to the street lighting rate class OS.</w:t>
      </w:r>
    </w:p>
    <w:p w:rsidR="00405323" w:rsidRDefault="00405323" w:rsidP="00072796">
      <w:pPr>
        <w:pStyle w:val="DoubleSpacing"/>
        <w:spacing w:line="480" w:lineRule="atLeast"/>
        <w:ind w:left="720" w:hanging="720"/>
        <w:rPr>
          <w:rFonts w:ascii="Arial" w:hAnsi="Arial" w:cs="Arial"/>
        </w:rPr>
      </w:pPr>
    </w:p>
    <w:p w:rsidR="00405323" w:rsidRPr="008B35F1" w:rsidRDefault="00405323" w:rsidP="00072796">
      <w:pPr>
        <w:pStyle w:val="DoubleSpacing"/>
        <w:spacing w:line="480" w:lineRule="atLeast"/>
        <w:ind w:left="720" w:hanging="720"/>
        <w:rPr>
          <w:rFonts w:ascii="Arial" w:hAnsi="Arial"/>
        </w:rPr>
      </w:pPr>
      <w:r>
        <w:rPr>
          <w:rFonts w:ascii="Arial" w:hAnsi="Arial" w:cs="Arial"/>
        </w:rPr>
        <w:tab/>
      </w:r>
      <w:r w:rsidRPr="00C47F98">
        <w:rPr>
          <w:rFonts w:ascii="Arial" w:hAnsi="Arial" w:cs="Arial"/>
        </w:rPr>
        <w:t xml:space="preserve">The majority of costs, however, are incurred jointly to serve numerous </w:t>
      </w:r>
      <w:proofErr w:type="gramStart"/>
      <w:r w:rsidRPr="00C47F98">
        <w:rPr>
          <w:rFonts w:ascii="Arial" w:hAnsi="Arial" w:cs="Arial"/>
        </w:rPr>
        <w:t>customer</w:t>
      </w:r>
      <w:proofErr w:type="gramEnd"/>
      <w:r w:rsidRPr="00C47F98">
        <w:rPr>
          <w:rFonts w:ascii="Arial" w:hAnsi="Arial" w:cs="Arial"/>
        </w:rPr>
        <w:t xml:space="preserve"> rate classes.  An example of common costs is </w:t>
      </w:r>
      <w:r w:rsidR="00B21498">
        <w:rPr>
          <w:rFonts w:ascii="Arial" w:hAnsi="Arial" w:cs="Arial"/>
        </w:rPr>
        <w:t xml:space="preserve">FERC </w:t>
      </w:r>
      <w:r w:rsidRPr="00C47F98">
        <w:rPr>
          <w:rFonts w:ascii="Arial" w:hAnsi="Arial" w:cs="Arial"/>
        </w:rPr>
        <w:t>Account 312</w:t>
      </w:r>
      <w:r w:rsidR="00B21498">
        <w:rPr>
          <w:rFonts w:ascii="Arial" w:hAnsi="Arial" w:cs="Arial"/>
        </w:rPr>
        <w:t xml:space="preserve"> </w:t>
      </w:r>
      <w:r w:rsidRPr="00C47F98">
        <w:rPr>
          <w:rFonts w:ascii="Arial" w:hAnsi="Arial" w:cs="Arial"/>
        </w:rPr>
        <w:t>-</w:t>
      </w:r>
      <w:r w:rsidR="00B21498">
        <w:rPr>
          <w:rFonts w:ascii="Arial" w:hAnsi="Arial" w:cs="Arial"/>
        </w:rPr>
        <w:t xml:space="preserve"> </w:t>
      </w:r>
      <w:r w:rsidRPr="00C47F98">
        <w:rPr>
          <w:rFonts w:ascii="Arial" w:hAnsi="Arial" w:cs="Arial"/>
        </w:rPr>
        <w:t>Boiler Plant Equipment, which serves all rate classes.  In order to allocate the various common costs like Account 312 to the rate classes, consideration must be given to the type and classes of customers, their load characteristics, their number, and various other expense and investment relationships in order to find the cost causative link</w:t>
      </w:r>
      <w:r w:rsidRPr="008B35F1">
        <w:rPr>
          <w:rFonts w:ascii="Arial" w:hAnsi="Arial"/>
        </w:rPr>
        <w:t>.</w:t>
      </w:r>
    </w:p>
    <w:p w:rsidR="00406350" w:rsidRDefault="00406350" w:rsidP="00072796">
      <w:pPr>
        <w:spacing w:line="480" w:lineRule="atLeast"/>
        <w:ind w:left="720" w:hanging="720"/>
        <w:rPr>
          <w:rFonts w:ascii="Arial" w:hAnsi="Arial"/>
        </w:rPr>
      </w:pPr>
    </w:p>
    <w:p w:rsidR="00865A0E" w:rsidRPr="008B35F1" w:rsidRDefault="00865A0E" w:rsidP="00072796">
      <w:pPr>
        <w:spacing w:line="480" w:lineRule="atLeast"/>
        <w:ind w:left="720" w:hanging="720"/>
        <w:rPr>
          <w:rFonts w:ascii="Arial" w:hAnsi="Arial"/>
        </w:rPr>
      </w:pPr>
    </w:p>
    <w:p w:rsidR="00405323" w:rsidRPr="008B35F1" w:rsidRDefault="00405323" w:rsidP="00072796">
      <w:pPr>
        <w:spacing w:line="480" w:lineRule="atLeast"/>
        <w:ind w:left="720"/>
        <w:rPr>
          <w:rFonts w:ascii="Arial" w:hAnsi="Arial"/>
        </w:rPr>
      </w:pPr>
      <w:r w:rsidRPr="008B35F1">
        <w:rPr>
          <w:rFonts w:ascii="Arial" w:hAnsi="Arial"/>
        </w:rPr>
        <w:lastRenderedPageBreak/>
        <w:t>Research of cost causative relationship</w:t>
      </w:r>
      <w:r>
        <w:rPr>
          <w:rFonts w:ascii="Arial" w:hAnsi="Arial"/>
        </w:rPr>
        <w:t>s</w:t>
      </w:r>
      <w:r w:rsidRPr="008B35F1">
        <w:rPr>
          <w:rFonts w:ascii="Arial" w:hAnsi="Arial"/>
        </w:rPr>
        <w:t xml:space="preserve"> reveals that costs normally possess </w:t>
      </w:r>
      <w:r>
        <w:rPr>
          <w:rFonts w:ascii="Arial" w:hAnsi="Arial"/>
        </w:rPr>
        <w:t xml:space="preserve">one or more of </w:t>
      </w:r>
      <w:r w:rsidRPr="008B35F1">
        <w:rPr>
          <w:rFonts w:ascii="Arial" w:hAnsi="Arial"/>
        </w:rPr>
        <w:t>three attributes that identify the link between customer and company.  This cost categorization or componentization can be viewed as:  (1) </w:t>
      </w:r>
      <w:r w:rsidR="00EB4DE3">
        <w:rPr>
          <w:rFonts w:ascii="Arial" w:hAnsi="Arial"/>
          <w:u w:val="single"/>
        </w:rPr>
        <w:t>customer-related</w:t>
      </w:r>
      <w:r w:rsidRPr="008B35F1">
        <w:rPr>
          <w:rFonts w:ascii="Arial" w:hAnsi="Arial"/>
        </w:rPr>
        <w:t xml:space="preserve">, which are costs </w:t>
      </w:r>
      <w:r>
        <w:rPr>
          <w:rFonts w:ascii="Arial" w:hAnsi="Arial"/>
        </w:rPr>
        <w:t>that</w:t>
      </w:r>
      <w:r w:rsidRPr="008B35F1">
        <w:rPr>
          <w:rFonts w:ascii="Arial" w:hAnsi="Arial"/>
        </w:rPr>
        <w:t xml:space="preserve"> vary with the number of customers or the fact that customers must be able to receive service; (2) </w:t>
      </w:r>
      <w:r w:rsidR="00EB4DE3">
        <w:rPr>
          <w:rFonts w:ascii="Arial" w:hAnsi="Arial"/>
          <w:u w:val="single"/>
        </w:rPr>
        <w:t>energy-related</w:t>
      </w:r>
      <w:r w:rsidRPr="008B35F1">
        <w:rPr>
          <w:rFonts w:ascii="Arial" w:hAnsi="Arial"/>
        </w:rPr>
        <w:t>, which pertain to costs that vary with energy consumption (kWh); and (3) </w:t>
      </w:r>
      <w:r w:rsidR="00EB4DE3">
        <w:rPr>
          <w:rFonts w:ascii="Arial" w:hAnsi="Arial"/>
          <w:u w:val="single"/>
        </w:rPr>
        <w:t>demand-related</w:t>
      </w:r>
      <w:r w:rsidRPr="008B35F1">
        <w:rPr>
          <w:rFonts w:ascii="Arial" w:hAnsi="Arial"/>
        </w:rPr>
        <w:t>, which are costs that are incurred to serve peak needs for electricity.</w:t>
      </w:r>
    </w:p>
    <w:p w:rsidR="00405323" w:rsidRPr="008B35F1" w:rsidRDefault="00405323" w:rsidP="00072796">
      <w:pPr>
        <w:spacing w:line="480" w:lineRule="atLeast"/>
        <w:ind w:left="720" w:hanging="720"/>
        <w:rPr>
          <w:rFonts w:ascii="Arial" w:hAnsi="Arial"/>
        </w:rPr>
      </w:pPr>
    </w:p>
    <w:p w:rsidR="00405323" w:rsidRPr="008B35F1" w:rsidRDefault="00405323" w:rsidP="00072796">
      <w:pPr>
        <w:spacing w:line="480" w:lineRule="atLeast"/>
        <w:ind w:left="720"/>
        <w:rPr>
          <w:rFonts w:ascii="Arial" w:hAnsi="Arial"/>
        </w:rPr>
      </w:pPr>
      <w:r w:rsidRPr="008B35F1">
        <w:rPr>
          <w:rFonts w:ascii="Arial" w:hAnsi="Arial"/>
        </w:rPr>
        <w:t xml:space="preserve">Once the various common accounts have been analyzed to </w:t>
      </w:r>
      <w:r>
        <w:rPr>
          <w:rFonts w:ascii="Arial" w:hAnsi="Arial"/>
        </w:rPr>
        <w:t xml:space="preserve">identify </w:t>
      </w:r>
      <w:r w:rsidRPr="008B35F1">
        <w:rPr>
          <w:rFonts w:ascii="Arial" w:hAnsi="Arial"/>
        </w:rPr>
        <w:t>their appropriate cost component(s), the corresponding allocator</w:t>
      </w:r>
      <w:r>
        <w:rPr>
          <w:rFonts w:ascii="Arial" w:hAnsi="Arial"/>
        </w:rPr>
        <w:t>(s)</w:t>
      </w:r>
      <w:r w:rsidRPr="008B35F1">
        <w:rPr>
          <w:rFonts w:ascii="Arial" w:hAnsi="Arial"/>
        </w:rPr>
        <w:t xml:space="preserve"> can be applied to apportion common </w:t>
      </w:r>
      <w:r>
        <w:rPr>
          <w:rFonts w:ascii="Arial" w:hAnsi="Arial"/>
        </w:rPr>
        <w:t>costs</w:t>
      </w:r>
      <w:r w:rsidRPr="008B35F1">
        <w:rPr>
          <w:rFonts w:ascii="Arial" w:hAnsi="Arial"/>
        </w:rPr>
        <w:t xml:space="preserve"> to the area of responsibility.  By summing the allocated common costs and </w:t>
      </w:r>
      <w:r>
        <w:rPr>
          <w:rFonts w:ascii="Arial" w:hAnsi="Arial"/>
        </w:rPr>
        <w:t xml:space="preserve">the </w:t>
      </w:r>
      <w:r w:rsidRPr="008B35F1">
        <w:rPr>
          <w:rFonts w:ascii="Arial" w:hAnsi="Arial"/>
        </w:rPr>
        <w:t>assigned direct costs by jurisdiction and rate class, the rate of return for each group can be determined.</w:t>
      </w:r>
    </w:p>
    <w:p w:rsidR="00405323" w:rsidRPr="008B35F1" w:rsidRDefault="00405323" w:rsidP="00072796">
      <w:pPr>
        <w:spacing w:line="480" w:lineRule="atLeast"/>
        <w:ind w:left="720" w:hanging="720"/>
        <w:rPr>
          <w:rFonts w:ascii="Arial" w:hAnsi="Arial"/>
        </w:rPr>
      </w:pPr>
    </w:p>
    <w:p w:rsidR="00405323" w:rsidRPr="008B35F1" w:rsidRDefault="00405323" w:rsidP="00072796">
      <w:pPr>
        <w:spacing w:line="480" w:lineRule="atLeast"/>
        <w:ind w:left="720" w:hanging="720"/>
        <w:rPr>
          <w:rFonts w:ascii="Arial" w:hAnsi="Arial"/>
        </w:rPr>
      </w:pPr>
      <w:r w:rsidRPr="008B35F1">
        <w:rPr>
          <w:rFonts w:ascii="Arial" w:hAnsi="Arial"/>
        </w:rPr>
        <w:t>Q.</w:t>
      </w:r>
      <w:r w:rsidRPr="008B35F1">
        <w:rPr>
          <w:rFonts w:ascii="Arial" w:hAnsi="Arial"/>
        </w:rPr>
        <w:tab/>
        <w:t xml:space="preserve">Please expand on the importance of accurate </w:t>
      </w:r>
      <w:r>
        <w:rPr>
          <w:rFonts w:ascii="Arial" w:hAnsi="Arial"/>
        </w:rPr>
        <w:t>cost</w:t>
      </w:r>
      <w:r w:rsidRPr="008B35F1">
        <w:rPr>
          <w:rFonts w:ascii="Arial" w:hAnsi="Arial"/>
        </w:rPr>
        <w:t xml:space="preserve"> allocation.</w:t>
      </w:r>
    </w:p>
    <w:p w:rsidR="00405323" w:rsidRDefault="00405323" w:rsidP="00072796">
      <w:pPr>
        <w:pStyle w:val="BodyTextIndent"/>
        <w:ind w:hanging="720"/>
      </w:pPr>
      <w:r>
        <w:t>A.</w:t>
      </w:r>
      <w:r>
        <w:tab/>
        <w:t xml:space="preserve">The goal of a cost-of-service study is to identify what costs are incurred to provide service to certain groups of customers.  It is based upon the principle of cost causation.  As stated in the National Association of Regulatory Utility Commissioners (NARUC) </w:t>
      </w:r>
      <w:r w:rsidRPr="009975C2">
        <w:rPr>
          <w:i/>
        </w:rPr>
        <w:t>Electric Utility Cost Allocation Manual</w:t>
      </w:r>
      <w:r>
        <w:t xml:space="preserve">, “The total revenue requirement of the utility is attributed to the various classes of customers in a fashion that reflects the costs incurred by each class as a major determinant.”  </w:t>
      </w:r>
    </w:p>
    <w:p w:rsidR="00405323" w:rsidRDefault="00405323" w:rsidP="00072796">
      <w:pPr>
        <w:pStyle w:val="BodyTextIndent"/>
        <w:ind w:hanging="720"/>
      </w:pPr>
    </w:p>
    <w:p w:rsidR="00405323" w:rsidRDefault="00EB4DE3" w:rsidP="00072796">
      <w:pPr>
        <w:pStyle w:val="BodyTextIndent"/>
      </w:pPr>
      <w:r>
        <w:lastRenderedPageBreak/>
        <w:t>T</w:t>
      </w:r>
      <w:r w:rsidR="00405323">
        <w:t>here are three primary drivers in causing costs to be incurred by an electric utility which enable accurate cost allocation:  (1) peak demands, (2) </w:t>
      </w:r>
      <w:r w:rsidR="0015102D">
        <w:t>kilowatt-hours</w:t>
      </w:r>
      <w:r w:rsidR="00405323">
        <w:t xml:space="preserve"> (kWhs), and (3) customers.  Each of these three drivers has its own separate and appropriate allocators to spread its respective costs to the associated rate class and jurisdiction</w:t>
      </w:r>
      <w:r w:rsidR="002E1663">
        <w:t>.</w:t>
      </w:r>
      <w:r w:rsidR="002E1663" w:rsidRPr="002E1663">
        <w:t xml:space="preserve"> </w:t>
      </w:r>
      <w:r w:rsidR="0039284B">
        <w:t xml:space="preserve"> </w:t>
      </w:r>
      <w:r w:rsidR="002E1663">
        <w:t>If conducted upon a sound basis of cost causation, the cost-of-service study can be the benchmark to determine the adequacy of current rates and how well rate groups are covering their costs</w:t>
      </w:r>
      <w:r w:rsidR="00405323">
        <w:t>.</w:t>
      </w:r>
    </w:p>
    <w:p w:rsidR="00405323" w:rsidRDefault="00405323" w:rsidP="00072796">
      <w:pPr>
        <w:pStyle w:val="BodyTextIndent"/>
      </w:pPr>
    </w:p>
    <w:p w:rsidR="00405323" w:rsidRDefault="00405323" w:rsidP="00072796">
      <w:pPr>
        <w:spacing w:line="480" w:lineRule="atLeast"/>
        <w:ind w:left="720" w:hanging="720"/>
        <w:rPr>
          <w:rFonts w:ascii="Arial" w:hAnsi="Arial"/>
        </w:rPr>
      </w:pPr>
      <w:r w:rsidRPr="008B35F1">
        <w:rPr>
          <w:rFonts w:ascii="Arial" w:hAnsi="Arial"/>
        </w:rPr>
        <w:t>Q.</w:t>
      </w:r>
      <w:r w:rsidRPr="008B35F1">
        <w:rPr>
          <w:rFonts w:ascii="Arial" w:hAnsi="Arial"/>
        </w:rPr>
        <w:tab/>
      </w:r>
      <w:r w:rsidRPr="00C47F98">
        <w:rPr>
          <w:rFonts w:ascii="Arial" w:hAnsi="Arial" w:cs="Arial"/>
          <w:snapToGrid w:val="0"/>
        </w:rPr>
        <w:t>Please</w:t>
      </w:r>
      <w:r w:rsidRPr="00C47F98">
        <w:rPr>
          <w:rFonts w:ascii="Arial" w:hAnsi="Arial" w:cs="Arial"/>
        </w:rPr>
        <w:t xml:space="preserve"> give an example of the consequences</w:t>
      </w:r>
      <w:r w:rsidRPr="008B35F1">
        <w:rPr>
          <w:rFonts w:ascii="Arial" w:hAnsi="Arial"/>
        </w:rPr>
        <w:t xml:space="preserve"> of proper </w:t>
      </w:r>
      <w:r>
        <w:rPr>
          <w:rFonts w:ascii="Arial" w:hAnsi="Arial"/>
        </w:rPr>
        <w:t xml:space="preserve">and improper </w:t>
      </w:r>
      <w:r w:rsidRPr="008B35F1">
        <w:rPr>
          <w:rFonts w:ascii="Arial" w:hAnsi="Arial"/>
        </w:rPr>
        <w:t>allocations</w:t>
      </w:r>
      <w:r>
        <w:rPr>
          <w:rFonts w:ascii="Arial" w:hAnsi="Arial"/>
        </w:rPr>
        <w:t xml:space="preserve"> in a cost-of-service study</w:t>
      </w:r>
      <w:r>
        <w:rPr>
          <w:rFonts w:ascii="Arial" w:hAnsi="Arial"/>
          <w:snapToGrid w:val="0"/>
        </w:rPr>
        <w:t>.</w:t>
      </w:r>
    </w:p>
    <w:p w:rsidR="00405323" w:rsidRPr="008B35F1" w:rsidRDefault="00405323" w:rsidP="0039284B">
      <w:pPr>
        <w:spacing w:line="480" w:lineRule="atLeast"/>
        <w:ind w:left="720" w:hanging="720"/>
        <w:rPr>
          <w:rFonts w:ascii="Arial" w:hAnsi="Arial"/>
        </w:rPr>
      </w:pPr>
      <w:r w:rsidRPr="008B35F1">
        <w:rPr>
          <w:rFonts w:ascii="Arial" w:hAnsi="Arial"/>
        </w:rPr>
        <w:t>A.</w:t>
      </w:r>
      <w:r w:rsidRPr="008B35F1">
        <w:rPr>
          <w:rFonts w:ascii="Arial" w:hAnsi="Arial"/>
        </w:rPr>
        <w:tab/>
        <w:t xml:space="preserve">In general, a meter is necessary to measure the amount of electricity provided to a customer, but the meter can operate adequately regardless of the maximum demand </w:t>
      </w:r>
      <w:r>
        <w:rPr>
          <w:rFonts w:ascii="Arial" w:hAnsi="Arial"/>
        </w:rPr>
        <w:t xml:space="preserve">or the </w:t>
      </w:r>
      <w:r w:rsidRPr="008B35F1">
        <w:rPr>
          <w:rFonts w:ascii="Arial" w:hAnsi="Arial"/>
        </w:rPr>
        <w:t xml:space="preserve">overall quantity of electricity consumed.  The cost of the meter incurred by the utility to serve the customer does not vary with the quantity of electricity consumed by the customer; it is driven by the fact that each customer needs a meter.  As a result, utilities will usually consider meters to be </w:t>
      </w:r>
      <w:r w:rsidR="00EB4DE3">
        <w:rPr>
          <w:rFonts w:ascii="Arial" w:hAnsi="Arial"/>
        </w:rPr>
        <w:t>customer-related</w:t>
      </w:r>
      <w:r w:rsidRPr="008B35F1">
        <w:rPr>
          <w:rFonts w:ascii="Arial" w:hAnsi="Arial"/>
        </w:rPr>
        <w:t xml:space="preserve">, and allocate </w:t>
      </w:r>
      <w:r w:rsidR="00B21498">
        <w:rPr>
          <w:rFonts w:ascii="Arial" w:hAnsi="Arial"/>
        </w:rPr>
        <w:t xml:space="preserve">meter </w:t>
      </w:r>
      <w:r w:rsidRPr="008B35F1">
        <w:rPr>
          <w:rFonts w:ascii="Arial" w:hAnsi="Arial"/>
        </w:rPr>
        <w:t xml:space="preserve">costs to </w:t>
      </w:r>
      <w:r>
        <w:rPr>
          <w:rFonts w:ascii="Arial" w:hAnsi="Arial"/>
        </w:rPr>
        <w:t xml:space="preserve">the various </w:t>
      </w:r>
      <w:r w:rsidRPr="008B35F1">
        <w:rPr>
          <w:rFonts w:ascii="Arial" w:hAnsi="Arial"/>
        </w:rPr>
        <w:t>rate class</w:t>
      </w:r>
      <w:r>
        <w:rPr>
          <w:rFonts w:ascii="Arial" w:hAnsi="Arial"/>
        </w:rPr>
        <w:t>e</w:t>
      </w:r>
      <w:r w:rsidR="00B21498">
        <w:rPr>
          <w:rFonts w:ascii="Arial" w:hAnsi="Arial"/>
        </w:rPr>
        <w:t>s</w:t>
      </w:r>
      <w:r w:rsidRPr="008B35F1">
        <w:rPr>
          <w:rFonts w:ascii="Arial" w:hAnsi="Arial"/>
        </w:rPr>
        <w:t xml:space="preserve"> u</w:t>
      </w:r>
      <w:r>
        <w:rPr>
          <w:rFonts w:ascii="Arial" w:hAnsi="Arial"/>
        </w:rPr>
        <w:t>sing</w:t>
      </w:r>
      <w:r w:rsidRPr="008B35F1">
        <w:rPr>
          <w:rFonts w:ascii="Arial" w:hAnsi="Arial"/>
        </w:rPr>
        <w:t xml:space="preserve"> an allocator which reflects the number of customers in </w:t>
      </w:r>
      <w:r w:rsidR="00B21498">
        <w:rPr>
          <w:rFonts w:ascii="Arial" w:hAnsi="Arial"/>
        </w:rPr>
        <w:t xml:space="preserve">each </w:t>
      </w:r>
      <w:r w:rsidRPr="008B35F1">
        <w:rPr>
          <w:rFonts w:ascii="Arial" w:hAnsi="Arial"/>
        </w:rPr>
        <w:t>rate class.</w:t>
      </w:r>
    </w:p>
    <w:p w:rsidR="00405323" w:rsidRDefault="00405323" w:rsidP="00072796">
      <w:pPr>
        <w:spacing w:line="480" w:lineRule="atLeast"/>
        <w:ind w:left="720" w:hanging="720"/>
        <w:rPr>
          <w:rFonts w:ascii="Arial" w:hAnsi="Arial"/>
        </w:rPr>
      </w:pPr>
    </w:p>
    <w:p w:rsidR="00405323" w:rsidRDefault="00405323" w:rsidP="00072796">
      <w:pPr>
        <w:spacing w:line="480" w:lineRule="atLeast"/>
        <w:ind w:left="720"/>
        <w:rPr>
          <w:rFonts w:ascii="Arial" w:hAnsi="Arial"/>
        </w:rPr>
      </w:pPr>
      <w:r w:rsidRPr="008B35F1">
        <w:rPr>
          <w:rFonts w:ascii="Arial" w:hAnsi="Arial"/>
        </w:rPr>
        <w:t xml:space="preserve">If meters were misclassified as kWh related, then the corresponding kWh allocator would spread more meter </w:t>
      </w:r>
      <w:r>
        <w:rPr>
          <w:rFonts w:ascii="Arial" w:hAnsi="Arial"/>
        </w:rPr>
        <w:t>costs</w:t>
      </w:r>
      <w:r w:rsidRPr="008B35F1">
        <w:rPr>
          <w:rFonts w:ascii="Arial" w:hAnsi="Arial"/>
        </w:rPr>
        <w:t xml:space="preserve"> to large customers and less meter </w:t>
      </w:r>
      <w:r>
        <w:rPr>
          <w:rFonts w:ascii="Arial" w:hAnsi="Arial"/>
        </w:rPr>
        <w:t>costs</w:t>
      </w:r>
      <w:r w:rsidRPr="008B35F1">
        <w:rPr>
          <w:rFonts w:ascii="Arial" w:hAnsi="Arial"/>
        </w:rPr>
        <w:t xml:space="preserve"> to small customers despite the fact that the large customers and the small customers both required the same meter </w:t>
      </w:r>
      <w:r>
        <w:rPr>
          <w:rFonts w:ascii="Arial" w:hAnsi="Arial"/>
        </w:rPr>
        <w:t xml:space="preserve">and imposed the </w:t>
      </w:r>
      <w:r>
        <w:rPr>
          <w:rFonts w:ascii="Arial" w:hAnsi="Arial"/>
        </w:rPr>
        <w:lastRenderedPageBreak/>
        <w:t>same costs</w:t>
      </w:r>
      <w:r w:rsidRPr="008B35F1">
        <w:rPr>
          <w:rFonts w:ascii="Arial" w:hAnsi="Arial"/>
        </w:rPr>
        <w:t xml:space="preserve"> </w:t>
      </w:r>
      <w:r>
        <w:rPr>
          <w:rFonts w:ascii="Arial" w:hAnsi="Arial"/>
        </w:rPr>
        <w:t>on</w:t>
      </w:r>
      <w:r w:rsidRPr="008B35F1">
        <w:rPr>
          <w:rFonts w:ascii="Arial" w:hAnsi="Arial"/>
        </w:rPr>
        <w:t xml:space="preserve"> the utility.  The large customers</w:t>
      </w:r>
      <w:r>
        <w:rPr>
          <w:rFonts w:ascii="Arial" w:hAnsi="Arial"/>
        </w:rPr>
        <w:t>’</w:t>
      </w:r>
      <w:r w:rsidRPr="008B35F1">
        <w:rPr>
          <w:rFonts w:ascii="Arial" w:hAnsi="Arial"/>
        </w:rPr>
        <w:t xml:space="preserve"> overall </w:t>
      </w:r>
      <w:r>
        <w:rPr>
          <w:rFonts w:ascii="Arial" w:hAnsi="Arial"/>
        </w:rPr>
        <w:t>cost responsibility</w:t>
      </w:r>
      <w:r w:rsidRPr="008B35F1">
        <w:rPr>
          <w:rFonts w:ascii="Arial" w:hAnsi="Arial"/>
        </w:rPr>
        <w:t xml:space="preserve"> would ultimately be </w:t>
      </w:r>
      <w:r>
        <w:rPr>
          <w:rFonts w:ascii="Arial" w:hAnsi="Arial"/>
        </w:rPr>
        <w:t>over</w:t>
      </w:r>
      <w:r w:rsidRPr="008B35F1">
        <w:rPr>
          <w:rFonts w:ascii="Arial" w:hAnsi="Arial"/>
        </w:rPr>
        <w:t xml:space="preserve">stated and that of the smaller customers would be </w:t>
      </w:r>
      <w:r>
        <w:rPr>
          <w:rFonts w:ascii="Arial" w:hAnsi="Arial"/>
        </w:rPr>
        <w:t>understated</w:t>
      </w:r>
      <w:r w:rsidRPr="008B35F1">
        <w:rPr>
          <w:rFonts w:ascii="Arial" w:hAnsi="Arial"/>
        </w:rPr>
        <w:t>.</w:t>
      </w:r>
    </w:p>
    <w:p w:rsidR="00405323" w:rsidRDefault="00405323" w:rsidP="00072796">
      <w:pPr>
        <w:spacing w:line="480" w:lineRule="atLeast"/>
        <w:ind w:left="720"/>
        <w:rPr>
          <w:rFonts w:ascii="Arial" w:hAnsi="Arial"/>
        </w:rPr>
      </w:pPr>
    </w:p>
    <w:p w:rsidR="00EB4DE3" w:rsidRDefault="00EB4DE3" w:rsidP="00072796">
      <w:pPr>
        <w:spacing w:line="480" w:lineRule="atLeast"/>
        <w:ind w:left="720"/>
        <w:rPr>
          <w:rFonts w:ascii="Arial" w:hAnsi="Arial"/>
        </w:rPr>
      </w:pPr>
    </w:p>
    <w:p w:rsidR="00405323" w:rsidRPr="00EB4DE3" w:rsidRDefault="00405323" w:rsidP="00072796">
      <w:pPr>
        <w:spacing w:line="480" w:lineRule="atLeast"/>
        <w:ind w:left="720" w:hanging="720"/>
        <w:jc w:val="center"/>
        <w:rPr>
          <w:rFonts w:ascii="Arial" w:hAnsi="Arial"/>
          <w:b/>
        </w:rPr>
      </w:pPr>
      <w:r w:rsidRPr="00EB4DE3">
        <w:rPr>
          <w:rFonts w:ascii="Arial" w:hAnsi="Arial"/>
          <w:b/>
        </w:rPr>
        <w:t>II. GULF’S COST-OF-SERVICE STUDY</w:t>
      </w:r>
    </w:p>
    <w:p w:rsidR="00405323" w:rsidRDefault="00405323" w:rsidP="00072796">
      <w:pPr>
        <w:spacing w:line="480" w:lineRule="atLeast"/>
        <w:ind w:left="720" w:hanging="720"/>
        <w:jc w:val="center"/>
        <w:rPr>
          <w:rFonts w:ascii="Arial" w:hAnsi="Arial"/>
        </w:rPr>
      </w:pPr>
    </w:p>
    <w:p w:rsidR="00405323" w:rsidRPr="008B35F1" w:rsidRDefault="00405323" w:rsidP="00072796">
      <w:pPr>
        <w:spacing w:line="480" w:lineRule="atLeast"/>
        <w:ind w:left="720" w:hanging="720"/>
        <w:rPr>
          <w:rFonts w:ascii="Arial" w:hAnsi="Arial"/>
        </w:rPr>
      </w:pPr>
      <w:r w:rsidRPr="008B35F1">
        <w:rPr>
          <w:rFonts w:ascii="Arial" w:hAnsi="Arial"/>
        </w:rPr>
        <w:t>Q</w:t>
      </w:r>
      <w:r>
        <w:rPr>
          <w:rFonts w:ascii="Arial" w:hAnsi="Arial"/>
        </w:rPr>
        <w:t>.</w:t>
      </w:r>
      <w:r w:rsidRPr="008B35F1">
        <w:rPr>
          <w:rFonts w:ascii="Arial" w:hAnsi="Arial"/>
        </w:rPr>
        <w:tab/>
        <w:t xml:space="preserve">Please explain Schedule 1 of your </w:t>
      </w:r>
      <w:r>
        <w:rPr>
          <w:rFonts w:ascii="Arial" w:hAnsi="Arial"/>
        </w:rPr>
        <w:t>E</w:t>
      </w:r>
      <w:r w:rsidRPr="008B35F1">
        <w:rPr>
          <w:rFonts w:ascii="Arial" w:hAnsi="Arial"/>
        </w:rPr>
        <w:t>xhibit</w:t>
      </w:r>
      <w:r>
        <w:rPr>
          <w:rFonts w:ascii="Arial" w:hAnsi="Arial"/>
        </w:rPr>
        <w:t xml:space="preserve"> MTO-2</w:t>
      </w:r>
      <w:r w:rsidRPr="008B35F1">
        <w:rPr>
          <w:rFonts w:ascii="Arial" w:hAnsi="Arial"/>
        </w:rPr>
        <w:t>.</w:t>
      </w:r>
    </w:p>
    <w:p w:rsidR="00405323" w:rsidRDefault="00405323" w:rsidP="00072796">
      <w:pPr>
        <w:spacing w:line="480" w:lineRule="atLeast"/>
        <w:ind w:left="720" w:hanging="720"/>
        <w:rPr>
          <w:rFonts w:ascii="Arial" w:hAnsi="Arial"/>
        </w:rPr>
      </w:pPr>
      <w:r w:rsidRPr="008B35F1">
        <w:rPr>
          <w:rFonts w:ascii="Arial" w:hAnsi="Arial"/>
        </w:rPr>
        <w:t>A.</w:t>
      </w:r>
      <w:r w:rsidRPr="008B35F1">
        <w:rPr>
          <w:rFonts w:ascii="Arial" w:hAnsi="Arial"/>
        </w:rPr>
        <w:tab/>
        <w:t xml:space="preserve">Schedule 1 of </w:t>
      </w:r>
      <w:r>
        <w:rPr>
          <w:rFonts w:ascii="Arial" w:hAnsi="Arial"/>
        </w:rPr>
        <w:t>E</w:t>
      </w:r>
      <w:r w:rsidRPr="008B35F1">
        <w:rPr>
          <w:rFonts w:ascii="Arial" w:hAnsi="Arial"/>
        </w:rPr>
        <w:t xml:space="preserve">xhibit </w:t>
      </w:r>
      <w:r>
        <w:rPr>
          <w:rFonts w:ascii="Arial" w:hAnsi="Arial"/>
        </w:rPr>
        <w:t xml:space="preserve">MTO-2 </w:t>
      </w:r>
      <w:r w:rsidRPr="008B35F1">
        <w:rPr>
          <w:rFonts w:ascii="Arial" w:hAnsi="Arial"/>
        </w:rPr>
        <w:t xml:space="preserve">is the result of the cost-of-service study in summary form for the test year utilizing the Company's present rates.  It shows the Company's total rate base, revenues, expenses, and net operating income, along with the corresponding responsibilities of the retail jurisdiction, as well as the rate classes within the retail jurisdiction.  The column denoted </w:t>
      </w:r>
      <w:r>
        <w:rPr>
          <w:rFonts w:ascii="Arial" w:hAnsi="Arial"/>
        </w:rPr>
        <w:t>“</w:t>
      </w:r>
      <w:r w:rsidRPr="008B35F1">
        <w:rPr>
          <w:rFonts w:ascii="Arial" w:hAnsi="Arial"/>
        </w:rPr>
        <w:t>Wholesale</w:t>
      </w:r>
      <w:r>
        <w:rPr>
          <w:rFonts w:ascii="Arial" w:hAnsi="Arial"/>
        </w:rPr>
        <w:t>”</w:t>
      </w:r>
      <w:r w:rsidRPr="008B35F1">
        <w:rPr>
          <w:rFonts w:ascii="Arial" w:hAnsi="Arial"/>
        </w:rPr>
        <w:t xml:space="preserve"> represents Gulf's wholesale customers, all of which are under the jurisdiction of the FERC. </w:t>
      </w:r>
    </w:p>
    <w:p w:rsidR="00405323" w:rsidRPr="008B35F1" w:rsidRDefault="00405323" w:rsidP="00072796">
      <w:pPr>
        <w:spacing w:line="480" w:lineRule="atLeast"/>
        <w:ind w:left="720" w:hanging="720"/>
        <w:rPr>
          <w:rFonts w:ascii="Arial" w:hAnsi="Arial"/>
        </w:rPr>
      </w:pPr>
      <w:r w:rsidRPr="008B35F1">
        <w:rPr>
          <w:rFonts w:ascii="Arial" w:hAnsi="Arial"/>
        </w:rPr>
        <w:t xml:space="preserve"> </w:t>
      </w:r>
    </w:p>
    <w:p w:rsidR="002A17F5" w:rsidRDefault="00405323" w:rsidP="00072796">
      <w:pPr>
        <w:spacing w:line="480" w:lineRule="atLeast"/>
        <w:ind w:left="720"/>
        <w:rPr>
          <w:rFonts w:ascii="Arial" w:hAnsi="Arial"/>
        </w:rPr>
      </w:pPr>
      <w:r w:rsidRPr="008B35F1">
        <w:rPr>
          <w:rFonts w:ascii="Arial" w:hAnsi="Arial"/>
        </w:rPr>
        <w:t>Sub-schedule 1.00 is the present rate summary</w:t>
      </w:r>
      <w:r>
        <w:rPr>
          <w:rFonts w:ascii="Arial" w:hAnsi="Arial"/>
        </w:rPr>
        <w:t xml:space="preserve"> for each rate class</w:t>
      </w:r>
      <w:r w:rsidRPr="008B35F1">
        <w:rPr>
          <w:rFonts w:ascii="Arial" w:hAnsi="Arial"/>
        </w:rPr>
        <w:t xml:space="preserve">.  </w:t>
      </w:r>
      <w:r>
        <w:rPr>
          <w:rFonts w:ascii="Arial" w:hAnsi="Arial"/>
        </w:rPr>
        <w:t xml:space="preserve">Sub-schedule 1.01 provides an equal rate of return summary for each rate class under present revenue.  </w:t>
      </w:r>
      <w:r w:rsidRPr="008B35F1">
        <w:rPr>
          <w:rFonts w:ascii="Arial" w:hAnsi="Arial"/>
        </w:rPr>
        <w:t xml:space="preserve">Sub-schedule 1.10 reveals the overall rate of return for each </w:t>
      </w:r>
      <w:r>
        <w:rPr>
          <w:rFonts w:ascii="Arial" w:hAnsi="Arial"/>
        </w:rPr>
        <w:t xml:space="preserve">rate </w:t>
      </w:r>
      <w:r w:rsidRPr="008B35F1">
        <w:rPr>
          <w:rFonts w:ascii="Arial" w:hAnsi="Arial"/>
        </w:rPr>
        <w:t xml:space="preserve">class that will exist under the Company's proposed </w:t>
      </w:r>
    </w:p>
    <w:p w:rsidR="00405323" w:rsidRPr="008B35F1" w:rsidRDefault="00405323" w:rsidP="00072796">
      <w:pPr>
        <w:spacing w:line="480" w:lineRule="atLeast"/>
        <w:ind w:left="720"/>
        <w:rPr>
          <w:rFonts w:ascii="Arial" w:hAnsi="Arial"/>
        </w:rPr>
      </w:pPr>
      <w:proofErr w:type="gramStart"/>
      <w:r w:rsidRPr="008B35F1">
        <w:rPr>
          <w:rFonts w:ascii="Arial" w:hAnsi="Arial"/>
        </w:rPr>
        <w:t>rates</w:t>
      </w:r>
      <w:proofErr w:type="gramEnd"/>
      <w:r w:rsidRPr="008B35F1">
        <w:rPr>
          <w:rFonts w:ascii="Arial" w:hAnsi="Arial"/>
        </w:rPr>
        <w:t>.</w:t>
      </w:r>
      <w:r>
        <w:rPr>
          <w:rFonts w:ascii="Arial" w:hAnsi="Arial"/>
        </w:rPr>
        <w:t xml:space="preserve">  Sub-schedule 1.11 presents the equal rate of return summary for each rate class under proposed revenue.</w:t>
      </w:r>
    </w:p>
    <w:p w:rsidR="00405323" w:rsidRDefault="00405323" w:rsidP="00072796">
      <w:pPr>
        <w:spacing w:line="480" w:lineRule="atLeast"/>
        <w:ind w:left="720"/>
        <w:rPr>
          <w:rFonts w:ascii="Arial" w:hAnsi="Arial"/>
        </w:rPr>
      </w:pPr>
    </w:p>
    <w:p w:rsidR="0016711D" w:rsidRDefault="0016711D" w:rsidP="00072796">
      <w:pPr>
        <w:spacing w:line="480" w:lineRule="atLeast"/>
        <w:ind w:left="720" w:hanging="720"/>
        <w:rPr>
          <w:rFonts w:ascii="Arial" w:hAnsi="Arial"/>
        </w:rPr>
      </w:pPr>
    </w:p>
    <w:p w:rsidR="0016711D" w:rsidRDefault="0016711D" w:rsidP="00072796">
      <w:pPr>
        <w:spacing w:line="480" w:lineRule="atLeast"/>
        <w:ind w:left="720" w:hanging="720"/>
        <w:rPr>
          <w:rFonts w:ascii="Arial" w:hAnsi="Arial"/>
        </w:rPr>
      </w:pPr>
    </w:p>
    <w:p w:rsidR="00405323" w:rsidRPr="008B35F1" w:rsidRDefault="00405323" w:rsidP="00072796">
      <w:pPr>
        <w:spacing w:line="480" w:lineRule="atLeast"/>
        <w:ind w:left="720" w:hanging="720"/>
        <w:rPr>
          <w:rFonts w:ascii="Arial" w:hAnsi="Arial"/>
        </w:rPr>
      </w:pPr>
      <w:r w:rsidRPr="008B35F1">
        <w:rPr>
          <w:rFonts w:ascii="Arial" w:hAnsi="Arial"/>
        </w:rPr>
        <w:lastRenderedPageBreak/>
        <w:t>Q.</w:t>
      </w:r>
      <w:r w:rsidRPr="008B35F1">
        <w:rPr>
          <w:rFonts w:ascii="Arial" w:hAnsi="Arial"/>
        </w:rPr>
        <w:tab/>
        <w:t xml:space="preserve">What are the rate classes in the retail jurisdictional cost-of-service study for </w:t>
      </w:r>
      <w:r>
        <w:rPr>
          <w:rFonts w:ascii="Arial" w:hAnsi="Arial"/>
        </w:rPr>
        <w:t>Gulf</w:t>
      </w:r>
      <w:r w:rsidRPr="008B35F1">
        <w:rPr>
          <w:rFonts w:ascii="Arial" w:hAnsi="Arial"/>
        </w:rPr>
        <w:t>?</w:t>
      </w:r>
    </w:p>
    <w:p w:rsidR="00405323" w:rsidRDefault="00405323" w:rsidP="00072796">
      <w:pPr>
        <w:spacing w:line="480" w:lineRule="atLeast"/>
        <w:ind w:left="720" w:hanging="720"/>
        <w:rPr>
          <w:rFonts w:ascii="Arial" w:hAnsi="Arial"/>
        </w:rPr>
      </w:pPr>
      <w:r w:rsidRPr="008B35F1">
        <w:rPr>
          <w:rFonts w:ascii="Arial" w:hAnsi="Arial"/>
        </w:rPr>
        <w:t>A</w:t>
      </w:r>
      <w:r>
        <w:t>.</w:t>
      </w:r>
      <w:r w:rsidRPr="008B35F1">
        <w:rPr>
          <w:rFonts w:ascii="Arial" w:hAnsi="Arial"/>
        </w:rPr>
        <w:tab/>
      </w:r>
      <w:r>
        <w:rPr>
          <w:rFonts w:ascii="Arial" w:hAnsi="Arial"/>
        </w:rPr>
        <w:t>The rate classes in Gulf’s retail jurisdictional cost-of-service study are:</w:t>
      </w:r>
    </w:p>
    <w:p w:rsidR="00405323" w:rsidRDefault="00405323" w:rsidP="00072796">
      <w:pPr>
        <w:numPr>
          <w:ilvl w:val="0"/>
          <w:numId w:val="5"/>
        </w:numPr>
        <w:spacing w:line="480" w:lineRule="atLeast"/>
        <w:rPr>
          <w:rFonts w:ascii="Arial" w:hAnsi="Arial"/>
        </w:rPr>
      </w:pPr>
      <w:r w:rsidRPr="008B35F1">
        <w:rPr>
          <w:rFonts w:ascii="Arial" w:hAnsi="Arial"/>
        </w:rPr>
        <w:t xml:space="preserve">Residential Rate Class </w:t>
      </w:r>
    </w:p>
    <w:p w:rsidR="00405323" w:rsidRDefault="00405323" w:rsidP="00072796">
      <w:pPr>
        <w:numPr>
          <w:ilvl w:val="0"/>
          <w:numId w:val="5"/>
        </w:numPr>
        <w:spacing w:line="480" w:lineRule="atLeast"/>
        <w:rPr>
          <w:rFonts w:ascii="Arial" w:hAnsi="Arial"/>
        </w:rPr>
      </w:pPr>
      <w:r w:rsidRPr="008B35F1">
        <w:rPr>
          <w:rFonts w:ascii="Arial" w:hAnsi="Arial"/>
        </w:rPr>
        <w:t>Rate Class GS (Small Business)</w:t>
      </w:r>
    </w:p>
    <w:p w:rsidR="00405323" w:rsidRDefault="00405323" w:rsidP="00072796">
      <w:pPr>
        <w:numPr>
          <w:ilvl w:val="0"/>
          <w:numId w:val="5"/>
        </w:numPr>
        <w:spacing w:line="480" w:lineRule="atLeast"/>
        <w:rPr>
          <w:rFonts w:ascii="Arial" w:hAnsi="Arial"/>
        </w:rPr>
      </w:pPr>
      <w:r w:rsidRPr="008B35F1">
        <w:rPr>
          <w:rFonts w:ascii="Arial" w:hAnsi="Arial"/>
        </w:rPr>
        <w:t>Rate Class GSD/GSDT (Medium Business)</w:t>
      </w:r>
    </w:p>
    <w:p w:rsidR="00405323" w:rsidRDefault="00405323" w:rsidP="00072796">
      <w:pPr>
        <w:numPr>
          <w:ilvl w:val="0"/>
          <w:numId w:val="5"/>
        </w:numPr>
        <w:spacing w:line="480" w:lineRule="atLeast"/>
        <w:rPr>
          <w:rFonts w:ascii="Arial" w:hAnsi="Arial"/>
        </w:rPr>
      </w:pPr>
      <w:r w:rsidRPr="008B35F1">
        <w:rPr>
          <w:rFonts w:ascii="Arial" w:hAnsi="Arial"/>
        </w:rPr>
        <w:t>Rate Class LP/LPT (Large Business)</w:t>
      </w:r>
    </w:p>
    <w:p w:rsidR="00405323" w:rsidRDefault="00405323" w:rsidP="00072796">
      <w:pPr>
        <w:numPr>
          <w:ilvl w:val="0"/>
          <w:numId w:val="5"/>
        </w:numPr>
        <w:spacing w:line="480" w:lineRule="atLeast"/>
        <w:rPr>
          <w:rFonts w:ascii="Arial" w:hAnsi="Arial"/>
        </w:rPr>
      </w:pPr>
      <w:r w:rsidRPr="008B35F1">
        <w:rPr>
          <w:rFonts w:ascii="Arial" w:hAnsi="Arial"/>
        </w:rPr>
        <w:t>Rate Class Major Accounts (Very Large Business)</w:t>
      </w:r>
    </w:p>
    <w:p w:rsidR="00405323" w:rsidRDefault="00405323" w:rsidP="00072796">
      <w:pPr>
        <w:numPr>
          <w:ilvl w:val="0"/>
          <w:numId w:val="5"/>
        </w:numPr>
        <w:spacing w:line="480" w:lineRule="atLeast"/>
        <w:rPr>
          <w:rFonts w:ascii="Arial" w:hAnsi="Arial" w:cs="Arial"/>
        </w:rPr>
      </w:pPr>
      <w:r w:rsidRPr="008B35F1">
        <w:rPr>
          <w:rFonts w:ascii="Arial" w:hAnsi="Arial"/>
        </w:rPr>
        <w:t xml:space="preserve">Rate Class Outdoor </w:t>
      </w:r>
      <w:r w:rsidRPr="008B0900">
        <w:rPr>
          <w:rFonts w:ascii="Arial" w:hAnsi="Arial" w:cs="Arial"/>
        </w:rPr>
        <w:t>Service</w:t>
      </w:r>
      <w:r w:rsidRPr="00643AA1">
        <w:rPr>
          <w:rFonts w:ascii="Arial" w:hAnsi="Arial" w:cs="Arial"/>
        </w:rPr>
        <w:t xml:space="preserve"> (OS)</w:t>
      </w:r>
    </w:p>
    <w:p w:rsidR="00405323" w:rsidRPr="008B35F1" w:rsidRDefault="00405323" w:rsidP="00072796">
      <w:pPr>
        <w:spacing w:line="480" w:lineRule="atLeast"/>
        <w:ind w:left="720" w:hanging="720"/>
        <w:rPr>
          <w:rFonts w:ascii="Arial" w:hAnsi="Arial"/>
        </w:rPr>
      </w:pPr>
    </w:p>
    <w:p w:rsidR="00405323" w:rsidRPr="008B35F1" w:rsidRDefault="00405323" w:rsidP="00072796">
      <w:pPr>
        <w:spacing w:line="480" w:lineRule="atLeast"/>
        <w:ind w:left="720" w:hanging="720"/>
        <w:rPr>
          <w:rFonts w:ascii="Arial" w:hAnsi="Arial"/>
        </w:rPr>
      </w:pPr>
      <w:r w:rsidRPr="008B35F1">
        <w:rPr>
          <w:rFonts w:ascii="Arial" w:hAnsi="Arial"/>
        </w:rPr>
        <w:t>Q.</w:t>
      </w:r>
      <w:r w:rsidRPr="008B35F1">
        <w:rPr>
          <w:rFonts w:ascii="Arial" w:hAnsi="Arial"/>
        </w:rPr>
        <w:tab/>
        <w:t>What is the purpose of Schedule 2</w:t>
      </w:r>
      <w:r>
        <w:rPr>
          <w:rFonts w:ascii="Arial" w:hAnsi="Arial"/>
        </w:rPr>
        <w:t xml:space="preserve"> of Exhibit MTO-2</w:t>
      </w:r>
      <w:r w:rsidRPr="008B35F1">
        <w:rPr>
          <w:rFonts w:ascii="Arial" w:hAnsi="Arial"/>
        </w:rPr>
        <w:t>?</w:t>
      </w:r>
    </w:p>
    <w:p w:rsidR="00405323" w:rsidRDefault="00405323" w:rsidP="00072796">
      <w:pPr>
        <w:spacing w:line="480" w:lineRule="atLeast"/>
        <w:ind w:left="720" w:hanging="720"/>
        <w:rPr>
          <w:rFonts w:ascii="Arial" w:hAnsi="Arial"/>
        </w:rPr>
      </w:pPr>
      <w:r w:rsidRPr="008B35F1">
        <w:rPr>
          <w:rFonts w:ascii="Arial" w:hAnsi="Arial"/>
        </w:rPr>
        <w:t>A.</w:t>
      </w:r>
      <w:r w:rsidRPr="008B35F1">
        <w:rPr>
          <w:rFonts w:ascii="Arial" w:hAnsi="Arial"/>
        </w:rPr>
        <w:tab/>
        <w:t xml:space="preserve">Schedule 2 </w:t>
      </w:r>
      <w:r>
        <w:rPr>
          <w:rFonts w:ascii="Arial" w:hAnsi="Arial"/>
        </w:rPr>
        <w:t xml:space="preserve">of Exhibit MTO-2 </w:t>
      </w:r>
      <w:r w:rsidRPr="008B35F1">
        <w:rPr>
          <w:rFonts w:ascii="Arial" w:hAnsi="Arial"/>
        </w:rPr>
        <w:t>analyzes investment related accounts and either assigns or allocates them to</w:t>
      </w:r>
      <w:r>
        <w:rPr>
          <w:rFonts w:ascii="Arial" w:hAnsi="Arial"/>
        </w:rPr>
        <w:t xml:space="preserve"> the appropriate</w:t>
      </w:r>
      <w:r w:rsidRPr="008B35F1">
        <w:rPr>
          <w:rFonts w:ascii="Arial" w:hAnsi="Arial"/>
        </w:rPr>
        <w:t xml:space="preserve"> jurisdiction and then to rate class within the retail jurisdiction.  It includes Gross Plant Sub-schedule 2.10, Accumulated Depreciation Reserve Sub-schedule 2.20, Materials and Supplies Sub-schedule 2.30, </w:t>
      </w:r>
      <w:r w:rsidR="003D55F3">
        <w:rPr>
          <w:rFonts w:ascii="Arial" w:hAnsi="Arial"/>
        </w:rPr>
        <w:t xml:space="preserve">Other </w:t>
      </w:r>
      <w:r w:rsidRPr="008B35F1">
        <w:rPr>
          <w:rFonts w:ascii="Arial" w:hAnsi="Arial"/>
        </w:rPr>
        <w:t>Working Capital Sub-schedule 2.40, and Other Rate Base Items Sub-schedule 2.50.  Together these schedules flow to the summary Schedule 1 to provide rate base by jurisdiction and rate class.</w:t>
      </w:r>
    </w:p>
    <w:p w:rsidR="00405323" w:rsidRDefault="00405323" w:rsidP="00072796">
      <w:pPr>
        <w:pStyle w:val="Answer"/>
        <w:numPr>
          <w:ilvl w:val="0"/>
          <w:numId w:val="0"/>
        </w:numPr>
        <w:spacing w:line="480" w:lineRule="atLeast"/>
      </w:pPr>
    </w:p>
    <w:p w:rsidR="00405323" w:rsidRDefault="00405323" w:rsidP="00072796">
      <w:pPr>
        <w:pStyle w:val="Answer"/>
        <w:numPr>
          <w:ilvl w:val="0"/>
          <w:numId w:val="0"/>
        </w:numPr>
        <w:tabs>
          <w:tab w:val="clear" w:pos="720"/>
          <w:tab w:val="decimal" w:pos="0"/>
        </w:tabs>
        <w:spacing w:line="480" w:lineRule="atLeast"/>
        <w:ind w:left="720" w:hanging="720"/>
      </w:pPr>
      <w:r>
        <w:t>Q.</w:t>
      </w:r>
      <w:r>
        <w:tab/>
        <w:t xml:space="preserve">What is shown on the remaining schedules of Exhibit MTO-2? </w:t>
      </w:r>
    </w:p>
    <w:p w:rsidR="00405323" w:rsidRDefault="00405323" w:rsidP="00072796">
      <w:pPr>
        <w:pStyle w:val="Answer"/>
        <w:numPr>
          <w:ilvl w:val="0"/>
          <w:numId w:val="0"/>
        </w:numPr>
        <w:tabs>
          <w:tab w:val="clear" w:pos="720"/>
          <w:tab w:val="decimal" w:pos="-48"/>
        </w:tabs>
        <w:spacing w:line="480" w:lineRule="atLeast"/>
        <w:ind w:left="720" w:hanging="720"/>
      </w:pPr>
      <w:r>
        <w:t>A.</w:t>
      </w:r>
      <w:r>
        <w:tab/>
        <w:t xml:space="preserve">Schedule 3 provides the Analysis of Revenues.  Schedule 4 displays the Analysis of Expenses.  Sub-schedule 4.10 details the allocation of </w:t>
      </w:r>
      <w:r w:rsidR="003D55F3">
        <w:t>Operations and Maintenance (</w:t>
      </w:r>
      <w:r>
        <w:t>O&amp;M</w:t>
      </w:r>
      <w:r w:rsidR="003D55F3">
        <w:t>)</w:t>
      </w:r>
      <w:r>
        <w:t xml:space="preserve"> expenses to jurisdiction and rate classes.  Sub-schedule 4.20 describes the Depreciation expense </w:t>
      </w:r>
      <w:r>
        <w:lastRenderedPageBreak/>
        <w:t>allocation, and Sub-schedule 4.30 presents the Analysis of Taxes Other Than Income Taxes.  Schedule 5.0 contains the Table of Allocators and Percentages.  The results of these various schedules are summarized in Schedule 1.  Schedules 6.1 to 6.</w:t>
      </w:r>
      <w:r w:rsidR="0015102D">
        <w:t>9</w:t>
      </w:r>
      <w:r>
        <w:t xml:space="preserve"> show the development of the Minimum Distribution System. </w:t>
      </w:r>
    </w:p>
    <w:p w:rsidR="00405323" w:rsidRDefault="00405323" w:rsidP="00072796">
      <w:pPr>
        <w:pStyle w:val="Answer"/>
        <w:numPr>
          <w:ilvl w:val="0"/>
          <w:numId w:val="0"/>
        </w:numPr>
        <w:tabs>
          <w:tab w:val="clear" w:pos="720"/>
          <w:tab w:val="decimal" w:pos="-48"/>
        </w:tabs>
        <w:spacing w:line="480" w:lineRule="atLeast"/>
        <w:ind w:left="720" w:hanging="720"/>
      </w:pPr>
    </w:p>
    <w:p w:rsidR="00405323" w:rsidRDefault="00405323" w:rsidP="00072796">
      <w:pPr>
        <w:pStyle w:val="Answer"/>
        <w:numPr>
          <w:ilvl w:val="0"/>
          <w:numId w:val="0"/>
        </w:numPr>
        <w:tabs>
          <w:tab w:val="clear" w:pos="720"/>
          <w:tab w:val="decimal" w:pos="-48"/>
        </w:tabs>
        <w:spacing w:line="480" w:lineRule="atLeast"/>
        <w:ind w:left="720" w:hanging="720"/>
      </w:pPr>
      <w:r>
        <w:t>Q.</w:t>
      </w:r>
      <w:r>
        <w:tab/>
        <w:t>Please identify the steps that were undertaken in preparing the cost-of-service study shown in your Exhibit MTO-2.</w:t>
      </w:r>
    </w:p>
    <w:p w:rsidR="00405323" w:rsidRDefault="00405323" w:rsidP="00072796">
      <w:pPr>
        <w:pStyle w:val="Answer"/>
        <w:numPr>
          <w:ilvl w:val="0"/>
          <w:numId w:val="0"/>
        </w:numPr>
        <w:tabs>
          <w:tab w:val="clear" w:pos="720"/>
          <w:tab w:val="decimal" w:pos="-48"/>
        </w:tabs>
        <w:spacing w:line="480" w:lineRule="atLeast"/>
        <w:ind w:left="720" w:hanging="720"/>
      </w:pPr>
      <w:r>
        <w:t>A.</w:t>
      </w:r>
      <w:r>
        <w:tab/>
        <w:t>The development began with the collection and analysis of load research data.  This research provided the number of customers and their respective demand and energy sales by voltage level of service which were then used to produce the allocators.</w:t>
      </w:r>
    </w:p>
    <w:p w:rsidR="00405323" w:rsidRDefault="00405323" w:rsidP="00072796">
      <w:pPr>
        <w:pStyle w:val="Answer"/>
        <w:numPr>
          <w:ilvl w:val="0"/>
          <w:numId w:val="0"/>
        </w:numPr>
        <w:tabs>
          <w:tab w:val="clear" w:pos="720"/>
        </w:tabs>
        <w:spacing w:line="480" w:lineRule="atLeast"/>
        <w:ind w:left="720" w:hanging="720"/>
      </w:pPr>
      <w:r>
        <w:tab/>
      </w:r>
    </w:p>
    <w:p w:rsidR="00405323" w:rsidRDefault="00405323" w:rsidP="00072796">
      <w:pPr>
        <w:pStyle w:val="Answer"/>
        <w:numPr>
          <w:ilvl w:val="0"/>
          <w:numId w:val="0"/>
        </w:numPr>
        <w:tabs>
          <w:tab w:val="clear" w:pos="720"/>
        </w:tabs>
        <w:spacing w:line="480" w:lineRule="atLeast"/>
        <w:ind w:left="720"/>
      </w:pPr>
      <w:r>
        <w:t xml:space="preserve">The load research data for the </w:t>
      </w:r>
      <w:r w:rsidR="00EB4DE3">
        <w:t>test year was supplied by Gulf</w:t>
      </w:r>
      <w:r>
        <w:t xml:space="preserve"> Witness McGee.  He also provided total territorial supply and losses for annual energy and for demand</w:t>
      </w:r>
      <w:r w:rsidR="00605925">
        <w:t xml:space="preserve">.  </w:t>
      </w:r>
      <w:r>
        <w:t xml:space="preserve">In addition, </w:t>
      </w:r>
      <w:r w:rsidR="00B21498">
        <w:t xml:space="preserve">Mr. McGee provided </w:t>
      </w:r>
      <w:r>
        <w:t xml:space="preserve">annual energy sales, </w:t>
      </w:r>
      <w:r w:rsidR="00605925">
        <w:t>monthly coincident peak</w:t>
      </w:r>
      <w:r w:rsidR="00F20A1B">
        <w:t xml:space="preserve"> (</w:t>
      </w:r>
      <w:r>
        <w:t>MCP</w:t>
      </w:r>
      <w:r w:rsidR="00F20A1B">
        <w:t>)</w:t>
      </w:r>
      <w:r>
        <w:t xml:space="preserve"> demands, </w:t>
      </w:r>
      <w:r w:rsidR="00605925">
        <w:t xml:space="preserve">annual </w:t>
      </w:r>
      <w:r>
        <w:t xml:space="preserve">non-coincident peak </w:t>
      </w:r>
      <w:r w:rsidR="00F20A1B">
        <w:t xml:space="preserve">(NCP) </w:t>
      </w:r>
      <w:r>
        <w:t>demands, and the average number of customers for the test year by rate class and voltage level.  These inputs were then used to calculate the "12-MCP,” “NCP”, " "energy," and "number of customers" allocators.</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tab/>
        <w:t>Please describe the 12-MCP and NCP concepts and why they are used.</w:t>
      </w:r>
    </w:p>
    <w:p w:rsidR="00405323" w:rsidRDefault="00405323" w:rsidP="00072796">
      <w:pPr>
        <w:pStyle w:val="Answer"/>
        <w:numPr>
          <w:ilvl w:val="0"/>
          <w:numId w:val="0"/>
        </w:numPr>
        <w:tabs>
          <w:tab w:val="clear" w:pos="720"/>
        </w:tabs>
        <w:spacing w:line="480" w:lineRule="atLeast"/>
        <w:ind w:left="720" w:hanging="720"/>
      </w:pPr>
      <w:r>
        <w:t>A.</w:t>
      </w:r>
      <w:r>
        <w:tab/>
        <w:t xml:space="preserve">The 12-MCP demand is the sum of the highest kilowatt load predicted to occur in each month of the test year divided by twelve.  This 12-MCP </w:t>
      </w:r>
      <w:r>
        <w:lastRenderedPageBreak/>
        <w:t xml:space="preserve">concept </w:t>
      </w:r>
      <w:r w:rsidR="00B21498">
        <w:t xml:space="preserve">recognizes </w:t>
      </w:r>
      <w:r>
        <w:t xml:space="preserve">the fact that Gulf's system is planned and operated for the purpose of meeting these demands for electricity every month of the year.  It also reflects consideration </w:t>
      </w:r>
      <w:r w:rsidR="00B21498">
        <w:t xml:space="preserve">of </w:t>
      </w:r>
      <w:r>
        <w:t>scheduled maintenance, firm sales and purchase commitments, and reliance on interconnections.  In addition</w:t>
      </w:r>
      <w:r w:rsidR="006053D3">
        <w:t>,</w:t>
      </w:r>
      <w:r>
        <w:t xml:space="preserve"> 12-MCP has traditionally been the FERC's preferred allocation technique for determining </w:t>
      </w:r>
      <w:r w:rsidR="00B21498">
        <w:t xml:space="preserve">the </w:t>
      </w:r>
      <w:r>
        <w:t xml:space="preserve">wholesale jurisdictional obligation.  The 12-MCP demand allocator has been used to help make the split between retail and wholesale. </w:t>
      </w:r>
      <w:r w:rsidR="0039284B">
        <w:t xml:space="preserve"> </w:t>
      </w:r>
      <w:r>
        <w:t xml:space="preserve">Within the retail jurisdiction it is used to allocate generation level </w:t>
      </w:r>
      <w:r w:rsidR="00EB4DE3">
        <w:t>demand-related</w:t>
      </w:r>
      <w:r>
        <w:t xml:space="preserve"> costs and transmission step-up substation and transmission line costs.</w:t>
      </w:r>
    </w:p>
    <w:p w:rsidR="00405323" w:rsidRDefault="00405323" w:rsidP="00072796">
      <w:pPr>
        <w:pStyle w:val="Answer"/>
        <w:numPr>
          <w:ilvl w:val="0"/>
          <w:numId w:val="0"/>
        </w:numPr>
        <w:tabs>
          <w:tab w:val="clear" w:pos="720"/>
        </w:tabs>
        <w:spacing w:line="480" w:lineRule="atLeast"/>
        <w:ind w:left="720"/>
      </w:pPr>
      <w:r>
        <w:t xml:space="preserve">  </w:t>
      </w:r>
    </w:p>
    <w:p w:rsidR="00405323" w:rsidRDefault="00405323" w:rsidP="00072796">
      <w:pPr>
        <w:pStyle w:val="Answer"/>
        <w:numPr>
          <w:ilvl w:val="0"/>
          <w:numId w:val="0"/>
        </w:numPr>
        <w:tabs>
          <w:tab w:val="clear" w:pos="720"/>
        </w:tabs>
        <w:spacing w:line="480" w:lineRule="atLeast"/>
        <w:ind w:left="720"/>
      </w:pPr>
      <w:r>
        <w:t xml:space="preserve">The NCP demand for each retail rate class is the highest demand occurring for that rate class during the test year.  </w:t>
      </w:r>
      <w:r w:rsidR="00B21498">
        <w:t>The NCP demand allocat</w:t>
      </w:r>
      <w:r w:rsidR="00E716D6">
        <w:t>o</w:t>
      </w:r>
      <w:r w:rsidR="00B21498">
        <w:t>r</w:t>
      </w:r>
      <w:r>
        <w:t xml:space="preserve"> was used to allocate distribution demand costs at Level 4 (primary distribution) and Level 5 (secondary distribution) and was similarly applied in Gulf’s last rate case.</w:t>
      </w:r>
    </w:p>
    <w:p w:rsidR="00405323" w:rsidRDefault="00405323" w:rsidP="00072796">
      <w:pPr>
        <w:pStyle w:val="Answer"/>
        <w:numPr>
          <w:ilvl w:val="0"/>
          <w:numId w:val="0"/>
        </w:numPr>
        <w:tabs>
          <w:tab w:val="clear" w:pos="720"/>
        </w:tabs>
        <w:spacing w:line="480" w:lineRule="atLeast"/>
        <w:ind w:left="720"/>
      </w:pPr>
    </w:p>
    <w:p w:rsidR="00405323" w:rsidRDefault="00405323" w:rsidP="00072796">
      <w:pPr>
        <w:pStyle w:val="Answer"/>
        <w:numPr>
          <w:ilvl w:val="0"/>
          <w:numId w:val="0"/>
        </w:numPr>
        <w:tabs>
          <w:tab w:val="clear" w:pos="720"/>
        </w:tabs>
        <w:spacing w:line="480" w:lineRule="atLeast"/>
        <w:ind w:left="720" w:hanging="720"/>
      </w:pPr>
      <w:r>
        <w:t>Q.</w:t>
      </w:r>
      <w:r>
        <w:tab/>
        <w:t>Please explain the steps that were used in developing the demand and energy allocators.</w:t>
      </w:r>
    </w:p>
    <w:p w:rsidR="00405323" w:rsidRDefault="00405323" w:rsidP="00072796">
      <w:pPr>
        <w:pStyle w:val="Answer"/>
        <w:numPr>
          <w:ilvl w:val="0"/>
          <w:numId w:val="0"/>
        </w:numPr>
        <w:tabs>
          <w:tab w:val="clear" w:pos="720"/>
        </w:tabs>
        <w:spacing w:line="480" w:lineRule="atLeast"/>
        <w:ind w:left="720" w:hanging="720"/>
      </w:pPr>
      <w:r>
        <w:t>A.</w:t>
      </w:r>
      <w:r>
        <w:tab/>
        <w:t>Balanced system load flows for demand and energy were first developed through a load flow program, which spreads total system losses to each voltage level.  These levels, which are defined in more detail in MFR E-10, are used to describe the flow of electricity from generation, through the various transformations, across the various transmission and distribution lines, to the eventual delivery to the customer.</w:t>
      </w:r>
    </w:p>
    <w:p w:rsidR="00405323" w:rsidRDefault="00405323" w:rsidP="00072796">
      <w:pPr>
        <w:pStyle w:val="Answer"/>
        <w:numPr>
          <w:ilvl w:val="0"/>
          <w:numId w:val="0"/>
        </w:numPr>
        <w:tabs>
          <w:tab w:val="clear" w:pos="720"/>
        </w:tabs>
        <w:spacing w:line="480" w:lineRule="atLeast"/>
        <w:ind w:left="720"/>
      </w:pPr>
      <w:r>
        <w:lastRenderedPageBreak/>
        <w:t>The load flow process begins by taking the total energy sales at Level 5, the secondary distribution level, multiplying these sales by the loss percentage at Level 5, and then combining these calculated losses and sales.  This amount is then added to the sales at Level 4, and this new total is, in turn, multiplied by the loss percentage at Level 4.  This procedure is continued up through Level 1, the generation level.  The program adjusts the loss percentages at each level and then iterates the above process until the sum of the losses at each level matches the total system losses and a balanced flow is produced.  These total system loss percentages are then applied to the rate classes by voltage level, thus computing energy allocators for each respective voltage level.  A similar process is used to calculate the 12-MCP demand allocators.  The NCP demand allocators for Levels 4 and 5 are developed similarly and use the loss percentages calculated by the 12-MCP demand flow, since there is no territorial input for NCP with which to balance.</w:t>
      </w:r>
    </w:p>
    <w:p w:rsidR="002A17F5" w:rsidRDefault="002A17F5"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tab/>
        <w:t>What other types of allocators were used besides demand and energy?</w:t>
      </w:r>
    </w:p>
    <w:p w:rsidR="00405323" w:rsidRDefault="00405323" w:rsidP="00072796">
      <w:pPr>
        <w:pStyle w:val="Answer"/>
        <w:numPr>
          <w:ilvl w:val="0"/>
          <w:numId w:val="0"/>
        </w:numPr>
        <w:tabs>
          <w:tab w:val="clear" w:pos="720"/>
        </w:tabs>
        <w:spacing w:line="480" w:lineRule="atLeast"/>
        <w:ind w:left="720" w:hanging="720"/>
      </w:pPr>
      <w:r>
        <w:t>A</w:t>
      </w:r>
      <w:r w:rsidR="002D435F">
        <w:t>.</w:t>
      </w:r>
      <w:r>
        <w:tab/>
      </w:r>
      <w:r w:rsidR="00EB4DE3">
        <w:t>Customer-related</w:t>
      </w:r>
      <w:r>
        <w:t xml:space="preserve"> allocators were also used in order to allocate </w:t>
      </w:r>
      <w:r w:rsidR="00EB4DE3">
        <w:t>customer-related</w:t>
      </w:r>
      <w:r>
        <w:t xml:space="preserve"> costs.  </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rsidR="00856220">
        <w:t>.</w:t>
      </w:r>
      <w:r>
        <w:tab/>
        <w:t>What was the next step in the development of Gulf's cost-of-service study?</w:t>
      </w:r>
    </w:p>
    <w:p w:rsidR="00405323" w:rsidRDefault="00405323" w:rsidP="00072796">
      <w:pPr>
        <w:pStyle w:val="Answer"/>
        <w:numPr>
          <w:ilvl w:val="0"/>
          <w:numId w:val="0"/>
        </w:numPr>
        <w:tabs>
          <w:tab w:val="clear" w:pos="720"/>
        </w:tabs>
        <w:spacing w:line="480" w:lineRule="atLeast"/>
        <w:ind w:left="720" w:hanging="720"/>
      </w:pPr>
      <w:r>
        <w:t>A.</w:t>
      </w:r>
      <w:r>
        <w:tab/>
        <w:t xml:space="preserve">Mr. McMillan provided the financial information for the projected test year.  </w:t>
      </w:r>
      <w:proofErr w:type="gramStart"/>
      <w:r>
        <w:t>These investment</w:t>
      </w:r>
      <w:proofErr w:type="gramEnd"/>
      <w:r>
        <w:t xml:space="preserve">, revenue and expense items were then assigned to jurisdiction and rate class if a direct cost causative relationship was </w:t>
      </w:r>
      <w:r>
        <w:lastRenderedPageBreak/>
        <w:t>known, or allocated to jurisdiction and rate class using the previously developed allocators.</w:t>
      </w:r>
    </w:p>
    <w:p w:rsidR="0039284B" w:rsidRDefault="0039284B"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tab/>
        <w:t>How were the allocations made between the wholesale and retail jurisdictions?</w:t>
      </w:r>
    </w:p>
    <w:p w:rsidR="00405323" w:rsidRDefault="00405323" w:rsidP="00072796">
      <w:pPr>
        <w:pStyle w:val="Answer"/>
        <w:numPr>
          <w:ilvl w:val="0"/>
          <w:numId w:val="0"/>
        </w:numPr>
        <w:tabs>
          <w:tab w:val="clear" w:pos="720"/>
        </w:tabs>
        <w:spacing w:line="480" w:lineRule="atLeast"/>
        <w:ind w:left="720" w:hanging="720"/>
      </w:pPr>
      <w:r>
        <w:t>A.</w:t>
      </w:r>
      <w:r>
        <w:tab/>
        <w:t xml:space="preserve">Where costs were identified as serving only the retail or wholesale jurisdictions, they were assigned to that respective jurisdiction.  Where costs were common and served both jurisdictions, they were allocated. The jurisdictional separation for demand costs was based upon the 12-MCP allocation.  A kWh allocator was employed for the allocation of </w:t>
      </w:r>
      <w:r w:rsidR="00EB4DE3">
        <w:t>energy-related</w:t>
      </w:r>
      <w:r>
        <w:t xml:space="preserve"> costs.  Again, this methodology is consistent with the one approved in Gulf's last rate case.  The methodology also conforms to MFR E-1.</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tab/>
        <w:t>Please describe the analysis within the retail jurisdiction.</w:t>
      </w:r>
    </w:p>
    <w:p w:rsidR="00406350" w:rsidRDefault="00405323" w:rsidP="00072796">
      <w:pPr>
        <w:pStyle w:val="Answer"/>
        <w:numPr>
          <w:ilvl w:val="0"/>
          <w:numId w:val="0"/>
        </w:numPr>
        <w:tabs>
          <w:tab w:val="clear" w:pos="720"/>
        </w:tabs>
        <w:spacing w:line="480" w:lineRule="atLeast"/>
        <w:ind w:left="720" w:hanging="720"/>
      </w:pPr>
      <w:r>
        <w:t>A.</w:t>
      </w:r>
      <w:r>
        <w:tab/>
        <w:t xml:space="preserve">Where known to serve a particular rate class, revenues and costs were directly assigned.  For example, residential revenues were assigned to the residential rate class and outdoor lighting fixture costs were assigned to the outdoor service rate class.  The </w:t>
      </w:r>
      <w:proofErr w:type="gramStart"/>
      <w:r>
        <w:t>majority of costs were</w:t>
      </w:r>
      <w:proofErr w:type="gramEnd"/>
      <w:r>
        <w:t xml:space="preserve"> common and therefore were allocated.  Generation level costs were allocated on the basis of 12-MCP &amp; 1/13 kWh (energy).  </w:t>
      </w:r>
      <w:r w:rsidR="00EB4DE3">
        <w:t>Energy-related</w:t>
      </w:r>
      <w:r>
        <w:t xml:space="preserve"> accounts were allocated upon the kWh allocator.  Transmission, subtransmission and substations were allocated upon the12-MCP concept.  Primary and secondary distribution </w:t>
      </w:r>
      <w:r w:rsidR="00EB4DE3">
        <w:t>demand-related</w:t>
      </w:r>
      <w:r w:rsidR="00406350">
        <w:t xml:space="preserve"> costs were apportioned on the</w:t>
      </w:r>
    </w:p>
    <w:p w:rsidR="00865A0E" w:rsidRDefault="00865A0E" w:rsidP="00072796">
      <w:pPr>
        <w:pStyle w:val="Answer"/>
        <w:numPr>
          <w:ilvl w:val="0"/>
          <w:numId w:val="0"/>
        </w:numPr>
        <w:tabs>
          <w:tab w:val="clear" w:pos="720"/>
        </w:tabs>
        <w:spacing w:line="480" w:lineRule="atLeast"/>
        <w:ind w:left="720" w:hanging="720"/>
      </w:pPr>
    </w:p>
    <w:p w:rsidR="00405323" w:rsidRDefault="00405323" w:rsidP="00406350">
      <w:pPr>
        <w:pStyle w:val="Answer"/>
        <w:numPr>
          <w:ilvl w:val="0"/>
          <w:numId w:val="0"/>
        </w:numPr>
        <w:tabs>
          <w:tab w:val="clear" w:pos="720"/>
        </w:tabs>
        <w:spacing w:line="480" w:lineRule="atLeast"/>
        <w:ind w:left="720"/>
      </w:pPr>
      <w:proofErr w:type="gramStart"/>
      <w:r>
        <w:lastRenderedPageBreak/>
        <w:t>corresponding</w:t>
      </w:r>
      <w:proofErr w:type="gramEnd"/>
      <w:r>
        <w:t xml:space="preserve"> NCP allocators, and </w:t>
      </w:r>
      <w:r w:rsidR="00EB4DE3">
        <w:t>customer-related</w:t>
      </w:r>
      <w:r>
        <w:t xml:space="preserve"> costs were allocated upon the respective customer allocator.</w:t>
      </w:r>
    </w:p>
    <w:p w:rsidR="00405323" w:rsidRDefault="00405323" w:rsidP="00072796">
      <w:pPr>
        <w:spacing w:line="480" w:lineRule="atLeast"/>
        <w:ind w:left="720" w:hanging="720"/>
        <w:rPr>
          <w:rFonts w:ascii="Arial" w:hAnsi="Arial"/>
        </w:rPr>
      </w:pPr>
    </w:p>
    <w:p w:rsidR="00405323" w:rsidRDefault="00405323" w:rsidP="00072796">
      <w:pPr>
        <w:pStyle w:val="Answer"/>
        <w:numPr>
          <w:ilvl w:val="0"/>
          <w:numId w:val="0"/>
        </w:numPr>
        <w:tabs>
          <w:tab w:val="clear" w:pos="720"/>
          <w:tab w:val="decimal" w:pos="-24"/>
        </w:tabs>
        <w:spacing w:line="480" w:lineRule="atLeast"/>
        <w:ind w:left="720" w:hanging="720"/>
      </w:pPr>
      <w:r>
        <w:t>Q.</w:t>
      </w:r>
      <w:r>
        <w:tab/>
        <w:t>How does the cost-of-service methodology proposed by Gulf in this case compare to the methodology approved by the Commission in the Company’s last rate case?</w:t>
      </w:r>
    </w:p>
    <w:p w:rsidR="00405323" w:rsidRDefault="00405323" w:rsidP="00072796">
      <w:pPr>
        <w:pStyle w:val="Answer"/>
        <w:numPr>
          <w:ilvl w:val="0"/>
          <w:numId w:val="0"/>
        </w:numPr>
        <w:tabs>
          <w:tab w:val="clear" w:pos="720"/>
          <w:tab w:val="decimal" w:pos="-24"/>
        </w:tabs>
        <w:spacing w:line="480" w:lineRule="atLeast"/>
        <w:ind w:left="720" w:hanging="720"/>
      </w:pPr>
      <w:r>
        <w:t>A.</w:t>
      </w:r>
      <w:r>
        <w:tab/>
        <w:t>It is the same except for a request to employ</w:t>
      </w:r>
      <w:r w:rsidRPr="0067757C">
        <w:t xml:space="preserve"> </w:t>
      </w:r>
      <w:r>
        <w:t>the Minimum Distribution System methodology to identify and allocate customer-related distribution system costs.</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ab/>
        <w:t xml:space="preserve">Although the Company does not agree that the use of 12-MCP &amp; 1/13 kWh is a better allocator of generation level costs than a pure 12-MCP allocator </w:t>
      </w:r>
      <w:r w:rsidR="00B21498">
        <w:t xml:space="preserve">would be, </w:t>
      </w:r>
      <w:r>
        <w:t>Gulf nevertheless prepared its study in this case using the Commission-approved methodology.  Gulf continues to believe that a pure 12 MCP factor for generation results in a more accurate cost allocation.  However, using the Commission’s preferred method does not result in major variances in c</w:t>
      </w:r>
      <w:r w:rsidR="009975C2">
        <w:t>ost allocation from the pure 12-</w:t>
      </w:r>
      <w:r>
        <w:t>MCP approach and does not significantly impair Gulf in designing efficient rates.</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Please explain why the Minimum Distribution System methodology is important to Gulf and its customers.</w:t>
      </w:r>
    </w:p>
    <w:p w:rsidR="00405323" w:rsidRDefault="00405323" w:rsidP="00072796">
      <w:pPr>
        <w:pStyle w:val="Answer"/>
        <w:numPr>
          <w:ilvl w:val="0"/>
          <w:numId w:val="0"/>
        </w:numPr>
        <w:tabs>
          <w:tab w:val="clear" w:pos="720"/>
          <w:tab w:val="left" w:pos="0"/>
        </w:tabs>
        <w:spacing w:line="480" w:lineRule="atLeast"/>
        <w:ind w:left="720" w:hanging="720"/>
      </w:pPr>
      <w:r>
        <w:t>A.</w:t>
      </w:r>
      <w:r>
        <w:tab/>
        <w:t>As I discuss in more detail later, some costs of the distribution system beyond the customer meter and service drop do not vary with customers’ use of electricity.</w:t>
      </w:r>
      <w:r w:rsidR="0039284B">
        <w:t xml:space="preserve"> </w:t>
      </w:r>
      <w:r>
        <w:t xml:space="preserve"> The Minimum Distribution System (MDS) methodology is necessary to accurately determine and allocate these customer-related </w:t>
      </w:r>
      <w:r>
        <w:lastRenderedPageBreak/>
        <w:t xml:space="preserve">distribution costs. </w:t>
      </w:r>
      <w:r w:rsidR="0039284B">
        <w:t xml:space="preserve"> </w:t>
      </w:r>
      <w:r>
        <w:t>The misclassification of costs that results from not using the MDS methodology sends misleading price signals to customers.</w:t>
      </w:r>
      <w:r w:rsidR="0039284B">
        <w:t xml:space="preserve"> </w:t>
      </w:r>
      <w:r>
        <w:t xml:space="preserve"> This misclassification also results in different customer rate classes bearing more or less costs than </w:t>
      </w:r>
      <w:r w:rsidR="00B21498">
        <w:t xml:space="preserve">their </w:t>
      </w:r>
      <w:r>
        <w:t xml:space="preserve">cost-causative </w:t>
      </w:r>
      <w:r w:rsidR="00B21498">
        <w:t xml:space="preserve">share </w:t>
      </w:r>
      <w:r>
        <w:t xml:space="preserve">of distribution costs. </w:t>
      </w:r>
      <w:r w:rsidR="0039284B">
        <w:t xml:space="preserve"> </w:t>
      </w:r>
      <w:r>
        <w:t xml:space="preserve">It is therefore important to examine these </w:t>
      </w:r>
      <w:r w:rsidR="00EB4DE3">
        <w:t>customer-related</w:t>
      </w:r>
      <w:r>
        <w:t xml:space="preserve"> costs and classify them appropriately, which the MDS methodology enables us to do.</w:t>
      </w:r>
    </w:p>
    <w:p w:rsidR="00405323" w:rsidRDefault="00405323" w:rsidP="00072796">
      <w:pPr>
        <w:pStyle w:val="Answer"/>
        <w:numPr>
          <w:ilvl w:val="0"/>
          <w:numId w:val="0"/>
        </w:numPr>
        <w:tabs>
          <w:tab w:val="clear" w:pos="720"/>
          <w:tab w:val="decimal" w:pos="-24"/>
        </w:tabs>
        <w:spacing w:line="480" w:lineRule="atLeast"/>
      </w:pPr>
    </w:p>
    <w:p w:rsidR="00405323" w:rsidRDefault="00405323" w:rsidP="00072796">
      <w:pPr>
        <w:pStyle w:val="Answer"/>
        <w:numPr>
          <w:ilvl w:val="0"/>
          <w:numId w:val="0"/>
        </w:numPr>
        <w:tabs>
          <w:tab w:val="clear" w:pos="720"/>
          <w:tab w:val="decimal" w:pos="-24"/>
        </w:tabs>
        <w:spacing w:line="480" w:lineRule="atLeast"/>
      </w:pPr>
      <w:r>
        <w:t>Q.</w:t>
      </w:r>
      <w:r>
        <w:tab/>
        <w:t xml:space="preserve">Where are </w:t>
      </w:r>
      <w:r w:rsidR="00EB4DE3">
        <w:t>customer-related</w:t>
      </w:r>
      <w:r>
        <w:t xml:space="preserve"> costs found?</w:t>
      </w:r>
    </w:p>
    <w:p w:rsidR="002A17F5" w:rsidRDefault="00405323" w:rsidP="00072796">
      <w:pPr>
        <w:pStyle w:val="Answer"/>
        <w:numPr>
          <w:ilvl w:val="0"/>
          <w:numId w:val="0"/>
        </w:numPr>
        <w:tabs>
          <w:tab w:val="clear" w:pos="720"/>
          <w:tab w:val="decimal" w:pos="-24"/>
        </w:tabs>
        <w:spacing w:line="480" w:lineRule="atLeast"/>
        <w:ind w:left="720" w:hanging="720"/>
      </w:pPr>
      <w:r>
        <w:t>A.</w:t>
      </w:r>
      <w:r>
        <w:tab/>
        <w:t xml:space="preserve">Basically, they can be found in Customer Assistance, Customer Service and the FERC mass distribution accounts.  They relate to the costs of being capable </w:t>
      </w:r>
      <w:r w:rsidR="00E26012">
        <w:t>of providing</w:t>
      </w:r>
      <w:r>
        <w:t xml:space="preserve"> electric service.  In other words, regardless </w:t>
      </w:r>
      <w:r w:rsidRPr="009223D2">
        <w:t xml:space="preserve">of the quantity of electricity demanded, the mere fact that the utility must be prepared to provide service at any time </w:t>
      </w:r>
      <w:r>
        <w:t>causes</w:t>
      </w:r>
      <w:r w:rsidRPr="009223D2">
        <w:t xml:space="preserve"> </w:t>
      </w:r>
      <w:r w:rsidR="00B21498">
        <w:t xml:space="preserve">those </w:t>
      </w:r>
      <w:r w:rsidRPr="009223D2">
        <w:t>cost</w:t>
      </w:r>
      <w:r>
        <w:t>s</w:t>
      </w:r>
      <w:r w:rsidRPr="009223D2">
        <w:t xml:space="preserve"> to be incurred.  </w:t>
      </w:r>
    </w:p>
    <w:p w:rsidR="002A17F5" w:rsidRDefault="002A17F5" w:rsidP="00072796">
      <w:pPr>
        <w:pStyle w:val="Answer"/>
        <w:numPr>
          <w:ilvl w:val="0"/>
          <w:numId w:val="0"/>
        </w:numPr>
        <w:tabs>
          <w:tab w:val="clear" w:pos="720"/>
          <w:tab w:val="decimal" w:pos="-24"/>
        </w:tabs>
        <w:spacing w:line="480" w:lineRule="atLeast"/>
        <w:ind w:left="720" w:hanging="720"/>
      </w:pPr>
    </w:p>
    <w:p w:rsidR="00405323" w:rsidRDefault="002A17F5" w:rsidP="00072796">
      <w:pPr>
        <w:pStyle w:val="Answer"/>
        <w:numPr>
          <w:ilvl w:val="0"/>
          <w:numId w:val="0"/>
        </w:numPr>
        <w:tabs>
          <w:tab w:val="clear" w:pos="720"/>
          <w:tab w:val="decimal" w:pos="-24"/>
        </w:tabs>
        <w:spacing w:line="480" w:lineRule="atLeast"/>
        <w:ind w:left="720" w:hanging="720"/>
      </w:pPr>
      <w:r>
        <w:tab/>
      </w:r>
      <w:r w:rsidR="00405323" w:rsidRPr="009223D2">
        <w:t xml:space="preserve">These </w:t>
      </w:r>
      <w:r w:rsidR="00405323">
        <w:t>customer-</w:t>
      </w:r>
      <w:r w:rsidR="00405323" w:rsidRPr="009223D2">
        <w:t xml:space="preserve">related costs </w:t>
      </w:r>
      <w:r w:rsidR="00405323">
        <w:t xml:space="preserve">are </w:t>
      </w:r>
      <w:r w:rsidR="00405323" w:rsidRPr="009223D2">
        <w:t xml:space="preserve">driven by the simple fact that </w:t>
      </w:r>
      <w:r w:rsidR="00405323">
        <w:t>each</w:t>
      </w:r>
      <w:r w:rsidR="00405323" w:rsidRPr="009223D2">
        <w:t xml:space="preserve"> customer </w:t>
      </w:r>
      <w:r w:rsidR="00405323">
        <w:t>must have the ability to receive service</w:t>
      </w:r>
      <w:r w:rsidR="00405323" w:rsidRPr="009223D2">
        <w:t>.</w:t>
      </w:r>
    </w:p>
    <w:p w:rsidR="00405323" w:rsidRDefault="00405323" w:rsidP="00072796">
      <w:pPr>
        <w:pStyle w:val="Answer"/>
        <w:numPr>
          <w:ilvl w:val="0"/>
          <w:numId w:val="0"/>
        </w:numPr>
        <w:tabs>
          <w:tab w:val="clear" w:pos="720"/>
          <w:tab w:val="decimal" w:pos="-24"/>
        </w:tabs>
        <w:spacing w:line="480" w:lineRule="atLeast"/>
        <w:ind w:left="720" w:hanging="720"/>
      </w:pPr>
    </w:p>
    <w:p w:rsidR="00865A0E" w:rsidRDefault="00405323" w:rsidP="00072796">
      <w:pPr>
        <w:pStyle w:val="Answer"/>
        <w:numPr>
          <w:ilvl w:val="0"/>
          <w:numId w:val="0"/>
        </w:numPr>
        <w:tabs>
          <w:tab w:val="clear" w:pos="720"/>
          <w:tab w:val="decimal" w:pos="-24"/>
        </w:tabs>
        <w:spacing w:line="480" w:lineRule="atLeast"/>
        <w:ind w:left="720" w:hanging="720"/>
      </w:pPr>
      <w:r>
        <w:tab/>
        <w:t>This cost category which Gulf designates as “</w:t>
      </w:r>
      <w:r w:rsidR="00EB4DE3">
        <w:t>customer-related</w:t>
      </w:r>
      <w:r>
        <w:t xml:space="preserve">” includes all distribution costs which do not vary with demand or energy use.  Some may vary directly with the number of customers to be served while others are a fixed requirement necessary for a distribution system regardless of quantity of usage.  An example would be protective devices (found in FERC Account 368), which operate in the same manner with or without </w:t>
      </w:r>
    </w:p>
    <w:p w:rsidR="00865A0E" w:rsidRDefault="00865A0E" w:rsidP="00072796">
      <w:pPr>
        <w:pStyle w:val="Answer"/>
        <w:numPr>
          <w:ilvl w:val="0"/>
          <w:numId w:val="0"/>
        </w:numPr>
        <w:tabs>
          <w:tab w:val="clear" w:pos="720"/>
          <w:tab w:val="decimal" w:pos="-24"/>
        </w:tabs>
        <w:spacing w:line="480" w:lineRule="atLeast"/>
        <w:ind w:left="720" w:hanging="720"/>
      </w:pPr>
    </w:p>
    <w:p w:rsidR="00405323" w:rsidRDefault="00865A0E" w:rsidP="00072796">
      <w:pPr>
        <w:pStyle w:val="Answer"/>
        <w:numPr>
          <w:ilvl w:val="0"/>
          <w:numId w:val="0"/>
        </w:numPr>
        <w:tabs>
          <w:tab w:val="clear" w:pos="720"/>
          <w:tab w:val="decimal" w:pos="-24"/>
        </w:tabs>
        <w:spacing w:line="480" w:lineRule="atLeast"/>
        <w:ind w:left="720" w:hanging="720"/>
      </w:pPr>
      <w:r>
        <w:lastRenderedPageBreak/>
        <w:tab/>
      </w:r>
      <w:proofErr w:type="gramStart"/>
      <w:r w:rsidR="00405323">
        <w:t>load</w:t>
      </w:r>
      <w:proofErr w:type="gramEnd"/>
      <w:r w:rsidR="00405323">
        <w:t xml:space="preserve"> on the system in order to keep the lines available to as many customers as possible.</w:t>
      </w:r>
    </w:p>
    <w:p w:rsidR="002A17F5" w:rsidRDefault="002A17F5" w:rsidP="00072796">
      <w:pPr>
        <w:pStyle w:val="Answer"/>
        <w:numPr>
          <w:ilvl w:val="0"/>
          <w:numId w:val="0"/>
        </w:numPr>
        <w:tabs>
          <w:tab w:val="clear" w:pos="720"/>
          <w:tab w:val="decimal" w:pos="-24"/>
        </w:tabs>
        <w:spacing w:line="480" w:lineRule="atLeast"/>
        <w:ind w:left="720" w:hanging="720"/>
      </w:pPr>
    </w:p>
    <w:p w:rsidR="00405323" w:rsidRPr="008B35F1" w:rsidRDefault="00405323" w:rsidP="00072796">
      <w:pPr>
        <w:spacing w:line="480" w:lineRule="atLeast"/>
        <w:ind w:left="720" w:hanging="720"/>
        <w:rPr>
          <w:rFonts w:ascii="Arial" w:hAnsi="Arial"/>
        </w:rPr>
      </w:pPr>
      <w:r w:rsidRPr="008B35F1">
        <w:rPr>
          <w:rFonts w:ascii="Arial" w:hAnsi="Arial"/>
        </w:rPr>
        <w:t>Q.</w:t>
      </w:r>
      <w:r w:rsidRPr="008B35F1">
        <w:rPr>
          <w:rFonts w:ascii="Arial" w:hAnsi="Arial"/>
        </w:rPr>
        <w:tab/>
        <w:t xml:space="preserve">Which FERC accounts require cost classification scrutiny </w:t>
      </w:r>
      <w:r>
        <w:rPr>
          <w:rFonts w:ascii="Arial" w:hAnsi="Arial"/>
        </w:rPr>
        <w:t xml:space="preserve">to identify their </w:t>
      </w:r>
      <w:r w:rsidR="00EB4DE3">
        <w:rPr>
          <w:rFonts w:ascii="Arial" w:hAnsi="Arial"/>
        </w:rPr>
        <w:t>customer-related</w:t>
      </w:r>
      <w:r>
        <w:rPr>
          <w:rFonts w:ascii="Arial" w:hAnsi="Arial"/>
        </w:rPr>
        <w:t xml:space="preserve"> </w:t>
      </w:r>
      <w:r w:rsidRPr="008B35F1">
        <w:rPr>
          <w:rFonts w:ascii="Arial" w:hAnsi="Arial"/>
        </w:rPr>
        <w:t>component?</w:t>
      </w:r>
    </w:p>
    <w:p w:rsidR="00405323" w:rsidRPr="008B35F1" w:rsidRDefault="00405323" w:rsidP="00072796">
      <w:pPr>
        <w:spacing w:line="480" w:lineRule="atLeast"/>
        <w:ind w:left="720" w:hanging="720"/>
        <w:rPr>
          <w:rFonts w:ascii="Arial" w:hAnsi="Arial"/>
        </w:rPr>
      </w:pPr>
      <w:r w:rsidRPr="008B35F1">
        <w:rPr>
          <w:rFonts w:ascii="Arial" w:hAnsi="Arial"/>
        </w:rPr>
        <w:t>A.</w:t>
      </w:r>
      <w:r w:rsidRPr="008B35F1">
        <w:rPr>
          <w:rFonts w:ascii="Arial" w:hAnsi="Arial"/>
        </w:rPr>
        <w:tab/>
        <w:t xml:space="preserve">Accounts 364-370 usually require an analysis to properly apportion their overall costs into those which are </w:t>
      </w:r>
      <w:r w:rsidR="00EB4DE3">
        <w:rPr>
          <w:rFonts w:ascii="Arial" w:hAnsi="Arial"/>
        </w:rPr>
        <w:t>customer-related</w:t>
      </w:r>
      <w:r w:rsidRPr="008B35F1">
        <w:rPr>
          <w:rFonts w:ascii="Arial" w:hAnsi="Arial"/>
        </w:rPr>
        <w:t xml:space="preserve"> and those which are </w:t>
      </w:r>
      <w:r w:rsidR="00EB4DE3">
        <w:rPr>
          <w:rFonts w:ascii="Arial" w:hAnsi="Arial"/>
        </w:rPr>
        <w:t>demand-related</w:t>
      </w:r>
      <w:r w:rsidRPr="008B35F1">
        <w:rPr>
          <w:rFonts w:ascii="Arial" w:hAnsi="Arial"/>
        </w:rPr>
        <w:t>.</w:t>
      </w:r>
    </w:p>
    <w:p w:rsidR="00405323" w:rsidRPr="008B35F1" w:rsidRDefault="00405323" w:rsidP="00072796">
      <w:pPr>
        <w:spacing w:line="480" w:lineRule="atLeast"/>
        <w:rPr>
          <w:rFonts w:ascii="Arial" w:hAnsi="Arial"/>
        </w:rPr>
      </w:pPr>
    </w:p>
    <w:p w:rsidR="00405323" w:rsidRPr="008B35F1" w:rsidRDefault="00405323" w:rsidP="00072796">
      <w:pPr>
        <w:spacing w:line="480" w:lineRule="atLeast"/>
        <w:ind w:left="720" w:hanging="720"/>
        <w:rPr>
          <w:rFonts w:ascii="Arial" w:hAnsi="Arial"/>
        </w:rPr>
      </w:pPr>
      <w:r w:rsidRPr="008B35F1">
        <w:rPr>
          <w:rFonts w:ascii="Arial" w:hAnsi="Arial"/>
        </w:rPr>
        <w:t>Q.</w:t>
      </w:r>
      <w:r w:rsidRPr="008B35F1">
        <w:rPr>
          <w:rFonts w:ascii="Arial" w:hAnsi="Arial"/>
        </w:rPr>
        <w:tab/>
        <w:t xml:space="preserve">Does </w:t>
      </w:r>
      <w:r>
        <w:rPr>
          <w:rFonts w:ascii="Arial" w:hAnsi="Arial"/>
        </w:rPr>
        <w:t>N</w:t>
      </w:r>
      <w:r w:rsidRPr="008B35F1">
        <w:rPr>
          <w:rFonts w:ascii="Arial" w:hAnsi="Arial"/>
        </w:rPr>
        <w:t xml:space="preserve">ARUC advocate accurate cost classification and </w:t>
      </w:r>
      <w:r>
        <w:rPr>
          <w:rFonts w:ascii="Arial" w:hAnsi="Arial"/>
        </w:rPr>
        <w:t xml:space="preserve">the </w:t>
      </w:r>
      <w:r w:rsidRPr="008B35F1">
        <w:rPr>
          <w:rFonts w:ascii="Arial" w:hAnsi="Arial"/>
        </w:rPr>
        <w:t>allocation of these accounts?</w:t>
      </w:r>
    </w:p>
    <w:p w:rsidR="00405323" w:rsidRPr="008B35F1" w:rsidRDefault="00405323" w:rsidP="0039284B">
      <w:pPr>
        <w:spacing w:line="480" w:lineRule="atLeast"/>
        <w:ind w:left="720" w:hanging="720"/>
        <w:rPr>
          <w:rFonts w:ascii="Arial" w:hAnsi="Arial"/>
        </w:rPr>
      </w:pPr>
      <w:r w:rsidRPr="008B35F1">
        <w:rPr>
          <w:rFonts w:ascii="Arial" w:hAnsi="Arial"/>
        </w:rPr>
        <w:t>A.</w:t>
      </w:r>
      <w:r w:rsidRPr="008B35F1">
        <w:rPr>
          <w:rFonts w:ascii="Arial" w:hAnsi="Arial"/>
        </w:rPr>
        <w:tab/>
        <w:t xml:space="preserve">Yes.  Its official guidebook, the </w:t>
      </w:r>
      <w:r w:rsidRPr="00643AA1">
        <w:rPr>
          <w:rFonts w:ascii="Arial" w:hAnsi="Arial"/>
          <w:i/>
        </w:rPr>
        <w:t>Electric Utility Cost Allocation Manual,</w:t>
      </w:r>
      <w:r w:rsidRPr="008B35F1">
        <w:rPr>
          <w:rFonts w:ascii="Arial" w:hAnsi="Arial"/>
        </w:rPr>
        <w:t xml:space="preserve"> offers clear instructions.  The following is an </w:t>
      </w:r>
      <w:r w:rsidR="0015102D" w:rsidRPr="008B35F1">
        <w:rPr>
          <w:rFonts w:ascii="Arial" w:hAnsi="Arial"/>
        </w:rPr>
        <w:t>excerpt</w:t>
      </w:r>
      <w:r w:rsidRPr="008B35F1">
        <w:rPr>
          <w:rFonts w:ascii="Arial" w:hAnsi="Arial"/>
        </w:rPr>
        <w:t xml:space="preserve"> from page 90 of its January, 1992 edition:</w:t>
      </w:r>
    </w:p>
    <w:p w:rsidR="00405323" w:rsidRDefault="00405323" w:rsidP="00531F13">
      <w:pPr>
        <w:spacing w:line="480" w:lineRule="atLeast"/>
        <w:ind w:left="1440" w:right="1440" w:hanging="24"/>
        <w:rPr>
          <w:rFonts w:ascii="Arial" w:hAnsi="Arial"/>
        </w:rPr>
      </w:pPr>
      <w:r w:rsidRPr="00643AA1">
        <w:rPr>
          <w:rFonts w:ascii="Arial" w:hAnsi="Arial"/>
        </w:rPr>
        <w:t xml:space="preserve">Distribution </w:t>
      </w:r>
      <w:proofErr w:type="gramStart"/>
      <w:r w:rsidRPr="00643AA1">
        <w:rPr>
          <w:rFonts w:ascii="Arial" w:hAnsi="Arial"/>
        </w:rPr>
        <w:t>plant Accounts 364 through 370 involve</w:t>
      </w:r>
      <w:proofErr w:type="gramEnd"/>
      <w:r w:rsidRPr="00643AA1">
        <w:rPr>
          <w:rFonts w:ascii="Arial" w:hAnsi="Arial"/>
        </w:rPr>
        <w:t xml:space="preserve"> demand and customer costs.  The customer component of distribution facilities is that portion of costs which varies with the number of customers.  Thus, the number of poles, conductors, transformers, services, and meters are directly related to the number of customers on the utility's system.  As shown in table 6-1, each primary plant account can be separately classified into a demand and customer component.  Two methods are used to determine the demand and customer components of distribution </w:t>
      </w:r>
      <w:r w:rsidRPr="00643AA1">
        <w:rPr>
          <w:rFonts w:ascii="Arial" w:hAnsi="Arial"/>
        </w:rPr>
        <w:lastRenderedPageBreak/>
        <w:t>facilities.  They are, the minimum-size-of-facilities method, and the minimum-intercept cost (zero-intercept or positive-intercept costs, as applicable) of facilities.</w:t>
      </w:r>
    </w:p>
    <w:p w:rsidR="00C141AD" w:rsidRPr="00643AA1" w:rsidRDefault="00C141AD" w:rsidP="00072796">
      <w:pPr>
        <w:spacing w:line="480" w:lineRule="atLeast"/>
        <w:ind w:left="1440" w:right="744" w:hanging="24"/>
        <w:rPr>
          <w:rFonts w:ascii="Arial" w:hAnsi="Arial"/>
        </w:rPr>
      </w:pPr>
    </w:p>
    <w:p w:rsidR="00405323" w:rsidRDefault="00405323" w:rsidP="00072796">
      <w:pPr>
        <w:spacing w:line="480" w:lineRule="atLeast"/>
        <w:ind w:left="720"/>
        <w:rPr>
          <w:rFonts w:ascii="Arial" w:hAnsi="Arial"/>
        </w:rPr>
      </w:pPr>
      <w:r w:rsidRPr="008B35F1">
        <w:rPr>
          <w:rFonts w:ascii="Arial" w:hAnsi="Arial"/>
        </w:rPr>
        <w:t xml:space="preserve">Also a recently published treatise, </w:t>
      </w:r>
      <w:r w:rsidRPr="008B35F1">
        <w:rPr>
          <w:rFonts w:ascii="Arial" w:hAnsi="Arial"/>
          <w:i/>
        </w:rPr>
        <w:t xml:space="preserve">Electricity Pricing: Engineering Principles and Methodologies </w:t>
      </w:r>
      <w:r w:rsidRPr="008B35F1">
        <w:rPr>
          <w:rFonts w:ascii="Arial" w:hAnsi="Arial"/>
        </w:rPr>
        <w:t>(2009), by Lawrence J. Vogt identifies the zero-intercept and minimum system analysis as standard methodologies for classifying distribution costs.  Mr. Vogt writes as follows:</w:t>
      </w:r>
    </w:p>
    <w:p w:rsidR="00405323" w:rsidRPr="005F0651" w:rsidRDefault="00405323" w:rsidP="00072796">
      <w:pPr>
        <w:spacing w:line="480" w:lineRule="atLeast"/>
        <w:ind w:left="720"/>
        <w:rPr>
          <w:rFonts w:ascii="Arial" w:hAnsi="Arial"/>
        </w:rPr>
      </w:pPr>
    </w:p>
    <w:p w:rsidR="00405323" w:rsidRPr="0068511E" w:rsidRDefault="00405323" w:rsidP="00531F13">
      <w:pPr>
        <w:spacing w:line="480" w:lineRule="atLeast"/>
        <w:ind w:left="1440" w:right="1440"/>
        <w:rPr>
          <w:rFonts w:ascii="Arial" w:hAnsi="Arial" w:cs="Arial"/>
        </w:rPr>
      </w:pPr>
      <w:r w:rsidRPr="0068511E">
        <w:rPr>
          <w:rFonts w:ascii="Arial" w:hAnsi="Arial" w:cs="Arial"/>
        </w:rPr>
        <w:t>The concept of a minimum distribution system recognizes that the primary and secondary distribution system has both customer-related and demand-related attributes.  As discussed previously, the customer cost component is associated with no-load conditions, whereas the demand cost component is associated with load conditions….</w:t>
      </w:r>
    </w:p>
    <w:p w:rsidR="00405323" w:rsidRDefault="00405323" w:rsidP="00072796">
      <w:pPr>
        <w:spacing w:line="480" w:lineRule="atLeast"/>
        <w:ind w:left="1440" w:right="1080"/>
        <w:rPr>
          <w:rFonts w:ascii="Arial" w:hAnsi="Arial" w:cs="Arial"/>
        </w:rPr>
      </w:pPr>
    </w:p>
    <w:p w:rsidR="00405323" w:rsidRPr="0068511E" w:rsidRDefault="00405323" w:rsidP="00531F13">
      <w:pPr>
        <w:spacing w:line="480" w:lineRule="atLeast"/>
        <w:ind w:left="1440" w:right="1440"/>
        <w:rPr>
          <w:rFonts w:ascii="Arial" w:hAnsi="Arial" w:cs="Arial"/>
        </w:rPr>
      </w:pPr>
      <w:r w:rsidRPr="0068511E">
        <w:rPr>
          <w:rFonts w:ascii="Arial" w:hAnsi="Arial" w:cs="Arial"/>
        </w:rPr>
        <w:t xml:space="preserve">When a single device has both customer-related and demand-related attributes, its total cost must be allocated.  The minimum intercept or zero-intercept methodology provides a rational basis for separating the cost of a device between its customer and demand components.  </w:t>
      </w:r>
      <w:proofErr w:type="gramStart"/>
      <w:r w:rsidRPr="0068511E">
        <w:rPr>
          <w:rFonts w:ascii="Arial" w:hAnsi="Arial" w:cs="Arial"/>
        </w:rPr>
        <w:t>(Id. at pp. 498-500.)</w:t>
      </w:r>
      <w:proofErr w:type="gramEnd"/>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lastRenderedPageBreak/>
        <w:t>Q.</w:t>
      </w:r>
      <w:r>
        <w:tab/>
        <w:t>Does the NARUC manual require that the cost-of-service study be done in a certain manner?</w:t>
      </w:r>
    </w:p>
    <w:p w:rsidR="00405323" w:rsidRDefault="00405323" w:rsidP="00531F13">
      <w:pPr>
        <w:pStyle w:val="Answer"/>
        <w:numPr>
          <w:ilvl w:val="0"/>
          <w:numId w:val="0"/>
        </w:numPr>
        <w:tabs>
          <w:tab w:val="clear" w:pos="720"/>
        </w:tabs>
        <w:spacing w:line="480" w:lineRule="atLeast"/>
        <w:ind w:left="720" w:hanging="720"/>
      </w:pPr>
      <w:r>
        <w:t>A.</w:t>
      </w:r>
      <w:r>
        <w:tab/>
        <w:t>No, the NARUC manual is a guide that offers reasonable and logical methodologies for cost allocation.  The manual only discusses the major costing methodologies and acknowledges those that are acceptable.</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tab/>
        <w:t xml:space="preserve">Can you expand on the logic of a </w:t>
      </w:r>
      <w:r w:rsidR="00EB4DE3">
        <w:t>customer-related</w:t>
      </w:r>
      <w:r>
        <w:t xml:space="preserve"> component for distribution accounts?</w:t>
      </w:r>
    </w:p>
    <w:p w:rsidR="00405323" w:rsidRDefault="00405323" w:rsidP="00072796">
      <w:pPr>
        <w:pStyle w:val="Answer"/>
        <w:numPr>
          <w:ilvl w:val="0"/>
          <w:numId w:val="0"/>
        </w:numPr>
        <w:tabs>
          <w:tab w:val="clear" w:pos="720"/>
        </w:tabs>
        <w:spacing w:line="480" w:lineRule="atLeast"/>
        <w:ind w:left="720" w:hanging="720"/>
      </w:pPr>
      <w:r>
        <w:t>A.</w:t>
      </w:r>
      <w:r>
        <w:tab/>
        <w:t>Yes.  Schedule 2 of Exhibit MTO-1 depicts a simple distribution network.  Now, imagine three different usage scenarios of this network:</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ab/>
        <w:t>Scenario I:</w:t>
      </w:r>
      <w:r w:rsidR="0039284B">
        <w:t xml:space="preserve"> </w:t>
      </w:r>
      <w:r>
        <w:t xml:space="preserve"> Imagine that houses A-E all have about the same load usage.  Now imagine that houses A and B become unoccupied due to impacts of a downturn in the economy or a rental or vacation home now experiencing high vacancy rates.  The result is that load on the system goes down, yet the cost of the distribution network remains the same.  </w:t>
      </w:r>
    </w:p>
    <w:p w:rsidR="009E38A5" w:rsidRDefault="009E38A5"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ab/>
        <w:t xml:space="preserve">Scenario II: </w:t>
      </w:r>
      <w:r w:rsidR="0039284B">
        <w:t xml:space="preserve"> </w:t>
      </w:r>
      <w:r>
        <w:t>Now imagine that all 5 houses are occupied with like load usage.  Next, houses C &amp; D employ energy efficiency improvements.  Load on the system diminishes, yet the cost of the distribution network remains the same.</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ab/>
        <w:t xml:space="preserve">Scenario III: </w:t>
      </w:r>
      <w:r w:rsidR="0039284B">
        <w:t xml:space="preserve"> </w:t>
      </w:r>
      <w:r>
        <w:t xml:space="preserve">Next imagine that all 5 houses are occupied with like load usage.  Now imagine that houses C, D, &amp; E add energy efficiency improvements, but a new house F is added to the network with a load </w:t>
      </w:r>
      <w:r>
        <w:lastRenderedPageBreak/>
        <w:t>equal to what the energy efficiency improvements were for houses C, D, &amp; E.</w:t>
      </w:r>
      <w:r w:rsidR="0039284B">
        <w:t xml:space="preserve">  </w:t>
      </w:r>
      <w:r>
        <w:t>The result is that the total load on the system remains the same, yet the cost of the distribution network must be expanded for new poles and lines.</w:t>
      </w:r>
    </w:p>
    <w:p w:rsidR="00C141AD" w:rsidRDefault="00C141AD"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ab/>
        <w:t>In each scenario, one can see that the cost of the distribution network is influenced by the number of customers served, not by any changes in total demand or energy usage.  Therefore allocating these customer-related costs on a basis other than a customer allocator would result in an inaccurate cost classification and allocation.</w:t>
      </w:r>
    </w:p>
    <w:p w:rsidR="00405323" w:rsidRDefault="00405323" w:rsidP="00072796">
      <w:pPr>
        <w:pStyle w:val="Answer"/>
        <w:numPr>
          <w:ilvl w:val="0"/>
          <w:numId w:val="0"/>
        </w:numPr>
        <w:tabs>
          <w:tab w:val="clear" w:pos="720"/>
        </w:tabs>
        <w:spacing w:line="480" w:lineRule="atLeast"/>
        <w:ind w:left="720" w:hanging="720"/>
      </w:pPr>
    </w:p>
    <w:p w:rsidR="00405323" w:rsidRDefault="00405323" w:rsidP="00072796">
      <w:pPr>
        <w:pStyle w:val="Answer"/>
        <w:numPr>
          <w:ilvl w:val="0"/>
          <w:numId w:val="0"/>
        </w:numPr>
        <w:tabs>
          <w:tab w:val="clear" w:pos="720"/>
        </w:tabs>
        <w:spacing w:line="480" w:lineRule="atLeast"/>
        <w:ind w:left="720" w:hanging="720"/>
      </w:pPr>
      <w:r>
        <w:t>Q.</w:t>
      </w:r>
      <w:r>
        <w:tab/>
        <w:t>Can you give us some idea of the harm that can be caused by inaccurate cost classification?</w:t>
      </w:r>
    </w:p>
    <w:p w:rsidR="00405323" w:rsidRDefault="00405323" w:rsidP="00072796">
      <w:pPr>
        <w:pStyle w:val="Answer"/>
        <w:numPr>
          <w:ilvl w:val="0"/>
          <w:numId w:val="0"/>
        </w:numPr>
        <w:tabs>
          <w:tab w:val="clear" w:pos="720"/>
        </w:tabs>
        <w:spacing w:line="480" w:lineRule="atLeast"/>
        <w:ind w:left="720" w:hanging="720"/>
      </w:pPr>
      <w:r>
        <w:t>A.</w:t>
      </w:r>
      <w:r>
        <w:tab/>
        <w:t xml:space="preserve">Assuming that an underage in properly defining customer cost is absorbed in </w:t>
      </w:r>
      <w:r w:rsidR="007665F8" w:rsidRPr="0015102D">
        <w:t>demand cost</w:t>
      </w:r>
      <w:r>
        <w:t xml:space="preserve">, this inaccurate classification could lead to a demand or energy charge that is larger than its true cost.  The customer </w:t>
      </w:r>
      <w:r w:rsidR="00B21498">
        <w:t xml:space="preserve">receives </w:t>
      </w:r>
      <w:r>
        <w:t>a resultant price signal that is larger than it should be and consequently makes conservation and energy efficiency choices that overestimate the real costs avoided by the system.</w:t>
      </w:r>
    </w:p>
    <w:p w:rsidR="00405323" w:rsidRDefault="00405323" w:rsidP="00072796">
      <w:pPr>
        <w:pStyle w:val="Answer"/>
        <w:numPr>
          <w:ilvl w:val="0"/>
          <w:numId w:val="0"/>
        </w:numPr>
        <w:tabs>
          <w:tab w:val="clear" w:pos="720"/>
        </w:tabs>
        <w:spacing w:line="480" w:lineRule="atLeast"/>
        <w:ind w:left="720" w:hanging="720"/>
      </w:pPr>
      <w:r>
        <w:tab/>
      </w:r>
    </w:p>
    <w:p w:rsidR="00405323" w:rsidRDefault="00405323" w:rsidP="00072796">
      <w:pPr>
        <w:pStyle w:val="Answer"/>
        <w:numPr>
          <w:ilvl w:val="0"/>
          <w:numId w:val="0"/>
        </w:numPr>
        <w:tabs>
          <w:tab w:val="clear" w:pos="720"/>
        </w:tabs>
        <w:spacing w:line="480" w:lineRule="atLeast"/>
        <w:ind w:left="720"/>
      </w:pPr>
      <w:r>
        <w:t xml:space="preserve">Although some might argue that conservation and energy efficiency would subsequently be advanced by this costing flaw, I would argue that the “advance” is for the wrong reasons, and conservation and energy decreases in usage would fail to be cost-based and therefore not in the ultimate best interest of Gulf’s customers.  Some might argue that this flaw </w:t>
      </w:r>
      <w:r>
        <w:lastRenderedPageBreak/>
        <w:t xml:space="preserve">could make up for omissions of other energy costs that fail to show up in embedded revenue requirements.  It would be very difficult though to quantify these possible omissions and know whether they were commensurate with the customer-related costs which had been shifted into a </w:t>
      </w:r>
      <w:r w:rsidR="0015102D">
        <w:t>demand</w:t>
      </w:r>
      <w:r w:rsidR="007665F8" w:rsidRPr="0015102D">
        <w:t xml:space="preserve"> classification</w:t>
      </w:r>
      <w:r>
        <w:t xml:space="preserve">.  </w:t>
      </w:r>
    </w:p>
    <w:p w:rsidR="00340436" w:rsidRDefault="00340436" w:rsidP="00072796">
      <w:pPr>
        <w:pStyle w:val="Answer"/>
        <w:numPr>
          <w:ilvl w:val="0"/>
          <w:numId w:val="0"/>
        </w:numPr>
        <w:tabs>
          <w:tab w:val="clear" w:pos="720"/>
        </w:tabs>
        <w:spacing w:line="480" w:lineRule="atLeast"/>
        <w:ind w:left="720"/>
      </w:pPr>
    </w:p>
    <w:p w:rsidR="00405323" w:rsidRDefault="00405323" w:rsidP="00072796">
      <w:pPr>
        <w:pStyle w:val="Answer"/>
        <w:numPr>
          <w:ilvl w:val="0"/>
          <w:numId w:val="0"/>
        </w:numPr>
        <w:tabs>
          <w:tab w:val="clear" w:pos="720"/>
        </w:tabs>
        <w:spacing w:line="480" w:lineRule="atLeast"/>
        <w:ind w:left="720"/>
      </w:pPr>
      <w:r>
        <w:t xml:space="preserve">Even if rate designs do not exactly follow cost-of-service, it is crucial to have a cost-causative cost-of-service study.  It is important that both rate designers and policy makers have a true cost benchmark so rate excursions from true costs can be observed and considered.  Otherwise, rate decisions will be based on inaccurate information about true cost responsibility and impacts.  </w:t>
      </w:r>
    </w:p>
    <w:p w:rsidR="00405323" w:rsidRDefault="00405323" w:rsidP="00072796">
      <w:pPr>
        <w:pStyle w:val="Answer"/>
        <w:numPr>
          <w:ilvl w:val="0"/>
          <w:numId w:val="0"/>
        </w:numPr>
        <w:tabs>
          <w:tab w:val="clear" w:pos="720"/>
        </w:tabs>
        <w:spacing w:line="480" w:lineRule="atLeast"/>
        <w:ind w:left="720"/>
      </w:pPr>
    </w:p>
    <w:p w:rsidR="00EB4DE3" w:rsidRDefault="00EB4DE3" w:rsidP="00072796">
      <w:pPr>
        <w:pStyle w:val="Answer"/>
        <w:numPr>
          <w:ilvl w:val="0"/>
          <w:numId w:val="0"/>
        </w:numPr>
        <w:tabs>
          <w:tab w:val="clear" w:pos="720"/>
        </w:tabs>
        <w:spacing w:line="480" w:lineRule="atLeast"/>
        <w:ind w:left="720"/>
      </w:pPr>
    </w:p>
    <w:p w:rsidR="00405323" w:rsidRPr="00EB4DE3" w:rsidRDefault="00405323" w:rsidP="00072796">
      <w:pPr>
        <w:pStyle w:val="Answer"/>
        <w:numPr>
          <w:ilvl w:val="0"/>
          <w:numId w:val="0"/>
        </w:numPr>
        <w:tabs>
          <w:tab w:val="clear" w:pos="720"/>
          <w:tab w:val="decimal" w:pos="-24"/>
        </w:tabs>
        <w:spacing w:line="480" w:lineRule="atLeast"/>
        <w:ind w:left="720" w:hanging="720"/>
        <w:jc w:val="center"/>
        <w:rPr>
          <w:b/>
        </w:rPr>
      </w:pPr>
      <w:r w:rsidRPr="00EB4DE3">
        <w:rPr>
          <w:b/>
        </w:rPr>
        <w:t>III. MINIMUM DISTRIBUTION SYSTEM METHODOLOGY</w:t>
      </w:r>
    </w:p>
    <w:p w:rsidR="009E38A5" w:rsidRDefault="009E38A5" w:rsidP="00072796">
      <w:pPr>
        <w:pStyle w:val="Answer"/>
        <w:numPr>
          <w:ilvl w:val="0"/>
          <w:numId w:val="0"/>
        </w:numPr>
        <w:tabs>
          <w:tab w:val="clear" w:pos="720"/>
          <w:tab w:val="decimal" w:pos="-24"/>
        </w:tabs>
        <w:spacing w:line="480" w:lineRule="atLeast"/>
        <w:ind w:left="720" w:hanging="720"/>
        <w:jc w:val="center"/>
      </w:pPr>
    </w:p>
    <w:p w:rsidR="00405323" w:rsidRDefault="00405323" w:rsidP="00072796">
      <w:pPr>
        <w:pStyle w:val="Answer"/>
        <w:numPr>
          <w:ilvl w:val="0"/>
          <w:numId w:val="0"/>
        </w:numPr>
        <w:tabs>
          <w:tab w:val="clear" w:pos="720"/>
          <w:tab w:val="decimal" w:pos="-24"/>
        </w:tabs>
        <w:spacing w:line="480" w:lineRule="atLeast"/>
        <w:ind w:left="720" w:hanging="720"/>
      </w:pPr>
      <w:r>
        <w:t>Q.</w:t>
      </w:r>
      <w:r>
        <w:tab/>
        <w:t xml:space="preserve">How do you determine the </w:t>
      </w:r>
      <w:r w:rsidR="00EB4DE3">
        <w:t>customer-related</w:t>
      </w:r>
      <w:r>
        <w:t xml:space="preserve"> costs of distribution?</w:t>
      </w:r>
    </w:p>
    <w:p w:rsidR="0016711D" w:rsidRDefault="00405323" w:rsidP="00072796">
      <w:pPr>
        <w:pStyle w:val="Answer"/>
        <w:numPr>
          <w:ilvl w:val="0"/>
          <w:numId w:val="0"/>
        </w:numPr>
        <w:tabs>
          <w:tab w:val="clear" w:pos="720"/>
          <w:tab w:val="decimal" w:pos="-24"/>
        </w:tabs>
        <w:spacing w:line="480" w:lineRule="atLeast"/>
        <w:ind w:left="720" w:hanging="720"/>
      </w:pPr>
      <w:r>
        <w:t>A.</w:t>
      </w:r>
      <w:r>
        <w:tab/>
        <w:t xml:space="preserve">The process of identifying </w:t>
      </w:r>
      <w:r w:rsidR="00EB4DE3">
        <w:t>customer-related</w:t>
      </w:r>
      <w:r>
        <w:t xml:space="preserve"> costs uses the concept mentioned in the NARUC manual called the Minimum Distribution System. </w:t>
      </w:r>
      <w:proofErr w:type="gramStart"/>
      <w:r>
        <w:t>(MDS).</w:t>
      </w:r>
      <w:proofErr w:type="gramEnd"/>
      <w:r>
        <w:t xml:space="preserve">  This concept is based on the fact that in order to simply connect a customer to the power system, a minimum amount of facilities and equipment are necessary.  The minimum distribution facilities, along with meters and service drops, make up the plant investment portion of </w:t>
      </w:r>
      <w:r w:rsidR="00EB4DE3">
        <w:t>customer-related</w:t>
      </w:r>
      <w:r>
        <w:t xml:space="preserve"> costs.  The distribution facilities in excess of t</w:t>
      </w:r>
      <w:r w:rsidR="0016711D">
        <w:t>he</w:t>
      </w:r>
    </w:p>
    <w:p w:rsidR="0016711D" w:rsidRDefault="0016711D" w:rsidP="00072796">
      <w:pPr>
        <w:pStyle w:val="Answer"/>
        <w:numPr>
          <w:ilvl w:val="0"/>
          <w:numId w:val="0"/>
        </w:numPr>
        <w:tabs>
          <w:tab w:val="clear" w:pos="720"/>
          <w:tab w:val="decimal" w:pos="-24"/>
        </w:tabs>
        <w:spacing w:line="480" w:lineRule="atLeast"/>
        <w:ind w:left="720" w:hanging="720"/>
      </w:pPr>
    </w:p>
    <w:p w:rsidR="0016711D" w:rsidRDefault="0016711D" w:rsidP="0016711D">
      <w:pPr>
        <w:pStyle w:val="Answer"/>
        <w:numPr>
          <w:ilvl w:val="0"/>
          <w:numId w:val="0"/>
        </w:numPr>
        <w:tabs>
          <w:tab w:val="clear" w:pos="720"/>
          <w:tab w:val="decimal" w:pos="-24"/>
        </w:tabs>
        <w:spacing w:line="480" w:lineRule="atLeast"/>
        <w:ind w:left="720"/>
      </w:pPr>
      <w:r>
        <w:lastRenderedPageBreak/>
        <w:t xml:space="preserve"> </w:t>
      </w:r>
      <w:proofErr w:type="gramStart"/>
      <w:r w:rsidR="00405323">
        <w:t>minimum</w:t>
      </w:r>
      <w:proofErr w:type="gramEnd"/>
      <w:r w:rsidR="00405323">
        <w:t xml:space="preserve"> are classified as </w:t>
      </w:r>
      <w:r w:rsidR="00EB4DE3">
        <w:t>demand-related</w:t>
      </w:r>
      <w:r w:rsidR="00405323">
        <w:t xml:space="preserve"> costs because they relate to</w:t>
      </w:r>
    </w:p>
    <w:p w:rsidR="00405323" w:rsidRDefault="00405323" w:rsidP="0016711D">
      <w:pPr>
        <w:pStyle w:val="Answer"/>
        <w:numPr>
          <w:ilvl w:val="0"/>
          <w:numId w:val="0"/>
        </w:numPr>
        <w:tabs>
          <w:tab w:val="clear" w:pos="720"/>
          <w:tab w:val="decimal" w:pos="-24"/>
        </w:tabs>
        <w:spacing w:line="480" w:lineRule="atLeast"/>
        <w:ind w:left="720"/>
      </w:pPr>
      <w:r>
        <w:t xml:space="preserve"> </w:t>
      </w:r>
      <w:proofErr w:type="gramStart"/>
      <w:r>
        <w:t>capacity</w:t>
      </w:r>
      <w:proofErr w:type="gramEnd"/>
      <w:r>
        <w:t>.</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How does one determine this minimum amount of facilities and equipment?</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There are two common ways to do so:  (1) minimum size (MS) and (2) zero-intercept (ZI).  The philosophy of MS is that in order to simply connect a customer to the system, a minimum size of equipment is necessary.  The cost of this minimum size equipment is then categorized as a </w:t>
      </w:r>
      <w:r w:rsidR="00EB4DE3">
        <w:t>customer-related</w:t>
      </w:r>
      <w:r>
        <w:t xml:space="preserve"> cost.  For example, suppose that a 10 kVa line transformer represents the smallest size transformer normally used.  In this case the unit installed costs of a 10 kVa transformer would be employed as the basis for the customer cost of transformers, with the residual transformer costs treated as </w:t>
      </w:r>
      <w:r w:rsidR="00EB4DE3">
        <w:t>demand-related</w:t>
      </w:r>
      <w:r>
        <w:t xml:space="preserve">.  This methodology, although logical, has a weakness because even the smallest standard size equipment such as the 10 kVa transformer is capable of carrying load, i.e., it has capacity. </w:t>
      </w:r>
      <w:r w:rsidR="0039284B">
        <w:t xml:space="preserve"> </w:t>
      </w:r>
      <w:r>
        <w:t xml:space="preserve">This capacity is demand-related and should therefore be embedded within another price component.  The second method, Zero-Intercept (ZI) is an improved technique for determining </w:t>
      </w:r>
      <w:r w:rsidR="00EB4DE3">
        <w:t>customer-related</w:t>
      </w:r>
      <w:r>
        <w:t xml:space="preserve"> costs that, by definition, removes any ability of carrying load.  This avoids double counting of load with MDS.</w:t>
      </w:r>
    </w:p>
    <w:p w:rsidR="00405323" w:rsidRDefault="00405323" w:rsidP="00072796">
      <w:pPr>
        <w:pStyle w:val="Answer"/>
        <w:numPr>
          <w:ilvl w:val="0"/>
          <w:numId w:val="0"/>
        </w:numPr>
        <w:tabs>
          <w:tab w:val="clear" w:pos="720"/>
          <w:tab w:val="decimal" w:pos="-24"/>
        </w:tabs>
        <w:spacing w:line="480" w:lineRule="atLeast"/>
        <w:ind w:left="720"/>
      </w:pPr>
    </w:p>
    <w:p w:rsidR="00405323" w:rsidRDefault="00405323" w:rsidP="00072796">
      <w:pPr>
        <w:pStyle w:val="Answer"/>
        <w:numPr>
          <w:ilvl w:val="0"/>
          <w:numId w:val="0"/>
        </w:numPr>
        <w:tabs>
          <w:tab w:val="clear" w:pos="720"/>
          <w:tab w:val="decimal" w:pos="-24"/>
        </w:tabs>
        <w:spacing w:line="480" w:lineRule="atLeast"/>
        <w:ind w:left="720" w:hanging="720"/>
      </w:pPr>
      <w:r>
        <w:t>Q.</w:t>
      </w:r>
      <w:r>
        <w:tab/>
        <w:t>How does the Zero-Intercept method work?</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The ZI method is based on a regression analysis of costs for several sizes of equipment in order to determine the zero capacity unit cost.  The </w:t>
      </w:r>
      <w:r>
        <w:lastRenderedPageBreak/>
        <w:t>resultant regression equation is extrapolated back to a level of no-load.  This can be observed in Schedules 6.1 and 6.2 of Exhibit MTO-2.</w:t>
      </w:r>
    </w:p>
    <w:p w:rsidR="00405323" w:rsidRDefault="00405323" w:rsidP="00072796">
      <w:pPr>
        <w:pStyle w:val="Answer"/>
        <w:numPr>
          <w:ilvl w:val="0"/>
          <w:numId w:val="0"/>
        </w:numPr>
        <w:tabs>
          <w:tab w:val="clear" w:pos="720"/>
          <w:tab w:val="decimal" w:pos="-24"/>
        </w:tabs>
        <w:spacing w:line="480" w:lineRule="atLeast"/>
        <w:ind w:left="720" w:hanging="720"/>
      </w:pPr>
      <w:r>
        <w:t xml:space="preserve">  </w:t>
      </w:r>
    </w:p>
    <w:p w:rsidR="00405323" w:rsidRDefault="00405323" w:rsidP="00072796">
      <w:pPr>
        <w:pStyle w:val="Answer"/>
        <w:numPr>
          <w:ilvl w:val="0"/>
          <w:numId w:val="0"/>
        </w:numPr>
        <w:tabs>
          <w:tab w:val="clear" w:pos="720"/>
          <w:tab w:val="decimal" w:pos="-24"/>
        </w:tabs>
        <w:spacing w:line="480" w:lineRule="atLeast"/>
        <w:ind w:left="720" w:hanging="720"/>
      </w:pPr>
      <w:r>
        <w:t>Q.</w:t>
      </w:r>
      <w:r>
        <w:tab/>
        <w:t xml:space="preserve">Do you consider the MDS </w:t>
      </w:r>
      <w:r w:rsidR="001D1D87">
        <w:t xml:space="preserve">to be </w:t>
      </w:r>
      <w:r>
        <w:t>an unrealistic or fictional concept</w:t>
      </w:r>
      <w:r w:rsidR="001D1D87">
        <w:t xml:space="preserve"> as has sometimes been claimed</w:t>
      </w:r>
      <w:r>
        <w:t>?</w:t>
      </w:r>
    </w:p>
    <w:p w:rsidR="00405323" w:rsidRDefault="00405323" w:rsidP="00072796">
      <w:pPr>
        <w:pStyle w:val="Answer"/>
        <w:numPr>
          <w:ilvl w:val="0"/>
          <w:numId w:val="0"/>
        </w:numPr>
        <w:tabs>
          <w:tab w:val="clear" w:pos="720"/>
          <w:tab w:val="decimal" w:pos="-24"/>
        </w:tabs>
        <w:spacing w:line="480" w:lineRule="atLeast"/>
        <w:ind w:left="720" w:hanging="720"/>
      </w:pPr>
      <w:r>
        <w:t>A.</w:t>
      </w:r>
      <w:r>
        <w:tab/>
        <w:t>No.  MDS is no more of a fictional concept than is a deposit requirement for a vacation rental on Pensacola Beach or a simple retainer fee.  A deposit is required to preserve the ability to occupy the rental space for future use.  Likewise, the retainer fee is required to secure the right of future service regardless of the magnitude of additional services to be rendered.  Similarly, the MDS is the cost required to ensure the availability of service to a customer premises whether or not any electricity is ever actually consumed.</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Is any equipment built to zero load specifications?</w:t>
      </w:r>
    </w:p>
    <w:p w:rsidR="00405323" w:rsidRDefault="00405323" w:rsidP="00072796">
      <w:pPr>
        <w:pStyle w:val="Answer"/>
        <w:numPr>
          <w:ilvl w:val="0"/>
          <w:numId w:val="0"/>
        </w:numPr>
        <w:tabs>
          <w:tab w:val="clear" w:pos="720"/>
          <w:tab w:val="decimal" w:pos="-24"/>
        </w:tabs>
        <w:spacing w:line="480" w:lineRule="atLeast"/>
        <w:ind w:left="720" w:hanging="720"/>
      </w:pPr>
      <w:r>
        <w:t>A.</w:t>
      </w:r>
      <w:r>
        <w:tab/>
        <w:t>No, there is none to my knowledge.  Likewise, there is no generating plant that is built with exactly 1/13 of its capital cost to minimize fuel cost as required by one of the MFRs for allocation of production costs.  This does not mean, though, that ZI is an illogical concept and therefore not to be used.</w:t>
      </w:r>
      <w:r w:rsidRPr="0015656C">
        <w:t xml:space="preserve"> </w:t>
      </w:r>
      <w:r>
        <w:t xml:space="preserve">Even though no equipment is built to serve zero </w:t>
      </w:r>
      <w:proofErr w:type="gramStart"/>
      <w:r>
        <w:t>load</w:t>
      </w:r>
      <w:proofErr w:type="gramEnd"/>
      <w:r>
        <w:t xml:space="preserve">, the </w:t>
      </w:r>
      <w:r w:rsidR="001D1D87">
        <w:t xml:space="preserve">ZI </w:t>
      </w:r>
      <w:r>
        <w:t>concept is still a valid method of identifying the intrinsic customer-related cost of the equipment that is actually used.</w:t>
      </w:r>
    </w:p>
    <w:p w:rsidR="00405323" w:rsidRDefault="00405323" w:rsidP="00072796">
      <w:pPr>
        <w:pStyle w:val="Answer"/>
        <w:numPr>
          <w:ilvl w:val="0"/>
          <w:numId w:val="0"/>
        </w:numPr>
        <w:tabs>
          <w:tab w:val="clear" w:pos="720"/>
          <w:tab w:val="decimal" w:pos="-24"/>
        </w:tabs>
        <w:spacing w:line="480" w:lineRule="atLeast"/>
        <w:ind w:left="720" w:hanging="720"/>
      </w:pPr>
    </w:p>
    <w:p w:rsidR="0016711D" w:rsidRDefault="0016711D" w:rsidP="00072796">
      <w:pPr>
        <w:pStyle w:val="Answer"/>
        <w:numPr>
          <w:ilvl w:val="0"/>
          <w:numId w:val="0"/>
        </w:numPr>
        <w:tabs>
          <w:tab w:val="clear" w:pos="720"/>
          <w:tab w:val="decimal" w:pos="-24"/>
        </w:tabs>
        <w:spacing w:line="480" w:lineRule="atLeast"/>
        <w:ind w:left="720" w:hanging="720"/>
      </w:pPr>
    </w:p>
    <w:p w:rsidR="0016711D" w:rsidRDefault="0016711D"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lastRenderedPageBreak/>
        <w:t>Q.</w:t>
      </w:r>
      <w:r>
        <w:tab/>
        <w:t>How does one account for inflation when developing the ZI regression equation?</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Equipment is regressed and analyzed using current replacement costs.  This is necessary since some equipment in service for Gulf has a more current vintage than others.  Once the ZI unit costs for the </w:t>
      </w:r>
      <w:r w:rsidR="00EB4DE3">
        <w:t>customer-related</w:t>
      </w:r>
      <w:r>
        <w:t xml:space="preserve"> piece are computed, these costs are multiplied by the number of units in service to develop the aggregate amount.  The remainder of “current replacement cost” is the </w:t>
      </w:r>
      <w:r w:rsidR="00EB4DE3">
        <w:t>demand-related</w:t>
      </w:r>
      <w:r>
        <w:t xml:space="preserve"> costs.  This resultant split of replacement cost into a customer piece and a demand piece is then used to allocate the embedded vintage cost for the equipment into appropriate customer and demand component costs.  This is done for all the various types of equipment which possess both customer-related and demand-related </w:t>
      </w:r>
      <w:r w:rsidR="00E26012">
        <w:t xml:space="preserve">characteristics </w:t>
      </w:r>
      <w:r>
        <w:t xml:space="preserve">within their inherent make-up.  Any equipment which has either a strictly demand-only make-up (for example substation equipment) or a strictly customer-only make-up (for example meters) is directly assigned to the respective component.  An appropriate customer allocator then allocates customer-related costs to rate classes in the cost-of-service study.  Demand-related costs are similarly allocated </w:t>
      </w:r>
      <w:r w:rsidR="001D1D87">
        <w:t xml:space="preserve">to rate classes using </w:t>
      </w:r>
      <w:r>
        <w:t xml:space="preserve">a </w:t>
      </w:r>
      <w:r w:rsidR="00EB4DE3">
        <w:t>demand-related</w:t>
      </w:r>
      <w:r>
        <w:t xml:space="preserve"> allocator</w:t>
      </w:r>
      <w:r w:rsidR="001D1D87">
        <w:t>.</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What FERC mass distribution accounts are split and classified in this manner?</w:t>
      </w:r>
    </w:p>
    <w:p w:rsidR="00865A0E" w:rsidRDefault="00405323" w:rsidP="00072796">
      <w:pPr>
        <w:pStyle w:val="Answer"/>
        <w:numPr>
          <w:ilvl w:val="0"/>
          <w:numId w:val="0"/>
        </w:numPr>
        <w:tabs>
          <w:tab w:val="clear" w:pos="720"/>
          <w:tab w:val="decimal" w:pos="-24"/>
        </w:tabs>
        <w:spacing w:line="480" w:lineRule="atLeast"/>
        <w:ind w:left="720" w:hanging="720"/>
      </w:pPr>
      <w:r>
        <w:t>A.</w:t>
      </w:r>
      <w:r>
        <w:tab/>
        <w:t xml:space="preserve">Distribution </w:t>
      </w:r>
      <w:r w:rsidR="001079F1">
        <w:t>A</w:t>
      </w:r>
      <w:r>
        <w:t xml:space="preserve">ccounts 365, 366, 367, and 368 use this ZI methodology.  For FERC </w:t>
      </w:r>
      <w:r w:rsidR="001D1D87">
        <w:t>A</w:t>
      </w:r>
      <w:r>
        <w:t>ccount 364, we used the average of the smallest</w:t>
      </w:r>
      <w:r w:rsidR="003D55F3">
        <w:t>,</w:t>
      </w:r>
      <w:r>
        <w:t xml:space="preserve"> most frequently used poles since the unit cost of different sized poles did not </w:t>
      </w:r>
      <w:r>
        <w:lastRenderedPageBreak/>
        <w:t xml:space="preserve">lend itself to regression analysis.  Accounts 369 and 370 are considered as all </w:t>
      </w:r>
      <w:r w:rsidR="00EB4DE3">
        <w:t>customer-related</w:t>
      </w:r>
      <w:r>
        <w:t xml:space="preserve">.  Any related expense accounts (for example depreciation expense) then utilize the corresponding 364-368 accounts to appropriately split expenses into customer and </w:t>
      </w:r>
      <w:r w:rsidR="00EB4DE3">
        <w:t>demand-related</w:t>
      </w:r>
      <w:r>
        <w:t xml:space="preserve"> costs.</w:t>
      </w:r>
      <w:r w:rsidR="0039284B">
        <w:t xml:space="preserve"> </w:t>
      </w:r>
      <w:r>
        <w:t xml:space="preserve"> </w:t>
      </w:r>
    </w:p>
    <w:p w:rsidR="00865A0E" w:rsidRDefault="00865A0E" w:rsidP="00072796">
      <w:pPr>
        <w:pStyle w:val="Answer"/>
        <w:numPr>
          <w:ilvl w:val="0"/>
          <w:numId w:val="0"/>
        </w:numPr>
        <w:tabs>
          <w:tab w:val="clear" w:pos="720"/>
          <w:tab w:val="decimal" w:pos="-24"/>
        </w:tabs>
        <w:spacing w:line="480" w:lineRule="atLeast"/>
        <w:ind w:left="720" w:hanging="720"/>
      </w:pPr>
    </w:p>
    <w:p w:rsidR="00405323" w:rsidRDefault="00865A0E" w:rsidP="00072796">
      <w:pPr>
        <w:pStyle w:val="Answer"/>
        <w:numPr>
          <w:ilvl w:val="0"/>
          <w:numId w:val="0"/>
        </w:numPr>
        <w:tabs>
          <w:tab w:val="clear" w:pos="720"/>
          <w:tab w:val="decimal" w:pos="-24"/>
        </w:tabs>
        <w:spacing w:line="480" w:lineRule="atLeast"/>
        <w:ind w:left="720" w:hanging="720"/>
      </w:pPr>
      <w:r>
        <w:tab/>
      </w:r>
      <w:r w:rsidR="00405323">
        <w:t xml:space="preserve">The computation of the splits for </w:t>
      </w:r>
      <w:r w:rsidR="001D1D87">
        <w:t>A</w:t>
      </w:r>
      <w:r w:rsidR="00405323">
        <w:t>ccounts 364-370 are shown in Schedules 6.3 to 6.</w:t>
      </w:r>
      <w:r w:rsidR="003D55F3">
        <w:t>9</w:t>
      </w:r>
      <w:r w:rsidR="00405323">
        <w:t xml:space="preserve"> of Exhibit MTO-2.</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 xml:space="preserve">Are Account 369 (Service Drops) and Account 370 (Meters) usually classified as 100% </w:t>
      </w:r>
      <w:r w:rsidR="00EB4DE3">
        <w:t>customer-related</w:t>
      </w:r>
      <w:r>
        <w:t>?</w:t>
      </w:r>
    </w:p>
    <w:p w:rsidR="00405323" w:rsidRDefault="00405323" w:rsidP="00072796">
      <w:pPr>
        <w:pStyle w:val="Answer"/>
        <w:numPr>
          <w:ilvl w:val="0"/>
          <w:numId w:val="0"/>
        </w:numPr>
        <w:tabs>
          <w:tab w:val="clear" w:pos="720"/>
          <w:tab w:val="decimal" w:pos="-24"/>
        </w:tabs>
        <w:spacing w:line="480" w:lineRule="atLeast"/>
        <w:ind w:left="720" w:hanging="720"/>
      </w:pPr>
      <w:r>
        <w:t>A.</w:t>
      </w:r>
      <w:r>
        <w:tab/>
        <w:t>Yes, this has been the traditional treatment for most utilities.  Service Drops are the lines that provide the service connection between the secondary level distribution transformer and the customer’s meter and enable the customer to receive service.  The meter, as previously mentioned, measures the amount of electricity that the customer consumes and is used for billing.</w:t>
      </w:r>
    </w:p>
    <w:p w:rsidR="009E38A5" w:rsidRDefault="009E38A5"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What are the resultant customer/demand splits that Gulf is proposing?</w:t>
      </w:r>
    </w:p>
    <w:p w:rsidR="00405323" w:rsidRDefault="00405323" w:rsidP="00072796">
      <w:pPr>
        <w:pStyle w:val="Answer"/>
        <w:numPr>
          <w:ilvl w:val="0"/>
          <w:numId w:val="0"/>
        </w:numPr>
        <w:tabs>
          <w:tab w:val="clear" w:pos="720"/>
          <w:tab w:val="decimal" w:pos="-24"/>
        </w:tabs>
        <w:spacing w:line="480" w:lineRule="atLeast"/>
        <w:ind w:left="720" w:hanging="720"/>
      </w:pPr>
      <w:r>
        <w:t>A.</w:t>
      </w:r>
      <w:r>
        <w:tab/>
        <w:t>The customer-related analysis performed for Gulf results in the customer/demand splits shown on Schedule 3 of Exhibit MTO-1</w:t>
      </w:r>
      <w:r w:rsidR="001D1D87">
        <w:t>.</w:t>
      </w:r>
      <w:r>
        <w:t xml:space="preserve"> </w:t>
      </w:r>
      <w:r w:rsidR="001D1D87">
        <w:t xml:space="preserve"> These</w:t>
      </w:r>
      <w:r>
        <w:t xml:space="preserve"> are the splits which Gulf is proposing. </w:t>
      </w:r>
    </w:p>
    <w:p w:rsidR="00405323" w:rsidRDefault="00405323" w:rsidP="00072796">
      <w:pPr>
        <w:pStyle w:val="Answer"/>
        <w:numPr>
          <w:ilvl w:val="0"/>
          <w:numId w:val="0"/>
        </w:numPr>
        <w:tabs>
          <w:tab w:val="clear" w:pos="720"/>
          <w:tab w:val="decimal" w:pos="-24"/>
        </w:tabs>
        <w:spacing w:line="480" w:lineRule="atLeast"/>
        <w:ind w:left="720" w:hanging="720"/>
      </w:pPr>
    </w:p>
    <w:p w:rsidR="0016711D" w:rsidRDefault="0016711D" w:rsidP="00072796">
      <w:pPr>
        <w:pStyle w:val="Answer"/>
        <w:numPr>
          <w:ilvl w:val="0"/>
          <w:numId w:val="0"/>
        </w:numPr>
        <w:tabs>
          <w:tab w:val="clear" w:pos="720"/>
          <w:tab w:val="decimal" w:pos="-24"/>
        </w:tabs>
        <w:spacing w:line="480" w:lineRule="atLeast"/>
        <w:ind w:left="720" w:hanging="720"/>
      </w:pPr>
    </w:p>
    <w:p w:rsidR="0016711D" w:rsidRDefault="0016711D" w:rsidP="00072796">
      <w:pPr>
        <w:pStyle w:val="Answer"/>
        <w:numPr>
          <w:ilvl w:val="0"/>
          <w:numId w:val="0"/>
        </w:numPr>
        <w:tabs>
          <w:tab w:val="clear" w:pos="720"/>
          <w:tab w:val="decimal" w:pos="-24"/>
        </w:tabs>
        <w:spacing w:line="480" w:lineRule="atLeast"/>
        <w:ind w:left="720" w:hanging="720"/>
      </w:pPr>
    </w:p>
    <w:p w:rsidR="0016711D" w:rsidRDefault="0016711D"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lastRenderedPageBreak/>
        <w:t>Q.</w:t>
      </w:r>
      <w:r>
        <w:tab/>
        <w:t xml:space="preserve">Do any other electric utilities use MDS to determine the </w:t>
      </w:r>
      <w:r w:rsidR="00EB4DE3">
        <w:t>customer-related</w:t>
      </w:r>
      <w:r>
        <w:t xml:space="preserve"> costs?</w:t>
      </w:r>
    </w:p>
    <w:p w:rsidR="00EA6D4C" w:rsidRDefault="00405323" w:rsidP="00072796">
      <w:pPr>
        <w:pStyle w:val="Answer"/>
        <w:numPr>
          <w:ilvl w:val="0"/>
          <w:numId w:val="0"/>
        </w:numPr>
        <w:tabs>
          <w:tab w:val="clear" w:pos="720"/>
          <w:tab w:val="decimal" w:pos="-24"/>
        </w:tabs>
        <w:spacing w:line="480" w:lineRule="atLeast"/>
        <w:ind w:left="720" w:hanging="720"/>
      </w:pPr>
      <w:r>
        <w:t>A.</w:t>
      </w:r>
      <w:r>
        <w:tab/>
        <w:t xml:space="preserve">Yes.  In fact, two </w:t>
      </w:r>
      <w:r w:rsidR="003D55F3">
        <w:t xml:space="preserve">other operating </w:t>
      </w:r>
      <w:r>
        <w:t xml:space="preserve">companies in the Southern electric system, Georgia Power Company and Mississippi Power Company, use MDS to determine the </w:t>
      </w:r>
      <w:r w:rsidR="00EB4DE3">
        <w:t>customer-related</w:t>
      </w:r>
      <w:r>
        <w:t xml:space="preserve"> costs.  Some other utilities that employ MDS include Kentucky Utilities, LG&amp;E, Tennessee Valley Authority (TVA), Wisconsin Public Service, and Virginia Electric Power.</w:t>
      </w:r>
    </w:p>
    <w:p w:rsidR="00EA6D4C" w:rsidRDefault="00EA6D4C"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You mentioned earlier that use of MDS is a change from the direction set forth in Gulf’s last rate case</w:t>
      </w:r>
      <w:r w:rsidR="0039284B">
        <w:t>.</w:t>
      </w:r>
      <w:r>
        <w:t xml:space="preserve">  Has this Commission ever approved MDS?  </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Yes, it was approved for Choctawhatchee Electric Cooperative Inc. in Docket No. 020537-EC.  </w:t>
      </w:r>
    </w:p>
    <w:p w:rsidR="001D1D87" w:rsidRDefault="001D1D87"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What effect will recognizing the use of MDS have on the various rate classes?</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Using MDS and including the resultant customer component in the distribution accounts will increase the costs allocated to the residential rate class and decrease the costs allocated to large business classes.  However, this is appropriate, since it better reflects the cost to serve </w:t>
      </w:r>
      <w:proofErr w:type="gramStart"/>
      <w:r>
        <w:t>these customer</w:t>
      </w:r>
      <w:proofErr w:type="gramEnd"/>
      <w:r>
        <w:t xml:space="preserve"> rate classes.  When determining the cost of providing service to customers, who benefits should not be the deciding factor – cost causation should.  In the past when this customer component was not recognized, large business customers were inappropriately allocated higher costs than cost-causation would justify. </w:t>
      </w:r>
      <w:r w:rsidR="0039284B">
        <w:t xml:space="preserve"> </w:t>
      </w:r>
      <w:r>
        <w:t xml:space="preserve">Even though the MDS methodology causes cost allocation to decrease for large business </w:t>
      </w:r>
      <w:r>
        <w:lastRenderedPageBreak/>
        <w:t>customers and to increase for smaller customers, it does so for rational reasons and properly allocates the costs to those customers who caused them to be incurred by the utility.</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What effect does including this customer</w:t>
      </w:r>
      <w:r w:rsidR="00E26012">
        <w:t>-related</w:t>
      </w:r>
      <w:r>
        <w:t xml:space="preserve"> component have for seasonal homes and vacation apartments?</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For months in which seasonal homes and vacation apartments are unoccupied yet still in service, cost allocation would be higher in cost-of-service studies than if these customer-related costs were misclassified in the </w:t>
      </w:r>
      <w:r w:rsidR="007665F8" w:rsidRPr="0015102D">
        <w:t>demand</w:t>
      </w:r>
      <w:r w:rsidR="001079F1">
        <w:t xml:space="preserve"> </w:t>
      </w:r>
      <w:r>
        <w:t xml:space="preserve">component. </w:t>
      </w:r>
      <w:r w:rsidR="0039284B">
        <w:t xml:space="preserve"> </w:t>
      </w:r>
      <w:r>
        <w:t>However, this is indeed proper since even during months of vacancy Gulf must have its distribution system ready to provide service whenever the renter arrives.  The seasonal customer should have the same cost responsibility as the year-round resident for these customer-related costs.</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rsidR="00137AA8">
        <w:t>.</w:t>
      </w:r>
      <w:r>
        <w:tab/>
        <w:t>It appears that you have included a customer-related component only for distribution equipment and not for transmission and subtransmission equipment.  Why should</w:t>
      </w:r>
      <w:r w:rsidR="001D1D87">
        <w:t xml:space="preserve">n’t </w:t>
      </w:r>
      <w:r>
        <w:t>transmission and subtransmission include customer components?</w:t>
      </w:r>
    </w:p>
    <w:p w:rsidR="009E38A5" w:rsidRDefault="009E38A5"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One could make the argument that transmission and subtransmission should have customer components.  However, equipment at the transmission and subtransmission is much larger and operates at higher voltage levels than </w:t>
      </w:r>
      <w:proofErr w:type="gramStart"/>
      <w:r>
        <w:t>does</w:t>
      </w:r>
      <w:proofErr w:type="gramEnd"/>
      <w:r>
        <w:t xml:space="preserve"> distribution equipment.  Consequently, imputing a </w:t>
      </w:r>
      <w:r w:rsidR="00EB4DE3">
        <w:t>customer-related</w:t>
      </w:r>
      <w:r>
        <w:t xml:space="preserve"> piece would likely result in a very small portion of the </w:t>
      </w:r>
      <w:r>
        <w:lastRenderedPageBreak/>
        <w:t xml:space="preserve">transmission and subtransmission being identified as </w:t>
      </w:r>
      <w:r w:rsidR="00EB4DE3">
        <w:t>customer-related</w:t>
      </w:r>
      <w:r>
        <w:t>.  As a result, it has been common convention in the electricity industry to stop calculating a customer component at the distribution level.</w:t>
      </w:r>
    </w:p>
    <w:p w:rsidR="00405323" w:rsidRDefault="00405323" w:rsidP="00072796">
      <w:pPr>
        <w:pStyle w:val="Answer"/>
        <w:numPr>
          <w:ilvl w:val="0"/>
          <w:numId w:val="0"/>
        </w:numPr>
        <w:tabs>
          <w:tab w:val="clear" w:pos="720"/>
          <w:tab w:val="decimal" w:pos="-24"/>
        </w:tabs>
        <w:spacing w:line="480" w:lineRule="atLeast"/>
        <w:ind w:left="720" w:hanging="720"/>
      </w:pPr>
    </w:p>
    <w:p w:rsidR="00405323" w:rsidRDefault="00405323" w:rsidP="00072796">
      <w:pPr>
        <w:pStyle w:val="Answer"/>
        <w:numPr>
          <w:ilvl w:val="0"/>
          <w:numId w:val="0"/>
        </w:numPr>
        <w:tabs>
          <w:tab w:val="clear" w:pos="720"/>
          <w:tab w:val="decimal" w:pos="-24"/>
        </w:tabs>
        <w:spacing w:line="480" w:lineRule="atLeast"/>
        <w:ind w:left="720" w:hanging="720"/>
      </w:pPr>
      <w:r>
        <w:t>Q.</w:t>
      </w:r>
      <w:r>
        <w:tab/>
        <w:t>Does the NARUC manual propose a customer component for transmission or does it stop at distribution</w:t>
      </w:r>
      <w:r w:rsidR="001079F1">
        <w:t>?</w:t>
      </w:r>
    </w:p>
    <w:p w:rsidR="00405323" w:rsidRDefault="00405323" w:rsidP="00072796">
      <w:pPr>
        <w:pStyle w:val="Answer"/>
        <w:numPr>
          <w:ilvl w:val="0"/>
          <w:numId w:val="0"/>
        </w:numPr>
        <w:tabs>
          <w:tab w:val="clear" w:pos="720"/>
          <w:tab w:val="decimal" w:pos="-24"/>
        </w:tabs>
        <w:spacing w:line="480" w:lineRule="atLeast"/>
        <w:ind w:left="720" w:hanging="720"/>
      </w:pPr>
      <w:r>
        <w:t>A.</w:t>
      </w:r>
      <w:r>
        <w:tab/>
        <w:t xml:space="preserve">The NARUC manual stops at distribution for classifying costs as </w:t>
      </w:r>
      <w:r w:rsidR="00EB4DE3">
        <w:t>customer-related</w:t>
      </w:r>
      <w:r>
        <w:t>.</w:t>
      </w:r>
    </w:p>
    <w:p w:rsidR="00405323" w:rsidRDefault="00405323" w:rsidP="00072796">
      <w:pPr>
        <w:pStyle w:val="Question"/>
        <w:tabs>
          <w:tab w:val="clear" w:pos="480"/>
          <w:tab w:val="clear" w:pos="720"/>
        </w:tabs>
        <w:spacing w:line="480" w:lineRule="atLeast"/>
        <w:ind w:left="720" w:hanging="720"/>
      </w:pPr>
      <w:r>
        <w:t>Do you recommend MDS in spite of limited precedent in Florida for its use?</w:t>
      </w:r>
    </w:p>
    <w:p w:rsidR="00405323" w:rsidRDefault="00405323" w:rsidP="0039284B">
      <w:pPr>
        <w:pStyle w:val="Question"/>
        <w:numPr>
          <w:ilvl w:val="0"/>
          <w:numId w:val="0"/>
        </w:numPr>
        <w:tabs>
          <w:tab w:val="clear" w:pos="720"/>
          <w:tab w:val="decimal" w:pos="-270"/>
        </w:tabs>
        <w:spacing w:line="480" w:lineRule="atLeast"/>
        <w:ind w:left="720" w:hanging="720"/>
      </w:pPr>
      <w:r>
        <w:t>A.</w:t>
      </w:r>
      <w:r w:rsidR="0039284B">
        <w:tab/>
      </w:r>
      <w:r>
        <w:t xml:space="preserve">Yes, I do.  I believe that this methodology provides the most appropriate cost assignments to assess rate class returns and to serve as a basis for rate design. </w:t>
      </w:r>
    </w:p>
    <w:p w:rsidR="00405323" w:rsidRDefault="00405323" w:rsidP="00072796">
      <w:pPr>
        <w:pStyle w:val="Question"/>
        <w:numPr>
          <w:ilvl w:val="0"/>
          <w:numId w:val="0"/>
        </w:numPr>
        <w:spacing w:line="480" w:lineRule="atLeast"/>
        <w:ind w:left="720" w:hanging="720"/>
      </w:pPr>
      <w:r>
        <w:t xml:space="preserve"> </w:t>
      </w:r>
    </w:p>
    <w:p w:rsidR="00405323" w:rsidRDefault="00405323" w:rsidP="00072796">
      <w:pPr>
        <w:pStyle w:val="Answer"/>
        <w:numPr>
          <w:ilvl w:val="0"/>
          <w:numId w:val="0"/>
        </w:numPr>
        <w:tabs>
          <w:tab w:val="clear" w:pos="720"/>
          <w:tab w:val="decimal" w:pos="-24"/>
        </w:tabs>
        <w:spacing w:line="480" w:lineRule="atLeast"/>
        <w:ind w:left="720" w:hanging="720"/>
      </w:pPr>
      <w:r>
        <w:t>Q.</w:t>
      </w:r>
      <w:r>
        <w:tab/>
        <w:t>In your opinion, are the results of the recommended cost-of-service study accurate representations of the rates of return by jurisdiction and rate class?</w:t>
      </w:r>
    </w:p>
    <w:p w:rsidR="00405323" w:rsidRDefault="00405323" w:rsidP="0039284B">
      <w:pPr>
        <w:pStyle w:val="Question"/>
        <w:numPr>
          <w:ilvl w:val="0"/>
          <w:numId w:val="0"/>
        </w:numPr>
        <w:tabs>
          <w:tab w:val="clear" w:pos="720"/>
          <w:tab w:val="decimal" w:pos="-450"/>
        </w:tabs>
        <w:spacing w:line="480" w:lineRule="atLeast"/>
        <w:ind w:left="720" w:hanging="720"/>
      </w:pPr>
      <w:r>
        <w:t>A.</w:t>
      </w:r>
      <w:r>
        <w:tab/>
        <w:t>Yes.  The results shown on Schedule 1 of the cost-of-service study in Exhibit MTO-2 are indeed fair and accurate statements of cost causation.</w:t>
      </w:r>
      <w:r w:rsidR="0039284B">
        <w:t xml:space="preserve"> </w:t>
      </w:r>
      <w:r>
        <w:t xml:space="preserve"> The rates of return produced by jurisdiction and by rate class for </w:t>
      </w:r>
      <w:proofErr w:type="gramStart"/>
      <w:r>
        <w:t>Gulf 's</w:t>
      </w:r>
      <w:proofErr w:type="gramEnd"/>
      <w:r>
        <w:t xml:space="preserve"> test year are fair and accurate indications of how the rate classes are covering costs.</w:t>
      </w:r>
    </w:p>
    <w:p w:rsidR="00405323" w:rsidRDefault="00405323" w:rsidP="00072796">
      <w:pPr>
        <w:pStyle w:val="Question"/>
        <w:numPr>
          <w:ilvl w:val="0"/>
          <w:numId w:val="0"/>
        </w:numPr>
        <w:spacing w:line="480" w:lineRule="atLeast"/>
        <w:ind w:left="720" w:hanging="720"/>
      </w:pPr>
    </w:p>
    <w:p w:rsidR="00405323" w:rsidRDefault="00405323" w:rsidP="00072796">
      <w:pPr>
        <w:pStyle w:val="Question"/>
        <w:tabs>
          <w:tab w:val="clear" w:pos="480"/>
        </w:tabs>
        <w:spacing w:line="480" w:lineRule="atLeast"/>
        <w:ind w:left="720" w:hanging="720"/>
      </w:pPr>
      <w:r>
        <w:t>Does this conclude your testimony?</w:t>
      </w:r>
    </w:p>
    <w:p w:rsidR="00405323" w:rsidRDefault="00405323" w:rsidP="00072796">
      <w:pPr>
        <w:pStyle w:val="Answer"/>
        <w:spacing w:line="480" w:lineRule="atLeast"/>
      </w:pPr>
      <w:r>
        <w:t>Yes, it does.</w:t>
      </w:r>
    </w:p>
    <w:p w:rsidR="0016711D" w:rsidRDefault="0016711D" w:rsidP="0042120A">
      <w:pPr>
        <w:sectPr w:rsidR="0016711D" w:rsidSect="00072796">
          <w:footerReference w:type="default" r:id="rId8"/>
          <w:pgSz w:w="12240" w:h="15840" w:code="1"/>
          <w:pgMar w:top="1800" w:right="1440" w:bottom="1800" w:left="2160" w:header="720" w:footer="720" w:gutter="0"/>
          <w:lnNumType w:countBy="1"/>
          <w:cols w:space="720"/>
          <w:docGrid w:linePitch="326"/>
        </w:sectPr>
      </w:pPr>
    </w:p>
    <w:p w:rsidR="00747722" w:rsidRDefault="00405323" w:rsidP="0042120A">
      <w:pPr>
        <w:pStyle w:val="SignatureBlock"/>
        <w:ind w:left="90"/>
      </w:pPr>
      <w:r>
        <w:lastRenderedPageBreak/>
        <w:tab/>
      </w:r>
      <w:r>
        <w:tab/>
      </w:r>
      <w:r>
        <w:tab/>
      </w:r>
      <w:r>
        <w:tab/>
      </w:r>
      <w:r>
        <w:tab/>
      </w:r>
      <w:r>
        <w:tab/>
      </w:r>
      <w:r>
        <w:tab/>
      </w:r>
      <w:r>
        <w:tab/>
      </w:r>
      <w:r>
        <w:tab/>
      </w:r>
    </w:p>
    <w:p w:rsidR="00747722" w:rsidRDefault="00747722" w:rsidP="0042120A">
      <w:pPr>
        <w:pStyle w:val="SignatureBlock"/>
        <w:ind w:left="90"/>
      </w:pPr>
    </w:p>
    <w:p w:rsidR="00405323" w:rsidRDefault="00747722" w:rsidP="00747722">
      <w:pPr>
        <w:pStyle w:val="SignatureBlock"/>
        <w:ind w:left="90"/>
        <w:jc w:val="center"/>
        <w:rPr>
          <w:rFonts w:ascii="Arial" w:hAnsi="Arial" w:cs="Arial"/>
          <w:b/>
        </w:rPr>
      </w:pPr>
      <w:r w:rsidRPr="00747722">
        <w:rPr>
          <w:rFonts w:ascii="Arial" w:hAnsi="Arial" w:cs="Arial"/>
          <w:b/>
        </w:rPr>
        <w:t>Responsibility for Minimum Filing Requirements</w:t>
      </w:r>
    </w:p>
    <w:p w:rsidR="00747722" w:rsidRDefault="00747722" w:rsidP="00747722">
      <w:pPr>
        <w:pStyle w:val="SignatureBlock"/>
        <w:ind w:left="90"/>
        <w:jc w:val="center"/>
        <w:rPr>
          <w:rFonts w:ascii="Arial" w:hAnsi="Arial" w:cs="Arial"/>
          <w:b/>
        </w:rPr>
      </w:pPr>
    </w:p>
    <w:p w:rsidR="007C45DD" w:rsidRDefault="00747722" w:rsidP="007C45DD">
      <w:pPr>
        <w:pStyle w:val="SignatureBlock"/>
        <w:ind w:left="0"/>
        <w:rPr>
          <w:rFonts w:ascii="Arial" w:hAnsi="Arial" w:cs="Arial"/>
          <w:b/>
          <w:highlight w:val="yellow"/>
          <w:u w:val="single"/>
        </w:rPr>
      </w:pPr>
      <w:r>
        <w:rPr>
          <w:rFonts w:ascii="Arial" w:hAnsi="Arial" w:cs="Arial"/>
          <w:b/>
          <w:u w:val="single"/>
        </w:rPr>
        <w:t>Schedule</w:t>
      </w:r>
      <w:r>
        <w:rPr>
          <w:rFonts w:ascii="Arial" w:hAnsi="Arial" w:cs="Arial"/>
          <w:b/>
        </w:rPr>
        <w:tab/>
      </w:r>
      <w:r>
        <w:rPr>
          <w:rFonts w:ascii="Arial" w:hAnsi="Arial" w:cs="Arial"/>
          <w:b/>
        </w:rPr>
        <w:tab/>
      </w:r>
      <w:r>
        <w:rPr>
          <w:rFonts w:ascii="Arial" w:hAnsi="Arial" w:cs="Arial"/>
          <w:b/>
        </w:rPr>
        <w:tab/>
      </w:r>
      <w:r w:rsidR="007C45DD" w:rsidRPr="007C45DD">
        <w:rPr>
          <w:rFonts w:ascii="Arial" w:hAnsi="Arial" w:cs="Arial"/>
          <w:b/>
          <w:u w:val="single"/>
        </w:rPr>
        <w:t>Title</w:t>
      </w:r>
    </w:p>
    <w:p w:rsidR="00747722" w:rsidRPr="00D51FDF" w:rsidRDefault="00747722" w:rsidP="00747722">
      <w:pPr>
        <w:pStyle w:val="SignatureBlock"/>
        <w:ind w:left="90"/>
        <w:rPr>
          <w:rFonts w:ascii="Arial" w:hAnsi="Arial" w:cs="Arial"/>
          <w:b/>
          <w:highlight w:val="yellow"/>
          <w:u w:val="single"/>
        </w:rPr>
      </w:pPr>
    </w:p>
    <w:p w:rsidR="007C45DD" w:rsidRPr="007C45DD" w:rsidRDefault="007C45DD" w:rsidP="00EA6D4C">
      <w:pPr>
        <w:pStyle w:val="SignatureBlock"/>
        <w:tabs>
          <w:tab w:val="left" w:pos="1440"/>
        </w:tabs>
        <w:spacing w:line="240" w:lineRule="auto"/>
        <w:ind w:left="0"/>
        <w:rPr>
          <w:rFonts w:ascii="Arial" w:hAnsi="Arial" w:cs="Arial"/>
        </w:rPr>
      </w:pPr>
      <w:r w:rsidRPr="007C45DD">
        <w:rPr>
          <w:rFonts w:ascii="Arial" w:hAnsi="Arial" w:cs="Arial"/>
        </w:rPr>
        <w:t>B-6</w:t>
      </w:r>
      <w:r w:rsidRPr="007C45DD">
        <w:rPr>
          <w:rFonts w:ascii="Arial" w:hAnsi="Arial" w:cs="Arial"/>
        </w:rPr>
        <w:tab/>
      </w:r>
      <w:r w:rsidRPr="007C45DD">
        <w:rPr>
          <w:rFonts w:ascii="Arial" w:hAnsi="Arial" w:cs="Arial"/>
        </w:rPr>
        <w:tab/>
        <w:t>Jurisdictional Separation Factors – Rate Base</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C-4</w:t>
      </w:r>
      <w:r w:rsidRPr="007C45DD">
        <w:rPr>
          <w:rFonts w:ascii="Arial" w:hAnsi="Arial" w:cs="Arial"/>
        </w:rPr>
        <w:tab/>
      </w:r>
      <w:r w:rsidRPr="007C45DD">
        <w:rPr>
          <w:rFonts w:ascii="Arial" w:hAnsi="Arial" w:cs="Arial"/>
        </w:rPr>
        <w:tab/>
      </w:r>
      <w:r w:rsidRPr="007C45DD">
        <w:rPr>
          <w:rFonts w:ascii="Arial" w:hAnsi="Arial" w:cs="Arial"/>
        </w:rPr>
        <w:tab/>
      </w:r>
      <w:r w:rsidR="00186775">
        <w:rPr>
          <w:rFonts w:ascii="Arial" w:hAnsi="Arial" w:cs="Arial"/>
        </w:rPr>
        <w:t>Jurisdictional Separation Factors – Net Operating Incom</w:t>
      </w:r>
      <w:r w:rsidRPr="007C45DD">
        <w:rPr>
          <w:rFonts w:ascii="Arial" w:hAnsi="Arial" w:cs="Arial"/>
        </w:rPr>
        <w:t>e</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E – 1</w:t>
      </w:r>
      <w:r w:rsidRPr="007C45DD">
        <w:rPr>
          <w:rFonts w:ascii="Arial" w:hAnsi="Arial" w:cs="Arial"/>
        </w:rPr>
        <w:tab/>
      </w:r>
      <w:r w:rsidRPr="007C45DD">
        <w:rPr>
          <w:rFonts w:ascii="Arial" w:hAnsi="Arial" w:cs="Arial"/>
        </w:rPr>
        <w:tab/>
      </w:r>
      <w:r w:rsidRPr="007C45DD">
        <w:rPr>
          <w:rFonts w:ascii="Arial" w:hAnsi="Arial" w:cs="Arial"/>
        </w:rPr>
        <w:tab/>
        <w:t>Cost of Service Studies</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proofErr w:type="gramStart"/>
      <w:r w:rsidRPr="007C45DD">
        <w:rPr>
          <w:rFonts w:ascii="Arial" w:hAnsi="Arial" w:cs="Arial"/>
        </w:rPr>
        <w:t>E – 2</w:t>
      </w:r>
      <w:r w:rsidRPr="007C45DD">
        <w:rPr>
          <w:rFonts w:ascii="Arial" w:hAnsi="Arial" w:cs="Arial"/>
        </w:rPr>
        <w:tab/>
      </w:r>
      <w:r w:rsidRPr="007C45DD">
        <w:rPr>
          <w:rFonts w:ascii="Arial" w:hAnsi="Arial" w:cs="Arial"/>
        </w:rPr>
        <w:tab/>
      </w:r>
      <w:r w:rsidRPr="007C45DD">
        <w:rPr>
          <w:rFonts w:ascii="Arial" w:hAnsi="Arial" w:cs="Arial"/>
        </w:rPr>
        <w:tab/>
        <w:t>Explanation</w:t>
      </w:r>
      <w:proofErr w:type="gramEnd"/>
      <w:r w:rsidRPr="007C45DD">
        <w:rPr>
          <w:rFonts w:ascii="Arial" w:hAnsi="Arial" w:cs="Arial"/>
        </w:rPr>
        <w:t xml:space="preserve"> of Variations from Cost of Service Study</w:t>
      </w:r>
    </w:p>
    <w:p w:rsidR="00EA6D4C" w:rsidRPr="00EA6D4C" w:rsidRDefault="00EA6D4C" w:rsidP="00EA6D4C">
      <w:pPr>
        <w:pStyle w:val="SignatureBlock"/>
        <w:spacing w:line="240" w:lineRule="auto"/>
        <w:ind w:left="2156" w:hanging="2156"/>
        <w:rPr>
          <w:rFonts w:ascii="Arial" w:hAnsi="Arial" w:cs="Arial"/>
          <w:sz w:val="14"/>
          <w:szCs w:val="14"/>
        </w:rPr>
      </w:pPr>
    </w:p>
    <w:p w:rsidR="007C45DD" w:rsidRPr="007C45DD" w:rsidRDefault="007C45DD" w:rsidP="00EA6D4C">
      <w:pPr>
        <w:pStyle w:val="SignatureBlock"/>
        <w:spacing w:line="240" w:lineRule="auto"/>
        <w:ind w:left="2156" w:hanging="2156"/>
        <w:rPr>
          <w:rFonts w:ascii="Arial" w:hAnsi="Arial" w:cs="Arial"/>
        </w:rPr>
      </w:pPr>
      <w:r w:rsidRPr="007C45DD">
        <w:rPr>
          <w:rFonts w:ascii="Arial" w:hAnsi="Arial" w:cs="Arial"/>
        </w:rPr>
        <w:t>E - 3a</w:t>
      </w:r>
      <w:r w:rsidRPr="007C45DD">
        <w:rPr>
          <w:rFonts w:ascii="Arial" w:hAnsi="Arial" w:cs="Arial"/>
        </w:rPr>
        <w:tab/>
      </w:r>
      <w:r w:rsidRPr="007C45DD">
        <w:rPr>
          <w:rFonts w:ascii="Arial" w:hAnsi="Arial" w:cs="Arial"/>
        </w:rPr>
        <w:tab/>
        <w:t xml:space="preserve">Cost of Service Study – </w:t>
      </w:r>
      <w:r w:rsidRPr="007C45DD">
        <w:rPr>
          <w:rFonts w:ascii="Arial" w:hAnsi="Arial" w:cs="Arial"/>
        </w:rPr>
        <w:br/>
        <w:t xml:space="preserve">Allocation of </w:t>
      </w:r>
      <w:r w:rsidR="00F659CF">
        <w:rPr>
          <w:rFonts w:ascii="Arial" w:hAnsi="Arial" w:cs="Arial"/>
        </w:rPr>
        <w:t>Rate Base</w:t>
      </w:r>
      <w:r w:rsidRPr="007C45DD">
        <w:rPr>
          <w:rFonts w:ascii="Arial" w:hAnsi="Arial" w:cs="Arial"/>
        </w:rPr>
        <w:t xml:space="preserve"> Components to Rate Schedule</w:t>
      </w:r>
    </w:p>
    <w:p w:rsidR="00EA6D4C" w:rsidRPr="00EA6D4C" w:rsidRDefault="00EA6D4C" w:rsidP="00EA6D4C">
      <w:pPr>
        <w:pStyle w:val="SignatureBlock"/>
        <w:spacing w:line="240" w:lineRule="auto"/>
        <w:ind w:left="2156" w:hanging="2156"/>
        <w:rPr>
          <w:rFonts w:ascii="Arial" w:hAnsi="Arial" w:cs="Arial"/>
          <w:sz w:val="14"/>
          <w:szCs w:val="14"/>
        </w:rPr>
      </w:pPr>
    </w:p>
    <w:p w:rsidR="007C45DD" w:rsidRPr="007C45DD" w:rsidRDefault="007C45DD" w:rsidP="00EA6D4C">
      <w:pPr>
        <w:pStyle w:val="SignatureBlock"/>
        <w:spacing w:line="240" w:lineRule="auto"/>
        <w:ind w:left="2156" w:hanging="2156"/>
        <w:rPr>
          <w:rFonts w:ascii="Arial" w:hAnsi="Arial" w:cs="Arial"/>
        </w:rPr>
      </w:pPr>
      <w:r w:rsidRPr="007C45DD">
        <w:rPr>
          <w:rFonts w:ascii="Arial" w:hAnsi="Arial" w:cs="Arial"/>
        </w:rPr>
        <w:t>E - 3b</w:t>
      </w:r>
      <w:r w:rsidRPr="007C45DD">
        <w:rPr>
          <w:rFonts w:ascii="Arial" w:hAnsi="Arial" w:cs="Arial"/>
        </w:rPr>
        <w:tab/>
      </w:r>
      <w:r w:rsidR="00F659CF">
        <w:rPr>
          <w:rFonts w:ascii="Arial" w:hAnsi="Arial" w:cs="Arial"/>
        </w:rPr>
        <w:tab/>
      </w:r>
      <w:r w:rsidR="00F659CF" w:rsidRPr="00F659CF">
        <w:rPr>
          <w:rFonts w:ascii="Arial" w:hAnsi="Arial" w:cs="Arial"/>
        </w:rPr>
        <w:t xml:space="preserve">Cost of Service Study – </w:t>
      </w:r>
      <w:r w:rsidR="00F659CF" w:rsidRPr="00F659CF">
        <w:rPr>
          <w:rFonts w:ascii="Arial" w:hAnsi="Arial" w:cs="Arial"/>
        </w:rPr>
        <w:br/>
        <w:t>Allocation of Expense Components to Rate Schedule</w:t>
      </w:r>
      <w:r w:rsidRPr="007C45DD">
        <w:rPr>
          <w:rFonts w:ascii="Arial" w:hAnsi="Arial" w:cs="Arial"/>
        </w:rPr>
        <w:tab/>
      </w:r>
    </w:p>
    <w:p w:rsidR="00EA6D4C" w:rsidRPr="00EA6D4C" w:rsidRDefault="00EA6D4C" w:rsidP="00EA6D4C">
      <w:pPr>
        <w:pStyle w:val="SignatureBlock"/>
        <w:spacing w:line="240" w:lineRule="auto"/>
        <w:ind w:left="2156" w:hanging="2156"/>
        <w:rPr>
          <w:rFonts w:ascii="Arial" w:hAnsi="Arial" w:cs="Arial"/>
          <w:sz w:val="14"/>
          <w:szCs w:val="14"/>
        </w:rPr>
      </w:pPr>
    </w:p>
    <w:p w:rsidR="007C45DD" w:rsidRPr="007C45DD" w:rsidRDefault="007C45DD" w:rsidP="00EA6D4C">
      <w:pPr>
        <w:pStyle w:val="SignatureBlock"/>
        <w:spacing w:line="240" w:lineRule="auto"/>
        <w:ind w:left="2156" w:hanging="2156"/>
        <w:rPr>
          <w:rFonts w:ascii="Arial" w:hAnsi="Arial" w:cs="Arial"/>
        </w:rPr>
      </w:pPr>
      <w:r w:rsidRPr="007C45DD">
        <w:rPr>
          <w:rFonts w:ascii="Arial" w:hAnsi="Arial" w:cs="Arial"/>
        </w:rPr>
        <w:t>E - 4a</w:t>
      </w:r>
      <w:r w:rsidR="00F659CF">
        <w:rPr>
          <w:rFonts w:ascii="Arial" w:hAnsi="Arial" w:cs="Arial"/>
        </w:rPr>
        <w:tab/>
      </w:r>
      <w:r w:rsidR="00D228CD">
        <w:rPr>
          <w:rFonts w:ascii="Arial" w:hAnsi="Arial" w:cs="Arial"/>
        </w:rPr>
        <w:tab/>
      </w:r>
      <w:r w:rsidR="00F659CF" w:rsidRPr="00F659CF">
        <w:rPr>
          <w:rFonts w:ascii="Arial" w:hAnsi="Arial" w:cs="Arial"/>
        </w:rPr>
        <w:t xml:space="preserve">Cost of Service Study – </w:t>
      </w:r>
      <w:r w:rsidR="00F659CF" w:rsidRPr="00F659CF">
        <w:rPr>
          <w:rFonts w:ascii="Arial" w:hAnsi="Arial" w:cs="Arial"/>
        </w:rPr>
        <w:br/>
      </w:r>
      <w:r w:rsidR="00F659CF">
        <w:rPr>
          <w:rFonts w:ascii="Arial" w:hAnsi="Arial" w:cs="Arial"/>
        </w:rPr>
        <w:t>Functionalization and Classification of Rate Base</w:t>
      </w:r>
    </w:p>
    <w:p w:rsidR="00EA6D4C" w:rsidRPr="00EA6D4C" w:rsidRDefault="00EA6D4C" w:rsidP="00EA6D4C">
      <w:pPr>
        <w:pStyle w:val="SignatureBlock"/>
        <w:spacing w:line="240" w:lineRule="auto"/>
        <w:ind w:left="2156" w:hanging="2156"/>
        <w:rPr>
          <w:rFonts w:ascii="Arial" w:hAnsi="Arial" w:cs="Arial"/>
          <w:sz w:val="14"/>
          <w:szCs w:val="14"/>
        </w:rPr>
      </w:pPr>
    </w:p>
    <w:p w:rsidR="007C45DD" w:rsidRPr="007C45DD" w:rsidRDefault="007C45DD" w:rsidP="00EA6D4C">
      <w:pPr>
        <w:pStyle w:val="SignatureBlock"/>
        <w:spacing w:line="240" w:lineRule="auto"/>
        <w:ind w:left="2156" w:hanging="2156"/>
        <w:rPr>
          <w:rFonts w:ascii="Arial" w:hAnsi="Arial" w:cs="Arial"/>
        </w:rPr>
      </w:pPr>
      <w:r w:rsidRPr="007C45DD">
        <w:rPr>
          <w:rFonts w:ascii="Arial" w:hAnsi="Arial" w:cs="Arial"/>
        </w:rPr>
        <w:t>E - 4b</w:t>
      </w:r>
      <w:r w:rsidR="00F659CF">
        <w:rPr>
          <w:rFonts w:ascii="Arial" w:hAnsi="Arial" w:cs="Arial"/>
        </w:rPr>
        <w:tab/>
      </w:r>
      <w:r w:rsidR="00F659CF">
        <w:rPr>
          <w:rFonts w:ascii="Arial" w:hAnsi="Arial" w:cs="Arial"/>
        </w:rPr>
        <w:tab/>
      </w:r>
      <w:r w:rsidR="00F659CF" w:rsidRPr="00F659CF">
        <w:rPr>
          <w:rFonts w:ascii="Arial" w:hAnsi="Arial" w:cs="Arial"/>
        </w:rPr>
        <w:t xml:space="preserve">Cost of Service Study – </w:t>
      </w:r>
      <w:r w:rsidR="00F659CF" w:rsidRPr="00F659CF">
        <w:rPr>
          <w:rFonts w:ascii="Arial" w:hAnsi="Arial" w:cs="Arial"/>
        </w:rPr>
        <w:br/>
      </w:r>
      <w:r w:rsidR="00F659CF">
        <w:rPr>
          <w:rFonts w:ascii="Arial" w:hAnsi="Arial" w:cs="Arial"/>
        </w:rPr>
        <w:t>Functionalization and Classification of Expenses</w:t>
      </w:r>
    </w:p>
    <w:p w:rsidR="00EA6D4C" w:rsidRPr="00EA6D4C" w:rsidRDefault="00EA6D4C" w:rsidP="00EA6D4C">
      <w:pPr>
        <w:pStyle w:val="SignatureBlock"/>
        <w:spacing w:line="240" w:lineRule="auto"/>
        <w:ind w:left="0"/>
        <w:rPr>
          <w:rFonts w:ascii="Arial" w:hAnsi="Arial" w:cs="Arial"/>
          <w:sz w:val="14"/>
          <w:szCs w:val="14"/>
        </w:rPr>
      </w:pPr>
    </w:p>
    <w:p w:rsidR="007C45DD" w:rsidRDefault="007C45DD" w:rsidP="00EA6D4C">
      <w:pPr>
        <w:pStyle w:val="SignatureBlock"/>
        <w:spacing w:line="240" w:lineRule="auto"/>
        <w:ind w:left="0"/>
        <w:rPr>
          <w:rFonts w:ascii="Arial" w:hAnsi="Arial" w:cs="Arial"/>
        </w:rPr>
      </w:pPr>
      <w:proofErr w:type="gramStart"/>
      <w:r w:rsidRPr="007C45DD">
        <w:rPr>
          <w:rFonts w:ascii="Arial" w:hAnsi="Arial" w:cs="Arial"/>
        </w:rPr>
        <w:t xml:space="preserve">E </w:t>
      </w:r>
      <w:r w:rsidR="00F659CF">
        <w:rPr>
          <w:rFonts w:ascii="Arial" w:hAnsi="Arial" w:cs="Arial"/>
        </w:rPr>
        <w:t>–</w:t>
      </w:r>
      <w:r w:rsidRPr="007C45DD">
        <w:rPr>
          <w:rFonts w:ascii="Arial" w:hAnsi="Arial" w:cs="Arial"/>
        </w:rPr>
        <w:t xml:space="preserve"> 5</w:t>
      </w:r>
      <w:r w:rsidR="00F659CF">
        <w:rPr>
          <w:rFonts w:ascii="Arial" w:hAnsi="Arial" w:cs="Arial"/>
        </w:rPr>
        <w:tab/>
      </w:r>
      <w:r w:rsidR="00F659CF">
        <w:rPr>
          <w:rFonts w:ascii="Arial" w:hAnsi="Arial" w:cs="Arial"/>
        </w:rPr>
        <w:tab/>
      </w:r>
      <w:r w:rsidR="00D228CD">
        <w:rPr>
          <w:rFonts w:ascii="Arial" w:hAnsi="Arial" w:cs="Arial"/>
        </w:rPr>
        <w:tab/>
      </w:r>
      <w:r w:rsidR="00F659CF">
        <w:rPr>
          <w:rFonts w:ascii="Arial" w:hAnsi="Arial" w:cs="Arial"/>
        </w:rPr>
        <w:t>Source</w:t>
      </w:r>
      <w:proofErr w:type="gramEnd"/>
      <w:r w:rsidR="00F659CF">
        <w:rPr>
          <w:rFonts w:ascii="Arial" w:hAnsi="Arial" w:cs="Arial"/>
        </w:rPr>
        <w:t xml:space="preserve"> and Amount of Revenues – </w:t>
      </w:r>
    </w:p>
    <w:p w:rsidR="007C45DD" w:rsidRPr="007C45DD" w:rsidRDefault="00F659CF" w:rsidP="00EA6D4C">
      <w:pPr>
        <w:pStyle w:val="SignatureBlock"/>
        <w:spacing w:line="240" w:lineRule="auto"/>
        <w:ind w:left="2156"/>
        <w:rPr>
          <w:rFonts w:ascii="Arial" w:hAnsi="Arial" w:cs="Arial"/>
        </w:rPr>
      </w:pPr>
      <w:r>
        <w:rPr>
          <w:rFonts w:ascii="Arial" w:hAnsi="Arial" w:cs="Arial"/>
        </w:rPr>
        <w:t>At Present and Proposed Rates</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E - 6a</w:t>
      </w:r>
      <w:r w:rsidR="00F659CF">
        <w:rPr>
          <w:rFonts w:ascii="Arial" w:hAnsi="Arial" w:cs="Arial"/>
        </w:rPr>
        <w:tab/>
      </w:r>
      <w:r w:rsidR="00F659CF">
        <w:rPr>
          <w:rFonts w:ascii="Arial" w:hAnsi="Arial" w:cs="Arial"/>
        </w:rPr>
        <w:tab/>
      </w:r>
      <w:r w:rsidR="00D228CD">
        <w:rPr>
          <w:rFonts w:ascii="Arial" w:hAnsi="Arial" w:cs="Arial"/>
        </w:rPr>
        <w:tab/>
      </w:r>
      <w:r w:rsidR="00F659CF">
        <w:rPr>
          <w:rFonts w:ascii="Arial" w:hAnsi="Arial" w:cs="Arial"/>
        </w:rPr>
        <w:t>Cost of Service Study – Unit Costs, Present Rates</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E - 6b</w:t>
      </w:r>
      <w:r w:rsidR="00F659CF">
        <w:rPr>
          <w:rFonts w:ascii="Arial" w:hAnsi="Arial" w:cs="Arial"/>
        </w:rPr>
        <w:tab/>
      </w:r>
      <w:r w:rsidR="00F659CF">
        <w:rPr>
          <w:rFonts w:ascii="Arial" w:hAnsi="Arial" w:cs="Arial"/>
        </w:rPr>
        <w:tab/>
      </w:r>
      <w:r w:rsidR="00D228CD">
        <w:rPr>
          <w:rFonts w:ascii="Arial" w:hAnsi="Arial" w:cs="Arial"/>
        </w:rPr>
        <w:tab/>
      </w:r>
      <w:r w:rsidR="00F659CF">
        <w:rPr>
          <w:rFonts w:ascii="Arial" w:hAnsi="Arial" w:cs="Arial"/>
        </w:rPr>
        <w:t>Cost of Service Study – Unit Costs, Proposed Rates</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 xml:space="preserve">E </w:t>
      </w:r>
      <w:r w:rsidR="00F659CF">
        <w:rPr>
          <w:rFonts w:ascii="Arial" w:hAnsi="Arial" w:cs="Arial"/>
        </w:rPr>
        <w:t>–</w:t>
      </w:r>
      <w:r w:rsidRPr="007C45DD">
        <w:rPr>
          <w:rFonts w:ascii="Arial" w:hAnsi="Arial" w:cs="Arial"/>
        </w:rPr>
        <w:t xml:space="preserve"> 9</w:t>
      </w:r>
      <w:r w:rsidR="00F659CF">
        <w:rPr>
          <w:rFonts w:ascii="Arial" w:hAnsi="Arial" w:cs="Arial"/>
        </w:rPr>
        <w:tab/>
      </w:r>
      <w:r w:rsidR="00F659CF">
        <w:rPr>
          <w:rFonts w:ascii="Arial" w:hAnsi="Arial" w:cs="Arial"/>
        </w:rPr>
        <w:tab/>
      </w:r>
      <w:r w:rsidR="00F659CF">
        <w:rPr>
          <w:rFonts w:ascii="Arial" w:hAnsi="Arial" w:cs="Arial"/>
        </w:rPr>
        <w:tab/>
        <w:t>Cost of Service – Load Data</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 xml:space="preserve">E </w:t>
      </w:r>
      <w:r w:rsidR="00F659CF">
        <w:rPr>
          <w:rFonts w:ascii="Arial" w:hAnsi="Arial" w:cs="Arial"/>
        </w:rPr>
        <w:t>–</w:t>
      </w:r>
      <w:r w:rsidRPr="007C45DD">
        <w:rPr>
          <w:rFonts w:ascii="Arial" w:hAnsi="Arial" w:cs="Arial"/>
        </w:rPr>
        <w:t xml:space="preserve"> 10</w:t>
      </w:r>
      <w:r w:rsidR="00F659CF">
        <w:rPr>
          <w:rFonts w:ascii="Arial" w:hAnsi="Arial" w:cs="Arial"/>
        </w:rPr>
        <w:tab/>
      </w:r>
      <w:r w:rsidR="00F659CF">
        <w:rPr>
          <w:rFonts w:ascii="Arial" w:hAnsi="Arial" w:cs="Arial"/>
        </w:rPr>
        <w:tab/>
      </w:r>
      <w:r w:rsidR="007F2B17">
        <w:rPr>
          <w:rFonts w:ascii="Arial" w:hAnsi="Arial" w:cs="Arial"/>
        </w:rPr>
        <w:tab/>
      </w:r>
      <w:r w:rsidR="00F659CF">
        <w:rPr>
          <w:rFonts w:ascii="Arial" w:hAnsi="Arial" w:cs="Arial"/>
        </w:rPr>
        <w:t>Cost of Service Study – Development of Allocation Factors</w:t>
      </w:r>
    </w:p>
    <w:p w:rsidR="00EA6D4C" w:rsidRPr="00EA6D4C" w:rsidRDefault="00EA6D4C" w:rsidP="00EA6D4C">
      <w:pPr>
        <w:pStyle w:val="SignatureBlock"/>
        <w:spacing w:line="240" w:lineRule="auto"/>
        <w:ind w:left="0"/>
        <w:rPr>
          <w:rFonts w:ascii="Arial" w:hAnsi="Arial" w:cs="Arial"/>
          <w:sz w:val="14"/>
          <w:szCs w:val="14"/>
        </w:rPr>
      </w:pPr>
    </w:p>
    <w:p w:rsidR="007C45DD" w:rsidRDefault="007C45DD" w:rsidP="00EA6D4C">
      <w:pPr>
        <w:pStyle w:val="SignatureBlock"/>
        <w:spacing w:line="240" w:lineRule="auto"/>
        <w:ind w:left="0"/>
        <w:rPr>
          <w:rFonts w:ascii="Arial" w:hAnsi="Arial" w:cs="Arial"/>
        </w:rPr>
      </w:pPr>
      <w:proofErr w:type="gramStart"/>
      <w:r w:rsidRPr="007C45DD">
        <w:rPr>
          <w:rFonts w:ascii="Arial" w:hAnsi="Arial" w:cs="Arial"/>
        </w:rPr>
        <w:t>E – 11</w:t>
      </w:r>
      <w:r w:rsidRPr="007C45DD">
        <w:rPr>
          <w:rFonts w:ascii="Arial" w:hAnsi="Arial" w:cs="Arial"/>
        </w:rPr>
        <w:tab/>
      </w:r>
      <w:r w:rsidR="00F659CF">
        <w:rPr>
          <w:rFonts w:ascii="Arial" w:hAnsi="Arial" w:cs="Arial"/>
        </w:rPr>
        <w:tab/>
      </w:r>
      <w:r w:rsidR="00D228CD">
        <w:rPr>
          <w:rFonts w:ascii="Arial" w:hAnsi="Arial" w:cs="Arial"/>
        </w:rPr>
        <w:tab/>
      </w:r>
      <w:r w:rsidR="00F659CF">
        <w:rPr>
          <w:rFonts w:ascii="Arial" w:hAnsi="Arial" w:cs="Arial"/>
        </w:rPr>
        <w:t>Development</w:t>
      </w:r>
      <w:proofErr w:type="gramEnd"/>
      <w:r w:rsidR="00F659CF">
        <w:rPr>
          <w:rFonts w:ascii="Arial" w:hAnsi="Arial" w:cs="Arial"/>
        </w:rPr>
        <w:t xml:space="preserve"> of </w:t>
      </w:r>
      <w:r w:rsidR="003D55F3">
        <w:rPr>
          <w:rFonts w:ascii="Arial" w:hAnsi="Arial" w:cs="Arial"/>
        </w:rPr>
        <w:t>C</w:t>
      </w:r>
      <w:r w:rsidR="00F659CF">
        <w:rPr>
          <w:rFonts w:ascii="Arial" w:hAnsi="Arial" w:cs="Arial"/>
        </w:rPr>
        <w:t>oincident and Non</w:t>
      </w:r>
      <w:r w:rsidR="00D228CD">
        <w:rPr>
          <w:rFonts w:ascii="Arial" w:hAnsi="Arial" w:cs="Arial"/>
        </w:rPr>
        <w:t>-C</w:t>
      </w:r>
      <w:r w:rsidR="00F659CF">
        <w:rPr>
          <w:rFonts w:ascii="Arial" w:hAnsi="Arial" w:cs="Arial"/>
        </w:rPr>
        <w:t xml:space="preserve">oincident Demands for </w:t>
      </w:r>
    </w:p>
    <w:p w:rsidR="007C45DD" w:rsidRDefault="00F659CF" w:rsidP="00EA6D4C">
      <w:pPr>
        <w:pStyle w:val="SignatureBlock"/>
        <w:spacing w:line="240" w:lineRule="auto"/>
        <w:ind w:left="1526" w:firstLine="634"/>
        <w:rPr>
          <w:rFonts w:ascii="Arial" w:hAnsi="Arial" w:cs="Arial"/>
        </w:rPr>
      </w:pPr>
      <w:r>
        <w:rPr>
          <w:rFonts w:ascii="Arial" w:hAnsi="Arial" w:cs="Arial"/>
        </w:rPr>
        <w:t xml:space="preserve">Cost Study  </w:t>
      </w:r>
    </w:p>
    <w:p w:rsidR="00EA6D4C" w:rsidRPr="00EA6D4C" w:rsidRDefault="00EA6D4C" w:rsidP="00EA6D4C">
      <w:pPr>
        <w:rPr>
          <w:rFonts w:ascii="Arial" w:hAnsi="Arial" w:cs="Arial"/>
          <w:sz w:val="14"/>
          <w:szCs w:val="14"/>
        </w:rPr>
      </w:pPr>
    </w:p>
    <w:p w:rsidR="007C45DD" w:rsidRDefault="007C45DD" w:rsidP="00EA6D4C">
      <w:pPr>
        <w:rPr>
          <w:rFonts w:ascii="Arial" w:hAnsi="Arial" w:cs="Arial"/>
        </w:rPr>
      </w:pPr>
      <w:r w:rsidRPr="007C45DD">
        <w:rPr>
          <w:rFonts w:ascii="Arial" w:hAnsi="Arial" w:cs="Arial"/>
        </w:rPr>
        <w:t>E – 16</w:t>
      </w:r>
      <w:r w:rsidRPr="007C45DD">
        <w:rPr>
          <w:rFonts w:ascii="Arial" w:hAnsi="Arial" w:cs="Arial"/>
        </w:rPr>
        <w:tab/>
      </w:r>
      <w:r w:rsidR="00D228CD">
        <w:rPr>
          <w:rFonts w:ascii="Arial" w:hAnsi="Arial" w:cs="Arial"/>
        </w:rPr>
        <w:tab/>
      </w:r>
      <w:r w:rsidR="00D228CD">
        <w:rPr>
          <w:rFonts w:ascii="Arial" w:hAnsi="Arial" w:cs="Arial"/>
        </w:rPr>
        <w:tab/>
        <w:t>Customer</w:t>
      </w:r>
      <w:r w:rsidR="003D55F3">
        <w:rPr>
          <w:rFonts w:ascii="Arial" w:hAnsi="Arial" w:cs="Arial"/>
        </w:rPr>
        <w:t>s</w:t>
      </w:r>
      <w:r w:rsidR="00D228CD">
        <w:rPr>
          <w:rFonts w:ascii="Arial" w:hAnsi="Arial" w:cs="Arial"/>
        </w:rPr>
        <w:t xml:space="preserve"> by Voltage Level</w:t>
      </w:r>
    </w:p>
    <w:p w:rsidR="00EA6D4C" w:rsidRPr="00EA6D4C" w:rsidRDefault="00EA6D4C" w:rsidP="00EA6D4C">
      <w:pPr>
        <w:pStyle w:val="SignatureBlock"/>
        <w:spacing w:line="240" w:lineRule="auto"/>
        <w:ind w:left="0"/>
        <w:rPr>
          <w:rFonts w:ascii="Arial" w:hAnsi="Arial" w:cs="Arial"/>
          <w:sz w:val="14"/>
          <w:szCs w:val="14"/>
        </w:rPr>
      </w:pPr>
    </w:p>
    <w:p w:rsidR="007C45DD" w:rsidRDefault="007C45DD" w:rsidP="00EA6D4C">
      <w:pPr>
        <w:pStyle w:val="SignatureBlock"/>
        <w:spacing w:line="240" w:lineRule="auto"/>
        <w:ind w:left="0"/>
        <w:rPr>
          <w:rFonts w:ascii="Arial" w:hAnsi="Arial" w:cs="Arial"/>
          <w:highlight w:val="yellow"/>
        </w:rPr>
      </w:pPr>
      <w:r w:rsidRPr="007C45DD">
        <w:rPr>
          <w:rFonts w:ascii="Arial" w:hAnsi="Arial" w:cs="Arial"/>
        </w:rPr>
        <w:t>E - 19a</w:t>
      </w:r>
      <w:r w:rsidR="00D228CD">
        <w:rPr>
          <w:rFonts w:ascii="Arial" w:hAnsi="Arial" w:cs="Arial"/>
        </w:rPr>
        <w:tab/>
      </w:r>
      <w:r w:rsidR="00D228CD">
        <w:rPr>
          <w:rFonts w:ascii="Arial" w:hAnsi="Arial" w:cs="Arial"/>
        </w:rPr>
        <w:tab/>
        <w:t>Demand and Energy Losses</w:t>
      </w:r>
    </w:p>
    <w:p w:rsidR="00EA6D4C" w:rsidRPr="00EA6D4C" w:rsidRDefault="00EA6D4C" w:rsidP="00EA6D4C">
      <w:pPr>
        <w:pStyle w:val="SignatureBlock"/>
        <w:spacing w:line="240" w:lineRule="auto"/>
        <w:ind w:left="0"/>
        <w:rPr>
          <w:rFonts w:ascii="Arial" w:hAnsi="Arial" w:cs="Arial"/>
          <w:sz w:val="14"/>
          <w:szCs w:val="14"/>
        </w:rPr>
      </w:pPr>
    </w:p>
    <w:p w:rsidR="007C45DD" w:rsidRPr="007C45DD" w:rsidRDefault="007C45DD" w:rsidP="00EA6D4C">
      <w:pPr>
        <w:pStyle w:val="SignatureBlock"/>
        <w:spacing w:line="240" w:lineRule="auto"/>
        <w:ind w:left="0"/>
        <w:rPr>
          <w:rFonts w:ascii="Arial" w:hAnsi="Arial" w:cs="Arial"/>
        </w:rPr>
      </w:pPr>
      <w:r w:rsidRPr="007C45DD">
        <w:rPr>
          <w:rFonts w:ascii="Arial" w:hAnsi="Arial" w:cs="Arial"/>
        </w:rPr>
        <w:t>E - 19b</w:t>
      </w:r>
      <w:r w:rsidR="00D228CD">
        <w:rPr>
          <w:rFonts w:ascii="Arial" w:hAnsi="Arial" w:cs="Arial"/>
        </w:rPr>
        <w:tab/>
      </w:r>
      <w:r w:rsidR="00D228CD">
        <w:rPr>
          <w:rFonts w:ascii="Arial" w:hAnsi="Arial" w:cs="Arial"/>
        </w:rPr>
        <w:tab/>
        <w:t>Energy Losses</w:t>
      </w:r>
    </w:p>
    <w:p w:rsidR="00EA6D4C" w:rsidRPr="00EA6D4C" w:rsidRDefault="00EA6D4C" w:rsidP="00EA6D4C">
      <w:pPr>
        <w:pStyle w:val="SignatureBlock"/>
        <w:spacing w:line="240" w:lineRule="auto"/>
        <w:ind w:left="0"/>
        <w:rPr>
          <w:rFonts w:ascii="Arial" w:hAnsi="Arial" w:cs="Arial"/>
          <w:sz w:val="14"/>
          <w:szCs w:val="14"/>
        </w:rPr>
      </w:pPr>
    </w:p>
    <w:p w:rsidR="007F2B17" w:rsidRDefault="007C45DD" w:rsidP="00EA6D4C">
      <w:pPr>
        <w:pStyle w:val="SignatureBlock"/>
        <w:spacing w:line="240" w:lineRule="auto"/>
        <w:ind w:left="0"/>
        <w:rPr>
          <w:rFonts w:ascii="Arial" w:hAnsi="Arial" w:cs="Arial"/>
        </w:rPr>
      </w:pPr>
      <w:r w:rsidRPr="007C45DD">
        <w:rPr>
          <w:rFonts w:ascii="Arial" w:hAnsi="Arial" w:cs="Arial"/>
        </w:rPr>
        <w:t>E - 19c</w:t>
      </w:r>
      <w:r w:rsidR="00D228CD">
        <w:rPr>
          <w:rFonts w:ascii="Arial" w:hAnsi="Arial" w:cs="Arial"/>
        </w:rPr>
        <w:tab/>
      </w:r>
      <w:r w:rsidR="00D228CD">
        <w:rPr>
          <w:rFonts w:ascii="Arial" w:hAnsi="Arial" w:cs="Arial"/>
        </w:rPr>
        <w:tab/>
        <w:t>Demand Losses</w:t>
      </w:r>
    </w:p>
    <w:p w:rsidR="007F2B17" w:rsidRDefault="007F2B17" w:rsidP="00EA6D4C">
      <w:pPr>
        <w:pStyle w:val="SignatureBlock"/>
        <w:spacing w:line="240" w:lineRule="auto"/>
        <w:ind w:left="0"/>
        <w:rPr>
          <w:rFonts w:ascii="Arial" w:hAnsi="Arial" w:cs="Arial"/>
        </w:rPr>
        <w:sectPr w:rsidR="007F2B17" w:rsidSect="0082334B">
          <w:headerReference w:type="even" r:id="rId9"/>
          <w:headerReference w:type="default" r:id="rId10"/>
          <w:footerReference w:type="default" r:id="rId11"/>
          <w:pgSz w:w="12240" w:h="15840" w:code="1"/>
          <w:pgMar w:top="1728" w:right="1440" w:bottom="1728" w:left="1800" w:header="720" w:footer="720" w:gutter="0"/>
          <w:pgNumType w:start="1"/>
          <w:cols w:space="720"/>
          <w:docGrid w:linePitch="326"/>
        </w:sectPr>
      </w:pPr>
    </w:p>
    <w:p w:rsidR="007F2B17" w:rsidRDefault="007F2B17" w:rsidP="00EA6D4C">
      <w:pPr>
        <w:jc w:val="center"/>
        <w:rPr>
          <w:b/>
          <w:sz w:val="28"/>
          <w:szCs w:val="28"/>
        </w:rPr>
      </w:pPr>
    </w:p>
    <w:p w:rsidR="007F2B17" w:rsidRDefault="007F2B17" w:rsidP="0042120A">
      <w:pPr>
        <w:jc w:val="center"/>
        <w:rPr>
          <w:b/>
          <w:sz w:val="28"/>
          <w:szCs w:val="28"/>
        </w:rPr>
      </w:pPr>
    </w:p>
    <w:p w:rsidR="00405323" w:rsidRDefault="00A046A5" w:rsidP="0042120A">
      <w:pPr>
        <w:jc w:val="center"/>
        <w:rPr>
          <w:b/>
          <w:sz w:val="28"/>
          <w:szCs w:val="28"/>
        </w:rPr>
      </w:pPr>
      <w:r>
        <w:rPr>
          <w:b/>
          <w:sz w:val="28"/>
          <w:szCs w:val="28"/>
        </w:rPr>
        <w:t>Illustration of Simple Distribution Network</w:t>
      </w:r>
    </w:p>
    <w:p w:rsidR="00405323" w:rsidRDefault="00405323" w:rsidP="0042120A">
      <w:pPr>
        <w:jc w:val="center"/>
        <w:rPr>
          <w:b/>
          <w:sz w:val="28"/>
          <w:szCs w:val="28"/>
        </w:rPr>
      </w:pPr>
    </w:p>
    <w:p w:rsidR="007F2B17" w:rsidRDefault="007F2B17" w:rsidP="0042120A">
      <w:pPr>
        <w:jc w:val="center"/>
        <w:rPr>
          <w:b/>
          <w:sz w:val="28"/>
          <w:szCs w:val="28"/>
        </w:rPr>
      </w:pPr>
    </w:p>
    <w:p w:rsidR="007F2B17" w:rsidRDefault="007F2B17" w:rsidP="0042120A">
      <w:pPr>
        <w:jc w:val="center"/>
        <w:rPr>
          <w:b/>
          <w:sz w:val="28"/>
          <w:szCs w:val="28"/>
        </w:rPr>
      </w:pPr>
    </w:p>
    <w:p w:rsidR="007F2B17" w:rsidRDefault="007F2B17" w:rsidP="0042120A">
      <w:pPr>
        <w:jc w:val="center"/>
        <w:rPr>
          <w:b/>
          <w:sz w:val="28"/>
          <w:szCs w:val="28"/>
        </w:rPr>
      </w:pPr>
    </w:p>
    <w:p w:rsidR="00405323" w:rsidRDefault="00405323" w:rsidP="0042120A">
      <w:pPr>
        <w:jc w:val="center"/>
        <w:rPr>
          <w:b/>
          <w:sz w:val="28"/>
          <w:szCs w:val="28"/>
        </w:rPr>
      </w:pPr>
    </w:p>
    <w:p w:rsidR="00405323" w:rsidRDefault="007F2B17" w:rsidP="0042120A">
      <w:pPr>
        <w:jc w:val="center"/>
        <w:rPr>
          <w:b/>
          <w:sz w:val="28"/>
          <w:szCs w:val="28"/>
        </w:rPr>
      </w:pPr>
      <w:r>
        <w:rPr>
          <w:b/>
          <w:noProof/>
          <w:sz w:val="28"/>
          <w:szCs w:val="28"/>
        </w:rPr>
        <w:drawing>
          <wp:anchor distT="0" distB="0" distL="114300" distR="114300" simplePos="0" relativeHeight="251650560" behindDoc="0" locked="0" layoutInCell="1" allowOverlap="1">
            <wp:simplePos x="0" y="0"/>
            <wp:positionH relativeFrom="column">
              <wp:posOffset>-660400</wp:posOffset>
            </wp:positionH>
            <wp:positionV relativeFrom="paragraph">
              <wp:posOffset>138430</wp:posOffset>
            </wp:positionV>
            <wp:extent cx="5779135" cy="3942080"/>
            <wp:effectExtent l="0" t="0" r="0" b="0"/>
            <wp:wrapTight wrapText="right">
              <wp:wrapPolygon edited="0">
                <wp:start x="15308" y="0"/>
                <wp:lineTo x="14596" y="1670"/>
                <wp:lineTo x="13457" y="3340"/>
                <wp:lineTo x="12531" y="4175"/>
                <wp:lineTo x="12318" y="5010"/>
                <wp:lineTo x="10538" y="8351"/>
                <wp:lineTo x="10039" y="8768"/>
                <wp:lineTo x="9256" y="9812"/>
                <wp:lineTo x="3631" y="13778"/>
                <wp:lineTo x="3702" y="13987"/>
                <wp:lineTo x="6978" y="15031"/>
                <wp:lineTo x="6978" y="15240"/>
                <wp:lineTo x="9541" y="16701"/>
                <wp:lineTo x="9185" y="17014"/>
                <wp:lineTo x="9256" y="17536"/>
                <wp:lineTo x="10894" y="18371"/>
                <wp:lineTo x="9755" y="18476"/>
                <wp:lineTo x="9755" y="19624"/>
                <wp:lineTo x="10751" y="20041"/>
                <wp:lineTo x="11606" y="20981"/>
                <wp:lineTo x="12033" y="20981"/>
                <wp:lineTo x="13955" y="20981"/>
                <wp:lineTo x="13884" y="20146"/>
                <wp:lineTo x="14240" y="20041"/>
                <wp:lineTo x="15237" y="18684"/>
                <wp:lineTo x="15166" y="18267"/>
                <wp:lineTo x="14454" y="17536"/>
                <wp:lineTo x="13315" y="16701"/>
                <wp:lineTo x="13884" y="15031"/>
                <wp:lineTo x="20648" y="14613"/>
                <wp:lineTo x="20648" y="13778"/>
                <wp:lineTo x="14810" y="13361"/>
                <wp:lineTo x="15166" y="12839"/>
                <wp:lineTo x="14952" y="12421"/>
                <wp:lineTo x="14027" y="11691"/>
                <wp:lineTo x="17017" y="11691"/>
                <wp:lineTo x="19580" y="10960"/>
                <wp:lineTo x="19651" y="10021"/>
                <wp:lineTo x="19651" y="8872"/>
                <wp:lineTo x="19580" y="8351"/>
                <wp:lineTo x="19723" y="7098"/>
                <wp:lineTo x="18797" y="6680"/>
                <wp:lineTo x="18583" y="5219"/>
                <wp:lineTo x="14596" y="5010"/>
                <wp:lineTo x="17017" y="3653"/>
                <wp:lineTo x="17017" y="0"/>
                <wp:lineTo x="15308"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779135" cy="3942080"/>
                    </a:xfrm>
                    <a:prstGeom prst="rect">
                      <a:avLst/>
                    </a:prstGeom>
                    <a:noFill/>
                  </pic:spPr>
                </pic:pic>
              </a:graphicData>
            </a:graphic>
          </wp:anchor>
        </w:drawing>
      </w: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p w:rsidR="00926770" w:rsidRDefault="00926770" w:rsidP="0042120A">
      <w:pPr>
        <w:jc w:val="center"/>
        <w:rPr>
          <w:b/>
          <w:sz w:val="28"/>
          <w:szCs w:val="28"/>
        </w:rPr>
        <w:sectPr w:rsidR="00926770" w:rsidSect="0082334B">
          <w:headerReference w:type="default" r:id="rId13"/>
          <w:pgSz w:w="12240" w:h="15840" w:code="1"/>
          <w:pgMar w:top="1728" w:right="1440" w:bottom="1728" w:left="1800" w:header="720" w:footer="720" w:gutter="0"/>
          <w:pgNumType w:start="1"/>
          <w:cols w:space="720"/>
          <w:docGrid w:linePitch="326"/>
        </w:sectPr>
      </w:pPr>
    </w:p>
    <w:p w:rsidR="00405323" w:rsidRDefault="00405323" w:rsidP="0042120A">
      <w:pPr>
        <w:jc w:val="center"/>
        <w:rPr>
          <w:b/>
          <w:sz w:val="28"/>
          <w:szCs w:val="28"/>
        </w:rPr>
      </w:pPr>
    </w:p>
    <w:p w:rsidR="00405323" w:rsidRDefault="00405323" w:rsidP="0042120A">
      <w:pPr>
        <w:jc w:val="center"/>
        <w:rPr>
          <w:b/>
          <w:sz w:val="28"/>
          <w:szCs w:val="28"/>
        </w:rPr>
      </w:pPr>
    </w:p>
    <w:p w:rsidR="00405323" w:rsidRDefault="00405323" w:rsidP="0042120A">
      <w:pPr>
        <w:jc w:val="center"/>
        <w:rPr>
          <w:b/>
          <w:sz w:val="28"/>
          <w:szCs w:val="28"/>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79"/>
        <w:gridCol w:w="2976"/>
        <w:gridCol w:w="2953"/>
      </w:tblGrid>
      <w:tr w:rsidR="00405323" w:rsidRPr="0092449E" w:rsidTr="00F21208">
        <w:trPr>
          <w:jc w:val="center"/>
        </w:trPr>
        <w:tc>
          <w:tcPr>
            <w:tcW w:w="8208" w:type="dxa"/>
            <w:gridSpan w:val="3"/>
            <w:tcBorders>
              <w:top w:val="nil"/>
              <w:left w:val="nil"/>
              <w:right w:val="nil"/>
            </w:tcBorders>
            <w:vAlign w:val="bottom"/>
          </w:tcPr>
          <w:p w:rsidR="00405323" w:rsidRDefault="00A046A5" w:rsidP="00595CEA">
            <w:pPr>
              <w:spacing w:before="40" w:after="40"/>
              <w:jc w:val="center"/>
              <w:rPr>
                <w:rFonts w:ascii="Arial" w:hAnsi="Arial"/>
                <w:b/>
                <w:sz w:val="26"/>
              </w:rPr>
            </w:pPr>
            <w:r>
              <w:rPr>
                <w:rFonts w:ascii="Arial" w:hAnsi="Arial"/>
                <w:b/>
                <w:sz w:val="26"/>
              </w:rPr>
              <w:t xml:space="preserve">MDS </w:t>
            </w:r>
            <w:r w:rsidR="00405323" w:rsidRPr="008B35F1">
              <w:rPr>
                <w:rFonts w:ascii="Arial" w:hAnsi="Arial"/>
                <w:b/>
                <w:sz w:val="26"/>
              </w:rPr>
              <w:t>Customer/Demand Percentages</w:t>
            </w:r>
            <w:r>
              <w:rPr>
                <w:rFonts w:ascii="Arial" w:hAnsi="Arial"/>
                <w:b/>
                <w:sz w:val="26"/>
              </w:rPr>
              <w:t xml:space="preserve"> by FERC Account</w:t>
            </w:r>
          </w:p>
          <w:p w:rsidR="00F21208" w:rsidRPr="008B35F1" w:rsidRDefault="00F21208" w:rsidP="00595CEA">
            <w:pPr>
              <w:spacing w:before="40" w:after="40"/>
              <w:jc w:val="center"/>
              <w:rPr>
                <w:rFonts w:ascii="Arial" w:hAnsi="Arial"/>
                <w:b/>
                <w:sz w:val="26"/>
              </w:rPr>
            </w:pPr>
          </w:p>
        </w:tc>
      </w:tr>
      <w:tr w:rsidR="00405323" w:rsidRPr="0092449E" w:rsidTr="00595CEA">
        <w:trPr>
          <w:trHeight w:val="577"/>
          <w:jc w:val="center"/>
        </w:trPr>
        <w:tc>
          <w:tcPr>
            <w:tcW w:w="2279" w:type="dxa"/>
            <w:vAlign w:val="bottom"/>
          </w:tcPr>
          <w:p w:rsidR="00405323" w:rsidRPr="008B35F1" w:rsidRDefault="00405323" w:rsidP="00595CEA">
            <w:pPr>
              <w:spacing w:before="40" w:after="40"/>
              <w:jc w:val="center"/>
              <w:rPr>
                <w:rFonts w:ascii="Arial" w:hAnsi="Arial"/>
                <w:b/>
              </w:rPr>
            </w:pPr>
            <w:r w:rsidRPr="008B35F1">
              <w:rPr>
                <w:rFonts w:ascii="Arial" w:hAnsi="Arial"/>
                <w:b/>
              </w:rPr>
              <w:t>Account</w:t>
            </w:r>
          </w:p>
        </w:tc>
        <w:tc>
          <w:tcPr>
            <w:tcW w:w="2976" w:type="dxa"/>
            <w:vAlign w:val="bottom"/>
          </w:tcPr>
          <w:p w:rsidR="00405323" w:rsidRPr="008B35F1" w:rsidRDefault="00405323" w:rsidP="00595CEA">
            <w:pPr>
              <w:spacing w:before="40" w:after="40"/>
              <w:jc w:val="center"/>
              <w:rPr>
                <w:rFonts w:ascii="Arial" w:hAnsi="Arial"/>
                <w:b/>
              </w:rPr>
            </w:pPr>
            <w:r w:rsidRPr="008B35F1">
              <w:rPr>
                <w:rFonts w:ascii="Arial" w:hAnsi="Arial"/>
                <w:b/>
              </w:rPr>
              <w:t>%Customer</w:t>
            </w:r>
          </w:p>
        </w:tc>
        <w:tc>
          <w:tcPr>
            <w:tcW w:w="2953" w:type="dxa"/>
            <w:vAlign w:val="bottom"/>
          </w:tcPr>
          <w:p w:rsidR="00405323" w:rsidRPr="008B35F1" w:rsidRDefault="00405323" w:rsidP="00595CEA">
            <w:pPr>
              <w:spacing w:before="40" w:after="40"/>
              <w:jc w:val="center"/>
              <w:rPr>
                <w:rFonts w:ascii="Arial" w:hAnsi="Arial"/>
                <w:b/>
              </w:rPr>
            </w:pPr>
            <w:r w:rsidRPr="008B35F1">
              <w:rPr>
                <w:rFonts w:ascii="Arial" w:hAnsi="Arial"/>
                <w:b/>
              </w:rPr>
              <w:t>%Demand</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364</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65.2%</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34.8%</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365</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13.2%</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86.8%</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366</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3.9%</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96.1%</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367</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4.8%</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95.2%</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368</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25.4%</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74.6%</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369</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100%</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0%</w:t>
            </w:r>
          </w:p>
        </w:tc>
      </w:tr>
      <w:tr w:rsidR="00405323" w:rsidRPr="0092449E" w:rsidTr="00595CEA">
        <w:trPr>
          <w:jc w:val="center"/>
        </w:trPr>
        <w:tc>
          <w:tcPr>
            <w:tcW w:w="2279" w:type="dxa"/>
            <w:vAlign w:val="bottom"/>
          </w:tcPr>
          <w:p w:rsidR="00405323" w:rsidRPr="008B35F1" w:rsidRDefault="00405323" w:rsidP="00595CEA">
            <w:pPr>
              <w:spacing w:before="40" w:after="40"/>
              <w:jc w:val="center"/>
              <w:rPr>
                <w:rFonts w:ascii="Arial" w:hAnsi="Arial"/>
              </w:rPr>
            </w:pPr>
            <w:r w:rsidRPr="008B35F1">
              <w:rPr>
                <w:rFonts w:ascii="Arial" w:hAnsi="Arial"/>
              </w:rPr>
              <w:t>370</w:t>
            </w:r>
          </w:p>
        </w:tc>
        <w:tc>
          <w:tcPr>
            <w:tcW w:w="2976" w:type="dxa"/>
            <w:vAlign w:val="bottom"/>
          </w:tcPr>
          <w:p w:rsidR="00405323" w:rsidRPr="008B35F1" w:rsidRDefault="00405323" w:rsidP="00595CEA">
            <w:pPr>
              <w:spacing w:before="40" w:after="40"/>
              <w:jc w:val="center"/>
              <w:rPr>
                <w:rFonts w:ascii="Arial" w:hAnsi="Arial"/>
              </w:rPr>
            </w:pPr>
            <w:r w:rsidRPr="008B35F1">
              <w:rPr>
                <w:rFonts w:ascii="Arial" w:hAnsi="Arial"/>
              </w:rPr>
              <w:t>100%</w:t>
            </w:r>
          </w:p>
        </w:tc>
        <w:tc>
          <w:tcPr>
            <w:tcW w:w="2953" w:type="dxa"/>
            <w:vAlign w:val="bottom"/>
          </w:tcPr>
          <w:p w:rsidR="00405323" w:rsidRPr="008B35F1" w:rsidRDefault="00405323" w:rsidP="00595CEA">
            <w:pPr>
              <w:spacing w:before="40" w:after="40"/>
              <w:jc w:val="center"/>
              <w:rPr>
                <w:rFonts w:ascii="Arial" w:hAnsi="Arial"/>
              </w:rPr>
            </w:pPr>
            <w:r w:rsidRPr="008B35F1">
              <w:rPr>
                <w:rFonts w:ascii="Arial" w:hAnsi="Arial"/>
              </w:rPr>
              <w:t>0%</w:t>
            </w:r>
          </w:p>
        </w:tc>
      </w:tr>
    </w:tbl>
    <w:p w:rsidR="00405323" w:rsidRPr="00E2507B" w:rsidRDefault="00405323" w:rsidP="0042120A">
      <w:pPr>
        <w:jc w:val="center"/>
        <w:rPr>
          <w:b/>
          <w:sz w:val="28"/>
          <w:szCs w:val="28"/>
        </w:rPr>
      </w:pPr>
    </w:p>
    <w:p w:rsidR="00405323" w:rsidRDefault="00405323"/>
    <w:p w:rsidR="004C3A63" w:rsidRDefault="004C3A63"/>
    <w:p w:rsidR="004C3A63" w:rsidRDefault="004C3A63">
      <w:pPr>
        <w:sectPr w:rsidR="004C3A63" w:rsidSect="0082334B">
          <w:headerReference w:type="default" r:id="rId14"/>
          <w:pgSz w:w="12240" w:h="15840" w:code="1"/>
          <w:pgMar w:top="1728" w:right="1440" w:bottom="1728" w:left="1800" w:header="720" w:footer="720" w:gutter="0"/>
          <w:pgNumType w:start="1"/>
          <w:cols w:space="720"/>
          <w:docGrid w:linePitch="326"/>
        </w:sectPr>
      </w:pPr>
    </w:p>
    <w:p w:rsidR="004C3A63" w:rsidRDefault="004C3A63"/>
    <w:p w:rsidR="00910D8B" w:rsidRDefault="00910D8B" w:rsidP="00910D8B">
      <w:pPr>
        <w:autoSpaceDE w:val="0"/>
        <w:autoSpaceDN w:val="0"/>
        <w:adjustRightInd w:val="0"/>
        <w:jc w:val="center"/>
        <w:rPr>
          <w:rFonts w:ascii="Arial" w:hAnsi="Arial" w:cs="Arial"/>
          <w:b/>
          <w:bCs/>
          <w:sz w:val="26"/>
          <w:szCs w:val="26"/>
        </w:rPr>
      </w:pPr>
      <w:r>
        <w:rPr>
          <w:rFonts w:ascii="Arial" w:hAnsi="Arial" w:cs="Arial"/>
          <w:b/>
          <w:bCs/>
          <w:sz w:val="26"/>
          <w:szCs w:val="26"/>
        </w:rPr>
        <w:t xml:space="preserve">Index of Michael T. O’Sheasy </w:t>
      </w:r>
      <w:r w:rsidR="00D96892">
        <w:rPr>
          <w:rFonts w:ascii="Arial" w:hAnsi="Arial" w:cs="Arial"/>
          <w:b/>
          <w:bCs/>
          <w:sz w:val="26"/>
          <w:szCs w:val="26"/>
        </w:rPr>
        <w:t xml:space="preserve">Exhibit MTO-2 </w:t>
      </w:r>
      <w:r>
        <w:rPr>
          <w:rFonts w:ascii="Arial" w:hAnsi="Arial" w:cs="Arial"/>
          <w:b/>
          <w:bCs/>
          <w:sz w:val="26"/>
          <w:szCs w:val="26"/>
        </w:rPr>
        <w:t>Schedules</w:t>
      </w:r>
    </w:p>
    <w:p w:rsidR="00910D8B" w:rsidRDefault="00910D8B" w:rsidP="00910D8B">
      <w:pPr>
        <w:autoSpaceDE w:val="0"/>
        <w:autoSpaceDN w:val="0"/>
        <w:adjustRightInd w:val="0"/>
        <w:rPr>
          <w:rFonts w:ascii="Arial" w:hAnsi="Arial" w:cs="Arial"/>
          <w:b/>
          <w:bCs/>
          <w:sz w:val="26"/>
          <w:szCs w:val="26"/>
        </w:rPr>
      </w:pPr>
    </w:p>
    <w:p w:rsidR="00910D8B" w:rsidRDefault="00910D8B" w:rsidP="00910D8B">
      <w:pPr>
        <w:autoSpaceDE w:val="0"/>
        <w:autoSpaceDN w:val="0"/>
        <w:adjustRightInd w:val="0"/>
        <w:rPr>
          <w:rFonts w:ascii="Arial" w:hAnsi="Arial" w:cs="Arial"/>
          <w:b/>
          <w:bCs/>
          <w:sz w:val="26"/>
          <w:szCs w:val="26"/>
        </w:rPr>
      </w:pPr>
    </w:p>
    <w:p w:rsidR="00910D8B" w:rsidRPr="00EE44A8" w:rsidRDefault="00910D8B" w:rsidP="00910D8B">
      <w:pPr>
        <w:autoSpaceDE w:val="0"/>
        <w:autoSpaceDN w:val="0"/>
        <w:adjustRightInd w:val="0"/>
        <w:rPr>
          <w:rFonts w:ascii="Arial" w:hAnsi="Arial" w:cs="Arial"/>
          <w:b/>
          <w:bCs/>
          <w:sz w:val="26"/>
          <w:szCs w:val="26"/>
        </w:rPr>
      </w:pPr>
      <w:r w:rsidRPr="00EE44A8">
        <w:rPr>
          <w:rFonts w:ascii="Arial" w:hAnsi="Arial" w:cs="Arial"/>
          <w:b/>
          <w:bCs/>
          <w:sz w:val="26"/>
          <w:szCs w:val="26"/>
        </w:rPr>
        <w:t>Cost of Service Study</w:t>
      </w:r>
    </w:p>
    <w:p w:rsidR="00910D8B"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1.00 </w:t>
      </w:r>
      <w:r w:rsidRPr="00EE44A8">
        <w:rPr>
          <w:rFonts w:ascii="Arial" w:hAnsi="Arial" w:cs="Arial"/>
          <w:sz w:val="26"/>
          <w:szCs w:val="26"/>
        </w:rPr>
        <w:t xml:space="preserve">- </w:t>
      </w:r>
      <w:r w:rsidRPr="00EE44A8">
        <w:rPr>
          <w:rFonts w:ascii="Arial" w:hAnsi="Arial" w:cs="Arial"/>
          <w:bCs/>
          <w:sz w:val="26"/>
          <w:szCs w:val="26"/>
        </w:rPr>
        <w:t>Present Rate Summary</w:t>
      </w:r>
    </w:p>
    <w:p w:rsidR="00910D8B" w:rsidRPr="00EE44A8" w:rsidRDefault="00910D8B" w:rsidP="00910D8B">
      <w:pPr>
        <w:autoSpaceDE w:val="0"/>
        <w:autoSpaceDN w:val="0"/>
        <w:adjustRightInd w:val="0"/>
        <w:ind w:firstLine="720"/>
        <w:rPr>
          <w:rFonts w:ascii="Arial" w:hAnsi="Arial" w:cs="Arial"/>
          <w:bCs/>
          <w:sz w:val="26"/>
          <w:szCs w:val="26"/>
        </w:rPr>
      </w:pPr>
      <w:r>
        <w:rPr>
          <w:rFonts w:ascii="Arial" w:hAnsi="Arial" w:cs="Arial"/>
          <w:bCs/>
          <w:sz w:val="26"/>
          <w:szCs w:val="26"/>
        </w:rPr>
        <w:t>Schedule 1.01 - Equal ROR Summary – Present Rates</w:t>
      </w:r>
    </w:p>
    <w:p w:rsidR="00910D8B"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1.10 </w:t>
      </w:r>
      <w:r w:rsidRPr="00EE44A8">
        <w:rPr>
          <w:rFonts w:ascii="Arial" w:hAnsi="Arial" w:cs="Arial"/>
          <w:sz w:val="26"/>
          <w:szCs w:val="26"/>
        </w:rPr>
        <w:t xml:space="preserve">- </w:t>
      </w:r>
      <w:r w:rsidRPr="00EE44A8">
        <w:rPr>
          <w:rFonts w:ascii="Arial" w:hAnsi="Arial" w:cs="Arial"/>
          <w:bCs/>
          <w:sz w:val="26"/>
          <w:szCs w:val="26"/>
        </w:rPr>
        <w:t>Proposed Rate Summary</w:t>
      </w:r>
    </w:p>
    <w:p w:rsidR="00910D8B" w:rsidRPr="00EE44A8" w:rsidRDefault="00910D8B" w:rsidP="00910D8B">
      <w:pPr>
        <w:autoSpaceDE w:val="0"/>
        <w:autoSpaceDN w:val="0"/>
        <w:adjustRightInd w:val="0"/>
        <w:ind w:firstLine="720"/>
        <w:rPr>
          <w:rFonts w:ascii="Arial" w:hAnsi="Arial" w:cs="Arial"/>
          <w:bCs/>
          <w:sz w:val="26"/>
          <w:szCs w:val="26"/>
        </w:rPr>
      </w:pPr>
      <w:r>
        <w:rPr>
          <w:rFonts w:ascii="Arial" w:hAnsi="Arial" w:cs="Arial"/>
          <w:bCs/>
          <w:sz w:val="26"/>
          <w:szCs w:val="26"/>
        </w:rPr>
        <w:t>Schedule 1.11 - Equal ROR Summary – Proposed Rates</w:t>
      </w:r>
    </w:p>
    <w:p w:rsidR="00910D8B" w:rsidRPr="00EE44A8" w:rsidRDefault="00910D8B" w:rsidP="00910D8B">
      <w:pPr>
        <w:autoSpaceDE w:val="0"/>
        <w:autoSpaceDN w:val="0"/>
        <w:adjustRightInd w:val="0"/>
        <w:ind w:firstLine="720"/>
        <w:rPr>
          <w:rFonts w:ascii="Arial" w:hAnsi="Arial" w:cs="Arial"/>
          <w:sz w:val="26"/>
          <w:szCs w:val="26"/>
        </w:rPr>
      </w:pPr>
      <w:r w:rsidRPr="00EE44A8">
        <w:rPr>
          <w:rFonts w:ascii="Arial" w:hAnsi="Arial" w:cs="Arial"/>
          <w:bCs/>
          <w:sz w:val="26"/>
          <w:szCs w:val="26"/>
        </w:rPr>
        <w:t xml:space="preserve">Schedule 2.10 - Analysis </w:t>
      </w:r>
      <w:r w:rsidRPr="00EE44A8">
        <w:rPr>
          <w:rFonts w:ascii="Arial" w:hAnsi="Arial" w:cs="Arial"/>
          <w:sz w:val="26"/>
          <w:szCs w:val="26"/>
        </w:rPr>
        <w:t xml:space="preserve">of </w:t>
      </w:r>
      <w:r w:rsidRPr="00EE44A8">
        <w:rPr>
          <w:rFonts w:ascii="Arial" w:hAnsi="Arial" w:cs="Arial"/>
          <w:bCs/>
          <w:sz w:val="26"/>
          <w:szCs w:val="26"/>
        </w:rPr>
        <w:t xml:space="preserve">Gross </w:t>
      </w:r>
      <w:r w:rsidRPr="00EE44A8">
        <w:rPr>
          <w:rFonts w:ascii="Arial" w:hAnsi="Arial" w:cs="Arial"/>
          <w:sz w:val="26"/>
          <w:szCs w:val="26"/>
        </w:rPr>
        <w:t>Plant</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2.20 </w:t>
      </w:r>
      <w:r w:rsidRPr="00EE44A8">
        <w:rPr>
          <w:rFonts w:ascii="Arial" w:hAnsi="Arial" w:cs="Arial"/>
          <w:sz w:val="26"/>
          <w:szCs w:val="26"/>
        </w:rPr>
        <w:t xml:space="preserve">- </w:t>
      </w:r>
      <w:r w:rsidRPr="00EE44A8">
        <w:rPr>
          <w:rFonts w:ascii="Arial" w:hAnsi="Arial" w:cs="Arial"/>
          <w:bCs/>
          <w:sz w:val="26"/>
          <w:szCs w:val="26"/>
        </w:rPr>
        <w:t>Analysis of Accumulated Depreciation Reserve</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2.30 </w:t>
      </w:r>
      <w:r w:rsidRPr="00EE44A8">
        <w:rPr>
          <w:rFonts w:ascii="Arial" w:hAnsi="Arial" w:cs="Arial"/>
          <w:sz w:val="26"/>
          <w:szCs w:val="26"/>
        </w:rPr>
        <w:t xml:space="preserve">- </w:t>
      </w:r>
      <w:r w:rsidRPr="00EE44A8">
        <w:rPr>
          <w:rFonts w:ascii="Arial" w:hAnsi="Arial" w:cs="Arial"/>
          <w:bCs/>
          <w:sz w:val="26"/>
          <w:szCs w:val="26"/>
        </w:rPr>
        <w:t>Analysis of Materials and Supplies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2.40 </w:t>
      </w:r>
      <w:r w:rsidRPr="00EE44A8">
        <w:rPr>
          <w:rFonts w:ascii="Arial" w:hAnsi="Arial" w:cs="Arial"/>
          <w:sz w:val="26"/>
          <w:szCs w:val="26"/>
        </w:rPr>
        <w:t xml:space="preserve">- </w:t>
      </w:r>
      <w:r w:rsidRPr="00EE44A8">
        <w:rPr>
          <w:rFonts w:ascii="Arial" w:hAnsi="Arial" w:cs="Arial"/>
          <w:bCs/>
          <w:sz w:val="26"/>
          <w:szCs w:val="26"/>
        </w:rPr>
        <w:t>Analysis of Other Working Capital</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2.50 -</w:t>
      </w:r>
      <w:r>
        <w:rPr>
          <w:rFonts w:ascii="Arial" w:hAnsi="Arial" w:cs="Arial"/>
          <w:bCs/>
          <w:sz w:val="26"/>
          <w:szCs w:val="26"/>
        </w:rPr>
        <w:t xml:space="preserve"> </w:t>
      </w:r>
      <w:r w:rsidRPr="00EE44A8">
        <w:rPr>
          <w:rFonts w:ascii="Arial" w:hAnsi="Arial" w:cs="Arial"/>
          <w:bCs/>
          <w:sz w:val="26"/>
          <w:szCs w:val="26"/>
        </w:rPr>
        <w:t xml:space="preserve">Analysis </w:t>
      </w:r>
      <w:r w:rsidRPr="00EE44A8">
        <w:rPr>
          <w:rFonts w:ascii="Arial" w:hAnsi="Arial" w:cs="Arial"/>
          <w:sz w:val="26"/>
          <w:szCs w:val="26"/>
        </w:rPr>
        <w:t xml:space="preserve">of </w:t>
      </w:r>
      <w:r w:rsidRPr="00EE44A8">
        <w:rPr>
          <w:rFonts w:ascii="Arial" w:hAnsi="Arial" w:cs="Arial"/>
          <w:bCs/>
          <w:sz w:val="26"/>
          <w:szCs w:val="26"/>
        </w:rPr>
        <w:t>Other Rate Base Items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3.0</w:t>
      </w:r>
      <w:r>
        <w:rPr>
          <w:rFonts w:ascii="Arial" w:hAnsi="Arial" w:cs="Arial"/>
          <w:bCs/>
          <w:sz w:val="26"/>
          <w:szCs w:val="26"/>
        </w:rPr>
        <w:t>0</w:t>
      </w:r>
      <w:r w:rsidRPr="00EE44A8">
        <w:rPr>
          <w:rFonts w:ascii="Arial" w:hAnsi="Arial" w:cs="Arial"/>
          <w:bCs/>
          <w:sz w:val="26"/>
          <w:szCs w:val="26"/>
        </w:rPr>
        <w:t xml:space="preserve"> -</w:t>
      </w:r>
      <w:r>
        <w:rPr>
          <w:rFonts w:ascii="Arial" w:hAnsi="Arial" w:cs="Arial"/>
          <w:bCs/>
          <w:sz w:val="26"/>
          <w:szCs w:val="26"/>
        </w:rPr>
        <w:t xml:space="preserve"> </w:t>
      </w:r>
      <w:r w:rsidRPr="00EE44A8">
        <w:rPr>
          <w:rFonts w:ascii="Arial" w:hAnsi="Arial" w:cs="Arial"/>
          <w:bCs/>
          <w:sz w:val="26"/>
          <w:szCs w:val="26"/>
        </w:rPr>
        <w:t>Analysis of Revenues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4.</w:t>
      </w:r>
      <w:r>
        <w:rPr>
          <w:rFonts w:ascii="Arial" w:hAnsi="Arial" w:cs="Arial"/>
          <w:bCs/>
          <w:sz w:val="26"/>
          <w:szCs w:val="26"/>
        </w:rPr>
        <w:t>10</w:t>
      </w:r>
      <w:r w:rsidRPr="00EE44A8">
        <w:rPr>
          <w:rFonts w:ascii="Arial" w:hAnsi="Arial" w:cs="Arial"/>
          <w:bCs/>
          <w:sz w:val="26"/>
          <w:szCs w:val="26"/>
        </w:rPr>
        <w:t xml:space="preserve"> </w:t>
      </w:r>
      <w:r w:rsidRPr="00EE44A8">
        <w:rPr>
          <w:rFonts w:ascii="Arial" w:hAnsi="Arial" w:cs="Arial"/>
          <w:sz w:val="26"/>
          <w:szCs w:val="26"/>
        </w:rPr>
        <w:t xml:space="preserve">- </w:t>
      </w:r>
      <w:r w:rsidRPr="00EE44A8">
        <w:rPr>
          <w:rFonts w:ascii="Arial" w:hAnsi="Arial" w:cs="Arial"/>
          <w:bCs/>
          <w:sz w:val="26"/>
          <w:szCs w:val="26"/>
        </w:rPr>
        <w:t>Analysis of Operations and Maintenance Expense</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4.20 </w:t>
      </w:r>
      <w:r w:rsidRPr="00EE44A8">
        <w:rPr>
          <w:rFonts w:ascii="Arial" w:hAnsi="Arial" w:cs="Arial"/>
          <w:sz w:val="26"/>
          <w:szCs w:val="26"/>
        </w:rPr>
        <w:t xml:space="preserve">- </w:t>
      </w:r>
      <w:r w:rsidRPr="00EE44A8">
        <w:rPr>
          <w:rFonts w:ascii="Arial" w:hAnsi="Arial" w:cs="Arial"/>
          <w:bCs/>
          <w:sz w:val="26"/>
          <w:szCs w:val="26"/>
        </w:rPr>
        <w:t>Analysis of Depreciation Expense</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4.30 -</w:t>
      </w:r>
      <w:r>
        <w:rPr>
          <w:rFonts w:ascii="Arial" w:hAnsi="Arial" w:cs="Arial"/>
          <w:bCs/>
          <w:sz w:val="26"/>
          <w:szCs w:val="26"/>
        </w:rPr>
        <w:t xml:space="preserve"> </w:t>
      </w:r>
      <w:r w:rsidRPr="00EE44A8">
        <w:rPr>
          <w:rFonts w:ascii="Arial" w:hAnsi="Arial" w:cs="Arial"/>
          <w:bCs/>
          <w:sz w:val="26"/>
          <w:szCs w:val="26"/>
        </w:rPr>
        <w:t>Analysis of Taxes Other Than Income Taxes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5.0</w:t>
      </w:r>
      <w:r>
        <w:rPr>
          <w:rFonts w:ascii="Arial" w:hAnsi="Arial" w:cs="Arial"/>
          <w:bCs/>
          <w:sz w:val="26"/>
          <w:szCs w:val="26"/>
        </w:rPr>
        <w:t>0</w:t>
      </w:r>
      <w:r w:rsidRPr="00EE44A8">
        <w:rPr>
          <w:rFonts w:ascii="Arial" w:hAnsi="Arial" w:cs="Arial"/>
          <w:bCs/>
          <w:sz w:val="26"/>
          <w:szCs w:val="26"/>
        </w:rPr>
        <w:t xml:space="preserve"> </w:t>
      </w:r>
      <w:r w:rsidRPr="00EE44A8">
        <w:rPr>
          <w:rFonts w:ascii="Arial" w:hAnsi="Arial" w:cs="Arial"/>
          <w:sz w:val="26"/>
          <w:szCs w:val="26"/>
        </w:rPr>
        <w:t xml:space="preserve">- </w:t>
      </w:r>
      <w:r w:rsidRPr="00EE44A8">
        <w:rPr>
          <w:rFonts w:ascii="Arial" w:hAnsi="Arial" w:cs="Arial"/>
          <w:bCs/>
          <w:sz w:val="26"/>
          <w:szCs w:val="26"/>
        </w:rPr>
        <w:t>Line Allocators and Percentages</w:t>
      </w:r>
    </w:p>
    <w:p w:rsidR="00910D8B" w:rsidRPr="00EE44A8" w:rsidRDefault="00910D8B" w:rsidP="00910D8B">
      <w:pPr>
        <w:autoSpaceDE w:val="0"/>
        <w:autoSpaceDN w:val="0"/>
        <w:adjustRightInd w:val="0"/>
        <w:rPr>
          <w:rFonts w:ascii="Arial" w:hAnsi="Arial" w:cs="Arial"/>
          <w:bCs/>
          <w:sz w:val="26"/>
          <w:szCs w:val="26"/>
        </w:rPr>
      </w:pPr>
    </w:p>
    <w:p w:rsidR="00910D8B" w:rsidRPr="00EE44A8" w:rsidRDefault="00910D8B" w:rsidP="00910D8B">
      <w:pPr>
        <w:autoSpaceDE w:val="0"/>
        <w:autoSpaceDN w:val="0"/>
        <w:adjustRightInd w:val="0"/>
        <w:rPr>
          <w:rFonts w:ascii="Arial" w:hAnsi="Arial" w:cs="Arial"/>
          <w:b/>
          <w:bCs/>
          <w:sz w:val="26"/>
          <w:szCs w:val="26"/>
        </w:rPr>
      </w:pPr>
      <w:r w:rsidRPr="00EE44A8">
        <w:rPr>
          <w:rFonts w:ascii="Arial" w:hAnsi="Arial" w:cs="Arial"/>
          <w:b/>
          <w:bCs/>
          <w:sz w:val="26"/>
          <w:szCs w:val="26"/>
        </w:rPr>
        <w:t>Minimum Distribution System</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6.1 </w:t>
      </w:r>
      <w:r>
        <w:rPr>
          <w:rFonts w:ascii="Arial" w:hAnsi="Arial" w:cs="Arial"/>
          <w:bCs/>
          <w:sz w:val="26"/>
          <w:szCs w:val="26"/>
        </w:rPr>
        <w:t>-</w:t>
      </w:r>
      <w:r w:rsidRPr="00EE44A8">
        <w:rPr>
          <w:rFonts w:ascii="Arial" w:hAnsi="Arial" w:cs="Arial"/>
          <w:sz w:val="26"/>
          <w:szCs w:val="26"/>
        </w:rPr>
        <w:t xml:space="preserve"> </w:t>
      </w:r>
      <w:r>
        <w:rPr>
          <w:rFonts w:ascii="Arial" w:hAnsi="Arial" w:cs="Arial"/>
          <w:sz w:val="26"/>
          <w:szCs w:val="26"/>
        </w:rPr>
        <w:t xml:space="preserve">Account 365 Overhead </w:t>
      </w:r>
      <w:proofErr w:type="gramStart"/>
      <w:r>
        <w:rPr>
          <w:rFonts w:ascii="Arial" w:hAnsi="Arial" w:cs="Arial"/>
          <w:sz w:val="26"/>
          <w:szCs w:val="26"/>
        </w:rPr>
        <w:t>Regression</w:t>
      </w:r>
      <w:proofErr w:type="gramEnd"/>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6.2 </w:t>
      </w:r>
      <w:r>
        <w:rPr>
          <w:rFonts w:ascii="Arial" w:hAnsi="Arial" w:cs="Arial"/>
          <w:bCs/>
          <w:sz w:val="26"/>
          <w:szCs w:val="26"/>
        </w:rPr>
        <w:t>-</w:t>
      </w:r>
      <w:r w:rsidRPr="00EE44A8">
        <w:rPr>
          <w:rFonts w:ascii="Arial" w:hAnsi="Arial" w:cs="Arial"/>
          <w:sz w:val="26"/>
          <w:szCs w:val="26"/>
        </w:rPr>
        <w:t xml:space="preserve"> </w:t>
      </w:r>
      <w:r>
        <w:rPr>
          <w:rFonts w:ascii="Arial" w:hAnsi="Arial" w:cs="Arial"/>
          <w:sz w:val="26"/>
          <w:szCs w:val="26"/>
        </w:rPr>
        <w:t>Account 368 Single Phase Transformer Regression</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6.3 -</w:t>
      </w:r>
      <w:r>
        <w:rPr>
          <w:rFonts w:ascii="Arial" w:hAnsi="Arial" w:cs="Arial"/>
          <w:bCs/>
          <w:sz w:val="26"/>
          <w:szCs w:val="26"/>
        </w:rPr>
        <w:t xml:space="preserve"> </w:t>
      </w:r>
      <w:r w:rsidRPr="00EE44A8">
        <w:rPr>
          <w:rFonts w:ascii="Arial" w:hAnsi="Arial" w:cs="Arial"/>
          <w:bCs/>
          <w:sz w:val="26"/>
          <w:szCs w:val="26"/>
        </w:rPr>
        <w:t xml:space="preserve">Account 364 </w:t>
      </w:r>
      <w:r w:rsidRPr="00EE44A8">
        <w:rPr>
          <w:rFonts w:ascii="Arial" w:hAnsi="Arial" w:cs="Arial"/>
          <w:sz w:val="26"/>
          <w:szCs w:val="26"/>
        </w:rPr>
        <w:t xml:space="preserve">- </w:t>
      </w:r>
      <w:r w:rsidRPr="00EE44A8">
        <w:rPr>
          <w:rFonts w:ascii="Arial" w:hAnsi="Arial" w:cs="Arial"/>
          <w:bCs/>
          <w:sz w:val="26"/>
          <w:szCs w:val="26"/>
        </w:rPr>
        <w:t>Poles, Towers and Fixtures</w:t>
      </w:r>
      <w:r>
        <w:rPr>
          <w:rFonts w:ascii="Arial" w:hAnsi="Arial" w:cs="Arial"/>
          <w:bCs/>
          <w:sz w:val="26"/>
          <w:szCs w:val="26"/>
        </w:rPr>
        <w:t xml:space="preserve"> Analysis</w:t>
      </w:r>
    </w:p>
    <w:p w:rsidR="00910D8B" w:rsidRPr="00EE44A8" w:rsidRDefault="00910D8B" w:rsidP="00910D8B">
      <w:pPr>
        <w:autoSpaceDE w:val="0"/>
        <w:autoSpaceDN w:val="0"/>
        <w:adjustRightInd w:val="0"/>
        <w:ind w:left="720"/>
        <w:rPr>
          <w:rFonts w:ascii="Arial" w:hAnsi="Arial" w:cs="Arial"/>
          <w:bCs/>
          <w:sz w:val="26"/>
          <w:szCs w:val="26"/>
        </w:rPr>
      </w:pPr>
      <w:r w:rsidRPr="00EE44A8">
        <w:rPr>
          <w:rFonts w:ascii="Arial" w:hAnsi="Arial" w:cs="Arial"/>
          <w:bCs/>
          <w:sz w:val="26"/>
          <w:szCs w:val="26"/>
        </w:rPr>
        <w:t>Schedule 6.4 -</w:t>
      </w:r>
      <w:r>
        <w:rPr>
          <w:rFonts w:ascii="Arial" w:hAnsi="Arial" w:cs="Arial"/>
          <w:bCs/>
          <w:sz w:val="26"/>
          <w:szCs w:val="26"/>
        </w:rPr>
        <w:t xml:space="preserve"> </w:t>
      </w:r>
      <w:r w:rsidRPr="00EE44A8">
        <w:rPr>
          <w:rFonts w:ascii="Arial" w:hAnsi="Arial" w:cs="Arial"/>
          <w:bCs/>
          <w:sz w:val="26"/>
          <w:szCs w:val="26"/>
        </w:rPr>
        <w:t xml:space="preserve">Account 365 </w:t>
      </w:r>
      <w:r>
        <w:rPr>
          <w:rFonts w:ascii="Arial" w:hAnsi="Arial" w:cs="Arial"/>
          <w:sz w:val="26"/>
          <w:szCs w:val="26"/>
        </w:rPr>
        <w:t>–</w:t>
      </w:r>
      <w:r w:rsidRPr="00EE44A8">
        <w:rPr>
          <w:rFonts w:ascii="Arial" w:hAnsi="Arial" w:cs="Arial"/>
          <w:sz w:val="26"/>
          <w:szCs w:val="26"/>
        </w:rPr>
        <w:t xml:space="preserve"> </w:t>
      </w:r>
      <w:proofErr w:type="spellStart"/>
      <w:r>
        <w:rPr>
          <w:rFonts w:ascii="Arial" w:hAnsi="Arial" w:cs="Arial"/>
          <w:bCs/>
          <w:sz w:val="26"/>
          <w:szCs w:val="26"/>
        </w:rPr>
        <w:t>Ovhd</w:t>
      </w:r>
      <w:proofErr w:type="spellEnd"/>
      <w:r>
        <w:rPr>
          <w:rFonts w:ascii="Arial" w:hAnsi="Arial" w:cs="Arial"/>
          <w:bCs/>
          <w:sz w:val="26"/>
          <w:szCs w:val="26"/>
        </w:rPr>
        <w:t xml:space="preserve"> Conductors</w:t>
      </w:r>
      <w:r w:rsidR="009975C2">
        <w:rPr>
          <w:rFonts w:ascii="Arial" w:hAnsi="Arial" w:cs="Arial"/>
          <w:bCs/>
          <w:sz w:val="26"/>
          <w:szCs w:val="26"/>
        </w:rPr>
        <w:t xml:space="preserve"> </w:t>
      </w:r>
      <w:r>
        <w:rPr>
          <w:rFonts w:ascii="Arial" w:hAnsi="Arial" w:cs="Arial"/>
          <w:bCs/>
          <w:sz w:val="26"/>
          <w:szCs w:val="26"/>
        </w:rPr>
        <w:t>&amp; Devices Analysis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6.5 </w:t>
      </w:r>
      <w:r w:rsidRPr="00EE44A8">
        <w:rPr>
          <w:rFonts w:ascii="Arial" w:hAnsi="Arial" w:cs="Arial"/>
          <w:sz w:val="26"/>
          <w:szCs w:val="26"/>
        </w:rPr>
        <w:t xml:space="preserve">- </w:t>
      </w:r>
      <w:r w:rsidRPr="00EE44A8">
        <w:rPr>
          <w:rFonts w:ascii="Arial" w:hAnsi="Arial" w:cs="Arial"/>
          <w:bCs/>
          <w:sz w:val="26"/>
          <w:szCs w:val="26"/>
        </w:rPr>
        <w:t xml:space="preserve">Account 366 </w:t>
      </w:r>
      <w:r w:rsidRPr="00EE44A8">
        <w:rPr>
          <w:rFonts w:ascii="Arial" w:hAnsi="Arial" w:cs="Arial"/>
          <w:sz w:val="26"/>
          <w:szCs w:val="26"/>
        </w:rPr>
        <w:t xml:space="preserve">- </w:t>
      </w:r>
      <w:r w:rsidRPr="00EE44A8">
        <w:rPr>
          <w:rFonts w:ascii="Arial" w:hAnsi="Arial" w:cs="Arial"/>
          <w:bCs/>
          <w:sz w:val="26"/>
          <w:szCs w:val="26"/>
        </w:rPr>
        <w:t>Underground Conduit</w:t>
      </w:r>
      <w:r>
        <w:rPr>
          <w:rFonts w:ascii="Arial" w:hAnsi="Arial" w:cs="Arial"/>
          <w:bCs/>
          <w:sz w:val="26"/>
          <w:szCs w:val="26"/>
        </w:rPr>
        <w:t xml:space="preserve"> </w:t>
      </w:r>
      <w:proofErr w:type="gramStart"/>
      <w:r>
        <w:rPr>
          <w:rFonts w:ascii="Arial" w:hAnsi="Arial" w:cs="Arial"/>
          <w:bCs/>
          <w:sz w:val="26"/>
          <w:szCs w:val="26"/>
        </w:rPr>
        <w:t>Analysis</w:t>
      </w:r>
      <w:proofErr w:type="gramEnd"/>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6.6 </w:t>
      </w:r>
      <w:r w:rsidRPr="00EE44A8">
        <w:rPr>
          <w:rFonts w:ascii="Arial" w:hAnsi="Arial" w:cs="Arial"/>
          <w:sz w:val="26"/>
          <w:szCs w:val="26"/>
        </w:rPr>
        <w:t xml:space="preserve">- </w:t>
      </w:r>
      <w:r w:rsidRPr="00EE44A8">
        <w:rPr>
          <w:rFonts w:ascii="Arial" w:hAnsi="Arial" w:cs="Arial"/>
          <w:bCs/>
          <w:sz w:val="26"/>
          <w:szCs w:val="26"/>
        </w:rPr>
        <w:t xml:space="preserve">Account 367 </w:t>
      </w:r>
      <w:r w:rsidRPr="00EE44A8">
        <w:rPr>
          <w:rFonts w:ascii="Arial" w:hAnsi="Arial" w:cs="Arial"/>
          <w:sz w:val="26"/>
          <w:szCs w:val="26"/>
        </w:rPr>
        <w:t xml:space="preserve">- </w:t>
      </w:r>
      <w:r w:rsidRPr="00EE44A8">
        <w:rPr>
          <w:rFonts w:ascii="Arial" w:hAnsi="Arial" w:cs="Arial"/>
          <w:bCs/>
          <w:sz w:val="26"/>
          <w:szCs w:val="26"/>
        </w:rPr>
        <w:t>Underground Conductors</w:t>
      </w:r>
      <w:r>
        <w:rPr>
          <w:rFonts w:ascii="Arial" w:hAnsi="Arial" w:cs="Arial"/>
          <w:bCs/>
          <w:sz w:val="26"/>
          <w:szCs w:val="26"/>
        </w:rPr>
        <w:t xml:space="preserve"> Analysis</w:t>
      </w:r>
    </w:p>
    <w:p w:rsidR="00910D8B" w:rsidRPr="00EE44A8" w:rsidRDefault="00910D8B" w:rsidP="00910D8B">
      <w:pPr>
        <w:autoSpaceDE w:val="0"/>
        <w:autoSpaceDN w:val="0"/>
        <w:adjustRightInd w:val="0"/>
        <w:ind w:left="2430" w:hanging="1710"/>
        <w:rPr>
          <w:rFonts w:ascii="Arial" w:hAnsi="Arial" w:cs="Arial"/>
          <w:bCs/>
          <w:sz w:val="26"/>
          <w:szCs w:val="26"/>
        </w:rPr>
      </w:pPr>
      <w:r w:rsidRPr="00EE44A8">
        <w:rPr>
          <w:rFonts w:ascii="Arial" w:hAnsi="Arial" w:cs="Arial"/>
          <w:bCs/>
          <w:sz w:val="26"/>
          <w:szCs w:val="26"/>
        </w:rPr>
        <w:t xml:space="preserve">Schedule 6.7 </w:t>
      </w:r>
      <w:r w:rsidRPr="00EE44A8">
        <w:rPr>
          <w:rFonts w:ascii="Arial" w:hAnsi="Arial" w:cs="Arial"/>
          <w:sz w:val="26"/>
          <w:szCs w:val="26"/>
        </w:rPr>
        <w:t xml:space="preserve">- </w:t>
      </w:r>
      <w:r w:rsidRPr="00EE44A8">
        <w:rPr>
          <w:rFonts w:ascii="Arial" w:hAnsi="Arial" w:cs="Arial"/>
          <w:bCs/>
          <w:sz w:val="26"/>
          <w:szCs w:val="26"/>
        </w:rPr>
        <w:t xml:space="preserve">Account 368 </w:t>
      </w:r>
      <w:r w:rsidRPr="00EE44A8">
        <w:rPr>
          <w:rFonts w:ascii="Arial" w:hAnsi="Arial" w:cs="Arial"/>
          <w:sz w:val="26"/>
          <w:szCs w:val="26"/>
        </w:rPr>
        <w:t xml:space="preserve">- </w:t>
      </w:r>
      <w:r w:rsidRPr="00EE44A8">
        <w:rPr>
          <w:rFonts w:ascii="Arial" w:hAnsi="Arial" w:cs="Arial"/>
          <w:bCs/>
          <w:sz w:val="26"/>
          <w:szCs w:val="26"/>
        </w:rPr>
        <w:t>Line Transformer</w:t>
      </w:r>
      <w:r>
        <w:rPr>
          <w:rFonts w:ascii="Arial" w:hAnsi="Arial" w:cs="Arial"/>
          <w:bCs/>
          <w:sz w:val="26"/>
          <w:szCs w:val="26"/>
        </w:rPr>
        <w:t xml:space="preserve"> Analysis &amp; Cutouts and Arresters Analysis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 xml:space="preserve">Schedule 6.8 </w:t>
      </w:r>
      <w:r w:rsidRPr="00EE44A8">
        <w:rPr>
          <w:rFonts w:ascii="Arial" w:hAnsi="Arial" w:cs="Arial"/>
          <w:sz w:val="26"/>
          <w:szCs w:val="26"/>
        </w:rPr>
        <w:t xml:space="preserve">- </w:t>
      </w:r>
      <w:r w:rsidRPr="00EE44A8">
        <w:rPr>
          <w:rFonts w:ascii="Arial" w:hAnsi="Arial" w:cs="Arial"/>
          <w:bCs/>
          <w:sz w:val="26"/>
          <w:szCs w:val="26"/>
        </w:rPr>
        <w:t xml:space="preserve">Amount 369 </w:t>
      </w:r>
      <w:r>
        <w:rPr>
          <w:rFonts w:ascii="Arial" w:hAnsi="Arial" w:cs="Arial"/>
          <w:sz w:val="26"/>
          <w:szCs w:val="26"/>
        </w:rPr>
        <w:t>–</w:t>
      </w:r>
      <w:r w:rsidRPr="00EE44A8">
        <w:rPr>
          <w:rFonts w:ascii="Arial" w:hAnsi="Arial" w:cs="Arial"/>
          <w:sz w:val="26"/>
          <w:szCs w:val="26"/>
        </w:rPr>
        <w:t xml:space="preserve"> </w:t>
      </w:r>
      <w:r>
        <w:rPr>
          <w:rFonts w:ascii="Arial" w:hAnsi="Arial" w:cs="Arial"/>
          <w:bCs/>
          <w:sz w:val="26"/>
          <w:szCs w:val="26"/>
        </w:rPr>
        <w:t>Services Analysis</w:t>
      </w:r>
    </w:p>
    <w:p w:rsidR="00910D8B" w:rsidRPr="00EE44A8" w:rsidRDefault="00910D8B" w:rsidP="00910D8B">
      <w:pPr>
        <w:autoSpaceDE w:val="0"/>
        <w:autoSpaceDN w:val="0"/>
        <w:adjustRightInd w:val="0"/>
        <w:ind w:firstLine="720"/>
        <w:rPr>
          <w:rFonts w:ascii="Arial" w:hAnsi="Arial" w:cs="Arial"/>
          <w:bCs/>
          <w:sz w:val="26"/>
          <w:szCs w:val="26"/>
        </w:rPr>
      </w:pPr>
      <w:r w:rsidRPr="00EE44A8">
        <w:rPr>
          <w:rFonts w:ascii="Arial" w:hAnsi="Arial" w:cs="Arial"/>
          <w:bCs/>
          <w:sz w:val="26"/>
          <w:szCs w:val="26"/>
        </w:rPr>
        <w:t>Schedule 6.9 -</w:t>
      </w:r>
      <w:r>
        <w:rPr>
          <w:rFonts w:ascii="Arial" w:hAnsi="Arial" w:cs="Arial"/>
          <w:bCs/>
          <w:sz w:val="26"/>
          <w:szCs w:val="26"/>
        </w:rPr>
        <w:t xml:space="preserve"> </w:t>
      </w:r>
      <w:r w:rsidRPr="00EE44A8">
        <w:rPr>
          <w:rFonts w:ascii="Arial" w:hAnsi="Arial" w:cs="Arial"/>
          <w:bCs/>
          <w:sz w:val="26"/>
          <w:szCs w:val="26"/>
        </w:rPr>
        <w:t xml:space="preserve">Account 370 </w:t>
      </w:r>
      <w:r>
        <w:rPr>
          <w:rFonts w:ascii="Arial" w:hAnsi="Arial" w:cs="Arial"/>
          <w:sz w:val="26"/>
          <w:szCs w:val="26"/>
        </w:rPr>
        <w:t>–</w:t>
      </w:r>
      <w:r w:rsidRPr="00EE44A8">
        <w:rPr>
          <w:rFonts w:ascii="Arial" w:hAnsi="Arial" w:cs="Arial"/>
          <w:sz w:val="26"/>
          <w:szCs w:val="26"/>
        </w:rPr>
        <w:t xml:space="preserve"> </w:t>
      </w:r>
      <w:r w:rsidRPr="00EE44A8">
        <w:rPr>
          <w:rFonts w:ascii="Arial" w:hAnsi="Arial" w:cs="Arial"/>
          <w:bCs/>
          <w:sz w:val="26"/>
          <w:szCs w:val="26"/>
        </w:rPr>
        <w:t>Meters</w:t>
      </w:r>
      <w:r>
        <w:rPr>
          <w:rFonts w:ascii="Arial" w:hAnsi="Arial" w:cs="Arial"/>
          <w:bCs/>
          <w:sz w:val="26"/>
          <w:szCs w:val="26"/>
        </w:rPr>
        <w:t xml:space="preserve"> Analysis</w:t>
      </w:r>
    </w:p>
    <w:p w:rsidR="004941FC" w:rsidRDefault="004941FC"/>
    <w:p w:rsidR="0082334B" w:rsidRDefault="0082334B">
      <w:pPr>
        <w:sectPr w:rsidR="0082334B" w:rsidSect="0082334B">
          <w:headerReference w:type="default" r:id="rId15"/>
          <w:pgSz w:w="12240" w:h="15840" w:code="1"/>
          <w:pgMar w:top="1728" w:right="1440" w:bottom="1728" w:left="1800" w:header="720" w:footer="720" w:gutter="0"/>
          <w:pgNumType w:start="1"/>
          <w:cols w:space="720"/>
          <w:docGrid w:linePitch="326"/>
        </w:sectPr>
      </w:pPr>
    </w:p>
    <w:p w:rsidR="004941FC" w:rsidRDefault="004941FC"/>
    <w:p w:rsidR="004941FC" w:rsidRDefault="004941FC"/>
    <w:p w:rsidR="007C45DD" w:rsidRPr="007C45DD" w:rsidRDefault="007C45DD" w:rsidP="007C45DD">
      <w:pPr>
        <w:jc w:val="center"/>
        <w:rPr>
          <w:rFonts w:ascii="Arial" w:hAnsi="Arial" w:cs="Arial"/>
        </w:rPr>
      </w:pPr>
      <w:r w:rsidRPr="007C45DD">
        <w:rPr>
          <w:rFonts w:ascii="Arial" w:hAnsi="Arial" w:cs="Arial"/>
        </w:rPr>
        <w:t>Minimum Distribution System</w:t>
      </w:r>
    </w:p>
    <w:p w:rsidR="007C45DD" w:rsidRDefault="00C97CF6" w:rsidP="007C45DD">
      <w:pPr>
        <w:jc w:val="center"/>
        <w:rPr>
          <w:rFonts w:ascii="Arial" w:hAnsi="Arial" w:cs="Arial"/>
        </w:rPr>
      </w:pPr>
      <w:r>
        <w:rPr>
          <w:rFonts w:ascii="Arial" w:hAnsi="Arial" w:cs="Arial"/>
        </w:rPr>
        <w:t>Account 3</w:t>
      </w:r>
      <w:r w:rsidR="00CC7795">
        <w:rPr>
          <w:rFonts w:ascii="Arial" w:hAnsi="Arial" w:cs="Arial"/>
        </w:rPr>
        <w:t>6</w:t>
      </w:r>
      <w:r>
        <w:rPr>
          <w:rFonts w:ascii="Arial" w:hAnsi="Arial" w:cs="Arial"/>
        </w:rPr>
        <w:t>5 – Overhead Regression</w:t>
      </w:r>
    </w:p>
    <w:p w:rsidR="007C45DD" w:rsidRDefault="00C97CF6" w:rsidP="007C45DD">
      <w:pPr>
        <w:jc w:val="center"/>
        <w:rPr>
          <w:rFonts w:ascii="Arial" w:hAnsi="Arial" w:cs="Arial"/>
        </w:rPr>
      </w:pPr>
      <w:r>
        <w:rPr>
          <w:rFonts w:ascii="Arial" w:hAnsi="Arial" w:cs="Arial"/>
        </w:rPr>
        <w:t>Schedule 6.1</w:t>
      </w: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F2B17" w:rsidP="007C45DD">
      <w:pPr>
        <w:jc w:val="center"/>
        <w:rPr>
          <w:rFonts w:ascii="Arial" w:hAnsi="Arial" w:cs="Arial"/>
        </w:rPr>
      </w:pPr>
      <w:r>
        <w:rPr>
          <w:rFonts w:ascii="Arial" w:hAnsi="Arial" w:cs="Arial"/>
          <w:noProof/>
        </w:rPr>
        <w:drawing>
          <wp:inline distT="0" distB="0" distL="0" distR="0">
            <wp:extent cx="5149606" cy="364034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stretch>
                      <a:fillRect/>
                    </a:stretch>
                  </pic:blipFill>
                  <pic:spPr>
                    <a:xfrm>
                      <a:off x="0" y="0"/>
                      <a:ext cx="5153777" cy="3643296"/>
                    </a:xfrm>
                    <a:prstGeom prst="rect">
                      <a:avLst/>
                    </a:prstGeom>
                  </pic:spPr>
                </pic:pic>
              </a:graphicData>
            </a:graphic>
          </wp:inline>
        </w:drawing>
      </w: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C7497C" w:rsidP="007C45DD">
      <w:pPr>
        <w:jc w:val="center"/>
        <w:rPr>
          <w:rFonts w:ascii="Arial" w:hAnsi="Arial" w:cs="Arial"/>
        </w:rPr>
      </w:pPr>
      <w:r>
        <w:rPr>
          <w:rFonts w:ascii="Arial" w:hAnsi="Arial" w:cs="Arial"/>
        </w:rPr>
        <w:t>Account 365 – Overhead Primary Conductors</w:t>
      </w:r>
    </w:p>
    <w:p w:rsidR="007C45DD" w:rsidRPr="007C45DD" w:rsidRDefault="007C45DD" w:rsidP="007C45DD">
      <w:pPr>
        <w:jc w:val="center"/>
        <w:rPr>
          <w:rFonts w:ascii="Arial" w:hAnsi="Arial" w:cs="Arial"/>
          <w:sz w:val="12"/>
          <w:szCs w:val="12"/>
        </w:rPr>
      </w:pPr>
    </w:p>
    <w:tbl>
      <w:tblPr>
        <w:tblStyle w:val="TableGrid"/>
        <w:tblW w:w="0" w:type="auto"/>
        <w:jc w:val="center"/>
        <w:tblLook w:val="04A0"/>
      </w:tblPr>
      <w:tblGrid>
        <w:gridCol w:w="1188"/>
        <w:gridCol w:w="1620"/>
        <w:gridCol w:w="1296"/>
      </w:tblGrid>
      <w:tr w:rsidR="00C7497C" w:rsidTr="00C7497C">
        <w:trPr>
          <w:jc w:val="center"/>
        </w:trPr>
        <w:tc>
          <w:tcPr>
            <w:tcW w:w="1188" w:type="dxa"/>
            <w:tcBorders>
              <w:top w:val="nil"/>
              <w:left w:val="nil"/>
              <w:bottom w:val="single" w:sz="4" w:space="0" w:color="auto"/>
              <w:right w:val="nil"/>
            </w:tcBorders>
          </w:tcPr>
          <w:p w:rsidR="00C7497C" w:rsidRDefault="00C7497C" w:rsidP="00C97CF6">
            <w:pPr>
              <w:jc w:val="center"/>
              <w:rPr>
                <w:rFonts w:ascii="Arial" w:hAnsi="Arial" w:cs="Arial"/>
              </w:rPr>
            </w:pPr>
            <w:r>
              <w:rPr>
                <w:rFonts w:ascii="Arial" w:hAnsi="Arial" w:cs="Arial"/>
              </w:rPr>
              <w:t>Size</w:t>
            </w:r>
          </w:p>
        </w:tc>
        <w:tc>
          <w:tcPr>
            <w:tcW w:w="1620" w:type="dxa"/>
            <w:tcBorders>
              <w:top w:val="nil"/>
              <w:left w:val="nil"/>
              <w:bottom w:val="single" w:sz="4" w:space="0" w:color="auto"/>
              <w:right w:val="nil"/>
            </w:tcBorders>
          </w:tcPr>
          <w:p w:rsidR="00C7497C" w:rsidRDefault="00C7497C" w:rsidP="00C97CF6">
            <w:pPr>
              <w:jc w:val="center"/>
              <w:rPr>
                <w:rFonts w:ascii="Arial" w:hAnsi="Arial" w:cs="Arial"/>
              </w:rPr>
            </w:pPr>
            <w:r>
              <w:rPr>
                <w:rFonts w:ascii="Arial" w:hAnsi="Arial" w:cs="Arial"/>
              </w:rPr>
              <w:t>MCM</w:t>
            </w:r>
          </w:p>
        </w:tc>
        <w:tc>
          <w:tcPr>
            <w:tcW w:w="1296" w:type="dxa"/>
            <w:tcBorders>
              <w:top w:val="nil"/>
              <w:left w:val="nil"/>
              <w:bottom w:val="single" w:sz="4" w:space="0" w:color="auto"/>
              <w:right w:val="nil"/>
            </w:tcBorders>
          </w:tcPr>
          <w:p w:rsidR="00C7497C" w:rsidRDefault="00C7497C" w:rsidP="00C97CF6">
            <w:pPr>
              <w:jc w:val="center"/>
              <w:rPr>
                <w:rFonts w:ascii="Arial" w:hAnsi="Arial" w:cs="Arial"/>
              </w:rPr>
            </w:pPr>
            <w:r>
              <w:rPr>
                <w:rFonts w:ascii="Arial" w:hAnsi="Arial" w:cs="Arial"/>
              </w:rPr>
              <w:t>$ / ft</w:t>
            </w:r>
          </w:p>
        </w:tc>
      </w:tr>
      <w:tr w:rsidR="00C7497C" w:rsidTr="00C7497C">
        <w:trPr>
          <w:jc w:val="center"/>
        </w:trPr>
        <w:tc>
          <w:tcPr>
            <w:tcW w:w="1188" w:type="dxa"/>
            <w:tcBorders>
              <w:top w:val="single" w:sz="4" w:space="0" w:color="auto"/>
              <w:left w:val="nil"/>
              <w:bottom w:val="nil"/>
              <w:right w:val="nil"/>
            </w:tcBorders>
          </w:tcPr>
          <w:p w:rsidR="00C7497C" w:rsidRDefault="00C7497C" w:rsidP="00C97CF6">
            <w:pPr>
              <w:jc w:val="center"/>
              <w:rPr>
                <w:rFonts w:ascii="Arial" w:hAnsi="Arial" w:cs="Arial"/>
              </w:rPr>
            </w:pPr>
            <w:r>
              <w:rPr>
                <w:rFonts w:ascii="Arial" w:hAnsi="Arial" w:cs="Arial"/>
              </w:rPr>
              <w:t>#2</w:t>
            </w:r>
          </w:p>
        </w:tc>
        <w:tc>
          <w:tcPr>
            <w:tcW w:w="1620" w:type="dxa"/>
            <w:tcBorders>
              <w:top w:val="single" w:sz="4" w:space="0" w:color="auto"/>
              <w:left w:val="nil"/>
              <w:bottom w:val="nil"/>
              <w:right w:val="nil"/>
            </w:tcBorders>
          </w:tcPr>
          <w:p w:rsidR="00C7497C" w:rsidRDefault="00C7497C" w:rsidP="00C97CF6">
            <w:pPr>
              <w:jc w:val="center"/>
              <w:rPr>
                <w:rFonts w:ascii="Arial" w:hAnsi="Arial" w:cs="Arial"/>
              </w:rPr>
            </w:pPr>
            <w:r>
              <w:rPr>
                <w:rFonts w:ascii="Arial" w:hAnsi="Arial" w:cs="Arial"/>
              </w:rPr>
              <w:t xml:space="preserve">  77.47</w:t>
            </w:r>
          </w:p>
        </w:tc>
        <w:tc>
          <w:tcPr>
            <w:tcW w:w="1296" w:type="dxa"/>
            <w:tcBorders>
              <w:top w:val="single" w:sz="4" w:space="0" w:color="auto"/>
              <w:left w:val="nil"/>
              <w:bottom w:val="nil"/>
              <w:right w:val="nil"/>
            </w:tcBorders>
          </w:tcPr>
          <w:p w:rsidR="00C7497C" w:rsidRDefault="00C7497C" w:rsidP="00C97CF6">
            <w:pPr>
              <w:jc w:val="center"/>
              <w:rPr>
                <w:rFonts w:ascii="Arial" w:hAnsi="Arial" w:cs="Arial"/>
              </w:rPr>
            </w:pPr>
            <w:r>
              <w:rPr>
                <w:rFonts w:ascii="Arial" w:hAnsi="Arial" w:cs="Arial"/>
              </w:rPr>
              <w:t>.0498</w:t>
            </w:r>
          </w:p>
        </w:tc>
      </w:tr>
      <w:tr w:rsidR="00C7497C" w:rsidTr="00C7497C">
        <w:trPr>
          <w:jc w:val="center"/>
        </w:trPr>
        <w:tc>
          <w:tcPr>
            <w:tcW w:w="1188"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1/0</w:t>
            </w:r>
          </w:p>
        </w:tc>
        <w:tc>
          <w:tcPr>
            <w:tcW w:w="1620"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123.30</w:t>
            </w:r>
          </w:p>
        </w:tc>
        <w:tc>
          <w:tcPr>
            <w:tcW w:w="1296"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0.546</w:t>
            </w:r>
          </w:p>
        </w:tc>
      </w:tr>
      <w:tr w:rsidR="00C7497C" w:rsidTr="00C7497C">
        <w:trPr>
          <w:jc w:val="center"/>
        </w:trPr>
        <w:tc>
          <w:tcPr>
            <w:tcW w:w="1188"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4/0</w:t>
            </w:r>
          </w:p>
        </w:tc>
        <w:tc>
          <w:tcPr>
            <w:tcW w:w="1620"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246.90</w:t>
            </w:r>
          </w:p>
        </w:tc>
        <w:tc>
          <w:tcPr>
            <w:tcW w:w="1296"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1.108</w:t>
            </w:r>
          </w:p>
        </w:tc>
      </w:tr>
      <w:tr w:rsidR="00C7497C" w:rsidTr="00C7497C">
        <w:trPr>
          <w:jc w:val="center"/>
        </w:trPr>
        <w:tc>
          <w:tcPr>
            <w:tcW w:w="1188"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477</w:t>
            </w:r>
          </w:p>
        </w:tc>
        <w:tc>
          <w:tcPr>
            <w:tcW w:w="1620"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477.00</w:t>
            </w:r>
          </w:p>
        </w:tc>
        <w:tc>
          <w:tcPr>
            <w:tcW w:w="1296"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1.637</w:t>
            </w:r>
          </w:p>
        </w:tc>
      </w:tr>
      <w:tr w:rsidR="00C7497C" w:rsidTr="00C7497C">
        <w:trPr>
          <w:jc w:val="center"/>
        </w:trPr>
        <w:tc>
          <w:tcPr>
            <w:tcW w:w="1188"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795</w:t>
            </w:r>
          </w:p>
        </w:tc>
        <w:tc>
          <w:tcPr>
            <w:tcW w:w="1620"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795.00</w:t>
            </w:r>
          </w:p>
        </w:tc>
        <w:tc>
          <w:tcPr>
            <w:tcW w:w="1296" w:type="dxa"/>
            <w:tcBorders>
              <w:top w:val="nil"/>
              <w:left w:val="nil"/>
              <w:bottom w:val="nil"/>
              <w:right w:val="nil"/>
            </w:tcBorders>
          </w:tcPr>
          <w:p w:rsidR="00C7497C" w:rsidRDefault="00C7497C" w:rsidP="00C97CF6">
            <w:pPr>
              <w:jc w:val="center"/>
              <w:rPr>
                <w:rFonts w:ascii="Arial" w:hAnsi="Arial" w:cs="Arial"/>
              </w:rPr>
            </w:pPr>
            <w:r>
              <w:rPr>
                <w:rFonts w:ascii="Arial" w:hAnsi="Arial" w:cs="Arial"/>
              </w:rPr>
              <w:t>2.428</w:t>
            </w:r>
          </w:p>
        </w:tc>
      </w:tr>
      <w:tr w:rsidR="00C7497C" w:rsidTr="00C7497C">
        <w:trPr>
          <w:trHeight w:val="161"/>
          <w:jc w:val="center"/>
        </w:trPr>
        <w:tc>
          <w:tcPr>
            <w:tcW w:w="1188" w:type="dxa"/>
            <w:tcBorders>
              <w:top w:val="nil"/>
              <w:left w:val="nil"/>
              <w:bottom w:val="nil"/>
              <w:right w:val="nil"/>
            </w:tcBorders>
          </w:tcPr>
          <w:p w:rsidR="00C7497C" w:rsidRPr="00C7497C" w:rsidRDefault="00C7497C" w:rsidP="00C97CF6">
            <w:pPr>
              <w:jc w:val="center"/>
              <w:rPr>
                <w:rFonts w:ascii="Arial" w:hAnsi="Arial" w:cs="Arial"/>
                <w:sz w:val="12"/>
                <w:szCs w:val="12"/>
              </w:rPr>
            </w:pPr>
          </w:p>
        </w:tc>
        <w:tc>
          <w:tcPr>
            <w:tcW w:w="1620" w:type="dxa"/>
            <w:tcBorders>
              <w:top w:val="nil"/>
              <w:left w:val="nil"/>
              <w:bottom w:val="nil"/>
              <w:right w:val="nil"/>
            </w:tcBorders>
          </w:tcPr>
          <w:p w:rsidR="00C7497C" w:rsidRPr="00C7497C" w:rsidRDefault="00C7497C" w:rsidP="00C97CF6">
            <w:pPr>
              <w:jc w:val="center"/>
              <w:rPr>
                <w:rFonts w:ascii="Arial" w:hAnsi="Arial" w:cs="Arial"/>
                <w:sz w:val="12"/>
                <w:szCs w:val="12"/>
              </w:rPr>
            </w:pPr>
          </w:p>
        </w:tc>
        <w:tc>
          <w:tcPr>
            <w:tcW w:w="1296" w:type="dxa"/>
            <w:tcBorders>
              <w:top w:val="nil"/>
              <w:left w:val="nil"/>
              <w:bottom w:val="nil"/>
              <w:right w:val="nil"/>
            </w:tcBorders>
          </w:tcPr>
          <w:p w:rsidR="00C7497C" w:rsidRPr="00C7497C" w:rsidRDefault="00C7497C" w:rsidP="00C97CF6">
            <w:pPr>
              <w:jc w:val="center"/>
              <w:rPr>
                <w:rFonts w:ascii="Arial" w:hAnsi="Arial" w:cs="Arial"/>
                <w:sz w:val="12"/>
                <w:szCs w:val="12"/>
              </w:rPr>
            </w:pPr>
          </w:p>
        </w:tc>
      </w:tr>
      <w:tr w:rsidR="00C7497C" w:rsidTr="00C7497C">
        <w:trPr>
          <w:jc w:val="center"/>
        </w:trPr>
        <w:tc>
          <w:tcPr>
            <w:tcW w:w="4104" w:type="dxa"/>
            <w:gridSpan w:val="3"/>
            <w:tcBorders>
              <w:top w:val="nil"/>
              <w:left w:val="nil"/>
              <w:bottom w:val="nil"/>
              <w:right w:val="nil"/>
            </w:tcBorders>
          </w:tcPr>
          <w:p w:rsidR="00C7497C" w:rsidRDefault="00C7497C" w:rsidP="00C97CF6">
            <w:pPr>
              <w:jc w:val="center"/>
              <w:rPr>
                <w:rFonts w:ascii="Arial" w:hAnsi="Arial" w:cs="Arial"/>
              </w:rPr>
            </w:pPr>
            <w:r>
              <w:rPr>
                <w:rFonts w:ascii="Arial" w:hAnsi="Arial" w:cs="Arial"/>
              </w:rPr>
              <w:t>Zero Intercept = 0.3087</w:t>
            </w:r>
          </w:p>
        </w:tc>
      </w:tr>
    </w:tbl>
    <w:p w:rsidR="00C7497C" w:rsidRDefault="00C7497C" w:rsidP="00C97CF6">
      <w:pPr>
        <w:jc w:val="center"/>
        <w:rPr>
          <w:rFonts w:ascii="Arial" w:hAnsi="Arial" w:cs="Arial"/>
        </w:rPr>
        <w:sectPr w:rsidR="00C7497C" w:rsidSect="00747722">
          <w:headerReference w:type="default" r:id="rId17"/>
          <w:pgSz w:w="12240" w:h="15840" w:code="1"/>
          <w:pgMar w:top="1728" w:right="1440" w:bottom="1728" w:left="1800" w:header="432" w:footer="432" w:gutter="0"/>
          <w:pgNumType w:start="1"/>
          <w:cols w:space="720"/>
          <w:docGrid w:linePitch="326"/>
        </w:sect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C7497C" w:rsidRPr="00C97CF6" w:rsidRDefault="00C7497C" w:rsidP="00C7497C">
      <w:pPr>
        <w:jc w:val="center"/>
        <w:rPr>
          <w:rFonts w:ascii="Arial" w:hAnsi="Arial" w:cs="Arial"/>
        </w:rPr>
      </w:pPr>
      <w:r w:rsidRPr="00C97CF6">
        <w:rPr>
          <w:rFonts w:ascii="Arial" w:hAnsi="Arial" w:cs="Arial"/>
        </w:rPr>
        <w:t>Minimum Distribution System</w:t>
      </w:r>
    </w:p>
    <w:p w:rsidR="00C7497C" w:rsidRDefault="00C7497C" w:rsidP="00C7497C">
      <w:pPr>
        <w:jc w:val="center"/>
        <w:rPr>
          <w:rFonts w:ascii="Arial" w:hAnsi="Arial" w:cs="Arial"/>
        </w:rPr>
      </w:pPr>
      <w:r>
        <w:rPr>
          <w:rFonts w:ascii="Arial" w:hAnsi="Arial" w:cs="Arial"/>
        </w:rPr>
        <w:t>Account 368 – Single Phase Transformer Regression</w:t>
      </w:r>
    </w:p>
    <w:p w:rsidR="007C45DD" w:rsidRDefault="00C7497C" w:rsidP="007C45DD">
      <w:pPr>
        <w:jc w:val="center"/>
        <w:rPr>
          <w:rFonts w:ascii="Arial" w:hAnsi="Arial" w:cs="Arial"/>
        </w:rPr>
      </w:pPr>
      <w:r>
        <w:rPr>
          <w:rFonts w:ascii="Arial" w:hAnsi="Arial" w:cs="Arial"/>
        </w:rPr>
        <w:t>Schedule 6.2</w:t>
      </w:r>
    </w:p>
    <w:p w:rsidR="007C45DD" w:rsidRDefault="007C45DD" w:rsidP="007C45DD">
      <w:pPr>
        <w:jc w:val="center"/>
        <w:rPr>
          <w:rFonts w:ascii="Arial" w:hAnsi="Arial" w:cs="Arial"/>
        </w:rPr>
      </w:pPr>
    </w:p>
    <w:p w:rsidR="007C45DD" w:rsidRDefault="007F2B17" w:rsidP="007C45DD">
      <w:pPr>
        <w:jc w:val="center"/>
        <w:rPr>
          <w:rFonts w:ascii="Arial" w:hAnsi="Arial" w:cs="Arial"/>
        </w:rPr>
      </w:pPr>
      <w:r>
        <w:rPr>
          <w:rFonts w:ascii="Arial" w:hAnsi="Arial" w:cs="Arial"/>
          <w:noProof/>
        </w:rPr>
        <w:drawing>
          <wp:inline distT="0" distB="0" distL="0" distR="0">
            <wp:extent cx="5094472" cy="3562709"/>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8" cstate="print"/>
                    <a:srcRect/>
                    <a:stretch>
                      <a:fillRect/>
                    </a:stretch>
                  </pic:blipFill>
                  <pic:spPr bwMode="auto">
                    <a:xfrm>
                      <a:off x="0" y="0"/>
                      <a:ext cx="5095029" cy="3563098"/>
                    </a:xfrm>
                    <a:prstGeom prst="rect">
                      <a:avLst/>
                    </a:prstGeom>
                    <a:noFill/>
                  </pic:spPr>
                </pic:pic>
              </a:graphicData>
            </a:graphic>
          </wp:inline>
        </w:drawing>
      </w: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C7497C" w:rsidP="007C45DD">
      <w:pPr>
        <w:jc w:val="center"/>
        <w:rPr>
          <w:rFonts w:ascii="Arial" w:hAnsi="Arial" w:cs="Arial"/>
        </w:rPr>
      </w:pPr>
      <w:r>
        <w:rPr>
          <w:rFonts w:ascii="Arial" w:hAnsi="Arial" w:cs="Arial"/>
        </w:rPr>
        <w:t>Account 368 – Singe Phase Overhead Transformers &lt;100 KVA</w:t>
      </w:r>
    </w:p>
    <w:p w:rsidR="007C45DD" w:rsidRPr="007C45DD" w:rsidRDefault="007C45DD" w:rsidP="007C45DD">
      <w:pPr>
        <w:jc w:val="center"/>
        <w:rPr>
          <w:rFonts w:ascii="Arial" w:hAnsi="Arial" w:cs="Arial"/>
          <w:sz w:val="12"/>
          <w:szCs w:val="12"/>
        </w:rPr>
      </w:pPr>
    </w:p>
    <w:tbl>
      <w:tblPr>
        <w:tblStyle w:val="TableGrid"/>
        <w:tblW w:w="0" w:type="auto"/>
        <w:jc w:val="center"/>
        <w:tblInd w:w="-171" w:type="dxa"/>
        <w:tblLook w:val="04A0"/>
      </w:tblPr>
      <w:tblGrid>
        <w:gridCol w:w="1359"/>
        <w:gridCol w:w="1404"/>
      </w:tblGrid>
      <w:tr w:rsidR="00C7497C" w:rsidTr="00C7497C">
        <w:trPr>
          <w:jc w:val="center"/>
        </w:trPr>
        <w:tc>
          <w:tcPr>
            <w:tcW w:w="1359" w:type="dxa"/>
            <w:tcBorders>
              <w:top w:val="nil"/>
              <w:left w:val="nil"/>
              <w:bottom w:val="single" w:sz="4" w:space="0" w:color="auto"/>
              <w:right w:val="nil"/>
            </w:tcBorders>
          </w:tcPr>
          <w:p w:rsidR="00C7497C" w:rsidRDefault="00C7497C" w:rsidP="00C7497C">
            <w:pPr>
              <w:jc w:val="center"/>
              <w:rPr>
                <w:rFonts w:ascii="Arial" w:hAnsi="Arial" w:cs="Arial"/>
              </w:rPr>
            </w:pPr>
            <w:r>
              <w:rPr>
                <w:rFonts w:ascii="Arial" w:hAnsi="Arial" w:cs="Arial"/>
              </w:rPr>
              <w:t>KVA</w:t>
            </w:r>
          </w:p>
        </w:tc>
        <w:tc>
          <w:tcPr>
            <w:tcW w:w="1404" w:type="dxa"/>
            <w:tcBorders>
              <w:top w:val="nil"/>
              <w:left w:val="nil"/>
              <w:bottom w:val="single" w:sz="4" w:space="0" w:color="auto"/>
              <w:right w:val="nil"/>
            </w:tcBorders>
          </w:tcPr>
          <w:p w:rsidR="00524812" w:rsidRDefault="00C7497C">
            <w:pPr>
              <w:jc w:val="center"/>
              <w:rPr>
                <w:rFonts w:ascii="Arial" w:hAnsi="Arial" w:cs="Arial"/>
              </w:rPr>
            </w:pPr>
            <w:r>
              <w:rPr>
                <w:rFonts w:ascii="Arial" w:hAnsi="Arial" w:cs="Arial"/>
              </w:rPr>
              <w:t>$ / ea</w:t>
            </w:r>
          </w:p>
        </w:tc>
      </w:tr>
      <w:tr w:rsidR="00C7497C" w:rsidTr="00C7497C">
        <w:trPr>
          <w:jc w:val="center"/>
        </w:trPr>
        <w:tc>
          <w:tcPr>
            <w:tcW w:w="1359" w:type="dxa"/>
            <w:tcBorders>
              <w:top w:val="single" w:sz="4" w:space="0" w:color="auto"/>
              <w:left w:val="nil"/>
              <w:bottom w:val="nil"/>
              <w:right w:val="nil"/>
            </w:tcBorders>
          </w:tcPr>
          <w:p w:rsidR="00C7497C" w:rsidRDefault="00C7497C" w:rsidP="00C7497C">
            <w:pPr>
              <w:jc w:val="center"/>
              <w:rPr>
                <w:rFonts w:ascii="Arial" w:hAnsi="Arial" w:cs="Arial"/>
              </w:rPr>
            </w:pPr>
            <w:r>
              <w:rPr>
                <w:rFonts w:ascii="Arial" w:hAnsi="Arial" w:cs="Arial"/>
              </w:rPr>
              <w:t>15</w:t>
            </w:r>
          </w:p>
        </w:tc>
        <w:tc>
          <w:tcPr>
            <w:tcW w:w="1404" w:type="dxa"/>
            <w:tcBorders>
              <w:top w:val="single" w:sz="4" w:space="0" w:color="auto"/>
              <w:left w:val="nil"/>
              <w:bottom w:val="nil"/>
              <w:right w:val="nil"/>
            </w:tcBorders>
          </w:tcPr>
          <w:p w:rsidR="00C7497C" w:rsidRDefault="00C7497C" w:rsidP="00C7497C">
            <w:pPr>
              <w:jc w:val="center"/>
              <w:rPr>
                <w:rFonts w:ascii="Arial" w:hAnsi="Arial" w:cs="Arial"/>
              </w:rPr>
            </w:pPr>
            <w:r>
              <w:rPr>
                <w:rFonts w:ascii="Arial" w:hAnsi="Arial" w:cs="Arial"/>
              </w:rPr>
              <w:t>1,028</w:t>
            </w:r>
          </w:p>
        </w:tc>
      </w:tr>
      <w:tr w:rsidR="00C7497C" w:rsidTr="00C7497C">
        <w:trPr>
          <w:jc w:val="center"/>
        </w:trPr>
        <w:tc>
          <w:tcPr>
            <w:tcW w:w="1359"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25</w:t>
            </w:r>
          </w:p>
        </w:tc>
        <w:tc>
          <w:tcPr>
            <w:tcW w:w="1404"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1,190</w:t>
            </w:r>
          </w:p>
        </w:tc>
      </w:tr>
      <w:tr w:rsidR="00C7497C" w:rsidTr="00C7497C">
        <w:trPr>
          <w:jc w:val="center"/>
        </w:trPr>
        <w:tc>
          <w:tcPr>
            <w:tcW w:w="1359"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37.5</w:t>
            </w:r>
          </w:p>
        </w:tc>
        <w:tc>
          <w:tcPr>
            <w:tcW w:w="1404"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1,465</w:t>
            </w:r>
          </w:p>
        </w:tc>
      </w:tr>
      <w:tr w:rsidR="00C7497C" w:rsidTr="00C7497C">
        <w:trPr>
          <w:jc w:val="center"/>
        </w:trPr>
        <w:tc>
          <w:tcPr>
            <w:tcW w:w="1359"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50</w:t>
            </w:r>
          </w:p>
        </w:tc>
        <w:tc>
          <w:tcPr>
            <w:tcW w:w="1404"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1,699</w:t>
            </w:r>
          </w:p>
        </w:tc>
      </w:tr>
      <w:tr w:rsidR="00C7497C" w:rsidTr="00C7497C">
        <w:trPr>
          <w:jc w:val="center"/>
        </w:trPr>
        <w:tc>
          <w:tcPr>
            <w:tcW w:w="1359"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75</w:t>
            </w:r>
          </w:p>
        </w:tc>
        <w:tc>
          <w:tcPr>
            <w:tcW w:w="1404" w:type="dxa"/>
            <w:tcBorders>
              <w:top w:val="nil"/>
              <w:left w:val="nil"/>
              <w:bottom w:val="nil"/>
              <w:right w:val="nil"/>
            </w:tcBorders>
          </w:tcPr>
          <w:p w:rsidR="00C7497C" w:rsidRDefault="00C7497C" w:rsidP="00C7497C">
            <w:pPr>
              <w:jc w:val="center"/>
              <w:rPr>
                <w:rFonts w:ascii="Arial" w:hAnsi="Arial" w:cs="Arial"/>
              </w:rPr>
            </w:pPr>
            <w:r>
              <w:rPr>
                <w:rFonts w:ascii="Arial" w:hAnsi="Arial" w:cs="Arial"/>
              </w:rPr>
              <w:t>2,360</w:t>
            </w:r>
          </w:p>
        </w:tc>
      </w:tr>
      <w:tr w:rsidR="00C7497C" w:rsidRPr="00C7497C" w:rsidTr="00C7497C">
        <w:trPr>
          <w:trHeight w:val="161"/>
          <w:jc w:val="center"/>
        </w:trPr>
        <w:tc>
          <w:tcPr>
            <w:tcW w:w="1359" w:type="dxa"/>
            <w:tcBorders>
              <w:top w:val="nil"/>
              <w:left w:val="nil"/>
              <w:bottom w:val="nil"/>
              <w:right w:val="nil"/>
            </w:tcBorders>
          </w:tcPr>
          <w:p w:rsidR="00C7497C" w:rsidRPr="00C7497C" w:rsidRDefault="00C7497C" w:rsidP="00C7497C">
            <w:pPr>
              <w:jc w:val="center"/>
              <w:rPr>
                <w:rFonts w:ascii="Arial" w:hAnsi="Arial" w:cs="Arial"/>
              </w:rPr>
            </w:pPr>
            <w:r>
              <w:rPr>
                <w:rFonts w:ascii="Arial" w:hAnsi="Arial" w:cs="Arial"/>
              </w:rPr>
              <w:t>100</w:t>
            </w:r>
          </w:p>
        </w:tc>
        <w:tc>
          <w:tcPr>
            <w:tcW w:w="1404" w:type="dxa"/>
            <w:tcBorders>
              <w:top w:val="nil"/>
              <w:left w:val="nil"/>
              <w:bottom w:val="nil"/>
              <w:right w:val="nil"/>
            </w:tcBorders>
          </w:tcPr>
          <w:p w:rsidR="00C7497C" w:rsidRPr="00C7497C" w:rsidRDefault="00C7497C" w:rsidP="00C7497C">
            <w:pPr>
              <w:jc w:val="center"/>
              <w:rPr>
                <w:rFonts w:ascii="Arial" w:hAnsi="Arial" w:cs="Arial"/>
              </w:rPr>
            </w:pPr>
            <w:r>
              <w:rPr>
                <w:rFonts w:ascii="Arial" w:hAnsi="Arial" w:cs="Arial"/>
              </w:rPr>
              <w:t>2,947</w:t>
            </w:r>
          </w:p>
        </w:tc>
      </w:tr>
      <w:tr w:rsidR="00C7497C" w:rsidRPr="00C7497C" w:rsidTr="00C7497C">
        <w:trPr>
          <w:trHeight w:val="161"/>
          <w:jc w:val="center"/>
        </w:trPr>
        <w:tc>
          <w:tcPr>
            <w:tcW w:w="1359" w:type="dxa"/>
            <w:tcBorders>
              <w:top w:val="nil"/>
              <w:left w:val="nil"/>
              <w:bottom w:val="nil"/>
              <w:right w:val="nil"/>
            </w:tcBorders>
          </w:tcPr>
          <w:p w:rsidR="00C7497C" w:rsidRPr="00C7497C" w:rsidRDefault="00C7497C" w:rsidP="00C7497C">
            <w:pPr>
              <w:jc w:val="center"/>
              <w:rPr>
                <w:rFonts w:ascii="Arial" w:hAnsi="Arial" w:cs="Arial"/>
                <w:sz w:val="12"/>
                <w:szCs w:val="12"/>
              </w:rPr>
            </w:pPr>
          </w:p>
        </w:tc>
        <w:tc>
          <w:tcPr>
            <w:tcW w:w="1404" w:type="dxa"/>
            <w:tcBorders>
              <w:top w:val="nil"/>
              <w:left w:val="nil"/>
              <w:bottom w:val="nil"/>
              <w:right w:val="nil"/>
            </w:tcBorders>
          </w:tcPr>
          <w:p w:rsidR="00C7497C" w:rsidRPr="00C7497C" w:rsidRDefault="00C7497C" w:rsidP="00C7497C">
            <w:pPr>
              <w:jc w:val="center"/>
              <w:rPr>
                <w:rFonts w:ascii="Arial" w:hAnsi="Arial" w:cs="Arial"/>
                <w:sz w:val="12"/>
                <w:szCs w:val="12"/>
              </w:rPr>
            </w:pPr>
          </w:p>
        </w:tc>
      </w:tr>
      <w:tr w:rsidR="00C7497C" w:rsidRPr="00C7497C" w:rsidTr="00C7497C">
        <w:trPr>
          <w:trHeight w:val="161"/>
          <w:jc w:val="center"/>
        </w:trPr>
        <w:tc>
          <w:tcPr>
            <w:tcW w:w="2763" w:type="dxa"/>
            <w:gridSpan w:val="2"/>
            <w:tcBorders>
              <w:top w:val="nil"/>
              <w:left w:val="nil"/>
              <w:bottom w:val="nil"/>
              <w:right w:val="nil"/>
            </w:tcBorders>
          </w:tcPr>
          <w:p w:rsidR="00C7497C" w:rsidRPr="00C7497C" w:rsidRDefault="00C7497C" w:rsidP="00C7497C">
            <w:pPr>
              <w:jc w:val="center"/>
              <w:rPr>
                <w:rFonts w:ascii="Arial" w:hAnsi="Arial" w:cs="Arial"/>
              </w:rPr>
            </w:pPr>
            <w:r>
              <w:rPr>
                <w:rFonts w:ascii="Arial" w:hAnsi="Arial" w:cs="Arial"/>
              </w:rPr>
              <w:t>Zero Intercept = 623.34</w:t>
            </w:r>
          </w:p>
        </w:tc>
      </w:tr>
    </w:tbl>
    <w:p w:rsidR="00C7497C" w:rsidRDefault="00C7497C" w:rsidP="00C7497C">
      <w:pPr>
        <w:jc w:val="center"/>
        <w:rPr>
          <w:rFonts w:ascii="Arial" w:hAnsi="Arial" w:cs="Arial"/>
        </w:rPr>
        <w:sectPr w:rsidR="00C7497C" w:rsidSect="00747722">
          <w:headerReference w:type="default" r:id="rId19"/>
          <w:pgSz w:w="12240" w:h="15840" w:code="1"/>
          <w:pgMar w:top="1728" w:right="1440" w:bottom="1728" w:left="1800" w:header="432" w:footer="432" w:gutter="0"/>
          <w:pgNumType w:start="1"/>
          <w:cols w:space="720"/>
          <w:docGrid w:linePitch="326"/>
        </w:sectPr>
      </w:pPr>
    </w:p>
    <w:p w:rsidR="00014918" w:rsidRDefault="00202DFA">
      <w:pPr>
        <w:jc w:val="center"/>
        <w:rPr>
          <w:rFonts w:ascii="Arial" w:hAnsi="Arial" w:cs="Arial"/>
        </w:rPr>
        <w:sectPr w:rsidR="00014918" w:rsidSect="00747722">
          <w:headerReference w:type="default" r:id="rId20"/>
          <w:pgSz w:w="12240" w:h="15840" w:code="1"/>
          <w:pgMar w:top="1728" w:right="1440" w:bottom="1728" w:left="1800" w:header="432" w:footer="432" w:gutter="0"/>
          <w:pgNumType w:start="1"/>
          <w:cols w:space="720"/>
          <w:docGrid w:linePitch="326"/>
        </w:sectPr>
      </w:pPr>
      <w:r>
        <w:rPr>
          <w:rFonts w:ascii="Arial" w:hAnsi="Arial" w:cs="Arial"/>
          <w:noProof/>
        </w:rPr>
        <w:lastRenderedPageBreak/>
        <w:drawing>
          <wp:anchor distT="0" distB="0" distL="114300" distR="114300" simplePos="0" relativeHeight="251670528" behindDoc="0" locked="0" layoutInCell="1" allowOverlap="1">
            <wp:simplePos x="0" y="0"/>
            <wp:positionH relativeFrom="column">
              <wp:posOffset>-1243553</wp:posOffset>
            </wp:positionH>
            <wp:positionV relativeFrom="paragraph">
              <wp:posOffset>987359</wp:posOffset>
            </wp:positionV>
            <wp:extent cx="7920842" cy="6079392"/>
            <wp:effectExtent l="0" t="914400" r="0" b="892908"/>
            <wp:wrapNone/>
            <wp:docPr id="1" name="Picture 0" descr="6.3 no white space wout zero inter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no white space wout zero intercept.jpg"/>
                    <pic:cNvPicPr/>
                  </pic:nvPicPr>
                  <pic:blipFill>
                    <a:blip r:embed="rId21"/>
                    <a:stretch>
                      <a:fillRect/>
                    </a:stretch>
                  </pic:blipFill>
                  <pic:spPr>
                    <a:xfrm rot="16200000">
                      <a:off x="0" y="0"/>
                      <a:ext cx="7920397" cy="6079050"/>
                    </a:xfrm>
                    <a:prstGeom prst="rect">
                      <a:avLst/>
                    </a:prstGeom>
                  </pic:spPr>
                </pic:pic>
              </a:graphicData>
            </a:graphic>
          </wp:anchor>
        </w:drawing>
      </w:r>
    </w:p>
    <w:p w:rsidR="007C45DD" w:rsidRDefault="007F2B17" w:rsidP="007C45DD">
      <w:pPr>
        <w:jc w:val="center"/>
        <w:rPr>
          <w:rFonts w:ascii="Arial" w:hAnsi="Arial" w:cs="Arial"/>
        </w:rPr>
      </w:pPr>
      <w:r>
        <w:rPr>
          <w:rFonts w:ascii="Arial" w:hAnsi="Arial" w:cs="Arial"/>
          <w:noProof/>
        </w:rPr>
        <w:lastRenderedPageBreak/>
        <w:drawing>
          <wp:anchor distT="0" distB="0" distL="114300" distR="114300" simplePos="0" relativeHeight="251665408" behindDoc="0" locked="0" layoutInCell="1" allowOverlap="1">
            <wp:simplePos x="0" y="0"/>
            <wp:positionH relativeFrom="column">
              <wp:posOffset>-1243048</wp:posOffset>
            </wp:positionH>
            <wp:positionV relativeFrom="paragraph">
              <wp:posOffset>923570</wp:posOffset>
            </wp:positionV>
            <wp:extent cx="7886700" cy="5953052"/>
            <wp:effectExtent l="0" t="971550" r="0" b="943048"/>
            <wp:wrapNone/>
            <wp:docPr id="10" name="Picture 9" descr="6.4 no white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no white space.jpg"/>
                    <pic:cNvPicPr/>
                  </pic:nvPicPr>
                  <pic:blipFill>
                    <a:blip r:embed="rId22"/>
                    <a:stretch>
                      <a:fillRect/>
                    </a:stretch>
                  </pic:blipFill>
                  <pic:spPr>
                    <a:xfrm rot="16200000">
                      <a:off x="0" y="0"/>
                      <a:ext cx="7888406" cy="5954340"/>
                    </a:xfrm>
                    <a:prstGeom prst="rect">
                      <a:avLst/>
                    </a:prstGeom>
                  </pic:spPr>
                </pic:pic>
              </a:graphicData>
            </a:graphic>
          </wp:anchor>
        </w:drawing>
      </w:r>
    </w:p>
    <w:p w:rsidR="00014918" w:rsidRDefault="00014918">
      <w:pPr>
        <w:jc w:val="center"/>
        <w:rPr>
          <w:rFonts w:ascii="Arial" w:hAnsi="Arial" w:cs="Arial"/>
        </w:rPr>
        <w:sectPr w:rsidR="00014918" w:rsidSect="00747722">
          <w:headerReference w:type="default" r:id="rId23"/>
          <w:pgSz w:w="12240" w:h="15840" w:code="1"/>
          <w:pgMar w:top="1728" w:right="1440" w:bottom="1728" w:left="1800" w:header="432" w:footer="432" w:gutter="0"/>
          <w:pgNumType w:start="1"/>
          <w:cols w:space="720"/>
          <w:docGrid w:linePitch="326"/>
        </w:sectPr>
      </w:pPr>
    </w:p>
    <w:p w:rsidR="007C45DD" w:rsidRDefault="007C45DD" w:rsidP="007C45DD">
      <w:pPr>
        <w:jc w:val="center"/>
        <w:rPr>
          <w:rFonts w:ascii="Arial" w:hAnsi="Arial" w:cs="Arial"/>
        </w:rPr>
      </w:pPr>
    </w:p>
    <w:p w:rsidR="007C45DD" w:rsidRDefault="007F2B17" w:rsidP="007C45DD">
      <w:pPr>
        <w:jc w:val="cente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-1758231</wp:posOffset>
            </wp:positionH>
            <wp:positionV relativeFrom="paragraph">
              <wp:posOffset>2100028</wp:posOffset>
            </wp:positionV>
            <wp:extent cx="7667289" cy="3731727"/>
            <wp:effectExtent l="0" t="1962150" r="0" b="1945173"/>
            <wp:wrapNone/>
            <wp:docPr id="11" name="Picture 10" descr="6.5 no white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 no white space.jpg"/>
                    <pic:cNvPicPr/>
                  </pic:nvPicPr>
                  <pic:blipFill>
                    <a:blip r:embed="rId24"/>
                    <a:stretch>
                      <a:fillRect/>
                    </a:stretch>
                  </pic:blipFill>
                  <pic:spPr>
                    <a:xfrm rot="16200000">
                      <a:off x="0" y="0"/>
                      <a:ext cx="7682190" cy="3738979"/>
                    </a:xfrm>
                    <a:prstGeom prst="rect">
                      <a:avLst/>
                    </a:prstGeom>
                  </pic:spPr>
                </pic:pic>
              </a:graphicData>
            </a:graphic>
          </wp:anchor>
        </w:drawing>
      </w:r>
    </w:p>
    <w:p w:rsidR="00014918" w:rsidRDefault="00014918">
      <w:pPr>
        <w:jc w:val="center"/>
        <w:rPr>
          <w:rFonts w:ascii="Arial" w:hAnsi="Arial" w:cs="Arial"/>
        </w:rPr>
        <w:sectPr w:rsidR="00014918" w:rsidSect="00747722">
          <w:headerReference w:type="default" r:id="rId25"/>
          <w:pgSz w:w="12240" w:h="15840" w:code="1"/>
          <w:pgMar w:top="1728" w:right="1440" w:bottom="1728" w:left="1800" w:header="432" w:footer="432" w:gutter="0"/>
          <w:pgNumType w:start="1"/>
          <w:cols w:space="720"/>
          <w:docGrid w:linePitch="326"/>
        </w:sectPr>
      </w:pPr>
    </w:p>
    <w:p w:rsidR="007C45DD" w:rsidRDefault="007C45DD" w:rsidP="007C45DD">
      <w:pPr>
        <w:jc w:val="center"/>
        <w:rPr>
          <w:rFonts w:ascii="Arial" w:hAnsi="Arial" w:cs="Arial"/>
        </w:rPr>
      </w:pPr>
    </w:p>
    <w:p w:rsidR="007C45DD" w:rsidRDefault="007F2B17" w:rsidP="007C45DD">
      <w:pPr>
        <w:jc w:val="center"/>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-1171270</wp:posOffset>
            </wp:positionH>
            <wp:positionV relativeFrom="paragraph">
              <wp:posOffset>848664</wp:posOffset>
            </wp:positionV>
            <wp:extent cx="7705142" cy="6105551"/>
            <wp:effectExtent l="0" t="800100" r="0" b="771499"/>
            <wp:wrapNone/>
            <wp:docPr id="12" name="Picture 11" descr="6.6 no white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 no white space.jpg"/>
                    <pic:cNvPicPr/>
                  </pic:nvPicPr>
                  <pic:blipFill>
                    <a:blip r:embed="rId26"/>
                    <a:stretch>
                      <a:fillRect/>
                    </a:stretch>
                  </pic:blipFill>
                  <pic:spPr>
                    <a:xfrm rot="16200000">
                      <a:off x="0" y="0"/>
                      <a:ext cx="7705745" cy="6106029"/>
                    </a:xfrm>
                    <a:prstGeom prst="rect">
                      <a:avLst/>
                    </a:prstGeom>
                  </pic:spPr>
                </pic:pic>
              </a:graphicData>
            </a:graphic>
          </wp:anchor>
        </w:drawing>
      </w:r>
    </w:p>
    <w:p w:rsidR="00014918" w:rsidRDefault="00014918">
      <w:pPr>
        <w:jc w:val="center"/>
        <w:rPr>
          <w:rFonts w:ascii="Arial" w:hAnsi="Arial" w:cs="Arial"/>
        </w:rPr>
        <w:sectPr w:rsidR="00014918" w:rsidSect="00747722">
          <w:headerReference w:type="default" r:id="rId27"/>
          <w:pgSz w:w="12240" w:h="15840" w:code="1"/>
          <w:pgMar w:top="1728" w:right="1440" w:bottom="1728" w:left="1800" w:header="432" w:footer="432" w:gutter="0"/>
          <w:pgNumType w:start="1"/>
          <w:cols w:space="720"/>
          <w:docGrid w:linePitch="326"/>
        </w:sectPr>
      </w:pPr>
    </w:p>
    <w:p w:rsidR="00014918" w:rsidRDefault="007F2B17">
      <w:pPr>
        <w:rPr>
          <w:rFonts w:ascii="Arial" w:hAnsi="Arial" w:cs="Arial"/>
        </w:rPr>
      </w:pPr>
      <w:r>
        <w:rPr>
          <w:rFonts w:ascii="Arial" w:hAnsi="Arial" w:cs="Arial"/>
          <w:noProof/>
        </w:rPr>
        <w:lastRenderedPageBreak/>
        <w:drawing>
          <wp:anchor distT="0" distB="0" distL="114300" distR="114300" simplePos="0" relativeHeight="251668480" behindDoc="0" locked="0" layoutInCell="1" allowOverlap="1">
            <wp:simplePos x="0" y="0"/>
            <wp:positionH relativeFrom="column">
              <wp:posOffset>-800100</wp:posOffset>
            </wp:positionH>
            <wp:positionV relativeFrom="paragraph">
              <wp:posOffset>194945</wp:posOffset>
            </wp:positionV>
            <wp:extent cx="6991350" cy="7467600"/>
            <wp:effectExtent l="19050" t="0" r="0" b="0"/>
            <wp:wrapNone/>
            <wp:docPr id="13" name="Picture 12" descr="6.7a no white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 no white space.jpg"/>
                    <pic:cNvPicPr/>
                  </pic:nvPicPr>
                  <pic:blipFill>
                    <a:blip r:embed="rId28"/>
                    <a:stretch>
                      <a:fillRect/>
                    </a:stretch>
                  </pic:blipFill>
                  <pic:spPr>
                    <a:xfrm>
                      <a:off x="0" y="0"/>
                      <a:ext cx="6991350" cy="7467600"/>
                    </a:xfrm>
                    <a:prstGeom prst="rect">
                      <a:avLst/>
                    </a:prstGeom>
                  </pic:spPr>
                </pic:pic>
              </a:graphicData>
            </a:graphic>
          </wp:anchor>
        </w:drawing>
      </w:r>
      <w:r w:rsidR="00014918">
        <w:rPr>
          <w:rFonts w:ascii="Arial" w:hAnsi="Arial" w:cs="Arial"/>
        </w:rPr>
        <w:br w:type="page"/>
      </w:r>
    </w:p>
    <w:p w:rsidR="007C45DD" w:rsidRDefault="007C45DD" w:rsidP="007C45DD">
      <w:pPr>
        <w:jc w:val="center"/>
        <w:rPr>
          <w:rFonts w:ascii="Arial" w:hAnsi="Arial" w:cs="Arial"/>
        </w:rPr>
      </w:pPr>
    </w:p>
    <w:p w:rsidR="0082334B" w:rsidRDefault="007F2B17">
      <w:pPr>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-647700</wp:posOffset>
            </wp:positionH>
            <wp:positionV relativeFrom="paragraph">
              <wp:posOffset>314960</wp:posOffset>
            </wp:positionV>
            <wp:extent cx="6524625" cy="6248400"/>
            <wp:effectExtent l="19050" t="0" r="9525" b="0"/>
            <wp:wrapNone/>
            <wp:docPr id="14" name="Picture 13" descr="6.7b no white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b no white space.jpg"/>
                    <pic:cNvPicPr/>
                  </pic:nvPicPr>
                  <pic:blipFill>
                    <a:blip r:embed="rId29"/>
                    <a:stretch>
                      <a:fillRect/>
                    </a:stretch>
                  </pic:blipFill>
                  <pic:spPr>
                    <a:xfrm>
                      <a:off x="0" y="0"/>
                      <a:ext cx="6524625" cy="6248400"/>
                    </a:xfrm>
                    <a:prstGeom prst="rect">
                      <a:avLst/>
                    </a:prstGeom>
                  </pic:spPr>
                </pic:pic>
              </a:graphicData>
            </a:graphic>
          </wp:anchor>
        </w:drawing>
      </w:r>
    </w:p>
    <w:p w:rsidR="00014918" w:rsidRDefault="00014918">
      <w:pPr>
        <w:jc w:val="center"/>
        <w:rPr>
          <w:rFonts w:ascii="Arial" w:hAnsi="Arial" w:cs="Arial"/>
        </w:rPr>
        <w:sectPr w:rsidR="00014918" w:rsidSect="00747722">
          <w:headerReference w:type="default" r:id="rId30"/>
          <w:pgSz w:w="12240" w:h="15840" w:code="1"/>
          <w:pgMar w:top="1728" w:right="1440" w:bottom="1728" w:left="1800" w:header="432" w:footer="432" w:gutter="0"/>
          <w:pgNumType w:start="1"/>
          <w:cols w:space="720"/>
          <w:docGrid w:linePitch="326"/>
        </w:sect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1A581E" w:rsidRPr="00C97CF6" w:rsidRDefault="00F904AC" w:rsidP="001A581E">
      <w:pPr>
        <w:jc w:val="center"/>
        <w:rPr>
          <w:rFonts w:ascii="Arial" w:hAnsi="Arial" w:cs="Arial"/>
        </w:rPr>
      </w:pPr>
      <w:r>
        <w:rPr>
          <w:rFonts w:ascii="Arial" w:hAnsi="Arial" w:cs="Arial"/>
        </w:rPr>
        <w:t>Gulf Power Company</w:t>
      </w:r>
    </w:p>
    <w:p w:rsidR="001A581E" w:rsidRDefault="00F904AC" w:rsidP="001A581E">
      <w:pPr>
        <w:jc w:val="center"/>
        <w:rPr>
          <w:rFonts w:ascii="Arial" w:hAnsi="Arial" w:cs="Arial"/>
        </w:rPr>
      </w:pPr>
      <w:r>
        <w:rPr>
          <w:rFonts w:ascii="Arial" w:hAnsi="Arial" w:cs="Arial"/>
        </w:rPr>
        <w:t>Twelve Months Ended 12/31/10</w:t>
      </w:r>
    </w:p>
    <w:p w:rsidR="001A581E" w:rsidRDefault="00F904AC" w:rsidP="001A581E">
      <w:pPr>
        <w:jc w:val="center"/>
        <w:rPr>
          <w:rFonts w:ascii="Arial" w:hAnsi="Arial" w:cs="Arial"/>
        </w:rPr>
      </w:pPr>
      <w:r>
        <w:rPr>
          <w:rFonts w:ascii="Arial" w:hAnsi="Arial" w:cs="Arial"/>
        </w:rPr>
        <w:t>Minimum Distribution System</w:t>
      </w:r>
    </w:p>
    <w:p w:rsidR="00F904AC" w:rsidRDefault="00F904AC" w:rsidP="001A581E">
      <w:pPr>
        <w:jc w:val="center"/>
        <w:rPr>
          <w:rFonts w:ascii="Arial" w:hAnsi="Arial" w:cs="Arial"/>
        </w:rPr>
      </w:pPr>
      <w:r>
        <w:rPr>
          <w:rFonts w:ascii="Arial" w:hAnsi="Arial" w:cs="Arial"/>
        </w:rPr>
        <w:t>Account 369 - Services Analysis (Mass Account)</w:t>
      </w:r>
    </w:p>
    <w:p w:rsidR="00F904AC" w:rsidRDefault="00F904AC" w:rsidP="001A581E">
      <w:pPr>
        <w:jc w:val="center"/>
        <w:rPr>
          <w:rFonts w:ascii="Arial" w:hAnsi="Arial" w:cs="Arial"/>
        </w:rPr>
      </w:pPr>
      <w:r>
        <w:rPr>
          <w:rFonts w:ascii="Arial" w:hAnsi="Arial" w:cs="Arial"/>
        </w:rPr>
        <w:t>Schedule 6.8</w:t>
      </w:r>
    </w:p>
    <w:p w:rsidR="001A581E" w:rsidRPr="001A581E" w:rsidRDefault="001A581E" w:rsidP="001A581E">
      <w:pPr>
        <w:jc w:val="center"/>
        <w:rPr>
          <w:rFonts w:ascii="Arial" w:hAnsi="Arial" w:cs="Arial"/>
          <w:sz w:val="12"/>
          <w:szCs w:val="12"/>
        </w:rPr>
      </w:pPr>
    </w:p>
    <w:p w:rsidR="001A581E" w:rsidRDefault="001A581E" w:rsidP="001A581E">
      <w:pPr>
        <w:jc w:val="center"/>
        <w:rPr>
          <w:rFonts w:ascii="Arial" w:hAnsi="Arial" w:cs="Arial"/>
        </w:rPr>
      </w:pPr>
    </w:p>
    <w:p w:rsidR="00F904AC" w:rsidRDefault="00F904AC" w:rsidP="001A581E">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3"/>
        <w:gridCol w:w="1668"/>
        <w:gridCol w:w="335"/>
        <w:gridCol w:w="412"/>
        <w:gridCol w:w="1686"/>
        <w:gridCol w:w="1644"/>
        <w:gridCol w:w="1530"/>
        <w:gridCol w:w="990"/>
      </w:tblGrid>
      <w:tr w:rsidR="00F904AC" w:rsidTr="00F904AC">
        <w:tc>
          <w:tcPr>
            <w:tcW w:w="843" w:type="dxa"/>
          </w:tcPr>
          <w:p w:rsidR="001A581E" w:rsidRPr="001A581E" w:rsidRDefault="001A581E">
            <w:pPr>
              <w:jc w:val="center"/>
              <w:rPr>
                <w:rFonts w:ascii="Arial" w:hAnsi="Arial" w:cs="Arial"/>
              </w:rPr>
            </w:pPr>
          </w:p>
        </w:tc>
        <w:tc>
          <w:tcPr>
            <w:tcW w:w="1668" w:type="dxa"/>
          </w:tcPr>
          <w:p w:rsidR="001A581E" w:rsidRPr="001A581E" w:rsidRDefault="001A581E">
            <w:pPr>
              <w:jc w:val="center"/>
              <w:rPr>
                <w:rFonts w:ascii="Arial" w:hAnsi="Arial" w:cs="Arial"/>
              </w:rPr>
            </w:pPr>
          </w:p>
        </w:tc>
        <w:tc>
          <w:tcPr>
            <w:tcW w:w="747" w:type="dxa"/>
            <w:gridSpan w:val="2"/>
          </w:tcPr>
          <w:p w:rsidR="001A581E" w:rsidRPr="001A581E" w:rsidRDefault="001A581E">
            <w:pPr>
              <w:jc w:val="center"/>
              <w:rPr>
                <w:rFonts w:ascii="Arial" w:hAnsi="Arial" w:cs="Arial"/>
              </w:rPr>
            </w:pPr>
          </w:p>
        </w:tc>
        <w:tc>
          <w:tcPr>
            <w:tcW w:w="4860" w:type="dxa"/>
            <w:gridSpan w:val="3"/>
          </w:tcPr>
          <w:p w:rsidR="001A581E" w:rsidRPr="001A581E" w:rsidRDefault="00F904AC">
            <w:pPr>
              <w:jc w:val="center"/>
              <w:rPr>
                <w:rFonts w:ascii="Arial" w:hAnsi="Arial" w:cs="Arial"/>
              </w:rPr>
            </w:pPr>
            <w:r>
              <w:rPr>
                <w:rFonts w:ascii="Arial" w:hAnsi="Arial" w:cs="Arial"/>
              </w:rPr>
              <w:t>Secondary</w:t>
            </w: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p>
        </w:tc>
        <w:tc>
          <w:tcPr>
            <w:tcW w:w="1668" w:type="dxa"/>
          </w:tcPr>
          <w:p w:rsidR="001A581E" w:rsidRPr="001A581E" w:rsidRDefault="001A581E">
            <w:pPr>
              <w:jc w:val="center"/>
              <w:rPr>
                <w:rFonts w:ascii="Arial" w:hAnsi="Arial" w:cs="Arial"/>
              </w:rPr>
            </w:pPr>
          </w:p>
        </w:tc>
        <w:tc>
          <w:tcPr>
            <w:tcW w:w="747" w:type="dxa"/>
            <w:gridSpan w:val="2"/>
          </w:tcPr>
          <w:p w:rsidR="001A581E" w:rsidRPr="001A581E" w:rsidRDefault="001A581E">
            <w:pPr>
              <w:jc w:val="center"/>
              <w:rPr>
                <w:rFonts w:ascii="Arial" w:hAnsi="Arial" w:cs="Arial"/>
              </w:rPr>
            </w:pPr>
          </w:p>
        </w:tc>
        <w:tc>
          <w:tcPr>
            <w:tcW w:w="4860" w:type="dxa"/>
            <w:gridSpan w:val="3"/>
          </w:tcPr>
          <w:p w:rsidR="0082334B" w:rsidRDefault="001A581E">
            <w:pPr>
              <w:jc w:val="center"/>
              <w:rPr>
                <w:rFonts w:ascii="Arial" w:hAnsi="Arial" w:cs="Arial"/>
              </w:rPr>
            </w:pPr>
            <w:r>
              <w:rPr>
                <w:rFonts w:ascii="Arial" w:hAnsi="Arial" w:cs="Arial"/>
              </w:rPr>
              <w:t>------------L</w:t>
            </w:r>
            <w:r w:rsidR="00F904AC">
              <w:rPr>
                <w:rFonts w:ascii="Arial" w:hAnsi="Arial" w:cs="Arial"/>
              </w:rPr>
              <w:t>evel</w:t>
            </w:r>
            <w:r>
              <w:rPr>
                <w:rFonts w:ascii="Arial" w:hAnsi="Arial" w:cs="Arial"/>
              </w:rPr>
              <w:t xml:space="preserve"> 5------------</w:t>
            </w: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p>
        </w:tc>
        <w:tc>
          <w:tcPr>
            <w:tcW w:w="1668" w:type="dxa"/>
          </w:tcPr>
          <w:p w:rsidR="001A581E" w:rsidRPr="001A581E" w:rsidRDefault="001A581E">
            <w:pPr>
              <w:jc w:val="center"/>
              <w:rPr>
                <w:rFonts w:ascii="Arial" w:hAnsi="Arial" w:cs="Arial"/>
              </w:rPr>
            </w:pPr>
          </w:p>
        </w:tc>
        <w:tc>
          <w:tcPr>
            <w:tcW w:w="747" w:type="dxa"/>
            <w:gridSpan w:val="2"/>
          </w:tcPr>
          <w:p w:rsidR="001A581E" w:rsidRPr="001A581E" w:rsidRDefault="001A581E">
            <w:pPr>
              <w:jc w:val="center"/>
              <w:rPr>
                <w:rFonts w:ascii="Arial" w:hAnsi="Arial" w:cs="Arial"/>
              </w:rPr>
            </w:pPr>
          </w:p>
        </w:tc>
        <w:tc>
          <w:tcPr>
            <w:tcW w:w="1686" w:type="dxa"/>
          </w:tcPr>
          <w:p w:rsidR="001A581E" w:rsidRPr="001A581E" w:rsidRDefault="001A581E">
            <w:pPr>
              <w:jc w:val="center"/>
              <w:rPr>
                <w:rFonts w:ascii="Arial" w:hAnsi="Arial" w:cs="Arial"/>
              </w:rPr>
            </w:pPr>
            <w:r>
              <w:rPr>
                <w:rFonts w:ascii="Arial" w:hAnsi="Arial" w:cs="Arial"/>
              </w:rPr>
              <w:t>12-31-10</w:t>
            </w:r>
          </w:p>
        </w:tc>
        <w:tc>
          <w:tcPr>
            <w:tcW w:w="1644" w:type="dxa"/>
          </w:tcPr>
          <w:p w:rsidR="001A581E" w:rsidRPr="001A581E" w:rsidRDefault="001A581E">
            <w:pPr>
              <w:jc w:val="center"/>
              <w:rPr>
                <w:rFonts w:ascii="Arial" w:hAnsi="Arial" w:cs="Arial"/>
              </w:rPr>
            </w:pPr>
            <w:r>
              <w:rPr>
                <w:rFonts w:ascii="Arial" w:hAnsi="Arial" w:cs="Arial"/>
              </w:rPr>
              <w:t>Customer-</w:t>
            </w:r>
          </w:p>
        </w:tc>
        <w:tc>
          <w:tcPr>
            <w:tcW w:w="1530" w:type="dxa"/>
          </w:tcPr>
          <w:p w:rsidR="001A581E" w:rsidRPr="001A581E" w:rsidRDefault="001A581E">
            <w:pPr>
              <w:jc w:val="center"/>
              <w:rPr>
                <w:rFonts w:ascii="Arial" w:hAnsi="Arial" w:cs="Arial"/>
              </w:rPr>
            </w:pPr>
            <w:r>
              <w:rPr>
                <w:rFonts w:ascii="Arial" w:hAnsi="Arial" w:cs="Arial"/>
              </w:rPr>
              <w:t>Demand-</w:t>
            </w: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p>
        </w:tc>
        <w:tc>
          <w:tcPr>
            <w:tcW w:w="1668" w:type="dxa"/>
          </w:tcPr>
          <w:p w:rsidR="001A581E" w:rsidRPr="001A581E" w:rsidRDefault="001A581E">
            <w:pPr>
              <w:jc w:val="center"/>
              <w:rPr>
                <w:rFonts w:ascii="Arial" w:hAnsi="Arial" w:cs="Arial"/>
              </w:rPr>
            </w:pPr>
          </w:p>
        </w:tc>
        <w:tc>
          <w:tcPr>
            <w:tcW w:w="747" w:type="dxa"/>
            <w:gridSpan w:val="2"/>
          </w:tcPr>
          <w:p w:rsidR="001A581E" w:rsidRPr="001A581E" w:rsidRDefault="001A581E">
            <w:pPr>
              <w:jc w:val="center"/>
              <w:rPr>
                <w:rFonts w:ascii="Arial" w:hAnsi="Arial" w:cs="Arial"/>
              </w:rPr>
            </w:pPr>
          </w:p>
        </w:tc>
        <w:tc>
          <w:tcPr>
            <w:tcW w:w="1686" w:type="dxa"/>
          </w:tcPr>
          <w:p w:rsidR="001A581E" w:rsidRPr="001A581E" w:rsidRDefault="001A581E">
            <w:pPr>
              <w:jc w:val="center"/>
              <w:rPr>
                <w:rFonts w:ascii="Arial" w:hAnsi="Arial" w:cs="Arial"/>
              </w:rPr>
            </w:pPr>
            <w:r>
              <w:rPr>
                <w:rFonts w:ascii="Arial" w:hAnsi="Arial" w:cs="Arial"/>
              </w:rPr>
              <w:t>Total</w:t>
            </w:r>
          </w:p>
        </w:tc>
        <w:tc>
          <w:tcPr>
            <w:tcW w:w="1644" w:type="dxa"/>
          </w:tcPr>
          <w:p w:rsidR="001A581E" w:rsidRPr="001A581E" w:rsidRDefault="001A581E">
            <w:pPr>
              <w:jc w:val="center"/>
              <w:rPr>
                <w:rFonts w:ascii="Arial" w:hAnsi="Arial" w:cs="Arial"/>
              </w:rPr>
            </w:pPr>
            <w:r>
              <w:rPr>
                <w:rFonts w:ascii="Arial" w:hAnsi="Arial" w:cs="Arial"/>
              </w:rPr>
              <w:t>Related</w:t>
            </w:r>
          </w:p>
        </w:tc>
        <w:tc>
          <w:tcPr>
            <w:tcW w:w="1530" w:type="dxa"/>
          </w:tcPr>
          <w:p w:rsidR="001A581E" w:rsidRPr="001A581E" w:rsidRDefault="001A581E">
            <w:pPr>
              <w:jc w:val="center"/>
              <w:rPr>
                <w:rFonts w:ascii="Arial" w:hAnsi="Arial" w:cs="Arial"/>
              </w:rPr>
            </w:pPr>
            <w:r>
              <w:rPr>
                <w:rFonts w:ascii="Arial" w:hAnsi="Arial" w:cs="Arial"/>
              </w:rPr>
              <w:t>Related</w:t>
            </w:r>
          </w:p>
        </w:tc>
        <w:tc>
          <w:tcPr>
            <w:tcW w:w="990" w:type="dxa"/>
          </w:tcPr>
          <w:p w:rsidR="001A581E" w:rsidRPr="001A581E" w:rsidRDefault="001A581E">
            <w:pPr>
              <w:jc w:val="center"/>
              <w:rPr>
                <w:rFonts w:ascii="Arial" w:hAnsi="Arial" w:cs="Arial"/>
              </w:rPr>
            </w:pPr>
            <w:r>
              <w:rPr>
                <w:rFonts w:ascii="Arial" w:hAnsi="Arial" w:cs="Arial"/>
              </w:rPr>
              <w:t>Notes</w:t>
            </w:r>
          </w:p>
        </w:tc>
      </w:tr>
      <w:tr w:rsidR="00F904AC" w:rsidTr="00F904AC">
        <w:tc>
          <w:tcPr>
            <w:tcW w:w="843" w:type="dxa"/>
          </w:tcPr>
          <w:p w:rsidR="001A581E" w:rsidRPr="001A581E" w:rsidRDefault="001A581E">
            <w:pPr>
              <w:jc w:val="center"/>
              <w:rPr>
                <w:rFonts w:ascii="Arial" w:hAnsi="Arial" w:cs="Arial"/>
              </w:rPr>
            </w:pPr>
          </w:p>
        </w:tc>
        <w:tc>
          <w:tcPr>
            <w:tcW w:w="1668" w:type="dxa"/>
          </w:tcPr>
          <w:p w:rsidR="001A581E" w:rsidRPr="001A581E" w:rsidRDefault="001A581E">
            <w:pPr>
              <w:jc w:val="center"/>
              <w:rPr>
                <w:rFonts w:ascii="Arial" w:hAnsi="Arial" w:cs="Arial"/>
              </w:rPr>
            </w:pPr>
          </w:p>
        </w:tc>
        <w:tc>
          <w:tcPr>
            <w:tcW w:w="747" w:type="dxa"/>
            <w:gridSpan w:val="2"/>
          </w:tcPr>
          <w:p w:rsidR="001A581E" w:rsidRPr="001A581E" w:rsidRDefault="001A581E">
            <w:pPr>
              <w:jc w:val="center"/>
              <w:rPr>
                <w:rFonts w:ascii="Arial" w:hAnsi="Arial" w:cs="Arial"/>
              </w:rPr>
            </w:pPr>
          </w:p>
        </w:tc>
        <w:tc>
          <w:tcPr>
            <w:tcW w:w="1686" w:type="dxa"/>
            <w:tcBorders>
              <w:bottom w:val="single" w:sz="4" w:space="0" w:color="auto"/>
            </w:tcBorders>
          </w:tcPr>
          <w:p w:rsidR="001A581E" w:rsidRPr="001A581E" w:rsidRDefault="001A581E">
            <w:pPr>
              <w:jc w:val="center"/>
              <w:rPr>
                <w:rFonts w:ascii="Arial" w:hAnsi="Arial" w:cs="Arial"/>
              </w:rPr>
            </w:pPr>
            <w:r>
              <w:rPr>
                <w:rFonts w:ascii="Arial" w:hAnsi="Arial" w:cs="Arial"/>
              </w:rPr>
              <w:t>All Costs</w:t>
            </w:r>
          </w:p>
        </w:tc>
        <w:tc>
          <w:tcPr>
            <w:tcW w:w="1644" w:type="dxa"/>
            <w:tcBorders>
              <w:bottom w:val="single" w:sz="4" w:space="0" w:color="auto"/>
            </w:tcBorders>
          </w:tcPr>
          <w:p w:rsidR="001A581E" w:rsidRPr="001A581E" w:rsidRDefault="001A581E">
            <w:pPr>
              <w:jc w:val="center"/>
              <w:rPr>
                <w:rFonts w:ascii="Arial" w:hAnsi="Arial" w:cs="Arial"/>
              </w:rPr>
            </w:pPr>
            <w:r>
              <w:rPr>
                <w:rFonts w:ascii="Arial" w:hAnsi="Arial" w:cs="Arial"/>
              </w:rPr>
              <w:t>Component</w:t>
            </w:r>
          </w:p>
        </w:tc>
        <w:tc>
          <w:tcPr>
            <w:tcW w:w="1530" w:type="dxa"/>
            <w:tcBorders>
              <w:bottom w:val="single" w:sz="4" w:space="0" w:color="auto"/>
            </w:tcBorders>
          </w:tcPr>
          <w:p w:rsidR="001A581E" w:rsidRPr="001A581E" w:rsidRDefault="001A581E">
            <w:pPr>
              <w:jc w:val="center"/>
              <w:rPr>
                <w:rFonts w:ascii="Arial" w:hAnsi="Arial" w:cs="Arial"/>
              </w:rPr>
            </w:pPr>
            <w:r>
              <w:rPr>
                <w:rFonts w:ascii="Arial" w:hAnsi="Arial" w:cs="Arial"/>
              </w:rPr>
              <w:t>Component</w:t>
            </w: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p>
        </w:tc>
        <w:tc>
          <w:tcPr>
            <w:tcW w:w="1668" w:type="dxa"/>
          </w:tcPr>
          <w:p w:rsidR="001A581E" w:rsidRPr="001A581E" w:rsidRDefault="001A581E">
            <w:pPr>
              <w:jc w:val="center"/>
              <w:rPr>
                <w:rFonts w:ascii="Arial" w:hAnsi="Arial" w:cs="Arial"/>
              </w:rPr>
            </w:pPr>
          </w:p>
        </w:tc>
        <w:tc>
          <w:tcPr>
            <w:tcW w:w="747" w:type="dxa"/>
            <w:gridSpan w:val="2"/>
          </w:tcPr>
          <w:p w:rsidR="001A581E" w:rsidRPr="001A581E" w:rsidRDefault="001A581E">
            <w:pPr>
              <w:jc w:val="center"/>
              <w:rPr>
                <w:rFonts w:ascii="Arial" w:hAnsi="Arial" w:cs="Arial"/>
              </w:rPr>
            </w:pPr>
          </w:p>
        </w:tc>
        <w:tc>
          <w:tcPr>
            <w:tcW w:w="1686" w:type="dxa"/>
            <w:tcBorders>
              <w:top w:val="single" w:sz="4" w:space="0" w:color="auto"/>
            </w:tcBorders>
          </w:tcPr>
          <w:p w:rsidR="001A581E" w:rsidRPr="001A581E" w:rsidRDefault="001A581E">
            <w:pPr>
              <w:jc w:val="center"/>
              <w:rPr>
                <w:rFonts w:ascii="Arial" w:hAnsi="Arial" w:cs="Arial"/>
              </w:rPr>
            </w:pPr>
          </w:p>
        </w:tc>
        <w:tc>
          <w:tcPr>
            <w:tcW w:w="1644" w:type="dxa"/>
            <w:tcBorders>
              <w:top w:val="single" w:sz="4" w:space="0" w:color="auto"/>
            </w:tcBorders>
          </w:tcPr>
          <w:p w:rsidR="001A581E" w:rsidRPr="001A581E" w:rsidRDefault="001A581E">
            <w:pPr>
              <w:jc w:val="center"/>
              <w:rPr>
                <w:rFonts w:ascii="Arial" w:hAnsi="Arial" w:cs="Arial"/>
              </w:rPr>
            </w:pPr>
          </w:p>
        </w:tc>
        <w:tc>
          <w:tcPr>
            <w:tcW w:w="1530" w:type="dxa"/>
            <w:tcBorders>
              <w:top w:val="single" w:sz="4" w:space="0" w:color="auto"/>
            </w:tcBorders>
          </w:tcPr>
          <w:p w:rsidR="001A581E" w:rsidRPr="001A581E" w:rsidRDefault="001A581E">
            <w:pPr>
              <w:jc w:val="center"/>
              <w:rPr>
                <w:rFonts w:ascii="Arial" w:hAnsi="Arial" w:cs="Arial"/>
              </w:rPr>
            </w:pP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r>
              <w:rPr>
                <w:rFonts w:ascii="Arial" w:hAnsi="Arial" w:cs="Arial"/>
              </w:rPr>
              <w:t>1.</w:t>
            </w:r>
          </w:p>
        </w:tc>
        <w:tc>
          <w:tcPr>
            <w:tcW w:w="2415" w:type="dxa"/>
            <w:gridSpan w:val="3"/>
          </w:tcPr>
          <w:p w:rsidR="007C45DD" w:rsidRDefault="00F904AC" w:rsidP="007C45DD">
            <w:pPr>
              <w:rPr>
                <w:rFonts w:ascii="Arial" w:hAnsi="Arial" w:cs="Arial"/>
              </w:rPr>
            </w:pPr>
            <w:r>
              <w:rPr>
                <w:rFonts w:ascii="Arial" w:hAnsi="Arial" w:cs="Arial"/>
              </w:rPr>
              <w:t xml:space="preserve"> </w:t>
            </w:r>
            <w:r w:rsidR="001A581E">
              <w:rPr>
                <w:rFonts w:ascii="Arial" w:hAnsi="Arial" w:cs="Arial"/>
              </w:rPr>
              <w:t>All Services</w:t>
            </w:r>
          </w:p>
        </w:tc>
        <w:tc>
          <w:tcPr>
            <w:tcW w:w="1686" w:type="dxa"/>
            <w:tcBorders>
              <w:bottom w:val="single" w:sz="4" w:space="0" w:color="auto"/>
            </w:tcBorders>
          </w:tcPr>
          <w:p w:rsidR="001A581E" w:rsidRPr="001A581E" w:rsidRDefault="001A581E">
            <w:pPr>
              <w:jc w:val="center"/>
              <w:rPr>
                <w:rFonts w:ascii="Arial" w:hAnsi="Arial" w:cs="Arial"/>
              </w:rPr>
            </w:pPr>
            <w:r>
              <w:rPr>
                <w:rFonts w:ascii="Arial" w:hAnsi="Arial" w:cs="Arial"/>
              </w:rPr>
              <w:t>93,066,265</w:t>
            </w:r>
          </w:p>
        </w:tc>
        <w:tc>
          <w:tcPr>
            <w:tcW w:w="1644" w:type="dxa"/>
            <w:tcBorders>
              <w:bottom w:val="single" w:sz="4" w:space="0" w:color="auto"/>
            </w:tcBorders>
          </w:tcPr>
          <w:p w:rsidR="001A581E" w:rsidRPr="001A581E" w:rsidRDefault="001A581E">
            <w:pPr>
              <w:jc w:val="center"/>
              <w:rPr>
                <w:rFonts w:ascii="Arial" w:hAnsi="Arial" w:cs="Arial"/>
              </w:rPr>
            </w:pPr>
            <w:r>
              <w:rPr>
                <w:rFonts w:ascii="Arial" w:hAnsi="Arial" w:cs="Arial"/>
              </w:rPr>
              <w:t>93,066,265</w:t>
            </w:r>
          </w:p>
        </w:tc>
        <w:tc>
          <w:tcPr>
            <w:tcW w:w="1530" w:type="dxa"/>
            <w:tcBorders>
              <w:bottom w:val="single" w:sz="4" w:space="0" w:color="auto"/>
            </w:tcBorders>
          </w:tcPr>
          <w:p w:rsidR="001A581E" w:rsidRPr="001A581E" w:rsidRDefault="001A581E">
            <w:pPr>
              <w:jc w:val="center"/>
              <w:rPr>
                <w:rFonts w:ascii="Arial" w:hAnsi="Arial" w:cs="Arial"/>
              </w:rPr>
            </w:pPr>
            <w:r>
              <w:rPr>
                <w:rFonts w:ascii="Arial" w:hAnsi="Arial" w:cs="Arial"/>
              </w:rPr>
              <w:t>-</w:t>
            </w:r>
          </w:p>
        </w:tc>
        <w:tc>
          <w:tcPr>
            <w:tcW w:w="990" w:type="dxa"/>
          </w:tcPr>
          <w:p w:rsidR="001A581E" w:rsidRPr="001A581E" w:rsidRDefault="001A581E">
            <w:pPr>
              <w:jc w:val="center"/>
              <w:rPr>
                <w:rFonts w:ascii="Arial" w:hAnsi="Arial" w:cs="Arial"/>
              </w:rPr>
            </w:pPr>
            <w:r>
              <w:rPr>
                <w:rFonts w:ascii="Arial" w:hAnsi="Arial" w:cs="Arial"/>
              </w:rPr>
              <w:t>(A)</w:t>
            </w:r>
          </w:p>
        </w:tc>
      </w:tr>
      <w:tr w:rsidR="00F904AC" w:rsidTr="00F904AC">
        <w:tc>
          <w:tcPr>
            <w:tcW w:w="843" w:type="dxa"/>
          </w:tcPr>
          <w:p w:rsidR="001A581E" w:rsidRPr="001A581E" w:rsidRDefault="001A581E">
            <w:pPr>
              <w:jc w:val="center"/>
              <w:rPr>
                <w:rFonts w:ascii="Arial" w:hAnsi="Arial" w:cs="Arial"/>
              </w:rPr>
            </w:pPr>
          </w:p>
        </w:tc>
        <w:tc>
          <w:tcPr>
            <w:tcW w:w="2003" w:type="dxa"/>
            <w:gridSpan w:val="2"/>
          </w:tcPr>
          <w:p w:rsidR="001A581E" w:rsidRPr="001A581E" w:rsidRDefault="001A581E">
            <w:pPr>
              <w:jc w:val="center"/>
              <w:rPr>
                <w:rFonts w:ascii="Arial" w:hAnsi="Arial" w:cs="Arial"/>
              </w:rPr>
            </w:pPr>
          </w:p>
        </w:tc>
        <w:tc>
          <w:tcPr>
            <w:tcW w:w="412" w:type="dxa"/>
          </w:tcPr>
          <w:p w:rsidR="001A581E" w:rsidRPr="001A581E" w:rsidRDefault="001A581E">
            <w:pPr>
              <w:jc w:val="center"/>
              <w:rPr>
                <w:rFonts w:ascii="Arial" w:hAnsi="Arial" w:cs="Arial"/>
              </w:rPr>
            </w:pPr>
          </w:p>
        </w:tc>
        <w:tc>
          <w:tcPr>
            <w:tcW w:w="1686" w:type="dxa"/>
          </w:tcPr>
          <w:p w:rsidR="001A581E" w:rsidRPr="001A581E" w:rsidRDefault="001A581E">
            <w:pPr>
              <w:jc w:val="center"/>
              <w:rPr>
                <w:rFonts w:ascii="Arial" w:hAnsi="Arial" w:cs="Arial"/>
              </w:rPr>
            </w:pPr>
          </w:p>
        </w:tc>
        <w:tc>
          <w:tcPr>
            <w:tcW w:w="1644" w:type="dxa"/>
            <w:tcBorders>
              <w:top w:val="single" w:sz="4" w:space="0" w:color="auto"/>
            </w:tcBorders>
          </w:tcPr>
          <w:p w:rsidR="001A581E" w:rsidRPr="001A581E" w:rsidRDefault="001A581E">
            <w:pPr>
              <w:jc w:val="center"/>
              <w:rPr>
                <w:rFonts w:ascii="Arial" w:hAnsi="Arial" w:cs="Arial"/>
              </w:rPr>
            </w:pPr>
          </w:p>
        </w:tc>
        <w:tc>
          <w:tcPr>
            <w:tcW w:w="1530" w:type="dxa"/>
            <w:tcBorders>
              <w:top w:val="single" w:sz="4" w:space="0" w:color="auto"/>
            </w:tcBorders>
          </w:tcPr>
          <w:p w:rsidR="001A581E" w:rsidRPr="001A581E" w:rsidRDefault="001A581E">
            <w:pPr>
              <w:jc w:val="center"/>
              <w:rPr>
                <w:rFonts w:ascii="Arial" w:hAnsi="Arial" w:cs="Arial"/>
              </w:rPr>
            </w:pP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r>
              <w:rPr>
                <w:rFonts w:ascii="Arial" w:hAnsi="Arial" w:cs="Arial"/>
              </w:rPr>
              <w:t>2.</w:t>
            </w:r>
          </w:p>
        </w:tc>
        <w:tc>
          <w:tcPr>
            <w:tcW w:w="2415" w:type="dxa"/>
            <w:gridSpan w:val="3"/>
          </w:tcPr>
          <w:p w:rsidR="007C45DD" w:rsidRDefault="00F904AC" w:rsidP="007C45DD">
            <w:pPr>
              <w:rPr>
                <w:rFonts w:ascii="Arial" w:hAnsi="Arial" w:cs="Arial"/>
              </w:rPr>
            </w:pPr>
            <w:r>
              <w:rPr>
                <w:rFonts w:ascii="Arial" w:hAnsi="Arial" w:cs="Arial"/>
              </w:rPr>
              <w:t xml:space="preserve"> </w:t>
            </w:r>
            <w:r w:rsidR="001A581E">
              <w:rPr>
                <w:rFonts w:ascii="Arial" w:hAnsi="Arial" w:cs="Arial"/>
              </w:rPr>
              <w:t>Total Account 369</w:t>
            </w:r>
          </w:p>
        </w:tc>
        <w:tc>
          <w:tcPr>
            <w:tcW w:w="1686" w:type="dxa"/>
            <w:tcBorders>
              <w:bottom w:val="single" w:sz="4" w:space="0" w:color="auto"/>
            </w:tcBorders>
          </w:tcPr>
          <w:p w:rsidR="001A581E" w:rsidRPr="001A581E" w:rsidRDefault="001A581E">
            <w:pPr>
              <w:jc w:val="center"/>
              <w:rPr>
                <w:rFonts w:ascii="Arial" w:hAnsi="Arial" w:cs="Arial"/>
              </w:rPr>
            </w:pPr>
            <w:r>
              <w:rPr>
                <w:rFonts w:ascii="Arial" w:hAnsi="Arial" w:cs="Arial"/>
              </w:rPr>
              <w:t>93,066,265</w:t>
            </w:r>
          </w:p>
        </w:tc>
        <w:tc>
          <w:tcPr>
            <w:tcW w:w="1644" w:type="dxa"/>
            <w:tcBorders>
              <w:bottom w:val="single" w:sz="4" w:space="0" w:color="auto"/>
            </w:tcBorders>
          </w:tcPr>
          <w:p w:rsidR="0082334B" w:rsidRDefault="001A581E">
            <w:pPr>
              <w:jc w:val="center"/>
              <w:rPr>
                <w:rFonts w:ascii="Arial" w:hAnsi="Arial" w:cs="Arial"/>
              </w:rPr>
            </w:pPr>
            <w:r>
              <w:rPr>
                <w:rFonts w:ascii="Arial" w:hAnsi="Arial" w:cs="Arial"/>
              </w:rPr>
              <w:t>93</w:t>
            </w:r>
            <w:r w:rsidR="00F904AC">
              <w:rPr>
                <w:rFonts w:ascii="Arial" w:hAnsi="Arial" w:cs="Arial"/>
              </w:rPr>
              <w:t>,</w:t>
            </w:r>
            <w:r>
              <w:rPr>
                <w:rFonts w:ascii="Arial" w:hAnsi="Arial" w:cs="Arial"/>
              </w:rPr>
              <w:t>066</w:t>
            </w:r>
            <w:r w:rsidR="00F904AC">
              <w:rPr>
                <w:rFonts w:ascii="Arial" w:hAnsi="Arial" w:cs="Arial"/>
              </w:rPr>
              <w:t>,</w:t>
            </w:r>
            <w:r>
              <w:rPr>
                <w:rFonts w:ascii="Arial" w:hAnsi="Arial" w:cs="Arial"/>
              </w:rPr>
              <w:t>265</w:t>
            </w:r>
          </w:p>
        </w:tc>
        <w:tc>
          <w:tcPr>
            <w:tcW w:w="1530" w:type="dxa"/>
            <w:tcBorders>
              <w:bottom w:val="single" w:sz="4" w:space="0" w:color="auto"/>
            </w:tcBorders>
          </w:tcPr>
          <w:p w:rsidR="001A581E" w:rsidRPr="001A581E" w:rsidRDefault="00F904AC">
            <w:pPr>
              <w:jc w:val="center"/>
              <w:rPr>
                <w:rFonts w:ascii="Arial" w:hAnsi="Arial" w:cs="Arial"/>
              </w:rPr>
            </w:pPr>
            <w:r>
              <w:rPr>
                <w:rFonts w:ascii="Arial" w:hAnsi="Arial" w:cs="Arial"/>
              </w:rPr>
              <w:t>-</w:t>
            </w:r>
          </w:p>
        </w:tc>
        <w:tc>
          <w:tcPr>
            <w:tcW w:w="990" w:type="dxa"/>
          </w:tcPr>
          <w:p w:rsidR="001A581E" w:rsidRPr="001A581E" w:rsidRDefault="001A581E">
            <w:pPr>
              <w:jc w:val="center"/>
              <w:rPr>
                <w:rFonts w:ascii="Arial" w:hAnsi="Arial" w:cs="Arial"/>
              </w:rPr>
            </w:pPr>
          </w:p>
        </w:tc>
      </w:tr>
      <w:tr w:rsidR="00F904AC" w:rsidTr="00F904AC">
        <w:tc>
          <w:tcPr>
            <w:tcW w:w="843" w:type="dxa"/>
          </w:tcPr>
          <w:p w:rsidR="001A581E" w:rsidRPr="001A581E" w:rsidRDefault="001A581E">
            <w:pPr>
              <w:jc w:val="center"/>
              <w:rPr>
                <w:rFonts w:ascii="Arial" w:hAnsi="Arial" w:cs="Arial"/>
              </w:rPr>
            </w:pPr>
          </w:p>
        </w:tc>
        <w:tc>
          <w:tcPr>
            <w:tcW w:w="2003" w:type="dxa"/>
            <w:gridSpan w:val="2"/>
          </w:tcPr>
          <w:p w:rsidR="001A581E" w:rsidRPr="001A581E" w:rsidRDefault="001A581E">
            <w:pPr>
              <w:jc w:val="center"/>
              <w:rPr>
                <w:rFonts w:ascii="Arial" w:hAnsi="Arial" w:cs="Arial"/>
              </w:rPr>
            </w:pPr>
          </w:p>
        </w:tc>
        <w:tc>
          <w:tcPr>
            <w:tcW w:w="412" w:type="dxa"/>
          </w:tcPr>
          <w:p w:rsidR="001A581E" w:rsidRPr="001A581E" w:rsidRDefault="001A581E">
            <w:pPr>
              <w:jc w:val="center"/>
              <w:rPr>
                <w:rFonts w:ascii="Arial" w:hAnsi="Arial" w:cs="Arial"/>
              </w:rPr>
            </w:pPr>
          </w:p>
        </w:tc>
        <w:tc>
          <w:tcPr>
            <w:tcW w:w="1686" w:type="dxa"/>
          </w:tcPr>
          <w:p w:rsidR="001A581E" w:rsidRPr="001A581E" w:rsidRDefault="001A581E">
            <w:pPr>
              <w:jc w:val="center"/>
              <w:rPr>
                <w:rFonts w:ascii="Arial" w:hAnsi="Arial" w:cs="Arial"/>
              </w:rPr>
            </w:pPr>
          </w:p>
        </w:tc>
        <w:tc>
          <w:tcPr>
            <w:tcW w:w="1644" w:type="dxa"/>
            <w:tcBorders>
              <w:top w:val="single" w:sz="4" w:space="0" w:color="auto"/>
            </w:tcBorders>
          </w:tcPr>
          <w:p w:rsidR="001A581E" w:rsidRPr="001A581E" w:rsidRDefault="001A581E">
            <w:pPr>
              <w:jc w:val="center"/>
              <w:rPr>
                <w:rFonts w:ascii="Arial" w:hAnsi="Arial" w:cs="Arial"/>
              </w:rPr>
            </w:pPr>
          </w:p>
        </w:tc>
        <w:tc>
          <w:tcPr>
            <w:tcW w:w="1530" w:type="dxa"/>
            <w:tcBorders>
              <w:top w:val="single" w:sz="4" w:space="0" w:color="auto"/>
            </w:tcBorders>
          </w:tcPr>
          <w:p w:rsidR="001A581E" w:rsidRPr="001A581E" w:rsidRDefault="001A581E">
            <w:pPr>
              <w:jc w:val="center"/>
              <w:rPr>
                <w:rFonts w:ascii="Arial" w:hAnsi="Arial" w:cs="Arial"/>
              </w:rPr>
            </w:pPr>
          </w:p>
        </w:tc>
        <w:tc>
          <w:tcPr>
            <w:tcW w:w="990" w:type="dxa"/>
          </w:tcPr>
          <w:p w:rsidR="001A581E" w:rsidRPr="001A581E" w:rsidRDefault="001A581E">
            <w:pPr>
              <w:jc w:val="center"/>
              <w:rPr>
                <w:rFonts w:ascii="Arial" w:hAnsi="Arial" w:cs="Arial"/>
              </w:rPr>
            </w:pPr>
          </w:p>
        </w:tc>
      </w:tr>
      <w:tr w:rsidR="00F904AC" w:rsidTr="00F904AC">
        <w:tc>
          <w:tcPr>
            <w:tcW w:w="843" w:type="dxa"/>
          </w:tcPr>
          <w:p w:rsidR="00F904AC" w:rsidRPr="001A581E" w:rsidRDefault="00F904AC">
            <w:pPr>
              <w:jc w:val="center"/>
              <w:rPr>
                <w:rFonts w:ascii="Arial" w:hAnsi="Arial" w:cs="Arial"/>
              </w:rPr>
            </w:pPr>
            <w:r>
              <w:rPr>
                <w:rFonts w:ascii="Arial" w:hAnsi="Arial" w:cs="Arial"/>
              </w:rPr>
              <w:t>3.</w:t>
            </w:r>
          </w:p>
        </w:tc>
        <w:tc>
          <w:tcPr>
            <w:tcW w:w="2003" w:type="dxa"/>
            <w:gridSpan w:val="2"/>
          </w:tcPr>
          <w:p w:rsidR="007C45DD" w:rsidRDefault="00F904AC" w:rsidP="007C45DD">
            <w:pPr>
              <w:rPr>
                <w:rFonts w:ascii="Arial" w:hAnsi="Arial" w:cs="Arial"/>
              </w:rPr>
            </w:pPr>
            <w:r>
              <w:rPr>
                <w:rFonts w:ascii="Arial" w:hAnsi="Arial" w:cs="Arial"/>
              </w:rPr>
              <w:t xml:space="preserve"> Percentages</w:t>
            </w:r>
          </w:p>
        </w:tc>
        <w:tc>
          <w:tcPr>
            <w:tcW w:w="412" w:type="dxa"/>
          </w:tcPr>
          <w:p w:rsidR="00F904AC" w:rsidRPr="001A581E" w:rsidRDefault="00F904AC">
            <w:pPr>
              <w:jc w:val="center"/>
              <w:rPr>
                <w:rFonts w:ascii="Arial" w:hAnsi="Arial" w:cs="Arial"/>
              </w:rPr>
            </w:pPr>
          </w:p>
        </w:tc>
        <w:tc>
          <w:tcPr>
            <w:tcW w:w="1686" w:type="dxa"/>
          </w:tcPr>
          <w:p w:rsidR="00F904AC" w:rsidRPr="001A581E" w:rsidRDefault="00F904AC">
            <w:pPr>
              <w:jc w:val="center"/>
              <w:rPr>
                <w:rFonts w:ascii="Arial" w:hAnsi="Arial" w:cs="Arial"/>
              </w:rPr>
            </w:pPr>
          </w:p>
        </w:tc>
        <w:tc>
          <w:tcPr>
            <w:tcW w:w="1644" w:type="dxa"/>
          </w:tcPr>
          <w:p w:rsidR="00F904AC" w:rsidRPr="001A581E" w:rsidRDefault="00F904AC">
            <w:pPr>
              <w:jc w:val="center"/>
              <w:rPr>
                <w:rFonts w:ascii="Arial" w:hAnsi="Arial" w:cs="Arial"/>
              </w:rPr>
            </w:pPr>
            <w:r>
              <w:rPr>
                <w:rFonts w:ascii="Arial" w:hAnsi="Arial" w:cs="Arial"/>
              </w:rPr>
              <w:t>100%</w:t>
            </w:r>
          </w:p>
        </w:tc>
        <w:tc>
          <w:tcPr>
            <w:tcW w:w="1530" w:type="dxa"/>
          </w:tcPr>
          <w:p w:rsidR="00F904AC" w:rsidRPr="001A581E" w:rsidRDefault="00F904AC">
            <w:pPr>
              <w:jc w:val="center"/>
              <w:rPr>
                <w:rFonts w:ascii="Arial" w:hAnsi="Arial" w:cs="Arial"/>
              </w:rPr>
            </w:pPr>
          </w:p>
        </w:tc>
        <w:tc>
          <w:tcPr>
            <w:tcW w:w="990" w:type="dxa"/>
          </w:tcPr>
          <w:p w:rsidR="00F904AC" w:rsidRPr="001A581E" w:rsidRDefault="00F904AC">
            <w:pPr>
              <w:jc w:val="center"/>
              <w:rPr>
                <w:rFonts w:ascii="Arial" w:hAnsi="Arial" w:cs="Arial"/>
              </w:rPr>
            </w:pPr>
          </w:p>
        </w:tc>
      </w:tr>
      <w:tr w:rsidR="00F904AC" w:rsidTr="00F904AC">
        <w:tc>
          <w:tcPr>
            <w:tcW w:w="843" w:type="dxa"/>
          </w:tcPr>
          <w:p w:rsidR="00F904AC" w:rsidRDefault="00F904AC">
            <w:pPr>
              <w:jc w:val="center"/>
              <w:rPr>
                <w:rFonts w:ascii="Arial" w:hAnsi="Arial" w:cs="Arial"/>
              </w:rPr>
            </w:pPr>
          </w:p>
        </w:tc>
        <w:tc>
          <w:tcPr>
            <w:tcW w:w="2003" w:type="dxa"/>
            <w:gridSpan w:val="2"/>
          </w:tcPr>
          <w:p w:rsidR="00F904AC" w:rsidRDefault="00F904AC" w:rsidP="00F904AC">
            <w:pPr>
              <w:rPr>
                <w:rFonts w:ascii="Arial" w:hAnsi="Arial" w:cs="Arial"/>
              </w:rPr>
            </w:pPr>
          </w:p>
        </w:tc>
        <w:tc>
          <w:tcPr>
            <w:tcW w:w="412" w:type="dxa"/>
          </w:tcPr>
          <w:p w:rsidR="00F904AC" w:rsidRPr="001A581E" w:rsidRDefault="00F904AC">
            <w:pPr>
              <w:jc w:val="center"/>
              <w:rPr>
                <w:rFonts w:ascii="Arial" w:hAnsi="Arial" w:cs="Arial"/>
              </w:rPr>
            </w:pPr>
          </w:p>
        </w:tc>
        <w:tc>
          <w:tcPr>
            <w:tcW w:w="1686" w:type="dxa"/>
          </w:tcPr>
          <w:p w:rsidR="00F904AC" w:rsidRPr="001A581E" w:rsidRDefault="00F904AC">
            <w:pPr>
              <w:jc w:val="center"/>
              <w:rPr>
                <w:rFonts w:ascii="Arial" w:hAnsi="Arial" w:cs="Arial"/>
              </w:rPr>
            </w:pPr>
          </w:p>
        </w:tc>
        <w:tc>
          <w:tcPr>
            <w:tcW w:w="1644" w:type="dxa"/>
          </w:tcPr>
          <w:p w:rsidR="00F904AC" w:rsidRDefault="00F904AC">
            <w:pPr>
              <w:jc w:val="center"/>
              <w:rPr>
                <w:rFonts w:ascii="Arial" w:hAnsi="Arial" w:cs="Arial"/>
              </w:rPr>
            </w:pPr>
          </w:p>
        </w:tc>
        <w:tc>
          <w:tcPr>
            <w:tcW w:w="1530" w:type="dxa"/>
          </w:tcPr>
          <w:p w:rsidR="00F904AC" w:rsidRPr="001A581E" w:rsidRDefault="00F904AC">
            <w:pPr>
              <w:jc w:val="center"/>
              <w:rPr>
                <w:rFonts w:ascii="Arial" w:hAnsi="Arial" w:cs="Arial"/>
              </w:rPr>
            </w:pPr>
          </w:p>
        </w:tc>
        <w:tc>
          <w:tcPr>
            <w:tcW w:w="990" w:type="dxa"/>
          </w:tcPr>
          <w:p w:rsidR="00F904AC" w:rsidRPr="001A581E" w:rsidRDefault="00F904AC">
            <w:pPr>
              <w:jc w:val="center"/>
              <w:rPr>
                <w:rFonts w:ascii="Arial" w:hAnsi="Arial" w:cs="Arial"/>
              </w:rPr>
            </w:pPr>
          </w:p>
        </w:tc>
      </w:tr>
      <w:tr w:rsidR="00F904AC" w:rsidTr="00F904AC">
        <w:tc>
          <w:tcPr>
            <w:tcW w:w="843" w:type="dxa"/>
          </w:tcPr>
          <w:p w:rsidR="00F904AC" w:rsidRDefault="00F904AC">
            <w:pPr>
              <w:jc w:val="center"/>
              <w:rPr>
                <w:rFonts w:ascii="Arial" w:hAnsi="Arial" w:cs="Arial"/>
              </w:rPr>
            </w:pPr>
            <w:r>
              <w:rPr>
                <w:rFonts w:ascii="Arial" w:hAnsi="Arial" w:cs="Arial"/>
              </w:rPr>
              <w:t>Notes</w:t>
            </w:r>
          </w:p>
        </w:tc>
        <w:tc>
          <w:tcPr>
            <w:tcW w:w="2003" w:type="dxa"/>
            <w:gridSpan w:val="2"/>
          </w:tcPr>
          <w:p w:rsidR="00F904AC" w:rsidRDefault="00F904AC" w:rsidP="00F904AC">
            <w:pPr>
              <w:rPr>
                <w:rFonts w:ascii="Arial" w:hAnsi="Arial" w:cs="Arial"/>
              </w:rPr>
            </w:pPr>
          </w:p>
        </w:tc>
        <w:tc>
          <w:tcPr>
            <w:tcW w:w="412" w:type="dxa"/>
          </w:tcPr>
          <w:p w:rsidR="00F904AC" w:rsidRPr="001A581E" w:rsidRDefault="00F904AC">
            <w:pPr>
              <w:jc w:val="center"/>
              <w:rPr>
                <w:rFonts w:ascii="Arial" w:hAnsi="Arial" w:cs="Arial"/>
              </w:rPr>
            </w:pPr>
          </w:p>
        </w:tc>
        <w:tc>
          <w:tcPr>
            <w:tcW w:w="1686" w:type="dxa"/>
          </w:tcPr>
          <w:p w:rsidR="00F904AC" w:rsidRPr="001A581E" w:rsidRDefault="00F904AC">
            <w:pPr>
              <w:jc w:val="center"/>
              <w:rPr>
                <w:rFonts w:ascii="Arial" w:hAnsi="Arial" w:cs="Arial"/>
              </w:rPr>
            </w:pPr>
          </w:p>
        </w:tc>
        <w:tc>
          <w:tcPr>
            <w:tcW w:w="1644" w:type="dxa"/>
          </w:tcPr>
          <w:p w:rsidR="00F904AC" w:rsidRDefault="00F904AC">
            <w:pPr>
              <w:jc w:val="center"/>
              <w:rPr>
                <w:rFonts w:ascii="Arial" w:hAnsi="Arial" w:cs="Arial"/>
              </w:rPr>
            </w:pPr>
          </w:p>
        </w:tc>
        <w:tc>
          <w:tcPr>
            <w:tcW w:w="1530" w:type="dxa"/>
          </w:tcPr>
          <w:p w:rsidR="00F904AC" w:rsidRPr="001A581E" w:rsidRDefault="00F904AC">
            <w:pPr>
              <w:jc w:val="center"/>
              <w:rPr>
                <w:rFonts w:ascii="Arial" w:hAnsi="Arial" w:cs="Arial"/>
              </w:rPr>
            </w:pPr>
          </w:p>
        </w:tc>
        <w:tc>
          <w:tcPr>
            <w:tcW w:w="990" w:type="dxa"/>
          </w:tcPr>
          <w:p w:rsidR="00F904AC" w:rsidRPr="001A581E" w:rsidRDefault="00F904AC">
            <w:pPr>
              <w:jc w:val="center"/>
              <w:rPr>
                <w:rFonts w:ascii="Arial" w:hAnsi="Arial" w:cs="Arial"/>
              </w:rPr>
            </w:pPr>
          </w:p>
        </w:tc>
      </w:tr>
      <w:tr w:rsidR="00F904AC" w:rsidTr="00F904AC">
        <w:tc>
          <w:tcPr>
            <w:tcW w:w="843" w:type="dxa"/>
          </w:tcPr>
          <w:p w:rsidR="00F904AC" w:rsidRDefault="00F904AC">
            <w:pPr>
              <w:jc w:val="center"/>
              <w:rPr>
                <w:rFonts w:ascii="Arial" w:hAnsi="Arial" w:cs="Arial"/>
              </w:rPr>
            </w:pPr>
            <w:r>
              <w:rPr>
                <w:rFonts w:ascii="Arial" w:hAnsi="Arial" w:cs="Arial"/>
              </w:rPr>
              <w:t>(A)</w:t>
            </w:r>
          </w:p>
        </w:tc>
        <w:tc>
          <w:tcPr>
            <w:tcW w:w="8265" w:type="dxa"/>
            <w:gridSpan w:val="7"/>
          </w:tcPr>
          <w:p w:rsidR="007C45DD" w:rsidRDefault="00F904AC" w:rsidP="007C45DD">
            <w:pPr>
              <w:rPr>
                <w:rFonts w:ascii="Arial" w:hAnsi="Arial" w:cs="Arial"/>
              </w:rPr>
            </w:pPr>
            <w:r>
              <w:rPr>
                <w:rFonts w:ascii="Arial" w:hAnsi="Arial" w:cs="Arial"/>
              </w:rPr>
              <w:t xml:space="preserve">Assigned to Secondary Level 5 Customer-Related </w:t>
            </w:r>
            <w:proofErr w:type="gramStart"/>
            <w:r>
              <w:rPr>
                <w:rFonts w:ascii="Arial" w:hAnsi="Arial" w:cs="Arial"/>
              </w:rPr>
              <w:t>Component</w:t>
            </w:r>
            <w:proofErr w:type="gramEnd"/>
            <w:r>
              <w:rPr>
                <w:rFonts w:ascii="Arial" w:hAnsi="Arial" w:cs="Arial"/>
              </w:rPr>
              <w:t>.</w:t>
            </w:r>
          </w:p>
        </w:tc>
      </w:tr>
    </w:tbl>
    <w:p w:rsidR="007C45DD" w:rsidRPr="007C45DD" w:rsidRDefault="007C45DD" w:rsidP="007C45DD">
      <w:pPr>
        <w:jc w:val="center"/>
        <w:rPr>
          <w:rFonts w:ascii="Arial" w:hAnsi="Arial" w:cs="Arial"/>
          <w:sz w:val="12"/>
          <w:szCs w:val="12"/>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014918" w:rsidRDefault="00014918">
      <w:pPr>
        <w:jc w:val="center"/>
        <w:rPr>
          <w:rFonts w:ascii="Arial" w:hAnsi="Arial" w:cs="Arial"/>
        </w:rPr>
        <w:sectPr w:rsidR="00014918" w:rsidSect="00747722">
          <w:headerReference w:type="default" r:id="rId31"/>
          <w:pgSz w:w="12240" w:h="15840" w:code="1"/>
          <w:pgMar w:top="1728" w:right="1440" w:bottom="1728" w:left="1800" w:header="432" w:footer="432" w:gutter="0"/>
          <w:pgNumType w:start="1"/>
          <w:cols w:space="720"/>
          <w:docGrid w:linePitch="326"/>
        </w:sectPr>
      </w:pPr>
    </w:p>
    <w:p w:rsidR="00F904AC" w:rsidRDefault="00F904AC" w:rsidP="00F904AC">
      <w:pPr>
        <w:jc w:val="center"/>
        <w:rPr>
          <w:rFonts w:ascii="Arial" w:hAnsi="Arial" w:cs="Arial"/>
        </w:rPr>
      </w:pPr>
    </w:p>
    <w:p w:rsidR="00F904AC" w:rsidRDefault="00F904AC" w:rsidP="00F904AC">
      <w:pPr>
        <w:jc w:val="center"/>
        <w:rPr>
          <w:rFonts w:ascii="Arial" w:hAnsi="Arial" w:cs="Arial"/>
        </w:rPr>
      </w:pPr>
    </w:p>
    <w:p w:rsidR="00F904AC" w:rsidRPr="00C97CF6" w:rsidRDefault="00F904AC" w:rsidP="00F904AC">
      <w:pPr>
        <w:jc w:val="center"/>
        <w:rPr>
          <w:rFonts w:ascii="Arial" w:hAnsi="Arial" w:cs="Arial"/>
        </w:rPr>
      </w:pPr>
      <w:r>
        <w:rPr>
          <w:rFonts w:ascii="Arial" w:hAnsi="Arial" w:cs="Arial"/>
        </w:rPr>
        <w:t>Gulf Power Company</w:t>
      </w:r>
    </w:p>
    <w:p w:rsidR="00F904AC" w:rsidRDefault="00F904AC" w:rsidP="00F904AC">
      <w:pPr>
        <w:jc w:val="center"/>
        <w:rPr>
          <w:rFonts w:ascii="Arial" w:hAnsi="Arial" w:cs="Arial"/>
        </w:rPr>
      </w:pPr>
      <w:r>
        <w:rPr>
          <w:rFonts w:ascii="Arial" w:hAnsi="Arial" w:cs="Arial"/>
        </w:rPr>
        <w:t>Twelve Months Ended 12/31/10</w:t>
      </w:r>
    </w:p>
    <w:p w:rsidR="00F904AC" w:rsidRDefault="00CC7795" w:rsidP="00F904AC">
      <w:pPr>
        <w:jc w:val="center"/>
        <w:rPr>
          <w:rFonts w:ascii="Arial" w:hAnsi="Arial" w:cs="Arial"/>
        </w:rPr>
      </w:pPr>
      <w:r>
        <w:rPr>
          <w:rFonts w:ascii="Arial" w:hAnsi="Arial" w:cs="Arial"/>
        </w:rPr>
        <w:t>Minimum Distribution System</w:t>
      </w:r>
    </w:p>
    <w:p w:rsidR="00F904AC" w:rsidRDefault="00F904AC" w:rsidP="00F904AC">
      <w:pPr>
        <w:jc w:val="center"/>
        <w:rPr>
          <w:rFonts w:ascii="Arial" w:hAnsi="Arial" w:cs="Arial"/>
        </w:rPr>
      </w:pPr>
      <w:r>
        <w:rPr>
          <w:rFonts w:ascii="Arial" w:hAnsi="Arial" w:cs="Arial"/>
        </w:rPr>
        <w:t>Account 370 - Meters Analysis (Mass Account)</w:t>
      </w:r>
    </w:p>
    <w:p w:rsidR="00F904AC" w:rsidRDefault="00F904AC" w:rsidP="00F904AC">
      <w:pPr>
        <w:jc w:val="center"/>
        <w:rPr>
          <w:rFonts w:ascii="Arial" w:hAnsi="Arial" w:cs="Arial"/>
        </w:rPr>
      </w:pPr>
      <w:r>
        <w:rPr>
          <w:rFonts w:ascii="Arial" w:hAnsi="Arial" w:cs="Arial"/>
        </w:rPr>
        <w:t>Schedule 6.9</w:t>
      </w:r>
    </w:p>
    <w:p w:rsidR="00F904AC" w:rsidRPr="001A581E" w:rsidRDefault="00F904AC" w:rsidP="00F904AC">
      <w:pPr>
        <w:jc w:val="center"/>
        <w:rPr>
          <w:rFonts w:ascii="Arial" w:hAnsi="Arial" w:cs="Arial"/>
          <w:sz w:val="12"/>
          <w:szCs w:val="12"/>
        </w:rPr>
      </w:pPr>
    </w:p>
    <w:p w:rsidR="00F904AC" w:rsidRDefault="00F904AC" w:rsidP="00F904AC">
      <w:pPr>
        <w:jc w:val="center"/>
        <w:rPr>
          <w:rFonts w:ascii="Arial" w:hAnsi="Arial" w:cs="Arial"/>
        </w:rPr>
      </w:pPr>
    </w:p>
    <w:p w:rsidR="00F904AC" w:rsidRDefault="00F904AC" w:rsidP="00F904AC">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3"/>
        <w:gridCol w:w="1668"/>
        <w:gridCol w:w="335"/>
        <w:gridCol w:w="412"/>
        <w:gridCol w:w="1686"/>
        <w:gridCol w:w="1644"/>
        <w:gridCol w:w="1530"/>
        <w:gridCol w:w="990"/>
      </w:tblGrid>
      <w:tr w:rsidR="00F904AC" w:rsidTr="0082334B">
        <w:tc>
          <w:tcPr>
            <w:tcW w:w="843" w:type="dxa"/>
          </w:tcPr>
          <w:p w:rsidR="00F904AC" w:rsidRPr="001A581E" w:rsidRDefault="00F904AC" w:rsidP="0082334B">
            <w:pPr>
              <w:jc w:val="center"/>
              <w:rPr>
                <w:rFonts w:ascii="Arial" w:hAnsi="Arial" w:cs="Arial"/>
              </w:rPr>
            </w:pPr>
          </w:p>
        </w:tc>
        <w:tc>
          <w:tcPr>
            <w:tcW w:w="1668" w:type="dxa"/>
          </w:tcPr>
          <w:p w:rsidR="00F904AC" w:rsidRPr="001A581E" w:rsidRDefault="00F904AC" w:rsidP="0082334B">
            <w:pPr>
              <w:jc w:val="center"/>
              <w:rPr>
                <w:rFonts w:ascii="Arial" w:hAnsi="Arial" w:cs="Arial"/>
              </w:rPr>
            </w:pPr>
          </w:p>
        </w:tc>
        <w:tc>
          <w:tcPr>
            <w:tcW w:w="747" w:type="dxa"/>
            <w:gridSpan w:val="2"/>
          </w:tcPr>
          <w:p w:rsidR="00F904AC" w:rsidRPr="001A581E" w:rsidRDefault="00F904AC" w:rsidP="0082334B">
            <w:pPr>
              <w:jc w:val="center"/>
              <w:rPr>
                <w:rFonts w:ascii="Arial" w:hAnsi="Arial" w:cs="Arial"/>
              </w:rPr>
            </w:pPr>
          </w:p>
        </w:tc>
        <w:tc>
          <w:tcPr>
            <w:tcW w:w="4860" w:type="dxa"/>
            <w:gridSpan w:val="3"/>
          </w:tcPr>
          <w:p w:rsidR="00F904AC" w:rsidRPr="001A581E" w:rsidRDefault="00F904AC" w:rsidP="0082334B">
            <w:pPr>
              <w:jc w:val="center"/>
              <w:rPr>
                <w:rFonts w:ascii="Arial" w:hAnsi="Arial" w:cs="Arial"/>
              </w:rPr>
            </w:pPr>
            <w:r>
              <w:rPr>
                <w:rFonts w:ascii="Arial" w:hAnsi="Arial" w:cs="Arial"/>
              </w:rPr>
              <w:t>Secondary</w:t>
            </w: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p>
        </w:tc>
        <w:tc>
          <w:tcPr>
            <w:tcW w:w="1668" w:type="dxa"/>
          </w:tcPr>
          <w:p w:rsidR="00F904AC" w:rsidRPr="001A581E" w:rsidRDefault="00F904AC" w:rsidP="0082334B">
            <w:pPr>
              <w:jc w:val="center"/>
              <w:rPr>
                <w:rFonts w:ascii="Arial" w:hAnsi="Arial" w:cs="Arial"/>
              </w:rPr>
            </w:pPr>
          </w:p>
        </w:tc>
        <w:tc>
          <w:tcPr>
            <w:tcW w:w="747" w:type="dxa"/>
            <w:gridSpan w:val="2"/>
          </w:tcPr>
          <w:p w:rsidR="00F904AC" w:rsidRPr="001A581E" w:rsidRDefault="00F904AC" w:rsidP="0082334B">
            <w:pPr>
              <w:jc w:val="center"/>
              <w:rPr>
                <w:rFonts w:ascii="Arial" w:hAnsi="Arial" w:cs="Arial"/>
              </w:rPr>
            </w:pPr>
          </w:p>
        </w:tc>
        <w:tc>
          <w:tcPr>
            <w:tcW w:w="4860" w:type="dxa"/>
            <w:gridSpan w:val="3"/>
          </w:tcPr>
          <w:p w:rsidR="00F904AC" w:rsidRPr="001A581E" w:rsidRDefault="00F904AC" w:rsidP="0082334B">
            <w:pPr>
              <w:jc w:val="center"/>
              <w:rPr>
                <w:rFonts w:ascii="Arial" w:hAnsi="Arial" w:cs="Arial"/>
              </w:rPr>
            </w:pPr>
            <w:r>
              <w:rPr>
                <w:rFonts w:ascii="Arial" w:hAnsi="Arial" w:cs="Arial"/>
              </w:rPr>
              <w:t>------------Level 5------------</w:t>
            </w: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p>
        </w:tc>
        <w:tc>
          <w:tcPr>
            <w:tcW w:w="1668" w:type="dxa"/>
          </w:tcPr>
          <w:p w:rsidR="00F904AC" w:rsidRPr="001A581E" w:rsidRDefault="00F904AC" w:rsidP="0082334B">
            <w:pPr>
              <w:jc w:val="center"/>
              <w:rPr>
                <w:rFonts w:ascii="Arial" w:hAnsi="Arial" w:cs="Arial"/>
              </w:rPr>
            </w:pPr>
          </w:p>
        </w:tc>
        <w:tc>
          <w:tcPr>
            <w:tcW w:w="747" w:type="dxa"/>
            <w:gridSpan w:val="2"/>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r>
              <w:rPr>
                <w:rFonts w:ascii="Arial" w:hAnsi="Arial" w:cs="Arial"/>
              </w:rPr>
              <w:t>12-31-10</w:t>
            </w:r>
          </w:p>
        </w:tc>
        <w:tc>
          <w:tcPr>
            <w:tcW w:w="1644" w:type="dxa"/>
          </w:tcPr>
          <w:p w:rsidR="00F904AC" w:rsidRPr="001A581E" w:rsidRDefault="00F904AC" w:rsidP="0082334B">
            <w:pPr>
              <w:jc w:val="center"/>
              <w:rPr>
                <w:rFonts w:ascii="Arial" w:hAnsi="Arial" w:cs="Arial"/>
              </w:rPr>
            </w:pPr>
            <w:r>
              <w:rPr>
                <w:rFonts w:ascii="Arial" w:hAnsi="Arial" w:cs="Arial"/>
              </w:rPr>
              <w:t>Customer-</w:t>
            </w:r>
          </w:p>
        </w:tc>
        <w:tc>
          <w:tcPr>
            <w:tcW w:w="1530" w:type="dxa"/>
          </w:tcPr>
          <w:p w:rsidR="00F904AC" w:rsidRPr="001A581E" w:rsidRDefault="00F904AC" w:rsidP="0082334B">
            <w:pPr>
              <w:jc w:val="center"/>
              <w:rPr>
                <w:rFonts w:ascii="Arial" w:hAnsi="Arial" w:cs="Arial"/>
              </w:rPr>
            </w:pPr>
            <w:r>
              <w:rPr>
                <w:rFonts w:ascii="Arial" w:hAnsi="Arial" w:cs="Arial"/>
              </w:rPr>
              <w:t>Demand-</w:t>
            </w: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p>
        </w:tc>
        <w:tc>
          <w:tcPr>
            <w:tcW w:w="1668" w:type="dxa"/>
          </w:tcPr>
          <w:p w:rsidR="00F904AC" w:rsidRPr="001A581E" w:rsidRDefault="00F904AC" w:rsidP="0082334B">
            <w:pPr>
              <w:jc w:val="center"/>
              <w:rPr>
                <w:rFonts w:ascii="Arial" w:hAnsi="Arial" w:cs="Arial"/>
              </w:rPr>
            </w:pPr>
          </w:p>
        </w:tc>
        <w:tc>
          <w:tcPr>
            <w:tcW w:w="747" w:type="dxa"/>
            <w:gridSpan w:val="2"/>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r>
              <w:rPr>
                <w:rFonts w:ascii="Arial" w:hAnsi="Arial" w:cs="Arial"/>
              </w:rPr>
              <w:t>Total</w:t>
            </w:r>
          </w:p>
        </w:tc>
        <w:tc>
          <w:tcPr>
            <w:tcW w:w="1644" w:type="dxa"/>
          </w:tcPr>
          <w:p w:rsidR="00F904AC" w:rsidRPr="001A581E" w:rsidRDefault="00F904AC" w:rsidP="0082334B">
            <w:pPr>
              <w:jc w:val="center"/>
              <w:rPr>
                <w:rFonts w:ascii="Arial" w:hAnsi="Arial" w:cs="Arial"/>
              </w:rPr>
            </w:pPr>
            <w:r>
              <w:rPr>
                <w:rFonts w:ascii="Arial" w:hAnsi="Arial" w:cs="Arial"/>
              </w:rPr>
              <w:t>Related</w:t>
            </w:r>
          </w:p>
        </w:tc>
        <w:tc>
          <w:tcPr>
            <w:tcW w:w="1530" w:type="dxa"/>
          </w:tcPr>
          <w:p w:rsidR="00F904AC" w:rsidRPr="001A581E" w:rsidRDefault="00F904AC" w:rsidP="0082334B">
            <w:pPr>
              <w:jc w:val="center"/>
              <w:rPr>
                <w:rFonts w:ascii="Arial" w:hAnsi="Arial" w:cs="Arial"/>
              </w:rPr>
            </w:pPr>
            <w:r>
              <w:rPr>
                <w:rFonts w:ascii="Arial" w:hAnsi="Arial" w:cs="Arial"/>
              </w:rPr>
              <w:t>Related</w:t>
            </w:r>
          </w:p>
        </w:tc>
        <w:tc>
          <w:tcPr>
            <w:tcW w:w="990" w:type="dxa"/>
          </w:tcPr>
          <w:p w:rsidR="00F904AC" w:rsidRPr="001A581E" w:rsidRDefault="00F904AC" w:rsidP="0082334B">
            <w:pPr>
              <w:jc w:val="center"/>
              <w:rPr>
                <w:rFonts w:ascii="Arial" w:hAnsi="Arial" w:cs="Arial"/>
              </w:rPr>
            </w:pPr>
            <w:r>
              <w:rPr>
                <w:rFonts w:ascii="Arial" w:hAnsi="Arial" w:cs="Arial"/>
              </w:rPr>
              <w:t>Notes</w:t>
            </w:r>
          </w:p>
        </w:tc>
      </w:tr>
      <w:tr w:rsidR="00F904AC" w:rsidTr="0082334B">
        <w:tc>
          <w:tcPr>
            <w:tcW w:w="843" w:type="dxa"/>
          </w:tcPr>
          <w:p w:rsidR="00F904AC" w:rsidRPr="001A581E" w:rsidRDefault="00F904AC" w:rsidP="0082334B">
            <w:pPr>
              <w:jc w:val="center"/>
              <w:rPr>
                <w:rFonts w:ascii="Arial" w:hAnsi="Arial" w:cs="Arial"/>
              </w:rPr>
            </w:pPr>
          </w:p>
        </w:tc>
        <w:tc>
          <w:tcPr>
            <w:tcW w:w="1668" w:type="dxa"/>
          </w:tcPr>
          <w:p w:rsidR="00F904AC" w:rsidRPr="001A581E" w:rsidRDefault="00F904AC" w:rsidP="0082334B">
            <w:pPr>
              <w:jc w:val="center"/>
              <w:rPr>
                <w:rFonts w:ascii="Arial" w:hAnsi="Arial" w:cs="Arial"/>
              </w:rPr>
            </w:pPr>
          </w:p>
        </w:tc>
        <w:tc>
          <w:tcPr>
            <w:tcW w:w="747" w:type="dxa"/>
            <w:gridSpan w:val="2"/>
          </w:tcPr>
          <w:p w:rsidR="00F904AC" w:rsidRPr="001A581E" w:rsidRDefault="00F904AC" w:rsidP="0082334B">
            <w:pPr>
              <w:jc w:val="center"/>
              <w:rPr>
                <w:rFonts w:ascii="Arial" w:hAnsi="Arial" w:cs="Arial"/>
              </w:rPr>
            </w:pPr>
          </w:p>
        </w:tc>
        <w:tc>
          <w:tcPr>
            <w:tcW w:w="1686"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All Costs</w:t>
            </w:r>
          </w:p>
        </w:tc>
        <w:tc>
          <w:tcPr>
            <w:tcW w:w="1644"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Component</w:t>
            </w:r>
          </w:p>
        </w:tc>
        <w:tc>
          <w:tcPr>
            <w:tcW w:w="1530"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Component</w:t>
            </w: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p>
        </w:tc>
        <w:tc>
          <w:tcPr>
            <w:tcW w:w="1668" w:type="dxa"/>
          </w:tcPr>
          <w:p w:rsidR="00F904AC" w:rsidRPr="001A581E" w:rsidRDefault="00F904AC" w:rsidP="0082334B">
            <w:pPr>
              <w:jc w:val="center"/>
              <w:rPr>
                <w:rFonts w:ascii="Arial" w:hAnsi="Arial" w:cs="Arial"/>
              </w:rPr>
            </w:pPr>
          </w:p>
        </w:tc>
        <w:tc>
          <w:tcPr>
            <w:tcW w:w="747" w:type="dxa"/>
            <w:gridSpan w:val="2"/>
          </w:tcPr>
          <w:p w:rsidR="00F904AC" w:rsidRPr="001A581E" w:rsidRDefault="00F904AC" w:rsidP="0082334B">
            <w:pPr>
              <w:jc w:val="center"/>
              <w:rPr>
                <w:rFonts w:ascii="Arial" w:hAnsi="Arial" w:cs="Arial"/>
              </w:rPr>
            </w:pPr>
          </w:p>
        </w:tc>
        <w:tc>
          <w:tcPr>
            <w:tcW w:w="1686" w:type="dxa"/>
            <w:tcBorders>
              <w:top w:val="single" w:sz="4" w:space="0" w:color="auto"/>
            </w:tcBorders>
          </w:tcPr>
          <w:p w:rsidR="00F904AC" w:rsidRPr="001A581E" w:rsidRDefault="00F904AC" w:rsidP="0082334B">
            <w:pPr>
              <w:jc w:val="center"/>
              <w:rPr>
                <w:rFonts w:ascii="Arial" w:hAnsi="Arial" w:cs="Arial"/>
              </w:rPr>
            </w:pPr>
          </w:p>
        </w:tc>
        <w:tc>
          <w:tcPr>
            <w:tcW w:w="1644" w:type="dxa"/>
            <w:tcBorders>
              <w:top w:val="single" w:sz="4" w:space="0" w:color="auto"/>
            </w:tcBorders>
          </w:tcPr>
          <w:p w:rsidR="00F904AC" w:rsidRPr="001A581E" w:rsidRDefault="00F904AC" w:rsidP="0082334B">
            <w:pPr>
              <w:jc w:val="center"/>
              <w:rPr>
                <w:rFonts w:ascii="Arial" w:hAnsi="Arial" w:cs="Arial"/>
              </w:rPr>
            </w:pPr>
          </w:p>
        </w:tc>
        <w:tc>
          <w:tcPr>
            <w:tcW w:w="1530" w:type="dxa"/>
            <w:tcBorders>
              <w:top w:val="single" w:sz="4" w:space="0" w:color="auto"/>
            </w:tcBorders>
          </w:tcPr>
          <w:p w:rsidR="00F904AC" w:rsidRPr="001A581E" w:rsidRDefault="00F904AC" w:rsidP="0082334B">
            <w:pPr>
              <w:jc w:val="center"/>
              <w:rPr>
                <w:rFonts w:ascii="Arial" w:hAnsi="Arial" w:cs="Arial"/>
              </w:rPr>
            </w:pP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r>
              <w:rPr>
                <w:rFonts w:ascii="Arial" w:hAnsi="Arial" w:cs="Arial"/>
              </w:rPr>
              <w:t>1.</w:t>
            </w:r>
          </w:p>
        </w:tc>
        <w:tc>
          <w:tcPr>
            <w:tcW w:w="2415" w:type="dxa"/>
            <w:gridSpan w:val="3"/>
          </w:tcPr>
          <w:p w:rsidR="0082334B" w:rsidRDefault="00F904AC">
            <w:pPr>
              <w:rPr>
                <w:rFonts w:ascii="Arial" w:hAnsi="Arial" w:cs="Arial"/>
              </w:rPr>
            </w:pPr>
            <w:r>
              <w:rPr>
                <w:rFonts w:ascii="Arial" w:hAnsi="Arial" w:cs="Arial"/>
              </w:rPr>
              <w:t xml:space="preserve"> All Meters</w:t>
            </w:r>
          </w:p>
        </w:tc>
        <w:tc>
          <w:tcPr>
            <w:tcW w:w="1686"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57,547,263</w:t>
            </w:r>
          </w:p>
        </w:tc>
        <w:tc>
          <w:tcPr>
            <w:tcW w:w="1644"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57,547,263</w:t>
            </w:r>
          </w:p>
        </w:tc>
        <w:tc>
          <w:tcPr>
            <w:tcW w:w="1530"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w:t>
            </w:r>
          </w:p>
        </w:tc>
        <w:tc>
          <w:tcPr>
            <w:tcW w:w="990" w:type="dxa"/>
          </w:tcPr>
          <w:p w:rsidR="00F904AC" w:rsidRPr="001A581E" w:rsidRDefault="00F904AC" w:rsidP="0082334B">
            <w:pPr>
              <w:jc w:val="center"/>
              <w:rPr>
                <w:rFonts w:ascii="Arial" w:hAnsi="Arial" w:cs="Arial"/>
              </w:rPr>
            </w:pPr>
            <w:r>
              <w:rPr>
                <w:rFonts w:ascii="Arial" w:hAnsi="Arial" w:cs="Arial"/>
              </w:rPr>
              <w:t>(A)</w:t>
            </w:r>
          </w:p>
        </w:tc>
      </w:tr>
      <w:tr w:rsidR="00F904AC" w:rsidTr="0082334B">
        <w:tc>
          <w:tcPr>
            <w:tcW w:w="843" w:type="dxa"/>
          </w:tcPr>
          <w:p w:rsidR="00F904AC" w:rsidRPr="001A581E" w:rsidRDefault="00F904AC" w:rsidP="0082334B">
            <w:pPr>
              <w:jc w:val="center"/>
              <w:rPr>
                <w:rFonts w:ascii="Arial" w:hAnsi="Arial" w:cs="Arial"/>
              </w:rPr>
            </w:pPr>
          </w:p>
        </w:tc>
        <w:tc>
          <w:tcPr>
            <w:tcW w:w="2003" w:type="dxa"/>
            <w:gridSpan w:val="2"/>
          </w:tcPr>
          <w:p w:rsidR="00F904AC" w:rsidRPr="001A581E" w:rsidRDefault="00F904AC" w:rsidP="0082334B">
            <w:pPr>
              <w:jc w:val="center"/>
              <w:rPr>
                <w:rFonts w:ascii="Arial" w:hAnsi="Arial" w:cs="Arial"/>
              </w:rPr>
            </w:pPr>
          </w:p>
        </w:tc>
        <w:tc>
          <w:tcPr>
            <w:tcW w:w="412" w:type="dxa"/>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p>
        </w:tc>
        <w:tc>
          <w:tcPr>
            <w:tcW w:w="1644" w:type="dxa"/>
            <w:tcBorders>
              <w:top w:val="single" w:sz="4" w:space="0" w:color="auto"/>
            </w:tcBorders>
          </w:tcPr>
          <w:p w:rsidR="00F904AC" w:rsidRPr="001A581E" w:rsidRDefault="00F904AC" w:rsidP="0082334B">
            <w:pPr>
              <w:jc w:val="center"/>
              <w:rPr>
                <w:rFonts w:ascii="Arial" w:hAnsi="Arial" w:cs="Arial"/>
              </w:rPr>
            </w:pPr>
          </w:p>
        </w:tc>
        <w:tc>
          <w:tcPr>
            <w:tcW w:w="1530" w:type="dxa"/>
            <w:tcBorders>
              <w:top w:val="single" w:sz="4" w:space="0" w:color="auto"/>
            </w:tcBorders>
          </w:tcPr>
          <w:p w:rsidR="00F904AC" w:rsidRPr="001A581E" w:rsidRDefault="00F904AC" w:rsidP="0082334B">
            <w:pPr>
              <w:jc w:val="center"/>
              <w:rPr>
                <w:rFonts w:ascii="Arial" w:hAnsi="Arial" w:cs="Arial"/>
              </w:rPr>
            </w:pP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r>
              <w:rPr>
                <w:rFonts w:ascii="Arial" w:hAnsi="Arial" w:cs="Arial"/>
              </w:rPr>
              <w:t>2.</w:t>
            </w:r>
          </w:p>
        </w:tc>
        <w:tc>
          <w:tcPr>
            <w:tcW w:w="2415" w:type="dxa"/>
            <w:gridSpan w:val="3"/>
          </w:tcPr>
          <w:p w:rsidR="0082334B" w:rsidRDefault="00F904AC">
            <w:pPr>
              <w:rPr>
                <w:rFonts w:ascii="Arial" w:hAnsi="Arial" w:cs="Arial"/>
              </w:rPr>
            </w:pPr>
            <w:r>
              <w:rPr>
                <w:rFonts w:ascii="Arial" w:hAnsi="Arial" w:cs="Arial"/>
              </w:rPr>
              <w:t xml:space="preserve"> Total Account 370</w:t>
            </w:r>
          </w:p>
        </w:tc>
        <w:tc>
          <w:tcPr>
            <w:tcW w:w="1686"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57,547,263</w:t>
            </w:r>
          </w:p>
        </w:tc>
        <w:tc>
          <w:tcPr>
            <w:tcW w:w="1644"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57,547,263</w:t>
            </w:r>
          </w:p>
        </w:tc>
        <w:tc>
          <w:tcPr>
            <w:tcW w:w="1530" w:type="dxa"/>
            <w:tcBorders>
              <w:bottom w:val="single" w:sz="4" w:space="0" w:color="auto"/>
            </w:tcBorders>
          </w:tcPr>
          <w:p w:rsidR="00F904AC" w:rsidRPr="001A581E" w:rsidRDefault="00F904AC" w:rsidP="0082334B">
            <w:pPr>
              <w:jc w:val="center"/>
              <w:rPr>
                <w:rFonts w:ascii="Arial" w:hAnsi="Arial" w:cs="Arial"/>
              </w:rPr>
            </w:pPr>
            <w:r>
              <w:rPr>
                <w:rFonts w:ascii="Arial" w:hAnsi="Arial" w:cs="Arial"/>
              </w:rPr>
              <w:t>-</w:t>
            </w: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p>
        </w:tc>
        <w:tc>
          <w:tcPr>
            <w:tcW w:w="2003" w:type="dxa"/>
            <w:gridSpan w:val="2"/>
          </w:tcPr>
          <w:p w:rsidR="00F904AC" w:rsidRPr="001A581E" w:rsidRDefault="00F904AC" w:rsidP="0082334B">
            <w:pPr>
              <w:jc w:val="center"/>
              <w:rPr>
                <w:rFonts w:ascii="Arial" w:hAnsi="Arial" w:cs="Arial"/>
              </w:rPr>
            </w:pPr>
          </w:p>
        </w:tc>
        <w:tc>
          <w:tcPr>
            <w:tcW w:w="412" w:type="dxa"/>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p>
        </w:tc>
        <w:tc>
          <w:tcPr>
            <w:tcW w:w="1644" w:type="dxa"/>
            <w:tcBorders>
              <w:top w:val="single" w:sz="4" w:space="0" w:color="auto"/>
            </w:tcBorders>
          </w:tcPr>
          <w:p w:rsidR="00F904AC" w:rsidRPr="001A581E" w:rsidRDefault="00F904AC" w:rsidP="0082334B">
            <w:pPr>
              <w:jc w:val="center"/>
              <w:rPr>
                <w:rFonts w:ascii="Arial" w:hAnsi="Arial" w:cs="Arial"/>
              </w:rPr>
            </w:pPr>
          </w:p>
        </w:tc>
        <w:tc>
          <w:tcPr>
            <w:tcW w:w="1530" w:type="dxa"/>
            <w:tcBorders>
              <w:top w:val="single" w:sz="4" w:space="0" w:color="auto"/>
            </w:tcBorders>
          </w:tcPr>
          <w:p w:rsidR="00F904AC" w:rsidRPr="001A581E" w:rsidRDefault="00F904AC" w:rsidP="0082334B">
            <w:pPr>
              <w:jc w:val="center"/>
              <w:rPr>
                <w:rFonts w:ascii="Arial" w:hAnsi="Arial" w:cs="Arial"/>
              </w:rPr>
            </w:pP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Pr="001A581E" w:rsidRDefault="00F904AC" w:rsidP="0082334B">
            <w:pPr>
              <w:jc w:val="center"/>
              <w:rPr>
                <w:rFonts w:ascii="Arial" w:hAnsi="Arial" w:cs="Arial"/>
              </w:rPr>
            </w:pPr>
            <w:r>
              <w:rPr>
                <w:rFonts w:ascii="Arial" w:hAnsi="Arial" w:cs="Arial"/>
              </w:rPr>
              <w:t>3.</w:t>
            </w:r>
          </w:p>
        </w:tc>
        <w:tc>
          <w:tcPr>
            <w:tcW w:w="2003" w:type="dxa"/>
            <w:gridSpan w:val="2"/>
          </w:tcPr>
          <w:p w:rsidR="00F904AC" w:rsidRPr="001A581E" w:rsidRDefault="00F904AC" w:rsidP="0082334B">
            <w:pPr>
              <w:rPr>
                <w:rFonts w:ascii="Arial" w:hAnsi="Arial" w:cs="Arial"/>
              </w:rPr>
            </w:pPr>
            <w:r>
              <w:rPr>
                <w:rFonts w:ascii="Arial" w:hAnsi="Arial" w:cs="Arial"/>
              </w:rPr>
              <w:t xml:space="preserve"> Percentages</w:t>
            </w:r>
          </w:p>
        </w:tc>
        <w:tc>
          <w:tcPr>
            <w:tcW w:w="412" w:type="dxa"/>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p>
        </w:tc>
        <w:tc>
          <w:tcPr>
            <w:tcW w:w="1644" w:type="dxa"/>
          </w:tcPr>
          <w:p w:rsidR="00F904AC" w:rsidRPr="001A581E" w:rsidRDefault="00F904AC" w:rsidP="0082334B">
            <w:pPr>
              <w:jc w:val="center"/>
              <w:rPr>
                <w:rFonts w:ascii="Arial" w:hAnsi="Arial" w:cs="Arial"/>
              </w:rPr>
            </w:pPr>
            <w:r>
              <w:rPr>
                <w:rFonts w:ascii="Arial" w:hAnsi="Arial" w:cs="Arial"/>
              </w:rPr>
              <w:t>100%</w:t>
            </w:r>
          </w:p>
        </w:tc>
        <w:tc>
          <w:tcPr>
            <w:tcW w:w="1530" w:type="dxa"/>
          </w:tcPr>
          <w:p w:rsidR="00F904AC" w:rsidRPr="001A581E" w:rsidRDefault="00F904AC" w:rsidP="0082334B">
            <w:pPr>
              <w:jc w:val="center"/>
              <w:rPr>
                <w:rFonts w:ascii="Arial" w:hAnsi="Arial" w:cs="Arial"/>
              </w:rPr>
            </w:pP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Default="00F904AC" w:rsidP="0082334B">
            <w:pPr>
              <w:jc w:val="center"/>
              <w:rPr>
                <w:rFonts w:ascii="Arial" w:hAnsi="Arial" w:cs="Arial"/>
              </w:rPr>
            </w:pPr>
          </w:p>
        </w:tc>
        <w:tc>
          <w:tcPr>
            <w:tcW w:w="2003" w:type="dxa"/>
            <w:gridSpan w:val="2"/>
          </w:tcPr>
          <w:p w:rsidR="00F904AC" w:rsidRDefault="00F904AC" w:rsidP="0082334B">
            <w:pPr>
              <w:rPr>
                <w:rFonts w:ascii="Arial" w:hAnsi="Arial" w:cs="Arial"/>
              </w:rPr>
            </w:pPr>
          </w:p>
        </w:tc>
        <w:tc>
          <w:tcPr>
            <w:tcW w:w="412" w:type="dxa"/>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p>
        </w:tc>
        <w:tc>
          <w:tcPr>
            <w:tcW w:w="1644" w:type="dxa"/>
          </w:tcPr>
          <w:p w:rsidR="00F904AC" w:rsidRDefault="00F904AC" w:rsidP="0082334B">
            <w:pPr>
              <w:jc w:val="center"/>
              <w:rPr>
                <w:rFonts w:ascii="Arial" w:hAnsi="Arial" w:cs="Arial"/>
              </w:rPr>
            </w:pPr>
          </w:p>
        </w:tc>
        <w:tc>
          <w:tcPr>
            <w:tcW w:w="1530" w:type="dxa"/>
          </w:tcPr>
          <w:p w:rsidR="00F904AC" w:rsidRPr="001A581E" w:rsidRDefault="00F904AC" w:rsidP="0082334B">
            <w:pPr>
              <w:jc w:val="center"/>
              <w:rPr>
                <w:rFonts w:ascii="Arial" w:hAnsi="Arial" w:cs="Arial"/>
              </w:rPr>
            </w:pP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Default="00F904AC" w:rsidP="0082334B">
            <w:pPr>
              <w:jc w:val="center"/>
              <w:rPr>
                <w:rFonts w:ascii="Arial" w:hAnsi="Arial" w:cs="Arial"/>
              </w:rPr>
            </w:pPr>
            <w:r>
              <w:rPr>
                <w:rFonts w:ascii="Arial" w:hAnsi="Arial" w:cs="Arial"/>
              </w:rPr>
              <w:t>Notes</w:t>
            </w:r>
          </w:p>
        </w:tc>
        <w:tc>
          <w:tcPr>
            <w:tcW w:w="2003" w:type="dxa"/>
            <w:gridSpan w:val="2"/>
          </w:tcPr>
          <w:p w:rsidR="00F904AC" w:rsidRDefault="00F904AC" w:rsidP="0082334B">
            <w:pPr>
              <w:rPr>
                <w:rFonts w:ascii="Arial" w:hAnsi="Arial" w:cs="Arial"/>
              </w:rPr>
            </w:pPr>
          </w:p>
        </w:tc>
        <w:tc>
          <w:tcPr>
            <w:tcW w:w="412" w:type="dxa"/>
          </w:tcPr>
          <w:p w:rsidR="00F904AC" w:rsidRPr="001A581E" w:rsidRDefault="00F904AC" w:rsidP="0082334B">
            <w:pPr>
              <w:jc w:val="center"/>
              <w:rPr>
                <w:rFonts w:ascii="Arial" w:hAnsi="Arial" w:cs="Arial"/>
              </w:rPr>
            </w:pPr>
          </w:p>
        </w:tc>
        <w:tc>
          <w:tcPr>
            <w:tcW w:w="1686" w:type="dxa"/>
          </w:tcPr>
          <w:p w:rsidR="00F904AC" w:rsidRPr="001A581E" w:rsidRDefault="00F904AC" w:rsidP="0082334B">
            <w:pPr>
              <w:jc w:val="center"/>
              <w:rPr>
                <w:rFonts w:ascii="Arial" w:hAnsi="Arial" w:cs="Arial"/>
              </w:rPr>
            </w:pPr>
          </w:p>
        </w:tc>
        <w:tc>
          <w:tcPr>
            <w:tcW w:w="1644" w:type="dxa"/>
          </w:tcPr>
          <w:p w:rsidR="00F904AC" w:rsidRDefault="00F904AC" w:rsidP="0082334B">
            <w:pPr>
              <w:jc w:val="center"/>
              <w:rPr>
                <w:rFonts w:ascii="Arial" w:hAnsi="Arial" w:cs="Arial"/>
              </w:rPr>
            </w:pPr>
          </w:p>
        </w:tc>
        <w:tc>
          <w:tcPr>
            <w:tcW w:w="1530" w:type="dxa"/>
          </w:tcPr>
          <w:p w:rsidR="00F904AC" w:rsidRPr="001A581E" w:rsidRDefault="00F904AC" w:rsidP="0082334B">
            <w:pPr>
              <w:jc w:val="center"/>
              <w:rPr>
                <w:rFonts w:ascii="Arial" w:hAnsi="Arial" w:cs="Arial"/>
              </w:rPr>
            </w:pPr>
          </w:p>
        </w:tc>
        <w:tc>
          <w:tcPr>
            <w:tcW w:w="990" w:type="dxa"/>
          </w:tcPr>
          <w:p w:rsidR="00F904AC" w:rsidRPr="001A581E" w:rsidRDefault="00F904AC" w:rsidP="0082334B">
            <w:pPr>
              <w:jc w:val="center"/>
              <w:rPr>
                <w:rFonts w:ascii="Arial" w:hAnsi="Arial" w:cs="Arial"/>
              </w:rPr>
            </w:pPr>
          </w:p>
        </w:tc>
      </w:tr>
      <w:tr w:rsidR="00F904AC" w:rsidTr="0082334B">
        <w:tc>
          <w:tcPr>
            <w:tcW w:w="843" w:type="dxa"/>
          </w:tcPr>
          <w:p w:rsidR="00F904AC" w:rsidRDefault="00F904AC" w:rsidP="0082334B">
            <w:pPr>
              <w:jc w:val="center"/>
              <w:rPr>
                <w:rFonts w:ascii="Arial" w:hAnsi="Arial" w:cs="Arial"/>
              </w:rPr>
            </w:pPr>
            <w:r>
              <w:rPr>
                <w:rFonts w:ascii="Arial" w:hAnsi="Arial" w:cs="Arial"/>
              </w:rPr>
              <w:t>(A)</w:t>
            </w:r>
          </w:p>
        </w:tc>
        <w:tc>
          <w:tcPr>
            <w:tcW w:w="8265" w:type="dxa"/>
            <w:gridSpan w:val="7"/>
          </w:tcPr>
          <w:p w:rsidR="00F904AC" w:rsidRPr="001A581E" w:rsidRDefault="00F904AC" w:rsidP="0082334B">
            <w:pPr>
              <w:rPr>
                <w:rFonts w:ascii="Arial" w:hAnsi="Arial" w:cs="Arial"/>
              </w:rPr>
            </w:pPr>
            <w:r>
              <w:rPr>
                <w:rFonts w:ascii="Arial" w:hAnsi="Arial" w:cs="Arial"/>
              </w:rPr>
              <w:t xml:space="preserve">Assigned to Secondary Level 5 Customer-Related </w:t>
            </w:r>
            <w:proofErr w:type="gramStart"/>
            <w:r>
              <w:rPr>
                <w:rFonts w:ascii="Arial" w:hAnsi="Arial" w:cs="Arial"/>
              </w:rPr>
              <w:t>Component</w:t>
            </w:r>
            <w:proofErr w:type="gramEnd"/>
            <w:r>
              <w:rPr>
                <w:rFonts w:ascii="Arial" w:hAnsi="Arial" w:cs="Arial"/>
              </w:rPr>
              <w:t>.</w:t>
            </w:r>
          </w:p>
        </w:tc>
      </w:tr>
    </w:tbl>
    <w:p w:rsidR="007C45DD" w:rsidRDefault="007C45DD" w:rsidP="007C45DD">
      <w:pPr>
        <w:jc w:val="center"/>
        <w:rPr>
          <w:rFonts w:ascii="Arial" w:hAnsi="Arial" w:cs="Arial"/>
        </w:rPr>
      </w:pPr>
    </w:p>
    <w:p w:rsidR="007C45DD" w:rsidRDefault="007C45DD" w:rsidP="007C45DD">
      <w:pPr>
        <w:jc w:val="center"/>
        <w:rPr>
          <w:rFonts w:ascii="Arial" w:hAnsi="Arial" w:cs="Arial"/>
        </w:rPr>
      </w:pPr>
    </w:p>
    <w:p w:rsidR="007C45DD" w:rsidRPr="007C45DD" w:rsidRDefault="007C45DD" w:rsidP="007C45DD">
      <w:pPr>
        <w:jc w:val="center"/>
        <w:rPr>
          <w:rFonts w:ascii="Arial" w:hAnsi="Arial" w:cs="Arial"/>
        </w:rPr>
      </w:pPr>
    </w:p>
    <w:sectPr w:rsidR="007C45DD" w:rsidRPr="007C45DD" w:rsidSect="00747722">
      <w:headerReference w:type="default" r:id="rId32"/>
      <w:pgSz w:w="12240" w:h="15840" w:code="1"/>
      <w:pgMar w:top="1728" w:right="1440" w:bottom="1728" w:left="1800" w:header="432" w:footer="432"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092" w:rsidRDefault="00E76092" w:rsidP="00551C97">
      <w:r>
        <w:separator/>
      </w:r>
    </w:p>
  </w:endnote>
  <w:endnote w:type="continuationSeparator" w:id="0">
    <w:p w:rsidR="00E76092" w:rsidRDefault="00E76092" w:rsidP="00551C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8B35F1" w:rsidRDefault="00531F13">
    <w:pPr>
      <w:pStyle w:val="Footer"/>
      <w:tabs>
        <w:tab w:val="right" w:pos="8664"/>
      </w:tabs>
      <w:rPr>
        <w:rFonts w:ascii="Arial" w:hAnsi="Arial"/>
        <w:sz w:val="22"/>
      </w:rPr>
    </w:pPr>
    <w:r w:rsidRPr="008B35F1">
      <w:rPr>
        <w:rFonts w:ascii="Arial" w:hAnsi="Arial"/>
        <w:sz w:val="22"/>
      </w:rPr>
      <w:t xml:space="preserve">Docket No. </w:t>
    </w:r>
    <w:r>
      <w:rPr>
        <w:rFonts w:ascii="Arial" w:hAnsi="Arial"/>
        <w:sz w:val="22"/>
      </w:rPr>
      <w:t>110138</w:t>
    </w:r>
    <w:r w:rsidRPr="008B35F1">
      <w:rPr>
        <w:rFonts w:ascii="Arial" w:hAnsi="Arial"/>
        <w:sz w:val="22"/>
      </w:rPr>
      <w:t>- EI</w:t>
    </w:r>
    <w:r w:rsidRPr="008B35F1">
      <w:rPr>
        <w:rFonts w:ascii="Arial" w:hAnsi="Arial"/>
        <w:sz w:val="22"/>
      </w:rPr>
      <w:tab/>
      <w:t xml:space="preserve">Page </w:t>
    </w:r>
    <w:r w:rsidRPr="009975C2">
      <w:rPr>
        <w:rFonts w:ascii="Arial" w:hAnsi="Arial" w:cs="Arial"/>
        <w:sz w:val="22"/>
      </w:rPr>
      <w:fldChar w:fldCharType="begin"/>
    </w:r>
    <w:r w:rsidRPr="009975C2">
      <w:rPr>
        <w:rFonts w:ascii="Arial" w:hAnsi="Arial" w:cs="Arial"/>
        <w:sz w:val="22"/>
      </w:rPr>
      <w:instrText xml:space="preserve"> PAGE  \* MERGEFORMAT </w:instrText>
    </w:r>
    <w:r w:rsidRPr="009975C2">
      <w:rPr>
        <w:rFonts w:ascii="Arial" w:hAnsi="Arial" w:cs="Arial"/>
        <w:sz w:val="22"/>
      </w:rPr>
      <w:fldChar w:fldCharType="separate"/>
    </w:r>
    <w:r w:rsidR="00917998">
      <w:rPr>
        <w:rFonts w:ascii="Arial" w:hAnsi="Arial" w:cs="Arial"/>
        <w:noProof/>
        <w:sz w:val="22"/>
      </w:rPr>
      <w:t>29</w:t>
    </w:r>
    <w:r w:rsidRPr="009975C2">
      <w:rPr>
        <w:rFonts w:ascii="Arial" w:hAnsi="Arial" w:cs="Arial"/>
        <w:sz w:val="22"/>
      </w:rPr>
      <w:fldChar w:fldCharType="end"/>
    </w:r>
    <w:r w:rsidRPr="008B35F1">
      <w:rPr>
        <w:rFonts w:ascii="Arial" w:hAnsi="Arial"/>
        <w:sz w:val="22"/>
      </w:rPr>
      <w:tab/>
      <w:t>Witness:  M. T. O'Sheasy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897826" w:rsidRDefault="00531F13" w:rsidP="008978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092" w:rsidRDefault="00E76092" w:rsidP="00551C97">
      <w:r>
        <w:separator/>
      </w:r>
    </w:p>
  </w:footnote>
  <w:footnote w:type="continuationSeparator" w:id="0">
    <w:p w:rsidR="00E76092" w:rsidRDefault="00E76092" w:rsidP="00551C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Default="00531F1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6.5</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6.6</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6.7</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2</w:t>
    </w:r>
  </w:p>
  <w:p w:rsidR="00531F13" w:rsidRDefault="00531F13">
    <w:pPr>
      <w:pStyle w:val="Header"/>
      <w:ind w:right="-50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6.8</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6.9</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(MTO-1)</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1</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sidRPr="007C45DD">
      <w:rPr>
        <w:rFonts w:ascii="Arial" w:hAnsi="Arial" w:cs="Arial"/>
        <w:sz w:val="20"/>
        <w:szCs w:val="20"/>
      </w:rPr>
      <w:t xml:space="preserve"> of </w:t>
    </w:r>
    <w:r>
      <w:rPr>
        <w:rFonts w:ascii="Arial" w:hAnsi="Arial" w:cs="Arial"/>
        <w:sz w:val="20"/>
        <w:szCs w:val="20"/>
      </w:rPr>
      <w:t>1</w:t>
    </w:r>
  </w:p>
  <w:p w:rsidR="00531F13" w:rsidRDefault="00531F13">
    <w:pPr>
      <w:pStyle w:val="Header"/>
      <w:ind w:right="-50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(MTO-1)</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2</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Page 1 of 1</w:t>
    </w:r>
  </w:p>
  <w:p w:rsidR="00531F13" w:rsidRDefault="00531F13">
    <w:pPr>
      <w:pStyle w:val="Header"/>
      <w:ind w:right="-50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(MTO-1)</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3</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Page 1 of 1</w:t>
    </w:r>
  </w:p>
  <w:p w:rsidR="00531F13" w:rsidRDefault="00531F13">
    <w:pPr>
      <w:pStyle w:val="Header"/>
      <w:ind w:right="-50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r>
    <w:r w:rsidRPr="00406350">
      <w:rPr>
        <w:rFonts w:ascii="Arial" w:hAnsi="Arial" w:cs="Arial"/>
        <w:sz w:val="20"/>
        <w:szCs w:val="20"/>
      </w:rPr>
      <w:t>Exhibit No. ___ (MTO-2)</w:t>
    </w:r>
  </w:p>
  <w:p w:rsidR="00531F13" w:rsidRDefault="00531F13" w:rsidP="007C45DD">
    <w:pPr>
      <w:pStyle w:val="Header"/>
      <w:tabs>
        <w:tab w:val="clear" w:pos="4680"/>
        <w:tab w:val="left" w:pos="5220"/>
        <w:tab w:val="left" w:pos="5760"/>
        <w:tab w:val="left" w:pos="6480"/>
      </w:tabs>
    </w:pPr>
    <w:r w:rsidRPr="00D3106C">
      <w:rPr>
        <w:rFonts w:ascii="Arial" w:hAnsi="Arial" w:cs="Arial"/>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6.1</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sidRPr="007C45DD">
      <w:rPr>
        <w:rFonts w:ascii="Arial" w:hAnsi="Arial" w:cs="Arial"/>
        <w:sz w:val="20"/>
        <w:szCs w:val="20"/>
      </w:rPr>
      <w:t>of 1</w:t>
    </w:r>
  </w:p>
  <w:p w:rsidR="00531F13" w:rsidRDefault="00531F13">
    <w:pPr>
      <w:pStyle w:val="Header"/>
      <w:ind w:right="-50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6.2</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6.3</w:t>
    </w:r>
  </w:p>
  <w:p w:rsidR="00531F13" w:rsidRPr="001912D6"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13" w:rsidRDefault="00531F13">
    <w:pPr>
      <w:pStyle w:val="Header"/>
      <w:tabs>
        <w:tab w:val="clear" w:pos="4680"/>
        <w:tab w:val="left" w:pos="5220"/>
        <w:tab w:val="left" w:pos="5760"/>
        <w:tab w:val="left" w:pos="6480"/>
      </w:tabs>
      <w:rPr>
        <w:rFonts w:ascii="Arial" w:hAnsi="Arial" w:cs="Arial"/>
        <w:sz w:val="20"/>
        <w:szCs w:val="20"/>
      </w:rPr>
    </w:pPr>
    <w:r>
      <w:tab/>
    </w:r>
    <w:r w:rsidRPr="007C45DD">
      <w:rPr>
        <w:rFonts w:ascii="Arial" w:hAnsi="Arial" w:cs="Arial"/>
        <w:sz w:val="20"/>
        <w:szCs w:val="20"/>
      </w:rPr>
      <w:t>Florida Public Service Commission</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Docket No. 110138-EI</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GULF POWER COMPANY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Witness: Michael T. O’Sheasy</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Exhibit No. ___ (MTO-2)</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Schedule 6.4</w:t>
    </w:r>
  </w:p>
  <w:p w:rsidR="00531F13" w:rsidRPr="007111D9" w:rsidRDefault="00531F13" w:rsidP="00747722">
    <w:pPr>
      <w:pStyle w:val="Header"/>
      <w:tabs>
        <w:tab w:val="clear" w:pos="4680"/>
        <w:tab w:val="left" w:pos="5220"/>
        <w:tab w:val="left" w:pos="5760"/>
        <w:tab w:val="left" w:pos="6480"/>
      </w:tabs>
      <w:rPr>
        <w:rFonts w:ascii="Arial" w:hAnsi="Arial" w:cs="Arial"/>
        <w:sz w:val="20"/>
        <w:szCs w:val="20"/>
      </w:rPr>
    </w:pPr>
    <w:r w:rsidRPr="007C45DD">
      <w:rPr>
        <w:rFonts w:ascii="Arial" w:hAnsi="Arial" w:cs="Arial"/>
        <w:sz w:val="20"/>
        <w:szCs w:val="20"/>
      </w:rPr>
      <w:tab/>
      <w:t xml:space="preserve">Page </w:t>
    </w:r>
    <w:r w:rsidRPr="007C45DD">
      <w:rPr>
        <w:rFonts w:ascii="Arial" w:hAnsi="Arial" w:cs="Arial"/>
        <w:sz w:val="20"/>
        <w:szCs w:val="20"/>
      </w:rPr>
      <w:fldChar w:fldCharType="begin"/>
    </w:r>
    <w:r w:rsidRPr="007C45DD">
      <w:rPr>
        <w:rFonts w:ascii="Arial" w:hAnsi="Arial" w:cs="Arial"/>
        <w:sz w:val="20"/>
        <w:szCs w:val="20"/>
      </w:rPr>
      <w:instrText xml:space="preserve"> PAGE   \* MERGEFORMAT </w:instrText>
    </w:r>
    <w:r w:rsidRPr="007C45DD">
      <w:rPr>
        <w:rFonts w:ascii="Arial" w:hAnsi="Arial" w:cs="Arial"/>
        <w:sz w:val="20"/>
        <w:szCs w:val="20"/>
      </w:rPr>
      <w:fldChar w:fldCharType="separate"/>
    </w:r>
    <w:r w:rsidR="00917998">
      <w:rPr>
        <w:rFonts w:ascii="Arial" w:hAnsi="Arial" w:cs="Arial"/>
        <w:noProof/>
        <w:sz w:val="20"/>
        <w:szCs w:val="20"/>
      </w:rPr>
      <w:t>1</w:t>
    </w:r>
    <w:r w:rsidRPr="007C45DD">
      <w:rPr>
        <w:rFonts w:ascii="Arial" w:hAnsi="Arial" w:cs="Arial"/>
        <w:sz w:val="20"/>
        <w:szCs w:val="20"/>
      </w:rPr>
      <w:fldChar w:fldCharType="end"/>
    </w:r>
    <w:r>
      <w:rPr>
        <w:rFonts w:ascii="Arial" w:hAnsi="Arial" w:cs="Arial"/>
        <w:sz w:val="20"/>
        <w:szCs w:val="20"/>
      </w:rPr>
      <w:t xml:space="preserve"> </w:t>
    </w:r>
    <w:r w:rsidRPr="007C45DD">
      <w:rPr>
        <w:rFonts w:ascii="Arial" w:hAnsi="Arial" w:cs="Arial"/>
        <w:sz w:val="20"/>
        <w:szCs w:val="20"/>
      </w:rPr>
      <w:t>of 1</w:t>
    </w:r>
  </w:p>
  <w:p w:rsidR="00531F13" w:rsidRDefault="00531F13">
    <w:pPr>
      <w:pStyle w:val="Header"/>
      <w:ind w:right="-50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C2935"/>
    <w:multiLevelType w:val="hybridMultilevel"/>
    <w:tmpl w:val="5C1C0BD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3513140"/>
    <w:multiLevelType w:val="hybridMultilevel"/>
    <w:tmpl w:val="32C40F0C"/>
    <w:lvl w:ilvl="0" w:tplc="B82E4624">
      <w:start w:val="1"/>
      <w:numFmt w:val="decimal"/>
      <w:pStyle w:val="Answer"/>
      <w:lvlText w:val="A."/>
      <w:lvlJc w:val="left"/>
      <w:pPr>
        <w:tabs>
          <w:tab w:val="num" w:pos="360"/>
        </w:tabs>
        <w:ind w:left="360" w:hanging="360"/>
      </w:pPr>
      <w:rPr>
        <w:rFonts w:cs="Times New Roman" w:hint="default"/>
      </w:rPr>
    </w:lvl>
    <w:lvl w:ilvl="1" w:tplc="262CE860">
      <w:start w:val="1"/>
      <w:numFmt w:val="lowerLetter"/>
      <w:lvlText w:val="%2."/>
      <w:lvlJc w:val="left"/>
      <w:pPr>
        <w:tabs>
          <w:tab w:val="num" w:pos="1440"/>
        </w:tabs>
        <w:ind w:left="1440" w:hanging="360"/>
      </w:pPr>
      <w:rPr>
        <w:rFonts w:cs="Times New Roman"/>
      </w:rPr>
    </w:lvl>
    <w:lvl w:ilvl="2" w:tplc="6F20BA0C">
      <w:start w:val="1"/>
      <w:numFmt w:val="lowerRoman"/>
      <w:lvlText w:val="%3."/>
      <w:lvlJc w:val="right"/>
      <w:pPr>
        <w:tabs>
          <w:tab w:val="num" w:pos="2160"/>
        </w:tabs>
        <w:ind w:left="2160" w:hanging="180"/>
      </w:pPr>
      <w:rPr>
        <w:rFonts w:cs="Times New Roman"/>
      </w:rPr>
    </w:lvl>
    <w:lvl w:ilvl="3" w:tplc="18B4F730">
      <w:start w:val="1"/>
      <w:numFmt w:val="decimal"/>
      <w:lvlText w:val="%4."/>
      <w:lvlJc w:val="left"/>
      <w:pPr>
        <w:tabs>
          <w:tab w:val="num" w:pos="2880"/>
        </w:tabs>
        <w:ind w:left="2880" w:hanging="360"/>
      </w:pPr>
      <w:rPr>
        <w:rFonts w:cs="Times New Roman"/>
      </w:rPr>
    </w:lvl>
    <w:lvl w:ilvl="4" w:tplc="B90CA6E2">
      <w:start w:val="1"/>
      <w:numFmt w:val="lowerLetter"/>
      <w:lvlText w:val="%5."/>
      <w:lvlJc w:val="left"/>
      <w:pPr>
        <w:tabs>
          <w:tab w:val="num" w:pos="3600"/>
        </w:tabs>
        <w:ind w:left="3600" w:hanging="360"/>
      </w:pPr>
      <w:rPr>
        <w:rFonts w:cs="Times New Roman"/>
      </w:rPr>
    </w:lvl>
    <w:lvl w:ilvl="5" w:tplc="BCD827CE">
      <w:start w:val="1"/>
      <w:numFmt w:val="lowerRoman"/>
      <w:lvlText w:val="%6."/>
      <w:lvlJc w:val="right"/>
      <w:pPr>
        <w:tabs>
          <w:tab w:val="num" w:pos="4320"/>
        </w:tabs>
        <w:ind w:left="4320" w:hanging="180"/>
      </w:pPr>
      <w:rPr>
        <w:rFonts w:cs="Times New Roman"/>
      </w:rPr>
    </w:lvl>
    <w:lvl w:ilvl="6" w:tplc="97368A78">
      <w:start w:val="1"/>
      <w:numFmt w:val="decimal"/>
      <w:lvlText w:val="%7."/>
      <w:lvlJc w:val="left"/>
      <w:pPr>
        <w:tabs>
          <w:tab w:val="num" w:pos="5040"/>
        </w:tabs>
        <w:ind w:left="5040" w:hanging="360"/>
      </w:pPr>
      <w:rPr>
        <w:rFonts w:cs="Times New Roman"/>
      </w:rPr>
    </w:lvl>
    <w:lvl w:ilvl="7" w:tplc="AF62BD80">
      <w:start w:val="1"/>
      <w:numFmt w:val="lowerLetter"/>
      <w:lvlText w:val="%8."/>
      <w:lvlJc w:val="left"/>
      <w:pPr>
        <w:tabs>
          <w:tab w:val="num" w:pos="5760"/>
        </w:tabs>
        <w:ind w:left="5760" w:hanging="360"/>
      </w:pPr>
      <w:rPr>
        <w:rFonts w:cs="Times New Roman"/>
      </w:rPr>
    </w:lvl>
    <w:lvl w:ilvl="8" w:tplc="79B4631C">
      <w:start w:val="1"/>
      <w:numFmt w:val="lowerRoman"/>
      <w:lvlText w:val="%9."/>
      <w:lvlJc w:val="right"/>
      <w:pPr>
        <w:tabs>
          <w:tab w:val="num" w:pos="6480"/>
        </w:tabs>
        <w:ind w:left="6480" w:hanging="180"/>
      </w:pPr>
      <w:rPr>
        <w:rFonts w:cs="Times New Roman"/>
      </w:rPr>
    </w:lvl>
  </w:abstractNum>
  <w:abstractNum w:abstractNumId="2">
    <w:nsid w:val="79994137"/>
    <w:multiLevelType w:val="singleLevel"/>
    <w:tmpl w:val="46F0FB1C"/>
    <w:lvl w:ilvl="0">
      <w:start w:val="1"/>
      <w:numFmt w:val="upperLetter"/>
      <w:lvlText w:val="%1."/>
      <w:lvlJc w:val="left"/>
      <w:pPr>
        <w:tabs>
          <w:tab w:val="num" w:pos="684"/>
        </w:tabs>
        <w:ind w:left="684" w:hanging="660"/>
      </w:pPr>
      <w:rPr>
        <w:rFonts w:cs="Times New Roman" w:hint="default"/>
      </w:rPr>
    </w:lvl>
  </w:abstractNum>
  <w:abstractNum w:abstractNumId="3">
    <w:nsid w:val="7AC05C29"/>
    <w:multiLevelType w:val="hybridMultilevel"/>
    <w:tmpl w:val="74765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B135529"/>
    <w:multiLevelType w:val="hybridMultilevel"/>
    <w:tmpl w:val="DE064028"/>
    <w:lvl w:ilvl="0" w:tplc="16BC9616">
      <w:start w:val="1"/>
      <w:numFmt w:val="decimal"/>
      <w:pStyle w:val="Question"/>
      <w:lvlText w:val="Q."/>
      <w:lvlJc w:val="left"/>
      <w:pPr>
        <w:tabs>
          <w:tab w:val="num" w:pos="480"/>
        </w:tabs>
        <w:ind w:left="480" w:hanging="360"/>
      </w:pPr>
      <w:rPr>
        <w:rFonts w:cs="Times New Roman" w:hint="default"/>
      </w:rPr>
    </w:lvl>
    <w:lvl w:ilvl="1" w:tplc="67767626">
      <w:start w:val="1"/>
      <w:numFmt w:val="lowerLetter"/>
      <w:lvlText w:val="%2."/>
      <w:lvlJc w:val="left"/>
      <w:pPr>
        <w:tabs>
          <w:tab w:val="num" w:pos="1440"/>
        </w:tabs>
        <w:ind w:left="1440" w:hanging="360"/>
      </w:pPr>
      <w:rPr>
        <w:rFonts w:cs="Times New Roman"/>
      </w:rPr>
    </w:lvl>
    <w:lvl w:ilvl="2" w:tplc="11765CB2">
      <w:start w:val="1"/>
      <w:numFmt w:val="lowerRoman"/>
      <w:lvlText w:val="%3."/>
      <w:lvlJc w:val="right"/>
      <w:pPr>
        <w:tabs>
          <w:tab w:val="num" w:pos="2160"/>
        </w:tabs>
        <w:ind w:left="2160" w:hanging="180"/>
      </w:pPr>
      <w:rPr>
        <w:rFonts w:cs="Times New Roman"/>
      </w:rPr>
    </w:lvl>
    <w:lvl w:ilvl="3" w:tplc="71C0769A">
      <w:start w:val="1"/>
      <w:numFmt w:val="decimal"/>
      <w:lvlText w:val="%4."/>
      <w:lvlJc w:val="left"/>
      <w:pPr>
        <w:tabs>
          <w:tab w:val="num" w:pos="2880"/>
        </w:tabs>
        <w:ind w:left="2880" w:hanging="360"/>
      </w:pPr>
      <w:rPr>
        <w:rFonts w:cs="Times New Roman"/>
      </w:rPr>
    </w:lvl>
    <w:lvl w:ilvl="4" w:tplc="4F525532">
      <w:start w:val="1"/>
      <w:numFmt w:val="lowerLetter"/>
      <w:lvlText w:val="%5."/>
      <w:lvlJc w:val="left"/>
      <w:pPr>
        <w:tabs>
          <w:tab w:val="num" w:pos="3600"/>
        </w:tabs>
        <w:ind w:left="3600" w:hanging="360"/>
      </w:pPr>
      <w:rPr>
        <w:rFonts w:cs="Times New Roman"/>
      </w:rPr>
    </w:lvl>
    <w:lvl w:ilvl="5" w:tplc="B300A48C">
      <w:start w:val="1"/>
      <w:numFmt w:val="lowerRoman"/>
      <w:lvlText w:val="%6."/>
      <w:lvlJc w:val="right"/>
      <w:pPr>
        <w:tabs>
          <w:tab w:val="num" w:pos="4320"/>
        </w:tabs>
        <w:ind w:left="4320" w:hanging="180"/>
      </w:pPr>
      <w:rPr>
        <w:rFonts w:cs="Times New Roman"/>
      </w:rPr>
    </w:lvl>
    <w:lvl w:ilvl="6" w:tplc="1368FB4E">
      <w:start w:val="1"/>
      <w:numFmt w:val="decimal"/>
      <w:lvlText w:val="%7."/>
      <w:lvlJc w:val="left"/>
      <w:pPr>
        <w:tabs>
          <w:tab w:val="num" w:pos="5040"/>
        </w:tabs>
        <w:ind w:left="5040" w:hanging="360"/>
      </w:pPr>
      <w:rPr>
        <w:rFonts w:cs="Times New Roman"/>
      </w:rPr>
    </w:lvl>
    <w:lvl w:ilvl="7" w:tplc="A666237C">
      <w:start w:val="1"/>
      <w:numFmt w:val="lowerLetter"/>
      <w:lvlText w:val="%8."/>
      <w:lvlJc w:val="left"/>
      <w:pPr>
        <w:tabs>
          <w:tab w:val="num" w:pos="5760"/>
        </w:tabs>
        <w:ind w:left="5760" w:hanging="360"/>
      </w:pPr>
      <w:rPr>
        <w:rFonts w:cs="Times New Roman"/>
      </w:rPr>
    </w:lvl>
    <w:lvl w:ilvl="8" w:tplc="91B203FA">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2"/>
  </w:num>
  <w:num w:numId="4">
    <w:abstractNumId w:val="0"/>
  </w:num>
  <w:num w:numId="5">
    <w:abstractNumId w:val="3"/>
  </w:num>
  <w:num w:numId="6">
    <w:abstractNumId w:val="4"/>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docVars>
    <w:docVar w:name="85TrailerDate" w:val="0"/>
    <w:docVar w:name="85TrailerDateField" w:val="0"/>
    <w:docVar w:name="85TrailerDraft" w:val="0"/>
    <w:docVar w:name="85TrailerTime" w:val="0"/>
    <w:docVar w:name="85TrailerType" w:val="102"/>
    <w:docVar w:name="MPDocID" w:val="TAL 2577.1"/>
    <w:docVar w:name="MPDocIDTemplate" w:val="%l |%n|.%v|"/>
    <w:docVar w:name="MPDocIDTemplateDefault" w:val="%l |%n|.%v|"/>
    <w:docVar w:name="NewDocStampType" w:val="7"/>
  </w:docVars>
  <w:rsids>
    <w:rsidRoot w:val="0042120A"/>
    <w:rsid w:val="00000DE4"/>
    <w:rsid w:val="000014A2"/>
    <w:rsid w:val="000019E4"/>
    <w:rsid w:val="00003C39"/>
    <w:rsid w:val="00004C31"/>
    <w:rsid w:val="00004EB9"/>
    <w:rsid w:val="00007F48"/>
    <w:rsid w:val="000141C7"/>
    <w:rsid w:val="00014918"/>
    <w:rsid w:val="0001517E"/>
    <w:rsid w:val="0001762F"/>
    <w:rsid w:val="00021BE5"/>
    <w:rsid w:val="00022F05"/>
    <w:rsid w:val="00023D1B"/>
    <w:rsid w:val="00027491"/>
    <w:rsid w:val="0003018A"/>
    <w:rsid w:val="00031C46"/>
    <w:rsid w:val="0003304A"/>
    <w:rsid w:val="00040582"/>
    <w:rsid w:val="000415CD"/>
    <w:rsid w:val="0004212D"/>
    <w:rsid w:val="00042A7B"/>
    <w:rsid w:val="00044039"/>
    <w:rsid w:val="000529FD"/>
    <w:rsid w:val="00054849"/>
    <w:rsid w:val="00056C12"/>
    <w:rsid w:val="0005742D"/>
    <w:rsid w:val="00062C3D"/>
    <w:rsid w:val="000643FC"/>
    <w:rsid w:val="00064847"/>
    <w:rsid w:val="000649A0"/>
    <w:rsid w:val="000674F9"/>
    <w:rsid w:val="00071ADF"/>
    <w:rsid w:val="00072796"/>
    <w:rsid w:val="00077899"/>
    <w:rsid w:val="00077A87"/>
    <w:rsid w:val="00082E08"/>
    <w:rsid w:val="000926AF"/>
    <w:rsid w:val="0009346C"/>
    <w:rsid w:val="00093665"/>
    <w:rsid w:val="0009484C"/>
    <w:rsid w:val="0009752D"/>
    <w:rsid w:val="000A2619"/>
    <w:rsid w:val="000A5F50"/>
    <w:rsid w:val="000A7C53"/>
    <w:rsid w:val="000A7CB3"/>
    <w:rsid w:val="000A7F94"/>
    <w:rsid w:val="000B100C"/>
    <w:rsid w:val="000B1DD7"/>
    <w:rsid w:val="000B21AB"/>
    <w:rsid w:val="000B3E93"/>
    <w:rsid w:val="000C25C1"/>
    <w:rsid w:val="000C30CB"/>
    <w:rsid w:val="000C627D"/>
    <w:rsid w:val="000C6D41"/>
    <w:rsid w:val="000D0084"/>
    <w:rsid w:val="000D3F51"/>
    <w:rsid w:val="000D6457"/>
    <w:rsid w:val="000D7004"/>
    <w:rsid w:val="000E0984"/>
    <w:rsid w:val="000E4C92"/>
    <w:rsid w:val="000E4FEA"/>
    <w:rsid w:val="000F631D"/>
    <w:rsid w:val="00100D1B"/>
    <w:rsid w:val="001012EE"/>
    <w:rsid w:val="00102E59"/>
    <w:rsid w:val="00103144"/>
    <w:rsid w:val="001071B6"/>
    <w:rsid w:val="001079F1"/>
    <w:rsid w:val="00111C3B"/>
    <w:rsid w:val="0011314E"/>
    <w:rsid w:val="00114E72"/>
    <w:rsid w:val="00115DF5"/>
    <w:rsid w:val="00116124"/>
    <w:rsid w:val="00116C8A"/>
    <w:rsid w:val="001204BE"/>
    <w:rsid w:val="0012313F"/>
    <w:rsid w:val="00124A09"/>
    <w:rsid w:val="00125DC6"/>
    <w:rsid w:val="001302CA"/>
    <w:rsid w:val="00130551"/>
    <w:rsid w:val="00130823"/>
    <w:rsid w:val="001331D4"/>
    <w:rsid w:val="001335D1"/>
    <w:rsid w:val="001344BD"/>
    <w:rsid w:val="00134F98"/>
    <w:rsid w:val="0013532F"/>
    <w:rsid w:val="0013551F"/>
    <w:rsid w:val="001357FD"/>
    <w:rsid w:val="00137AA8"/>
    <w:rsid w:val="00137DA3"/>
    <w:rsid w:val="00143BCD"/>
    <w:rsid w:val="00145311"/>
    <w:rsid w:val="00145BCB"/>
    <w:rsid w:val="00145F71"/>
    <w:rsid w:val="0015007A"/>
    <w:rsid w:val="001508FD"/>
    <w:rsid w:val="0015102D"/>
    <w:rsid w:val="0015358B"/>
    <w:rsid w:val="0015656C"/>
    <w:rsid w:val="00156E60"/>
    <w:rsid w:val="00161BC8"/>
    <w:rsid w:val="0016711D"/>
    <w:rsid w:val="001701ED"/>
    <w:rsid w:val="00171F5F"/>
    <w:rsid w:val="0017224A"/>
    <w:rsid w:val="00181D86"/>
    <w:rsid w:val="00184DA1"/>
    <w:rsid w:val="00185B9C"/>
    <w:rsid w:val="00186775"/>
    <w:rsid w:val="001874CC"/>
    <w:rsid w:val="001912D6"/>
    <w:rsid w:val="00191738"/>
    <w:rsid w:val="00195833"/>
    <w:rsid w:val="00195855"/>
    <w:rsid w:val="0019586D"/>
    <w:rsid w:val="00195A61"/>
    <w:rsid w:val="00197339"/>
    <w:rsid w:val="00197F2A"/>
    <w:rsid w:val="001A2492"/>
    <w:rsid w:val="001A488F"/>
    <w:rsid w:val="001A581E"/>
    <w:rsid w:val="001B35DA"/>
    <w:rsid w:val="001C0D3F"/>
    <w:rsid w:val="001C1B25"/>
    <w:rsid w:val="001C4797"/>
    <w:rsid w:val="001C54D4"/>
    <w:rsid w:val="001D06A3"/>
    <w:rsid w:val="001D1929"/>
    <w:rsid w:val="001D192C"/>
    <w:rsid w:val="001D1975"/>
    <w:rsid w:val="001D1D87"/>
    <w:rsid w:val="001D289A"/>
    <w:rsid w:val="001D5EB3"/>
    <w:rsid w:val="001E0738"/>
    <w:rsid w:val="001E20F2"/>
    <w:rsid w:val="001E36C1"/>
    <w:rsid w:val="001E5600"/>
    <w:rsid w:val="001E7843"/>
    <w:rsid w:val="001E7A62"/>
    <w:rsid w:val="001E7AF4"/>
    <w:rsid w:val="001F14D9"/>
    <w:rsid w:val="001F1B1A"/>
    <w:rsid w:val="001F3BE0"/>
    <w:rsid w:val="001F548B"/>
    <w:rsid w:val="001F55AD"/>
    <w:rsid w:val="001F608F"/>
    <w:rsid w:val="001F740E"/>
    <w:rsid w:val="0020199E"/>
    <w:rsid w:val="00202DFA"/>
    <w:rsid w:val="002050A8"/>
    <w:rsid w:val="00206196"/>
    <w:rsid w:val="0021058A"/>
    <w:rsid w:val="002117EC"/>
    <w:rsid w:val="002121F5"/>
    <w:rsid w:val="0021395F"/>
    <w:rsid w:val="00220008"/>
    <w:rsid w:val="00225955"/>
    <w:rsid w:val="0022680F"/>
    <w:rsid w:val="002301D6"/>
    <w:rsid w:val="00230D54"/>
    <w:rsid w:val="0023417F"/>
    <w:rsid w:val="002343D0"/>
    <w:rsid w:val="0023466E"/>
    <w:rsid w:val="00234F42"/>
    <w:rsid w:val="0023526B"/>
    <w:rsid w:val="00236E6C"/>
    <w:rsid w:val="00237CB7"/>
    <w:rsid w:val="0024333D"/>
    <w:rsid w:val="00244798"/>
    <w:rsid w:val="002453F3"/>
    <w:rsid w:val="002456D5"/>
    <w:rsid w:val="00251D5D"/>
    <w:rsid w:val="00252399"/>
    <w:rsid w:val="00253105"/>
    <w:rsid w:val="00255691"/>
    <w:rsid w:val="0025664B"/>
    <w:rsid w:val="00257D33"/>
    <w:rsid w:val="00260CC3"/>
    <w:rsid w:val="00261270"/>
    <w:rsid w:val="002616D9"/>
    <w:rsid w:val="00261DDA"/>
    <w:rsid w:val="0026239E"/>
    <w:rsid w:val="00263EA9"/>
    <w:rsid w:val="00266771"/>
    <w:rsid w:val="00266EF2"/>
    <w:rsid w:val="002672E6"/>
    <w:rsid w:val="002678AC"/>
    <w:rsid w:val="00271799"/>
    <w:rsid w:val="0027489F"/>
    <w:rsid w:val="00275560"/>
    <w:rsid w:val="00275A07"/>
    <w:rsid w:val="0027617F"/>
    <w:rsid w:val="00276442"/>
    <w:rsid w:val="002773C6"/>
    <w:rsid w:val="0027785C"/>
    <w:rsid w:val="002778C6"/>
    <w:rsid w:val="00277F9A"/>
    <w:rsid w:val="002825BD"/>
    <w:rsid w:val="00287444"/>
    <w:rsid w:val="00287D94"/>
    <w:rsid w:val="002912F7"/>
    <w:rsid w:val="00294134"/>
    <w:rsid w:val="002A07A9"/>
    <w:rsid w:val="002A17F5"/>
    <w:rsid w:val="002A23C8"/>
    <w:rsid w:val="002A2B0F"/>
    <w:rsid w:val="002A6FC3"/>
    <w:rsid w:val="002A713B"/>
    <w:rsid w:val="002B0812"/>
    <w:rsid w:val="002B4A87"/>
    <w:rsid w:val="002B7B1F"/>
    <w:rsid w:val="002C2DEB"/>
    <w:rsid w:val="002C3B95"/>
    <w:rsid w:val="002C697D"/>
    <w:rsid w:val="002C6A81"/>
    <w:rsid w:val="002C786E"/>
    <w:rsid w:val="002D1CC4"/>
    <w:rsid w:val="002D3F7C"/>
    <w:rsid w:val="002D435F"/>
    <w:rsid w:val="002D7B89"/>
    <w:rsid w:val="002E005D"/>
    <w:rsid w:val="002E1663"/>
    <w:rsid w:val="002E5DA9"/>
    <w:rsid w:val="002F1074"/>
    <w:rsid w:val="002F1B09"/>
    <w:rsid w:val="002F4D7E"/>
    <w:rsid w:val="002F6376"/>
    <w:rsid w:val="002F6614"/>
    <w:rsid w:val="00303101"/>
    <w:rsid w:val="00303EA3"/>
    <w:rsid w:val="00304BC1"/>
    <w:rsid w:val="00304E4B"/>
    <w:rsid w:val="00313B3E"/>
    <w:rsid w:val="003216C3"/>
    <w:rsid w:val="0032529F"/>
    <w:rsid w:val="003254E0"/>
    <w:rsid w:val="003265B8"/>
    <w:rsid w:val="003308D9"/>
    <w:rsid w:val="00333AC3"/>
    <w:rsid w:val="00337415"/>
    <w:rsid w:val="00340436"/>
    <w:rsid w:val="00342535"/>
    <w:rsid w:val="0034291A"/>
    <w:rsid w:val="003475C8"/>
    <w:rsid w:val="00347BDE"/>
    <w:rsid w:val="00352F37"/>
    <w:rsid w:val="00357179"/>
    <w:rsid w:val="0035727E"/>
    <w:rsid w:val="00360970"/>
    <w:rsid w:val="00361E3A"/>
    <w:rsid w:val="003632C4"/>
    <w:rsid w:val="00364136"/>
    <w:rsid w:val="00365313"/>
    <w:rsid w:val="0036608B"/>
    <w:rsid w:val="00366974"/>
    <w:rsid w:val="00366F9E"/>
    <w:rsid w:val="00372F14"/>
    <w:rsid w:val="00375DFA"/>
    <w:rsid w:val="00380B0B"/>
    <w:rsid w:val="00381B87"/>
    <w:rsid w:val="00383935"/>
    <w:rsid w:val="00384AA0"/>
    <w:rsid w:val="003855C9"/>
    <w:rsid w:val="00386303"/>
    <w:rsid w:val="00387E26"/>
    <w:rsid w:val="003910C4"/>
    <w:rsid w:val="00391117"/>
    <w:rsid w:val="00391A98"/>
    <w:rsid w:val="0039284B"/>
    <w:rsid w:val="00393CA7"/>
    <w:rsid w:val="00396D00"/>
    <w:rsid w:val="003A1014"/>
    <w:rsid w:val="003A56E1"/>
    <w:rsid w:val="003A5B8B"/>
    <w:rsid w:val="003B0168"/>
    <w:rsid w:val="003B11D6"/>
    <w:rsid w:val="003B19C6"/>
    <w:rsid w:val="003B45A2"/>
    <w:rsid w:val="003B4F47"/>
    <w:rsid w:val="003B7008"/>
    <w:rsid w:val="003B7682"/>
    <w:rsid w:val="003C44F9"/>
    <w:rsid w:val="003C4B33"/>
    <w:rsid w:val="003C5B89"/>
    <w:rsid w:val="003C69C9"/>
    <w:rsid w:val="003D0BE0"/>
    <w:rsid w:val="003D1E44"/>
    <w:rsid w:val="003D55F3"/>
    <w:rsid w:val="003D5F4E"/>
    <w:rsid w:val="003D7CA1"/>
    <w:rsid w:val="003D7E97"/>
    <w:rsid w:val="003E01A7"/>
    <w:rsid w:val="003E0973"/>
    <w:rsid w:val="003E2E16"/>
    <w:rsid w:val="003E631C"/>
    <w:rsid w:val="003F100C"/>
    <w:rsid w:val="003F13B7"/>
    <w:rsid w:val="003F3A62"/>
    <w:rsid w:val="003F3AA4"/>
    <w:rsid w:val="003F47D6"/>
    <w:rsid w:val="00403EBC"/>
    <w:rsid w:val="0040497B"/>
    <w:rsid w:val="00404F7A"/>
    <w:rsid w:val="00405323"/>
    <w:rsid w:val="00406350"/>
    <w:rsid w:val="00406E37"/>
    <w:rsid w:val="00407CD4"/>
    <w:rsid w:val="00410748"/>
    <w:rsid w:val="0041121B"/>
    <w:rsid w:val="00411507"/>
    <w:rsid w:val="00411EA0"/>
    <w:rsid w:val="00412FFF"/>
    <w:rsid w:val="00414AA8"/>
    <w:rsid w:val="004159CA"/>
    <w:rsid w:val="00420BF1"/>
    <w:rsid w:val="00420CFB"/>
    <w:rsid w:val="0042120A"/>
    <w:rsid w:val="00425DBE"/>
    <w:rsid w:val="00427D81"/>
    <w:rsid w:val="00432E6A"/>
    <w:rsid w:val="00434425"/>
    <w:rsid w:val="004344A2"/>
    <w:rsid w:val="00434F2A"/>
    <w:rsid w:val="0044300B"/>
    <w:rsid w:val="00445EBB"/>
    <w:rsid w:val="0044628B"/>
    <w:rsid w:val="00446855"/>
    <w:rsid w:val="00451537"/>
    <w:rsid w:val="00453F7B"/>
    <w:rsid w:val="0045573D"/>
    <w:rsid w:val="004560D0"/>
    <w:rsid w:val="004564A3"/>
    <w:rsid w:val="00456F09"/>
    <w:rsid w:val="004621F9"/>
    <w:rsid w:val="004634B5"/>
    <w:rsid w:val="00470297"/>
    <w:rsid w:val="004709B0"/>
    <w:rsid w:val="0047381D"/>
    <w:rsid w:val="004744DE"/>
    <w:rsid w:val="004748D3"/>
    <w:rsid w:val="00474F05"/>
    <w:rsid w:val="00477110"/>
    <w:rsid w:val="004800B4"/>
    <w:rsid w:val="00492F13"/>
    <w:rsid w:val="004941FC"/>
    <w:rsid w:val="00494225"/>
    <w:rsid w:val="00496BF2"/>
    <w:rsid w:val="004A1F61"/>
    <w:rsid w:val="004A3E13"/>
    <w:rsid w:val="004A4E10"/>
    <w:rsid w:val="004B1C76"/>
    <w:rsid w:val="004B49FF"/>
    <w:rsid w:val="004B709D"/>
    <w:rsid w:val="004B7726"/>
    <w:rsid w:val="004B785A"/>
    <w:rsid w:val="004C08B8"/>
    <w:rsid w:val="004C2B77"/>
    <w:rsid w:val="004C3A63"/>
    <w:rsid w:val="004C43D0"/>
    <w:rsid w:val="004C7B51"/>
    <w:rsid w:val="004D2E96"/>
    <w:rsid w:val="004D5165"/>
    <w:rsid w:val="004E122B"/>
    <w:rsid w:val="004E2C3E"/>
    <w:rsid w:val="004E3202"/>
    <w:rsid w:val="004E57BF"/>
    <w:rsid w:val="004E6562"/>
    <w:rsid w:val="004E671A"/>
    <w:rsid w:val="004F0DCA"/>
    <w:rsid w:val="004F10FA"/>
    <w:rsid w:val="004F12F0"/>
    <w:rsid w:val="004F28C5"/>
    <w:rsid w:val="004F36DE"/>
    <w:rsid w:val="004F4CE2"/>
    <w:rsid w:val="004F5760"/>
    <w:rsid w:val="004F5FF1"/>
    <w:rsid w:val="004F66A4"/>
    <w:rsid w:val="004F6D28"/>
    <w:rsid w:val="00503DEF"/>
    <w:rsid w:val="005055B0"/>
    <w:rsid w:val="00505BC1"/>
    <w:rsid w:val="00505DD1"/>
    <w:rsid w:val="0051136D"/>
    <w:rsid w:val="00511EE5"/>
    <w:rsid w:val="005125EE"/>
    <w:rsid w:val="00516922"/>
    <w:rsid w:val="0051692C"/>
    <w:rsid w:val="00521B0F"/>
    <w:rsid w:val="00522496"/>
    <w:rsid w:val="00524812"/>
    <w:rsid w:val="00525590"/>
    <w:rsid w:val="00525730"/>
    <w:rsid w:val="00531F13"/>
    <w:rsid w:val="005412D0"/>
    <w:rsid w:val="00544DE5"/>
    <w:rsid w:val="005476D0"/>
    <w:rsid w:val="00547A20"/>
    <w:rsid w:val="00551C97"/>
    <w:rsid w:val="005559AF"/>
    <w:rsid w:val="00556A40"/>
    <w:rsid w:val="00557628"/>
    <w:rsid w:val="00557A30"/>
    <w:rsid w:val="0057137C"/>
    <w:rsid w:val="0057534F"/>
    <w:rsid w:val="0057662C"/>
    <w:rsid w:val="005768DB"/>
    <w:rsid w:val="00577294"/>
    <w:rsid w:val="00577584"/>
    <w:rsid w:val="0057794A"/>
    <w:rsid w:val="00580B84"/>
    <w:rsid w:val="00580C12"/>
    <w:rsid w:val="0058197B"/>
    <w:rsid w:val="005859E2"/>
    <w:rsid w:val="00586E15"/>
    <w:rsid w:val="00587A03"/>
    <w:rsid w:val="00591BE8"/>
    <w:rsid w:val="005928C1"/>
    <w:rsid w:val="00595806"/>
    <w:rsid w:val="00595CEA"/>
    <w:rsid w:val="005A1A55"/>
    <w:rsid w:val="005A2AE5"/>
    <w:rsid w:val="005A3C0B"/>
    <w:rsid w:val="005A5856"/>
    <w:rsid w:val="005A762F"/>
    <w:rsid w:val="005B017E"/>
    <w:rsid w:val="005B0EE5"/>
    <w:rsid w:val="005C18EB"/>
    <w:rsid w:val="005C2401"/>
    <w:rsid w:val="005C344B"/>
    <w:rsid w:val="005C605E"/>
    <w:rsid w:val="005D577E"/>
    <w:rsid w:val="005D60FC"/>
    <w:rsid w:val="005D64BA"/>
    <w:rsid w:val="005D6707"/>
    <w:rsid w:val="005D6C62"/>
    <w:rsid w:val="005E0E80"/>
    <w:rsid w:val="005E1145"/>
    <w:rsid w:val="005E55C5"/>
    <w:rsid w:val="005E7785"/>
    <w:rsid w:val="005E7BCE"/>
    <w:rsid w:val="005F0651"/>
    <w:rsid w:val="005F0722"/>
    <w:rsid w:val="005F0790"/>
    <w:rsid w:val="005F5F89"/>
    <w:rsid w:val="005F7FF8"/>
    <w:rsid w:val="0060091B"/>
    <w:rsid w:val="0060174B"/>
    <w:rsid w:val="0060229F"/>
    <w:rsid w:val="00602A2F"/>
    <w:rsid w:val="006052D7"/>
    <w:rsid w:val="006053D3"/>
    <w:rsid w:val="00605925"/>
    <w:rsid w:val="00605F98"/>
    <w:rsid w:val="00610D7E"/>
    <w:rsid w:val="006126B7"/>
    <w:rsid w:val="00616AA1"/>
    <w:rsid w:val="00620594"/>
    <w:rsid w:val="00621428"/>
    <w:rsid w:val="00625FE1"/>
    <w:rsid w:val="00626635"/>
    <w:rsid w:val="00627268"/>
    <w:rsid w:val="006321B6"/>
    <w:rsid w:val="00634A0F"/>
    <w:rsid w:val="006359F7"/>
    <w:rsid w:val="00636124"/>
    <w:rsid w:val="00636861"/>
    <w:rsid w:val="00643AA1"/>
    <w:rsid w:val="00644336"/>
    <w:rsid w:val="00646002"/>
    <w:rsid w:val="006477DD"/>
    <w:rsid w:val="006502B4"/>
    <w:rsid w:val="00650DC2"/>
    <w:rsid w:val="0065619D"/>
    <w:rsid w:val="00657ABF"/>
    <w:rsid w:val="00657AEF"/>
    <w:rsid w:val="006610D2"/>
    <w:rsid w:val="00665FD1"/>
    <w:rsid w:val="00670A9D"/>
    <w:rsid w:val="00670AB1"/>
    <w:rsid w:val="00670B5F"/>
    <w:rsid w:val="006727BD"/>
    <w:rsid w:val="006741F0"/>
    <w:rsid w:val="0067621A"/>
    <w:rsid w:val="00676D96"/>
    <w:rsid w:val="0067757C"/>
    <w:rsid w:val="00680EE3"/>
    <w:rsid w:val="00680F74"/>
    <w:rsid w:val="0068511E"/>
    <w:rsid w:val="0068667E"/>
    <w:rsid w:val="00691F22"/>
    <w:rsid w:val="006944ED"/>
    <w:rsid w:val="006A02A0"/>
    <w:rsid w:val="006A04A5"/>
    <w:rsid w:val="006A1524"/>
    <w:rsid w:val="006A1AAD"/>
    <w:rsid w:val="006A32CC"/>
    <w:rsid w:val="006A47F8"/>
    <w:rsid w:val="006B07BD"/>
    <w:rsid w:val="006C01C2"/>
    <w:rsid w:val="006C0559"/>
    <w:rsid w:val="006C11CE"/>
    <w:rsid w:val="006C280E"/>
    <w:rsid w:val="006C451A"/>
    <w:rsid w:val="006D2D64"/>
    <w:rsid w:val="006D58D2"/>
    <w:rsid w:val="006D597E"/>
    <w:rsid w:val="006E28ED"/>
    <w:rsid w:val="006E2C1F"/>
    <w:rsid w:val="006E4B88"/>
    <w:rsid w:val="006F07A2"/>
    <w:rsid w:val="006F1C47"/>
    <w:rsid w:val="006F2B46"/>
    <w:rsid w:val="006F3CD5"/>
    <w:rsid w:val="006F4A1D"/>
    <w:rsid w:val="006F698B"/>
    <w:rsid w:val="006F698F"/>
    <w:rsid w:val="006F7B5A"/>
    <w:rsid w:val="007022CE"/>
    <w:rsid w:val="0070350D"/>
    <w:rsid w:val="0070396C"/>
    <w:rsid w:val="00706269"/>
    <w:rsid w:val="007111D9"/>
    <w:rsid w:val="0071195D"/>
    <w:rsid w:val="00712383"/>
    <w:rsid w:val="007145E6"/>
    <w:rsid w:val="00715334"/>
    <w:rsid w:val="00716D44"/>
    <w:rsid w:val="007170D5"/>
    <w:rsid w:val="00717F72"/>
    <w:rsid w:val="007201E4"/>
    <w:rsid w:val="007252B7"/>
    <w:rsid w:val="00727CB2"/>
    <w:rsid w:val="00732441"/>
    <w:rsid w:val="00732483"/>
    <w:rsid w:val="00734214"/>
    <w:rsid w:val="00734B07"/>
    <w:rsid w:val="00736077"/>
    <w:rsid w:val="00737443"/>
    <w:rsid w:val="00737647"/>
    <w:rsid w:val="007404AF"/>
    <w:rsid w:val="0074116F"/>
    <w:rsid w:val="0074135E"/>
    <w:rsid w:val="0074168A"/>
    <w:rsid w:val="0074292A"/>
    <w:rsid w:val="007441C7"/>
    <w:rsid w:val="00746188"/>
    <w:rsid w:val="0074721C"/>
    <w:rsid w:val="007476B5"/>
    <w:rsid w:val="00747722"/>
    <w:rsid w:val="00752794"/>
    <w:rsid w:val="00753519"/>
    <w:rsid w:val="007538FE"/>
    <w:rsid w:val="00755064"/>
    <w:rsid w:val="00756C02"/>
    <w:rsid w:val="007572BD"/>
    <w:rsid w:val="00760CA9"/>
    <w:rsid w:val="00761B9D"/>
    <w:rsid w:val="007623C8"/>
    <w:rsid w:val="00764922"/>
    <w:rsid w:val="00764F65"/>
    <w:rsid w:val="007656AE"/>
    <w:rsid w:val="007665F8"/>
    <w:rsid w:val="00767F3D"/>
    <w:rsid w:val="00771244"/>
    <w:rsid w:val="00771ED4"/>
    <w:rsid w:val="00776B25"/>
    <w:rsid w:val="00777C4E"/>
    <w:rsid w:val="00777CC6"/>
    <w:rsid w:val="00781459"/>
    <w:rsid w:val="0078235B"/>
    <w:rsid w:val="007825A7"/>
    <w:rsid w:val="00782BDF"/>
    <w:rsid w:val="007834FD"/>
    <w:rsid w:val="0078474A"/>
    <w:rsid w:val="00784AB1"/>
    <w:rsid w:val="00785215"/>
    <w:rsid w:val="007852E6"/>
    <w:rsid w:val="007859A8"/>
    <w:rsid w:val="00787993"/>
    <w:rsid w:val="00792DAD"/>
    <w:rsid w:val="0079372A"/>
    <w:rsid w:val="007937DB"/>
    <w:rsid w:val="00793B0C"/>
    <w:rsid w:val="007A060D"/>
    <w:rsid w:val="007A0A13"/>
    <w:rsid w:val="007A0F3F"/>
    <w:rsid w:val="007A14C0"/>
    <w:rsid w:val="007A14F9"/>
    <w:rsid w:val="007A37A8"/>
    <w:rsid w:val="007B4E69"/>
    <w:rsid w:val="007C30A0"/>
    <w:rsid w:val="007C35BB"/>
    <w:rsid w:val="007C45DD"/>
    <w:rsid w:val="007C71D1"/>
    <w:rsid w:val="007D1067"/>
    <w:rsid w:val="007D1604"/>
    <w:rsid w:val="007D1B70"/>
    <w:rsid w:val="007D4116"/>
    <w:rsid w:val="007D455A"/>
    <w:rsid w:val="007D548F"/>
    <w:rsid w:val="007D5609"/>
    <w:rsid w:val="007D5817"/>
    <w:rsid w:val="007D7E54"/>
    <w:rsid w:val="007E537A"/>
    <w:rsid w:val="007E55C0"/>
    <w:rsid w:val="007F15D8"/>
    <w:rsid w:val="007F1C85"/>
    <w:rsid w:val="007F2B17"/>
    <w:rsid w:val="007F7724"/>
    <w:rsid w:val="0080166D"/>
    <w:rsid w:val="00801CEC"/>
    <w:rsid w:val="00802C84"/>
    <w:rsid w:val="00805A9B"/>
    <w:rsid w:val="00810C0C"/>
    <w:rsid w:val="00820A17"/>
    <w:rsid w:val="0082133A"/>
    <w:rsid w:val="00822A60"/>
    <w:rsid w:val="0082334B"/>
    <w:rsid w:val="0082367E"/>
    <w:rsid w:val="0082446E"/>
    <w:rsid w:val="00827BDA"/>
    <w:rsid w:val="00827E3B"/>
    <w:rsid w:val="008309C5"/>
    <w:rsid w:val="00832801"/>
    <w:rsid w:val="00834216"/>
    <w:rsid w:val="008409F0"/>
    <w:rsid w:val="00841805"/>
    <w:rsid w:val="00846EF5"/>
    <w:rsid w:val="00847F64"/>
    <w:rsid w:val="008513FB"/>
    <w:rsid w:val="00851E5F"/>
    <w:rsid w:val="00853262"/>
    <w:rsid w:val="00856220"/>
    <w:rsid w:val="00856BBC"/>
    <w:rsid w:val="00857BF4"/>
    <w:rsid w:val="00860CB5"/>
    <w:rsid w:val="00861B50"/>
    <w:rsid w:val="00862111"/>
    <w:rsid w:val="00862A26"/>
    <w:rsid w:val="008641F7"/>
    <w:rsid w:val="00864919"/>
    <w:rsid w:val="00865A0E"/>
    <w:rsid w:val="00867DAF"/>
    <w:rsid w:val="00873D52"/>
    <w:rsid w:val="00874F82"/>
    <w:rsid w:val="00875195"/>
    <w:rsid w:val="00875782"/>
    <w:rsid w:val="008768A5"/>
    <w:rsid w:val="008803F6"/>
    <w:rsid w:val="00881735"/>
    <w:rsid w:val="008819DE"/>
    <w:rsid w:val="00882A78"/>
    <w:rsid w:val="008865E1"/>
    <w:rsid w:val="00892CFF"/>
    <w:rsid w:val="00897826"/>
    <w:rsid w:val="008A01C2"/>
    <w:rsid w:val="008A4AF5"/>
    <w:rsid w:val="008A57A8"/>
    <w:rsid w:val="008A6BBB"/>
    <w:rsid w:val="008B0900"/>
    <w:rsid w:val="008B10D6"/>
    <w:rsid w:val="008B1340"/>
    <w:rsid w:val="008B1418"/>
    <w:rsid w:val="008B35F1"/>
    <w:rsid w:val="008B3A1C"/>
    <w:rsid w:val="008B5FA5"/>
    <w:rsid w:val="008B6892"/>
    <w:rsid w:val="008C0BC6"/>
    <w:rsid w:val="008C157F"/>
    <w:rsid w:val="008D05FB"/>
    <w:rsid w:val="008D14AC"/>
    <w:rsid w:val="008D379C"/>
    <w:rsid w:val="008D48C3"/>
    <w:rsid w:val="008E0B32"/>
    <w:rsid w:val="008E334A"/>
    <w:rsid w:val="008E3829"/>
    <w:rsid w:val="008E3ECB"/>
    <w:rsid w:val="008E5BA5"/>
    <w:rsid w:val="008F42D0"/>
    <w:rsid w:val="008F69A8"/>
    <w:rsid w:val="00902755"/>
    <w:rsid w:val="00905958"/>
    <w:rsid w:val="00910D8B"/>
    <w:rsid w:val="00913B2B"/>
    <w:rsid w:val="00916012"/>
    <w:rsid w:val="0091731F"/>
    <w:rsid w:val="00917998"/>
    <w:rsid w:val="00917AD7"/>
    <w:rsid w:val="00922298"/>
    <w:rsid w:val="009223D2"/>
    <w:rsid w:val="00922E81"/>
    <w:rsid w:val="0092449E"/>
    <w:rsid w:val="00926770"/>
    <w:rsid w:val="00927ABC"/>
    <w:rsid w:val="00931786"/>
    <w:rsid w:val="00932219"/>
    <w:rsid w:val="009343FA"/>
    <w:rsid w:val="009358DD"/>
    <w:rsid w:val="009367A8"/>
    <w:rsid w:val="009425CA"/>
    <w:rsid w:val="00943B1A"/>
    <w:rsid w:val="00950358"/>
    <w:rsid w:val="00951566"/>
    <w:rsid w:val="009515BA"/>
    <w:rsid w:val="00955225"/>
    <w:rsid w:val="00955DC6"/>
    <w:rsid w:val="00957F75"/>
    <w:rsid w:val="00960105"/>
    <w:rsid w:val="009607B4"/>
    <w:rsid w:val="00966050"/>
    <w:rsid w:val="009704CB"/>
    <w:rsid w:val="00971E7C"/>
    <w:rsid w:val="0097379B"/>
    <w:rsid w:val="009800EA"/>
    <w:rsid w:val="00981454"/>
    <w:rsid w:val="00981489"/>
    <w:rsid w:val="00981EC0"/>
    <w:rsid w:val="009821DC"/>
    <w:rsid w:val="00983146"/>
    <w:rsid w:val="009922A0"/>
    <w:rsid w:val="00993B64"/>
    <w:rsid w:val="009953A9"/>
    <w:rsid w:val="00996C25"/>
    <w:rsid w:val="009975C2"/>
    <w:rsid w:val="009A0323"/>
    <w:rsid w:val="009A0A82"/>
    <w:rsid w:val="009A0CA8"/>
    <w:rsid w:val="009A3B7B"/>
    <w:rsid w:val="009A42A6"/>
    <w:rsid w:val="009A7833"/>
    <w:rsid w:val="009B2215"/>
    <w:rsid w:val="009B2352"/>
    <w:rsid w:val="009B5B57"/>
    <w:rsid w:val="009B6223"/>
    <w:rsid w:val="009C4FD8"/>
    <w:rsid w:val="009C6302"/>
    <w:rsid w:val="009C654A"/>
    <w:rsid w:val="009C79EA"/>
    <w:rsid w:val="009D1D27"/>
    <w:rsid w:val="009D1FAF"/>
    <w:rsid w:val="009D3265"/>
    <w:rsid w:val="009D36F3"/>
    <w:rsid w:val="009D4ECA"/>
    <w:rsid w:val="009D79AF"/>
    <w:rsid w:val="009E120C"/>
    <w:rsid w:val="009E38A5"/>
    <w:rsid w:val="009E3DF3"/>
    <w:rsid w:val="009E4777"/>
    <w:rsid w:val="009F0227"/>
    <w:rsid w:val="009F02A3"/>
    <w:rsid w:val="009F5045"/>
    <w:rsid w:val="009F5D50"/>
    <w:rsid w:val="00A0299A"/>
    <w:rsid w:val="00A03284"/>
    <w:rsid w:val="00A03B92"/>
    <w:rsid w:val="00A046A5"/>
    <w:rsid w:val="00A04F19"/>
    <w:rsid w:val="00A053E5"/>
    <w:rsid w:val="00A07DD8"/>
    <w:rsid w:val="00A147B7"/>
    <w:rsid w:val="00A167CD"/>
    <w:rsid w:val="00A22892"/>
    <w:rsid w:val="00A245B7"/>
    <w:rsid w:val="00A24B74"/>
    <w:rsid w:val="00A3270E"/>
    <w:rsid w:val="00A32B9E"/>
    <w:rsid w:val="00A3453C"/>
    <w:rsid w:val="00A3519D"/>
    <w:rsid w:val="00A425FA"/>
    <w:rsid w:val="00A43BEC"/>
    <w:rsid w:val="00A44212"/>
    <w:rsid w:val="00A45676"/>
    <w:rsid w:val="00A47413"/>
    <w:rsid w:val="00A47923"/>
    <w:rsid w:val="00A50CE7"/>
    <w:rsid w:val="00A53D42"/>
    <w:rsid w:val="00A541FF"/>
    <w:rsid w:val="00A55EB4"/>
    <w:rsid w:val="00A625A3"/>
    <w:rsid w:val="00A64C9F"/>
    <w:rsid w:val="00A66892"/>
    <w:rsid w:val="00A70B30"/>
    <w:rsid w:val="00A74587"/>
    <w:rsid w:val="00A752F5"/>
    <w:rsid w:val="00A7603A"/>
    <w:rsid w:val="00A76BDE"/>
    <w:rsid w:val="00A77492"/>
    <w:rsid w:val="00A77BB4"/>
    <w:rsid w:val="00A85098"/>
    <w:rsid w:val="00A85643"/>
    <w:rsid w:val="00A8746B"/>
    <w:rsid w:val="00A901BC"/>
    <w:rsid w:val="00A91CC1"/>
    <w:rsid w:val="00A93ED2"/>
    <w:rsid w:val="00A93F73"/>
    <w:rsid w:val="00A96F31"/>
    <w:rsid w:val="00AA0C88"/>
    <w:rsid w:val="00AA5851"/>
    <w:rsid w:val="00AA68F6"/>
    <w:rsid w:val="00AA6DC0"/>
    <w:rsid w:val="00AB0357"/>
    <w:rsid w:val="00AB08F3"/>
    <w:rsid w:val="00AB4DAE"/>
    <w:rsid w:val="00AB5910"/>
    <w:rsid w:val="00AC0073"/>
    <w:rsid w:val="00AC2B0F"/>
    <w:rsid w:val="00AC2ED9"/>
    <w:rsid w:val="00AC37AE"/>
    <w:rsid w:val="00AC5F7A"/>
    <w:rsid w:val="00AD0360"/>
    <w:rsid w:val="00AD07A5"/>
    <w:rsid w:val="00AD0B70"/>
    <w:rsid w:val="00AD16DD"/>
    <w:rsid w:val="00AD31D6"/>
    <w:rsid w:val="00AD325C"/>
    <w:rsid w:val="00AD44FD"/>
    <w:rsid w:val="00AD50D9"/>
    <w:rsid w:val="00AD6E07"/>
    <w:rsid w:val="00AE7438"/>
    <w:rsid w:val="00AE7FC9"/>
    <w:rsid w:val="00AF31C5"/>
    <w:rsid w:val="00AF3309"/>
    <w:rsid w:val="00AF6906"/>
    <w:rsid w:val="00AF6BF5"/>
    <w:rsid w:val="00AF76BE"/>
    <w:rsid w:val="00AF7E83"/>
    <w:rsid w:val="00B04260"/>
    <w:rsid w:val="00B04453"/>
    <w:rsid w:val="00B05643"/>
    <w:rsid w:val="00B108E0"/>
    <w:rsid w:val="00B129AC"/>
    <w:rsid w:val="00B149F9"/>
    <w:rsid w:val="00B164D9"/>
    <w:rsid w:val="00B1703A"/>
    <w:rsid w:val="00B17F0F"/>
    <w:rsid w:val="00B21498"/>
    <w:rsid w:val="00B23CD6"/>
    <w:rsid w:val="00B257F8"/>
    <w:rsid w:val="00B276DF"/>
    <w:rsid w:val="00B309BF"/>
    <w:rsid w:val="00B31911"/>
    <w:rsid w:val="00B33F89"/>
    <w:rsid w:val="00B365A2"/>
    <w:rsid w:val="00B36A20"/>
    <w:rsid w:val="00B37402"/>
    <w:rsid w:val="00B4289C"/>
    <w:rsid w:val="00B4373C"/>
    <w:rsid w:val="00B44622"/>
    <w:rsid w:val="00B51F68"/>
    <w:rsid w:val="00B54AE6"/>
    <w:rsid w:val="00B563EF"/>
    <w:rsid w:val="00B56C51"/>
    <w:rsid w:val="00B6174A"/>
    <w:rsid w:val="00B622B3"/>
    <w:rsid w:val="00B65287"/>
    <w:rsid w:val="00B66C60"/>
    <w:rsid w:val="00B66F08"/>
    <w:rsid w:val="00B67EA9"/>
    <w:rsid w:val="00B7112C"/>
    <w:rsid w:val="00B7635B"/>
    <w:rsid w:val="00B769E4"/>
    <w:rsid w:val="00B82561"/>
    <w:rsid w:val="00B83521"/>
    <w:rsid w:val="00B83CDA"/>
    <w:rsid w:val="00B84BBA"/>
    <w:rsid w:val="00B85C4C"/>
    <w:rsid w:val="00B922C4"/>
    <w:rsid w:val="00B94146"/>
    <w:rsid w:val="00B948DC"/>
    <w:rsid w:val="00B95A17"/>
    <w:rsid w:val="00B95C47"/>
    <w:rsid w:val="00BA380D"/>
    <w:rsid w:val="00BA3BD6"/>
    <w:rsid w:val="00BA51BC"/>
    <w:rsid w:val="00BA7C3F"/>
    <w:rsid w:val="00BB0FE4"/>
    <w:rsid w:val="00BB14F9"/>
    <w:rsid w:val="00BB189A"/>
    <w:rsid w:val="00BB75FE"/>
    <w:rsid w:val="00BB79E6"/>
    <w:rsid w:val="00BC052B"/>
    <w:rsid w:val="00BC1002"/>
    <w:rsid w:val="00BC2956"/>
    <w:rsid w:val="00BC29EA"/>
    <w:rsid w:val="00BC4203"/>
    <w:rsid w:val="00BC6F3E"/>
    <w:rsid w:val="00BD0A92"/>
    <w:rsid w:val="00BD1BB0"/>
    <w:rsid w:val="00BD359C"/>
    <w:rsid w:val="00BD6921"/>
    <w:rsid w:val="00BE1388"/>
    <w:rsid w:val="00BF1B20"/>
    <w:rsid w:val="00BF3250"/>
    <w:rsid w:val="00BF7D07"/>
    <w:rsid w:val="00C008BD"/>
    <w:rsid w:val="00C01983"/>
    <w:rsid w:val="00C04D47"/>
    <w:rsid w:val="00C1082F"/>
    <w:rsid w:val="00C11911"/>
    <w:rsid w:val="00C129BE"/>
    <w:rsid w:val="00C13866"/>
    <w:rsid w:val="00C141AD"/>
    <w:rsid w:val="00C2120F"/>
    <w:rsid w:val="00C22988"/>
    <w:rsid w:val="00C23C8E"/>
    <w:rsid w:val="00C24777"/>
    <w:rsid w:val="00C2686C"/>
    <w:rsid w:val="00C27190"/>
    <w:rsid w:val="00C27406"/>
    <w:rsid w:val="00C33B13"/>
    <w:rsid w:val="00C33E32"/>
    <w:rsid w:val="00C3605D"/>
    <w:rsid w:val="00C37DDC"/>
    <w:rsid w:val="00C42858"/>
    <w:rsid w:val="00C4355F"/>
    <w:rsid w:val="00C436C2"/>
    <w:rsid w:val="00C447F1"/>
    <w:rsid w:val="00C44A34"/>
    <w:rsid w:val="00C4718E"/>
    <w:rsid w:val="00C476F5"/>
    <w:rsid w:val="00C47F98"/>
    <w:rsid w:val="00C51A21"/>
    <w:rsid w:val="00C51DCA"/>
    <w:rsid w:val="00C530E7"/>
    <w:rsid w:val="00C54C5E"/>
    <w:rsid w:val="00C57B91"/>
    <w:rsid w:val="00C64502"/>
    <w:rsid w:val="00C647B3"/>
    <w:rsid w:val="00C65B30"/>
    <w:rsid w:val="00C65B7B"/>
    <w:rsid w:val="00C7086A"/>
    <w:rsid w:val="00C71CD1"/>
    <w:rsid w:val="00C73445"/>
    <w:rsid w:val="00C7497C"/>
    <w:rsid w:val="00C74CC7"/>
    <w:rsid w:val="00C758B9"/>
    <w:rsid w:val="00C812B6"/>
    <w:rsid w:val="00C82BCA"/>
    <w:rsid w:val="00C845DD"/>
    <w:rsid w:val="00C84909"/>
    <w:rsid w:val="00C86BF3"/>
    <w:rsid w:val="00C875DF"/>
    <w:rsid w:val="00C9133B"/>
    <w:rsid w:val="00C91C6B"/>
    <w:rsid w:val="00C963F0"/>
    <w:rsid w:val="00C97CF6"/>
    <w:rsid w:val="00CA4531"/>
    <w:rsid w:val="00CA7F52"/>
    <w:rsid w:val="00CB124B"/>
    <w:rsid w:val="00CB6C87"/>
    <w:rsid w:val="00CB7021"/>
    <w:rsid w:val="00CC0C09"/>
    <w:rsid w:val="00CC1E3A"/>
    <w:rsid w:val="00CC7795"/>
    <w:rsid w:val="00CD1882"/>
    <w:rsid w:val="00CD1EF1"/>
    <w:rsid w:val="00CD34AD"/>
    <w:rsid w:val="00CD5D7E"/>
    <w:rsid w:val="00CD61C1"/>
    <w:rsid w:val="00CE22F9"/>
    <w:rsid w:val="00CE4819"/>
    <w:rsid w:val="00CE6CDA"/>
    <w:rsid w:val="00CF0110"/>
    <w:rsid w:val="00CF2464"/>
    <w:rsid w:val="00CF7B91"/>
    <w:rsid w:val="00D01F70"/>
    <w:rsid w:val="00D02636"/>
    <w:rsid w:val="00D106DB"/>
    <w:rsid w:val="00D14B89"/>
    <w:rsid w:val="00D22224"/>
    <w:rsid w:val="00D228CD"/>
    <w:rsid w:val="00D25F4A"/>
    <w:rsid w:val="00D266A8"/>
    <w:rsid w:val="00D30618"/>
    <w:rsid w:val="00D3106C"/>
    <w:rsid w:val="00D322AE"/>
    <w:rsid w:val="00D33C72"/>
    <w:rsid w:val="00D34071"/>
    <w:rsid w:val="00D34770"/>
    <w:rsid w:val="00D36187"/>
    <w:rsid w:val="00D42B53"/>
    <w:rsid w:val="00D454A9"/>
    <w:rsid w:val="00D4579A"/>
    <w:rsid w:val="00D50565"/>
    <w:rsid w:val="00D51090"/>
    <w:rsid w:val="00D51B0B"/>
    <w:rsid w:val="00D51C0C"/>
    <w:rsid w:val="00D51FDF"/>
    <w:rsid w:val="00D54555"/>
    <w:rsid w:val="00D54607"/>
    <w:rsid w:val="00D5460C"/>
    <w:rsid w:val="00D55151"/>
    <w:rsid w:val="00D62438"/>
    <w:rsid w:val="00D62CB9"/>
    <w:rsid w:val="00D63B31"/>
    <w:rsid w:val="00D64FCF"/>
    <w:rsid w:val="00D6524F"/>
    <w:rsid w:val="00D6527B"/>
    <w:rsid w:val="00D6674D"/>
    <w:rsid w:val="00D6793E"/>
    <w:rsid w:val="00D67B09"/>
    <w:rsid w:val="00D70783"/>
    <w:rsid w:val="00D715C7"/>
    <w:rsid w:val="00D72E6D"/>
    <w:rsid w:val="00D75F72"/>
    <w:rsid w:val="00D81577"/>
    <w:rsid w:val="00D81D2C"/>
    <w:rsid w:val="00D87B46"/>
    <w:rsid w:val="00D90B7F"/>
    <w:rsid w:val="00D919E6"/>
    <w:rsid w:val="00D951E9"/>
    <w:rsid w:val="00D95351"/>
    <w:rsid w:val="00D96892"/>
    <w:rsid w:val="00DA439E"/>
    <w:rsid w:val="00DA53B2"/>
    <w:rsid w:val="00DB2DB3"/>
    <w:rsid w:val="00DB3BFB"/>
    <w:rsid w:val="00DC2736"/>
    <w:rsid w:val="00DC2A3A"/>
    <w:rsid w:val="00DC3A4D"/>
    <w:rsid w:val="00DC3F18"/>
    <w:rsid w:val="00DC584C"/>
    <w:rsid w:val="00DC5C21"/>
    <w:rsid w:val="00DC74F8"/>
    <w:rsid w:val="00DD0892"/>
    <w:rsid w:val="00DD51A7"/>
    <w:rsid w:val="00DD7DAC"/>
    <w:rsid w:val="00DE43DC"/>
    <w:rsid w:val="00DE4649"/>
    <w:rsid w:val="00DE5B01"/>
    <w:rsid w:val="00DF0EB2"/>
    <w:rsid w:val="00DF17FC"/>
    <w:rsid w:val="00DF3E48"/>
    <w:rsid w:val="00DF5404"/>
    <w:rsid w:val="00DF5A5D"/>
    <w:rsid w:val="00DF6050"/>
    <w:rsid w:val="00DF672F"/>
    <w:rsid w:val="00E06D44"/>
    <w:rsid w:val="00E12191"/>
    <w:rsid w:val="00E129E2"/>
    <w:rsid w:val="00E1711F"/>
    <w:rsid w:val="00E20144"/>
    <w:rsid w:val="00E20514"/>
    <w:rsid w:val="00E20DFE"/>
    <w:rsid w:val="00E214FA"/>
    <w:rsid w:val="00E2507B"/>
    <w:rsid w:val="00E25099"/>
    <w:rsid w:val="00E25D30"/>
    <w:rsid w:val="00E26012"/>
    <w:rsid w:val="00E279D5"/>
    <w:rsid w:val="00E30AFD"/>
    <w:rsid w:val="00E3140B"/>
    <w:rsid w:val="00E31694"/>
    <w:rsid w:val="00E32054"/>
    <w:rsid w:val="00E32F16"/>
    <w:rsid w:val="00E3485C"/>
    <w:rsid w:val="00E352C3"/>
    <w:rsid w:val="00E36F70"/>
    <w:rsid w:val="00E44393"/>
    <w:rsid w:val="00E44E33"/>
    <w:rsid w:val="00E4601E"/>
    <w:rsid w:val="00E4611A"/>
    <w:rsid w:val="00E47729"/>
    <w:rsid w:val="00E50DBF"/>
    <w:rsid w:val="00E55BFD"/>
    <w:rsid w:val="00E56247"/>
    <w:rsid w:val="00E569DE"/>
    <w:rsid w:val="00E57A73"/>
    <w:rsid w:val="00E61227"/>
    <w:rsid w:val="00E64C1B"/>
    <w:rsid w:val="00E66785"/>
    <w:rsid w:val="00E716D6"/>
    <w:rsid w:val="00E71FDF"/>
    <w:rsid w:val="00E76092"/>
    <w:rsid w:val="00E81A07"/>
    <w:rsid w:val="00E82251"/>
    <w:rsid w:val="00E83286"/>
    <w:rsid w:val="00E8530F"/>
    <w:rsid w:val="00E9025F"/>
    <w:rsid w:val="00E97B1B"/>
    <w:rsid w:val="00E97C12"/>
    <w:rsid w:val="00EA6D4C"/>
    <w:rsid w:val="00EB04D0"/>
    <w:rsid w:val="00EB4DE3"/>
    <w:rsid w:val="00EC1674"/>
    <w:rsid w:val="00EC288A"/>
    <w:rsid w:val="00EC5219"/>
    <w:rsid w:val="00EC6BD3"/>
    <w:rsid w:val="00ED0D38"/>
    <w:rsid w:val="00ED1789"/>
    <w:rsid w:val="00ED2D4A"/>
    <w:rsid w:val="00ED495D"/>
    <w:rsid w:val="00ED4FA2"/>
    <w:rsid w:val="00ED7134"/>
    <w:rsid w:val="00EE0C76"/>
    <w:rsid w:val="00EE19AD"/>
    <w:rsid w:val="00EE3B5F"/>
    <w:rsid w:val="00EE6984"/>
    <w:rsid w:val="00EF23E5"/>
    <w:rsid w:val="00EF3155"/>
    <w:rsid w:val="00EF33F8"/>
    <w:rsid w:val="00EF4EC9"/>
    <w:rsid w:val="00F07258"/>
    <w:rsid w:val="00F072E3"/>
    <w:rsid w:val="00F13CC7"/>
    <w:rsid w:val="00F143FF"/>
    <w:rsid w:val="00F15B83"/>
    <w:rsid w:val="00F20321"/>
    <w:rsid w:val="00F20A1B"/>
    <w:rsid w:val="00F21208"/>
    <w:rsid w:val="00F27708"/>
    <w:rsid w:val="00F27A32"/>
    <w:rsid w:val="00F27CF2"/>
    <w:rsid w:val="00F31581"/>
    <w:rsid w:val="00F32338"/>
    <w:rsid w:val="00F338A6"/>
    <w:rsid w:val="00F37AC3"/>
    <w:rsid w:val="00F37CB9"/>
    <w:rsid w:val="00F40E3A"/>
    <w:rsid w:val="00F41260"/>
    <w:rsid w:val="00F41ED0"/>
    <w:rsid w:val="00F4603B"/>
    <w:rsid w:val="00F46382"/>
    <w:rsid w:val="00F47310"/>
    <w:rsid w:val="00F51446"/>
    <w:rsid w:val="00F558D2"/>
    <w:rsid w:val="00F56DBE"/>
    <w:rsid w:val="00F603EE"/>
    <w:rsid w:val="00F6069E"/>
    <w:rsid w:val="00F659CF"/>
    <w:rsid w:val="00F65ED3"/>
    <w:rsid w:val="00F66FDA"/>
    <w:rsid w:val="00F70EB6"/>
    <w:rsid w:val="00F7117A"/>
    <w:rsid w:val="00F72300"/>
    <w:rsid w:val="00F729E5"/>
    <w:rsid w:val="00F74588"/>
    <w:rsid w:val="00F76DA6"/>
    <w:rsid w:val="00F779F8"/>
    <w:rsid w:val="00F80B37"/>
    <w:rsid w:val="00F80DC4"/>
    <w:rsid w:val="00F8284D"/>
    <w:rsid w:val="00F83684"/>
    <w:rsid w:val="00F83AA1"/>
    <w:rsid w:val="00F863F0"/>
    <w:rsid w:val="00F87145"/>
    <w:rsid w:val="00F904AC"/>
    <w:rsid w:val="00F917A0"/>
    <w:rsid w:val="00F91976"/>
    <w:rsid w:val="00F97115"/>
    <w:rsid w:val="00F97252"/>
    <w:rsid w:val="00F97F0F"/>
    <w:rsid w:val="00FA06BF"/>
    <w:rsid w:val="00FA1B0B"/>
    <w:rsid w:val="00FA242B"/>
    <w:rsid w:val="00FA270E"/>
    <w:rsid w:val="00FB32A6"/>
    <w:rsid w:val="00FB686B"/>
    <w:rsid w:val="00FB6A23"/>
    <w:rsid w:val="00FB7A62"/>
    <w:rsid w:val="00FC0F75"/>
    <w:rsid w:val="00FC3005"/>
    <w:rsid w:val="00FC3EF6"/>
    <w:rsid w:val="00FC4D37"/>
    <w:rsid w:val="00FC53DA"/>
    <w:rsid w:val="00FD0AE2"/>
    <w:rsid w:val="00FD1859"/>
    <w:rsid w:val="00FD2726"/>
    <w:rsid w:val="00FD593F"/>
    <w:rsid w:val="00FE3382"/>
    <w:rsid w:val="00FE3485"/>
    <w:rsid w:val="00FE36E7"/>
    <w:rsid w:val="00FE385C"/>
    <w:rsid w:val="00FE4F94"/>
    <w:rsid w:val="00FE535D"/>
    <w:rsid w:val="00FE7060"/>
    <w:rsid w:val="00FE7E21"/>
    <w:rsid w:val="00FF06E7"/>
    <w:rsid w:val="00FF172D"/>
    <w:rsid w:val="00FF5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2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F69A8"/>
    <w:pPr>
      <w:widowControl w:val="0"/>
      <w:spacing w:after="240"/>
      <w:ind w:firstLine="720"/>
    </w:pPr>
  </w:style>
  <w:style w:type="character" w:customStyle="1" w:styleId="BodyTextChar">
    <w:name w:val="Body Text Char"/>
    <w:basedOn w:val="DefaultParagraphFont"/>
    <w:link w:val="BodyText"/>
    <w:uiPriority w:val="99"/>
    <w:locked/>
    <w:rsid w:val="00AF31C5"/>
    <w:rPr>
      <w:rFonts w:cs="Times New Roman"/>
      <w:sz w:val="24"/>
      <w:szCs w:val="24"/>
      <w:lang w:eastAsia="en-US"/>
    </w:rPr>
  </w:style>
  <w:style w:type="paragraph" w:customStyle="1" w:styleId="BodyTextContinued">
    <w:name w:val="Body Text Continued"/>
    <w:basedOn w:val="BodyText"/>
    <w:next w:val="BodyText"/>
    <w:uiPriority w:val="99"/>
    <w:rsid w:val="008F69A8"/>
    <w:pPr>
      <w:ind w:firstLine="0"/>
    </w:pPr>
    <w:rPr>
      <w:szCs w:val="20"/>
    </w:rPr>
  </w:style>
  <w:style w:type="paragraph" w:styleId="Quote">
    <w:name w:val="Quote"/>
    <w:basedOn w:val="Normal"/>
    <w:next w:val="BodyTextContinued"/>
    <w:link w:val="QuoteChar"/>
    <w:uiPriority w:val="99"/>
    <w:qFormat/>
    <w:rsid w:val="008F69A8"/>
    <w:pPr>
      <w:spacing w:after="240"/>
      <w:ind w:left="1440" w:right="1440"/>
    </w:pPr>
    <w:rPr>
      <w:szCs w:val="20"/>
    </w:rPr>
  </w:style>
  <w:style w:type="character" w:customStyle="1" w:styleId="QuoteChar">
    <w:name w:val="Quote Char"/>
    <w:basedOn w:val="DefaultParagraphFont"/>
    <w:link w:val="Quote"/>
    <w:uiPriority w:val="99"/>
    <w:locked/>
    <w:rsid w:val="00AF31C5"/>
    <w:rPr>
      <w:rFonts w:cs="Times New Roman"/>
      <w:sz w:val="24"/>
      <w:lang w:eastAsia="en-US"/>
    </w:rPr>
  </w:style>
  <w:style w:type="paragraph" w:styleId="Header">
    <w:name w:val="header"/>
    <w:basedOn w:val="Normal"/>
    <w:link w:val="HeaderChar"/>
    <w:uiPriority w:val="99"/>
    <w:rsid w:val="008F69A8"/>
    <w:pPr>
      <w:tabs>
        <w:tab w:val="center" w:pos="4680"/>
        <w:tab w:val="right" w:pos="9360"/>
      </w:tabs>
    </w:pPr>
  </w:style>
  <w:style w:type="character" w:customStyle="1" w:styleId="HeaderChar">
    <w:name w:val="Header Char"/>
    <w:basedOn w:val="DefaultParagraphFont"/>
    <w:link w:val="Header"/>
    <w:uiPriority w:val="99"/>
    <w:locked/>
    <w:rsid w:val="00AF31C5"/>
    <w:rPr>
      <w:rFonts w:cs="Times New Roman"/>
      <w:sz w:val="24"/>
      <w:szCs w:val="24"/>
      <w:lang w:eastAsia="en-US"/>
    </w:rPr>
  </w:style>
  <w:style w:type="paragraph" w:styleId="Footer">
    <w:name w:val="footer"/>
    <w:basedOn w:val="Normal"/>
    <w:link w:val="FooterChar"/>
    <w:uiPriority w:val="99"/>
    <w:rsid w:val="008F69A8"/>
    <w:pPr>
      <w:tabs>
        <w:tab w:val="center" w:pos="4680"/>
        <w:tab w:val="right" w:pos="9360"/>
      </w:tabs>
    </w:pPr>
  </w:style>
  <w:style w:type="character" w:customStyle="1" w:styleId="FooterChar">
    <w:name w:val="Footer Char"/>
    <w:basedOn w:val="DefaultParagraphFont"/>
    <w:link w:val="Footer"/>
    <w:uiPriority w:val="99"/>
    <w:locked/>
    <w:rsid w:val="00AF31C5"/>
    <w:rPr>
      <w:rFonts w:cs="Times New Roman"/>
      <w:sz w:val="24"/>
      <w:szCs w:val="24"/>
      <w:lang w:eastAsia="en-US"/>
    </w:rPr>
  </w:style>
  <w:style w:type="character" w:styleId="PageNumber">
    <w:name w:val="page number"/>
    <w:basedOn w:val="DefaultParagraphFont"/>
    <w:uiPriority w:val="99"/>
    <w:rsid w:val="008F69A8"/>
    <w:rPr>
      <w:rFonts w:cs="Times New Roman"/>
    </w:rPr>
  </w:style>
  <w:style w:type="paragraph" w:customStyle="1" w:styleId="DoubleSpacing">
    <w:name w:val="Double Spacing"/>
    <w:basedOn w:val="Normal"/>
    <w:uiPriority w:val="99"/>
    <w:rsid w:val="0042120A"/>
  </w:style>
  <w:style w:type="paragraph" w:customStyle="1" w:styleId="SignatureBlock">
    <w:name w:val="Signature Block"/>
    <w:basedOn w:val="Normal"/>
    <w:uiPriority w:val="99"/>
    <w:rsid w:val="0042120A"/>
    <w:pPr>
      <w:spacing w:line="254" w:lineRule="exact"/>
      <w:ind w:left="4680"/>
    </w:pPr>
  </w:style>
  <w:style w:type="paragraph" w:customStyle="1" w:styleId="Question">
    <w:name w:val="Question"/>
    <w:uiPriority w:val="99"/>
    <w:rsid w:val="0042120A"/>
    <w:pPr>
      <w:numPr>
        <w:numId w:val="1"/>
      </w:numPr>
      <w:tabs>
        <w:tab w:val="decimal" w:pos="720"/>
      </w:tabs>
      <w:spacing w:line="480" w:lineRule="exact"/>
    </w:pPr>
    <w:rPr>
      <w:rFonts w:ascii="Arial" w:hAnsi="Arial" w:cs="Arial"/>
      <w:sz w:val="24"/>
      <w:szCs w:val="24"/>
    </w:rPr>
  </w:style>
  <w:style w:type="paragraph" w:customStyle="1" w:styleId="Answer">
    <w:name w:val="Answer"/>
    <w:link w:val="AnswerChar"/>
    <w:uiPriority w:val="99"/>
    <w:rsid w:val="0042120A"/>
    <w:pPr>
      <w:numPr>
        <w:numId w:val="2"/>
      </w:numPr>
      <w:tabs>
        <w:tab w:val="clear" w:pos="360"/>
        <w:tab w:val="decimal" w:pos="720"/>
        <w:tab w:val="num" w:pos="1440"/>
      </w:tabs>
      <w:spacing w:line="480" w:lineRule="exact"/>
      <w:ind w:left="720" w:hanging="720"/>
    </w:pPr>
    <w:rPr>
      <w:rFonts w:ascii="Arial" w:hAnsi="Arial" w:cs="Arial"/>
      <w:sz w:val="24"/>
      <w:szCs w:val="24"/>
    </w:rPr>
  </w:style>
  <w:style w:type="paragraph" w:styleId="BodyTextIndent">
    <w:name w:val="Body Text Indent"/>
    <w:basedOn w:val="Normal"/>
    <w:link w:val="BodyTextIndentChar"/>
    <w:uiPriority w:val="99"/>
    <w:rsid w:val="0042120A"/>
    <w:pPr>
      <w:spacing w:line="480" w:lineRule="atLeast"/>
      <w:ind w:left="720"/>
    </w:pPr>
    <w:rPr>
      <w:rFonts w:ascii="Arial" w:hAnsi="Arial"/>
    </w:rPr>
  </w:style>
  <w:style w:type="character" w:customStyle="1" w:styleId="BodyTextIndentChar">
    <w:name w:val="Body Text Indent Char"/>
    <w:basedOn w:val="DefaultParagraphFont"/>
    <w:link w:val="BodyTextIndent"/>
    <w:uiPriority w:val="99"/>
    <w:locked/>
    <w:rsid w:val="0042120A"/>
    <w:rPr>
      <w:rFonts w:ascii="Arial" w:hAnsi="Arial" w:cs="Times New Roman"/>
      <w:sz w:val="24"/>
      <w:szCs w:val="24"/>
      <w:lang w:eastAsia="en-US"/>
    </w:rPr>
  </w:style>
  <w:style w:type="paragraph" w:customStyle="1" w:styleId="Answersub">
    <w:name w:val="Answer sub"/>
    <w:basedOn w:val="Answer"/>
    <w:uiPriority w:val="99"/>
    <w:rsid w:val="0042120A"/>
    <w:pPr>
      <w:numPr>
        <w:numId w:val="0"/>
      </w:numPr>
      <w:tabs>
        <w:tab w:val="clear" w:pos="720"/>
      </w:tabs>
      <w:spacing w:line="360" w:lineRule="auto"/>
      <w:ind w:left="720" w:hanging="720"/>
      <w:jc w:val="both"/>
    </w:pPr>
    <w:rPr>
      <w:rFonts w:ascii="Times New Roman" w:hAnsi="Times New Roman"/>
    </w:rPr>
  </w:style>
  <w:style w:type="character" w:customStyle="1" w:styleId="AnswerChar">
    <w:name w:val="Answer Char"/>
    <w:basedOn w:val="DefaultParagraphFont"/>
    <w:link w:val="Answer"/>
    <w:uiPriority w:val="99"/>
    <w:locked/>
    <w:rsid w:val="0042120A"/>
    <w:rPr>
      <w:rFonts w:ascii="Arial" w:hAnsi="Arial" w:cs="Arial"/>
      <w:sz w:val="24"/>
      <w:szCs w:val="24"/>
      <w:lang w:val="en-US" w:eastAsia="en-US" w:bidi="ar-SA"/>
    </w:rPr>
  </w:style>
  <w:style w:type="character" w:styleId="LineNumber">
    <w:name w:val="line number"/>
    <w:basedOn w:val="DefaultParagraphFont"/>
    <w:uiPriority w:val="99"/>
    <w:rsid w:val="0042120A"/>
    <w:rPr>
      <w:rFonts w:cs="Times New Roman"/>
    </w:rPr>
  </w:style>
  <w:style w:type="character" w:customStyle="1" w:styleId="zzmpTrailerItem">
    <w:name w:val="zzmpTrailerItem"/>
    <w:basedOn w:val="DefaultParagraphFont"/>
    <w:uiPriority w:val="99"/>
    <w:rsid w:val="00551C97"/>
    <w:rPr>
      <w:rFonts w:ascii="Times New Roman" w:hAnsi="Times New Roman" w:cs="Times New Roman"/>
      <w:noProof/>
      <w:color w:val="auto"/>
      <w:spacing w:val="0"/>
      <w:position w:val="0"/>
      <w:sz w:val="16"/>
      <w:szCs w:val="16"/>
      <w:u w:val="none"/>
      <w:effect w:val="antsRed"/>
      <w:vertAlign w:val="baseline"/>
    </w:rPr>
  </w:style>
  <w:style w:type="paragraph" w:styleId="BalloonText">
    <w:name w:val="Balloon Text"/>
    <w:basedOn w:val="Normal"/>
    <w:link w:val="BalloonTextChar"/>
    <w:uiPriority w:val="99"/>
    <w:rsid w:val="00E4601E"/>
    <w:rPr>
      <w:rFonts w:ascii="Tahoma" w:hAnsi="Tahoma" w:cs="Tahoma"/>
      <w:sz w:val="16"/>
      <w:szCs w:val="16"/>
    </w:rPr>
  </w:style>
  <w:style w:type="character" w:customStyle="1" w:styleId="BalloonTextChar">
    <w:name w:val="Balloon Text Char"/>
    <w:basedOn w:val="DefaultParagraphFont"/>
    <w:link w:val="BalloonText"/>
    <w:uiPriority w:val="99"/>
    <w:locked/>
    <w:rsid w:val="00E4601E"/>
    <w:rPr>
      <w:rFonts w:ascii="Tahoma" w:hAnsi="Tahoma" w:cs="Tahoma"/>
      <w:sz w:val="16"/>
      <w:szCs w:val="16"/>
      <w:lang w:eastAsia="en-US"/>
    </w:rPr>
  </w:style>
  <w:style w:type="character" w:styleId="CommentReference">
    <w:name w:val="annotation reference"/>
    <w:basedOn w:val="DefaultParagraphFont"/>
    <w:uiPriority w:val="99"/>
    <w:rsid w:val="00077A87"/>
    <w:rPr>
      <w:rFonts w:cs="Times New Roman"/>
      <w:sz w:val="16"/>
      <w:szCs w:val="16"/>
    </w:rPr>
  </w:style>
  <w:style w:type="paragraph" w:styleId="CommentText">
    <w:name w:val="annotation text"/>
    <w:basedOn w:val="Normal"/>
    <w:link w:val="CommentTextChar"/>
    <w:uiPriority w:val="99"/>
    <w:rsid w:val="00077A87"/>
    <w:rPr>
      <w:sz w:val="20"/>
      <w:szCs w:val="20"/>
    </w:rPr>
  </w:style>
  <w:style w:type="character" w:customStyle="1" w:styleId="CommentTextChar">
    <w:name w:val="Comment Text Char"/>
    <w:basedOn w:val="DefaultParagraphFont"/>
    <w:link w:val="CommentText"/>
    <w:uiPriority w:val="99"/>
    <w:locked/>
    <w:rsid w:val="00077A87"/>
    <w:rPr>
      <w:rFonts w:cs="Times New Roman"/>
      <w:lang w:eastAsia="en-US"/>
    </w:rPr>
  </w:style>
  <w:style w:type="paragraph" w:styleId="CommentSubject">
    <w:name w:val="annotation subject"/>
    <w:basedOn w:val="CommentText"/>
    <w:next w:val="CommentText"/>
    <w:link w:val="CommentSubjectChar"/>
    <w:uiPriority w:val="99"/>
    <w:rsid w:val="00077A87"/>
    <w:rPr>
      <w:b/>
      <w:bCs/>
    </w:rPr>
  </w:style>
  <w:style w:type="character" w:customStyle="1" w:styleId="CommentSubjectChar">
    <w:name w:val="Comment Subject Char"/>
    <w:basedOn w:val="CommentTextChar"/>
    <w:link w:val="CommentSubject"/>
    <w:uiPriority w:val="99"/>
    <w:locked/>
    <w:rsid w:val="00077A87"/>
    <w:rPr>
      <w:b/>
      <w:bCs/>
    </w:rPr>
  </w:style>
  <w:style w:type="paragraph" w:styleId="DocumentMap">
    <w:name w:val="Document Map"/>
    <w:basedOn w:val="Normal"/>
    <w:link w:val="DocumentMapChar"/>
    <w:uiPriority w:val="99"/>
    <w:semiHidden/>
    <w:unhideWhenUsed/>
    <w:rsid w:val="001079F1"/>
    <w:rPr>
      <w:rFonts w:ascii="Tahoma" w:hAnsi="Tahoma" w:cs="Tahoma"/>
      <w:sz w:val="16"/>
      <w:szCs w:val="16"/>
    </w:rPr>
  </w:style>
  <w:style w:type="character" w:customStyle="1" w:styleId="DocumentMapChar">
    <w:name w:val="Document Map Char"/>
    <w:basedOn w:val="DefaultParagraphFont"/>
    <w:link w:val="DocumentMap"/>
    <w:uiPriority w:val="99"/>
    <w:semiHidden/>
    <w:rsid w:val="001079F1"/>
    <w:rPr>
      <w:rFonts w:ascii="Tahoma" w:hAnsi="Tahoma" w:cs="Tahoma"/>
      <w:sz w:val="16"/>
      <w:szCs w:val="16"/>
    </w:rPr>
  </w:style>
  <w:style w:type="table" w:styleId="TableGrid">
    <w:name w:val="Table Grid"/>
    <w:basedOn w:val="TableNormal"/>
    <w:locked/>
    <w:rsid w:val="00C74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89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8.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11.xml"/><Relationship Id="rId30"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1069-B9AD-4F1C-AF57-610D8656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43</Pages>
  <Words>6591</Words>
  <Characters>37574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GULF POWER COMPANY</vt:lpstr>
    </vt:vector>
  </TitlesOfParts>
  <Company>Gunster</Company>
  <LinksUpToDate>false</LinksUpToDate>
  <CharactersWithSpaces>44077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GULF POWER COMPANY</dc:title>
  <dc:creator>guycha</dc:creator>
  <cp:lastModifiedBy>Natalie B Milstead</cp:lastModifiedBy>
  <cp:revision>8</cp:revision>
  <cp:lastPrinted>2011-06-13T16:46:00Z</cp:lastPrinted>
  <dcterms:created xsi:type="dcterms:W3CDTF">2011-07-01T17:27:00Z</dcterms:created>
  <dcterms:modified xsi:type="dcterms:W3CDTF">2011-07-01T21:14:00Z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1435467348</vt:i4>
  </property>
  <property fmtid="{D5CDD505-2E9C-101B-9397-08002B2CF9AE}" pid="3" name="_NewReviewCycle">
    <vt:lpwstr/>
  </property>
  <property fmtid="{D5CDD505-2E9C-101B-9397-08002B2CF9AE}" pid="4" name="_EmailSubject">
    <vt:lpwstr>O'Sheasy UPdate</vt:lpwstr>
  </property>
  <property fmtid="{D5CDD505-2E9C-101B-9397-08002B2CF9AE}" pid="5" name="_AuthorEmail">
    <vt:lpwstr>SDRITENO@southernco.com</vt:lpwstr>
  </property>
  <property fmtid="{D5CDD505-2E9C-101B-9397-08002B2CF9AE}" pid="6" name="_AuthorEmailDisplayName">
    <vt:lpwstr>Ritenour, Susan D.</vt:lpwstr>
  </property>
  <property fmtid="{D5CDD505-2E9C-101B-9397-08002B2CF9AE}" pid="7" name="_ReviewingToolsShownOnce">
    <vt:lpwstr/>
  </property>
</Properties>
</file>