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2D" w:rsidRPr="00822270" w:rsidRDefault="00D32D2D" w:rsidP="00A7374C">
      <w:pPr>
        <w:jc w:val="center"/>
        <w:outlineLvl w:val="0"/>
        <w:rPr>
          <w:rFonts w:ascii="Arial" w:hAnsi="Arial" w:cs="Arial"/>
          <w:sz w:val="24"/>
          <w:szCs w:val="24"/>
        </w:rPr>
      </w:pPr>
      <w:smartTag w:uri="urn:schemas-microsoft-com:office:smarttags" w:element="stockticker">
        <w:r w:rsidRPr="00822270">
          <w:rPr>
            <w:rFonts w:ascii="Arial" w:hAnsi="Arial" w:cs="Arial"/>
            <w:sz w:val="24"/>
            <w:szCs w:val="24"/>
          </w:rPr>
          <w:t>GULF</w:t>
        </w:r>
      </w:smartTag>
      <w:r w:rsidRPr="00822270">
        <w:rPr>
          <w:rFonts w:ascii="Arial" w:hAnsi="Arial" w:cs="Arial"/>
          <w:sz w:val="24"/>
          <w:szCs w:val="24"/>
        </w:rPr>
        <w:t xml:space="preserve"> POWER COMPANY</w:t>
      </w:r>
    </w:p>
    <w:p w:rsidR="00D32D2D" w:rsidRPr="00B04CEB" w:rsidRDefault="00D32D2D" w:rsidP="00500A00">
      <w:pPr>
        <w:ind w:left="720"/>
        <w:jc w:val="center"/>
        <w:rPr>
          <w:rFonts w:ascii="Arial" w:hAnsi="Arial" w:cs="Arial"/>
          <w:sz w:val="24"/>
          <w:szCs w:val="24"/>
        </w:rPr>
        <w:sectPr w:rsidR="00D32D2D" w:rsidRPr="00B04CEB" w:rsidSect="00500A00">
          <w:footerReference w:type="default" r:id="rId7"/>
          <w:pgSz w:w="12240" w:h="15840" w:code="1"/>
          <w:pgMar w:top="1800" w:right="1440" w:bottom="1800" w:left="2160" w:header="720" w:footer="720" w:gutter="0"/>
          <w:lnNumType w:countBy="1"/>
          <w:cols w:space="720"/>
          <w:docGrid w:linePitch="360"/>
        </w:sectPr>
      </w:pPr>
    </w:p>
    <w:p w:rsidR="00D32D2D" w:rsidRPr="00B04CEB" w:rsidRDefault="00D32D2D" w:rsidP="00A7374C">
      <w:pPr>
        <w:ind w:left="720"/>
        <w:jc w:val="center"/>
        <w:rPr>
          <w:rFonts w:ascii="Arial" w:hAnsi="Arial" w:cs="Arial"/>
          <w:sz w:val="24"/>
          <w:szCs w:val="24"/>
        </w:rPr>
      </w:pPr>
    </w:p>
    <w:p w:rsidR="00D32D2D" w:rsidRPr="00B04CEB" w:rsidRDefault="00D32D2D" w:rsidP="00A7374C">
      <w:pPr>
        <w:jc w:val="center"/>
        <w:rPr>
          <w:rFonts w:ascii="Arial" w:hAnsi="Arial" w:cs="Arial"/>
          <w:sz w:val="24"/>
          <w:szCs w:val="24"/>
        </w:rPr>
        <w:sectPr w:rsidR="00D32D2D" w:rsidRPr="00B04CEB" w:rsidSect="000772B4">
          <w:type w:val="continuous"/>
          <w:pgSz w:w="12240" w:h="15840" w:code="1"/>
          <w:pgMar w:top="1800" w:right="1440" w:bottom="1800" w:left="2160" w:header="720" w:footer="720" w:gutter="0"/>
          <w:cols w:space="720"/>
          <w:docGrid w:linePitch="360"/>
        </w:sectPr>
      </w:pPr>
    </w:p>
    <w:p w:rsidR="00D32D2D" w:rsidRPr="00B04CEB" w:rsidRDefault="00D32D2D" w:rsidP="00A7374C">
      <w:pPr>
        <w:jc w:val="center"/>
        <w:rPr>
          <w:rFonts w:ascii="Arial" w:hAnsi="Arial" w:cs="Arial"/>
          <w:sz w:val="24"/>
          <w:szCs w:val="24"/>
        </w:rPr>
      </w:pPr>
      <w:r w:rsidRPr="00B04CEB">
        <w:rPr>
          <w:rFonts w:ascii="Arial" w:hAnsi="Arial" w:cs="Arial"/>
          <w:sz w:val="24"/>
          <w:szCs w:val="24"/>
        </w:rPr>
        <w:t xml:space="preserve">Before the </w:t>
      </w:r>
      <w:smartTag w:uri="urn:schemas-microsoft-com:office:smarttags" w:element="place">
        <w:smartTag w:uri="urn:schemas-microsoft-com:office:smarttags" w:element="State">
          <w:r w:rsidRPr="00B04CEB">
            <w:rPr>
              <w:rFonts w:ascii="Arial" w:hAnsi="Arial" w:cs="Arial"/>
              <w:sz w:val="24"/>
              <w:szCs w:val="24"/>
            </w:rPr>
            <w:t>Florida</w:t>
          </w:r>
        </w:smartTag>
      </w:smartTag>
      <w:r w:rsidRPr="00B04CEB">
        <w:rPr>
          <w:rFonts w:ascii="Arial" w:hAnsi="Arial" w:cs="Arial"/>
          <w:sz w:val="24"/>
          <w:szCs w:val="24"/>
        </w:rPr>
        <w:t xml:space="preserve"> Public Service Commission</w:t>
      </w:r>
    </w:p>
    <w:p w:rsidR="00D32D2D" w:rsidRPr="00B04CEB" w:rsidRDefault="00D32D2D" w:rsidP="00A7374C">
      <w:pPr>
        <w:jc w:val="center"/>
        <w:rPr>
          <w:rFonts w:ascii="Arial" w:hAnsi="Arial" w:cs="Arial"/>
          <w:sz w:val="24"/>
          <w:szCs w:val="24"/>
        </w:rPr>
        <w:sectPr w:rsidR="00D32D2D" w:rsidRPr="00B04CEB" w:rsidSect="000772B4">
          <w:type w:val="continuous"/>
          <w:pgSz w:w="12240" w:h="15840" w:code="1"/>
          <w:pgMar w:top="1800" w:right="1440" w:bottom="1800" w:left="2160" w:header="720" w:footer="720" w:gutter="0"/>
          <w:lnNumType w:countBy="1" w:start="1"/>
          <w:cols w:space="720"/>
          <w:docGrid w:linePitch="360"/>
        </w:sectPr>
      </w:pPr>
    </w:p>
    <w:p w:rsidR="00D32D2D" w:rsidRPr="00B04CEB" w:rsidRDefault="00D32D2D" w:rsidP="00A7374C">
      <w:pPr>
        <w:jc w:val="center"/>
        <w:rPr>
          <w:rFonts w:ascii="Arial" w:hAnsi="Arial" w:cs="Arial"/>
          <w:sz w:val="24"/>
          <w:szCs w:val="24"/>
        </w:rPr>
      </w:pPr>
      <w:r w:rsidRPr="00B04CEB">
        <w:rPr>
          <w:rFonts w:ascii="Arial" w:hAnsi="Arial" w:cs="Arial"/>
          <w:sz w:val="24"/>
          <w:szCs w:val="24"/>
        </w:rPr>
        <w:t>Prepared Direct Testimony of</w:t>
      </w:r>
    </w:p>
    <w:p w:rsidR="00D32D2D" w:rsidRPr="00B04CEB" w:rsidRDefault="00D32D2D" w:rsidP="00A7374C">
      <w:pPr>
        <w:jc w:val="center"/>
        <w:rPr>
          <w:rFonts w:ascii="Arial" w:hAnsi="Arial" w:cs="Arial"/>
          <w:sz w:val="24"/>
          <w:szCs w:val="24"/>
        </w:rPr>
        <w:sectPr w:rsidR="00D32D2D" w:rsidRPr="00B04CEB" w:rsidSect="000772B4">
          <w:type w:val="continuous"/>
          <w:pgSz w:w="12240" w:h="15840" w:code="1"/>
          <w:pgMar w:top="1800" w:right="1440" w:bottom="1800" w:left="2160" w:header="720" w:footer="720" w:gutter="0"/>
          <w:cols w:space="720"/>
          <w:docGrid w:linePitch="360"/>
        </w:sectPr>
      </w:pPr>
    </w:p>
    <w:p w:rsidR="00D32D2D" w:rsidRPr="00B04CEB" w:rsidRDefault="00D32D2D" w:rsidP="00A7374C">
      <w:pPr>
        <w:jc w:val="center"/>
        <w:rPr>
          <w:rFonts w:ascii="Arial" w:hAnsi="Arial" w:cs="Arial"/>
          <w:sz w:val="24"/>
          <w:szCs w:val="24"/>
        </w:rPr>
      </w:pPr>
      <w:r w:rsidRPr="00B04CEB">
        <w:rPr>
          <w:rFonts w:ascii="Arial" w:hAnsi="Arial" w:cs="Arial"/>
          <w:sz w:val="24"/>
          <w:szCs w:val="24"/>
        </w:rPr>
        <w:t>Scott C. Twery and Anne E. Crumlish</w:t>
      </w:r>
    </w:p>
    <w:p w:rsidR="00D32D2D" w:rsidRPr="00B04CEB" w:rsidRDefault="00D32D2D" w:rsidP="00A7374C">
      <w:pPr>
        <w:jc w:val="center"/>
        <w:rPr>
          <w:rFonts w:ascii="Arial" w:hAnsi="Arial" w:cs="Arial"/>
          <w:sz w:val="24"/>
          <w:szCs w:val="24"/>
        </w:rPr>
        <w:sectPr w:rsidR="00D32D2D" w:rsidRPr="00B04CEB" w:rsidSect="000772B4">
          <w:type w:val="continuous"/>
          <w:pgSz w:w="12240" w:h="15840" w:code="1"/>
          <w:pgMar w:top="1800" w:right="1440" w:bottom="1800" w:left="2160" w:header="720" w:footer="720" w:gutter="0"/>
          <w:lnNumType w:countBy="1" w:start="2"/>
          <w:cols w:space="720"/>
          <w:docGrid w:linePitch="360"/>
        </w:sectPr>
      </w:pPr>
    </w:p>
    <w:p w:rsidR="00D32D2D" w:rsidRPr="00B04CEB" w:rsidRDefault="00D32D2D" w:rsidP="00A7374C">
      <w:pPr>
        <w:jc w:val="center"/>
        <w:rPr>
          <w:rFonts w:ascii="Arial" w:hAnsi="Arial" w:cs="Arial"/>
          <w:sz w:val="24"/>
          <w:szCs w:val="24"/>
        </w:rPr>
      </w:pPr>
      <w:r w:rsidRPr="00B04CEB">
        <w:rPr>
          <w:rFonts w:ascii="Arial" w:hAnsi="Arial" w:cs="Arial"/>
          <w:sz w:val="24"/>
          <w:szCs w:val="24"/>
        </w:rPr>
        <w:t>Docket No. 110138-EI</w:t>
      </w:r>
    </w:p>
    <w:p w:rsidR="00D32D2D" w:rsidRPr="00B04CEB" w:rsidRDefault="00D32D2D" w:rsidP="00A7374C">
      <w:pPr>
        <w:jc w:val="center"/>
        <w:rPr>
          <w:rFonts w:ascii="Arial" w:hAnsi="Arial" w:cs="Arial"/>
          <w:sz w:val="24"/>
          <w:szCs w:val="24"/>
        </w:rPr>
        <w:sectPr w:rsidR="00D32D2D" w:rsidRPr="00B04CEB" w:rsidSect="000772B4">
          <w:type w:val="continuous"/>
          <w:pgSz w:w="12240" w:h="15840" w:code="1"/>
          <w:pgMar w:top="1800" w:right="1440" w:bottom="1800" w:left="2160" w:header="720" w:footer="720" w:gutter="0"/>
          <w:cols w:space="720"/>
          <w:docGrid w:linePitch="360"/>
        </w:sectPr>
      </w:pPr>
    </w:p>
    <w:p w:rsidR="00D32D2D" w:rsidRPr="00B04CEB" w:rsidRDefault="00D32D2D" w:rsidP="00A7374C">
      <w:pPr>
        <w:jc w:val="center"/>
        <w:rPr>
          <w:rFonts w:ascii="Arial" w:hAnsi="Arial" w:cs="Arial"/>
          <w:sz w:val="24"/>
          <w:szCs w:val="24"/>
        </w:rPr>
      </w:pPr>
      <w:r w:rsidRPr="00B04CEB">
        <w:rPr>
          <w:rFonts w:ascii="Arial" w:hAnsi="Arial" w:cs="Arial"/>
          <w:sz w:val="24"/>
          <w:szCs w:val="24"/>
        </w:rPr>
        <w:t>In Support of Rate Relief</w:t>
      </w:r>
    </w:p>
    <w:p w:rsidR="00D32D2D" w:rsidRPr="00B04CEB" w:rsidRDefault="00D32D2D" w:rsidP="00A7374C">
      <w:pPr>
        <w:jc w:val="center"/>
        <w:rPr>
          <w:rFonts w:ascii="Arial" w:hAnsi="Arial" w:cs="Arial"/>
          <w:sz w:val="24"/>
          <w:szCs w:val="24"/>
        </w:rPr>
        <w:sectPr w:rsidR="00D32D2D" w:rsidRPr="00B04CEB" w:rsidSect="000772B4">
          <w:type w:val="continuous"/>
          <w:pgSz w:w="12240" w:h="15840" w:code="1"/>
          <w:pgMar w:top="1800" w:right="1440" w:bottom="1800" w:left="2160" w:header="720" w:footer="720" w:gutter="0"/>
          <w:lnNumType w:countBy="1" w:start="3"/>
          <w:cols w:space="720"/>
          <w:docGrid w:linePitch="360"/>
        </w:sectPr>
      </w:pPr>
    </w:p>
    <w:p w:rsidR="00D32D2D" w:rsidRPr="00B04CEB" w:rsidRDefault="00D32D2D" w:rsidP="00A7374C">
      <w:pPr>
        <w:jc w:val="center"/>
        <w:rPr>
          <w:rFonts w:ascii="Arial" w:hAnsi="Arial" w:cs="Arial"/>
          <w:sz w:val="24"/>
          <w:szCs w:val="24"/>
        </w:rPr>
      </w:pPr>
      <w:r w:rsidRPr="00B04CEB">
        <w:rPr>
          <w:rFonts w:ascii="Arial" w:hAnsi="Arial" w:cs="Arial"/>
          <w:sz w:val="24"/>
          <w:szCs w:val="24"/>
        </w:rPr>
        <w:t xml:space="preserve">Date of Filing: </w:t>
      </w:r>
      <w:smartTag w:uri="urn:schemas-microsoft-com:office:smarttags" w:element="date">
        <w:smartTagPr>
          <w:attr w:name="Year" w:val="2011"/>
          <w:attr w:name="Day" w:val="8"/>
          <w:attr w:name="Month" w:val="7"/>
        </w:smartTagPr>
        <w:r w:rsidRPr="00B04CEB">
          <w:rPr>
            <w:rFonts w:ascii="Arial" w:hAnsi="Arial" w:cs="Arial"/>
            <w:sz w:val="24"/>
            <w:szCs w:val="24"/>
          </w:rPr>
          <w:t xml:space="preserve">July </w:t>
        </w:r>
        <w:r>
          <w:rPr>
            <w:rFonts w:ascii="Arial" w:hAnsi="Arial" w:cs="Arial"/>
            <w:sz w:val="24"/>
            <w:szCs w:val="24"/>
          </w:rPr>
          <w:t>8</w:t>
        </w:r>
        <w:r w:rsidRPr="00B04CEB">
          <w:rPr>
            <w:rFonts w:ascii="Arial" w:hAnsi="Arial" w:cs="Arial"/>
            <w:sz w:val="24"/>
            <w:szCs w:val="24"/>
          </w:rPr>
          <w:t>, 2011</w:t>
        </w:r>
      </w:smartTag>
    </w:p>
    <w:p w:rsidR="00D32D2D" w:rsidRPr="00B04CEB" w:rsidRDefault="00D32D2D" w:rsidP="000772B4">
      <w:pPr>
        <w:spacing w:line="480" w:lineRule="atLeast"/>
        <w:jc w:val="both"/>
        <w:rPr>
          <w:rFonts w:ascii="Arial" w:hAnsi="Arial" w:cs="Arial"/>
          <w:sz w:val="24"/>
          <w:szCs w:val="24"/>
        </w:rPr>
        <w:sectPr w:rsidR="00D32D2D" w:rsidRPr="00B04CEB" w:rsidSect="000772B4">
          <w:type w:val="continuous"/>
          <w:pgSz w:w="12240" w:h="15840" w:code="1"/>
          <w:pgMar w:top="1800" w:right="1440" w:bottom="1800" w:left="2160" w:header="720" w:footer="720" w:gutter="0"/>
          <w:cols w:space="720"/>
          <w:docGrid w:linePitch="360"/>
        </w:sectPr>
      </w:pPr>
    </w:p>
    <w:p w:rsidR="00D32D2D" w:rsidRPr="00B04CEB" w:rsidRDefault="00D32D2D" w:rsidP="009B56AF">
      <w:pPr>
        <w:spacing w:line="240" w:lineRule="atLeast"/>
        <w:jc w:val="both"/>
        <w:rPr>
          <w:rFonts w:ascii="Arial" w:hAnsi="Arial" w:cs="Arial"/>
          <w:sz w:val="24"/>
          <w:szCs w:val="24"/>
        </w:rPr>
      </w:pPr>
    </w:p>
    <w:p w:rsidR="00D32D2D" w:rsidRPr="00B04CEB" w:rsidRDefault="00D32D2D" w:rsidP="000772B4">
      <w:pPr>
        <w:spacing w:line="480" w:lineRule="atLeast"/>
        <w:jc w:val="both"/>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Mr. Twery, please state your name, business address and occupation.</w:t>
      </w:r>
    </w:p>
    <w:p w:rsidR="00D32D2D" w:rsidRPr="00B04CEB" w:rsidRDefault="00D32D2D" w:rsidP="0070214B">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sz w:val="24"/>
          <w:szCs w:val="24"/>
        </w:rPr>
        <w:tab/>
        <w:t xml:space="preserve">My name is Scott C. Twery.  My business address is </w:t>
      </w:r>
      <w:smartTag w:uri="urn:schemas-microsoft-com:office:smarttags" w:element="address">
        <w:smartTag w:uri="urn:schemas-microsoft-com:office:smarttags" w:element="Street">
          <w:r w:rsidRPr="00B04CEB">
            <w:rPr>
              <w:rFonts w:ascii="Arial" w:hAnsi="Arial" w:cs="Arial"/>
              <w:sz w:val="24"/>
              <w:szCs w:val="24"/>
            </w:rPr>
            <w:t>3350 Riverwood Parkway, Suite 80</w:t>
          </w:r>
        </w:smartTag>
        <w:r w:rsidRPr="00B04CEB">
          <w:rPr>
            <w:rFonts w:ascii="Arial" w:hAnsi="Arial" w:cs="Arial"/>
            <w:sz w:val="24"/>
            <w:szCs w:val="24"/>
          </w:rPr>
          <w:t xml:space="preserve">, </w:t>
        </w:r>
        <w:smartTag w:uri="urn:schemas-microsoft-com:office:smarttags" w:element="City">
          <w:r w:rsidRPr="00B04CEB">
            <w:rPr>
              <w:rFonts w:ascii="Arial" w:hAnsi="Arial" w:cs="Arial"/>
              <w:sz w:val="24"/>
              <w:szCs w:val="24"/>
            </w:rPr>
            <w:t>Atlanta</w:t>
          </w:r>
        </w:smartTag>
        <w:r w:rsidRPr="00B04CEB">
          <w:rPr>
            <w:rFonts w:ascii="Arial" w:hAnsi="Arial" w:cs="Arial"/>
            <w:sz w:val="24"/>
            <w:szCs w:val="24"/>
          </w:rPr>
          <w:t xml:space="preserve">, </w:t>
        </w:r>
        <w:smartTag w:uri="urn:schemas-microsoft-com:office:smarttags" w:element="State">
          <w:r w:rsidRPr="00B04CEB">
            <w:rPr>
              <w:rFonts w:ascii="Arial" w:hAnsi="Arial" w:cs="Arial"/>
              <w:sz w:val="24"/>
              <w:szCs w:val="24"/>
            </w:rPr>
            <w:t>GA</w:t>
          </w:r>
        </w:smartTag>
        <w:r w:rsidRPr="00B04CEB">
          <w:rPr>
            <w:rFonts w:ascii="Arial" w:hAnsi="Arial" w:cs="Arial"/>
            <w:sz w:val="24"/>
            <w:szCs w:val="24"/>
          </w:rPr>
          <w:t xml:space="preserve"> </w:t>
        </w:r>
        <w:smartTag w:uri="urn:schemas-microsoft-com:office:smarttags" w:element="PostalCode">
          <w:r w:rsidRPr="00B04CEB">
            <w:rPr>
              <w:rFonts w:ascii="Arial" w:hAnsi="Arial" w:cs="Arial"/>
              <w:sz w:val="24"/>
              <w:szCs w:val="24"/>
            </w:rPr>
            <w:t>30339</w:t>
          </w:r>
        </w:smartTag>
      </w:smartTag>
      <w:r w:rsidRPr="00B04CEB">
        <w:rPr>
          <w:rFonts w:ascii="Arial" w:hAnsi="Arial" w:cs="Arial"/>
          <w:sz w:val="24"/>
          <w:szCs w:val="24"/>
        </w:rPr>
        <w:t xml:space="preserve">.  I am a Principal and Consulting Actuary in Aon Hewitt's retirement practice.  Aon Hewitt is a global market leader in Human Resources consulting and outsourcing with 29,000 colleagues serving more than 20,000 clients.  </w:t>
      </w:r>
    </w:p>
    <w:p w:rsidR="00D32D2D" w:rsidRPr="00B04CEB" w:rsidRDefault="00D32D2D" w:rsidP="000772B4">
      <w:pPr>
        <w:spacing w:line="480" w:lineRule="atLeast"/>
        <w:ind w:left="720" w:hanging="720"/>
        <w:jc w:val="both"/>
        <w:rPr>
          <w:rFonts w:ascii="Arial" w:hAnsi="Arial" w:cs="Arial"/>
          <w:sz w:val="24"/>
          <w:szCs w:val="24"/>
        </w:rPr>
      </w:pPr>
      <w:r w:rsidRPr="00B04CEB">
        <w:rPr>
          <w:rFonts w:ascii="Arial" w:hAnsi="Arial" w:cs="Arial"/>
          <w:sz w:val="24"/>
          <w:szCs w:val="24"/>
        </w:rPr>
        <w:tab/>
      </w:r>
    </w:p>
    <w:p w:rsidR="00D32D2D" w:rsidRPr="00B04CEB" w:rsidRDefault="00D32D2D" w:rsidP="000772B4">
      <w:pPr>
        <w:numPr>
          <w:ilvl w:val="0"/>
          <w:numId w:val="2"/>
        </w:numPr>
        <w:spacing w:line="480" w:lineRule="atLeast"/>
        <w:jc w:val="both"/>
        <w:rPr>
          <w:rFonts w:ascii="Arial" w:hAnsi="Arial" w:cs="Arial"/>
          <w:sz w:val="24"/>
          <w:szCs w:val="24"/>
        </w:rPr>
      </w:pPr>
      <w:r w:rsidRPr="00B04CEB">
        <w:rPr>
          <w:rFonts w:ascii="Arial" w:hAnsi="Arial" w:cs="Arial"/>
          <w:sz w:val="24"/>
          <w:szCs w:val="24"/>
        </w:rPr>
        <w:t>Please summarize your educational and professional background.</w:t>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b/>
          <w:sz w:val="24"/>
          <w:szCs w:val="24"/>
        </w:rPr>
        <w:tab/>
      </w:r>
      <w:r w:rsidRPr="00B04CEB">
        <w:rPr>
          <w:rFonts w:ascii="Arial" w:hAnsi="Arial" w:cs="Arial"/>
          <w:sz w:val="24"/>
          <w:szCs w:val="24"/>
        </w:rPr>
        <w:t xml:space="preserve">I have worked for over 30 years as an actuary consulting with companies about their retirement benefit programs. I am a Fellow of the Society of Actuaries and an Enrolled Actuary. I earned a Bachelor of Science in mathematical sciences with an actuarial science emphasis. I have consulted with Gulf Power Company (Gulf, or the Company) and Southern Company for over 20 years on their benefit programs. During that period, I have led actuarial teams that have determined the companies' retirement benefit costs and consulted with them on benefit competitiveness. </w:t>
      </w:r>
    </w:p>
    <w:p w:rsidR="00D32D2D" w:rsidRPr="00B04CEB" w:rsidRDefault="00D32D2D" w:rsidP="000772B4">
      <w:pPr>
        <w:spacing w:line="480" w:lineRule="atLeast"/>
        <w:ind w:left="720" w:hanging="720"/>
        <w:rPr>
          <w:rFonts w:ascii="Arial" w:hAnsi="Arial" w:cs="Arial"/>
          <w:sz w:val="24"/>
          <w:szCs w:val="24"/>
        </w:rPr>
      </w:pPr>
    </w:p>
    <w:p w:rsidR="00D32D2D" w:rsidRPr="00B04CEB" w:rsidRDefault="00D32D2D" w:rsidP="000772B4">
      <w:pPr>
        <w:spacing w:line="480" w:lineRule="atLeast"/>
        <w:ind w:left="720" w:hanging="720"/>
        <w:jc w:val="both"/>
        <w:rPr>
          <w:rFonts w:ascii="Arial" w:hAnsi="Arial" w:cs="Arial"/>
          <w:sz w:val="24"/>
          <w:szCs w:val="24"/>
        </w:rPr>
      </w:pPr>
    </w:p>
    <w:p w:rsidR="00D32D2D" w:rsidRDefault="00D32D2D" w:rsidP="000772B4">
      <w:pPr>
        <w:spacing w:line="480" w:lineRule="atLeast"/>
        <w:ind w:left="720" w:hanging="720"/>
        <w:jc w:val="both"/>
        <w:rPr>
          <w:rFonts w:ascii="Arial" w:hAnsi="Arial" w:cs="Arial"/>
          <w:sz w:val="24"/>
          <w:szCs w:val="24"/>
        </w:rPr>
      </w:pPr>
      <w:r w:rsidRPr="00B04CEB">
        <w:rPr>
          <w:rFonts w:ascii="Arial" w:hAnsi="Arial" w:cs="Arial"/>
          <w:sz w:val="24"/>
          <w:szCs w:val="24"/>
        </w:rPr>
        <w:tab/>
      </w:r>
    </w:p>
    <w:p w:rsidR="00D32D2D" w:rsidRDefault="00D32D2D" w:rsidP="000772B4">
      <w:pPr>
        <w:spacing w:line="480" w:lineRule="atLeast"/>
        <w:ind w:left="720" w:hanging="720"/>
        <w:jc w:val="both"/>
        <w:rPr>
          <w:rFonts w:ascii="Arial" w:hAnsi="Arial" w:cs="Arial"/>
          <w:sz w:val="24"/>
          <w:szCs w:val="24"/>
        </w:rPr>
      </w:pPr>
    </w:p>
    <w:p w:rsidR="00D32D2D" w:rsidRDefault="00D32D2D" w:rsidP="000772B4">
      <w:pPr>
        <w:spacing w:line="480" w:lineRule="atLeast"/>
        <w:ind w:left="720" w:hanging="720"/>
        <w:jc w:val="both"/>
        <w:rPr>
          <w:rFonts w:ascii="Arial" w:hAnsi="Arial" w:cs="Arial"/>
          <w:sz w:val="24"/>
          <w:szCs w:val="24"/>
        </w:rPr>
        <w:sectPr w:rsidR="00D32D2D" w:rsidSect="000772B4">
          <w:type w:val="continuous"/>
          <w:pgSz w:w="12240" w:h="15840" w:code="1"/>
          <w:pgMar w:top="1800" w:right="1440" w:bottom="1800" w:left="2160" w:header="720" w:footer="720" w:gutter="0"/>
          <w:lnNumType w:countBy="1" w:start="4"/>
          <w:cols w:space="720"/>
          <w:docGrid w:linePitch="360"/>
        </w:sectPr>
      </w:pPr>
    </w:p>
    <w:p w:rsidR="00D32D2D" w:rsidRPr="00B04CEB" w:rsidRDefault="00D32D2D" w:rsidP="00BD18DC">
      <w:pPr>
        <w:spacing w:line="480" w:lineRule="atLeast"/>
        <w:jc w:val="both"/>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Ms. Crumlish, please state your name, business address and occupation.</w:t>
      </w:r>
    </w:p>
    <w:p w:rsidR="00D32D2D" w:rsidRPr="00B04CEB" w:rsidRDefault="00D32D2D" w:rsidP="00E35D6E">
      <w:pPr>
        <w:spacing w:line="480" w:lineRule="atLeast"/>
        <w:ind w:left="720" w:hanging="720"/>
        <w:rPr>
          <w:rFonts w:ascii="Arial" w:hAnsi="Arial" w:cs="Arial"/>
          <w:sz w:val="24"/>
          <w:szCs w:val="24"/>
        </w:rPr>
      </w:pPr>
      <w:r w:rsidRPr="00B04CEB">
        <w:rPr>
          <w:rFonts w:ascii="Arial" w:hAnsi="Arial" w:cs="Arial"/>
          <w:sz w:val="24"/>
          <w:szCs w:val="24"/>
        </w:rPr>
        <w:t xml:space="preserve">A. </w:t>
      </w:r>
      <w:r w:rsidRPr="00B04CEB">
        <w:rPr>
          <w:rFonts w:ascii="Arial" w:hAnsi="Arial" w:cs="Arial"/>
          <w:sz w:val="24"/>
          <w:szCs w:val="24"/>
        </w:rPr>
        <w:tab/>
        <w:t xml:space="preserve">My name is Anne E. Crumlish.  My business address is </w:t>
      </w:r>
      <w:smartTag w:uri="urn:schemas-microsoft-com:office:smarttags" w:element="address">
        <w:smartTag w:uri="urn:schemas-microsoft-com:office:smarttags" w:element="Street">
          <w:r w:rsidRPr="00B04CEB">
            <w:rPr>
              <w:rFonts w:ascii="Arial" w:hAnsi="Arial" w:cs="Arial"/>
              <w:sz w:val="24"/>
              <w:szCs w:val="24"/>
            </w:rPr>
            <w:t>3350 Riverwood Parkway</w:t>
          </w:r>
        </w:smartTag>
        <w:r w:rsidRPr="00B04CEB">
          <w:rPr>
            <w:rFonts w:ascii="Arial" w:hAnsi="Arial" w:cs="Arial"/>
            <w:sz w:val="24"/>
            <w:szCs w:val="24"/>
          </w:rPr>
          <w:t xml:space="preserve">, </w:t>
        </w:r>
        <w:smartTag w:uri="urn:schemas-microsoft-com:office:smarttags" w:element="City">
          <w:r w:rsidRPr="00B04CEB">
            <w:rPr>
              <w:rFonts w:ascii="Arial" w:hAnsi="Arial" w:cs="Arial"/>
              <w:sz w:val="24"/>
              <w:szCs w:val="24"/>
            </w:rPr>
            <w:t>Atlanta</w:t>
          </w:r>
        </w:smartTag>
        <w:r w:rsidRPr="00B04CEB">
          <w:rPr>
            <w:rFonts w:ascii="Arial" w:hAnsi="Arial" w:cs="Arial"/>
            <w:sz w:val="24"/>
            <w:szCs w:val="24"/>
          </w:rPr>
          <w:t xml:space="preserve">, </w:t>
        </w:r>
        <w:smartTag w:uri="urn:schemas-microsoft-com:office:smarttags" w:element="State">
          <w:r w:rsidRPr="00B04CEB">
            <w:rPr>
              <w:rFonts w:ascii="Arial" w:hAnsi="Arial" w:cs="Arial"/>
              <w:sz w:val="24"/>
              <w:szCs w:val="24"/>
            </w:rPr>
            <w:t>GA</w:t>
          </w:r>
        </w:smartTag>
        <w:r w:rsidRPr="00B04CEB">
          <w:rPr>
            <w:rFonts w:ascii="Arial" w:hAnsi="Arial" w:cs="Arial"/>
            <w:sz w:val="24"/>
            <w:szCs w:val="24"/>
          </w:rPr>
          <w:t xml:space="preserve"> </w:t>
        </w:r>
        <w:smartTag w:uri="urn:schemas-microsoft-com:office:smarttags" w:element="PostalCode">
          <w:r w:rsidRPr="00B04CEB">
            <w:rPr>
              <w:rFonts w:ascii="Arial" w:hAnsi="Arial" w:cs="Arial"/>
              <w:sz w:val="24"/>
              <w:szCs w:val="24"/>
            </w:rPr>
            <w:t>30339</w:t>
          </w:r>
        </w:smartTag>
      </w:smartTag>
      <w:r w:rsidRPr="00B04CEB">
        <w:rPr>
          <w:rFonts w:ascii="Arial" w:hAnsi="Arial" w:cs="Arial"/>
          <w:sz w:val="24"/>
          <w:szCs w:val="24"/>
        </w:rPr>
        <w:t xml:space="preserve">.  I am a Principal and Consulting Actuary in Aon Hewitt’s </w:t>
      </w:r>
      <w:r>
        <w:rPr>
          <w:rFonts w:ascii="Arial" w:hAnsi="Arial" w:cs="Arial"/>
          <w:sz w:val="24"/>
          <w:szCs w:val="24"/>
        </w:rPr>
        <w:t>h</w:t>
      </w:r>
      <w:r w:rsidRPr="00B04CEB">
        <w:rPr>
          <w:rFonts w:ascii="Arial" w:hAnsi="Arial" w:cs="Arial"/>
          <w:sz w:val="24"/>
          <w:szCs w:val="24"/>
        </w:rPr>
        <w:t xml:space="preserve">ealth and </w:t>
      </w:r>
      <w:r>
        <w:rPr>
          <w:rFonts w:ascii="Arial" w:hAnsi="Arial" w:cs="Arial"/>
          <w:sz w:val="24"/>
          <w:szCs w:val="24"/>
        </w:rPr>
        <w:t>b</w:t>
      </w:r>
      <w:r w:rsidRPr="00B04CEB">
        <w:rPr>
          <w:rFonts w:ascii="Arial" w:hAnsi="Arial" w:cs="Arial"/>
          <w:sz w:val="24"/>
          <w:szCs w:val="24"/>
        </w:rPr>
        <w:t>enefits practice.</w:t>
      </w:r>
    </w:p>
    <w:p w:rsidR="00D32D2D" w:rsidRPr="00B04CEB" w:rsidRDefault="00D32D2D" w:rsidP="000772B4">
      <w:pPr>
        <w:spacing w:line="480" w:lineRule="atLeast"/>
        <w:ind w:left="720" w:hanging="720"/>
        <w:jc w:val="both"/>
        <w:rPr>
          <w:rFonts w:ascii="Arial" w:hAnsi="Arial" w:cs="Arial"/>
          <w:sz w:val="24"/>
          <w:szCs w:val="24"/>
        </w:rPr>
      </w:pPr>
    </w:p>
    <w:p w:rsidR="00D32D2D" w:rsidRPr="00B04CEB" w:rsidRDefault="00D32D2D" w:rsidP="000772B4">
      <w:pPr>
        <w:numPr>
          <w:ilvl w:val="0"/>
          <w:numId w:val="2"/>
        </w:numPr>
        <w:spacing w:line="480" w:lineRule="atLeast"/>
        <w:jc w:val="both"/>
        <w:rPr>
          <w:rFonts w:ascii="Arial" w:hAnsi="Arial" w:cs="Arial"/>
          <w:sz w:val="24"/>
          <w:szCs w:val="24"/>
        </w:rPr>
      </w:pPr>
      <w:r w:rsidRPr="00B04CEB">
        <w:rPr>
          <w:rFonts w:ascii="Arial" w:hAnsi="Arial" w:cs="Arial"/>
          <w:sz w:val="24"/>
          <w:szCs w:val="24"/>
        </w:rPr>
        <w:t>Please summarize your educational and professional background.</w:t>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b/>
          <w:sz w:val="24"/>
          <w:szCs w:val="24"/>
        </w:rPr>
        <w:tab/>
      </w:r>
      <w:r w:rsidRPr="00B04CEB">
        <w:rPr>
          <w:rFonts w:ascii="Arial" w:hAnsi="Arial" w:cs="Arial"/>
          <w:sz w:val="24"/>
          <w:szCs w:val="24"/>
        </w:rPr>
        <w:t xml:space="preserve">I have over 10 years of experience as a health care consultant and actuary.  I am a Fellow of the Society of Actuaries and a Member of the </w:t>
      </w:r>
      <w:smartTag w:uri="urn:schemas-microsoft-com:office:smarttags" w:element="place">
        <w:smartTag w:uri="urn:schemas-microsoft-com:office:smarttags" w:element="PlaceName">
          <w:r w:rsidRPr="00B04CEB">
            <w:rPr>
              <w:rFonts w:ascii="Arial" w:hAnsi="Arial" w:cs="Arial"/>
              <w:sz w:val="24"/>
              <w:szCs w:val="24"/>
            </w:rPr>
            <w:t>American</w:t>
          </w:r>
        </w:smartTag>
        <w:r w:rsidRPr="00B04CEB">
          <w:rPr>
            <w:rFonts w:ascii="Arial" w:hAnsi="Arial" w:cs="Arial"/>
            <w:sz w:val="24"/>
            <w:szCs w:val="24"/>
          </w:rPr>
          <w:t xml:space="preserve"> </w:t>
        </w:r>
        <w:smartTag w:uri="urn:schemas-microsoft-com:office:smarttags" w:element="PlaceType">
          <w:r w:rsidRPr="00B04CEB">
            <w:rPr>
              <w:rFonts w:ascii="Arial" w:hAnsi="Arial" w:cs="Arial"/>
              <w:sz w:val="24"/>
              <w:szCs w:val="24"/>
            </w:rPr>
            <w:t>Academy</w:t>
          </w:r>
        </w:smartTag>
      </w:smartTag>
      <w:r w:rsidRPr="00B04CEB">
        <w:rPr>
          <w:rFonts w:ascii="Arial" w:hAnsi="Arial" w:cs="Arial"/>
          <w:sz w:val="24"/>
          <w:szCs w:val="24"/>
        </w:rPr>
        <w:t xml:space="preserve"> of Actuaries.  I earned a Bachelor of Arts in Mathematics and Master of Arts in Mathematics with a focus in actuarial science.  I have served as Southern Company</w:t>
      </w:r>
      <w:r>
        <w:rPr>
          <w:rFonts w:ascii="Arial" w:hAnsi="Arial" w:cs="Arial"/>
          <w:sz w:val="24"/>
          <w:szCs w:val="24"/>
        </w:rPr>
        <w:t>’s</w:t>
      </w:r>
      <w:r w:rsidRPr="00B04CEB">
        <w:rPr>
          <w:rFonts w:ascii="Arial" w:hAnsi="Arial" w:cs="Arial"/>
          <w:sz w:val="24"/>
          <w:szCs w:val="24"/>
        </w:rPr>
        <w:t xml:space="preserve"> and Gulf’s health care actuary for over nine years.  I currently lead an actuarial team that determines the companies’ health care benefit costs and consults with them on benefit design and competitiveness.</w:t>
      </w:r>
      <w:r w:rsidRPr="00B04CEB">
        <w:rPr>
          <w:rFonts w:ascii="Arial" w:hAnsi="Arial" w:cs="Arial"/>
          <w:sz w:val="24"/>
          <w:szCs w:val="24"/>
        </w:rPr>
        <w:br/>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 xml:space="preserve">Q.  </w:t>
      </w:r>
      <w:r w:rsidRPr="00B04CEB">
        <w:rPr>
          <w:rFonts w:ascii="Arial" w:hAnsi="Arial" w:cs="Arial"/>
          <w:sz w:val="24"/>
          <w:szCs w:val="24"/>
        </w:rPr>
        <w:tab/>
        <w:t>Are you sponsoring any exhibits in this case?</w:t>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sz w:val="24"/>
          <w:szCs w:val="24"/>
        </w:rPr>
        <w:tab/>
        <w:t>Yes.  We are sponsoring the following three schedules which are attached to our direct testimony:</w:t>
      </w:r>
    </w:p>
    <w:p w:rsidR="00D32D2D" w:rsidRPr="00B04CEB" w:rsidRDefault="00D32D2D" w:rsidP="000772B4">
      <w:pPr>
        <w:pStyle w:val="ListParagraph"/>
        <w:numPr>
          <w:ilvl w:val="0"/>
          <w:numId w:val="11"/>
        </w:numPr>
        <w:spacing w:line="480" w:lineRule="atLeast"/>
        <w:rPr>
          <w:rFonts w:ascii="Arial" w:hAnsi="Arial" w:cs="Arial"/>
          <w:sz w:val="24"/>
          <w:szCs w:val="24"/>
        </w:rPr>
      </w:pPr>
      <w:r w:rsidRPr="00B04CEB">
        <w:rPr>
          <w:rFonts w:ascii="Arial" w:hAnsi="Arial" w:cs="Arial"/>
          <w:sz w:val="24"/>
          <w:szCs w:val="24"/>
        </w:rPr>
        <w:t xml:space="preserve">Exhibit </w:t>
      </w:r>
      <w:r>
        <w:rPr>
          <w:rFonts w:ascii="Arial" w:hAnsi="Arial" w:cs="Arial"/>
          <w:sz w:val="24"/>
          <w:szCs w:val="24"/>
        </w:rPr>
        <w:t xml:space="preserve"> </w:t>
      </w:r>
      <w:smartTag w:uri="urn:schemas-microsoft-com:office:smarttags" w:element="stockticker">
        <w:r w:rsidRPr="00B04CEB">
          <w:rPr>
            <w:rFonts w:ascii="Arial" w:hAnsi="Arial" w:cs="Arial"/>
            <w:sz w:val="24"/>
            <w:szCs w:val="24"/>
          </w:rPr>
          <w:t>SCT</w:t>
        </w:r>
      </w:smartTag>
      <w:r w:rsidRPr="00B04CEB">
        <w:rPr>
          <w:rFonts w:ascii="Arial" w:hAnsi="Arial" w:cs="Arial"/>
          <w:sz w:val="24"/>
          <w:szCs w:val="24"/>
        </w:rPr>
        <w:t>-1,  Schedule 1, Aon Hewitt Comparison of Employer-Provided Total Benefit Values</w:t>
      </w:r>
    </w:p>
    <w:p w:rsidR="00D32D2D" w:rsidRPr="00B04CEB" w:rsidRDefault="00D32D2D" w:rsidP="000772B4">
      <w:pPr>
        <w:pStyle w:val="ListParagraph"/>
        <w:numPr>
          <w:ilvl w:val="0"/>
          <w:numId w:val="11"/>
        </w:numPr>
        <w:spacing w:line="480" w:lineRule="atLeast"/>
        <w:rPr>
          <w:rFonts w:ascii="Arial" w:hAnsi="Arial" w:cs="Arial"/>
          <w:sz w:val="24"/>
          <w:szCs w:val="24"/>
        </w:rPr>
      </w:pPr>
      <w:r w:rsidRPr="00B04CEB">
        <w:rPr>
          <w:rFonts w:ascii="Arial" w:hAnsi="Arial" w:cs="Arial"/>
          <w:sz w:val="24"/>
          <w:szCs w:val="24"/>
        </w:rPr>
        <w:t>Exhibit</w:t>
      </w:r>
      <w:r>
        <w:rPr>
          <w:rFonts w:ascii="Arial" w:hAnsi="Arial" w:cs="Arial"/>
          <w:sz w:val="24"/>
          <w:szCs w:val="24"/>
        </w:rPr>
        <w:t xml:space="preserve"> </w:t>
      </w:r>
      <w:r w:rsidRPr="00B04CEB">
        <w:rPr>
          <w:rFonts w:ascii="Arial" w:hAnsi="Arial" w:cs="Arial"/>
          <w:sz w:val="24"/>
          <w:szCs w:val="24"/>
        </w:rPr>
        <w:t xml:space="preserve"> </w:t>
      </w:r>
      <w:smartTag w:uri="urn:schemas-microsoft-com:office:smarttags" w:element="stockticker">
        <w:r w:rsidRPr="00B04CEB">
          <w:rPr>
            <w:rFonts w:ascii="Arial" w:hAnsi="Arial" w:cs="Arial"/>
            <w:sz w:val="24"/>
            <w:szCs w:val="24"/>
          </w:rPr>
          <w:t>AEC</w:t>
        </w:r>
      </w:smartTag>
      <w:r w:rsidRPr="00B04CEB">
        <w:rPr>
          <w:rFonts w:ascii="Arial" w:hAnsi="Arial" w:cs="Arial"/>
          <w:sz w:val="24"/>
          <w:szCs w:val="24"/>
        </w:rPr>
        <w:t xml:space="preserve">-1, </w:t>
      </w:r>
      <w:bookmarkStart w:id="0" w:name="OLE_LINK1"/>
      <w:r w:rsidRPr="00B04CEB">
        <w:rPr>
          <w:rFonts w:ascii="Arial" w:hAnsi="Arial" w:cs="Arial"/>
          <w:sz w:val="24"/>
          <w:szCs w:val="24"/>
        </w:rPr>
        <w:t xml:space="preserve">Schedule </w:t>
      </w:r>
      <w:r>
        <w:rPr>
          <w:rFonts w:ascii="Arial" w:hAnsi="Arial" w:cs="Arial"/>
          <w:sz w:val="24"/>
          <w:szCs w:val="24"/>
        </w:rPr>
        <w:t>1</w:t>
      </w:r>
      <w:r w:rsidRPr="00B04CEB">
        <w:rPr>
          <w:rFonts w:ascii="Arial" w:hAnsi="Arial" w:cs="Arial"/>
          <w:sz w:val="24"/>
          <w:szCs w:val="24"/>
        </w:rPr>
        <w:t>, National Employer Health Plan Average Annual Cost Increases, 2001-2012</w:t>
      </w:r>
      <w:bookmarkEnd w:id="0"/>
      <w:r w:rsidRPr="00B04CEB">
        <w:rPr>
          <w:rFonts w:ascii="Arial" w:hAnsi="Arial" w:cs="Arial"/>
          <w:sz w:val="24"/>
          <w:szCs w:val="24"/>
        </w:rPr>
        <w:t xml:space="preserve"> </w:t>
      </w:r>
    </w:p>
    <w:p w:rsidR="00D32D2D" w:rsidRPr="00B04CEB" w:rsidRDefault="00D32D2D" w:rsidP="000772B4">
      <w:pPr>
        <w:pStyle w:val="ListParagraph"/>
        <w:numPr>
          <w:ilvl w:val="0"/>
          <w:numId w:val="11"/>
        </w:numPr>
        <w:spacing w:line="480" w:lineRule="atLeast"/>
        <w:rPr>
          <w:rFonts w:ascii="Arial" w:hAnsi="Arial" w:cs="Arial"/>
          <w:sz w:val="24"/>
          <w:szCs w:val="24"/>
        </w:rPr>
      </w:pPr>
      <w:r w:rsidRPr="00B04CEB">
        <w:rPr>
          <w:rFonts w:ascii="Arial" w:hAnsi="Arial" w:cs="Arial"/>
          <w:sz w:val="24"/>
          <w:szCs w:val="24"/>
        </w:rPr>
        <w:t xml:space="preserve">Exhibit </w:t>
      </w:r>
      <w:r>
        <w:rPr>
          <w:rFonts w:ascii="Arial" w:hAnsi="Arial" w:cs="Arial"/>
          <w:sz w:val="24"/>
          <w:szCs w:val="24"/>
        </w:rPr>
        <w:t xml:space="preserve"> </w:t>
      </w:r>
      <w:smartTag w:uri="urn:schemas-microsoft-com:office:smarttags" w:element="stockticker">
        <w:r w:rsidRPr="00B04CEB">
          <w:rPr>
            <w:rFonts w:ascii="Arial" w:hAnsi="Arial" w:cs="Arial"/>
            <w:sz w:val="24"/>
            <w:szCs w:val="24"/>
          </w:rPr>
          <w:t>AEC</w:t>
        </w:r>
      </w:smartTag>
      <w:r w:rsidRPr="00B04CEB">
        <w:rPr>
          <w:rFonts w:ascii="Arial" w:hAnsi="Arial" w:cs="Arial"/>
          <w:sz w:val="24"/>
          <w:szCs w:val="24"/>
        </w:rPr>
        <w:t>-</w:t>
      </w:r>
      <w:r>
        <w:rPr>
          <w:rFonts w:ascii="Arial" w:hAnsi="Arial" w:cs="Arial"/>
          <w:sz w:val="24"/>
          <w:szCs w:val="24"/>
        </w:rPr>
        <w:t>1</w:t>
      </w:r>
      <w:r w:rsidRPr="00B04CEB">
        <w:rPr>
          <w:rFonts w:ascii="Arial" w:hAnsi="Arial" w:cs="Arial"/>
          <w:sz w:val="24"/>
          <w:szCs w:val="24"/>
        </w:rPr>
        <w:t xml:space="preserve">, Schedule </w:t>
      </w:r>
      <w:r>
        <w:rPr>
          <w:rFonts w:ascii="Arial" w:hAnsi="Arial" w:cs="Arial"/>
          <w:sz w:val="24"/>
          <w:szCs w:val="24"/>
        </w:rPr>
        <w:t>2</w:t>
      </w:r>
      <w:r w:rsidRPr="00B04CEB">
        <w:rPr>
          <w:rFonts w:ascii="Arial" w:hAnsi="Arial" w:cs="Arial"/>
          <w:sz w:val="24"/>
          <w:szCs w:val="24"/>
        </w:rPr>
        <w:t>, Medical Plan Cost Mitigation Efforts  2003-2012</w:t>
      </w:r>
    </w:p>
    <w:p w:rsidR="00D32D2D" w:rsidRPr="00B04CEB" w:rsidRDefault="00D32D2D" w:rsidP="000772B4">
      <w:pPr>
        <w:spacing w:line="480" w:lineRule="atLeast"/>
        <w:rPr>
          <w:rFonts w:ascii="Arial" w:hAnsi="Arial" w:cs="Arial"/>
          <w:sz w:val="24"/>
          <w:szCs w:val="24"/>
        </w:rPr>
      </w:pPr>
    </w:p>
    <w:p w:rsidR="00D32D2D" w:rsidRPr="00B04CEB" w:rsidRDefault="00D32D2D" w:rsidP="000772B4">
      <w:pPr>
        <w:spacing w:line="480" w:lineRule="atLeast"/>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What is the purpose of your testimony?</w:t>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sz w:val="24"/>
          <w:szCs w:val="24"/>
        </w:rPr>
        <w:tab/>
        <w:t>The purpose of our testimony is to</w:t>
      </w:r>
      <w:r>
        <w:rPr>
          <w:rFonts w:ascii="Arial" w:hAnsi="Arial" w:cs="Arial"/>
          <w:sz w:val="24"/>
          <w:szCs w:val="24"/>
        </w:rPr>
        <w:t xml:space="preserve"> </w:t>
      </w:r>
      <w:r w:rsidRPr="00B04CEB">
        <w:rPr>
          <w:rFonts w:ascii="Arial" w:hAnsi="Arial" w:cs="Arial"/>
          <w:sz w:val="24"/>
          <w:szCs w:val="24"/>
        </w:rPr>
        <w:t>describe the relative competitiveness of Gulf’s overall benefits program</w:t>
      </w:r>
      <w:r>
        <w:rPr>
          <w:rFonts w:ascii="Arial" w:hAnsi="Arial" w:cs="Arial"/>
          <w:sz w:val="24"/>
          <w:szCs w:val="24"/>
        </w:rPr>
        <w:t>,</w:t>
      </w:r>
      <w:r w:rsidRPr="00B04CEB">
        <w:rPr>
          <w:rFonts w:ascii="Arial" w:hAnsi="Arial" w:cs="Arial"/>
          <w:sz w:val="24"/>
          <w:szCs w:val="24"/>
        </w:rPr>
        <w:t xml:space="preserve"> give reasons why retirement benefit costs have increased</w:t>
      </w:r>
      <w:r>
        <w:rPr>
          <w:rFonts w:ascii="Arial" w:hAnsi="Arial" w:cs="Arial"/>
          <w:sz w:val="24"/>
          <w:szCs w:val="24"/>
        </w:rPr>
        <w:t>,</w:t>
      </w:r>
      <w:r w:rsidRPr="00B04CEB">
        <w:rPr>
          <w:rFonts w:ascii="Arial" w:hAnsi="Arial" w:cs="Arial"/>
          <w:sz w:val="24"/>
          <w:szCs w:val="24"/>
        </w:rPr>
        <w:t xml:space="preserve"> and explain why medical benefit costs have increased.  Ms. Crumlish will address medical benefit costs.  Mr. Twery will address the other two topics. </w:t>
      </w:r>
    </w:p>
    <w:p w:rsidR="00D32D2D" w:rsidRPr="00B04CEB" w:rsidRDefault="00D32D2D" w:rsidP="000772B4">
      <w:pPr>
        <w:spacing w:line="480" w:lineRule="atLeast"/>
        <w:rPr>
          <w:rFonts w:ascii="Arial" w:hAnsi="Arial" w:cs="Arial"/>
          <w:sz w:val="24"/>
          <w:szCs w:val="24"/>
        </w:rPr>
      </w:pP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Are the benefits programs provided to Gulf</w:t>
      </w:r>
      <w:r w:rsidR="008B5C9A">
        <w:rPr>
          <w:rFonts w:ascii="Arial" w:hAnsi="Arial" w:cs="Arial"/>
          <w:sz w:val="24"/>
          <w:szCs w:val="24"/>
        </w:rPr>
        <w:t>’s</w:t>
      </w:r>
      <w:r w:rsidRPr="00B04CEB">
        <w:rPr>
          <w:rFonts w:ascii="Arial" w:hAnsi="Arial" w:cs="Arial"/>
          <w:sz w:val="24"/>
          <w:szCs w:val="24"/>
        </w:rPr>
        <w:t xml:space="preserve"> employees, Southern Company plans or Gulf plans?</w:t>
      </w:r>
    </w:p>
    <w:p w:rsidR="00D32D2D" w:rsidRDefault="00D32D2D" w:rsidP="00F00E08">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sz w:val="24"/>
          <w:szCs w:val="24"/>
        </w:rPr>
        <w:tab/>
        <w:t>Most of the benefit plans are Southern Company plans.  Managing a benefit plan for all of Southern Company is more cost effective than maintaining separate plans for each subsidiary.  Even so, the costs determined for Gulf are directly attributable to Gulf’s employees. For example, when Gulf's retirement benefit costs are determined, the calculations only involve Gulf’s employees and Gulf's portion of retirement plan assets.  Another example is Gulf’s health care benefit costs.  These costs are an allocation of pooled expenses determined by the actual plan option and family coverage tiers selected by each Gulf employee.</w:t>
      </w:r>
      <w:r>
        <w:rPr>
          <w:rFonts w:ascii="Arial" w:hAnsi="Arial" w:cs="Arial"/>
          <w:sz w:val="24"/>
          <w:szCs w:val="24"/>
        </w:rPr>
        <w:t xml:space="preserve"> </w:t>
      </w:r>
      <w:r w:rsidRPr="00B04CEB">
        <w:rPr>
          <w:rFonts w:ascii="Arial" w:hAnsi="Arial" w:cs="Arial"/>
          <w:sz w:val="24"/>
          <w:szCs w:val="24"/>
        </w:rPr>
        <w:tab/>
      </w:r>
      <w:r>
        <w:rPr>
          <w:rFonts w:ascii="Arial" w:hAnsi="Arial" w:cs="Arial"/>
          <w:sz w:val="24"/>
          <w:szCs w:val="24"/>
        </w:rPr>
        <w:t>A</w:t>
      </w:r>
      <w:r w:rsidRPr="00B04CEB">
        <w:rPr>
          <w:rFonts w:ascii="Arial" w:hAnsi="Arial" w:cs="Arial"/>
          <w:sz w:val="24"/>
          <w:szCs w:val="24"/>
        </w:rPr>
        <w:t xml:space="preserve">ll references in the remainder of our testimony will be to Gulf, even if the plan is administered by Southern Company. </w:t>
      </w:r>
    </w:p>
    <w:p w:rsidR="00D32D2D" w:rsidRPr="00B04CEB" w:rsidRDefault="00D32D2D" w:rsidP="000772B4">
      <w:pPr>
        <w:spacing w:line="480" w:lineRule="atLeast"/>
        <w:ind w:left="720" w:hanging="720"/>
        <w:rPr>
          <w:rFonts w:ascii="Arial" w:hAnsi="Arial" w:cs="Arial"/>
          <w:sz w:val="24"/>
          <w:szCs w:val="24"/>
        </w:rPr>
      </w:pP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As a result of your work for Gulf, are you familiar with the Company’s overall benefits philosophy?</w:t>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sz w:val="24"/>
          <w:szCs w:val="24"/>
        </w:rPr>
        <w:tab/>
      </w:r>
      <w:r>
        <w:rPr>
          <w:rFonts w:ascii="Arial" w:hAnsi="Arial" w:cs="Arial"/>
          <w:sz w:val="24"/>
          <w:szCs w:val="24"/>
        </w:rPr>
        <w:t xml:space="preserve">Yes.  </w:t>
      </w:r>
      <w:r w:rsidRPr="00B04CEB">
        <w:rPr>
          <w:rFonts w:ascii="Arial" w:hAnsi="Arial" w:cs="Arial"/>
          <w:sz w:val="24"/>
          <w:szCs w:val="24"/>
        </w:rPr>
        <w:t xml:space="preserve">My understanding is that the Company has a goal for its benefits to be at the median of the market. </w:t>
      </w:r>
    </w:p>
    <w:p w:rsidR="00D32D2D" w:rsidRPr="00B04CEB" w:rsidRDefault="00D32D2D" w:rsidP="00513AD3">
      <w:pPr>
        <w:spacing w:line="480" w:lineRule="atLeast"/>
        <w:ind w:left="720" w:hanging="720"/>
        <w:rPr>
          <w:rFonts w:ascii="Arial" w:hAnsi="Arial" w:cs="Arial"/>
          <w:sz w:val="24"/>
          <w:szCs w:val="24"/>
        </w:rPr>
      </w:pPr>
      <w:r w:rsidRPr="00B04CEB">
        <w:rPr>
          <w:rFonts w:ascii="Arial" w:hAnsi="Arial" w:cs="Arial"/>
          <w:sz w:val="24"/>
          <w:szCs w:val="24"/>
        </w:rPr>
        <w:t xml:space="preserve">Q.   </w:t>
      </w:r>
      <w:r w:rsidRPr="00B04CEB">
        <w:rPr>
          <w:rFonts w:ascii="Arial" w:hAnsi="Arial" w:cs="Arial"/>
          <w:sz w:val="24"/>
          <w:szCs w:val="24"/>
        </w:rPr>
        <w:tab/>
      </w:r>
      <w:r>
        <w:rPr>
          <w:rFonts w:ascii="Arial" w:hAnsi="Arial" w:cs="Arial"/>
          <w:sz w:val="24"/>
          <w:szCs w:val="24"/>
        </w:rPr>
        <w:t>Has Aon Hewitt made an assessment of how Gulf’s benefits compare to the market and if so, h</w:t>
      </w:r>
      <w:r w:rsidRPr="00B04CEB">
        <w:rPr>
          <w:rFonts w:ascii="Arial" w:hAnsi="Arial" w:cs="Arial"/>
          <w:sz w:val="24"/>
          <w:szCs w:val="24"/>
        </w:rPr>
        <w:t>ow do</w:t>
      </w:r>
      <w:r>
        <w:rPr>
          <w:rFonts w:ascii="Arial" w:hAnsi="Arial" w:cs="Arial"/>
          <w:sz w:val="24"/>
          <w:szCs w:val="24"/>
        </w:rPr>
        <w:t>es</w:t>
      </w:r>
      <w:r w:rsidRPr="00B04CEB">
        <w:rPr>
          <w:rFonts w:ascii="Arial" w:hAnsi="Arial" w:cs="Arial"/>
          <w:sz w:val="24"/>
          <w:szCs w:val="24"/>
        </w:rPr>
        <w:t xml:space="preserve"> Gulf’s benefit package compare to the market?</w:t>
      </w:r>
    </w:p>
    <w:p w:rsidR="00D32D2D" w:rsidRDefault="00D32D2D" w:rsidP="008730FB">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sz w:val="24"/>
          <w:szCs w:val="24"/>
        </w:rPr>
        <w:tab/>
      </w:r>
      <w:r>
        <w:rPr>
          <w:rFonts w:ascii="Arial" w:hAnsi="Arial" w:cs="Arial"/>
          <w:sz w:val="24"/>
          <w:szCs w:val="24"/>
        </w:rPr>
        <w:t>Yes</w:t>
      </w:r>
      <w:r w:rsidR="00D32214">
        <w:rPr>
          <w:rFonts w:ascii="Arial" w:hAnsi="Arial" w:cs="Arial"/>
          <w:sz w:val="24"/>
          <w:szCs w:val="24"/>
        </w:rPr>
        <w:t xml:space="preserve">. </w:t>
      </w:r>
      <w:r>
        <w:rPr>
          <w:rFonts w:ascii="Arial" w:hAnsi="Arial" w:cs="Arial"/>
          <w:sz w:val="24"/>
          <w:szCs w:val="24"/>
        </w:rPr>
        <w:t xml:space="preserve"> </w:t>
      </w:r>
      <w:r w:rsidR="00D32214">
        <w:rPr>
          <w:rFonts w:ascii="Arial" w:hAnsi="Arial" w:cs="Arial"/>
          <w:sz w:val="24"/>
          <w:szCs w:val="24"/>
        </w:rPr>
        <w:t>W</w:t>
      </w:r>
      <w:r>
        <w:rPr>
          <w:rFonts w:ascii="Arial" w:hAnsi="Arial" w:cs="Arial"/>
          <w:sz w:val="24"/>
          <w:szCs w:val="24"/>
        </w:rPr>
        <w:t xml:space="preserve">e performed an assessment of Gulf’s benefits and we found them to be competitive with other large utilities and Fortune 500 companies.  </w:t>
      </w:r>
    </w:p>
    <w:p w:rsidR="00D32D2D" w:rsidRDefault="00D32D2D" w:rsidP="00513AD3">
      <w:pPr>
        <w:spacing w:line="480" w:lineRule="atLeast"/>
        <w:ind w:left="720" w:hanging="720"/>
        <w:rPr>
          <w:rFonts w:ascii="Arial" w:hAnsi="Arial" w:cs="Arial"/>
          <w:sz w:val="24"/>
          <w:szCs w:val="24"/>
        </w:rPr>
      </w:pPr>
    </w:p>
    <w:p w:rsidR="00D32D2D" w:rsidRDefault="00D32D2D" w:rsidP="00513AD3">
      <w:pPr>
        <w:spacing w:line="480" w:lineRule="atLeast"/>
        <w:ind w:left="720" w:hanging="720"/>
        <w:rPr>
          <w:rFonts w:ascii="Arial" w:hAnsi="Arial" w:cs="Arial"/>
          <w:sz w:val="24"/>
          <w:szCs w:val="24"/>
        </w:rPr>
      </w:pPr>
      <w:r>
        <w:rPr>
          <w:rFonts w:ascii="Arial" w:hAnsi="Arial" w:cs="Arial"/>
          <w:sz w:val="24"/>
          <w:szCs w:val="24"/>
        </w:rPr>
        <w:t>Q</w:t>
      </w:r>
      <w:r w:rsidR="00D32214">
        <w:rPr>
          <w:rFonts w:ascii="Arial" w:hAnsi="Arial" w:cs="Arial"/>
          <w:sz w:val="24"/>
          <w:szCs w:val="24"/>
        </w:rPr>
        <w:t>.</w:t>
      </w:r>
      <w:r>
        <w:rPr>
          <w:rFonts w:ascii="Arial" w:hAnsi="Arial" w:cs="Arial"/>
          <w:sz w:val="24"/>
          <w:szCs w:val="24"/>
        </w:rPr>
        <w:tab/>
        <w:t>What is the basis of your conclusion that Gulf’s benefits are competitive?</w:t>
      </w:r>
    </w:p>
    <w:p w:rsidR="00D32D2D" w:rsidRDefault="00D32D2D" w:rsidP="008730FB">
      <w:pPr>
        <w:spacing w:line="480" w:lineRule="atLeast"/>
        <w:ind w:left="720" w:hanging="720"/>
        <w:rPr>
          <w:rFonts w:ascii="Arial" w:hAnsi="Arial" w:cs="Arial"/>
          <w:sz w:val="24"/>
          <w:szCs w:val="24"/>
        </w:rPr>
      </w:pPr>
      <w:r>
        <w:rPr>
          <w:rFonts w:ascii="Arial" w:hAnsi="Arial" w:cs="Arial"/>
          <w:sz w:val="24"/>
          <w:szCs w:val="24"/>
        </w:rPr>
        <w:t>A</w:t>
      </w:r>
      <w:r w:rsidR="00D32214">
        <w:rPr>
          <w:rFonts w:ascii="Arial" w:hAnsi="Arial" w:cs="Arial"/>
          <w:sz w:val="24"/>
          <w:szCs w:val="24"/>
        </w:rPr>
        <w:t>.</w:t>
      </w:r>
      <w:r>
        <w:rPr>
          <w:rFonts w:ascii="Arial" w:hAnsi="Arial" w:cs="Arial"/>
          <w:sz w:val="24"/>
          <w:szCs w:val="24"/>
        </w:rPr>
        <w:tab/>
        <w:t>Our response is based on a benefits competitiveness analysis we made of the benefit</w:t>
      </w:r>
      <w:r w:rsidRPr="00B04CEB">
        <w:rPr>
          <w:rFonts w:ascii="Arial" w:hAnsi="Arial" w:cs="Arial"/>
          <w:sz w:val="24"/>
          <w:szCs w:val="24"/>
        </w:rPr>
        <w:t xml:space="preserve">s that Gulf and the comparator companies offered in 2010.  The analyses were done using Aon Hewitt's Benefit Index®.  The Benefit Index is a premier tool for comparing the relative worth of </w:t>
      </w:r>
      <w:r>
        <w:rPr>
          <w:rFonts w:ascii="Arial" w:hAnsi="Arial" w:cs="Arial"/>
          <w:sz w:val="24"/>
          <w:szCs w:val="24"/>
        </w:rPr>
        <w:t xml:space="preserve">one company's </w:t>
      </w:r>
      <w:r w:rsidRPr="00B04CEB">
        <w:rPr>
          <w:rFonts w:ascii="Arial" w:hAnsi="Arial" w:cs="Arial"/>
          <w:sz w:val="24"/>
          <w:szCs w:val="24"/>
        </w:rPr>
        <w:t>benefit programs</w:t>
      </w:r>
      <w:r>
        <w:rPr>
          <w:rFonts w:ascii="Arial" w:hAnsi="Arial" w:cs="Arial"/>
          <w:sz w:val="24"/>
          <w:szCs w:val="24"/>
        </w:rPr>
        <w:t xml:space="preserve"> to those offered by a group of other companies</w:t>
      </w:r>
      <w:r w:rsidRPr="00B04CEB">
        <w:rPr>
          <w:rFonts w:ascii="Arial" w:hAnsi="Arial" w:cs="Arial"/>
          <w:sz w:val="24"/>
          <w:szCs w:val="24"/>
        </w:rPr>
        <w:t>.  It has been used by companies since the 1970s to make such assessments.</w:t>
      </w:r>
      <w:r>
        <w:rPr>
          <w:rFonts w:ascii="Arial" w:hAnsi="Arial" w:cs="Arial"/>
          <w:sz w:val="24"/>
          <w:szCs w:val="24"/>
        </w:rPr>
        <w:t xml:space="preserve">  </w:t>
      </w:r>
    </w:p>
    <w:p w:rsidR="00D32D2D" w:rsidRDefault="00D32D2D" w:rsidP="00513AD3">
      <w:pPr>
        <w:spacing w:line="480" w:lineRule="atLeast"/>
        <w:ind w:left="720" w:hanging="720"/>
        <w:rPr>
          <w:rFonts w:ascii="Arial" w:hAnsi="Arial" w:cs="Arial"/>
          <w:sz w:val="24"/>
          <w:szCs w:val="24"/>
        </w:rPr>
      </w:pPr>
    </w:p>
    <w:p w:rsidR="0025091B" w:rsidRDefault="00D32D2D" w:rsidP="0025091B">
      <w:pPr>
        <w:spacing w:line="480" w:lineRule="atLeast"/>
        <w:ind w:left="720"/>
        <w:rPr>
          <w:rFonts w:ascii="Arial" w:hAnsi="Arial" w:cs="Arial"/>
          <w:sz w:val="24"/>
          <w:szCs w:val="24"/>
        </w:rPr>
      </w:pPr>
      <w:r w:rsidRPr="00B04CEB">
        <w:rPr>
          <w:rFonts w:ascii="Arial" w:hAnsi="Arial" w:cs="Arial"/>
          <w:sz w:val="24"/>
          <w:szCs w:val="24"/>
        </w:rPr>
        <w:t>When last assessed, the relative value of benefits Gulf provides its employees is 5.8</w:t>
      </w:r>
      <w:r w:rsidR="00AF3489">
        <w:rPr>
          <w:rFonts w:ascii="Arial" w:hAnsi="Arial" w:cs="Arial"/>
          <w:sz w:val="24"/>
          <w:szCs w:val="24"/>
        </w:rPr>
        <w:t xml:space="preserve"> percent</w:t>
      </w:r>
      <w:r w:rsidRPr="00B04CEB">
        <w:rPr>
          <w:rFonts w:ascii="Arial" w:hAnsi="Arial" w:cs="Arial"/>
          <w:sz w:val="24"/>
          <w:szCs w:val="24"/>
        </w:rPr>
        <w:t xml:space="preserve"> below the average value of benefits provided by 15 other large utilities and 4.6</w:t>
      </w:r>
      <w:r w:rsidR="00AF3489">
        <w:rPr>
          <w:rFonts w:ascii="Arial" w:hAnsi="Arial" w:cs="Arial"/>
          <w:sz w:val="24"/>
          <w:szCs w:val="24"/>
        </w:rPr>
        <w:t xml:space="preserve"> percent</w:t>
      </w:r>
      <w:r w:rsidRPr="00B04CEB">
        <w:rPr>
          <w:rFonts w:ascii="Arial" w:hAnsi="Arial" w:cs="Arial"/>
          <w:sz w:val="24"/>
          <w:szCs w:val="24"/>
        </w:rPr>
        <w:t xml:space="preserve"> above the average value of benefits provided by Fortune 500 companies.  Generally, value differences are not considered significant or material until they exceed 5</w:t>
      </w:r>
      <w:r w:rsidR="00AF3489">
        <w:rPr>
          <w:rFonts w:ascii="Arial" w:hAnsi="Arial" w:cs="Arial"/>
          <w:sz w:val="24"/>
          <w:szCs w:val="24"/>
        </w:rPr>
        <w:t xml:space="preserve"> percent</w:t>
      </w:r>
      <w:r w:rsidRPr="00B04CEB">
        <w:rPr>
          <w:rFonts w:ascii="Arial" w:hAnsi="Arial" w:cs="Arial"/>
          <w:sz w:val="24"/>
          <w:szCs w:val="24"/>
        </w:rPr>
        <w:t>.  So it is fair to say that Gulf-provided benefits are slightly less valuable than those at other large utilities and nearly in line with those at Fortune 500 companies.</w:t>
      </w:r>
    </w:p>
    <w:p w:rsidR="00D32D2D" w:rsidRDefault="00D32D2D" w:rsidP="000772B4">
      <w:pPr>
        <w:spacing w:line="480" w:lineRule="atLeast"/>
        <w:ind w:left="720" w:hanging="720"/>
        <w:rPr>
          <w:rFonts w:ascii="Arial" w:hAnsi="Arial" w:cs="Arial"/>
          <w:sz w:val="24"/>
          <w:szCs w:val="24"/>
        </w:rPr>
      </w:pP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 xml:space="preserve">Q. </w:t>
      </w:r>
      <w:r w:rsidRPr="00B04CEB">
        <w:rPr>
          <w:rFonts w:ascii="Arial" w:hAnsi="Arial" w:cs="Arial"/>
          <w:sz w:val="24"/>
          <w:szCs w:val="24"/>
        </w:rPr>
        <w:tab/>
        <w:t xml:space="preserve">How </w:t>
      </w:r>
      <w:proofErr w:type="gramStart"/>
      <w:r w:rsidRPr="00B04CEB">
        <w:rPr>
          <w:rFonts w:ascii="Arial" w:hAnsi="Arial" w:cs="Arial"/>
          <w:sz w:val="24"/>
          <w:szCs w:val="24"/>
        </w:rPr>
        <w:t>were</w:t>
      </w:r>
      <w:proofErr w:type="gramEnd"/>
      <w:r w:rsidRPr="00B04CEB">
        <w:rPr>
          <w:rFonts w:ascii="Arial" w:hAnsi="Arial" w:cs="Arial"/>
          <w:sz w:val="24"/>
          <w:szCs w:val="24"/>
        </w:rPr>
        <w:t xml:space="preserve"> the benefit competitiveness assessments made? </w:t>
      </w:r>
    </w:p>
    <w:p w:rsidR="00D32D2D" w:rsidRDefault="00D32D2D" w:rsidP="00F803FD">
      <w:pPr>
        <w:spacing w:line="480" w:lineRule="atLeast"/>
        <w:ind w:left="720" w:hanging="720"/>
        <w:rPr>
          <w:rFonts w:ascii="Arial" w:hAnsi="Arial" w:cs="Arial"/>
          <w:sz w:val="24"/>
          <w:szCs w:val="24"/>
        </w:rPr>
      </w:pPr>
      <w:r w:rsidRPr="00B04CEB">
        <w:rPr>
          <w:rFonts w:ascii="Arial" w:hAnsi="Arial" w:cs="Arial"/>
          <w:sz w:val="24"/>
          <w:szCs w:val="24"/>
        </w:rPr>
        <w:t>A.</w:t>
      </w:r>
      <w:r w:rsidR="009B2C0D">
        <w:rPr>
          <w:rFonts w:ascii="Arial" w:hAnsi="Arial" w:cs="Arial"/>
          <w:sz w:val="24"/>
          <w:szCs w:val="24"/>
        </w:rPr>
        <w:tab/>
      </w:r>
      <w:r w:rsidRPr="00B04CEB">
        <w:rPr>
          <w:rFonts w:ascii="Arial" w:hAnsi="Arial" w:cs="Arial"/>
          <w:sz w:val="24"/>
          <w:szCs w:val="24"/>
        </w:rPr>
        <w:t xml:space="preserve">Benefit Index </w:t>
      </w:r>
      <w:r>
        <w:rPr>
          <w:rFonts w:ascii="Arial" w:hAnsi="Arial" w:cs="Arial"/>
          <w:sz w:val="24"/>
          <w:szCs w:val="24"/>
        </w:rPr>
        <w:t xml:space="preserve">results are </w:t>
      </w:r>
      <w:r w:rsidRPr="00B04CEB">
        <w:rPr>
          <w:rFonts w:ascii="Arial" w:hAnsi="Arial" w:cs="Arial"/>
          <w:sz w:val="24"/>
          <w:szCs w:val="24"/>
        </w:rPr>
        <w:t xml:space="preserve">arrived at using a very specific process.  Actuarial techniques are used to measure the total value a representative population of employees would derive from Gulf's benefits program and the benefits programs of each of the comparator companies.  All retirement income, death, disability, healthcare, and paid time off benefits offered to salaried hires are included.  These actuarial values reflect the benefits that each program would be expected to pay during a year and the present value of the benefits employees would be expected to earn during a year but receive in the future, like pension benefits.  The same employee population and assumptions are used when measuring the values for each of the programs.  This standardization assures that the differences in benefit values are attributable to plan designs.  Finally, the value of Gulf's benefits program is compared to the average of the values for the comparator group's programs to arrive at </w:t>
      </w:r>
      <w:r>
        <w:rPr>
          <w:rFonts w:ascii="Arial" w:hAnsi="Arial" w:cs="Arial"/>
          <w:sz w:val="24"/>
          <w:szCs w:val="24"/>
        </w:rPr>
        <w:t>a relative value result reported by</w:t>
      </w:r>
      <w:r w:rsidRPr="00B04CEB">
        <w:rPr>
          <w:rFonts w:ascii="Arial" w:hAnsi="Arial" w:cs="Arial"/>
          <w:sz w:val="24"/>
          <w:szCs w:val="24"/>
        </w:rPr>
        <w:t xml:space="preserve"> </w:t>
      </w:r>
      <w:r w:rsidR="00D32214">
        <w:rPr>
          <w:rFonts w:ascii="Arial" w:hAnsi="Arial" w:cs="Arial"/>
          <w:sz w:val="24"/>
          <w:szCs w:val="24"/>
        </w:rPr>
        <w:t xml:space="preserve">the </w:t>
      </w:r>
      <w:r w:rsidRPr="00B04CEB">
        <w:rPr>
          <w:rFonts w:ascii="Arial" w:hAnsi="Arial" w:cs="Arial"/>
          <w:sz w:val="24"/>
          <w:szCs w:val="24"/>
        </w:rPr>
        <w:t xml:space="preserve">Benefit Index.  A </w:t>
      </w:r>
      <w:r>
        <w:rPr>
          <w:rFonts w:ascii="Arial" w:hAnsi="Arial" w:cs="Arial"/>
          <w:sz w:val="24"/>
          <w:szCs w:val="24"/>
        </w:rPr>
        <w:t xml:space="preserve">relative value </w:t>
      </w:r>
      <w:r w:rsidRPr="00B04CEB">
        <w:rPr>
          <w:rFonts w:ascii="Arial" w:hAnsi="Arial" w:cs="Arial"/>
          <w:sz w:val="24"/>
          <w:szCs w:val="24"/>
        </w:rPr>
        <w:t>of 100.0 would be assigned if Gulf's benefit value equaled the average value of the benefits offered by the comparator companies.</w:t>
      </w:r>
    </w:p>
    <w:p w:rsidR="00D32D2D" w:rsidRDefault="00D32D2D" w:rsidP="00E35D6E">
      <w:pPr>
        <w:spacing w:line="480" w:lineRule="atLeast"/>
        <w:ind w:left="720" w:hanging="720"/>
        <w:rPr>
          <w:rFonts w:ascii="Arial" w:hAnsi="Arial" w:cs="Arial"/>
          <w:sz w:val="24"/>
          <w:szCs w:val="24"/>
        </w:rPr>
      </w:pPr>
    </w:p>
    <w:p w:rsidR="001163C7" w:rsidRDefault="00D32D2D" w:rsidP="00F803FD">
      <w:pPr>
        <w:spacing w:line="480" w:lineRule="atLeast"/>
        <w:ind w:left="720" w:hanging="20"/>
        <w:rPr>
          <w:rFonts w:ascii="Arial" w:hAnsi="Arial" w:cs="Arial"/>
          <w:sz w:val="24"/>
          <w:szCs w:val="24"/>
        </w:rPr>
      </w:pPr>
      <w:r w:rsidRPr="00B04CEB">
        <w:rPr>
          <w:rFonts w:ascii="Arial" w:hAnsi="Arial" w:cs="Arial"/>
          <w:sz w:val="24"/>
          <w:szCs w:val="24"/>
        </w:rPr>
        <w:t xml:space="preserve">Benefit Index </w:t>
      </w:r>
      <w:r>
        <w:rPr>
          <w:rFonts w:ascii="Arial" w:hAnsi="Arial" w:cs="Arial"/>
          <w:sz w:val="24"/>
          <w:szCs w:val="24"/>
        </w:rPr>
        <w:t xml:space="preserve">relative values for Gulf's benefits </w:t>
      </w:r>
      <w:r w:rsidRPr="00B04CEB">
        <w:rPr>
          <w:rFonts w:ascii="Arial" w:hAnsi="Arial" w:cs="Arial"/>
          <w:sz w:val="24"/>
          <w:szCs w:val="24"/>
        </w:rPr>
        <w:t>versus the 15 large utilities and Fortune 500 comparator groups were 94.2 and 104.6 respectively.  The 94.2 indicates Gulf's standardized value of benefits was 5.8</w:t>
      </w:r>
      <w:r w:rsidR="00AF3489">
        <w:rPr>
          <w:rFonts w:ascii="Arial" w:hAnsi="Arial" w:cs="Arial"/>
          <w:sz w:val="24"/>
          <w:szCs w:val="24"/>
        </w:rPr>
        <w:t xml:space="preserve"> percent</w:t>
      </w:r>
      <w:r w:rsidRPr="00B04CEB">
        <w:rPr>
          <w:rFonts w:ascii="Arial" w:hAnsi="Arial" w:cs="Arial"/>
          <w:sz w:val="24"/>
          <w:szCs w:val="24"/>
        </w:rPr>
        <w:t xml:space="preserve"> below the average of the utilities and the 104.6 indicates that Gulf's standardized value of benefits was 4.6</w:t>
      </w:r>
      <w:r w:rsidR="00AF3489">
        <w:rPr>
          <w:rFonts w:ascii="Arial" w:hAnsi="Arial" w:cs="Arial"/>
          <w:sz w:val="24"/>
          <w:szCs w:val="24"/>
        </w:rPr>
        <w:t xml:space="preserve"> percent</w:t>
      </w:r>
      <w:r w:rsidRPr="00B04CEB">
        <w:rPr>
          <w:rFonts w:ascii="Arial" w:hAnsi="Arial" w:cs="Arial"/>
          <w:sz w:val="24"/>
          <w:szCs w:val="24"/>
        </w:rPr>
        <w:t xml:space="preserve"> above average for the Fortune 500 comparators.</w:t>
      </w:r>
    </w:p>
    <w:p w:rsidR="001163C7" w:rsidRDefault="001163C7" w:rsidP="00F803FD">
      <w:pPr>
        <w:spacing w:line="480" w:lineRule="atLeast"/>
        <w:ind w:left="720" w:hanging="20"/>
        <w:rPr>
          <w:rFonts w:ascii="Arial" w:hAnsi="Arial" w:cs="Arial"/>
          <w:sz w:val="24"/>
          <w:szCs w:val="24"/>
        </w:rPr>
      </w:pPr>
    </w:p>
    <w:p w:rsidR="001163C7" w:rsidRDefault="001163C7" w:rsidP="001163C7">
      <w:pPr>
        <w:spacing w:line="480" w:lineRule="atLeast"/>
        <w:ind w:left="720"/>
        <w:rPr>
          <w:rFonts w:ascii="Arial" w:hAnsi="Arial" w:cs="Arial"/>
          <w:sz w:val="24"/>
          <w:szCs w:val="24"/>
        </w:rPr>
      </w:pPr>
      <w:r w:rsidRPr="00B04CEB">
        <w:rPr>
          <w:rFonts w:ascii="Arial" w:hAnsi="Arial" w:cs="Arial"/>
          <w:sz w:val="24"/>
          <w:szCs w:val="24"/>
        </w:rPr>
        <w:t>Exhibit SCT-1</w:t>
      </w:r>
      <w:r w:rsidR="00500A00">
        <w:rPr>
          <w:rFonts w:ascii="Arial" w:hAnsi="Arial" w:cs="Arial"/>
          <w:sz w:val="24"/>
          <w:szCs w:val="24"/>
        </w:rPr>
        <w:t>, Schedule 1,</w:t>
      </w:r>
      <w:r w:rsidRPr="00B04CEB">
        <w:rPr>
          <w:rFonts w:ascii="Arial" w:hAnsi="Arial" w:cs="Arial"/>
          <w:sz w:val="24"/>
          <w:szCs w:val="24"/>
        </w:rPr>
        <w:t xml:space="preserve"> contains a chart showing the relative value of Gulf's </w:t>
      </w:r>
      <w:r>
        <w:rPr>
          <w:rFonts w:ascii="Arial" w:hAnsi="Arial" w:cs="Arial"/>
          <w:sz w:val="24"/>
          <w:szCs w:val="24"/>
        </w:rPr>
        <w:t>benefits versus the average of</w:t>
      </w:r>
      <w:r w:rsidRPr="00B04CEB">
        <w:rPr>
          <w:rFonts w:ascii="Arial" w:hAnsi="Arial" w:cs="Arial"/>
          <w:sz w:val="24"/>
          <w:szCs w:val="24"/>
        </w:rPr>
        <w:t xml:space="preserve"> two comparator groups.  In addition, that chart shows the distribution of the </w:t>
      </w:r>
      <w:r>
        <w:rPr>
          <w:rFonts w:ascii="Arial" w:hAnsi="Arial" w:cs="Arial"/>
          <w:sz w:val="24"/>
          <w:szCs w:val="24"/>
        </w:rPr>
        <w:t xml:space="preserve">relative values of </w:t>
      </w:r>
      <w:r w:rsidRPr="00B04CEB">
        <w:rPr>
          <w:rFonts w:ascii="Arial" w:hAnsi="Arial" w:cs="Arial"/>
          <w:sz w:val="24"/>
          <w:szCs w:val="24"/>
        </w:rPr>
        <w:t>comparator companies</w:t>
      </w:r>
      <w:r>
        <w:rPr>
          <w:rFonts w:ascii="Arial" w:hAnsi="Arial" w:cs="Arial"/>
          <w:sz w:val="24"/>
          <w:szCs w:val="24"/>
        </w:rPr>
        <w:t>' benefits</w:t>
      </w:r>
      <w:r w:rsidRPr="00B04CEB">
        <w:rPr>
          <w:rFonts w:ascii="Arial" w:hAnsi="Arial" w:cs="Arial"/>
          <w:sz w:val="24"/>
          <w:szCs w:val="24"/>
        </w:rPr>
        <w:t xml:space="preserve"> around the average.  As </w:t>
      </w:r>
      <w:r>
        <w:rPr>
          <w:rFonts w:ascii="Arial" w:hAnsi="Arial" w:cs="Arial"/>
          <w:sz w:val="24"/>
          <w:szCs w:val="24"/>
        </w:rPr>
        <w:t>shown</w:t>
      </w:r>
      <w:r w:rsidRPr="00B04CEB">
        <w:rPr>
          <w:rFonts w:ascii="Arial" w:hAnsi="Arial" w:cs="Arial"/>
          <w:sz w:val="24"/>
          <w:szCs w:val="24"/>
        </w:rPr>
        <w:t xml:space="preserve"> on that chart, the median of each comparator group is essentially the same as the average</w:t>
      </w:r>
      <w:r>
        <w:rPr>
          <w:rFonts w:ascii="Arial" w:hAnsi="Arial" w:cs="Arial"/>
          <w:sz w:val="24"/>
          <w:szCs w:val="24"/>
        </w:rPr>
        <w:t>.  For that reason, m</w:t>
      </w:r>
      <w:r w:rsidRPr="00B04CEB">
        <w:rPr>
          <w:rFonts w:ascii="Arial" w:hAnsi="Arial" w:cs="Arial"/>
          <w:sz w:val="24"/>
          <w:szCs w:val="24"/>
        </w:rPr>
        <w:t xml:space="preserve">arket average and market median are effectively the same for purposes of this competitive analysis.  </w:t>
      </w:r>
    </w:p>
    <w:p w:rsidR="001163C7" w:rsidRDefault="001163C7" w:rsidP="001163C7">
      <w:pPr>
        <w:spacing w:line="480" w:lineRule="atLeast"/>
        <w:ind w:left="720" w:hanging="20"/>
        <w:rPr>
          <w:rFonts w:ascii="Arial" w:hAnsi="Arial" w:cs="Arial"/>
          <w:sz w:val="24"/>
          <w:szCs w:val="24"/>
        </w:rPr>
      </w:pPr>
    </w:p>
    <w:p w:rsidR="00D32D2D" w:rsidRPr="00B04CEB" w:rsidRDefault="00D32D2D" w:rsidP="001163C7">
      <w:pPr>
        <w:spacing w:line="480" w:lineRule="atLeast"/>
        <w:ind w:left="700" w:hanging="700"/>
        <w:rPr>
          <w:rFonts w:ascii="Arial" w:hAnsi="Arial" w:cs="Arial"/>
          <w:sz w:val="24"/>
          <w:szCs w:val="24"/>
        </w:rPr>
      </w:pPr>
      <w:r w:rsidRPr="00B04CEB">
        <w:rPr>
          <w:rFonts w:ascii="Arial" w:hAnsi="Arial" w:cs="Arial"/>
          <w:sz w:val="24"/>
          <w:szCs w:val="24"/>
        </w:rPr>
        <w:t xml:space="preserve">Q. </w:t>
      </w:r>
      <w:r w:rsidRPr="00B04CEB">
        <w:rPr>
          <w:rFonts w:ascii="Arial" w:hAnsi="Arial" w:cs="Arial"/>
          <w:sz w:val="24"/>
          <w:szCs w:val="24"/>
        </w:rPr>
        <w:tab/>
        <w:t xml:space="preserve">The title on </w:t>
      </w:r>
      <w:r w:rsidR="00500A00">
        <w:rPr>
          <w:rFonts w:ascii="Arial" w:hAnsi="Arial" w:cs="Arial"/>
          <w:sz w:val="24"/>
          <w:szCs w:val="24"/>
        </w:rPr>
        <w:t xml:space="preserve">Schedule 1 of </w:t>
      </w:r>
      <w:r w:rsidRPr="00B04CEB">
        <w:rPr>
          <w:rFonts w:ascii="Arial" w:hAnsi="Arial" w:cs="Arial"/>
          <w:sz w:val="24"/>
          <w:szCs w:val="24"/>
        </w:rPr>
        <w:t>Exhibit SCT-1 refers to "Employer-</w:t>
      </w:r>
      <w:r>
        <w:rPr>
          <w:rFonts w:ascii="Arial" w:hAnsi="Arial" w:cs="Arial"/>
          <w:sz w:val="24"/>
          <w:szCs w:val="24"/>
        </w:rPr>
        <w:t>P</w:t>
      </w:r>
      <w:r w:rsidRPr="00B04CEB">
        <w:rPr>
          <w:rFonts w:ascii="Arial" w:hAnsi="Arial" w:cs="Arial"/>
          <w:sz w:val="24"/>
          <w:szCs w:val="24"/>
        </w:rPr>
        <w:t>rovided Total Benefit Values</w:t>
      </w:r>
      <w:r>
        <w:rPr>
          <w:rFonts w:ascii="Arial" w:hAnsi="Arial" w:cs="Arial"/>
          <w:sz w:val="24"/>
          <w:szCs w:val="24"/>
        </w:rPr>
        <w:t>.</w:t>
      </w:r>
      <w:r w:rsidRPr="00B04CEB">
        <w:rPr>
          <w:rFonts w:ascii="Arial" w:hAnsi="Arial" w:cs="Arial"/>
          <w:sz w:val="24"/>
          <w:szCs w:val="24"/>
        </w:rPr>
        <w:t xml:space="preserve">" </w:t>
      </w:r>
      <w:r>
        <w:rPr>
          <w:rFonts w:ascii="Arial" w:hAnsi="Arial" w:cs="Arial"/>
          <w:sz w:val="24"/>
          <w:szCs w:val="24"/>
        </w:rPr>
        <w:t xml:space="preserve"> Please explain.</w:t>
      </w:r>
      <w:r w:rsidRPr="00B04CEB">
        <w:rPr>
          <w:rFonts w:ascii="Arial" w:hAnsi="Arial" w:cs="Arial"/>
          <w:sz w:val="24"/>
          <w:szCs w:val="24"/>
        </w:rPr>
        <w:t xml:space="preserve"> </w:t>
      </w:r>
    </w:p>
    <w:p w:rsidR="00D32D2D" w:rsidRPr="00B04CEB" w:rsidRDefault="00D32D2D" w:rsidP="000772B4">
      <w:pPr>
        <w:spacing w:line="480" w:lineRule="atLeast"/>
        <w:ind w:left="700" w:hanging="700"/>
        <w:rPr>
          <w:rFonts w:ascii="Arial" w:hAnsi="Arial" w:cs="Arial"/>
          <w:sz w:val="24"/>
          <w:szCs w:val="24"/>
        </w:rPr>
      </w:pPr>
      <w:r w:rsidRPr="00B04CEB">
        <w:rPr>
          <w:rFonts w:ascii="Arial" w:hAnsi="Arial" w:cs="Arial"/>
          <w:sz w:val="24"/>
          <w:szCs w:val="24"/>
        </w:rPr>
        <w:t xml:space="preserve">A. </w:t>
      </w:r>
      <w:r w:rsidRPr="00B04CEB">
        <w:rPr>
          <w:rFonts w:ascii="Arial" w:hAnsi="Arial" w:cs="Arial"/>
          <w:sz w:val="24"/>
          <w:szCs w:val="24"/>
        </w:rPr>
        <w:tab/>
        <w:t xml:space="preserve">Two scores are actually produced in </w:t>
      </w:r>
      <w:r>
        <w:rPr>
          <w:rFonts w:ascii="Arial" w:hAnsi="Arial" w:cs="Arial"/>
          <w:sz w:val="24"/>
          <w:szCs w:val="24"/>
        </w:rPr>
        <w:t>the</w:t>
      </w:r>
      <w:r w:rsidRPr="00B04CEB">
        <w:rPr>
          <w:rFonts w:ascii="Arial" w:hAnsi="Arial" w:cs="Arial"/>
          <w:sz w:val="24"/>
          <w:szCs w:val="24"/>
        </w:rPr>
        <w:t xml:space="preserve"> Benefit Index study. One </w:t>
      </w:r>
      <w:r>
        <w:rPr>
          <w:rFonts w:ascii="Arial" w:hAnsi="Arial" w:cs="Arial"/>
          <w:sz w:val="24"/>
          <w:szCs w:val="24"/>
        </w:rPr>
        <w:t xml:space="preserve">is </w:t>
      </w:r>
      <w:r w:rsidRPr="00B04CEB">
        <w:rPr>
          <w:rFonts w:ascii="Arial" w:hAnsi="Arial" w:cs="Arial"/>
          <w:sz w:val="24"/>
          <w:szCs w:val="24"/>
        </w:rPr>
        <w:t>Total Benefit Value which reflects the full value of the benefits program.  The other reflects only Employer-Provided Benefit Value which is the Total Benefit Value reduced by the value of employee/retiree contributions required to receive the benefits. For market competitiveness, the Employer-Provided Benefit Value is normally used since it represents the portion of benefits</w:t>
      </w:r>
      <w:r>
        <w:rPr>
          <w:rFonts w:ascii="Arial" w:hAnsi="Arial" w:cs="Arial"/>
          <w:sz w:val="24"/>
          <w:szCs w:val="24"/>
        </w:rPr>
        <w:t xml:space="preserve"> for which</w:t>
      </w:r>
      <w:r w:rsidRPr="00B04CEB">
        <w:rPr>
          <w:rFonts w:ascii="Arial" w:hAnsi="Arial" w:cs="Arial"/>
          <w:sz w:val="24"/>
          <w:szCs w:val="24"/>
        </w:rPr>
        <w:t xml:space="preserve"> companies pay. Gulf's Total Benefit Values versus both the utility and Fortune 500 comparator groups were just a bit higher than its Employer-Provided Benefit Values.  This indicates Gulf is charging it</w:t>
      </w:r>
      <w:r w:rsidR="00D32214">
        <w:rPr>
          <w:rFonts w:ascii="Arial" w:hAnsi="Arial" w:cs="Arial"/>
          <w:sz w:val="24"/>
          <w:szCs w:val="24"/>
        </w:rPr>
        <w:t>s</w:t>
      </w:r>
      <w:r w:rsidRPr="00B04CEB">
        <w:rPr>
          <w:rFonts w:ascii="Arial" w:hAnsi="Arial" w:cs="Arial"/>
          <w:sz w:val="24"/>
          <w:szCs w:val="24"/>
        </w:rPr>
        <w:t xml:space="preserve"> employees/retirees more for benefits than the comparator companies do on average. </w:t>
      </w:r>
    </w:p>
    <w:p w:rsidR="00812BED" w:rsidRDefault="00812BED">
      <w:pPr>
        <w:spacing w:line="480" w:lineRule="atLeast"/>
        <w:rPr>
          <w:rFonts w:ascii="Arial" w:hAnsi="Arial" w:cs="Arial"/>
          <w:sz w:val="24"/>
          <w:szCs w:val="24"/>
        </w:rPr>
      </w:pPr>
    </w:p>
    <w:p w:rsidR="00D32D2D" w:rsidRDefault="00D32D2D" w:rsidP="00FD2F37">
      <w:pPr>
        <w:spacing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Did you recently provide revised retirement benefit expense projections to Gulf?</w:t>
      </w:r>
    </w:p>
    <w:p w:rsidR="00D32D2D" w:rsidRDefault="00D32D2D" w:rsidP="002F34A1">
      <w:pPr>
        <w:spacing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t>Yes.  In March 2011, I provided updated expense projections for pensions, retiree medical, and retiree life benefits based on the formal actuarial measurements done as of the end of 2010. The new projections portray lower 2011 and 2012 expenses for these benefits than earlier projections did. The decline is attributable to 2010 events and related changes in estimates. I have been informed that these revised projected expenses for the 2012 test year are in total $2.7 million lower than the estimate contained in the Company’s 2011 financial model. I also understand that Gulf Witness McMillan makes an adjustment to reflect this expense reduction in the Company’s rate request.</w:t>
      </w:r>
    </w:p>
    <w:p w:rsidR="00D32D2D" w:rsidRDefault="00D32D2D" w:rsidP="000772B4">
      <w:pPr>
        <w:spacing w:line="480" w:lineRule="atLeast"/>
        <w:ind w:left="720" w:hanging="720"/>
        <w:rPr>
          <w:rFonts w:ascii="Arial" w:hAnsi="Arial" w:cs="Arial"/>
          <w:sz w:val="24"/>
          <w:szCs w:val="24"/>
        </w:rPr>
      </w:pP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 xml:space="preserve">Did </w:t>
      </w:r>
      <w:r w:rsidR="00500A00">
        <w:rPr>
          <w:rFonts w:ascii="Arial" w:hAnsi="Arial" w:cs="Arial"/>
          <w:sz w:val="24"/>
          <w:szCs w:val="24"/>
        </w:rPr>
        <w:t>Gulf Witness</w:t>
      </w:r>
      <w:r w:rsidRPr="00B04CEB">
        <w:rPr>
          <w:rFonts w:ascii="Arial" w:hAnsi="Arial" w:cs="Arial"/>
          <w:sz w:val="24"/>
          <w:szCs w:val="24"/>
        </w:rPr>
        <w:t xml:space="preserve"> Erickson provide you with information on </w:t>
      </w:r>
      <w:proofErr w:type="gramStart"/>
      <w:r w:rsidRPr="00B04CEB">
        <w:rPr>
          <w:rFonts w:ascii="Arial" w:hAnsi="Arial" w:cs="Arial"/>
          <w:sz w:val="24"/>
          <w:szCs w:val="24"/>
        </w:rPr>
        <w:t>Gulf’s</w:t>
      </w:r>
      <w:proofErr w:type="gramEnd"/>
      <w:r w:rsidRPr="00B04CEB">
        <w:rPr>
          <w:rFonts w:ascii="Arial" w:hAnsi="Arial" w:cs="Arial"/>
          <w:sz w:val="24"/>
          <w:szCs w:val="24"/>
        </w:rPr>
        <w:t xml:space="preserve"> projected A&amp;G O&amp;M benefits costs for the 2012 test year and how they compare to the </w:t>
      </w:r>
      <w:r>
        <w:rPr>
          <w:rFonts w:ascii="Arial" w:hAnsi="Arial" w:cs="Arial"/>
          <w:sz w:val="24"/>
          <w:szCs w:val="24"/>
        </w:rPr>
        <w:t xml:space="preserve">Commission’s O&amp;M </w:t>
      </w:r>
      <w:r w:rsidRPr="00B04CEB">
        <w:rPr>
          <w:rFonts w:ascii="Arial" w:hAnsi="Arial" w:cs="Arial"/>
          <w:sz w:val="24"/>
          <w:szCs w:val="24"/>
        </w:rPr>
        <w:t>benchmark?</w:t>
      </w:r>
    </w:p>
    <w:p w:rsidR="00D32D2D" w:rsidRPr="00B04CEB" w:rsidRDefault="00D32D2D" w:rsidP="00A930EF">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sz w:val="24"/>
          <w:szCs w:val="24"/>
        </w:rPr>
        <w:tab/>
        <w:t>Yes.  Ms. Erickson informed us that Gulf’s total projected A&amp;G O&amp;M benefit costs for the test year are approximately $20.7 million, which is approximately $10.1 million above the benchmark.  Ms. Erickson states in her testimony that the projected retirement plan expense is $6.9 million above the benchmark, and projected medical plan and group insurance is $3.</w:t>
      </w:r>
      <w:r>
        <w:rPr>
          <w:rFonts w:ascii="Arial" w:hAnsi="Arial" w:cs="Arial"/>
          <w:sz w:val="24"/>
          <w:szCs w:val="24"/>
        </w:rPr>
        <w:t>3</w:t>
      </w:r>
      <w:r w:rsidRPr="00B04CEB">
        <w:rPr>
          <w:rFonts w:ascii="Arial" w:hAnsi="Arial" w:cs="Arial"/>
          <w:sz w:val="24"/>
          <w:szCs w:val="24"/>
        </w:rPr>
        <w:t xml:space="preserve"> million above the benchmark.  </w:t>
      </w:r>
      <w:r w:rsidR="00D32214">
        <w:rPr>
          <w:rFonts w:ascii="Arial" w:hAnsi="Arial" w:cs="Arial"/>
          <w:sz w:val="24"/>
          <w:szCs w:val="24"/>
        </w:rPr>
        <w:t>Also,</w:t>
      </w:r>
      <w:r w:rsidRPr="00B04CEB">
        <w:rPr>
          <w:rFonts w:ascii="Arial" w:hAnsi="Arial" w:cs="Arial"/>
          <w:sz w:val="24"/>
          <w:szCs w:val="24"/>
        </w:rPr>
        <w:t xml:space="preserve"> she has informed us that primary contributors to the $6.9 million and $3.</w:t>
      </w:r>
      <w:r>
        <w:rPr>
          <w:rFonts w:ascii="Arial" w:hAnsi="Arial" w:cs="Arial"/>
          <w:sz w:val="24"/>
          <w:szCs w:val="24"/>
        </w:rPr>
        <w:t>3</w:t>
      </w:r>
      <w:r w:rsidRPr="00B04CEB">
        <w:rPr>
          <w:rFonts w:ascii="Arial" w:hAnsi="Arial" w:cs="Arial"/>
          <w:sz w:val="24"/>
          <w:szCs w:val="24"/>
        </w:rPr>
        <w:t xml:space="preserve"> million differences were the pension and medical benefit expenses</w:t>
      </w:r>
      <w:r>
        <w:rPr>
          <w:rFonts w:ascii="Arial" w:hAnsi="Arial" w:cs="Arial"/>
          <w:sz w:val="24"/>
          <w:szCs w:val="24"/>
        </w:rPr>
        <w:t>,</w:t>
      </w:r>
      <w:r w:rsidRPr="00B04CEB">
        <w:rPr>
          <w:rFonts w:ascii="Arial" w:hAnsi="Arial" w:cs="Arial"/>
          <w:sz w:val="24"/>
          <w:szCs w:val="24"/>
        </w:rPr>
        <w:t xml:space="preserve"> respectively. </w:t>
      </w:r>
      <w:r>
        <w:rPr>
          <w:rFonts w:ascii="Arial" w:hAnsi="Arial" w:cs="Arial"/>
          <w:sz w:val="24"/>
          <w:szCs w:val="24"/>
        </w:rPr>
        <w:t xml:space="preserve"> The explanations we provide about why pension and medical benefit expenses have increased will also explain other variances that we understand are attributable to these benefit costs, including those Ms. Erickson's testimony has identified as related to joint ownership and duplicate charges.</w:t>
      </w:r>
    </w:p>
    <w:p w:rsidR="00D32D2D" w:rsidRDefault="00D32D2D" w:rsidP="000772B4">
      <w:pPr>
        <w:spacing w:line="480" w:lineRule="atLeast"/>
        <w:rPr>
          <w:rFonts w:ascii="Arial" w:hAnsi="Arial" w:cs="Arial"/>
          <w:sz w:val="24"/>
          <w:szCs w:val="24"/>
        </w:rPr>
      </w:pPr>
    </w:p>
    <w:p w:rsidR="009B2C0D" w:rsidRPr="00B04CEB" w:rsidRDefault="009B2C0D" w:rsidP="000772B4">
      <w:pPr>
        <w:spacing w:line="480" w:lineRule="atLeast"/>
        <w:rPr>
          <w:rFonts w:ascii="Arial" w:hAnsi="Arial" w:cs="Arial"/>
          <w:sz w:val="24"/>
          <w:szCs w:val="24"/>
        </w:rPr>
      </w:pP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 xml:space="preserve">Why have pension expenses increased by as much as they have since the costs were projected for the prior 2002-2003 test year? </w:t>
      </w:r>
    </w:p>
    <w:p w:rsidR="00D32D2D" w:rsidRPr="00B04CEB" w:rsidRDefault="00D32D2D" w:rsidP="000772B4">
      <w:pPr>
        <w:pStyle w:val="NormalDS"/>
        <w:spacing w:after="0" w:line="480" w:lineRule="atLeast"/>
        <w:ind w:left="720" w:hanging="720"/>
        <w:rPr>
          <w:bCs/>
          <w:sz w:val="24"/>
          <w:szCs w:val="24"/>
        </w:rPr>
      </w:pPr>
      <w:r w:rsidRPr="00B04CEB">
        <w:rPr>
          <w:sz w:val="24"/>
          <w:szCs w:val="24"/>
        </w:rPr>
        <w:t>A.</w:t>
      </w:r>
      <w:r w:rsidRPr="00B04CEB">
        <w:rPr>
          <w:b/>
          <w:sz w:val="24"/>
          <w:szCs w:val="24"/>
        </w:rPr>
        <w:tab/>
      </w:r>
      <w:r w:rsidRPr="00B04CEB">
        <w:rPr>
          <w:bCs/>
          <w:sz w:val="24"/>
          <w:szCs w:val="24"/>
        </w:rPr>
        <w:t xml:space="preserve">Pension cost increases are attributable to a number of factors, but the primary factor has been measurement losses.  Simply put, pension plan assets are less than they had been anticipated to be and liabilities are higher than they had been expected to be.  These losses offset some of the gains that Gulf experienced in prior years.  Due to those gains, Gulf had more pension assets than liabilities for quite a few years, and Gulf's pension expenses were actually negative for quite some time, including the last test year.  In other words, Gulf's pension was actually contributing to income in spite of Gulf's employees earning benefits each year.  The losses and liabilities associated with the normal benefit accruals have finally eroded the surplus resulting from the prior gains, and pension expenses are projected to be higher as a result.  Note that the pension expenses being referred to are calculated for the Company's accounting and financial reporting purposes.  They are determined according to very specific rules set out by the Financial Accounting Standards Board. </w:t>
      </w:r>
    </w:p>
    <w:p w:rsidR="00D32D2D" w:rsidRPr="00B04CEB" w:rsidRDefault="00D32D2D" w:rsidP="000772B4">
      <w:pPr>
        <w:pStyle w:val="NormalDS"/>
        <w:spacing w:after="0" w:line="480" w:lineRule="atLeast"/>
        <w:ind w:left="720" w:hanging="720"/>
        <w:rPr>
          <w:bCs/>
          <w:sz w:val="24"/>
          <w:szCs w:val="24"/>
        </w:rPr>
      </w:pPr>
    </w:p>
    <w:p w:rsidR="00D32D2D" w:rsidRPr="00B04CEB" w:rsidRDefault="00D32D2D" w:rsidP="000772B4">
      <w:pPr>
        <w:pStyle w:val="NormalDS"/>
        <w:spacing w:after="0" w:line="480" w:lineRule="atLeast"/>
        <w:ind w:left="720" w:hanging="720"/>
        <w:rPr>
          <w:bCs/>
          <w:sz w:val="24"/>
          <w:szCs w:val="24"/>
        </w:rPr>
      </w:pPr>
      <w:r w:rsidRPr="00B04CEB">
        <w:rPr>
          <w:bCs/>
          <w:sz w:val="24"/>
          <w:szCs w:val="24"/>
        </w:rPr>
        <w:t xml:space="preserve">Q. </w:t>
      </w:r>
      <w:r w:rsidRPr="00B04CEB">
        <w:rPr>
          <w:bCs/>
          <w:sz w:val="24"/>
          <w:szCs w:val="24"/>
        </w:rPr>
        <w:tab/>
        <w:t xml:space="preserve">What has been the source of these pension losses? </w:t>
      </w:r>
    </w:p>
    <w:p w:rsidR="00D32D2D" w:rsidRDefault="00D32D2D" w:rsidP="000772B4">
      <w:pPr>
        <w:pStyle w:val="NormalDS"/>
        <w:spacing w:after="0" w:line="480" w:lineRule="atLeast"/>
        <w:ind w:left="720" w:hanging="720"/>
        <w:rPr>
          <w:bCs/>
          <w:sz w:val="24"/>
          <w:szCs w:val="24"/>
        </w:rPr>
      </w:pPr>
      <w:r w:rsidRPr="00B04CEB">
        <w:rPr>
          <w:bCs/>
          <w:sz w:val="24"/>
          <w:szCs w:val="24"/>
        </w:rPr>
        <w:t xml:space="preserve">A. </w:t>
      </w:r>
      <w:r w:rsidRPr="00B04CEB">
        <w:rPr>
          <w:bCs/>
          <w:sz w:val="24"/>
          <w:szCs w:val="24"/>
        </w:rPr>
        <w:tab/>
        <w:t xml:space="preserve">There have been two primary sources. First, while pension plan assets earned about $102 million of return over the period from when the last test year's costs were projected through 2010, that amount is about $123 million less than the returns that had been expected during that period.  Nearly all of these </w:t>
      </w:r>
      <w:r>
        <w:rPr>
          <w:bCs/>
          <w:sz w:val="24"/>
          <w:szCs w:val="24"/>
        </w:rPr>
        <w:t xml:space="preserve">reduced </w:t>
      </w:r>
      <w:r w:rsidRPr="00B04CEB">
        <w:rPr>
          <w:bCs/>
          <w:sz w:val="24"/>
          <w:szCs w:val="24"/>
        </w:rPr>
        <w:t xml:space="preserve">investment </w:t>
      </w:r>
      <w:r>
        <w:rPr>
          <w:bCs/>
          <w:sz w:val="24"/>
          <w:szCs w:val="24"/>
        </w:rPr>
        <w:t xml:space="preserve">earnings </w:t>
      </w:r>
      <w:r w:rsidRPr="00B04CEB">
        <w:rPr>
          <w:bCs/>
          <w:sz w:val="24"/>
          <w:szCs w:val="24"/>
        </w:rPr>
        <w:t>result from the stock market crash early in the century and the 2008 "Great Recession."</w:t>
      </w:r>
    </w:p>
    <w:p w:rsidR="00D32D2D" w:rsidRPr="00B04CEB" w:rsidRDefault="00D32D2D" w:rsidP="000772B4">
      <w:pPr>
        <w:pStyle w:val="NormalDS"/>
        <w:spacing w:after="0" w:line="480" w:lineRule="atLeast"/>
        <w:ind w:left="720" w:hanging="720"/>
        <w:rPr>
          <w:bCs/>
          <w:sz w:val="24"/>
          <w:szCs w:val="24"/>
        </w:rPr>
      </w:pPr>
    </w:p>
    <w:p w:rsidR="00D32D2D" w:rsidRDefault="00D32D2D" w:rsidP="000772B4">
      <w:pPr>
        <w:pStyle w:val="NormalDS"/>
        <w:spacing w:after="0" w:line="480" w:lineRule="atLeast"/>
        <w:ind w:left="720"/>
        <w:rPr>
          <w:bCs/>
          <w:sz w:val="24"/>
          <w:szCs w:val="24"/>
        </w:rPr>
      </w:pPr>
      <w:r w:rsidRPr="00B04CEB">
        <w:rPr>
          <w:bCs/>
          <w:sz w:val="24"/>
          <w:szCs w:val="24"/>
        </w:rPr>
        <w:t>Second, pension benefit liabilities are about $67 million higher than had been anticipated.  Out of the many factors influencing the size of liabilities, the change in the level of discount rates explains the vast majority of the additional liabilities.  Essentially, these liabilities are the present values of the pension benefits that Gulf employees have earned and are expected to receive in the future.  The discount rate currently being used is about 200 basis points lower than the discount rate used when pension expenses for the last test year were projected.  That is because GAAP accounting rules mandate discounting the future benefit payments using market interest rates, and these market rates are significantly lower today.  The lower rate of discount pushes up the pension liabilities.</w:t>
      </w:r>
    </w:p>
    <w:p w:rsidR="00D32D2D" w:rsidRPr="00B04CEB" w:rsidRDefault="00D32D2D" w:rsidP="000772B4">
      <w:pPr>
        <w:pStyle w:val="NormalDS"/>
        <w:spacing w:after="0" w:line="480" w:lineRule="atLeast"/>
        <w:ind w:left="720"/>
        <w:rPr>
          <w:bCs/>
          <w:sz w:val="24"/>
          <w:szCs w:val="24"/>
        </w:rPr>
      </w:pPr>
      <w:r w:rsidRPr="00B04CEB">
        <w:rPr>
          <w:bCs/>
          <w:sz w:val="24"/>
          <w:szCs w:val="24"/>
        </w:rPr>
        <w:br/>
        <w:t xml:space="preserve">Gulf's situation is not unique.  Essentially, all pension plan sponsors incurred losses during the period since costs were projected for the last test year due to the general economic circumstances that caused interest rates to fall and investments to perform poorly. </w:t>
      </w:r>
    </w:p>
    <w:p w:rsidR="00D32D2D" w:rsidRPr="00B04CEB" w:rsidRDefault="00D32D2D" w:rsidP="000772B4">
      <w:pPr>
        <w:pStyle w:val="NormalDS"/>
        <w:spacing w:after="0" w:line="480" w:lineRule="atLeast"/>
        <w:ind w:left="720"/>
        <w:rPr>
          <w:b/>
          <w:sz w:val="24"/>
          <w:szCs w:val="24"/>
        </w:rPr>
      </w:pPr>
    </w:p>
    <w:p w:rsidR="00D32D2D" w:rsidRPr="00B04CEB" w:rsidRDefault="00D32D2D" w:rsidP="000772B4">
      <w:pPr>
        <w:spacing w:line="480" w:lineRule="atLeast"/>
        <w:rPr>
          <w:rFonts w:ascii="Arial" w:hAnsi="Arial" w:cs="Arial"/>
          <w:sz w:val="24"/>
          <w:szCs w:val="24"/>
        </w:rPr>
      </w:pPr>
      <w:r w:rsidRPr="00B04CEB">
        <w:rPr>
          <w:rFonts w:ascii="Arial" w:hAnsi="Arial" w:cs="Arial"/>
          <w:sz w:val="24"/>
          <w:szCs w:val="24"/>
        </w:rPr>
        <w:t xml:space="preserve">Q. </w:t>
      </w:r>
      <w:r w:rsidRPr="00B04CEB">
        <w:rPr>
          <w:rFonts w:ascii="Arial" w:hAnsi="Arial" w:cs="Arial"/>
          <w:sz w:val="24"/>
          <w:szCs w:val="24"/>
        </w:rPr>
        <w:tab/>
        <w:t xml:space="preserve">What has Gulf done to manage retirement benefit costs? </w:t>
      </w:r>
    </w:p>
    <w:p w:rsidR="00D32D2D" w:rsidRPr="00B04CEB" w:rsidRDefault="00D32D2D" w:rsidP="000772B4">
      <w:pPr>
        <w:spacing w:line="480" w:lineRule="atLeast"/>
        <w:ind w:left="700" w:hanging="700"/>
        <w:rPr>
          <w:rFonts w:ascii="Arial" w:hAnsi="Arial" w:cs="Arial"/>
          <w:sz w:val="24"/>
          <w:szCs w:val="24"/>
        </w:rPr>
      </w:pPr>
      <w:r w:rsidRPr="00B04CEB">
        <w:rPr>
          <w:rFonts w:ascii="Arial" w:hAnsi="Arial" w:cs="Arial"/>
          <w:sz w:val="24"/>
          <w:szCs w:val="24"/>
        </w:rPr>
        <w:t xml:space="preserve">A. </w:t>
      </w:r>
      <w:r w:rsidRPr="00B04CEB">
        <w:rPr>
          <w:rFonts w:ascii="Arial" w:hAnsi="Arial" w:cs="Arial"/>
          <w:sz w:val="24"/>
          <w:szCs w:val="24"/>
        </w:rPr>
        <w:tab/>
        <w:t xml:space="preserve">Gulf has made a number of plan changes that put fixed dollar limits on the size of retiree medical and retiree death benefits.  This type of limit is an effective way of capping the Company's obligations.  For example, impacted retirees now must pay all of the increase in the cost of medical coverage each year, because the Company's share of the annual cost of coverage has been limited to a fixed dollar amount.  The most recent plan change was the imposition of a $12,500 maximum on retiree death benefits payable to survivors of non-bargaining </w:t>
      </w:r>
      <w:r>
        <w:rPr>
          <w:rFonts w:ascii="Arial" w:hAnsi="Arial" w:cs="Arial"/>
          <w:sz w:val="24"/>
          <w:szCs w:val="24"/>
        </w:rPr>
        <w:t xml:space="preserve">unit </w:t>
      </w:r>
      <w:r w:rsidRPr="00B04CEB">
        <w:rPr>
          <w:rFonts w:ascii="Arial" w:hAnsi="Arial" w:cs="Arial"/>
          <w:sz w:val="24"/>
          <w:szCs w:val="24"/>
        </w:rPr>
        <w:t xml:space="preserve">employees who </w:t>
      </w:r>
      <w:r>
        <w:rPr>
          <w:rFonts w:ascii="Arial" w:hAnsi="Arial" w:cs="Arial"/>
          <w:sz w:val="24"/>
          <w:szCs w:val="24"/>
        </w:rPr>
        <w:t>retire</w:t>
      </w:r>
      <w:r w:rsidRPr="00B04CEB">
        <w:rPr>
          <w:rFonts w:ascii="Arial" w:hAnsi="Arial" w:cs="Arial"/>
          <w:sz w:val="24"/>
          <w:szCs w:val="24"/>
        </w:rPr>
        <w:t xml:space="preserve"> after January 1, 2011 and who die after attaining age 65.  Prior to the change</w:t>
      </w:r>
      <w:r>
        <w:rPr>
          <w:rFonts w:ascii="Arial" w:hAnsi="Arial" w:cs="Arial"/>
          <w:sz w:val="24"/>
          <w:szCs w:val="24"/>
        </w:rPr>
        <w:t>,</w:t>
      </w:r>
      <w:r w:rsidRPr="00B04CEB">
        <w:rPr>
          <w:rFonts w:ascii="Arial" w:hAnsi="Arial" w:cs="Arial"/>
          <w:sz w:val="24"/>
          <w:szCs w:val="24"/>
        </w:rPr>
        <w:t xml:space="preserve"> impacted employees could anticipate benefits as high as 75 </w:t>
      </w:r>
      <w:r w:rsidR="005B32FF">
        <w:rPr>
          <w:rFonts w:ascii="Arial" w:hAnsi="Arial" w:cs="Arial"/>
          <w:sz w:val="24"/>
          <w:szCs w:val="24"/>
        </w:rPr>
        <w:t xml:space="preserve">percent </w:t>
      </w:r>
      <w:r w:rsidRPr="00B04CEB">
        <w:rPr>
          <w:rFonts w:ascii="Arial" w:hAnsi="Arial" w:cs="Arial"/>
          <w:sz w:val="24"/>
          <w:szCs w:val="24"/>
        </w:rPr>
        <w:t xml:space="preserve">of final base pay.  In large part due to these changes that Gulf has made, the projected 2012 expense for these two retirement benefits are actually lower than they were in the prior test year. </w:t>
      </w:r>
    </w:p>
    <w:p w:rsidR="00D32D2D" w:rsidRPr="00B04CEB" w:rsidRDefault="00D32D2D" w:rsidP="000772B4">
      <w:pPr>
        <w:spacing w:line="480" w:lineRule="atLeast"/>
        <w:rPr>
          <w:rFonts w:ascii="Arial" w:hAnsi="Arial" w:cs="Arial"/>
          <w:b/>
          <w:sz w:val="24"/>
          <w:szCs w:val="24"/>
        </w:rPr>
      </w:pP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 xml:space="preserve">What has caused medical plan costs to increase by as much as they have since the costs were projected for the prior 2002-2003 test year? </w:t>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color w:val="FF0000"/>
          <w:sz w:val="24"/>
          <w:szCs w:val="24"/>
        </w:rPr>
        <w:t>.</w:t>
      </w:r>
      <w:r w:rsidRPr="00B04CEB">
        <w:rPr>
          <w:rFonts w:ascii="Arial" w:hAnsi="Arial" w:cs="Arial"/>
          <w:b/>
          <w:color w:val="FF0000"/>
          <w:sz w:val="24"/>
          <w:szCs w:val="24"/>
        </w:rPr>
        <w:tab/>
      </w:r>
      <w:r w:rsidRPr="00B04CEB">
        <w:rPr>
          <w:rFonts w:ascii="Arial" w:hAnsi="Arial" w:cs="Arial"/>
          <w:sz w:val="24"/>
          <w:szCs w:val="24"/>
        </w:rPr>
        <w:t xml:space="preserve">Medical plan costs are increasing faster than general inflation all across the U.S. and at the Company due to factors </w:t>
      </w:r>
      <w:r>
        <w:rPr>
          <w:rFonts w:ascii="Arial" w:hAnsi="Arial" w:cs="Arial"/>
          <w:sz w:val="24"/>
          <w:szCs w:val="24"/>
        </w:rPr>
        <w:t xml:space="preserve">that include:  </w:t>
      </w:r>
    </w:p>
    <w:p w:rsidR="00D32D2D" w:rsidRPr="00B04CEB" w:rsidRDefault="00D32D2D" w:rsidP="000772B4">
      <w:pPr>
        <w:pStyle w:val="ListParagraph"/>
        <w:numPr>
          <w:ilvl w:val="0"/>
          <w:numId w:val="4"/>
        </w:numPr>
        <w:spacing w:line="480" w:lineRule="atLeast"/>
        <w:rPr>
          <w:rFonts w:ascii="Arial" w:hAnsi="Arial" w:cs="Arial"/>
          <w:sz w:val="24"/>
          <w:szCs w:val="24"/>
        </w:rPr>
      </w:pPr>
      <w:r w:rsidRPr="00B04CEB">
        <w:rPr>
          <w:rFonts w:ascii="Arial" w:hAnsi="Arial" w:cs="Arial"/>
          <w:sz w:val="24"/>
          <w:szCs w:val="24"/>
        </w:rPr>
        <w:t>Price increases in provider reimbursements driven, in part, by an increase in the number of uninsured individuals and by cost shifting from the Medicare and Medicaid programs;</w:t>
      </w:r>
    </w:p>
    <w:p w:rsidR="00D32D2D" w:rsidRPr="00B04CEB" w:rsidRDefault="00D32D2D" w:rsidP="000772B4">
      <w:pPr>
        <w:pStyle w:val="ListParagraph"/>
        <w:numPr>
          <w:ilvl w:val="0"/>
          <w:numId w:val="4"/>
        </w:numPr>
        <w:spacing w:line="480" w:lineRule="atLeast"/>
        <w:rPr>
          <w:rFonts w:ascii="Arial" w:hAnsi="Arial" w:cs="Arial"/>
          <w:sz w:val="24"/>
          <w:szCs w:val="24"/>
        </w:rPr>
      </w:pPr>
      <w:r w:rsidRPr="00B04CEB">
        <w:rPr>
          <w:rFonts w:ascii="Arial" w:hAnsi="Arial" w:cs="Arial"/>
          <w:sz w:val="24"/>
          <w:szCs w:val="24"/>
        </w:rPr>
        <w:t>Increased utilization of inpatient and outpatient care, as well as pharmaceutical therapies.  These increases are driven by:</w:t>
      </w:r>
    </w:p>
    <w:p w:rsidR="00D32D2D" w:rsidRPr="00B04CEB" w:rsidRDefault="00D32D2D" w:rsidP="000772B4">
      <w:pPr>
        <w:pStyle w:val="ListParagraph"/>
        <w:numPr>
          <w:ilvl w:val="1"/>
          <w:numId w:val="4"/>
        </w:numPr>
        <w:spacing w:line="480" w:lineRule="atLeast"/>
        <w:rPr>
          <w:rFonts w:ascii="Arial" w:hAnsi="Arial" w:cs="Arial"/>
          <w:sz w:val="24"/>
          <w:szCs w:val="24"/>
        </w:rPr>
      </w:pPr>
      <w:r w:rsidRPr="00B04CEB">
        <w:rPr>
          <w:rFonts w:ascii="Arial" w:hAnsi="Arial" w:cs="Arial"/>
          <w:sz w:val="24"/>
          <w:szCs w:val="24"/>
        </w:rPr>
        <w:t>An aging U</w:t>
      </w:r>
      <w:r>
        <w:rPr>
          <w:rFonts w:ascii="Arial" w:hAnsi="Arial" w:cs="Arial"/>
          <w:sz w:val="24"/>
          <w:szCs w:val="24"/>
        </w:rPr>
        <w:t>.</w:t>
      </w:r>
      <w:r w:rsidRPr="00B04CEB">
        <w:rPr>
          <w:rFonts w:ascii="Arial" w:hAnsi="Arial" w:cs="Arial"/>
          <w:sz w:val="24"/>
          <w:szCs w:val="24"/>
        </w:rPr>
        <w:t>S</w:t>
      </w:r>
      <w:r>
        <w:rPr>
          <w:rFonts w:ascii="Arial" w:hAnsi="Arial" w:cs="Arial"/>
          <w:sz w:val="24"/>
          <w:szCs w:val="24"/>
        </w:rPr>
        <w:t>.</w:t>
      </w:r>
      <w:r w:rsidRPr="00B04CEB">
        <w:rPr>
          <w:rFonts w:ascii="Arial" w:hAnsi="Arial" w:cs="Arial"/>
          <w:sz w:val="24"/>
          <w:szCs w:val="24"/>
        </w:rPr>
        <w:t xml:space="preserve"> population,</w:t>
      </w:r>
    </w:p>
    <w:p w:rsidR="00D32D2D" w:rsidRPr="00B04CEB" w:rsidRDefault="00D32D2D" w:rsidP="000772B4">
      <w:pPr>
        <w:pStyle w:val="ListParagraph"/>
        <w:numPr>
          <w:ilvl w:val="1"/>
          <w:numId w:val="4"/>
        </w:numPr>
        <w:spacing w:line="480" w:lineRule="atLeast"/>
        <w:rPr>
          <w:rFonts w:ascii="Arial" w:hAnsi="Arial" w:cs="Arial"/>
          <w:sz w:val="24"/>
          <w:szCs w:val="24"/>
        </w:rPr>
      </w:pPr>
      <w:r w:rsidRPr="00B04CEB">
        <w:rPr>
          <w:rFonts w:ascii="Arial" w:hAnsi="Arial" w:cs="Arial"/>
          <w:sz w:val="24"/>
          <w:szCs w:val="24"/>
        </w:rPr>
        <w:t>Increased prevalence of chronic disease,</w:t>
      </w:r>
    </w:p>
    <w:p w:rsidR="00D32D2D" w:rsidRPr="00B04CEB" w:rsidRDefault="00D32D2D" w:rsidP="000772B4">
      <w:pPr>
        <w:pStyle w:val="ListParagraph"/>
        <w:numPr>
          <w:ilvl w:val="1"/>
          <w:numId w:val="4"/>
        </w:numPr>
        <w:spacing w:line="480" w:lineRule="atLeast"/>
        <w:rPr>
          <w:rFonts w:ascii="Arial" w:hAnsi="Arial" w:cs="Arial"/>
          <w:sz w:val="24"/>
          <w:szCs w:val="24"/>
        </w:rPr>
      </w:pPr>
      <w:r w:rsidRPr="00B04CEB">
        <w:rPr>
          <w:rFonts w:ascii="Arial" w:hAnsi="Arial" w:cs="Arial"/>
          <w:sz w:val="24"/>
          <w:szCs w:val="24"/>
        </w:rPr>
        <w:t>Continued focus on direct consumer advertising by pharmaceutical companies, and</w:t>
      </w:r>
    </w:p>
    <w:p w:rsidR="00D32D2D" w:rsidRPr="00B04CEB" w:rsidRDefault="00D32D2D" w:rsidP="000772B4">
      <w:pPr>
        <w:pStyle w:val="ListParagraph"/>
        <w:numPr>
          <w:ilvl w:val="1"/>
          <w:numId w:val="4"/>
        </w:numPr>
        <w:spacing w:line="480" w:lineRule="atLeast"/>
        <w:rPr>
          <w:rFonts w:ascii="Arial" w:hAnsi="Arial" w:cs="Arial"/>
          <w:sz w:val="24"/>
          <w:szCs w:val="24"/>
        </w:rPr>
      </w:pPr>
      <w:r w:rsidRPr="00B04CEB">
        <w:rPr>
          <w:rFonts w:ascii="Arial" w:hAnsi="Arial" w:cs="Arial"/>
          <w:sz w:val="24"/>
          <w:szCs w:val="24"/>
        </w:rPr>
        <w:t>Threat of malpractice leading physicians to practice defensive medicine;</w:t>
      </w:r>
    </w:p>
    <w:p w:rsidR="00D32D2D" w:rsidRPr="00B04CEB" w:rsidRDefault="00D32D2D" w:rsidP="000772B4">
      <w:pPr>
        <w:pStyle w:val="ListParagraph"/>
        <w:numPr>
          <w:ilvl w:val="0"/>
          <w:numId w:val="4"/>
        </w:numPr>
        <w:spacing w:line="480" w:lineRule="atLeast"/>
        <w:rPr>
          <w:rFonts w:ascii="Arial" w:hAnsi="Arial" w:cs="Arial"/>
          <w:sz w:val="24"/>
          <w:szCs w:val="24"/>
        </w:rPr>
      </w:pPr>
      <w:r w:rsidRPr="00B04CEB">
        <w:rPr>
          <w:rFonts w:ascii="Arial" w:hAnsi="Arial" w:cs="Arial"/>
          <w:sz w:val="24"/>
          <w:szCs w:val="24"/>
        </w:rPr>
        <w:t xml:space="preserve">Adoption of more complex therapies in place of lower cost treatments, increasing the intensity of care delivered; </w:t>
      </w:r>
    </w:p>
    <w:p w:rsidR="00D32D2D" w:rsidRPr="00B04CEB" w:rsidRDefault="00D32D2D" w:rsidP="000772B4">
      <w:pPr>
        <w:pStyle w:val="ListParagraph"/>
        <w:numPr>
          <w:ilvl w:val="0"/>
          <w:numId w:val="4"/>
        </w:numPr>
        <w:spacing w:line="480" w:lineRule="atLeast"/>
        <w:rPr>
          <w:rFonts w:ascii="Arial" w:hAnsi="Arial" w:cs="Arial"/>
          <w:sz w:val="24"/>
          <w:szCs w:val="24"/>
        </w:rPr>
      </w:pPr>
      <w:r w:rsidRPr="00B04CEB">
        <w:rPr>
          <w:rFonts w:ascii="Arial" w:hAnsi="Arial" w:cs="Arial"/>
          <w:sz w:val="24"/>
          <w:szCs w:val="24"/>
        </w:rPr>
        <w:t>Technological enhancements in medical treatments, therapies and services driving greater utilization and cost; and</w:t>
      </w:r>
    </w:p>
    <w:p w:rsidR="00D32D2D" w:rsidRDefault="00D32D2D" w:rsidP="000772B4">
      <w:pPr>
        <w:pStyle w:val="ListParagraph"/>
        <w:numPr>
          <w:ilvl w:val="0"/>
          <w:numId w:val="4"/>
        </w:numPr>
        <w:spacing w:line="480" w:lineRule="atLeast"/>
        <w:rPr>
          <w:rFonts w:ascii="Arial" w:hAnsi="Arial" w:cs="Arial"/>
          <w:sz w:val="24"/>
          <w:szCs w:val="24"/>
        </w:rPr>
      </w:pPr>
      <w:r w:rsidRPr="00B04CEB">
        <w:rPr>
          <w:rFonts w:ascii="Arial" w:hAnsi="Arial" w:cs="Arial"/>
          <w:sz w:val="24"/>
          <w:szCs w:val="24"/>
        </w:rPr>
        <w:t>Provisions in health care legislation requiring coverage improvements and introducing new fees and taxes to the health care industry.</w:t>
      </w:r>
    </w:p>
    <w:p w:rsidR="00D32D2D" w:rsidRDefault="00D32D2D">
      <w:pPr>
        <w:pStyle w:val="ListParagraph"/>
        <w:spacing w:line="480" w:lineRule="atLeast"/>
        <w:ind w:left="1446"/>
        <w:rPr>
          <w:rFonts w:ascii="Arial" w:hAnsi="Arial" w:cs="Arial"/>
          <w:sz w:val="24"/>
          <w:szCs w:val="24"/>
        </w:rPr>
      </w:pPr>
    </w:p>
    <w:p w:rsidR="00D32D2D" w:rsidRPr="00B04CEB" w:rsidRDefault="00D32D2D" w:rsidP="000772B4">
      <w:pPr>
        <w:spacing w:line="480" w:lineRule="atLeast"/>
        <w:ind w:left="700"/>
        <w:rPr>
          <w:rFonts w:ascii="Arial" w:hAnsi="Arial" w:cs="Arial"/>
          <w:sz w:val="24"/>
          <w:szCs w:val="24"/>
        </w:rPr>
      </w:pPr>
      <w:r w:rsidRPr="00B04CEB">
        <w:rPr>
          <w:rFonts w:ascii="Arial" w:hAnsi="Arial" w:cs="Arial"/>
          <w:sz w:val="24"/>
          <w:szCs w:val="24"/>
        </w:rPr>
        <w:t xml:space="preserve">These factors have impacted employer plans quite broadly.  As shown in </w:t>
      </w:r>
      <w:r>
        <w:rPr>
          <w:rFonts w:ascii="Arial" w:hAnsi="Arial" w:cs="Arial"/>
          <w:sz w:val="24"/>
          <w:szCs w:val="24"/>
        </w:rPr>
        <w:t xml:space="preserve">Schedule 1 of </w:t>
      </w:r>
      <w:r w:rsidRPr="00B04CEB">
        <w:rPr>
          <w:rFonts w:ascii="Arial" w:hAnsi="Arial" w:cs="Arial"/>
          <w:sz w:val="24"/>
          <w:szCs w:val="24"/>
        </w:rPr>
        <w:t xml:space="preserve">Exhibit AEC-1, employer health plan cost increases have averaged 7.6 percent per year from 2001 to 2012.  Increases in the utility industry have been slightly higher (8.6 percent per year).  Gulf’s plan increases </w:t>
      </w:r>
      <w:r>
        <w:rPr>
          <w:rFonts w:ascii="Arial" w:hAnsi="Arial" w:cs="Arial"/>
          <w:sz w:val="24"/>
          <w:szCs w:val="24"/>
        </w:rPr>
        <w:t xml:space="preserve">of 8.8 percent </w:t>
      </w:r>
      <w:r w:rsidRPr="00B04CEB">
        <w:rPr>
          <w:rFonts w:ascii="Arial" w:hAnsi="Arial" w:cs="Arial"/>
          <w:sz w:val="24"/>
          <w:szCs w:val="24"/>
        </w:rPr>
        <w:t>are in line with the utility industry.</w:t>
      </w:r>
    </w:p>
    <w:p w:rsidR="00D32D2D" w:rsidRPr="00B04CEB" w:rsidRDefault="00D32D2D" w:rsidP="000772B4">
      <w:pPr>
        <w:spacing w:line="480" w:lineRule="atLeast"/>
        <w:ind w:left="726"/>
        <w:rPr>
          <w:rFonts w:ascii="Arial" w:hAnsi="Arial" w:cs="Arial"/>
          <w:sz w:val="24"/>
          <w:szCs w:val="24"/>
        </w:rPr>
      </w:pP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What has Gulf Power done to mitigate medical plan cost increases?</w:t>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A</w:t>
      </w:r>
      <w:r w:rsidRPr="00B04CEB">
        <w:rPr>
          <w:rFonts w:ascii="Arial" w:hAnsi="Arial" w:cs="Arial"/>
          <w:color w:val="FF0000"/>
          <w:sz w:val="24"/>
          <w:szCs w:val="24"/>
        </w:rPr>
        <w:t>.</w:t>
      </w:r>
      <w:r w:rsidRPr="00B04CEB">
        <w:rPr>
          <w:rFonts w:ascii="Arial" w:hAnsi="Arial" w:cs="Arial"/>
          <w:b/>
          <w:color w:val="FF0000"/>
          <w:sz w:val="24"/>
          <w:szCs w:val="24"/>
        </w:rPr>
        <w:tab/>
      </w:r>
      <w:r w:rsidRPr="00B04CEB">
        <w:rPr>
          <w:rFonts w:ascii="Arial" w:hAnsi="Arial" w:cs="Arial"/>
          <w:sz w:val="24"/>
          <w:szCs w:val="24"/>
        </w:rPr>
        <w:t xml:space="preserve">The increasing cost of health care is a national concern, and controlling costs while providing quality medical coverage will continue to be a top priority for Gulf.  Since 2003, Gulf has implemented many initiatives to control health care expenses.  Listed below are some examples, with more savings detail provided on </w:t>
      </w:r>
      <w:r>
        <w:rPr>
          <w:rFonts w:ascii="Arial" w:hAnsi="Arial" w:cs="Arial"/>
          <w:sz w:val="24"/>
          <w:szCs w:val="24"/>
        </w:rPr>
        <w:t xml:space="preserve">Schedule 2 of </w:t>
      </w:r>
      <w:r w:rsidRPr="00B04CEB">
        <w:rPr>
          <w:rFonts w:ascii="Arial" w:hAnsi="Arial" w:cs="Arial"/>
          <w:sz w:val="24"/>
          <w:szCs w:val="24"/>
        </w:rPr>
        <w:t>Exhibit AEC-</w:t>
      </w:r>
      <w:r>
        <w:rPr>
          <w:rFonts w:ascii="Arial" w:hAnsi="Arial" w:cs="Arial"/>
          <w:sz w:val="24"/>
          <w:szCs w:val="24"/>
        </w:rPr>
        <w:t>1:</w:t>
      </w:r>
      <w:r w:rsidRPr="00B04CEB">
        <w:rPr>
          <w:rFonts w:ascii="Arial" w:hAnsi="Arial" w:cs="Arial"/>
          <w:sz w:val="24"/>
          <w:szCs w:val="24"/>
        </w:rPr>
        <w:t xml:space="preserve"> </w:t>
      </w:r>
    </w:p>
    <w:p w:rsidR="00D32D2D" w:rsidRPr="00B04CEB" w:rsidRDefault="00D32D2D" w:rsidP="000772B4">
      <w:pPr>
        <w:pStyle w:val="ListParagraph"/>
        <w:numPr>
          <w:ilvl w:val="0"/>
          <w:numId w:val="6"/>
        </w:numPr>
        <w:spacing w:line="480" w:lineRule="atLeast"/>
        <w:rPr>
          <w:rFonts w:ascii="Arial" w:hAnsi="Arial" w:cs="Arial"/>
          <w:sz w:val="24"/>
          <w:szCs w:val="24"/>
        </w:rPr>
      </w:pPr>
      <w:r w:rsidRPr="00B04CEB">
        <w:rPr>
          <w:rFonts w:ascii="Arial" w:hAnsi="Arial" w:cs="Arial"/>
          <w:sz w:val="24"/>
          <w:szCs w:val="24"/>
        </w:rPr>
        <w:t>Merged Gulf’s medical plan into a larger Southern Company plan to reduce plan experience fluctuations and administrative costs;</w:t>
      </w:r>
    </w:p>
    <w:p w:rsidR="00D32D2D" w:rsidRPr="00B04CEB" w:rsidRDefault="00D32D2D" w:rsidP="000772B4">
      <w:pPr>
        <w:pStyle w:val="ListParagraph"/>
        <w:numPr>
          <w:ilvl w:val="0"/>
          <w:numId w:val="6"/>
        </w:numPr>
        <w:spacing w:line="480" w:lineRule="atLeast"/>
        <w:rPr>
          <w:rFonts w:ascii="Arial" w:hAnsi="Arial" w:cs="Arial"/>
          <w:sz w:val="24"/>
          <w:szCs w:val="24"/>
        </w:rPr>
      </w:pPr>
      <w:r w:rsidRPr="00B04CEB">
        <w:rPr>
          <w:rFonts w:ascii="Arial" w:hAnsi="Arial" w:cs="Arial"/>
          <w:sz w:val="24"/>
          <w:szCs w:val="24"/>
        </w:rPr>
        <w:t>Annually adjusted employee contributions;</w:t>
      </w:r>
    </w:p>
    <w:p w:rsidR="00D32D2D" w:rsidRPr="00B04CEB" w:rsidRDefault="00D32D2D" w:rsidP="000772B4">
      <w:pPr>
        <w:pStyle w:val="ListParagraph"/>
        <w:numPr>
          <w:ilvl w:val="0"/>
          <w:numId w:val="6"/>
        </w:numPr>
        <w:spacing w:line="480" w:lineRule="atLeast"/>
        <w:rPr>
          <w:rFonts w:ascii="Arial" w:hAnsi="Arial" w:cs="Arial"/>
          <w:sz w:val="24"/>
          <w:szCs w:val="24"/>
        </w:rPr>
      </w:pPr>
      <w:r w:rsidRPr="00B04CEB">
        <w:rPr>
          <w:rFonts w:ascii="Arial" w:hAnsi="Arial" w:cs="Arial"/>
          <w:sz w:val="24"/>
          <w:szCs w:val="24"/>
        </w:rPr>
        <w:t>Consolidated Pharmacy Benefit Manager</w:t>
      </w:r>
      <w:r w:rsidR="00D32214">
        <w:rPr>
          <w:rFonts w:ascii="Arial" w:hAnsi="Arial" w:cs="Arial"/>
          <w:sz w:val="24"/>
          <w:szCs w:val="24"/>
        </w:rPr>
        <w:t xml:space="preserve"> (PBM)</w:t>
      </w:r>
      <w:r w:rsidRPr="00B04CEB">
        <w:rPr>
          <w:rFonts w:ascii="Arial" w:hAnsi="Arial" w:cs="Arial"/>
          <w:sz w:val="24"/>
          <w:szCs w:val="24"/>
        </w:rPr>
        <w:t xml:space="preserve"> services to lower vendor administrative fees;</w:t>
      </w:r>
    </w:p>
    <w:p w:rsidR="00D32D2D" w:rsidRPr="00B04CEB" w:rsidRDefault="00D32D2D" w:rsidP="000772B4">
      <w:pPr>
        <w:pStyle w:val="ListParagraph"/>
        <w:numPr>
          <w:ilvl w:val="0"/>
          <w:numId w:val="6"/>
        </w:numPr>
        <w:spacing w:line="480" w:lineRule="atLeast"/>
        <w:rPr>
          <w:rFonts w:ascii="Arial" w:hAnsi="Arial" w:cs="Arial"/>
          <w:sz w:val="24"/>
          <w:szCs w:val="24"/>
        </w:rPr>
      </w:pPr>
      <w:r w:rsidRPr="00B04CEB">
        <w:rPr>
          <w:rFonts w:ascii="Arial" w:hAnsi="Arial" w:cs="Arial"/>
          <w:sz w:val="24"/>
          <w:szCs w:val="24"/>
        </w:rPr>
        <w:t xml:space="preserve">Successfully renegotiated </w:t>
      </w:r>
      <w:r w:rsidR="00B037F7">
        <w:rPr>
          <w:rFonts w:ascii="Arial" w:hAnsi="Arial" w:cs="Arial"/>
          <w:sz w:val="24"/>
          <w:szCs w:val="24"/>
        </w:rPr>
        <w:t xml:space="preserve">the </w:t>
      </w:r>
      <w:r>
        <w:rPr>
          <w:rFonts w:ascii="Arial" w:hAnsi="Arial" w:cs="Arial"/>
          <w:sz w:val="24"/>
          <w:szCs w:val="24"/>
        </w:rPr>
        <w:t xml:space="preserve">administrative services </w:t>
      </w:r>
      <w:r w:rsidRPr="00B04CEB">
        <w:rPr>
          <w:rFonts w:ascii="Arial" w:hAnsi="Arial" w:cs="Arial"/>
          <w:sz w:val="24"/>
          <w:szCs w:val="24"/>
        </w:rPr>
        <w:t xml:space="preserve"> contract</w:t>
      </w:r>
      <w:r>
        <w:rPr>
          <w:rFonts w:ascii="Arial" w:hAnsi="Arial" w:cs="Arial"/>
          <w:sz w:val="24"/>
          <w:szCs w:val="24"/>
        </w:rPr>
        <w:t xml:space="preserve"> with the PBM </w:t>
      </w:r>
      <w:r w:rsidRPr="00B04CEB">
        <w:rPr>
          <w:rFonts w:ascii="Arial" w:hAnsi="Arial" w:cs="Arial"/>
          <w:sz w:val="24"/>
          <w:szCs w:val="24"/>
        </w:rPr>
        <w:t xml:space="preserve"> several  times during this period;</w:t>
      </w:r>
    </w:p>
    <w:p w:rsidR="00D32D2D" w:rsidRPr="00B04CEB" w:rsidRDefault="00D32D2D" w:rsidP="000772B4">
      <w:pPr>
        <w:pStyle w:val="ListParagraph"/>
        <w:numPr>
          <w:ilvl w:val="0"/>
          <w:numId w:val="5"/>
        </w:numPr>
        <w:spacing w:line="480" w:lineRule="atLeast"/>
        <w:rPr>
          <w:rFonts w:ascii="Arial" w:hAnsi="Arial" w:cs="Arial"/>
          <w:sz w:val="24"/>
          <w:szCs w:val="24"/>
        </w:rPr>
      </w:pPr>
      <w:r w:rsidRPr="00B04CEB">
        <w:rPr>
          <w:rFonts w:ascii="Arial" w:hAnsi="Arial" w:cs="Arial"/>
          <w:sz w:val="24"/>
          <w:szCs w:val="24"/>
        </w:rPr>
        <w:t>Implemented numerous prescription drug purchasing and price controls for using generic drugs, mail order, etc.;</w:t>
      </w:r>
    </w:p>
    <w:p w:rsidR="00D32D2D" w:rsidRPr="00B04CEB" w:rsidRDefault="00D32D2D" w:rsidP="000772B4">
      <w:pPr>
        <w:pStyle w:val="ListParagraph"/>
        <w:numPr>
          <w:ilvl w:val="0"/>
          <w:numId w:val="5"/>
        </w:numPr>
        <w:spacing w:line="480" w:lineRule="atLeast"/>
        <w:rPr>
          <w:rFonts w:ascii="Arial" w:hAnsi="Arial" w:cs="Arial"/>
          <w:sz w:val="24"/>
          <w:szCs w:val="24"/>
        </w:rPr>
      </w:pPr>
      <w:r w:rsidRPr="00B04CEB">
        <w:rPr>
          <w:rFonts w:ascii="Arial" w:hAnsi="Arial" w:cs="Arial"/>
          <w:sz w:val="24"/>
          <w:szCs w:val="24"/>
        </w:rPr>
        <w:t>Conducted dependent eligibility reviews and removed ineligible dependents;</w:t>
      </w:r>
    </w:p>
    <w:p w:rsidR="00D32D2D" w:rsidRPr="00B04CEB" w:rsidRDefault="00D32D2D" w:rsidP="000772B4">
      <w:pPr>
        <w:pStyle w:val="ListParagraph"/>
        <w:numPr>
          <w:ilvl w:val="0"/>
          <w:numId w:val="5"/>
        </w:numPr>
        <w:spacing w:line="480" w:lineRule="atLeast"/>
        <w:rPr>
          <w:rFonts w:ascii="Arial" w:hAnsi="Arial" w:cs="Arial"/>
          <w:sz w:val="24"/>
          <w:szCs w:val="24"/>
        </w:rPr>
      </w:pPr>
      <w:r w:rsidRPr="00B04CEB">
        <w:rPr>
          <w:rFonts w:ascii="Arial" w:hAnsi="Arial" w:cs="Arial"/>
          <w:sz w:val="24"/>
          <w:szCs w:val="24"/>
        </w:rPr>
        <w:t xml:space="preserve">Implemented comprehensive wellness and disease management programs for employees; </w:t>
      </w:r>
    </w:p>
    <w:p w:rsidR="00D32D2D" w:rsidRPr="00B04CEB" w:rsidRDefault="00D32D2D" w:rsidP="000772B4">
      <w:pPr>
        <w:pStyle w:val="ListParagraph"/>
        <w:numPr>
          <w:ilvl w:val="0"/>
          <w:numId w:val="5"/>
        </w:numPr>
        <w:spacing w:line="480" w:lineRule="atLeast"/>
        <w:rPr>
          <w:rFonts w:ascii="Arial" w:hAnsi="Arial" w:cs="Arial"/>
          <w:sz w:val="24"/>
          <w:szCs w:val="24"/>
        </w:rPr>
      </w:pPr>
      <w:r w:rsidRPr="00B04CEB">
        <w:rPr>
          <w:rFonts w:ascii="Arial" w:hAnsi="Arial" w:cs="Arial"/>
          <w:sz w:val="24"/>
          <w:szCs w:val="24"/>
        </w:rPr>
        <w:t>Added emphasis on employee responsibility to manage individual health care costs; and</w:t>
      </w:r>
    </w:p>
    <w:p w:rsidR="00D32D2D" w:rsidRDefault="00D32D2D" w:rsidP="000772B4">
      <w:pPr>
        <w:pStyle w:val="ListParagraph"/>
        <w:numPr>
          <w:ilvl w:val="0"/>
          <w:numId w:val="5"/>
        </w:numPr>
        <w:spacing w:line="480" w:lineRule="atLeast"/>
        <w:rPr>
          <w:rFonts w:ascii="Arial" w:hAnsi="Arial" w:cs="Arial"/>
          <w:sz w:val="24"/>
          <w:szCs w:val="24"/>
        </w:rPr>
      </w:pPr>
      <w:r w:rsidRPr="00B04CEB">
        <w:rPr>
          <w:rFonts w:ascii="Arial" w:hAnsi="Arial" w:cs="Arial"/>
          <w:sz w:val="24"/>
          <w:szCs w:val="24"/>
        </w:rPr>
        <w:t>Applied for and received Retail Drug Subsidy (RDS) and Early Retirement Reimbursement Program (ERRP) payments from the Federal Government to help offset some of the cost increases.</w:t>
      </w:r>
    </w:p>
    <w:p w:rsidR="00D32D2D" w:rsidRDefault="00D32D2D">
      <w:pPr>
        <w:pStyle w:val="ListParagraph"/>
        <w:spacing w:line="480" w:lineRule="atLeast"/>
        <w:ind w:left="1446"/>
        <w:rPr>
          <w:rFonts w:ascii="Arial" w:hAnsi="Arial" w:cs="Arial"/>
          <w:sz w:val="24"/>
          <w:szCs w:val="24"/>
        </w:rPr>
      </w:pPr>
    </w:p>
    <w:p w:rsidR="00D32D2D" w:rsidRDefault="00D32D2D" w:rsidP="001031EB">
      <w:pPr>
        <w:spacing w:line="480" w:lineRule="atLeast"/>
        <w:ind w:left="720"/>
        <w:rPr>
          <w:rFonts w:ascii="Arial" w:hAnsi="Arial" w:cs="Arial"/>
          <w:sz w:val="24"/>
          <w:szCs w:val="24"/>
        </w:rPr>
      </w:pPr>
      <w:r>
        <w:rPr>
          <w:rFonts w:ascii="Arial" w:hAnsi="Arial" w:cs="Arial"/>
          <w:sz w:val="24"/>
          <w:szCs w:val="24"/>
        </w:rPr>
        <w:t xml:space="preserve">Each of these changes resulted in significant savings in the year of the change as documented in Schedule 2 of Exhibit AEC-1. Most of these changes also generated ongoing savings in subsequent years, though the ongoing savings are difficult to quantify in a cumulative manner. </w:t>
      </w:r>
    </w:p>
    <w:p w:rsidR="00D32D2D" w:rsidRDefault="00D32D2D" w:rsidP="001031EB">
      <w:pPr>
        <w:spacing w:line="480" w:lineRule="atLeast"/>
        <w:ind w:left="720"/>
        <w:rPr>
          <w:rFonts w:ascii="Arial" w:hAnsi="Arial" w:cs="Arial"/>
          <w:sz w:val="24"/>
          <w:szCs w:val="24"/>
        </w:rPr>
      </w:pPr>
    </w:p>
    <w:p w:rsidR="00D32D2D" w:rsidRPr="00B04CEB" w:rsidRDefault="00D32D2D" w:rsidP="000772B4">
      <w:pPr>
        <w:spacing w:line="480" w:lineRule="atLeast"/>
        <w:ind w:left="720"/>
        <w:rPr>
          <w:rFonts w:ascii="Arial" w:hAnsi="Arial" w:cs="Arial"/>
          <w:sz w:val="24"/>
          <w:szCs w:val="24"/>
        </w:rPr>
      </w:pPr>
      <w:r w:rsidRPr="00B04CEB">
        <w:rPr>
          <w:rFonts w:ascii="Arial" w:hAnsi="Arial" w:cs="Arial"/>
          <w:sz w:val="24"/>
          <w:szCs w:val="24"/>
        </w:rPr>
        <w:t xml:space="preserve">With these significant efforts, Gulf has been able to manage medical plan cost increases and maintain competitive health insurance benefits for its employees.  As a result, Gulf’s medical plan cost increases are in line with the utility industry, but slightly higher than the national average. </w:t>
      </w:r>
    </w:p>
    <w:p w:rsidR="00D32D2D" w:rsidRPr="00B04CEB" w:rsidRDefault="00D32D2D" w:rsidP="000772B4">
      <w:pPr>
        <w:spacing w:line="480" w:lineRule="atLeast"/>
        <w:rPr>
          <w:rFonts w:ascii="Arial" w:hAnsi="Arial" w:cs="Arial"/>
          <w:sz w:val="24"/>
          <w:szCs w:val="24"/>
        </w:rPr>
      </w:pPr>
    </w:p>
    <w:p w:rsidR="00D32D2D" w:rsidRPr="00B04CEB" w:rsidRDefault="00D32D2D" w:rsidP="000772B4">
      <w:pPr>
        <w:spacing w:line="480" w:lineRule="atLeast"/>
        <w:rPr>
          <w:rFonts w:ascii="Arial" w:hAnsi="Arial" w:cs="Arial"/>
          <w:sz w:val="24"/>
          <w:szCs w:val="24"/>
        </w:rPr>
      </w:pPr>
      <w:r w:rsidRPr="00B04CEB">
        <w:rPr>
          <w:rFonts w:ascii="Arial" w:hAnsi="Arial" w:cs="Arial"/>
          <w:sz w:val="24"/>
          <w:szCs w:val="24"/>
        </w:rPr>
        <w:t>Q.</w:t>
      </w:r>
      <w:r w:rsidRPr="00B04CEB">
        <w:rPr>
          <w:rFonts w:ascii="Arial" w:hAnsi="Arial" w:cs="Arial"/>
          <w:sz w:val="24"/>
          <w:szCs w:val="24"/>
        </w:rPr>
        <w:tab/>
        <w:t>Please summarize your testimony.</w:t>
      </w:r>
    </w:p>
    <w:p w:rsidR="00D32D2D"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 xml:space="preserve">A.  </w:t>
      </w:r>
      <w:r w:rsidRPr="00B04CEB">
        <w:rPr>
          <w:rFonts w:ascii="Arial" w:hAnsi="Arial" w:cs="Arial"/>
          <w:sz w:val="24"/>
          <w:szCs w:val="24"/>
        </w:rPr>
        <w:tab/>
        <w:t xml:space="preserve">Gulf's benefits </w:t>
      </w:r>
      <w:r>
        <w:rPr>
          <w:rFonts w:ascii="Arial" w:hAnsi="Arial" w:cs="Arial"/>
          <w:sz w:val="24"/>
          <w:szCs w:val="24"/>
        </w:rPr>
        <w:t xml:space="preserve">are </w:t>
      </w:r>
      <w:r w:rsidRPr="00B04CEB">
        <w:rPr>
          <w:rFonts w:ascii="Arial" w:hAnsi="Arial" w:cs="Arial"/>
          <w:sz w:val="24"/>
          <w:szCs w:val="24"/>
        </w:rPr>
        <w:t xml:space="preserve">reasonable for two </w:t>
      </w:r>
      <w:r>
        <w:rPr>
          <w:rFonts w:ascii="Arial" w:hAnsi="Arial" w:cs="Arial"/>
          <w:sz w:val="24"/>
          <w:szCs w:val="24"/>
        </w:rPr>
        <w:t xml:space="preserve">primary </w:t>
      </w:r>
      <w:r w:rsidRPr="00B04CEB">
        <w:rPr>
          <w:rFonts w:ascii="Arial" w:hAnsi="Arial" w:cs="Arial"/>
          <w:sz w:val="24"/>
          <w:szCs w:val="24"/>
        </w:rPr>
        <w:t xml:space="preserve">reasons.  Their value is generally in line with the average value of benefits offered by Fortune 500 companies and slightly below the average value for 15 other large utilities.  </w:t>
      </w:r>
      <w:r>
        <w:rPr>
          <w:rFonts w:ascii="Arial" w:hAnsi="Arial" w:cs="Arial"/>
          <w:sz w:val="24"/>
          <w:szCs w:val="24"/>
        </w:rPr>
        <w:t>Also</w:t>
      </w:r>
      <w:r w:rsidRPr="00B04CEB">
        <w:rPr>
          <w:rFonts w:ascii="Arial" w:hAnsi="Arial" w:cs="Arial"/>
          <w:sz w:val="24"/>
          <w:szCs w:val="24"/>
        </w:rPr>
        <w:t>, the benefits are in line with the Company's philosophy of having total benefits at the median of market.</w:t>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 xml:space="preserve"> </w:t>
      </w:r>
    </w:p>
    <w:p w:rsidR="00D32D2D"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ab/>
        <w:t>The increase in Gulf's retirement benefit costs is primarily attributable to increases in pension expense due to losses resulting from falling interest rates and poor market performance.  Nearly all pension plans experienced losses for these same reasons.  Gulf's retiree medical and death benefit expenses have not increased in large part due to th</w:t>
      </w:r>
      <w:r w:rsidR="00500A00">
        <w:rPr>
          <w:rFonts w:ascii="Arial" w:hAnsi="Arial" w:cs="Arial"/>
          <w:sz w:val="24"/>
          <w:szCs w:val="24"/>
        </w:rPr>
        <w:t>e benefit limitations that the C</w:t>
      </w:r>
      <w:r w:rsidRPr="00B04CEB">
        <w:rPr>
          <w:rFonts w:ascii="Arial" w:hAnsi="Arial" w:cs="Arial"/>
          <w:sz w:val="24"/>
          <w:szCs w:val="24"/>
        </w:rPr>
        <w:t>ompany has imposed.</w:t>
      </w:r>
    </w:p>
    <w:p w:rsidR="00D32D2D" w:rsidRPr="00B04CEB" w:rsidRDefault="00D32D2D" w:rsidP="000772B4">
      <w:pPr>
        <w:spacing w:line="480" w:lineRule="atLeast"/>
        <w:ind w:left="720" w:hanging="720"/>
        <w:rPr>
          <w:rFonts w:ascii="Arial" w:hAnsi="Arial" w:cs="Arial"/>
          <w:sz w:val="24"/>
          <w:szCs w:val="24"/>
        </w:rPr>
      </w:pPr>
      <w:r w:rsidRPr="00B04CEB">
        <w:rPr>
          <w:rFonts w:ascii="Arial" w:hAnsi="Arial" w:cs="Arial"/>
          <w:sz w:val="24"/>
          <w:szCs w:val="24"/>
        </w:rPr>
        <w:t xml:space="preserve"> </w:t>
      </w:r>
    </w:p>
    <w:p w:rsidR="00D32D2D" w:rsidRPr="00B04CEB" w:rsidRDefault="00D32D2D" w:rsidP="002C0276">
      <w:pPr>
        <w:spacing w:line="480" w:lineRule="atLeast"/>
        <w:ind w:left="720" w:hanging="720"/>
        <w:rPr>
          <w:rFonts w:ascii="Arial" w:hAnsi="Arial" w:cs="Arial"/>
          <w:sz w:val="24"/>
          <w:szCs w:val="24"/>
        </w:rPr>
      </w:pPr>
      <w:r>
        <w:rPr>
          <w:rFonts w:ascii="Arial" w:hAnsi="Arial" w:cs="Arial"/>
          <w:sz w:val="24"/>
          <w:szCs w:val="24"/>
        </w:rPr>
        <w:tab/>
      </w:r>
      <w:r w:rsidRPr="00B04CEB">
        <w:rPr>
          <w:rFonts w:ascii="Arial" w:hAnsi="Arial" w:cs="Arial"/>
          <w:sz w:val="24"/>
          <w:szCs w:val="24"/>
        </w:rPr>
        <w:t>Gulf has experienced health care cost increases since its last rate case that are in line with industry averages.  While Gulf’s cost increases are slightly higher than national averages, this is explained by industry norms.  Gulf has continuously worked to manage its health care plan to control health care costs and maximize efficiencies while maintaining a competitive level of benefits for its employees.</w:t>
      </w:r>
      <w:r w:rsidRPr="00B04CEB">
        <w:rPr>
          <w:rFonts w:ascii="Arial" w:hAnsi="Arial" w:cs="Arial"/>
          <w:sz w:val="24"/>
          <w:szCs w:val="24"/>
        </w:rPr>
        <w:br/>
      </w:r>
    </w:p>
    <w:p w:rsidR="00D32D2D" w:rsidRPr="00B04CEB" w:rsidRDefault="00D32D2D" w:rsidP="000772B4">
      <w:pPr>
        <w:numPr>
          <w:ilvl w:val="0"/>
          <w:numId w:val="3"/>
        </w:numPr>
        <w:spacing w:line="480" w:lineRule="atLeast"/>
        <w:rPr>
          <w:rFonts w:ascii="Arial" w:hAnsi="Arial" w:cs="Arial"/>
          <w:sz w:val="24"/>
          <w:szCs w:val="24"/>
        </w:rPr>
      </w:pPr>
      <w:r w:rsidRPr="00B04CEB">
        <w:rPr>
          <w:rFonts w:ascii="Arial" w:hAnsi="Arial" w:cs="Arial"/>
          <w:sz w:val="24"/>
          <w:szCs w:val="24"/>
        </w:rPr>
        <w:t>Does this conclude your testimony?</w:t>
      </w:r>
    </w:p>
    <w:p w:rsidR="00AF3489" w:rsidRDefault="00D32D2D" w:rsidP="000772B4">
      <w:pPr>
        <w:spacing w:line="480" w:lineRule="atLeast"/>
        <w:rPr>
          <w:rFonts w:ascii="Arial" w:hAnsi="Arial" w:cs="Arial"/>
          <w:sz w:val="24"/>
          <w:szCs w:val="24"/>
        </w:rPr>
      </w:pPr>
      <w:r w:rsidRPr="00B04CEB">
        <w:rPr>
          <w:rFonts w:ascii="Arial" w:hAnsi="Arial" w:cs="Arial"/>
          <w:sz w:val="24"/>
          <w:szCs w:val="24"/>
        </w:rPr>
        <w:t>A.</w:t>
      </w:r>
      <w:r w:rsidRPr="00B04CEB">
        <w:rPr>
          <w:rFonts w:ascii="Arial" w:hAnsi="Arial" w:cs="Arial"/>
          <w:sz w:val="24"/>
          <w:szCs w:val="24"/>
        </w:rPr>
        <w:tab/>
        <w:t>Yes.</w:t>
      </w:r>
    </w:p>
    <w:p w:rsidR="00AF3489" w:rsidRDefault="00AF3489" w:rsidP="000772B4">
      <w:pPr>
        <w:spacing w:line="480" w:lineRule="atLeast"/>
        <w:rPr>
          <w:rFonts w:ascii="Arial" w:hAnsi="Arial" w:cs="Arial"/>
          <w:sz w:val="24"/>
          <w:szCs w:val="24"/>
        </w:rPr>
      </w:pPr>
    </w:p>
    <w:p w:rsidR="009B2C0D" w:rsidRDefault="009B2C0D" w:rsidP="000772B4">
      <w:pPr>
        <w:spacing w:line="480" w:lineRule="atLeast"/>
        <w:rPr>
          <w:rFonts w:ascii="Arial" w:hAnsi="Arial" w:cs="Arial"/>
          <w:sz w:val="24"/>
          <w:szCs w:val="24"/>
        </w:rPr>
      </w:pPr>
    </w:p>
    <w:p w:rsidR="009B2C0D" w:rsidRDefault="009B2C0D" w:rsidP="000772B4">
      <w:pPr>
        <w:spacing w:line="480" w:lineRule="atLeast"/>
        <w:rPr>
          <w:rFonts w:ascii="Arial" w:hAnsi="Arial" w:cs="Arial"/>
          <w:sz w:val="24"/>
          <w:szCs w:val="24"/>
        </w:rPr>
      </w:pPr>
    </w:p>
    <w:p w:rsidR="009B2C0D" w:rsidRDefault="009B2C0D" w:rsidP="000772B4">
      <w:pPr>
        <w:spacing w:line="480" w:lineRule="atLeast"/>
        <w:rPr>
          <w:rFonts w:ascii="Arial" w:hAnsi="Arial" w:cs="Arial"/>
          <w:sz w:val="24"/>
          <w:szCs w:val="24"/>
        </w:rPr>
      </w:pPr>
    </w:p>
    <w:p w:rsidR="009B2C0D" w:rsidRDefault="009B2C0D" w:rsidP="000772B4">
      <w:pPr>
        <w:spacing w:line="480" w:lineRule="atLeast"/>
        <w:rPr>
          <w:rFonts w:ascii="Arial" w:hAnsi="Arial" w:cs="Arial"/>
          <w:sz w:val="24"/>
          <w:szCs w:val="24"/>
        </w:rPr>
      </w:pPr>
    </w:p>
    <w:p w:rsidR="00AF3489" w:rsidRDefault="00AF3489" w:rsidP="000772B4">
      <w:pPr>
        <w:spacing w:line="480" w:lineRule="atLeast"/>
        <w:rPr>
          <w:rFonts w:ascii="Arial" w:hAnsi="Arial" w:cs="Arial"/>
          <w:sz w:val="24"/>
          <w:szCs w:val="24"/>
        </w:rPr>
        <w:sectPr w:rsidR="00AF3489" w:rsidSect="000772B4">
          <w:footerReference w:type="default" r:id="rId8"/>
          <w:pgSz w:w="12240" w:h="15840" w:code="1"/>
          <w:pgMar w:top="1800" w:right="1440" w:bottom="1800" w:left="2160" w:header="720" w:footer="720" w:gutter="0"/>
          <w:lnNumType w:countBy="1"/>
          <w:cols w:space="720"/>
          <w:docGrid w:linePitch="360"/>
        </w:sectPr>
      </w:pPr>
    </w:p>
    <w:p w:rsidR="00AF3489" w:rsidRPr="00AF3489" w:rsidRDefault="00AF3489" w:rsidP="00AF3489">
      <w:pPr>
        <w:jc w:val="center"/>
        <w:rPr>
          <w:rFonts w:ascii="Arial" w:hAnsi="Arial"/>
          <w:sz w:val="24"/>
          <w:szCs w:val="24"/>
        </w:rPr>
      </w:pPr>
      <w:r w:rsidRPr="00AF3489">
        <w:rPr>
          <w:rFonts w:ascii="Arial" w:hAnsi="Arial"/>
          <w:sz w:val="24"/>
          <w:szCs w:val="24"/>
        </w:rPr>
        <w:t>AFFIDAVIT</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p>
    <w:p w:rsidR="00AF3489" w:rsidRPr="009B2C0D" w:rsidRDefault="00AF3489" w:rsidP="00AF3489">
      <w:pPr>
        <w:rPr>
          <w:rFonts w:ascii="Arial" w:hAnsi="Arial"/>
          <w:sz w:val="24"/>
          <w:szCs w:val="24"/>
        </w:rPr>
      </w:pPr>
      <w:r w:rsidRPr="00AF3489">
        <w:rPr>
          <w:rFonts w:ascii="Arial" w:hAnsi="Arial"/>
          <w:sz w:val="24"/>
          <w:szCs w:val="24"/>
        </w:rPr>
        <w:t>STATE OF</w:t>
      </w:r>
      <w:r w:rsidR="001163C7">
        <w:rPr>
          <w:rFonts w:ascii="Arial" w:hAnsi="Arial"/>
          <w:sz w:val="24"/>
          <w:szCs w:val="24"/>
        </w:rPr>
        <w:t xml:space="preserve"> </w:t>
      </w:r>
      <w:r w:rsidR="00CC78BE" w:rsidRPr="009B2C0D">
        <w:rPr>
          <w:rFonts w:ascii="Arial" w:hAnsi="Arial"/>
          <w:sz w:val="24"/>
          <w:szCs w:val="24"/>
        </w:rPr>
        <w:t>GEORGIA</w:t>
      </w:r>
      <w:r w:rsidRPr="009B2C0D">
        <w:rPr>
          <w:rFonts w:ascii="Arial" w:hAnsi="Arial"/>
          <w:sz w:val="24"/>
          <w:szCs w:val="24"/>
        </w:rPr>
        <w:tab/>
      </w:r>
      <w:r w:rsidR="009B2C0D" w:rsidRPr="009B2C0D">
        <w:rPr>
          <w:rFonts w:ascii="Arial" w:hAnsi="Arial"/>
          <w:sz w:val="24"/>
          <w:szCs w:val="24"/>
        </w:rPr>
        <w:t>)</w:t>
      </w:r>
      <w:r w:rsidR="009B2C0D" w:rsidRPr="009B2C0D">
        <w:rPr>
          <w:rFonts w:ascii="Arial" w:hAnsi="Arial"/>
          <w:sz w:val="24"/>
          <w:szCs w:val="24"/>
        </w:rPr>
        <w:tab/>
      </w:r>
      <w:r w:rsidRPr="009B2C0D">
        <w:rPr>
          <w:rFonts w:ascii="Arial" w:hAnsi="Arial"/>
          <w:sz w:val="24"/>
          <w:szCs w:val="24"/>
        </w:rPr>
        <w:tab/>
      </w:r>
      <w:r w:rsidRPr="009B2C0D">
        <w:rPr>
          <w:rFonts w:ascii="Arial" w:hAnsi="Arial"/>
          <w:sz w:val="24"/>
          <w:szCs w:val="24"/>
        </w:rPr>
        <w:tab/>
      </w:r>
      <w:r w:rsidRPr="009B2C0D">
        <w:rPr>
          <w:rFonts w:ascii="Arial" w:hAnsi="Arial"/>
          <w:sz w:val="24"/>
          <w:szCs w:val="24"/>
        </w:rPr>
        <w:tab/>
        <w:t>Docket No. 110138-EI</w:t>
      </w:r>
    </w:p>
    <w:p w:rsidR="00AF3489" w:rsidRPr="009B2C0D" w:rsidRDefault="00AF3489" w:rsidP="00AF3489">
      <w:pPr>
        <w:ind w:firstLine="720"/>
        <w:rPr>
          <w:rFonts w:ascii="Arial" w:hAnsi="Arial"/>
          <w:sz w:val="24"/>
          <w:szCs w:val="24"/>
        </w:rPr>
      </w:pPr>
      <w:r w:rsidRPr="009B2C0D">
        <w:rPr>
          <w:rFonts w:ascii="Arial" w:hAnsi="Arial"/>
          <w:sz w:val="24"/>
          <w:szCs w:val="24"/>
        </w:rPr>
        <w:tab/>
      </w:r>
      <w:r w:rsidRPr="009B2C0D">
        <w:rPr>
          <w:rFonts w:ascii="Arial" w:hAnsi="Arial"/>
          <w:sz w:val="24"/>
          <w:szCs w:val="24"/>
        </w:rPr>
        <w:tab/>
      </w:r>
      <w:r w:rsidRPr="009B2C0D">
        <w:rPr>
          <w:rFonts w:ascii="Arial" w:hAnsi="Arial"/>
          <w:sz w:val="24"/>
          <w:szCs w:val="24"/>
        </w:rPr>
        <w:tab/>
        <w:t>)</w:t>
      </w:r>
    </w:p>
    <w:p w:rsidR="00AF3489" w:rsidRPr="00AF3489" w:rsidRDefault="00AF3489" w:rsidP="00AF3489">
      <w:pPr>
        <w:rPr>
          <w:rFonts w:ascii="Arial" w:hAnsi="Arial"/>
          <w:sz w:val="24"/>
          <w:szCs w:val="24"/>
        </w:rPr>
      </w:pPr>
      <w:r w:rsidRPr="009B2C0D">
        <w:rPr>
          <w:rFonts w:ascii="Arial" w:hAnsi="Arial"/>
          <w:sz w:val="24"/>
          <w:szCs w:val="24"/>
        </w:rPr>
        <w:t xml:space="preserve">COUNTY OF </w:t>
      </w:r>
      <w:r w:rsidR="00CC0AA3">
        <w:rPr>
          <w:rFonts w:ascii="Arial" w:hAnsi="Arial"/>
          <w:sz w:val="24"/>
          <w:szCs w:val="24"/>
        </w:rPr>
        <w:t>COBB</w:t>
      </w:r>
      <w:r>
        <w:rPr>
          <w:rFonts w:ascii="Arial" w:hAnsi="Arial"/>
          <w:sz w:val="24"/>
          <w:szCs w:val="24"/>
        </w:rPr>
        <w:tab/>
      </w:r>
      <w:r w:rsidRPr="00AF3489">
        <w:rPr>
          <w:rFonts w:ascii="Arial" w:hAnsi="Arial"/>
          <w:sz w:val="24"/>
          <w:szCs w:val="24"/>
        </w:rPr>
        <w:t>)</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p>
    <w:p w:rsidR="00AF3489" w:rsidRPr="00AF3489" w:rsidRDefault="00AF3489" w:rsidP="00AF3489">
      <w:pPr>
        <w:spacing w:line="480" w:lineRule="auto"/>
        <w:rPr>
          <w:rFonts w:ascii="Arial" w:hAnsi="Arial"/>
          <w:sz w:val="24"/>
          <w:szCs w:val="24"/>
        </w:rPr>
      </w:pPr>
      <w:r w:rsidRPr="00AF3489">
        <w:rPr>
          <w:rFonts w:ascii="Arial" w:hAnsi="Arial"/>
          <w:sz w:val="24"/>
          <w:szCs w:val="24"/>
        </w:rPr>
        <w:tab/>
        <w:t xml:space="preserve">Before me the undersigned authority, personally appeared </w:t>
      </w:r>
      <w:r>
        <w:rPr>
          <w:rFonts w:ascii="Arial" w:hAnsi="Arial"/>
          <w:sz w:val="24"/>
          <w:szCs w:val="24"/>
        </w:rPr>
        <w:t>Scott C. Twery</w:t>
      </w:r>
      <w:r w:rsidRPr="00AF3489">
        <w:rPr>
          <w:rFonts w:ascii="Arial" w:hAnsi="Arial"/>
          <w:sz w:val="24"/>
          <w:szCs w:val="24"/>
        </w:rPr>
        <w:t xml:space="preserve">, who </w:t>
      </w:r>
      <w:r>
        <w:rPr>
          <w:rFonts w:ascii="Arial" w:hAnsi="Arial"/>
          <w:sz w:val="24"/>
          <w:szCs w:val="24"/>
        </w:rPr>
        <w:t>being first duly sworn, deposes</w:t>
      </w:r>
      <w:r w:rsidRPr="00AF3489">
        <w:rPr>
          <w:rFonts w:ascii="Arial" w:hAnsi="Arial"/>
          <w:sz w:val="24"/>
          <w:szCs w:val="24"/>
        </w:rPr>
        <w:t xml:space="preserve"> and says that the foregoing is true and correct to the best of his knowledge, information, and belief.  He is personally known to me.</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t>The original affidavit is attached to the</w:t>
      </w:r>
    </w:p>
    <w:p w:rsidR="00AF3489" w:rsidRPr="00AF3489" w:rsidRDefault="00AF3489" w:rsidP="00AF3489">
      <w:pPr>
        <w:rPr>
          <w:rFonts w:ascii="Arial" w:hAnsi="Arial"/>
          <w:sz w:val="24"/>
          <w:szCs w:val="24"/>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proofErr w:type="gramStart"/>
      <w:r w:rsidRPr="00AF3489">
        <w:rPr>
          <w:rFonts w:ascii="Arial" w:hAnsi="Arial"/>
          <w:sz w:val="24"/>
          <w:szCs w:val="24"/>
        </w:rPr>
        <w:t>original</w:t>
      </w:r>
      <w:proofErr w:type="gramEnd"/>
      <w:r w:rsidRPr="00AF3489">
        <w:rPr>
          <w:rFonts w:ascii="Arial" w:hAnsi="Arial"/>
          <w:sz w:val="24"/>
          <w:szCs w:val="24"/>
        </w:rPr>
        <w:t xml:space="preserve"> testimony on file with the FPSC.</w:t>
      </w:r>
    </w:p>
    <w:p w:rsidR="00AF3489" w:rsidRPr="00AF3489" w:rsidRDefault="00AF3489" w:rsidP="00AF3489">
      <w:pPr>
        <w:rPr>
          <w:rFonts w:ascii="Arial" w:hAnsi="Arial"/>
          <w:sz w:val="24"/>
          <w:szCs w:val="24"/>
        </w:rPr>
      </w:pPr>
    </w:p>
    <w:p w:rsidR="00AF3489" w:rsidRPr="00AF3489" w:rsidRDefault="00AF3489" w:rsidP="00AF3489">
      <w:pPr>
        <w:ind w:right="-756"/>
        <w:rPr>
          <w:rFonts w:ascii="Arial" w:hAnsi="Arial"/>
          <w:i/>
          <w:sz w:val="24"/>
          <w:szCs w:val="24"/>
          <w:u w:val="single"/>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t xml:space="preserve">     </w:t>
      </w:r>
      <w:proofErr w:type="gramStart"/>
      <w:r w:rsidRPr="00AF3489">
        <w:rPr>
          <w:rFonts w:ascii="Arial" w:hAnsi="Arial"/>
          <w:i/>
          <w:sz w:val="24"/>
          <w:szCs w:val="24"/>
        </w:rPr>
        <w:t>s</w:t>
      </w:r>
      <w:proofErr w:type="gramEnd"/>
      <w:r w:rsidRPr="00AF3489">
        <w:rPr>
          <w:rFonts w:ascii="Arial" w:hAnsi="Arial"/>
          <w:i/>
          <w:sz w:val="24"/>
          <w:szCs w:val="24"/>
        </w:rPr>
        <w:t xml:space="preserve">/_________________________________                                               </w:t>
      </w:r>
      <w:r w:rsidRPr="00AF3489">
        <w:rPr>
          <w:rFonts w:ascii="Arial" w:hAnsi="Arial"/>
          <w:i/>
          <w:sz w:val="24"/>
          <w:szCs w:val="24"/>
          <w:u w:val="single"/>
        </w:rPr>
        <w:t xml:space="preserve">                                                      </w:t>
      </w:r>
    </w:p>
    <w:p w:rsidR="00AF3489" w:rsidRPr="00AF3489" w:rsidRDefault="00AF3489" w:rsidP="00AF3489">
      <w:pPr>
        <w:rPr>
          <w:rFonts w:ascii="Arial" w:hAnsi="Arial"/>
          <w:sz w:val="24"/>
          <w:szCs w:val="24"/>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t xml:space="preserve">     </w:t>
      </w:r>
      <w:r>
        <w:rPr>
          <w:rFonts w:ascii="Arial" w:hAnsi="Arial"/>
          <w:sz w:val="24"/>
          <w:szCs w:val="24"/>
        </w:rPr>
        <w:t>Scott C. Twery</w:t>
      </w:r>
    </w:p>
    <w:p w:rsidR="00AF3489" w:rsidRPr="00AF3489" w:rsidRDefault="00AF3489" w:rsidP="00AF3489">
      <w:pPr>
        <w:ind w:right="-576"/>
        <w:rPr>
          <w:rFonts w:ascii="Arial" w:hAnsi="Arial"/>
          <w:sz w:val="24"/>
          <w:szCs w:val="24"/>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p>
    <w:p w:rsidR="00AF3489" w:rsidRPr="00AF3489" w:rsidRDefault="00AF3489" w:rsidP="00AF3489">
      <w:pPr>
        <w:spacing w:line="480" w:lineRule="auto"/>
        <w:ind w:right="-576"/>
        <w:rPr>
          <w:rFonts w:ascii="Arial" w:hAnsi="Arial"/>
          <w:sz w:val="24"/>
          <w:szCs w:val="24"/>
        </w:rPr>
      </w:pPr>
      <w:r w:rsidRPr="00AF3489">
        <w:rPr>
          <w:rFonts w:ascii="Arial" w:hAnsi="Arial"/>
          <w:sz w:val="24"/>
          <w:szCs w:val="24"/>
        </w:rPr>
        <w:tab/>
        <w:t>Sworn to and subscribed before me this ______ day of _____________, 2011.</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r w:rsidRPr="00AF3489">
        <w:rPr>
          <w:rFonts w:ascii="Arial" w:hAnsi="Arial"/>
          <w:sz w:val="24"/>
          <w:szCs w:val="24"/>
        </w:rPr>
        <w:t>________________________________________</w:t>
      </w:r>
    </w:p>
    <w:p w:rsidR="00AF3489" w:rsidRPr="00AF3489" w:rsidRDefault="00AF3489" w:rsidP="00AF3489">
      <w:pPr>
        <w:rPr>
          <w:rFonts w:ascii="Arial" w:hAnsi="Arial"/>
          <w:sz w:val="24"/>
          <w:szCs w:val="24"/>
        </w:rPr>
      </w:pPr>
      <w:r w:rsidRPr="00AF3489">
        <w:rPr>
          <w:rFonts w:ascii="Arial" w:hAnsi="Arial"/>
          <w:sz w:val="24"/>
          <w:szCs w:val="24"/>
        </w:rPr>
        <w:t xml:space="preserve">Notary Public, State of </w:t>
      </w:r>
      <w:r w:rsidR="009B2C0D">
        <w:rPr>
          <w:rFonts w:ascii="Arial" w:hAnsi="Arial"/>
          <w:sz w:val="24"/>
          <w:szCs w:val="24"/>
        </w:rPr>
        <w:t>Georgia</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r w:rsidRPr="00AF3489">
        <w:rPr>
          <w:rFonts w:ascii="Arial" w:hAnsi="Arial"/>
          <w:sz w:val="24"/>
          <w:szCs w:val="24"/>
        </w:rPr>
        <w:t>Commission No. ___________________________</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r w:rsidRPr="00AF3489">
        <w:rPr>
          <w:rFonts w:ascii="Arial" w:hAnsi="Arial"/>
          <w:sz w:val="24"/>
          <w:szCs w:val="24"/>
        </w:rPr>
        <w:t>My Commission Expires _____________________</w:t>
      </w:r>
    </w:p>
    <w:p w:rsidR="00AF3489" w:rsidRPr="00AF3489" w:rsidRDefault="00AF3489" w:rsidP="00AF3489">
      <w:pPr>
        <w:rPr>
          <w:sz w:val="24"/>
          <w:szCs w:val="24"/>
        </w:rPr>
      </w:pPr>
    </w:p>
    <w:p w:rsidR="00AF3489" w:rsidRPr="00B04CEB" w:rsidRDefault="00AF3489" w:rsidP="000772B4">
      <w:pPr>
        <w:spacing w:line="480" w:lineRule="atLeast"/>
        <w:rPr>
          <w:rFonts w:ascii="Arial" w:hAnsi="Arial" w:cs="Arial"/>
          <w:sz w:val="24"/>
          <w:szCs w:val="24"/>
        </w:rPr>
      </w:pPr>
      <w:r>
        <w:rPr>
          <w:rFonts w:ascii="Arial" w:hAnsi="Arial" w:cs="Arial"/>
          <w:sz w:val="24"/>
          <w:szCs w:val="24"/>
        </w:rPr>
        <w:br w:type="page"/>
      </w:r>
    </w:p>
    <w:p w:rsidR="00AF3489" w:rsidRPr="00AF3489" w:rsidRDefault="00AF3489" w:rsidP="00AF3489">
      <w:pPr>
        <w:jc w:val="center"/>
        <w:rPr>
          <w:rFonts w:ascii="Arial" w:hAnsi="Arial"/>
          <w:sz w:val="24"/>
          <w:szCs w:val="24"/>
        </w:rPr>
      </w:pPr>
      <w:r w:rsidRPr="00AF3489">
        <w:rPr>
          <w:rFonts w:ascii="Arial" w:hAnsi="Arial"/>
          <w:sz w:val="24"/>
          <w:szCs w:val="24"/>
        </w:rPr>
        <w:t>AFFIDAVIT</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p>
    <w:p w:rsidR="00AF3489" w:rsidRPr="009B2C0D" w:rsidRDefault="00AF3489" w:rsidP="00AF3489">
      <w:pPr>
        <w:rPr>
          <w:rFonts w:ascii="Arial" w:hAnsi="Arial"/>
          <w:sz w:val="24"/>
          <w:szCs w:val="24"/>
        </w:rPr>
      </w:pPr>
      <w:r w:rsidRPr="00AF3489">
        <w:rPr>
          <w:rFonts w:ascii="Arial" w:hAnsi="Arial"/>
          <w:sz w:val="24"/>
          <w:szCs w:val="24"/>
        </w:rPr>
        <w:t>STATE OF</w:t>
      </w:r>
      <w:r w:rsidR="00CC78BE">
        <w:rPr>
          <w:rFonts w:ascii="Arial" w:hAnsi="Arial"/>
          <w:sz w:val="24"/>
          <w:szCs w:val="24"/>
        </w:rPr>
        <w:t xml:space="preserve"> </w:t>
      </w:r>
      <w:r w:rsidR="00CC78BE" w:rsidRPr="009B2C0D">
        <w:rPr>
          <w:rFonts w:ascii="Arial" w:hAnsi="Arial"/>
          <w:sz w:val="24"/>
          <w:szCs w:val="24"/>
        </w:rPr>
        <w:t>GEOR</w:t>
      </w:r>
      <w:r w:rsidR="009B2C0D">
        <w:rPr>
          <w:rFonts w:ascii="Arial" w:hAnsi="Arial"/>
          <w:sz w:val="24"/>
          <w:szCs w:val="24"/>
        </w:rPr>
        <w:t>G</w:t>
      </w:r>
      <w:r w:rsidR="00CC78BE" w:rsidRPr="009B2C0D">
        <w:rPr>
          <w:rFonts w:ascii="Arial" w:hAnsi="Arial"/>
          <w:sz w:val="24"/>
          <w:szCs w:val="24"/>
        </w:rPr>
        <w:t>IA</w:t>
      </w:r>
      <w:r w:rsidRPr="009B2C0D">
        <w:rPr>
          <w:rFonts w:ascii="Arial" w:hAnsi="Arial"/>
          <w:sz w:val="24"/>
          <w:szCs w:val="24"/>
        </w:rPr>
        <w:tab/>
        <w:t>)</w:t>
      </w:r>
      <w:r w:rsidRPr="009B2C0D">
        <w:rPr>
          <w:rFonts w:ascii="Arial" w:hAnsi="Arial"/>
          <w:sz w:val="24"/>
          <w:szCs w:val="24"/>
        </w:rPr>
        <w:tab/>
      </w:r>
      <w:r w:rsidRPr="009B2C0D">
        <w:rPr>
          <w:rFonts w:ascii="Arial" w:hAnsi="Arial"/>
          <w:sz w:val="24"/>
          <w:szCs w:val="24"/>
        </w:rPr>
        <w:tab/>
      </w:r>
      <w:r w:rsidRPr="009B2C0D">
        <w:rPr>
          <w:rFonts w:ascii="Arial" w:hAnsi="Arial"/>
          <w:sz w:val="24"/>
          <w:szCs w:val="24"/>
        </w:rPr>
        <w:tab/>
      </w:r>
      <w:r w:rsidRPr="009B2C0D">
        <w:rPr>
          <w:rFonts w:ascii="Arial" w:hAnsi="Arial"/>
          <w:sz w:val="24"/>
          <w:szCs w:val="24"/>
        </w:rPr>
        <w:tab/>
        <w:t>Docket No. 110138-EI</w:t>
      </w:r>
    </w:p>
    <w:p w:rsidR="00AF3489" w:rsidRPr="009B2C0D" w:rsidRDefault="00AF3489" w:rsidP="00AF3489">
      <w:pPr>
        <w:ind w:firstLine="720"/>
        <w:rPr>
          <w:rFonts w:ascii="Arial" w:hAnsi="Arial"/>
          <w:sz w:val="24"/>
          <w:szCs w:val="24"/>
        </w:rPr>
      </w:pPr>
      <w:r w:rsidRPr="009B2C0D">
        <w:rPr>
          <w:rFonts w:ascii="Arial" w:hAnsi="Arial"/>
          <w:sz w:val="24"/>
          <w:szCs w:val="24"/>
        </w:rPr>
        <w:tab/>
      </w:r>
      <w:r w:rsidRPr="009B2C0D">
        <w:rPr>
          <w:rFonts w:ascii="Arial" w:hAnsi="Arial"/>
          <w:sz w:val="24"/>
          <w:szCs w:val="24"/>
        </w:rPr>
        <w:tab/>
      </w:r>
      <w:r w:rsidRPr="009B2C0D">
        <w:rPr>
          <w:rFonts w:ascii="Arial" w:hAnsi="Arial"/>
          <w:sz w:val="24"/>
          <w:szCs w:val="24"/>
        </w:rPr>
        <w:tab/>
        <w:t>)</w:t>
      </w:r>
    </w:p>
    <w:p w:rsidR="00AF3489" w:rsidRPr="00AF3489" w:rsidRDefault="00AF3489" w:rsidP="00AF3489">
      <w:pPr>
        <w:rPr>
          <w:rFonts w:ascii="Arial" w:hAnsi="Arial"/>
          <w:sz w:val="24"/>
          <w:szCs w:val="24"/>
        </w:rPr>
      </w:pPr>
      <w:r w:rsidRPr="009B2C0D">
        <w:rPr>
          <w:rFonts w:ascii="Arial" w:hAnsi="Arial"/>
          <w:sz w:val="24"/>
          <w:szCs w:val="24"/>
        </w:rPr>
        <w:t xml:space="preserve">COUNTY OF </w:t>
      </w:r>
      <w:r w:rsidR="00CC0AA3">
        <w:rPr>
          <w:rFonts w:ascii="Arial" w:hAnsi="Arial"/>
          <w:sz w:val="24"/>
          <w:szCs w:val="24"/>
        </w:rPr>
        <w:t>COBB</w:t>
      </w:r>
      <w:r w:rsidRPr="00CC78BE">
        <w:rPr>
          <w:rFonts w:ascii="Arial" w:hAnsi="Arial"/>
          <w:color w:val="FF0000"/>
          <w:sz w:val="24"/>
          <w:szCs w:val="24"/>
        </w:rPr>
        <w:tab/>
      </w:r>
      <w:r w:rsidRPr="00AF3489">
        <w:rPr>
          <w:rFonts w:ascii="Arial" w:hAnsi="Arial"/>
          <w:sz w:val="24"/>
          <w:szCs w:val="24"/>
        </w:rPr>
        <w:t>)</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p>
    <w:p w:rsidR="00AF3489" w:rsidRPr="00AF3489" w:rsidRDefault="00AF3489" w:rsidP="00AF3489">
      <w:pPr>
        <w:spacing w:line="480" w:lineRule="auto"/>
        <w:rPr>
          <w:rFonts w:ascii="Arial" w:hAnsi="Arial"/>
          <w:sz w:val="24"/>
          <w:szCs w:val="24"/>
        </w:rPr>
      </w:pPr>
      <w:r w:rsidRPr="00AF3489">
        <w:rPr>
          <w:rFonts w:ascii="Arial" w:hAnsi="Arial"/>
          <w:sz w:val="24"/>
          <w:szCs w:val="24"/>
        </w:rPr>
        <w:tab/>
        <w:t xml:space="preserve">Before me the undersigned authority, personally appeared </w:t>
      </w:r>
      <w:r>
        <w:rPr>
          <w:rFonts w:ascii="Arial" w:hAnsi="Arial"/>
          <w:sz w:val="24"/>
          <w:szCs w:val="24"/>
        </w:rPr>
        <w:t>Anne E. Crumlish</w:t>
      </w:r>
      <w:r w:rsidRPr="00AF3489">
        <w:rPr>
          <w:rFonts w:ascii="Arial" w:hAnsi="Arial"/>
          <w:sz w:val="24"/>
          <w:szCs w:val="24"/>
        </w:rPr>
        <w:t xml:space="preserve">, who </w:t>
      </w:r>
      <w:r>
        <w:rPr>
          <w:rFonts w:ascii="Arial" w:hAnsi="Arial"/>
          <w:sz w:val="24"/>
          <w:szCs w:val="24"/>
        </w:rPr>
        <w:t>being first duly sworn, deposes</w:t>
      </w:r>
      <w:r w:rsidRPr="00AF3489">
        <w:rPr>
          <w:rFonts w:ascii="Arial" w:hAnsi="Arial"/>
          <w:sz w:val="24"/>
          <w:szCs w:val="24"/>
        </w:rPr>
        <w:t xml:space="preserve"> and says that the foregoing is true and correct to the best of </w:t>
      </w:r>
      <w:r>
        <w:rPr>
          <w:rFonts w:ascii="Arial" w:hAnsi="Arial"/>
          <w:sz w:val="24"/>
          <w:szCs w:val="24"/>
        </w:rPr>
        <w:t>her</w:t>
      </w:r>
      <w:r w:rsidRPr="00AF3489">
        <w:rPr>
          <w:rFonts w:ascii="Arial" w:hAnsi="Arial"/>
          <w:sz w:val="24"/>
          <w:szCs w:val="24"/>
        </w:rPr>
        <w:t xml:space="preserve"> knowle</w:t>
      </w:r>
      <w:r>
        <w:rPr>
          <w:rFonts w:ascii="Arial" w:hAnsi="Arial"/>
          <w:sz w:val="24"/>
          <w:szCs w:val="24"/>
        </w:rPr>
        <w:t>dge, information, and belief.  Sh</w:t>
      </w:r>
      <w:r w:rsidRPr="00AF3489">
        <w:rPr>
          <w:rFonts w:ascii="Arial" w:hAnsi="Arial"/>
          <w:sz w:val="24"/>
          <w:szCs w:val="24"/>
        </w:rPr>
        <w:t>e is personally known to me.</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t>The original affidavit is attached to the</w:t>
      </w:r>
    </w:p>
    <w:p w:rsidR="00AF3489" w:rsidRPr="00AF3489" w:rsidRDefault="00AF3489" w:rsidP="00AF3489">
      <w:pPr>
        <w:rPr>
          <w:rFonts w:ascii="Arial" w:hAnsi="Arial"/>
          <w:sz w:val="24"/>
          <w:szCs w:val="24"/>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proofErr w:type="gramStart"/>
      <w:r w:rsidRPr="00AF3489">
        <w:rPr>
          <w:rFonts w:ascii="Arial" w:hAnsi="Arial"/>
          <w:sz w:val="24"/>
          <w:szCs w:val="24"/>
        </w:rPr>
        <w:t>original</w:t>
      </w:r>
      <w:proofErr w:type="gramEnd"/>
      <w:r w:rsidRPr="00AF3489">
        <w:rPr>
          <w:rFonts w:ascii="Arial" w:hAnsi="Arial"/>
          <w:sz w:val="24"/>
          <w:szCs w:val="24"/>
        </w:rPr>
        <w:t xml:space="preserve"> testimony on file with the FPSC.</w:t>
      </w:r>
    </w:p>
    <w:p w:rsidR="00AF3489" w:rsidRPr="00AF3489" w:rsidRDefault="00AF3489" w:rsidP="00AF3489">
      <w:pPr>
        <w:rPr>
          <w:rFonts w:ascii="Arial" w:hAnsi="Arial"/>
          <w:sz w:val="24"/>
          <w:szCs w:val="24"/>
        </w:rPr>
      </w:pPr>
    </w:p>
    <w:p w:rsidR="00AF3489" w:rsidRPr="00AF3489" w:rsidRDefault="00AF3489" w:rsidP="00AF3489">
      <w:pPr>
        <w:ind w:right="-756"/>
        <w:rPr>
          <w:rFonts w:ascii="Arial" w:hAnsi="Arial"/>
          <w:i/>
          <w:sz w:val="24"/>
          <w:szCs w:val="24"/>
          <w:u w:val="single"/>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t xml:space="preserve">     </w:t>
      </w:r>
      <w:proofErr w:type="gramStart"/>
      <w:r w:rsidRPr="00AF3489">
        <w:rPr>
          <w:rFonts w:ascii="Arial" w:hAnsi="Arial"/>
          <w:i/>
          <w:sz w:val="24"/>
          <w:szCs w:val="24"/>
        </w:rPr>
        <w:t>s</w:t>
      </w:r>
      <w:proofErr w:type="gramEnd"/>
      <w:r w:rsidRPr="00AF3489">
        <w:rPr>
          <w:rFonts w:ascii="Arial" w:hAnsi="Arial"/>
          <w:i/>
          <w:sz w:val="24"/>
          <w:szCs w:val="24"/>
        </w:rPr>
        <w:t xml:space="preserve">/_________________________________                                               </w:t>
      </w:r>
      <w:r w:rsidRPr="00AF3489">
        <w:rPr>
          <w:rFonts w:ascii="Arial" w:hAnsi="Arial"/>
          <w:i/>
          <w:sz w:val="24"/>
          <w:szCs w:val="24"/>
          <w:u w:val="single"/>
        </w:rPr>
        <w:t xml:space="preserve">                                                      </w:t>
      </w:r>
    </w:p>
    <w:p w:rsidR="00AF3489" w:rsidRPr="00AF3489" w:rsidRDefault="00AF3489" w:rsidP="00AF3489">
      <w:pPr>
        <w:rPr>
          <w:rFonts w:ascii="Arial" w:hAnsi="Arial"/>
          <w:sz w:val="24"/>
          <w:szCs w:val="24"/>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t xml:space="preserve">     </w:t>
      </w:r>
      <w:r>
        <w:rPr>
          <w:rFonts w:ascii="Arial" w:hAnsi="Arial"/>
          <w:sz w:val="24"/>
          <w:szCs w:val="24"/>
        </w:rPr>
        <w:t>Anne E. Crumlish</w:t>
      </w:r>
    </w:p>
    <w:p w:rsidR="00AF3489" w:rsidRPr="00AF3489" w:rsidRDefault="00AF3489" w:rsidP="00AF3489">
      <w:pPr>
        <w:ind w:right="-576"/>
        <w:rPr>
          <w:rFonts w:ascii="Arial" w:hAnsi="Arial"/>
          <w:sz w:val="24"/>
          <w:szCs w:val="24"/>
        </w:rPr>
      </w:pP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r w:rsidRPr="00AF3489">
        <w:rPr>
          <w:rFonts w:ascii="Arial" w:hAnsi="Arial"/>
          <w:sz w:val="24"/>
          <w:szCs w:val="24"/>
        </w:rPr>
        <w:tab/>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p>
    <w:p w:rsidR="00AF3489" w:rsidRPr="00AF3489" w:rsidRDefault="00AF3489" w:rsidP="00AF3489">
      <w:pPr>
        <w:spacing w:line="480" w:lineRule="auto"/>
        <w:ind w:right="-576"/>
        <w:rPr>
          <w:rFonts w:ascii="Arial" w:hAnsi="Arial"/>
          <w:sz w:val="24"/>
          <w:szCs w:val="24"/>
        </w:rPr>
      </w:pPr>
      <w:r w:rsidRPr="00AF3489">
        <w:rPr>
          <w:rFonts w:ascii="Arial" w:hAnsi="Arial"/>
          <w:sz w:val="24"/>
          <w:szCs w:val="24"/>
        </w:rPr>
        <w:tab/>
        <w:t>Sworn to and subscribed before me this ______ day of _____________, 2011.</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r w:rsidRPr="00AF3489">
        <w:rPr>
          <w:rFonts w:ascii="Arial" w:hAnsi="Arial"/>
          <w:sz w:val="24"/>
          <w:szCs w:val="24"/>
        </w:rPr>
        <w:t>________________________________________</w:t>
      </w:r>
    </w:p>
    <w:p w:rsidR="00AF3489" w:rsidRPr="00AF3489" w:rsidRDefault="00AF3489" w:rsidP="00AF3489">
      <w:pPr>
        <w:rPr>
          <w:rFonts w:ascii="Arial" w:hAnsi="Arial"/>
          <w:sz w:val="24"/>
          <w:szCs w:val="24"/>
        </w:rPr>
      </w:pPr>
      <w:r w:rsidRPr="00AF3489">
        <w:rPr>
          <w:rFonts w:ascii="Arial" w:hAnsi="Arial"/>
          <w:sz w:val="24"/>
          <w:szCs w:val="24"/>
        </w:rPr>
        <w:t xml:space="preserve">Notary Public, State of </w:t>
      </w:r>
      <w:r w:rsidR="009B2C0D">
        <w:rPr>
          <w:rFonts w:ascii="Arial" w:hAnsi="Arial"/>
          <w:sz w:val="24"/>
          <w:szCs w:val="24"/>
        </w:rPr>
        <w:t>Georgia</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r w:rsidRPr="00AF3489">
        <w:rPr>
          <w:rFonts w:ascii="Arial" w:hAnsi="Arial"/>
          <w:sz w:val="24"/>
          <w:szCs w:val="24"/>
        </w:rPr>
        <w:t>Commission No. ___________________________</w:t>
      </w:r>
    </w:p>
    <w:p w:rsidR="00AF3489" w:rsidRPr="00AF3489" w:rsidRDefault="00AF3489" w:rsidP="00AF3489">
      <w:pPr>
        <w:rPr>
          <w:rFonts w:ascii="Arial" w:hAnsi="Arial"/>
          <w:sz w:val="24"/>
          <w:szCs w:val="24"/>
        </w:rPr>
      </w:pPr>
    </w:p>
    <w:p w:rsidR="00AF3489" w:rsidRPr="00AF3489" w:rsidRDefault="00AF3489" w:rsidP="00AF3489">
      <w:pPr>
        <w:rPr>
          <w:rFonts w:ascii="Arial" w:hAnsi="Arial"/>
          <w:sz w:val="24"/>
          <w:szCs w:val="24"/>
        </w:rPr>
      </w:pPr>
      <w:r w:rsidRPr="00AF3489">
        <w:rPr>
          <w:rFonts w:ascii="Arial" w:hAnsi="Arial"/>
          <w:sz w:val="24"/>
          <w:szCs w:val="24"/>
        </w:rPr>
        <w:t>My Commission Expires _____________________</w:t>
      </w:r>
    </w:p>
    <w:p w:rsidR="00AF3489" w:rsidRPr="00AF3489" w:rsidRDefault="00AF3489" w:rsidP="00AF3489">
      <w:pPr>
        <w:rPr>
          <w:sz w:val="24"/>
          <w:szCs w:val="24"/>
        </w:rPr>
      </w:pPr>
    </w:p>
    <w:p w:rsidR="00AF3489" w:rsidRPr="00B04CEB" w:rsidRDefault="00AF3489" w:rsidP="00AF3489">
      <w:pPr>
        <w:spacing w:line="480" w:lineRule="atLeast"/>
        <w:rPr>
          <w:rFonts w:ascii="Arial" w:hAnsi="Arial" w:cs="Arial"/>
          <w:sz w:val="24"/>
          <w:szCs w:val="24"/>
        </w:rPr>
      </w:pPr>
    </w:p>
    <w:p w:rsidR="00D32D2D" w:rsidRDefault="00D32D2D" w:rsidP="00403B33">
      <w:pPr>
        <w:rPr>
          <w:sz w:val="24"/>
          <w:szCs w:val="24"/>
        </w:rPr>
        <w:sectPr w:rsidR="00D32D2D" w:rsidSect="00AF3489">
          <w:footerReference w:type="default" r:id="rId9"/>
          <w:pgSz w:w="12240" w:h="15840" w:code="1"/>
          <w:pgMar w:top="1800" w:right="1440" w:bottom="1800" w:left="2160" w:header="720" w:footer="720" w:gutter="0"/>
          <w:cols w:space="720"/>
          <w:docGrid w:linePitch="360"/>
        </w:sectPr>
      </w:pPr>
    </w:p>
    <w:p w:rsidR="00D32D2D" w:rsidRPr="00153FB2" w:rsidRDefault="00D32D2D" w:rsidP="00403B33">
      <w:pPr>
        <w:rPr>
          <w:sz w:val="24"/>
          <w:szCs w:val="24"/>
        </w:rPr>
      </w:pPr>
    </w:p>
    <w:p w:rsidR="00D32D2D" w:rsidRPr="00650595" w:rsidRDefault="00D32D2D" w:rsidP="00650595">
      <w:pPr>
        <w:pStyle w:val="Header"/>
        <w:ind w:left="5760" w:hanging="720"/>
        <w:rPr>
          <w:rFonts w:ascii="Arial" w:hAnsi="Arial" w:cs="Arial"/>
          <w:sz w:val="22"/>
          <w:szCs w:val="22"/>
        </w:rPr>
      </w:pPr>
      <w:r w:rsidRPr="00650595">
        <w:rPr>
          <w:rFonts w:ascii="Arial" w:hAnsi="Arial" w:cs="Arial"/>
          <w:sz w:val="22"/>
          <w:szCs w:val="22"/>
        </w:rPr>
        <w:t>Florida Public Service Commission</w:t>
      </w:r>
    </w:p>
    <w:p w:rsidR="00D32D2D" w:rsidRPr="00650595" w:rsidRDefault="00D32D2D" w:rsidP="00650595">
      <w:pPr>
        <w:pStyle w:val="Header"/>
        <w:ind w:left="5760" w:hanging="720"/>
        <w:rPr>
          <w:rFonts w:ascii="Arial" w:hAnsi="Arial" w:cs="Arial"/>
          <w:sz w:val="22"/>
          <w:szCs w:val="22"/>
        </w:rPr>
      </w:pPr>
      <w:r w:rsidRPr="00650595">
        <w:rPr>
          <w:rFonts w:ascii="Arial" w:hAnsi="Arial" w:cs="Arial"/>
          <w:sz w:val="22"/>
          <w:szCs w:val="22"/>
        </w:rPr>
        <w:t>Docket No. 110138-EI</w:t>
      </w:r>
    </w:p>
    <w:p w:rsidR="00D32D2D" w:rsidRPr="00650595" w:rsidRDefault="00D32D2D" w:rsidP="00650595">
      <w:pPr>
        <w:pStyle w:val="Header"/>
        <w:ind w:left="5760" w:hanging="720"/>
        <w:rPr>
          <w:rFonts w:ascii="Arial" w:hAnsi="Arial" w:cs="Arial"/>
          <w:sz w:val="22"/>
          <w:szCs w:val="22"/>
        </w:rPr>
      </w:pPr>
      <w:r w:rsidRPr="00650595">
        <w:rPr>
          <w:rFonts w:ascii="Arial" w:hAnsi="Arial" w:cs="Arial"/>
          <w:sz w:val="22"/>
          <w:szCs w:val="22"/>
        </w:rPr>
        <w:t>GULF POWER COMPANY</w:t>
      </w:r>
    </w:p>
    <w:p w:rsidR="00D32D2D" w:rsidRPr="00650595" w:rsidRDefault="00D32D2D" w:rsidP="00650595">
      <w:pPr>
        <w:pStyle w:val="Header"/>
        <w:ind w:left="5760" w:hanging="720"/>
        <w:rPr>
          <w:rFonts w:ascii="Arial" w:hAnsi="Arial" w:cs="Arial"/>
          <w:sz w:val="22"/>
          <w:szCs w:val="22"/>
        </w:rPr>
      </w:pPr>
      <w:r w:rsidRPr="00650595">
        <w:rPr>
          <w:rFonts w:ascii="Arial" w:hAnsi="Arial" w:cs="Arial"/>
          <w:sz w:val="22"/>
          <w:szCs w:val="22"/>
        </w:rPr>
        <w:t>Witness:  Scott C. Twery</w:t>
      </w:r>
    </w:p>
    <w:p w:rsidR="00D32D2D" w:rsidRPr="00650595" w:rsidRDefault="00D32D2D" w:rsidP="00650595">
      <w:pPr>
        <w:pStyle w:val="Header"/>
        <w:ind w:left="5760" w:hanging="720"/>
        <w:rPr>
          <w:rFonts w:ascii="Arial" w:hAnsi="Arial" w:cs="Arial"/>
          <w:sz w:val="22"/>
          <w:szCs w:val="22"/>
        </w:rPr>
      </w:pPr>
      <w:r w:rsidRPr="00650595">
        <w:rPr>
          <w:rFonts w:ascii="Arial" w:hAnsi="Arial" w:cs="Arial"/>
          <w:sz w:val="22"/>
          <w:szCs w:val="22"/>
        </w:rPr>
        <w:t>Exhibit No.</w:t>
      </w:r>
      <w:r w:rsidR="001163C7">
        <w:rPr>
          <w:rFonts w:ascii="Arial" w:hAnsi="Arial" w:cs="Arial"/>
          <w:sz w:val="22"/>
          <w:szCs w:val="22"/>
        </w:rPr>
        <w:t xml:space="preserve"> </w:t>
      </w:r>
      <w:r w:rsidRPr="00650595">
        <w:rPr>
          <w:rFonts w:ascii="Arial" w:hAnsi="Arial" w:cs="Arial"/>
          <w:sz w:val="22"/>
          <w:szCs w:val="22"/>
        </w:rPr>
        <w:t>SCT-1</w:t>
      </w:r>
    </w:p>
    <w:p w:rsidR="00D32D2D" w:rsidRPr="00650595" w:rsidRDefault="00D32D2D" w:rsidP="00650595">
      <w:pPr>
        <w:pStyle w:val="Header"/>
        <w:ind w:left="5760" w:hanging="720"/>
        <w:rPr>
          <w:rFonts w:ascii="Arial" w:hAnsi="Arial" w:cs="Arial"/>
          <w:sz w:val="22"/>
          <w:szCs w:val="22"/>
        </w:rPr>
      </w:pPr>
      <w:r w:rsidRPr="00650595">
        <w:rPr>
          <w:rFonts w:ascii="Arial" w:hAnsi="Arial" w:cs="Arial"/>
          <w:sz w:val="22"/>
          <w:szCs w:val="22"/>
        </w:rPr>
        <w:t>Schedule 1</w:t>
      </w:r>
    </w:p>
    <w:p w:rsidR="00D32D2D" w:rsidRPr="00650595" w:rsidRDefault="00D32D2D" w:rsidP="00650595">
      <w:pPr>
        <w:pStyle w:val="Header"/>
        <w:ind w:left="5760" w:hanging="720"/>
        <w:rPr>
          <w:rFonts w:ascii="Arial" w:hAnsi="Arial" w:cs="Arial"/>
          <w:sz w:val="22"/>
          <w:szCs w:val="22"/>
        </w:rPr>
      </w:pPr>
      <w:r w:rsidRPr="00650595">
        <w:rPr>
          <w:rFonts w:ascii="Arial" w:hAnsi="Arial" w:cs="Arial"/>
          <w:sz w:val="22"/>
          <w:szCs w:val="22"/>
        </w:rPr>
        <w:t>Page 1 of 1</w:t>
      </w:r>
    </w:p>
    <w:p w:rsidR="00D32D2D" w:rsidRPr="00FB52F0" w:rsidRDefault="00D32D2D" w:rsidP="009F2F78">
      <w:pPr>
        <w:pStyle w:val="Header"/>
        <w:rPr>
          <w:noProof/>
          <w:color w:val="C00000"/>
        </w:rPr>
      </w:pPr>
    </w:p>
    <w:p w:rsidR="00D32D2D" w:rsidRDefault="003A1B4D" w:rsidP="009F2F78">
      <w:pPr>
        <w:pStyle w:val="Header"/>
        <w:ind w:left="5760"/>
      </w:pPr>
      <w:r>
        <w:rPr>
          <w:noProof/>
        </w:rPr>
        <w:pict>
          <v:group id="_x0000_s1026" style="position:absolute;left:0;text-align:left;margin-left:30pt;margin-top:11.2pt;width:355pt;height:477pt;z-index:251658240" coordorigin="2400,3780" coordsize="7100,9540">
            <v:group id="_x0000_s1027" style="position:absolute;left:2400;top:3780;width:7100;height:9540" coordorigin="2900,3780" coordsize="7100,9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95;top:5185;width:9540;height:6729;rotation:270">
                <v:imagedata r:id="rId10" o:title=""/>
              </v:shape>
              <v:shape id="_x0000_s1029" type="#_x0000_t75" style="position:absolute;left:8861;top:4802;width:1829;height:448;rotation:270">
                <v:imagedata r:id="rId11" o:title=""/>
              </v:shape>
            </v:group>
            <v:line id="_x0000_s1030" style="position:absolute" from="3100,3780" to="3100,12960" strokecolor="gray" strokeweight="1pt"/>
          </v:group>
        </w:pict>
      </w:r>
      <w:r w:rsidR="00D32D2D">
        <w:rPr>
          <w:noProof/>
          <w:color w:val="C00000"/>
        </w:rPr>
        <w:br w:type="page"/>
      </w:r>
      <w:r w:rsidR="00D32D2D" w:rsidRPr="00BF61C1">
        <w:t xml:space="preserve"> </w:t>
      </w:r>
    </w:p>
    <w:p w:rsidR="00D32D2D" w:rsidRDefault="00D32D2D" w:rsidP="00504CB1">
      <w:pPr>
        <w:pStyle w:val="Header"/>
        <w:ind w:left="5760"/>
        <w:sectPr w:rsidR="00D32D2D" w:rsidSect="00005AF7">
          <w:footerReference w:type="default" r:id="rId12"/>
          <w:pgSz w:w="12240" w:h="15840" w:code="1"/>
          <w:pgMar w:top="1440" w:right="1800" w:bottom="1440" w:left="1800" w:header="720" w:footer="720" w:gutter="0"/>
          <w:cols w:space="720"/>
          <w:titlePg/>
          <w:docGrid w:linePitch="360"/>
        </w:sectPr>
      </w:pP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Florida Public Service</w:t>
      </w:r>
      <w:r>
        <w:rPr>
          <w:rFonts w:ascii="Arial" w:hAnsi="Arial" w:cs="Arial"/>
          <w:sz w:val="22"/>
          <w:szCs w:val="22"/>
        </w:rPr>
        <w:t xml:space="preserve"> </w:t>
      </w:r>
      <w:r w:rsidRPr="00650595">
        <w:rPr>
          <w:rFonts w:ascii="Arial" w:hAnsi="Arial" w:cs="Arial"/>
          <w:sz w:val="22"/>
          <w:szCs w:val="22"/>
        </w:rPr>
        <w:t>Commission</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Docket No. 110138-EI</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GULF POWER COMPANY</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Witness:  Anne E. Crumlish</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Exhibit No.</w:t>
      </w:r>
      <w:r w:rsidR="001163C7">
        <w:rPr>
          <w:rFonts w:ascii="Arial" w:hAnsi="Arial" w:cs="Arial"/>
          <w:sz w:val="22"/>
          <w:szCs w:val="22"/>
        </w:rPr>
        <w:t xml:space="preserve"> </w:t>
      </w:r>
      <w:r w:rsidRPr="00650595">
        <w:rPr>
          <w:rFonts w:ascii="Arial" w:hAnsi="Arial" w:cs="Arial"/>
          <w:sz w:val="22"/>
          <w:szCs w:val="22"/>
        </w:rPr>
        <w:t>AEC-1</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Schedule 1</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Page 1 of 1</w:t>
      </w:r>
    </w:p>
    <w:p w:rsidR="00D32D2D" w:rsidRDefault="00D32D2D" w:rsidP="00650595">
      <w:pPr>
        <w:ind w:hanging="540"/>
      </w:pPr>
    </w:p>
    <w:p w:rsidR="00D32D2D" w:rsidRDefault="00D32D2D" w:rsidP="00BF61C1"/>
    <w:p w:rsidR="00D32D2D" w:rsidRDefault="00D32D2D" w:rsidP="00BF61C1">
      <w:pPr>
        <w:rPr>
          <w:b/>
        </w:rPr>
      </w:pPr>
    </w:p>
    <w:p w:rsidR="00D32D2D" w:rsidRDefault="00D32D2D" w:rsidP="00BF61C1">
      <w:pPr>
        <w:rPr>
          <w:b/>
        </w:rPr>
      </w:pPr>
    </w:p>
    <w:p w:rsidR="00D32D2D" w:rsidRPr="00620B80" w:rsidRDefault="00D32D2D" w:rsidP="009B2C0D">
      <w:pPr>
        <w:jc w:val="center"/>
        <w:rPr>
          <w:b/>
          <w:sz w:val="32"/>
          <w:szCs w:val="32"/>
        </w:rPr>
      </w:pPr>
      <w:r w:rsidRPr="00620B80">
        <w:rPr>
          <w:b/>
          <w:sz w:val="32"/>
          <w:szCs w:val="32"/>
        </w:rPr>
        <w:t xml:space="preserve">National </w:t>
      </w:r>
      <w:r>
        <w:rPr>
          <w:b/>
          <w:sz w:val="32"/>
          <w:szCs w:val="32"/>
        </w:rPr>
        <w:t xml:space="preserve">Employer </w:t>
      </w:r>
      <w:r w:rsidRPr="00620B80">
        <w:rPr>
          <w:b/>
          <w:sz w:val="32"/>
          <w:szCs w:val="32"/>
        </w:rPr>
        <w:t>Health</w:t>
      </w:r>
      <w:r>
        <w:rPr>
          <w:b/>
          <w:sz w:val="32"/>
          <w:szCs w:val="32"/>
        </w:rPr>
        <w:t xml:space="preserve"> Plan Average Annual Cost Increases, </w:t>
      </w:r>
      <w:r w:rsidRPr="00620B80">
        <w:rPr>
          <w:b/>
          <w:sz w:val="32"/>
          <w:szCs w:val="32"/>
        </w:rPr>
        <w:t>200</w:t>
      </w:r>
      <w:r>
        <w:rPr>
          <w:b/>
          <w:sz w:val="32"/>
          <w:szCs w:val="32"/>
        </w:rPr>
        <w:t>1-2012</w:t>
      </w:r>
    </w:p>
    <w:p w:rsidR="00D32D2D" w:rsidRDefault="00D32D2D" w:rsidP="00403B33">
      <w:pPr>
        <w:rPr>
          <w:sz w:val="24"/>
          <w:szCs w:val="24"/>
        </w:rPr>
      </w:pPr>
    </w:p>
    <w:p w:rsidR="00D32D2D" w:rsidRDefault="003A1B4D" w:rsidP="004768E6">
      <w:r w:rsidRPr="003A1B4D">
        <w:rPr>
          <w:i/>
          <w:noProof/>
        </w:rPr>
        <w:pict>
          <v:shape id="Chart 1" o:spid="_x0000_i1025" type="#_x0000_t75" style="width:434.4pt;height:293.4pt;visibility:visible">
            <v:imagedata r:id="rId13" o:title="" cropbottom="-34f"/>
          </v:shape>
        </w:pict>
      </w:r>
      <w:r w:rsidR="00D32D2D">
        <w:rPr>
          <w:sz w:val="24"/>
          <w:szCs w:val="24"/>
        </w:rPr>
        <w:br w:type="page"/>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Florida Public Service</w:t>
      </w:r>
      <w:r>
        <w:rPr>
          <w:rFonts w:ascii="Arial" w:hAnsi="Arial" w:cs="Arial"/>
          <w:sz w:val="22"/>
          <w:szCs w:val="22"/>
        </w:rPr>
        <w:t xml:space="preserve"> </w:t>
      </w:r>
      <w:r w:rsidRPr="00650595">
        <w:rPr>
          <w:rFonts w:ascii="Arial" w:hAnsi="Arial" w:cs="Arial"/>
          <w:sz w:val="22"/>
          <w:szCs w:val="22"/>
        </w:rPr>
        <w:t>Commission</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Docket No. 110138-EI</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GULF POWER COMPANY</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Witness:  Anne E. Crumlish</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Exhibit No. AEC-1</w:t>
      </w:r>
    </w:p>
    <w:p w:rsidR="00D32D2D" w:rsidRPr="00650595" w:rsidRDefault="00D32D2D" w:rsidP="00650595">
      <w:pPr>
        <w:pStyle w:val="Header"/>
        <w:ind w:left="5760" w:hanging="540"/>
        <w:rPr>
          <w:rFonts w:ascii="Arial" w:hAnsi="Arial" w:cs="Arial"/>
          <w:sz w:val="22"/>
          <w:szCs w:val="22"/>
        </w:rPr>
      </w:pPr>
      <w:r>
        <w:rPr>
          <w:rFonts w:ascii="Arial" w:hAnsi="Arial" w:cs="Arial"/>
          <w:sz w:val="22"/>
          <w:szCs w:val="22"/>
        </w:rPr>
        <w:t>Schedule 2</w:t>
      </w:r>
    </w:p>
    <w:p w:rsidR="00D32D2D" w:rsidRPr="00650595" w:rsidRDefault="00D32D2D" w:rsidP="00650595">
      <w:pPr>
        <w:pStyle w:val="Header"/>
        <w:ind w:left="5760" w:hanging="540"/>
        <w:rPr>
          <w:rFonts w:ascii="Arial" w:hAnsi="Arial" w:cs="Arial"/>
          <w:sz w:val="22"/>
          <w:szCs w:val="22"/>
        </w:rPr>
      </w:pPr>
      <w:r w:rsidRPr="00650595">
        <w:rPr>
          <w:rFonts w:ascii="Arial" w:hAnsi="Arial" w:cs="Arial"/>
          <w:sz w:val="22"/>
          <w:szCs w:val="22"/>
        </w:rPr>
        <w:t>Page 1 of 1</w:t>
      </w:r>
    </w:p>
    <w:p w:rsidR="00D32D2D" w:rsidRDefault="00D32D2D" w:rsidP="00504CB1">
      <w:pPr>
        <w:pStyle w:val="Header"/>
        <w:ind w:left="5760"/>
      </w:pPr>
    </w:p>
    <w:p w:rsidR="00D32D2D" w:rsidRDefault="00D32D2D">
      <w:pPr>
        <w:jc w:val="center"/>
        <w:rPr>
          <w:b/>
          <w:sz w:val="32"/>
          <w:szCs w:val="32"/>
        </w:rPr>
      </w:pPr>
      <w:r w:rsidRPr="006F161E">
        <w:rPr>
          <w:b/>
          <w:sz w:val="32"/>
          <w:szCs w:val="32"/>
        </w:rPr>
        <w:t>Medical Plan Cost Mitigation Efforts</w:t>
      </w:r>
    </w:p>
    <w:p w:rsidR="00D32D2D" w:rsidRDefault="00D32D2D">
      <w:pPr>
        <w:jc w:val="center"/>
        <w:rPr>
          <w:b/>
          <w:sz w:val="32"/>
          <w:szCs w:val="32"/>
        </w:rPr>
      </w:pPr>
      <w:r w:rsidRPr="006F161E">
        <w:rPr>
          <w:b/>
          <w:sz w:val="32"/>
          <w:szCs w:val="32"/>
        </w:rPr>
        <w:t>For Active and Retired Employees</w:t>
      </w:r>
    </w:p>
    <w:p w:rsidR="00D32D2D" w:rsidRDefault="00D32D2D">
      <w:pPr>
        <w:jc w:val="center"/>
        <w:rPr>
          <w:b/>
          <w:sz w:val="32"/>
          <w:szCs w:val="32"/>
        </w:rPr>
      </w:pPr>
      <w:r w:rsidRPr="006F161E">
        <w:rPr>
          <w:b/>
          <w:sz w:val="32"/>
          <w:szCs w:val="32"/>
        </w:rPr>
        <w:t>2003 – 2012</w:t>
      </w:r>
    </w:p>
    <w:p w:rsidR="00D32D2D" w:rsidRDefault="00D32D2D" w:rsidP="00BF61C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6300"/>
        <w:gridCol w:w="1548"/>
      </w:tblGrid>
      <w:tr w:rsidR="00D32D2D" w:rsidRPr="00AA14B5">
        <w:tc>
          <w:tcPr>
            <w:tcW w:w="1008" w:type="dxa"/>
            <w:shd w:val="clear" w:color="auto" w:fill="D9D9D9"/>
          </w:tcPr>
          <w:p w:rsidR="00D32D2D" w:rsidRPr="00A556B3" w:rsidRDefault="00D32D2D" w:rsidP="001E1C15">
            <w:pPr>
              <w:jc w:val="center"/>
              <w:rPr>
                <w:b/>
                <w:sz w:val="22"/>
                <w:szCs w:val="22"/>
              </w:rPr>
            </w:pPr>
            <w:r w:rsidRPr="00AF2B8C">
              <w:rPr>
                <w:b/>
                <w:sz w:val="22"/>
                <w:szCs w:val="22"/>
              </w:rPr>
              <w:t>Year</w:t>
            </w:r>
          </w:p>
        </w:tc>
        <w:tc>
          <w:tcPr>
            <w:tcW w:w="6300" w:type="dxa"/>
            <w:shd w:val="clear" w:color="auto" w:fill="D9D9D9"/>
          </w:tcPr>
          <w:p w:rsidR="00D32D2D" w:rsidRPr="00A556B3" w:rsidRDefault="00D32D2D" w:rsidP="001E1C15">
            <w:pPr>
              <w:jc w:val="center"/>
              <w:rPr>
                <w:b/>
                <w:sz w:val="22"/>
                <w:szCs w:val="22"/>
              </w:rPr>
            </w:pPr>
            <w:r w:rsidRPr="00AF2B8C">
              <w:rPr>
                <w:b/>
                <w:sz w:val="22"/>
                <w:szCs w:val="22"/>
              </w:rPr>
              <w:t>Action Taken</w:t>
            </w:r>
          </w:p>
        </w:tc>
        <w:tc>
          <w:tcPr>
            <w:tcW w:w="1548" w:type="dxa"/>
            <w:shd w:val="clear" w:color="auto" w:fill="D9D9D9"/>
          </w:tcPr>
          <w:p w:rsidR="00D32D2D" w:rsidRDefault="00D32D2D" w:rsidP="001E1C15">
            <w:pPr>
              <w:jc w:val="center"/>
              <w:rPr>
                <w:b/>
                <w:sz w:val="22"/>
                <w:szCs w:val="22"/>
              </w:rPr>
            </w:pPr>
            <w:r w:rsidRPr="00AF2B8C">
              <w:rPr>
                <w:b/>
                <w:sz w:val="22"/>
                <w:szCs w:val="22"/>
              </w:rPr>
              <w:t>Estimated Savings</w:t>
            </w:r>
          </w:p>
          <w:p w:rsidR="00D32D2D" w:rsidRPr="00A556B3" w:rsidRDefault="00D32D2D" w:rsidP="001E1C15">
            <w:pPr>
              <w:jc w:val="center"/>
              <w:rPr>
                <w:b/>
                <w:sz w:val="22"/>
                <w:szCs w:val="22"/>
              </w:rPr>
            </w:pPr>
            <w:r>
              <w:rPr>
                <w:b/>
                <w:sz w:val="22"/>
                <w:szCs w:val="22"/>
              </w:rPr>
              <w:t>In The Year of Change</w:t>
            </w:r>
          </w:p>
        </w:tc>
      </w:tr>
      <w:tr w:rsidR="00D32D2D">
        <w:tc>
          <w:tcPr>
            <w:tcW w:w="1008" w:type="dxa"/>
          </w:tcPr>
          <w:p w:rsidR="00D32D2D" w:rsidRPr="00A556B3" w:rsidRDefault="00D32D2D" w:rsidP="001E1C15">
            <w:pPr>
              <w:jc w:val="center"/>
              <w:rPr>
                <w:b/>
                <w:sz w:val="22"/>
                <w:szCs w:val="22"/>
              </w:rPr>
            </w:pPr>
            <w:r w:rsidRPr="00AF2B8C">
              <w:rPr>
                <w:b/>
                <w:sz w:val="22"/>
                <w:szCs w:val="22"/>
              </w:rPr>
              <w:t>2003</w:t>
            </w:r>
          </w:p>
        </w:tc>
        <w:tc>
          <w:tcPr>
            <w:tcW w:w="6300" w:type="dxa"/>
          </w:tcPr>
          <w:p w:rsidR="00D32D2D" w:rsidRPr="00A556B3" w:rsidRDefault="00D32D2D" w:rsidP="001E1C15">
            <w:pPr>
              <w:rPr>
                <w:sz w:val="22"/>
                <w:szCs w:val="22"/>
              </w:rPr>
            </w:pPr>
            <w:r w:rsidRPr="00AF2B8C">
              <w:rPr>
                <w:sz w:val="22"/>
                <w:szCs w:val="22"/>
              </w:rPr>
              <w:t>Adopted Southern Company PPO plans and pooled claims experience to reduce plan fluctuations</w:t>
            </w:r>
          </w:p>
        </w:tc>
        <w:tc>
          <w:tcPr>
            <w:tcW w:w="1548" w:type="dxa"/>
          </w:tcPr>
          <w:p w:rsidR="00D32D2D" w:rsidRPr="00A556B3" w:rsidRDefault="00D32D2D" w:rsidP="001E1C15">
            <w:pPr>
              <w:jc w:val="center"/>
              <w:rPr>
                <w:sz w:val="22"/>
                <w:szCs w:val="22"/>
              </w:rPr>
            </w:pPr>
            <w:r w:rsidRPr="00AF2B8C">
              <w:rPr>
                <w:sz w:val="22"/>
                <w:szCs w:val="22"/>
              </w:rPr>
              <w:t>$830,000</w:t>
            </w:r>
          </w:p>
        </w:tc>
      </w:tr>
      <w:tr w:rsidR="00D32D2D" w:rsidRPr="00AA14B5">
        <w:tc>
          <w:tcPr>
            <w:tcW w:w="1008" w:type="dxa"/>
          </w:tcPr>
          <w:p w:rsidR="00D32D2D" w:rsidRPr="00A556B3" w:rsidRDefault="00D32D2D" w:rsidP="001E1C15">
            <w:pPr>
              <w:jc w:val="center"/>
              <w:rPr>
                <w:b/>
                <w:sz w:val="22"/>
                <w:szCs w:val="22"/>
              </w:rPr>
            </w:pPr>
            <w:r w:rsidRPr="00AF2B8C">
              <w:rPr>
                <w:b/>
                <w:sz w:val="22"/>
                <w:szCs w:val="22"/>
              </w:rPr>
              <w:t>2004</w:t>
            </w:r>
          </w:p>
        </w:tc>
        <w:tc>
          <w:tcPr>
            <w:tcW w:w="6300" w:type="dxa"/>
          </w:tcPr>
          <w:p w:rsidR="00D32D2D" w:rsidRPr="00A556B3" w:rsidRDefault="00D32D2D" w:rsidP="001E1C15">
            <w:pPr>
              <w:rPr>
                <w:sz w:val="22"/>
                <w:szCs w:val="22"/>
              </w:rPr>
            </w:pPr>
            <w:r w:rsidRPr="00AF2B8C">
              <w:rPr>
                <w:sz w:val="22"/>
                <w:szCs w:val="22"/>
              </w:rPr>
              <w:t>Consolidate</w:t>
            </w:r>
            <w:r>
              <w:rPr>
                <w:sz w:val="22"/>
                <w:szCs w:val="22"/>
              </w:rPr>
              <w:t>d</w:t>
            </w:r>
            <w:r w:rsidRPr="00AF2B8C">
              <w:rPr>
                <w:sz w:val="22"/>
                <w:szCs w:val="22"/>
              </w:rPr>
              <w:t xml:space="preserve"> Pharmacy Benefits Mgr</w:t>
            </w:r>
            <w:r w:rsidR="00500A00">
              <w:rPr>
                <w:sz w:val="22"/>
                <w:szCs w:val="22"/>
              </w:rPr>
              <w:t xml:space="preserve"> </w:t>
            </w:r>
            <w:r w:rsidRPr="00AF2B8C">
              <w:rPr>
                <w:sz w:val="22"/>
                <w:szCs w:val="22"/>
              </w:rPr>
              <w:t>(PBM) with Southern Company and competitively bid Rx benefit</w:t>
            </w:r>
          </w:p>
        </w:tc>
        <w:tc>
          <w:tcPr>
            <w:tcW w:w="1548" w:type="dxa"/>
          </w:tcPr>
          <w:p w:rsidR="00D32D2D" w:rsidRPr="00A556B3" w:rsidRDefault="00D32D2D" w:rsidP="001E1C15">
            <w:pPr>
              <w:jc w:val="center"/>
              <w:rPr>
                <w:sz w:val="22"/>
                <w:szCs w:val="22"/>
              </w:rPr>
            </w:pPr>
            <w:r w:rsidRPr="00AF2B8C">
              <w:rPr>
                <w:sz w:val="22"/>
                <w:szCs w:val="22"/>
              </w:rPr>
              <w:t>$100,000</w:t>
            </w:r>
          </w:p>
        </w:tc>
      </w:tr>
      <w:tr w:rsidR="00D32D2D" w:rsidRPr="00AA14B5">
        <w:tc>
          <w:tcPr>
            <w:tcW w:w="1008" w:type="dxa"/>
          </w:tcPr>
          <w:p w:rsidR="00D32D2D" w:rsidRPr="00A556B3" w:rsidRDefault="00D32D2D" w:rsidP="001E1C15">
            <w:pPr>
              <w:jc w:val="center"/>
              <w:rPr>
                <w:b/>
                <w:sz w:val="22"/>
                <w:szCs w:val="22"/>
              </w:rPr>
            </w:pPr>
            <w:r w:rsidRPr="00AF2B8C">
              <w:rPr>
                <w:b/>
                <w:sz w:val="22"/>
                <w:szCs w:val="22"/>
              </w:rPr>
              <w:t>2005</w:t>
            </w:r>
          </w:p>
        </w:tc>
        <w:tc>
          <w:tcPr>
            <w:tcW w:w="6300" w:type="dxa"/>
          </w:tcPr>
          <w:p w:rsidR="00D32D2D" w:rsidRPr="00A556B3" w:rsidRDefault="00D32D2D" w:rsidP="001E1C15">
            <w:pPr>
              <w:rPr>
                <w:sz w:val="22"/>
                <w:szCs w:val="22"/>
              </w:rPr>
            </w:pPr>
            <w:r w:rsidRPr="00AF2B8C">
              <w:rPr>
                <w:sz w:val="22"/>
                <w:szCs w:val="22"/>
              </w:rPr>
              <w:t>Further consolidation of PBM services</w:t>
            </w:r>
          </w:p>
        </w:tc>
        <w:tc>
          <w:tcPr>
            <w:tcW w:w="1548" w:type="dxa"/>
          </w:tcPr>
          <w:p w:rsidR="00D32D2D" w:rsidRPr="00A556B3" w:rsidRDefault="00D32D2D" w:rsidP="001E1C15">
            <w:pPr>
              <w:jc w:val="center"/>
              <w:rPr>
                <w:sz w:val="22"/>
                <w:szCs w:val="22"/>
              </w:rPr>
            </w:pPr>
            <w:r w:rsidRPr="00AF2B8C">
              <w:rPr>
                <w:sz w:val="22"/>
                <w:szCs w:val="22"/>
              </w:rPr>
              <w:t>$120,000</w:t>
            </w:r>
          </w:p>
        </w:tc>
      </w:tr>
      <w:tr w:rsidR="00D32D2D" w:rsidRPr="00AA14B5">
        <w:tc>
          <w:tcPr>
            <w:tcW w:w="1008" w:type="dxa"/>
          </w:tcPr>
          <w:p w:rsidR="00D32D2D" w:rsidRPr="00A556B3" w:rsidRDefault="00D32D2D" w:rsidP="001E1C15">
            <w:pPr>
              <w:jc w:val="center"/>
              <w:rPr>
                <w:b/>
                <w:sz w:val="22"/>
                <w:szCs w:val="22"/>
              </w:rPr>
            </w:pPr>
            <w:r w:rsidRPr="00AF2B8C">
              <w:rPr>
                <w:b/>
                <w:sz w:val="22"/>
                <w:szCs w:val="22"/>
              </w:rPr>
              <w:t>2006</w:t>
            </w:r>
          </w:p>
        </w:tc>
        <w:tc>
          <w:tcPr>
            <w:tcW w:w="6300" w:type="dxa"/>
          </w:tcPr>
          <w:p w:rsidR="00D32D2D" w:rsidRPr="00A556B3" w:rsidRDefault="00D32D2D" w:rsidP="001E1C15">
            <w:pPr>
              <w:rPr>
                <w:sz w:val="22"/>
                <w:szCs w:val="22"/>
              </w:rPr>
            </w:pPr>
            <w:r w:rsidRPr="00AF2B8C">
              <w:rPr>
                <w:sz w:val="22"/>
                <w:szCs w:val="22"/>
              </w:rPr>
              <w:t>Renegotiated PBM contract; negotiated lower admin fees; dependent verification audit; retiree drug subsidy reimbursements*</w:t>
            </w:r>
          </w:p>
        </w:tc>
        <w:tc>
          <w:tcPr>
            <w:tcW w:w="1548" w:type="dxa"/>
          </w:tcPr>
          <w:p w:rsidR="00D32D2D" w:rsidRPr="00A556B3" w:rsidRDefault="00D32D2D" w:rsidP="001E1C15">
            <w:pPr>
              <w:jc w:val="center"/>
              <w:rPr>
                <w:sz w:val="22"/>
                <w:szCs w:val="22"/>
              </w:rPr>
            </w:pPr>
            <w:r w:rsidRPr="00AF2B8C">
              <w:rPr>
                <w:sz w:val="22"/>
                <w:szCs w:val="22"/>
              </w:rPr>
              <w:t>$470,000</w:t>
            </w:r>
          </w:p>
        </w:tc>
      </w:tr>
      <w:tr w:rsidR="00D32D2D" w:rsidRPr="00AA14B5">
        <w:tc>
          <w:tcPr>
            <w:tcW w:w="1008" w:type="dxa"/>
          </w:tcPr>
          <w:p w:rsidR="00D32D2D" w:rsidRPr="00A556B3" w:rsidRDefault="00D32D2D" w:rsidP="001E1C15">
            <w:pPr>
              <w:jc w:val="center"/>
              <w:rPr>
                <w:b/>
                <w:sz w:val="22"/>
                <w:szCs w:val="22"/>
              </w:rPr>
            </w:pPr>
            <w:r w:rsidRPr="00AF2B8C">
              <w:rPr>
                <w:b/>
                <w:sz w:val="22"/>
                <w:szCs w:val="22"/>
              </w:rPr>
              <w:t>2007</w:t>
            </w:r>
          </w:p>
        </w:tc>
        <w:tc>
          <w:tcPr>
            <w:tcW w:w="6300" w:type="dxa"/>
          </w:tcPr>
          <w:p w:rsidR="00D32D2D" w:rsidRPr="00A556B3" w:rsidRDefault="00D32D2D" w:rsidP="001E1C15">
            <w:pPr>
              <w:rPr>
                <w:sz w:val="22"/>
                <w:szCs w:val="22"/>
              </w:rPr>
            </w:pPr>
            <w:r w:rsidRPr="00AF2B8C">
              <w:rPr>
                <w:sz w:val="22"/>
                <w:szCs w:val="22"/>
              </w:rPr>
              <w:t>Retiree drug subsidy reimbursements*</w:t>
            </w:r>
          </w:p>
        </w:tc>
        <w:tc>
          <w:tcPr>
            <w:tcW w:w="1548" w:type="dxa"/>
          </w:tcPr>
          <w:p w:rsidR="00D32D2D" w:rsidRPr="00A556B3" w:rsidRDefault="00D32D2D" w:rsidP="001E1C15">
            <w:pPr>
              <w:jc w:val="center"/>
              <w:rPr>
                <w:sz w:val="22"/>
                <w:szCs w:val="22"/>
              </w:rPr>
            </w:pPr>
            <w:r w:rsidRPr="00AF2B8C">
              <w:rPr>
                <w:sz w:val="22"/>
                <w:szCs w:val="22"/>
              </w:rPr>
              <w:t>$300,000</w:t>
            </w:r>
          </w:p>
        </w:tc>
      </w:tr>
      <w:tr w:rsidR="00D32D2D" w:rsidRPr="00AA14B5">
        <w:tc>
          <w:tcPr>
            <w:tcW w:w="1008" w:type="dxa"/>
          </w:tcPr>
          <w:p w:rsidR="00D32D2D" w:rsidRPr="00A556B3" w:rsidRDefault="00D32D2D" w:rsidP="001E1C15">
            <w:pPr>
              <w:jc w:val="center"/>
              <w:rPr>
                <w:b/>
                <w:sz w:val="22"/>
                <w:szCs w:val="22"/>
              </w:rPr>
            </w:pPr>
            <w:r w:rsidRPr="00AF2B8C">
              <w:rPr>
                <w:b/>
                <w:sz w:val="22"/>
                <w:szCs w:val="22"/>
              </w:rPr>
              <w:t>2008</w:t>
            </w:r>
          </w:p>
        </w:tc>
        <w:tc>
          <w:tcPr>
            <w:tcW w:w="6300" w:type="dxa"/>
          </w:tcPr>
          <w:p w:rsidR="00D32D2D" w:rsidRPr="00A556B3" w:rsidRDefault="00D32D2D" w:rsidP="001E1C15">
            <w:pPr>
              <w:rPr>
                <w:sz w:val="22"/>
                <w:szCs w:val="22"/>
              </w:rPr>
            </w:pPr>
            <w:r w:rsidRPr="00AF2B8C">
              <w:rPr>
                <w:sz w:val="22"/>
                <w:szCs w:val="22"/>
              </w:rPr>
              <w:t>Renegotiated PBM contract; dependent eligibility audit; disease management implemented; retiree drug subsidy  reimbursements*</w:t>
            </w:r>
          </w:p>
        </w:tc>
        <w:tc>
          <w:tcPr>
            <w:tcW w:w="1548" w:type="dxa"/>
          </w:tcPr>
          <w:p w:rsidR="00D32D2D" w:rsidRPr="00A556B3" w:rsidRDefault="00D32D2D" w:rsidP="001E1C15">
            <w:pPr>
              <w:jc w:val="center"/>
              <w:rPr>
                <w:sz w:val="22"/>
                <w:szCs w:val="22"/>
              </w:rPr>
            </w:pPr>
            <w:r w:rsidRPr="00AF2B8C">
              <w:rPr>
                <w:sz w:val="22"/>
                <w:szCs w:val="22"/>
              </w:rPr>
              <w:t>$530,000</w:t>
            </w:r>
          </w:p>
        </w:tc>
      </w:tr>
      <w:tr w:rsidR="00D32D2D" w:rsidRPr="00AA14B5">
        <w:tc>
          <w:tcPr>
            <w:tcW w:w="1008" w:type="dxa"/>
          </w:tcPr>
          <w:p w:rsidR="00D32D2D" w:rsidRPr="00A556B3" w:rsidRDefault="00D32D2D" w:rsidP="001E1C15">
            <w:pPr>
              <w:jc w:val="center"/>
              <w:rPr>
                <w:b/>
                <w:sz w:val="22"/>
                <w:szCs w:val="22"/>
              </w:rPr>
            </w:pPr>
            <w:r w:rsidRPr="00AF2B8C">
              <w:rPr>
                <w:b/>
                <w:sz w:val="22"/>
                <w:szCs w:val="22"/>
              </w:rPr>
              <w:t>2009</w:t>
            </w:r>
          </w:p>
        </w:tc>
        <w:tc>
          <w:tcPr>
            <w:tcW w:w="6300" w:type="dxa"/>
          </w:tcPr>
          <w:p w:rsidR="00D32D2D" w:rsidRPr="00A556B3" w:rsidRDefault="00D32D2D" w:rsidP="001E1C15">
            <w:pPr>
              <w:rPr>
                <w:sz w:val="22"/>
                <w:szCs w:val="22"/>
              </w:rPr>
            </w:pPr>
            <w:r w:rsidRPr="00AF2B8C">
              <w:rPr>
                <w:sz w:val="22"/>
                <w:szCs w:val="22"/>
              </w:rPr>
              <w:t>Dependent eligibility audit; retiree drug subsidy reimbursements*</w:t>
            </w:r>
          </w:p>
        </w:tc>
        <w:tc>
          <w:tcPr>
            <w:tcW w:w="1548" w:type="dxa"/>
          </w:tcPr>
          <w:p w:rsidR="00D32D2D" w:rsidRPr="00A556B3" w:rsidRDefault="00D32D2D" w:rsidP="001E1C15">
            <w:pPr>
              <w:jc w:val="center"/>
              <w:rPr>
                <w:sz w:val="22"/>
                <w:szCs w:val="22"/>
              </w:rPr>
            </w:pPr>
            <w:r w:rsidRPr="00AF2B8C">
              <w:rPr>
                <w:sz w:val="22"/>
                <w:szCs w:val="22"/>
              </w:rPr>
              <w:t>$420,000</w:t>
            </w:r>
          </w:p>
        </w:tc>
      </w:tr>
      <w:tr w:rsidR="00D32D2D" w:rsidRPr="00AA14B5">
        <w:tc>
          <w:tcPr>
            <w:tcW w:w="1008" w:type="dxa"/>
          </w:tcPr>
          <w:p w:rsidR="00D32D2D" w:rsidRPr="00A556B3" w:rsidRDefault="00D32D2D" w:rsidP="001E1C15">
            <w:pPr>
              <w:jc w:val="center"/>
              <w:rPr>
                <w:b/>
                <w:sz w:val="22"/>
                <w:szCs w:val="22"/>
              </w:rPr>
            </w:pPr>
            <w:r w:rsidRPr="00AF2B8C">
              <w:rPr>
                <w:b/>
                <w:sz w:val="22"/>
                <w:szCs w:val="22"/>
              </w:rPr>
              <w:t>2010</w:t>
            </w:r>
          </w:p>
        </w:tc>
        <w:tc>
          <w:tcPr>
            <w:tcW w:w="6300" w:type="dxa"/>
          </w:tcPr>
          <w:p w:rsidR="00D32D2D" w:rsidRPr="00A556B3" w:rsidRDefault="00D32D2D" w:rsidP="001E1C15">
            <w:pPr>
              <w:rPr>
                <w:sz w:val="22"/>
                <w:szCs w:val="22"/>
              </w:rPr>
            </w:pPr>
            <w:r w:rsidRPr="00AF2B8C">
              <w:rPr>
                <w:sz w:val="22"/>
                <w:szCs w:val="22"/>
              </w:rPr>
              <w:t>Renegotiated PBM contract; implemented Rx purchasing controls; retiree drug subsidy reimbursements*</w:t>
            </w:r>
          </w:p>
        </w:tc>
        <w:tc>
          <w:tcPr>
            <w:tcW w:w="1548" w:type="dxa"/>
          </w:tcPr>
          <w:p w:rsidR="00D32D2D" w:rsidRPr="00A556B3" w:rsidRDefault="00D32D2D" w:rsidP="001E1C15">
            <w:pPr>
              <w:jc w:val="center"/>
              <w:rPr>
                <w:sz w:val="22"/>
                <w:szCs w:val="22"/>
              </w:rPr>
            </w:pPr>
            <w:r w:rsidRPr="00AF2B8C">
              <w:rPr>
                <w:sz w:val="22"/>
                <w:szCs w:val="22"/>
              </w:rPr>
              <w:t>$640,000</w:t>
            </w:r>
          </w:p>
        </w:tc>
      </w:tr>
      <w:tr w:rsidR="00D32D2D" w:rsidRPr="00AA14B5">
        <w:tc>
          <w:tcPr>
            <w:tcW w:w="1008" w:type="dxa"/>
          </w:tcPr>
          <w:p w:rsidR="00D32D2D" w:rsidRPr="00A556B3" w:rsidRDefault="00D32D2D" w:rsidP="001E1C15">
            <w:pPr>
              <w:jc w:val="center"/>
              <w:rPr>
                <w:b/>
                <w:sz w:val="22"/>
                <w:szCs w:val="22"/>
              </w:rPr>
            </w:pPr>
            <w:r w:rsidRPr="00AF2B8C">
              <w:rPr>
                <w:b/>
                <w:sz w:val="22"/>
                <w:szCs w:val="22"/>
              </w:rPr>
              <w:t>2011</w:t>
            </w:r>
          </w:p>
        </w:tc>
        <w:tc>
          <w:tcPr>
            <w:tcW w:w="6300" w:type="dxa"/>
          </w:tcPr>
          <w:p w:rsidR="00D32D2D" w:rsidRPr="00A556B3" w:rsidRDefault="00D32D2D" w:rsidP="001E1C15">
            <w:pPr>
              <w:rPr>
                <w:sz w:val="22"/>
                <w:szCs w:val="22"/>
              </w:rPr>
            </w:pPr>
            <w:r w:rsidRPr="00AF2B8C">
              <w:rPr>
                <w:sz w:val="22"/>
                <w:szCs w:val="22"/>
              </w:rPr>
              <w:t>Early retirement reinsurance program funds</w:t>
            </w:r>
            <w:r>
              <w:rPr>
                <w:sz w:val="22"/>
                <w:szCs w:val="22"/>
              </w:rPr>
              <w:t>**</w:t>
            </w:r>
            <w:r w:rsidRPr="00AF2B8C">
              <w:rPr>
                <w:sz w:val="22"/>
                <w:szCs w:val="22"/>
              </w:rPr>
              <w:t>; retiree drug subsidy reimbursements*</w:t>
            </w:r>
          </w:p>
        </w:tc>
        <w:tc>
          <w:tcPr>
            <w:tcW w:w="1548" w:type="dxa"/>
          </w:tcPr>
          <w:p w:rsidR="00D32D2D" w:rsidRPr="00A556B3" w:rsidRDefault="00D32D2D" w:rsidP="001E1C15">
            <w:pPr>
              <w:jc w:val="center"/>
              <w:rPr>
                <w:sz w:val="22"/>
                <w:szCs w:val="22"/>
              </w:rPr>
            </w:pPr>
            <w:r w:rsidRPr="00AF2B8C">
              <w:rPr>
                <w:sz w:val="22"/>
                <w:szCs w:val="22"/>
              </w:rPr>
              <w:t>$920,000</w:t>
            </w:r>
          </w:p>
        </w:tc>
      </w:tr>
      <w:tr w:rsidR="00D32D2D" w:rsidRPr="00AA14B5">
        <w:tc>
          <w:tcPr>
            <w:tcW w:w="1008" w:type="dxa"/>
          </w:tcPr>
          <w:p w:rsidR="00D32D2D" w:rsidRPr="00A556B3" w:rsidRDefault="00D32D2D" w:rsidP="001E1C15">
            <w:pPr>
              <w:jc w:val="center"/>
              <w:rPr>
                <w:b/>
                <w:sz w:val="22"/>
                <w:szCs w:val="22"/>
              </w:rPr>
            </w:pPr>
            <w:r w:rsidRPr="00AF2B8C">
              <w:rPr>
                <w:b/>
                <w:sz w:val="22"/>
                <w:szCs w:val="22"/>
              </w:rPr>
              <w:t>2012</w:t>
            </w:r>
          </w:p>
        </w:tc>
        <w:tc>
          <w:tcPr>
            <w:tcW w:w="6300" w:type="dxa"/>
          </w:tcPr>
          <w:p w:rsidR="00D32D2D" w:rsidRPr="00A556B3" w:rsidRDefault="00D32D2D" w:rsidP="001E1C15">
            <w:pPr>
              <w:rPr>
                <w:sz w:val="22"/>
                <w:szCs w:val="22"/>
              </w:rPr>
            </w:pPr>
            <w:r w:rsidRPr="00AF2B8C">
              <w:rPr>
                <w:sz w:val="22"/>
                <w:szCs w:val="22"/>
              </w:rPr>
              <w:t>Early retirement reinsurance program funds**; retiree drug subsidy reimbursements*; implement Rx purchasing controls for Medicare retirees</w:t>
            </w:r>
          </w:p>
        </w:tc>
        <w:tc>
          <w:tcPr>
            <w:tcW w:w="1548" w:type="dxa"/>
          </w:tcPr>
          <w:p w:rsidR="00D32D2D" w:rsidRPr="00A556B3" w:rsidRDefault="00D32D2D" w:rsidP="001E1C15">
            <w:pPr>
              <w:jc w:val="center"/>
              <w:rPr>
                <w:sz w:val="22"/>
                <w:szCs w:val="22"/>
              </w:rPr>
            </w:pPr>
            <w:r w:rsidRPr="00AF2B8C">
              <w:rPr>
                <w:sz w:val="22"/>
                <w:szCs w:val="22"/>
              </w:rPr>
              <w:t>$650,000</w:t>
            </w:r>
          </w:p>
        </w:tc>
      </w:tr>
    </w:tbl>
    <w:p w:rsidR="00D32D2D" w:rsidRPr="00AA14B5" w:rsidRDefault="00D32D2D" w:rsidP="00BF61C1"/>
    <w:p w:rsidR="00D32D2D" w:rsidRPr="00153FB2" w:rsidRDefault="00D32D2D" w:rsidP="00BF61C1">
      <w:pPr>
        <w:rPr>
          <w:sz w:val="24"/>
          <w:szCs w:val="24"/>
        </w:rPr>
      </w:pPr>
      <w:r w:rsidRPr="00153FB2">
        <w:t>* Title I of the Medicare Prescription Drug, Improvement, and Modernization Act of 2003 (MMA) contains the provisions governing the special retiree drug subsidies and other options that were designed to encourage employers and unions to continue providing high quality prescription drug coverage to their retirees.</w:t>
      </w:r>
      <w:r w:rsidRPr="00153FB2">
        <w:rPr>
          <w:rFonts w:ascii="Verdana" w:hAnsi="Verdana"/>
          <w:sz w:val="18"/>
          <w:szCs w:val="18"/>
        </w:rPr>
        <w:t xml:space="preserve">  </w:t>
      </w:r>
      <w:r w:rsidRPr="00153FB2">
        <w:t>RDS reimburses the Plan for certain prescription drug costs incurred by retiree medical plan participants.  Part of the subsidy is used to reduce costs for retirees insured under the Plan.</w:t>
      </w:r>
    </w:p>
    <w:p w:rsidR="00D32D2D" w:rsidRPr="00153FB2" w:rsidRDefault="00D32D2D" w:rsidP="00BF61C1">
      <w:pPr>
        <w:spacing w:line="480" w:lineRule="auto"/>
        <w:rPr>
          <w:sz w:val="24"/>
          <w:szCs w:val="24"/>
        </w:rPr>
      </w:pPr>
    </w:p>
    <w:p w:rsidR="00D32D2D" w:rsidRPr="009F06D2" w:rsidRDefault="00D32D2D" w:rsidP="000772B4">
      <w:pPr>
        <w:rPr>
          <w:color w:val="C00000"/>
          <w:sz w:val="24"/>
          <w:szCs w:val="24"/>
        </w:rPr>
      </w:pPr>
      <w:r w:rsidRPr="0017692C">
        <w:t>*</w:t>
      </w:r>
      <w:r w:rsidRPr="00153FB2">
        <w:t xml:space="preserve">* </w:t>
      </w:r>
      <w:r w:rsidRPr="00153FB2">
        <w:rPr>
          <w:rStyle w:val="Strong"/>
          <w:b w:val="0"/>
        </w:rPr>
        <w:t>The Early Retiree Reinsurance Program (ERRP)</w:t>
      </w:r>
      <w:r w:rsidRPr="00153FB2">
        <w:t xml:space="preserve"> provides reimbursement to participating employment-based plans for a portion of the costs of health benefits for early retirees and early retirees' spouses, surviving spouses, and dependents. </w:t>
      </w:r>
      <w:r>
        <w:t xml:space="preserve"> </w:t>
      </w:r>
      <w:r w:rsidRPr="00153FB2">
        <w:t>The program was authorized in the Affordable Care Act.</w:t>
      </w:r>
    </w:p>
    <w:sectPr w:rsidR="00D32D2D" w:rsidRPr="009F06D2" w:rsidSect="00D32D2D">
      <w:type w:val="continuous"/>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0E" w:rsidRDefault="00E0330E" w:rsidP="00F16452">
      <w:r>
        <w:separator/>
      </w:r>
    </w:p>
  </w:endnote>
  <w:endnote w:type="continuationSeparator" w:id="0">
    <w:p w:rsidR="00E0330E" w:rsidRDefault="00E0330E" w:rsidP="00F164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C9A" w:rsidRDefault="008B5C9A" w:rsidP="00302FDC">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C9A" w:rsidRDefault="008B5C9A" w:rsidP="00302FDC">
    <w:pPr>
      <w:pStyle w:val="Footer"/>
      <w:jc w:val="right"/>
    </w:pPr>
  </w:p>
  <w:p w:rsidR="008B5C9A" w:rsidRPr="00500A00" w:rsidRDefault="008B5C9A">
    <w:pPr>
      <w:pStyle w:val="Footer"/>
      <w:rPr>
        <w:rFonts w:ascii="Arial" w:hAnsi="Arial" w:cs="Arial"/>
        <w:sz w:val="24"/>
        <w:szCs w:val="24"/>
      </w:rPr>
    </w:pPr>
    <w:r w:rsidRPr="00500A00">
      <w:rPr>
        <w:rFonts w:ascii="Arial" w:hAnsi="Arial" w:cs="Arial"/>
        <w:sz w:val="24"/>
        <w:szCs w:val="24"/>
      </w:rPr>
      <w:t>Docket No. 110138-EI</w:t>
    </w:r>
    <w:r w:rsidRPr="00500A00">
      <w:rPr>
        <w:rStyle w:val="PageNumber"/>
        <w:rFonts w:ascii="Arial" w:hAnsi="Arial" w:cs="Arial"/>
        <w:sz w:val="24"/>
        <w:szCs w:val="24"/>
      </w:rPr>
      <w:tab/>
      <w:t xml:space="preserve">Page </w:t>
    </w:r>
    <w:r w:rsidR="003A1B4D" w:rsidRPr="00500A00">
      <w:rPr>
        <w:rStyle w:val="PageNumber"/>
        <w:rFonts w:ascii="Arial" w:hAnsi="Arial" w:cs="Arial"/>
        <w:sz w:val="24"/>
        <w:szCs w:val="24"/>
      </w:rPr>
      <w:fldChar w:fldCharType="begin"/>
    </w:r>
    <w:r w:rsidRPr="00500A00">
      <w:rPr>
        <w:rStyle w:val="PageNumber"/>
        <w:rFonts w:ascii="Arial" w:hAnsi="Arial" w:cs="Arial"/>
        <w:sz w:val="24"/>
        <w:szCs w:val="24"/>
      </w:rPr>
      <w:instrText xml:space="preserve"> PAGE </w:instrText>
    </w:r>
    <w:r w:rsidR="003A1B4D" w:rsidRPr="00500A00">
      <w:rPr>
        <w:rStyle w:val="PageNumber"/>
        <w:rFonts w:ascii="Arial" w:hAnsi="Arial" w:cs="Arial"/>
        <w:sz w:val="24"/>
        <w:szCs w:val="24"/>
      </w:rPr>
      <w:fldChar w:fldCharType="separate"/>
    </w:r>
    <w:r w:rsidR="00CC0AA3">
      <w:rPr>
        <w:rStyle w:val="PageNumber"/>
        <w:rFonts w:ascii="Arial" w:hAnsi="Arial" w:cs="Arial"/>
        <w:noProof/>
        <w:sz w:val="24"/>
        <w:szCs w:val="24"/>
      </w:rPr>
      <w:t>13</w:t>
    </w:r>
    <w:r w:rsidR="003A1B4D" w:rsidRPr="00500A00">
      <w:rPr>
        <w:rStyle w:val="PageNumber"/>
        <w:rFonts w:ascii="Arial" w:hAnsi="Arial" w:cs="Arial"/>
        <w:sz w:val="24"/>
        <w:szCs w:val="24"/>
      </w:rPr>
      <w:fldChar w:fldCharType="end"/>
    </w:r>
    <w:r w:rsidRPr="00500A00">
      <w:rPr>
        <w:rStyle w:val="PageNumber"/>
        <w:rFonts w:ascii="Arial" w:hAnsi="Arial" w:cs="Arial"/>
        <w:sz w:val="24"/>
        <w:szCs w:val="24"/>
      </w:rPr>
      <w:tab/>
      <w:t>Witness:  Twery / Crumlish</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0D" w:rsidRDefault="001940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C9A" w:rsidRDefault="008B5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0E" w:rsidRDefault="00E0330E" w:rsidP="00F16452">
      <w:r>
        <w:separator/>
      </w:r>
    </w:p>
  </w:footnote>
  <w:footnote w:type="continuationSeparator" w:id="0">
    <w:p w:rsidR="00E0330E" w:rsidRDefault="00E0330E" w:rsidP="00F16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926DA72"/>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901E3F00"/>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30685122"/>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9A80BA72"/>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96AE0818"/>
    <w:lvl w:ilvl="0">
      <w:start w:val="1"/>
      <w:numFmt w:val="decimal"/>
      <w:lvlText w:val="%1."/>
      <w:lvlJc w:val="left"/>
      <w:pPr>
        <w:tabs>
          <w:tab w:val="num" w:pos="360"/>
        </w:tabs>
        <w:ind w:left="360" w:hanging="360"/>
      </w:pPr>
    </w:lvl>
  </w:abstractNum>
  <w:abstractNum w:abstractNumId="5">
    <w:nsid w:val="FFFFFF89"/>
    <w:multiLevelType w:val="singleLevel"/>
    <w:tmpl w:val="F6384282"/>
    <w:lvl w:ilvl="0">
      <w:start w:val="1"/>
      <w:numFmt w:val="bullet"/>
      <w:lvlText w:val=""/>
      <w:lvlJc w:val="left"/>
      <w:pPr>
        <w:tabs>
          <w:tab w:val="num" w:pos="360"/>
        </w:tabs>
        <w:ind w:left="360" w:hanging="360"/>
      </w:pPr>
      <w:rPr>
        <w:rFonts w:ascii="Symbol" w:hAnsi="Symbol" w:hint="default"/>
      </w:rPr>
    </w:lvl>
  </w:abstractNum>
  <w:abstractNum w:abstractNumId="6">
    <w:nsid w:val="1EA2770E"/>
    <w:multiLevelType w:val="multilevel"/>
    <w:tmpl w:val="5366F1FC"/>
    <w:lvl w:ilvl="0">
      <w:start w:val="1"/>
      <w:numFmt w:val="bullet"/>
      <w:lvlText w:val=""/>
      <w:lvlJc w:val="left"/>
      <w:pPr>
        <w:tabs>
          <w:tab w:val="num" w:pos="1512"/>
        </w:tabs>
        <w:ind w:left="1368" w:hanging="216"/>
      </w:pPr>
      <w:rPr>
        <w:rFonts w:ascii="Symbol" w:hAnsi="Symbol" w:hint="default"/>
        <w:b w:val="0"/>
        <w:i w:val="0"/>
        <w:position w:val="0"/>
        <w:sz w:val="23"/>
      </w:rPr>
    </w:lvl>
    <w:lvl w:ilvl="1">
      <w:start w:val="17"/>
      <w:numFmt w:val="bullet"/>
      <w:lvlText w:val=""/>
      <w:lvlJc w:val="left"/>
      <w:pPr>
        <w:tabs>
          <w:tab w:val="num" w:pos="1728"/>
        </w:tabs>
        <w:ind w:left="1728" w:hanging="360"/>
      </w:pPr>
      <w:rPr>
        <w:rFonts w:ascii="Symbol" w:hAnsi="Symbol" w:hint="default"/>
        <w:b w:val="0"/>
        <w:i w:val="0"/>
        <w:position w:val="2"/>
        <w:sz w:val="23"/>
      </w:rPr>
    </w:lvl>
    <w:lvl w:ilvl="2">
      <w:start w:val="1"/>
      <w:numFmt w:val="bullet"/>
      <w:lvlRestart w:val="0"/>
      <w:lvlText w:val="–"/>
      <w:lvlJc w:val="left"/>
      <w:pPr>
        <w:tabs>
          <w:tab w:val="num" w:pos="2045"/>
        </w:tabs>
        <w:ind w:left="1886" w:hanging="201"/>
      </w:pPr>
      <w:rPr>
        <w:rFonts w:ascii="Times" w:hAnsi="Times" w:hint="default"/>
        <w:b w:val="0"/>
        <w:i w:val="0"/>
        <w:sz w:val="23"/>
      </w:rPr>
    </w:lvl>
    <w:lvl w:ilvl="3">
      <w:start w:val="1"/>
      <w:numFmt w:val="none"/>
      <w:lvlText w:val=""/>
      <w:lvlJc w:val="left"/>
      <w:pPr>
        <w:tabs>
          <w:tab w:val="num" w:pos="2592"/>
        </w:tabs>
        <w:ind w:left="2592" w:hanging="360"/>
      </w:pPr>
      <w:rPr>
        <w:rFonts w:cs="Times New Roman" w:hint="default"/>
      </w:rPr>
    </w:lvl>
    <w:lvl w:ilvl="4">
      <w:start w:val="1"/>
      <w:numFmt w:val="none"/>
      <w:lvlText w:val=""/>
      <w:lvlJc w:val="left"/>
      <w:pPr>
        <w:tabs>
          <w:tab w:val="num" w:pos="2952"/>
        </w:tabs>
        <w:ind w:left="2952" w:hanging="360"/>
      </w:pPr>
      <w:rPr>
        <w:rFonts w:cs="Times New Roman" w:hint="default"/>
      </w:rPr>
    </w:lvl>
    <w:lvl w:ilvl="5">
      <w:start w:val="1"/>
      <w:numFmt w:val="none"/>
      <w:lvlText w:val=""/>
      <w:lvlJc w:val="left"/>
      <w:pPr>
        <w:tabs>
          <w:tab w:val="num" w:pos="3312"/>
        </w:tabs>
        <w:ind w:left="3312" w:hanging="360"/>
      </w:pPr>
      <w:rPr>
        <w:rFonts w:cs="Times New Roman" w:hint="default"/>
      </w:rPr>
    </w:lvl>
    <w:lvl w:ilvl="6">
      <w:start w:val="1"/>
      <w:numFmt w:val="none"/>
      <w:lvlText w:val=""/>
      <w:lvlJc w:val="left"/>
      <w:pPr>
        <w:tabs>
          <w:tab w:val="num" w:pos="3672"/>
        </w:tabs>
        <w:ind w:left="3672" w:hanging="360"/>
      </w:pPr>
      <w:rPr>
        <w:rFonts w:cs="Times New Roman" w:hint="default"/>
      </w:rPr>
    </w:lvl>
    <w:lvl w:ilvl="7">
      <w:start w:val="1"/>
      <w:numFmt w:val="none"/>
      <w:lvlText w:val=""/>
      <w:lvlJc w:val="left"/>
      <w:pPr>
        <w:tabs>
          <w:tab w:val="num" w:pos="4032"/>
        </w:tabs>
        <w:ind w:left="4032" w:hanging="360"/>
      </w:pPr>
      <w:rPr>
        <w:rFonts w:cs="Times New Roman" w:hint="default"/>
      </w:rPr>
    </w:lvl>
    <w:lvl w:ilvl="8">
      <w:start w:val="1"/>
      <w:numFmt w:val="none"/>
      <w:lvlText w:val=""/>
      <w:lvlJc w:val="left"/>
      <w:pPr>
        <w:tabs>
          <w:tab w:val="num" w:pos="4392"/>
        </w:tabs>
        <w:ind w:left="4392" w:hanging="360"/>
      </w:pPr>
      <w:rPr>
        <w:rFonts w:cs="Times New Roman" w:hint="default"/>
      </w:rPr>
    </w:lvl>
  </w:abstractNum>
  <w:abstractNum w:abstractNumId="7">
    <w:nsid w:val="1F4264EB"/>
    <w:multiLevelType w:val="hybridMultilevel"/>
    <w:tmpl w:val="A4B8AA7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1FB51E10"/>
    <w:multiLevelType w:val="hybridMultilevel"/>
    <w:tmpl w:val="46A6E638"/>
    <w:lvl w:ilvl="0" w:tplc="982650E6">
      <w:start w:val="1"/>
      <w:numFmt w:val="none"/>
      <w:lvlText w:val="%1Q."/>
      <w:lvlJc w:val="left"/>
      <w:pPr>
        <w:tabs>
          <w:tab w:val="num" w:pos="720"/>
        </w:tabs>
        <w:ind w:left="720" w:hanging="720"/>
      </w:pPr>
      <w:rPr>
        <w:rFonts w:ascii="Arial" w:hAnsi="Arial" w:cs="Arial"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1FA1DF2"/>
    <w:multiLevelType w:val="hybridMultilevel"/>
    <w:tmpl w:val="F60025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236A572A"/>
    <w:multiLevelType w:val="hybridMultilevel"/>
    <w:tmpl w:val="51602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B7B5635"/>
    <w:multiLevelType w:val="hybridMultilevel"/>
    <w:tmpl w:val="F8A21118"/>
    <w:lvl w:ilvl="0" w:tplc="43D6E5FE">
      <w:start w:val="1"/>
      <w:numFmt w:val="none"/>
      <w:lvlText w:val="%1Q."/>
      <w:lvlJc w:val="left"/>
      <w:pPr>
        <w:tabs>
          <w:tab w:val="num" w:pos="720"/>
        </w:tabs>
        <w:ind w:left="720" w:hanging="720"/>
      </w:pPr>
      <w:rPr>
        <w:rFonts w:ascii="Arial" w:hAnsi="Arial" w:cs="Arial" w:hint="default"/>
        <w:sz w:val="20"/>
        <w:szCs w:val="20"/>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2C1A1B0B"/>
    <w:multiLevelType w:val="hybridMultilevel"/>
    <w:tmpl w:val="4AAE8304"/>
    <w:lvl w:ilvl="0" w:tplc="B3AA2CB0">
      <w:start w:val="1"/>
      <w:numFmt w:val="none"/>
      <w:lvlText w:val="%1Q."/>
      <w:lvlJc w:val="left"/>
      <w:pPr>
        <w:tabs>
          <w:tab w:val="num" w:pos="720"/>
        </w:tabs>
        <w:ind w:left="720" w:hanging="720"/>
      </w:pPr>
      <w:rPr>
        <w:rFonts w:ascii="Arial" w:hAnsi="Arial" w:cs="Arial" w:hint="default"/>
        <w:sz w:val="24"/>
        <w:szCs w:val="24"/>
      </w:rPr>
    </w:lvl>
    <w:lvl w:ilvl="1" w:tplc="C93CB3EA">
      <w:start w:val="1"/>
      <w:numFmt w:val="bullet"/>
      <w:lvlText w:val="Q"/>
      <w:lvlJc w:val="left"/>
      <w:pPr>
        <w:tabs>
          <w:tab w:val="num" w:pos="1440"/>
        </w:tabs>
        <w:ind w:left="1440" w:hanging="360"/>
      </w:pPr>
      <w:rPr>
        <w:rFonts w:ascii="Times New Roman" w:hAnsi="Times New Roman" w:hint="default"/>
        <w:sz w:val="24"/>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C420986"/>
    <w:multiLevelType w:val="hybridMultilevel"/>
    <w:tmpl w:val="13FC131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2D2D4EDF"/>
    <w:multiLevelType w:val="multilevel"/>
    <w:tmpl w:val="7C346B02"/>
    <w:lvl w:ilvl="0">
      <w:start w:val="1"/>
      <w:numFmt w:val="bullet"/>
      <w:pStyle w:val="BulletDS"/>
      <w:lvlText w:val="■"/>
      <w:lvlJc w:val="left"/>
      <w:pPr>
        <w:tabs>
          <w:tab w:val="num" w:pos="360"/>
        </w:tabs>
        <w:ind w:left="216" w:hanging="216"/>
      </w:pPr>
      <w:rPr>
        <w:rFonts w:ascii="Arial" w:hAnsi="Arial" w:hint="default"/>
        <w:b w:val="0"/>
        <w:i w:val="0"/>
        <w:position w:val="0"/>
        <w:sz w:val="23"/>
      </w:rPr>
    </w:lvl>
    <w:lvl w:ilvl="1">
      <w:start w:val="17"/>
      <w:numFmt w:val="bullet"/>
      <w:lvlText w:val=""/>
      <w:lvlJc w:val="left"/>
      <w:pPr>
        <w:tabs>
          <w:tab w:val="num" w:pos="576"/>
        </w:tabs>
        <w:ind w:left="576" w:hanging="360"/>
      </w:pPr>
      <w:rPr>
        <w:rFonts w:ascii="Symbol" w:hAnsi="Symbol" w:hint="default"/>
        <w:b w:val="0"/>
        <w:i w:val="0"/>
        <w:position w:val="2"/>
        <w:sz w:val="23"/>
      </w:rPr>
    </w:lvl>
    <w:lvl w:ilvl="2">
      <w:start w:val="1"/>
      <w:numFmt w:val="bullet"/>
      <w:lvlRestart w:val="0"/>
      <w:pStyle w:val="EnDashDS"/>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CE1219E"/>
    <w:multiLevelType w:val="hybridMultilevel"/>
    <w:tmpl w:val="E762610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D9E6AD8"/>
    <w:multiLevelType w:val="hybridMultilevel"/>
    <w:tmpl w:val="54D03894"/>
    <w:lvl w:ilvl="0" w:tplc="416C395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DE46EF"/>
    <w:multiLevelType w:val="multilevel"/>
    <w:tmpl w:val="2998FE28"/>
    <w:lvl w:ilvl="0">
      <w:start w:val="1"/>
      <w:numFmt w:val="bullet"/>
      <w:lvlText w:val=""/>
      <w:lvlJc w:val="left"/>
      <w:pPr>
        <w:tabs>
          <w:tab w:val="num" w:pos="1512"/>
        </w:tabs>
        <w:ind w:left="1368" w:hanging="216"/>
      </w:pPr>
      <w:rPr>
        <w:rFonts w:ascii="Symbol" w:hAnsi="Symbol" w:hint="default"/>
        <w:b w:val="0"/>
        <w:i w:val="0"/>
        <w:position w:val="0"/>
        <w:sz w:val="23"/>
      </w:rPr>
    </w:lvl>
    <w:lvl w:ilvl="1">
      <w:start w:val="17"/>
      <w:numFmt w:val="bullet"/>
      <w:lvlText w:val=""/>
      <w:lvlJc w:val="left"/>
      <w:pPr>
        <w:tabs>
          <w:tab w:val="num" w:pos="1728"/>
        </w:tabs>
        <w:ind w:left="1728" w:hanging="360"/>
      </w:pPr>
      <w:rPr>
        <w:rFonts w:ascii="Symbol" w:hAnsi="Symbol" w:hint="default"/>
        <w:b w:val="0"/>
        <w:i w:val="0"/>
        <w:position w:val="2"/>
        <w:sz w:val="23"/>
      </w:rPr>
    </w:lvl>
    <w:lvl w:ilvl="2">
      <w:start w:val="1"/>
      <w:numFmt w:val="bullet"/>
      <w:lvlRestart w:val="0"/>
      <w:lvlText w:val="–"/>
      <w:lvlJc w:val="left"/>
      <w:pPr>
        <w:tabs>
          <w:tab w:val="num" w:pos="2045"/>
        </w:tabs>
        <w:ind w:left="1886" w:hanging="201"/>
      </w:pPr>
      <w:rPr>
        <w:rFonts w:ascii="Times" w:hAnsi="Times" w:hint="default"/>
        <w:b w:val="0"/>
        <w:i w:val="0"/>
        <w:sz w:val="23"/>
      </w:rPr>
    </w:lvl>
    <w:lvl w:ilvl="3">
      <w:start w:val="1"/>
      <w:numFmt w:val="none"/>
      <w:lvlText w:val=""/>
      <w:lvlJc w:val="left"/>
      <w:pPr>
        <w:tabs>
          <w:tab w:val="num" w:pos="2592"/>
        </w:tabs>
        <w:ind w:left="2592" w:hanging="360"/>
      </w:pPr>
      <w:rPr>
        <w:rFonts w:cs="Times New Roman" w:hint="default"/>
      </w:rPr>
    </w:lvl>
    <w:lvl w:ilvl="4">
      <w:start w:val="1"/>
      <w:numFmt w:val="none"/>
      <w:lvlText w:val=""/>
      <w:lvlJc w:val="left"/>
      <w:pPr>
        <w:tabs>
          <w:tab w:val="num" w:pos="2952"/>
        </w:tabs>
        <w:ind w:left="2952" w:hanging="360"/>
      </w:pPr>
      <w:rPr>
        <w:rFonts w:cs="Times New Roman" w:hint="default"/>
      </w:rPr>
    </w:lvl>
    <w:lvl w:ilvl="5">
      <w:start w:val="1"/>
      <w:numFmt w:val="none"/>
      <w:lvlText w:val=""/>
      <w:lvlJc w:val="left"/>
      <w:pPr>
        <w:tabs>
          <w:tab w:val="num" w:pos="3312"/>
        </w:tabs>
        <w:ind w:left="3312" w:hanging="360"/>
      </w:pPr>
      <w:rPr>
        <w:rFonts w:cs="Times New Roman" w:hint="default"/>
      </w:rPr>
    </w:lvl>
    <w:lvl w:ilvl="6">
      <w:start w:val="1"/>
      <w:numFmt w:val="none"/>
      <w:lvlText w:val=""/>
      <w:lvlJc w:val="left"/>
      <w:pPr>
        <w:tabs>
          <w:tab w:val="num" w:pos="3672"/>
        </w:tabs>
        <w:ind w:left="3672" w:hanging="360"/>
      </w:pPr>
      <w:rPr>
        <w:rFonts w:cs="Times New Roman" w:hint="default"/>
      </w:rPr>
    </w:lvl>
    <w:lvl w:ilvl="7">
      <w:start w:val="1"/>
      <w:numFmt w:val="none"/>
      <w:lvlText w:val=""/>
      <w:lvlJc w:val="left"/>
      <w:pPr>
        <w:tabs>
          <w:tab w:val="num" w:pos="4032"/>
        </w:tabs>
        <w:ind w:left="4032" w:hanging="360"/>
      </w:pPr>
      <w:rPr>
        <w:rFonts w:cs="Times New Roman" w:hint="default"/>
      </w:rPr>
    </w:lvl>
    <w:lvl w:ilvl="8">
      <w:start w:val="1"/>
      <w:numFmt w:val="none"/>
      <w:lvlText w:val=""/>
      <w:lvlJc w:val="left"/>
      <w:pPr>
        <w:tabs>
          <w:tab w:val="num" w:pos="4392"/>
        </w:tabs>
        <w:ind w:left="4392" w:hanging="360"/>
      </w:pPr>
      <w:rPr>
        <w:rFonts w:cs="Times New Roman" w:hint="default"/>
      </w:rPr>
    </w:lvl>
  </w:abstractNum>
  <w:abstractNum w:abstractNumId="18">
    <w:nsid w:val="736E01D5"/>
    <w:multiLevelType w:val="hybridMultilevel"/>
    <w:tmpl w:val="12746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730502A"/>
    <w:multiLevelType w:val="hybridMultilevel"/>
    <w:tmpl w:val="3FC4CE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F1D4709"/>
    <w:multiLevelType w:val="hybridMultilevel"/>
    <w:tmpl w:val="C24ED3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1"/>
  </w:num>
  <w:num w:numId="2">
    <w:abstractNumId w:val="12"/>
  </w:num>
  <w:num w:numId="3">
    <w:abstractNumId w:val="8"/>
  </w:num>
  <w:num w:numId="4">
    <w:abstractNumId w:val="9"/>
  </w:num>
  <w:num w:numId="5">
    <w:abstractNumId w:val="7"/>
  </w:num>
  <w:num w:numId="6">
    <w:abstractNumId w:val="20"/>
  </w:num>
  <w:num w:numId="7">
    <w:abstractNumId w:val="13"/>
  </w:num>
  <w:num w:numId="8">
    <w:abstractNumId w:val="14"/>
  </w:num>
  <w:num w:numId="9">
    <w:abstractNumId w:val="6"/>
  </w:num>
  <w:num w:numId="10">
    <w:abstractNumId w:val="17"/>
  </w:num>
  <w:num w:numId="11">
    <w:abstractNumId w:val="18"/>
  </w:num>
  <w:num w:numId="12">
    <w:abstractNumId w:val="16"/>
  </w:num>
  <w:num w:numId="13">
    <w:abstractNumId w:val="15"/>
  </w:num>
  <w:num w:numId="14">
    <w:abstractNumId w:val="10"/>
  </w:num>
  <w:num w:numId="15">
    <w:abstractNumId w:val="19"/>
  </w:num>
  <w:num w:numId="16">
    <w:abstractNumId w:val="5"/>
  </w:num>
  <w:num w:numId="17">
    <w:abstractNumId w:val="3"/>
  </w:num>
  <w:num w:numId="18">
    <w:abstractNumId w:val="2"/>
  </w:num>
  <w:num w:numId="19">
    <w:abstractNumId w:val="1"/>
  </w:num>
  <w:num w:numId="20">
    <w:abstractNumId w:val="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4"/>
  <w:stylePaneSortMethod w:val="0000"/>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0"/>
    <w:docVar w:name="85TrailerDateField" w:val="0"/>
    <w:docVar w:name="85TrailerDraft" w:val="0"/>
    <w:docVar w:name="85TrailerTime" w:val="0"/>
    <w:docVar w:name="85TrailerType" w:val="102"/>
    <w:docVar w:name="MPDocID" w:val="TAL 2368.1"/>
    <w:docVar w:name="MPDocIDTemplate" w:val="%l |%n|.%v|"/>
    <w:docVar w:name="MPDocIDTemplateDefault" w:val="%l |%n|.%v|"/>
    <w:docVar w:name="NewDocStampType" w:val="7"/>
  </w:docVars>
  <w:rsids>
    <w:rsidRoot w:val="00CD2157"/>
    <w:rsid w:val="00000DE4"/>
    <w:rsid w:val="000014A2"/>
    <w:rsid w:val="000019E4"/>
    <w:rsid w:val="00004EB9"/>
    <w:rsid w:val="00005AF7"/>
    <w:rsid w:val="000066C8"/>
    <w:rsid w:val="00006D19"/>
    <w:rsid w:val="00007F48"/>
    <w:rsid w:val="000114EF"/>
    <w:rsid w:val="00012027"/>
    <w:rsid w:val="000120EB"/>
    <w:rsid w:val="000141C7"/>
    <w:rsid w:val="000143EB"/>
    <w:rsid w:val="0001517E"/>
    <w:rsid w:val="0001762F"/>
    <w:rsid w:val="00021BE5"/>
    <w:rsid w:val="00022F05"/>
    <w:rsid w:val="00023D1B"/>
    <w:rsid w:val="00027491"/>
    <w:rsid w:val="00031C46"/>
    <w:rsid w:val="0003304A"/>
    <w:rsid w:val="00034581"/>
    <w:rsid w:val="00040582"/>
    <w:rsid w:val="000415CD"/>
    <w:rsid w:val="0004212D"/>
    <w:rsid w:val="00042A7B"/>
    <w:rsid w:val="00044039"/>
    <w:rsid w:val="000467D0"/>
    <w:rsid w:val="00046D65"/>
    <w:rsid w:val="00047613"/>
    <w:rsid w:val="000529FD"/>
    <w:rsid w:val="000540C5"/>
    <w:rsid w:val="00056C12"/>
    <w:rsid w:val="00056E17"/>
    <w:rsid w:val="00057F48"/>
    <w:rsid w:val="00064847"/>
    <w:rsid w:val="000649A0"/>
    <w:rsid w:val="00067161"/>
    <w:rsid w:val="000674F9"/>
    <w:rsid w:val="00067F89"/>
    <w:rsid w:val="000713EB"/>
    <w:rsid w:val="00071ADF"/>
    <w:rsid w:val="00073487"/>
    <w:rsid w:val="000772B4"/>
    <w:rsid w:val="00077899"/>
    <w:rsid w:val="00081F1B"/>
    <w:rsid w:val="00082E08"/>
    <w:rsid w:val="00083099"/>
    <w:rsid w:val="0008418C"/>
    <w:rsid w:val="00091B3F"/>
    <w:rsid w:val="00091FD3"/>
    <w:rsid w:val="000926AF"/>
    <w:rsid w:val="00092AE5"/>
    <w:rsid w:val="0009346C"/>
    <w:rsid w:val="00093665"/>
    <w:rsid w:val="0009484C"/>
    <w:rsid w:val="000966FD"/>
    <w:rsid w:val="00097B0C"/>
    <w:rsid w:val="000A2619"/>
    <w:rsid w:val="000A3250"/>
    <w:rsid w:val="000A3F71"/>
    <w:rsid w:val="000A5F50"/>
    <w:rsid w:val="000A7CB3"/>
    <w:rsid w:val="000A7F94"/>
    <w:rsid w:val="000B02B3"/>
    <w:rsid w:val="000B100C"/>
    <w:rsid w:val="000B130D"/>
    <w:rsid w:val="000B1DD7"/>
    <w:rsid w:val="000B21AB"/>
    <w:rsid w:val="000B3E93"/>
    <w:rsid w:val="000B66D4"/>
    <w:rsid w:val="000C068B"/>
    <w:rsid w:val="000C25C1"/>
    <w:rsid w:val="000C30CB"/>
    <w:rsid w:val="000C6D41"/>
    <w:rsid w:val="000C76D7"/>
    <w:rsid w:val="000D1512"/>
    <w:rsid w:val="000D3F51"/>
    <w:rsid w:val="000D6457"/>
    <w:rsid w:val="000D7004"/>
    <w:rsid w:val="000E0984"/>
    <w:rsid w:val="000E331F"/>
    <w:rsid w:val="000E4C92"/>
    <w:rsid w:val="000E4FEA"/>
    <w:rsid w:val="000F631D"/>
    <w:rsid w:val="000F7337"/>
    <w:rsid w:val="00100D1B"/>
    <w:rsid w:val="001012EE"/>
    <w:rsid w:val="00102F7F"/>
    <w:rsid w:val="00103144"/>
    <w:rsid w:val="001031EB"/>
    <w:rsid w:val="00106AAE"/>
    <w:rsid w:val="00111C3B"/>
    <w:rsid w:val="0011314E"/>
    <w:rsid w:val="00113451"/>
    <w:rsid w:val="00114E72"/>
    <w:rsid w:val="00115DF5"/>
    <w:rsid w:val="001163C7"/>
    <w:rsid w:val="00116C8A"/>
    <w:rsid w:val="001204BE"/>
    <w:rsid w:val="0012313F"/>
    <w:rsid w:val="00123486"/>
    <w:rsid w:val="00126D79"/>
    <w:rsid w:val="001302CA"/>
    <w:rsid w:val="00130551"/>
    <w:rsid w:val="00130823"/>
    <w:rsid w:val="001331D4"/>
    <w:rsid w:val="00133A2D"/>
    <w:rsid w:val="0013551F"/>
    <w:rsid w:val="001357FD"/>
    <w:rsid w:val="00137DA3"/>
    <w:rsid w:val="00142123"/>
    <w:rsid w:val="00143BCD"/>
    <w:rsid w:val="00145BCB"/>
    <w:rsid w:val="0015007A"/>
    <w:rsid w:val="00150717"/>
    <w:rsid w:val="001508FD"/>
    <w:rsid w:val="00151C2C"/>
    <w:rsid w:val="0015358B"/>
    <w:rsid w:val="00153853"/>
    <w:rsid w:val="00153FB2"/>
    <w:rsid w:val="00156E60"/>
    <w:rsid w:val="00161592"/>
    <w:rsid w:val="00161BC8"/>
    <w:rsid w:val="001701ED"/>
    <w:rsid w:val="0017224A"/>
    <w:rsid w:val="0017692C"/>
    <w:rsid w:val="001818C2"/>
    <w:rsid w:val="00181D86"/>
    <w:rsid w:val="00182705"/>
    <w:rsid w:val="00184DA1"/>
    <w:rsid w:val="00185B9C"/>
    <w:rsid w:val="00187172"/>
    <w:rsid w:val="001874CC"/>
    <w:rsid w:val="00191738"/>
    <w:rsid w:val="00193693"/>
    <w:rsid w:val="0019400D"/>
    <w:rsid w:val="00194663"/>
    <w:rsid w:val="00195833"/>
    <w:rsid w:val="00195841"/>
    <w:rsid w:val="00195855"/>
    <w:rsid w:val="00195A61"/>
    <w:rsid w:val="0019681B"/>
    <w:rsid w:val="00197339"/>
    <w:rsid w:val="001A1F50"/>
    <w:rsid w:val="001A2492"/>
    <w:rsid w:val="001A7981"/>
    <w:rsid w:val="001B35DA"/>
    <w:rsid w:val="001C0D3F"/>
    <w:rsid w:val="001C0D40"/>
    <w:rsid w:val="001C18E6"/>
    <w:rsid w:val="001C1B25"/>
    <w:rsid w:val="001C2489"/>
    <w:rsid w:val="001C4F0C"/>
    <w:rsid w:val="001C54D4"/>
    <w:rsid w:val="001C7D7E"/>
    <w:rsid w:val="001D1929"/>
    <w:rsid w:val="001D192C"/>
    <w:rsid w:val="001D289A"/>
    <w:rsid w:val="001D6381"/>
    <w:rsid w:val="001D64DE"/>
    <w:rsid w:val="001E022A"/>
    <w:rsid w:val="001E1C15"/>
    <w:rsid w:val="001E20F2"/>
    <w:rsid w:val="001E2955"/>
    <w:rsid w:val="001E36C1"/>
    <w:rsid w:val="001E5600"/>
    <w:rsid w:val="001E7843"/>
    <w:rsid w:val="001E7A62"/>
    <w:rsid w:val="001E7AF4"/>
    <w:rsid w:val="001F14D9"/>
    <w:rsid w:val="001F1B1A"/>
    <w:rsid w:val="001F3A11"/>
    <w:rsid w:val="001F3C27"/>
    <w:rsid w:val="001F55AD"/>
    <w:rsid w:val="001F608F"/>
    <w:rsid w:val="001F740E"/>
    <w:rsid w:val="0020199E"/>
    <w:rsid w:val="002025F1"/>
    <w:rsid w:val="00203AAC"/>
    <w:rsid w:val="002117EC"/>
    <w:rsid w:val="002121F5"/>
    <w:rsid w:val="002128CB"/>
    <w:rsid w:val="0021395F"/>
    <w:rsid w:val="00220008"/>
    <w:rsid w:val="00221849"/>
    <w:rsid w:val="00222E42"/>
    <w:rsid w:val="00225658"/>
    <w:rsid w:val="0022680F"/>
    <w:rsid w:val="002301D6"/>
    <w:rsid w:val="00230D54"/>
    <w:rsid w:val="00231AC5"/>
    <w:rsid w:val="00234F42"/>
    <w:rsid w:val="00236E6C"/>
    <w:rsid w:val="00237CB7"/>
    <w:rsid w:val="00242149"/>
    <w:rsid w:val="002440EA"/>
    <w:rsid w:val="00244798"/>
    <w:rsid w:val="002453F3"/>
    <w:rsid w:val="0024693A"/>
    <w:rsid w:val="0025091B"/>
    <w:rsid w:val="00251D5D"/>
    <w:rsid w:val="00252399"/>
    <w:rsid w:val="00253105"/>
    <w:rsid w:val="00253AD6"/>
    <w:rsid w:val="0025527C"/>
    <w:rsid w:val="00255691"/>
    <w:rsid w:val="0025664B"/>
    <w:rsid w:val="00257D33"/>
    <w:rsid w:val="002604F9"/>
    <w:rsid w:val="00260CC3"/>
    <w:rsid w:val="00261270"/>
    <w:rsid w:val="00261DDA"/>
    <w:rsid w:val="0026239E"/>
    <w:rsid w:val="00263EA9"/>
    <w:rsid w:val="002678AC"/>
    <w:rsid w:val="00267D94"/>
    <w:rsid w:val="0027489F"/>
    <w:rsid w:val="00275560"/>
    <w:rsid w:val="00276346"/>
    <w:rsid w:val="00276442"/>
    <w:rsid w:val="002773C6"/>
    <w:rsid w:val="002778C6"/>
    <w:rsid w:val="00277F9A"/>
    <w:rsid w:val="00281AAF"/>
    <w:rsid w:val="002824FC"/>
    <w:rsid w:val="0028434D"/>
    <w:rsid w:val="00285912"/>
    <w:rsid w:val="002869A8"/>
    <w:rsid w:val="00287D94"/>
    <w:rsid w:val="00296190"/>
    <w:rsid w:val="00297E4B"/>
    <w:rsid w:val="002A07A9"/>
    <w:rsid w:val="002A16B3"/>
    <w:rsid w:val="002A421F"/>
    <w:rsid w:val="002A6FC3"/>
    <w:rsid w:val="002A713B"/>
    <w:rsid w:val="002A7455"/>
    <w:rsid w:val="002B1D44"/>
    <w:rsid w:val="002B6490"/>
    <w:rsid w:val="002B7B1F"/>
    <w:rsid w:val="002C0276"/>
    <w:rsid w:val="002C3B95"/>
    <w:rsid w:val="002C697D"/>
    <w:rsid w:val="002C6A81"/>
    <w:rsid w:val="002C7625"/>
    <w:rsid w:val="002C786E"/>
    <w:rsid w:val="002D0192"/>
    <w:rsid w:val="002D7B89"/>
    <w:rsid w:val="002E005D"/>
    <w:rsid w:val="002E1CFF"/>
    <w:rsid w:val="002E5DA9"/>
    <w:rsid w:val="002E6479"/>
    <w:rsid w:val="002F1883"/>
    <w:rsid w:val="002F1B09"/>
    <w:rsid w:val="002F2B90"/>
    <w:rsid w:val="002F34A1"/>
    <w:rsid w:val="002F35B6"/>
    <w:rsid w:val="002F4FD4"/>
    <w:rsid w:val="002F6376"/>
    <w:rsid w:val="002F6614"/>
    <w:rsid w:val="002F7BBB"/>
    <w:rsid w:val="00302FDC"/>
    <w:rsid w:val="00303EA3"/>
    <w:rsid w:val="00304745"/>
    <w:rsid w:val="00304BC1"/>
    <w:rsid w:val="00304E4B"/>
    <w:rsid w:val="003102E5"/>
    <w:rsid w:val="0032529F"/>
    <w:rsid w:val="003265B8"/>
    <w:rsid w:val="0032712A"/>
    <w:rsid w:val="003308D9"/>
    <w:rsid w:val="00330EA3"/>
    <w:rsid w:val="00333AC3"/>
    <w:rsid w:val="00337415"/>
    <w:rsid w:val="00337A4D"/>
    <w:rsid w:val="00341927"/>
    <w:rsid w:val="003431EF"/>
    <w:rsid w:val="00343A08"/>
    <w:rsid w:val="0034499D"/>
    <w:rsid w:val="00347BDE"/>
    <w:rsid w:val="0035064C"/>
    <w:rsid w:val="003511A1"/>
    <w:rsid w:val="003521A2"/>
    <w:rsid w:val="00357179"/>
    <w:rsid w:val="0035727E"/>
    <w:rsid w:val="00357440"/>
    <w:rsid w:val="00360970"/>
    <w:rsid w:val="00361DC5"/>
    <w:rsid w:val="0036200E"/>
    <w:rsid w:val="003632C4"/>
    <w:rsid w:val="0036608B"/>
    <w:rsid w:val="003710A7"/>
    <w:rsid w:val="00372F14"/>
    <w:rsid w:val="003751DF"/>
    <w:rsid w:val="00375DFA"/>
    <w:rsid w:val="00380736"/>
    <w:rsid w:val="00380B0B"/>
    <w:rsid w:val="00381B87"/>
    <w:rsid w:val="00384AA0"/>
    <w:rsid w:val="003855C9"/>
    <w:rsid w:val="003858EE"/>
    <w:rsid w:val="00386303"/>
    <w:rsid w:val="00387E26"/>
    <w:rsid w:val="00390E30"/>
    <w:rsid w:val="003910C4"/>
    <w:rsid w:val="00391A98"/>
    <w:rsid w:val="00393CA7"/>
    <w:rsid w:val="00393E65"/>
    <w:rsid w:val="00394769"/>
    <w:rsid w:val="00396A05"/>
    <w:rsid w:val="00396D00"/>
    <w:rsid w:val="00397AD2"/>
    <w:rsid w:val="003A1014"/>
    <w:rsid w:val="003A1B4D"/>
    <w:rsid w:val="003A4C49"/>
    <w:rsid w:val="003A56E1"/>
    <w:rsid w:val="003A5B8B"/>
    <w:rsid w:val="003A69BC"/>
    <w:rsid w:val="003A7BDA"/>
    <w:rsid w:val="003B0168"/>
    <w:rsid w:val="003B037D"/>
    <w:rsid w:val="003B093E"/>
    <w:rsid w:val="003B1502"/>
    <w:rsid w:val="003B19C6"/>
    <w:rsid w:val="003B205D"/>
    <w:rsid w:val="003B2C72"/>
    <w:rsid w:val="003B45A2"/>
    <w:rsid w:val="003B4F47"/>
    <w:rsid w:val="003B5448"/>
    <w:rsid w:val="003B5C59"/>
    <w:rsid w:val="003B7008"/>
    <w:rsid w:val="003B7682"/>
    <w:rsid w:val="003C0280"/>
    <w:rsid w:val="003C4727"/>
    <w:rsid w:val="003C4B33"/>
    <w:rsid w:val="003C5498"/>
    <w:rsid w:val="003C5B89"/>
    <w:rsid w:val="003C76A1"/>
    <w:rsid w:val="003C78CF"/>
    <w:rsid w:val="003D1E44"/>
    <w:rsid w:val="003D56BC"/>
    <w:rsid w:val="003D5F4E"/>
    <w:rsid w:val="003D7E97"/>
    <w:rsid w:val="003E01A7"/>
    <w:rsid w:val="003E0973"/>
    <w:rsid w:val="003E2657"/>
    <w:rsid w:val="003E2E16"/>
    <w:rsid w:val="003E3868"/>
    <w:rsid w:val="003E4F30"/>
    <w:rsid w:val="003E631C"/>
    <w:rsid w:val="003F100C"/>
    <w:rsid w:val="003F13B7"/>
    <w:rsid w:val="003F2D6C"/>
    <w:rsid w:val="003F3A62"/>
    <w:rsid w:val="003F3AA4"/>
    <w:rsid w:val="003F47D6"/>
    <w:rsid w:val="003F5CD4"/>
    <w:rsid w:val="003F7A39"/>
    <w:rsid w:val="00403665"/>
    <w:rsid w:val="00403B33"/>
    <w:rsid w:val="00403EBC"/>
    <w:rsid w:val="0040497B"/>
    <w:rsid w:val="00404F7A"/>
    <w:rsid w:val="004054F3"/>
    <w:rsid w:val="00407CD4"/>
    <w:rsid w:val="00407D0D"/>
    <w:rsid w:val="0041121B"/>
    <w:rsid w:val="00411292"/>
    <w:rsid w:val="00411507"/>
    <w:rsid w:val="00411EA0"/>
    <w:rsid w:val="004126D9"/>
    <w:rsid w:val="00414AA8"/>
    <w:rsid w:val="004159CA"/>
    <w:rsid w:val="00416BF7"/>
    <w:rsid w:val="00420BF1"/>
    <w:rsid w:val="00420CFB"/>
    <w:rsid w:val="004263DE"/>
    <w:rsid w:val="004270AD"/>
    <w:rsid w:val="00427320"/>
    <w:rsid w:val="00427D81"/>
    <w:rsid w:val="004313B5"/>
    <w:rsid w:val="00432E6A"/>
    <w:rsid w:val="00434425"/>
    <w:rsid w:val="00434CCB"/>
    <w:rsid w:val="00434F2A"/>
    <w:rsid w:val="0043715B"/>
    <w:rsid w:val="0043766B"/>
    <w:rsid w:val="004429DD"/>
    <w:rsid w:val="00442F09"/>
    <w:rsid w:val="0044300B"/>
    <w:rsid w:val="00445EBB"/>
    <w:rsid w:val="0044628B"/>
    <w:rsid w:val="00446779"/>
    <w:rsid w:val="00446855"/>
    <w:rsid w:val="00446F74"/>
    <w:rsid w:val="00451537"/>
    <w:rsid w:val="00453F7B"/>
    <w:rsid w:val="0045573D"/>
    <w:rsid w:val="00455AFE"/>
    <w:rsid w:val="004564A3"/>
    <w:rsid w:val="00456F09"/>
    <w:rsid w:val="0045717B"/>
    <w:rsid w:val="004621F9"/>
    <w:rsid w:val="004634B5"/>
    <w:rsid w:val="004664ED"/>
    <w:rsid w:val="004667B7"/>
    <w:rsid w:val="00470297"/>
    <w:rsid w:val="00470773"/>
    <w:rsid w:val="004709B0"/>
    <w:rsid w:val="0047381D"/>
    <w:rsid w:val="004744DE"/>
    <w:rsid w:val="004748D3"/>
    <w:rsid w:val="004768E6"/>
    <w:rsid w:val="00476AAC"/>
    <w:rsid w:val="00477110"/>
    <w:rsid w:val="004800B4"/>
    <w:rsid w:val="004876EA"/>
    <w:rsid w:val="004900D8"/>
    <w:rsid w:val="00492F13"/>
    <w:rsid w:val="00494B49"/>
    <w:rsid w:val="00496BF2"/>
    <w:rsid w:val="004A0F32"/>
    <w:rsid w:val="004A3CE9"/>
    <w:rsid w:val="004A3E13"/>
    <w:rsid w:val="004A4E10"/>
    <w:rsid w:val="004A7920"/>
    <w:rsid w:val="004B49FF"/>
    <w:rsid w:val="004B709D"/>
    <w:rsid w:val="004B7726"/>
    <w:rsid w:val="004B785A"/>
    <w:rsid w:val="004C08B8"/>
    <w:rsid w:val="004C1AF0"/>
    <w:rsid w:val="004C2B77"/>
    <w:rsid w:val="004C460F"/>
    <w:rsid w:val="004D2E96"/>
    <w:rsid w:val="004D4826"/>
    <w:rsid w:val="004D5165"/>
    <w:rsid w:val="004D689A"/>
    <w:rsid w:val="004D7E30"/>
    <w:rsid w:val="004D7EA6"/>
    <w:rsid w:val="004E122B"/>
    <w:rsid w:val="004E3202"/>
    <w:rsid w:val="004E3AA1"/>
    <w:rsid w:val="004E6562"/>
    <w:rsid w:val="004E671A"/>
    <w:rsid w:val="004F10FA"/>
    <w:rsid w:val="004F28C5"/>
    <w:rsid w:val="004F3168"/>
    <w:rsid w:val="004F340D"/>
    <w:rsid w:val="004F4CE2"/>
    <w:rsid w:val="004F66A4"/>
    <w:rsid w:val="00500A00"/>
    <w:rsid w:val="00503365"/>
    <w:rsid w:val="00504CB1"/>
    <w:rsid w:val="00505DD1"/>
    <w:rsid w:val="0051136D"/>
    <w:rsid w:val="00511EE5"/>
    <w:rsid w:val="00513AD3"/>
    <w:rsid w:val="00514A2B"/>
    <w:rsid w:val="00516667"/>
    <w:rsid w:val="00516922"/>
    <w:rsid w:val="0051692C"/>
    <w:rsid w:val="00521B0F"/>
    <w:rsid w:val="00522496"/>
    <w:rsid w:val="00522CE7"/>
    <w:rsid w:val="00525590"/>
    <w:rsid w:val="00525730"/>
    <w:rsid w:val="00526839"/>
    <w:rsid w:val="00531912"/>
    <w:rsid w:val="00534FDB"/>
    <w:rsid w:val="005371AE"/>
    <w:rsid w:val="0054036D"/>
    <w:rsid w:val="00540A22"/>
    <w:rsid w:val="00542C99"/>
    <w:rsid w:val="00544DE5"/>
    <w:rsid w:val="0054509B"/>
    <w:rsid w:val="005476D0"/>
    <w:rsid w:val="00547A20"/>
    <w:rsid w:val="005559AF"/>
    <w:rsid w:val="00555C84"/>
    <w:rsid w:val="00557628"/>
    <w:rsid w:val="00557A30"/>
    <w:rsid w:val="0056039B"/>
    <w:rsid w:val="0056506B"/>
    <w:rsid w:val="00567587"/>
    <w:rsid w:val="0057137C"/>
    <w:rsid w:val="00571586"/>
    <w:rsid w:val="00574137"/>
    <w:rsid w:val="0057534F"/>
    <w:rsid w:val="0057662C"/>
    <w:rsid w:val="005768DB"/>
    <w:rsid w:val="00577294"/>
    <w:rsid w:val="00577584"/>
    <w:rsid w:val="005777CB"/>
    <w:rsid w:val="0057794A"/>
    <w:rsid w:val="00580B84"/>
    <w:rsid w:val="0058197B"/>
    <w:rsid w:val="00582AB9"/>
    <w:rsid w:val="0058372C"/>
    <w:rsid w:val="00584A46"/>
    <w:rsid w:val="00584F19"/>
    <w:rsid w:val="005859E2"/>
    <w:rsid w:val="00586E15"/>
    <w:rsid w:val="005901F0"/>
    <w:rsid w:val="00591BE8"/>
    <w:rsid w:val="005928C1"/>
    <w:rsid w:val="00595806"/>
    <w:rsid w:val="005A1A55"/>
    <w:rsid w:val="005A2AE5"/>
    <w:rsid w:val="005A3C0B"/>
    <w:rsid w:val="005A526A"/>
    <w:rsid w:val="005A5856"/>
    <w:rsid w:val="005A762F"/>
    <w:rsid w:val="005B0EE5"/>
    <w:rsid w:val="005B121D"/>
    <w:rsid w:val="005B32FF"/>
    <w:rsid w:val="005B52A8"/>
    <w:rsid w:val="005C1345"/>
    <w:rsid w:val="005C18EB"/>
    <w:rsid w:val="005C2401"/>
    <w:rsid w:val="005C344B"/>
    <w:rsid w:val="005C4B28"/>
    <w:rsid w:val="005C605E"/>
    <w:rsid w:val="005D577E"/>
    <w:rsid w:val="005D5E34"/>
    <w:rsid w:val="005D64BA"/>
    <w:rsid w:val="005D6C62"/>
    <w:rsid w:val="005D7D4E"/>
    <w:rsid w:val="005E0E80"/>
    <w:rsid w:val="005E1145"/>
    <w:rsid w:val="005E3BF4"/>
    <w:rsid w:val="005E7785"/>
    <w:rsid w:val="005E7BCE"/>
    <w:rsid w:val="005F0722"/>
    <w:rsid w:val="005F0790"/>
    <w:rsid w:val="005F5F89"/>
    <w:rsid w:val="005F7FF8"/>
    <w:rsid w:val="0060091B"/>
    <w:rsid w:val="00602A2F"/>
    <w:rsid w:val="00605355"/>
    <w:rsid w:val="00605F98"/>
    <w:rsid w:val="006117C9"/>
    <w:rsid w:val="006126B7"/>
    <w:rsid w:val="006134A1"/>
    <w:rsid w:val="006157FE"/>
    <w:rsid w:val="00615EB2"/>
    <w:rsid w:val="006168BF"/>
    <w:rsid w:val="00616949"/>
    <w:rsid w:val="00616AA1"/>
    <w:rsid w:val="0062043B"/>
    <w:rsid w:val="00620594"/>
    <w:rsid w:val="00620B80"/>
    <w:rsid w:val="00621428"/>
    <w:rsid w:val="006218B6"/>
    <w:rsid w:val="00624CF6"/>
    <w:rsid w:val="00625FE1"/>
    <w:rsid w:val="00626635"/>
    <w:rsid w:val="00627268"/>
    <w:rsid w:val="00627E56"/>
    <w:rsid w:val="006359F7"/>
    <w:rsid w:val="0063600E"/>
    <w:rsid w:val="00636124"/>
    <w:rsid w:val="006361A8"/>
    <w:rsid w:val="00636861"/>
    <w:rsid w:val="0063795B"/>
    <w:rsid w:val="00644336"/>
    <w:rsid w:val="00646002"/>
    <w:rsid w:val="006502B4"/>
    <w:rsid w:val="00650595"/>
    <w:rsid w:val="00651D6A"/>
    <w:rsid w:val="0065360F"/>
    <w:rsid w:val="0065619D"/>
    <w:rsid w:val="00657ABF"/>
    <w:rsid w:val="00657AEF"/>
    <w:rsid w:val="006609A0"/>
    <w:rsid w:val="006610D2"/>
    <w:rsid w:val="00665FD1"/>
    <w:rsid w:val="00666C5D"/>
    <w:rsid w:val="00670A9D"/>
    <w:rsid w:val="00670B5F"/>
    <w:rsid w:val="006727BD"/>
    <w:rsid w:val="00676D96"/>
    <w:rsid w:val="00682BA1"/>
    <w:rsid w:val="0068667E"/>
    <w:rsid w:val="006909D8"/>
    <w:rsid w:val="00691F22"/>
    <w:rsid w:val="006944ED"/>
    <w:rsid w:val="00696074"/>
    <w:rsid w:val="006A02A0"/>
    <w:rsid w:val="006A04A5"/>
    <w:rsid w:val="006A1524"/>
    <w:rsid w:val="006A1AAD"/>
    <w:rsid w:val="006A2B0A"/>
    <w:rsid w:val="006A32CC"/>
    <w:rsid w:val="006A47F8"/>
    <w:rsid w:val="006A5927"/>
    <w:rsid w:val="006A6A7C"/>
    <w:rsid w:val="006B07BD"/>
    <w:rsid w:val="006B257A"/>
    <w:rsid w:val="006B37B4"/>
    <w:rsid w:val="006B4E47"/>
    <w:rsid w:val="006B64D4"/>
    <w:rsid w:val="006C01C2"/>
    <w:rsid w:val="006C053A"/>
    <w:rsid w:val="006C11CE"/>
    <w:rsid w:val="006C280E"/>
    <w:rsid w:val="006C3724"/>
    <w:rsid w:val="006C451A"/>
    <w:rsid w:val="006D09C0"/>
    <w:rsid w:val="006D2D64"/>
    <w:rsid w:val="006D58D2"/>
    <w:rsid w:val="006D597E"/>
    <w:rsid w:val="006E0CFD"/>
    <w:rsid w:val="006E0E3D"/>
    <w:rsid w:val="006E10CE"/>
    <w:rsid w:val="006E28ED"/>
    <w:rsid w:val="006E2A06"/>
    <w:rsid w:val="006E4B88"/>
    <w:rsid w:val="006F07A2"/>
    <w:rsid w:val="006F161E"/>
    <w:rsid w:val="006F1C47"/>
    <w:rsid w:val="006F2B46"/>
    <w:rsid w:val="006F3BB5"/>
    <w:rsid w:val="006F3CD5"/>
    <w:rsid w:val="006F4E66"/>
    <w:rsid w:val="006F698B"/>
    <w:rsid w:val="006F698F"/>
    <w:rsid w:val="006F7150"/>
    <w:rsid w:val="006F7B5A"/>
    <w:rsid w:val="0070214B"/>
    <w:rsid w:val="007022CE"/>
    <w:rsid w:val="0070350D"/>
    <w:rsid w:val="0070396C"/>
    <w:rsid w:val="00705262"/>
    <w:rsid w:val="00706269"/>
    <w:rsid w:val="0071195D"/>
    <w:rsid w:val="00712383"/>
    <w:rsid w:val="007137BB"/>
    <w:rsid w:val="007145E6"/>
    <w:rsid w:val="00715334"/>
    <w:rsid w:val="00715CDB"/>
    <w:rsid w:val="0071648A"/>
    <w:rsid w:val="007170D5"/>
    <w:rsid w:val="007177DD"/>
    <w:rsid w:val="007201E4"/>
    <w:rsid w:val="007247A4"/>
    <w:rsid w:val="007252B7"/>
    <w:rsid w:val="00727CB2"/>
    <w:rsid w:val="00732441"/>
    <w:rsid w:val="00732483"/>
    <w:rsid w:val="00734214"/>
    <w:rsid w:val="00736077"/>
    <w:rsid w:val="00737443"/>
    <w:rsid w:val="00737647"/>
    <w:rsid w:val="007404AF"/>
    <w:rsid w:val="00740644"/>
    <w:rsid w:val="0074116F"/>
    <w:rsid w:val="007441C7"/>
    <w:rsid w:val="00744F6A"/>
    <w:rsid w:val="007476B5"/>
    <w:rsid w:val="00750BA3"/>
    <w:rsid w:val="00752794"/>
    <w:rsid w:val="00753519"/>
    <w:rsid w:val="007538FE"/>
    <w:rsid w:val="007562A1"/>
    <w:rsid w:val="007564F7"/>
    <w:rsid w:val="00756C02"/>
    <w:rsid w:val="0075717F"/>
    <w:rsid w:val="007572BD"/>
    <w:rsid w:val="00760CA9"/>
    <w:rsid w:val="00761B9D"/>
    <w:rsid w:val="007623C8"/>
    <w:rsid w:val="00764F65"/>
    <w:rsid w:val="007656AE"/>
    <w:rsid w:val="00767F3D"/>
    <w:rsid w:val="00770F57"/>
    <w:rsid w:val="00771244"/>
    <w:rsid w:val="00771ED4"/>
    <w:rsid w:val="00776B25"/>
    <w:rsid w:val="00776FFD"/>
    <w:rsid w:val="00777211"/>
    <w:rsid w:val="00777CC6"/>
    <w:rsid w:val="00780C12"/>
    <w:rsid w:val="00780F93"/>
    <w:rsid w:val="00781459"/>
    <w:rsid w:val="00781A26"/>
    <w:rsid w:val="00782314"/>
    <w:rsid w:val="0078235B"/>
    <w:rsid w:val="0078253E"/>
    <w:rsid w:val="007825A7"/>
    <w:rsid w:val="00782BDF"/>
    <w:rsid w:val="007834FD"/>
    <w:rsid w:val="00783784"/>
    <w:rsid w:val="0078474A"/>
    <w:rsid w:val="00784AB1"/>
    <w:rsid w:val="00785215"/>
    <w:rsid w:val="007852E6"/>
    <w:rsid w:val="007859A8"/>
    <w:rsid w:val="00787E66"/>
    <w:rsid w:val="00791525"/>
    <w:rsid w:val="00792DAD"/>
    <w:rsid w:val="0079372A"/>
    <w:rsid w:val="007937DB"/>
    <w:rsid w:val="00793B0C"/>
    <w:rsid w:val="007A060D"/>
    <w:rsid w:val="007A0A13"/>
    <w:rsid w:val="007A0F3F"/>
    <w:rsid w:val="007A14C0"/>
    <w:rsid w:val="007A207C"/>
    <w:rsid w:val="007A37A8"/>
    <w:rsid w:val="007A6272"/>
    <w:rsid w:val="007B1077"/>
    <w:rsid w:val="007B4E69"/>
    <w:rsid w:val="007B51F8"/>
    <w:rsid w:val="007B73FB"/>
    <w:rsid w:val="007C30A0"/>
    <w:rsid w:val="007C35BB"/>
    <w:rsid w:val="007C42EE"/>
    <w:rsid w:val="007C5450"/>
    <w:rsid w:val="007D1067"/>
    <w:rsid w:val="007D161A"/>
    <w:rsid w:val="007D181B"/>
    <w:rsid w:val="007D1B70"/>
    <w:rsid w:val="007D4116"/>
    <w:rsid w:val="007D4297"/>
    <w:rsid w:val="007D548F"/>
    <w:rsid w:val="007D5609"/>
    <w:rsid w:val="007D57E3"/>
    <w:rsid w:val="007D5817"/>
    <w:rsid w:val="007E02D5"/>
    <w:rsid w:val="007E55C0"/>
    <w:rsid w:val="007E7566"/>
    <w:rsid w:val="007F1C85"/>
    <w:rsid w:val="007F2196"/>
    <w:rsid w:val="007F7724"/>
    <w:rsid w:val="0080166D"/>
    <w:rsid w:val="00805127"/>
    <w:rsid w:val="00805A9B"/>
    <w:rsid w:val="00807E84"/>
    <w:rsid w:val="00810C0C"/>
    <w:rsid w:val="008120E8"/>
    <w:rsid w:val="00812BED"/>
    <w:rsid w:val="0081448B"/>
    <w:rsid w:val="00814F65"/>
    <w:rsid w:val="00815330"/>
    <w:rsid w:val="00820A17"/>
    <w:rsid w:val="00822270"/>
    <w:rsid w:val="00822A60"/>
    <w:rsid w:val="00822AB4"/>
    <w:rsid w:val="0082367E"/>
    <w:rsid w:val="0082446E"/>
    <w:rsid w:val="00825D92"/>
    <w:rsid w:val="00827BDA"/>
    <w:rsid w:val="00827E3B"/>
    <w:rsid w:val="008309C5"/>
    <w:rsid w:val="00832074"/>
    <w:rsid w:val="00834216"/>
    <w:rsid w:val="00836416"/>
    <w:rsid w:val="008409F0"/>
    <w:rsid w:val="00841805"/>
    <w:rsid w:val="00842F22"/>
    <w:rsid w:val="00846EF5"/>
    <w:rsid w:val="008513FB"/>
    <w:rsid w:val="00853262"/>
    <w:rsid w:val="0085520F"/>
    <w:rsid w:val="00857BF4"/>
    <w:rsid w:val="0086057A"/>
    <w:rsid w:val="00860BC3"/>
    <w:rsid w:val="00860CB5"/>
    <w:rsid w:val="00862A26"/>
    <w:rsid w:val="008641F7"/>
    <w:rsid w:val="00864F36"/>
    <w:rsid w:val="008657D4"/>
    <w:rsid w:val="00867DAF"/>
    <w:rsid w:val="008721FD"/>
    <w:rsid w:val="008730FB"/>
    <w:rsid w:val="00873D52"/>
    <w:rsid w:val="00874995"/>
    <w:rsid w:val="00874F82"/>
    <w:rsid w:val="00875782"/>
    <w:rsid w:val="00875A4A"/>
    <w:rsid w:val="008768A5"/>
    <w:rsid w:val="008803F6"/>
    <w:rsid w:val="00881732"/>
    <w:rsid w:val="00881735"/>
    <w:rsid w:val="00882A78"/>
    <w:rsid w:val="008834EE"/>
    <w:rsid w:val="008865E1"/>
    <w:rsid w:val="00892CFF"/>
    <w:rsid w:val="00895ED2"/>
    <w:rsid w:val="008A01C2"/>
    <w:rsid w:val="008A192D"/>
    <w:rsid w:val="008A1AB8"/>
    <w:rsid w:val="008A4AF5"/>
    <w:rsid w:val="008A50DC"/>
    <w:rsid w:val="008A57A8"/>
    <w:rsid w:val="008A6BBB"/>
    <w:rsid w:val="008B0EC2"/>
    <w:rsid w:val="008B10D6"/>
    <w:rsid w:val="008B1340"/>
    <w:rsid w:val="008B1418"/>
    <w:rsid w:val="008B166F"/>
    <w:rsid w:val="008B3A1C"/>
    <w:rsid w:val="008B5C9A"/>
    <w:rsid w:val="008B5FA5"/>
    <w:rsid w:val="008B6892"/>
    <w:rsid w:val="008C0BC6"/>
    <w:rsid w:val="008C157F"/>
    <w:rsid w:val="008C163D"/>
    <w:rsid w:val="008C2B1F"/>
    <w:rsid w:val="008C63F3"/>
    <w:rsid w:val="008D05FB"/>
    <w:rsid w:val="008D2FB3"/>
    <w:rsid w:val="008D379C"/>
    <w:rsid w:val="008D3DB6"/>
    <w:rsid w:val="008D40EE"/>
    <w:rsid w:val="008D48C3"/>
    <w:rsid w:val="008E0466"/>
    <w:rsid w:val="008E0B32"/>
    <w:rsid w:val="008E2EC6"/>
    <w:rsid w:val="008E4FFB"/>
    <w:rsid w:val="008E5BA5"/>
    <w:rsid w:val="008E7055"/>
    <w:rsid w:val="008F08BD"/>
    <w:rsid w:val="008F42D0"/>
    <w:rsid w:val="008F69A8"/>
    <w:rsid w:val="00902755"/>
    <w:rsid w:val="00907684"/>
    <w:rsid w:val="0090791D"/>
    <w:rsid w:val="009118D2"/>
    <w:rsid w:val="0091318D"/>
    <w:rsid w:val="00913B2B"/>
    <w:rsid w:val="00916012"/>
    <w:rsid w:val="00916558"/>
    <w:rsid w:val="00922298"/>
    <w:rsid w:val="00922A2E"/>
    <w:rsid w:val="00922E81"/>
    <w:rsid w:val="00923E78"/>
    <w:rsid w:val="009277B5"/>
    <w:rsid w:val="00931786"/>
    <w:rsid w:val="00932219"/>
    <w:rsid w:val="009343FA"/>
    <w:rsid w:val="009425CA"/>
    <w:rsid w:val="00943B1A"/>
    <w:rsid w:val="00950255"/>
    <w:rsid w:val="009515BA"/>
    <w:rsid w:val="00955225"/>
    <w:rsid w:val="009561F2"/>
    <w:rsid w:val="0095686F"/>
    <w:rsid w:val="00957F75"/>
    <w:rsid w:val="00960105"/>
    <w:rsid w:val="009607B4"/>
    <w:rsid w:val="00964195"/>
    <w:rsid w:val="00966050"/>
    <w:rsid w:val="009679E7"/>
    <w:rsid w:val="009704CB"/>
    <w:rsid w:val="0097379B"/>
    <w:rsid w:val="009800EA"/>
    <w:rsid w:val="00981454"/>
    <w:rsid w:val="00981489"/>
    <w:rsid w:val="009821DC"/>
    <w:rsid w:val="00983146"/>
    <w:rsid w:val="00985699"/>
    <w:rsid w:val="009860AC"/>
    <w:rsid w:val="009879D6"/>
    <w:rsid w:val="009922A0"/>
    <w:rsid w:val="00993B64"/>
    <w:rsid w:val="009972CA"/>
    <w:rsid w:val="009A0A82"/>
    <w:rsid w:val="009A3B7B"/>
    <w:rsid w:val="009A42A6"/>
    <w:rsid w:val="009A7DC7"/>
    <w:rsid w:val="009B2215"/>
    <w:rsid w:val="009B2352"/>
    <w:rsid w:val="009B28B7"/>
    <w:rsid w:val="009B2C0D"/>
    <w:rsid w:val="009B3A8F"/>
    <w:rsid w:val="009B56AF"/>
    <w:rsid w:val="009B5B57"/>
    <w:rsid w:val="009B6223"/>
    <w:rsid w:val="009C37FF"/>
    <w:rsid w:val="009C60A0"/>
    <w:rsid w:val="009C6302"/>
    <w:rsid w:val="009C7269"/>
    <w:rsid w:val="009C79EA"/>
    <w:rsid w:val="009D1D27"/>
    <w:rsid w:val="009D1FAF"/>
    <w:rsid w:val="009D3265"/>
    <w:rsid w:val="009D36F3"/>
    <w:rsid w:val="009D42A2"/>
    <w:rsid w:val="009D42E3"/>
    <w:rsid w:val="009D4ECA"/>
    <w:rsid w:val="009E120C"/>
    <w:rsid w:val="009E3DF3"/>
    <w:rsid w:val="009E787C"/>
    <w:rsid w:val="009E7D1F"/>
    <w:rsid w:val="009F0227"/>
    <w:rsid w:val="009F06D2"/>
    <w:rsid w:val="009F0B8B"/>
    <w:rsid w:val="009F0D16"/>
    <w:rsid w:val="009F2F78"/>
    <w:rsid w:val="009F5045"/>
    <w:rsid w:val="009F5D50"/>
    <w:rsid w:val="009F5D71"/>
    <w:rsid w:val="009F79FD"/>
    <w:rsid w:val="00A0264F"/>
    <w:rsid w:val="00A0299A"/>
    <w:rsid w:val="00A03B92"/>
    <w:rsid w:val="00A04F19"/>
    <w:rsid w:val="00A053E5"/>
    <w:rsid w:val="00A0544B"/>
    <w:rsid w:val="00A1363E"/>
    <w:rsid w:val="00A147B7"/>
    <w:rsid w:val="00A167CD"/>
    <w:rsid w:val="00A2003A"/>
    <w:rsid w:val="00A202E4"/>
    <w:rsid w:val="00A20CC1"/>
    <w:rsid w:val="00A22892"/>
    <w:rsid w:val="00A245B7"/>
    <w:rsid w:val="00A24B74"/>
    <w:rsid w:val="00A3270E"/>
    <w:rsid w:val="00A32B9E"/>
    <w:rsid w:val="00A330E9"/>
    <w:rsid w:val="00A3453C"/>
    <w:rsid w:val="00A3519D"/>
    <w:rsid w:val="00A351EC"/>
    <w:rsid w:val="00A35CDA"/>
    <w:rsid w:val="00A371BC"/>
    <w:rsid w:val="00A372DA"/>
    <w:rsid w:val="00A43ADD"/>
    <w:rsid w:val="00A43BEC"/>
    <w:rsid w:val="00A44212"/>
    <w:rsid w:val="00A45676"/>
    <w:rsid w:val="00A47923"/>
    <w:rsid w:val="00A50CE7"/>
    <w:rsid w:val="00A52A02"/>
    <w:rsid w:val="00A53B5C"/>
    <w:rsid w:val="00A53D42"/>
    <w:rsid w:val="00A53EF0"/>
    <w:rsid w:val="00A556B3"/>
    <w:rsid w:val="00A55B6A"/>
    <w:rsid w:val="00A55EB4"/>
    <w:rsid w:val="00A564C1"/>
    <w:rsid w:val="00A57314"/>
    <w:rsid w:val="00A625A3"/>
    <w:rsid w:val="00A62E4B"/>
    <w:rsid w:val="00A64C9F"/>
    <w:rsid w:val="00A66892"/>
    <w:rsid w:val="00A6717E"/>
    <w:rsid w:val="00A67599"/>
    <w:rsid w:val="00A67EAC"/>
    <w:rsid w:val="00A72300"/>
    <w:rsid w:val="00A7374C"/>
    <w:rsid w:val="00A752F5"/>
    <w:rsid w:val="00A7603A"/>
    <w:rsid w:val="00A76BDE"/>
    <w:rsid w:val="00A772E5"/>
    <w:rsid w:val="00A77492"/>
    <w:rsid w:val="00A85098"/>
    <w:rsid w:val="00A85643"/>
    <w:rsid w:val="00A86BE8"/>
    <w:rsid w:val="00A8709E"/>
    <w:rsid w:val="00A8746B"/>
    <w:rsid w:val="00A901BC"/>
    <w:rsid w:val="00A90985"/>
    <w:rsid w:val="00A91CC1"/>
    <w:rsid w:val="00A92A03"/>
    <w:rsid w:val="00A930EF"/>
    <w:rsid w:val="00A96F31"/>
    <w:rsid w:val="00AA0C88"/>
    <w:rsid w:val="00AA14B5"/>
    <w:rsid w:val="00AA2F91"/>
    <w:rsid w:val="00AA32AE"/>
    <w:rsid w:val="00AA42BF"/>
    <w:rsid w:val="00AA4B65"/>
    <w:rsid w:val="00AA5851"/>
    <w:rsid w:val="00AB0357"/>
    <w:rsid w:val="00AB4DAE"/>
    <w:rsid w:val="00AB4E64"/>
    <w:rsid w:val="00AB4EA8"/>
    <w:rsid w:val="00AC0073"/>
    <w:rsid w:val="00AC2ED9"/>
    <w:rsid w:val="00AC3D7F"/>
    <w:rsid w:val="00AC5F7A"/>
    <w:rsid w:val="00AD0360"/>
    <w:rsid w:val="00AD07A5"/>
    <w:rsid w:val="00AD16DD"/>
    <w:rsid w:val="00AD1E45"/>
    <w:rsid w:val="00AD44FD"/>
    <w:rsid w:val="00AD526E"/>
    <w:rsid w:val="00AD6E07"/>
    <w:rsid w:val="00AD7F37"/>
    <w:rsid w:val="00AE2EEA"/>
    <w:rsid w:val="00AE3AF7"/>
    <w:rsid w:val="00AE6734"/>
    <w:rsid w:val="00AE7438"/>
    <w:rsid w:val="00AE7FC9"/>
    <w:rsid w:val="00AF022F"/>
    <w:rsid w:val="00AF2B8C"/>
    <w:rsid w:val="00AF31C5"/>
    <w:rsid w:val="00AF3489"/>
    <w:rsid w:val="00AF5B4A"/>
    <w:rsid w:val="00AF6906"/>
    <w:rsid w:val="00AF76BE"/>
    <w:rsid w:val="00AF7E83"/>
    <w:rsid w:val="00B037F7"/>
    <w:rsid w:val="00B04453"/>
    <w:rsid w:val="00B04CEB"/>
    <w:rsid w:val="00B05643"/>
    <w:rsid w:val="00B05AF5"/>
    <w:rsid w:val="00B11D59"/>
    <w:rsid w:val="00B129AC"/>
    <w:rsid w:val="00B15CDF"/>
    <w:rsid w:val="00B16337"/>
    <w:rsid w:val="00B1703A"/>
    <w:rsid w:val="00B17F0F"/>
    <w:rsid w:val="00B257F8"/>
    <w:rsid w:val="00B276DF"/>
    <w:rsid w:val="00B309BF"/>
    <w:rsid w:val="00B345CC"/>
    <w:rsid w:val="00B36A20"/>
    <w:rsid w:val="00B37402"/>
    <w:rsid w:val="00B37524"/>
    <w:rsid w:val="00B4373C"/>
    <w:rsid w:val="00B44622"/>
    <w:rsid w:val="00B46DE9"/>
    <w:rsid w:val="00B54AE6"/>
    <w:rsid w:val="00B563EF"/>
    <w:rsid w:val="00B5643A"/>
    <w:rsid w:val="00B56C51"/>
    <w:rsid w:val="00B6174A"/>
    <w:rsid w:val="00B6201C"/>
    <w:rsid w:val="00B622B3"/>
    <w:rsid w:val="00B640C8"/>
    <w:rsid w:val="00B64827"/>
    <w:rsid w:val="00B65287"/>
    <w:rsid w:val="00B66C60"/>
    <w:rsid w:val="00B66F08"/>
    <w:rsid w:val="00B67EA9"/>
    <w:rsid w:val="00B7112C"/>
    <w:rsid w:val="00B7470B"/>
    <w:rsid w:val="00B74B9B"/>
    <w:rsid w:val="00B7589A"/>
    <w:rsid w:val="00B7635B"/>
    <w:rsid w:val="00B769E4"/>
    <w:rsid w:val="00B803C7"/>
    <w:rsid w:val="00B82561"/>
    <w:rsid w:val="00B83CDA"/>
    <w:rsid w:val="00B84707"/>
    <w:rsid w:val="00B85C4C"/>
    <w:rsid w:val="00B91CDB"/>
    <w:rsid w:val="00B9479E"/>
    <w:rsid w:val="00B95A17"/>
    <w:rsid w:val="00B95E9E"/>
    <w:rsid w:val="00BA2FB5"/>
    <w:rsid w:val="00BA3724"/>
    <w:rsid w:val="00BA380D"/>
    <w:rsid w:val="00BA3BD6"/>
    <w:rsid w:val="00BA51BC"/>
    <w:rsid w:val="00BA7C3F"/>
    <w:rsid w:val="00BB0FE4"/>
    <w:rsid w:val="00BB14F9"/>
    <w:rsid w:val="00BB189A"/>
    <w:rsid w:val="00BB79E6"/>
    <w:rsid w:val="00BC1002"/>
    <w:rsid w:val="00BC29EA"/>
    <w:rsid w:val="00BC4893"/>
    <w:rsid w:val="00BC6F3E"/>
    <w:rsid w:val="00BD0A92"/>
    <w:rsid w:val="00BD100C"/>
    <w:rsid w:val="00BD18DC"/>
    <w:rsid w:val="00BD1BB0"/>
    <w:rsid w:val="00BD359C"/>
    <w:rsid w:val="00BD4E4F"/>
    <w:rsid w:val="00BD7DE8"/>
    <w:rsid w:val="00BE00A2"/>
    <w:rsid w:val="00BE1388"/>
    <w:rsid w:val="00BE64A1"/>
    <w:rsid w:val="00BF1B20"/>
    <w:rsid w:val="00BF2774"/>
    <w:rsid w:val="00BF3250"/>
    <w:rsid w:val="00BF5744"/>
    <w:rsid w:val="00BF61C1"/>
    <w:rsid w:val="00BF7D07"/>
    <w:rsid w:val="00C008BD"/>
    <w:rsid w:val="00C01983"/>
    <w:rsid w:val="00C02A84"/>
    <w:rsid w:val="00C02D0B"/>
    <w:rsid w:val="00C04D47"/>
    <w:rsid w:val="00C06C12"/>
    <w:rsid w:val="00C11911"/>
    <w:rsid w:val="00C1265D"/>
    <w:rsid w:val="00C129BE"/>
    <w:rsid w:val="00C13866"/>
    <w:rsid w:val="00C2120F"/>
    <w:rsid w:val="00C22988"/>
    <w:rsid w:val="00C24777"/>
    <w:rsid w:val="00C2686C"/>
    <w:rsid w:val="00C27190"/>
    <w:rsid w:val="00C2719E"/>
    <w:rsid w:val="00C27406"/>
    <w:rsid w:val="00C30C41"/>
    <w:rsid w:val="00C326A4"/>
    <w:rsid w:val="00C33B13"/>
    <w:rsid w:val="00C33E32"/>
    <w:rsid w:val="00C3605D"/>
    <w:rsid w:val="00C37D0B"/>
    <w:rsid w:val="00C37DDC"/>
    <w:rsid w:val="00C42858"/>
    <w:rsid w:val="00C43131"/>
    <w:rsid w:val="00C4355F"/>
    <w:rsid w:val="00C436C2"/>
    <w:rsid w:val="00C447F1"/>
    <w:rsid w:val="00C44A34"/>
    <w:rsid w:val="00C45764"/>
    <w:rsid w:val="00C4718E"/>
    <w:rsid w:val="00C476F5"/>
    <w:rsid w:val="00C51A21"/>
    <w:rsid w:val="00C51DCA"/>
    <w:rsid w:val="00C52C1B"/>
    <w:rsid w:val="00C54721"/>
    <w:rsid w:val="00C57B1E"/>
    <w:rsid w:val="00C57B54"/>
    <w:rsid w:val="00C619E0"/>
    <w:rsid w:val="00C62583"/>
    <w:rsid w:val="00C64502"/>
    <w:rsid w:val="00C647B3"/>
    <w:rsid w:val="00C65B30"/>
    <w:rsid w:val="00C66E10"/>
    <w:rsid w:val="00C7086A"/>
    <w:rsid w:val="00C71142"/>
    <w:rsid w:val="00C71CD1"/>
    <w:rsid w:val="00C74CC7"/>
    <w:rsid w:val="00C80EB1"/>
    <w:rsid w:val="00C812B6"/>
    <w:rsid w:val="00C82BCA"/>
    <w:rsid w:val="00C83CEC"/>
    <w:rsid w:val="00C845DD"/>
    <w:rsid w:val="00C84909"/>
    <w:rsid w:val="00C86BF3"/>
    <w:rsid w:val="00C8738F"/>
    <w:rsid w:val="00C875DF"/>
    <w:rsid w:val="00C90AA9"/>
    <w:rsid w:val="00C91C6B"/>
    <w:rsid w:val="00C93958"/>
    <w:rsid w:val="00C963F0"/>
    <w:rsid w:val="00CA0039"/>
    <w:rsid w:val="00CA4531"/>
    <w:rsid w:val="00CA7F52"/>
    <w:rsid w:val="00CB124B"/>
    <w:rsid w:val="00CB4E61"/>
    <w:rsid w:val="00CB6C87"/>
    <w:rsid w:val="00CB7021"/>
    <w:rsid w:val="00CC0AA3"/>
    <w:rsid w:val="00CC0C09"/>
    <w:rsid w:val="00CC1E3A"/>
    <w:rsid w:val="00CC4621"/>
    <w:rsid w:val="00CC78BE"/>
    <w:rsid w:val="00CD1882"/>
    <w:rsid w:val="00CD1EF1"/>
    <w:rsid w:val="00CD2157"/>
    <w:rsid w:val="00CD34AD"/>
    <w:rsid w:val="00CD3AF4"/>
    <w:rsid w:val="00CD55B5"/>
    <w:rsid w:val="00CD5D7E"/>
    <w:rsid w:val="00CD7601"/>
    <w:rsid w:val="00CD787B"/>
    <w:rsid w:val="00CD78EF"/>
    <w:rsid w:val="00CE035F"/>
    <w:rsid w:val="00CE1A84"/>
    <w:rsid w:val="00CE22F9"/>
    <w:rsid w:val="00CE3868"/>
    <w:rsid w:val="00CE66D4"/>
    <w:rsid w:val="00CF0110"/>
    <w:rsid w:val="00CF2464"/>
    <w:rsid w:val="00CF3933"/>
    <w:rsid w:val="00CF6523"/>
    <w:rsid w:val="00D00C71"/>
    <w:rsid w:val="00D00D25"/>
    <w:rsid w:val="00D019F1"/>
    <w:rsid w:val="00D01F70"/>
    <w:rsid w:val="00D02636"/>
    <w:rsid w:val="00D02CA2"/>
    <w:rsid w:val="00D02FF8"/>
    <w:rsid w:val="00D106DB"/>
    <w:rsid w:val="00D14B89"/>
    <w:rsid w:val="00D15A5B"/>
    <w:rsid w:val="00D175EA"/>
    <w:rsid w:val="00D17728"/>
    <w:rsid w:val="00D21F29"/>
    <w:rsid w:val="00D23DBA"/>
    <w:rsid w:val="00D266A8"/>
    <w:rsid w:val="00D30618"/>
    <w:rsid w:val="00D32214"/>
    <w:rsid w:val="00D322AE"/>
    <w:rsid w:val="00D32D2D"/>
    <w:rsid w:val="00D33C72"/>
    <w:rsid w:val="00D3402B"/>
    <w:rsid w:val="00D34071"/>
    <w:rsid w:val="00D34770"/>
    <w:rsid w:val="00D3797B"/>
    <w:rsid w:val="00D454A9"/>
    <w:rsid w:val="00D4579A"/>
    <w:rsid w:val="00D47185"/>
    <w:rsid w:val="00D50565"/>
    <w:rsid w:val="00D50E6A"/>
    <w:rsid w:val="00D50EA0"/>
    <w:rsid w:val="00D51090"/>
    <w:rsid w:val="00D51B0B"/>
    <w:rsid w:val="00D51C0C"/>
    <w:rsid w:val="00D5277B"/>
    <w:rsid w:val="00D53998"/>
    <w:rsid w:val="00D54607"/>
    <w:rsid w:val="00D55151"/>
    <w:rsid w:val="00D62CB9"/>
    <w:rsid w:val="00D63B31"/>
    <w:rsid w:val="00D6524F"/>
    <w:rsid w:val="00D6527B"/>
    <w:rsid w:val="00D65866"/>
    <w:rsid w:val="00D6674D"/>
    <w:rsid w:val="00D6793E"/>
    <w:rsid w:val="00D67B09"/>
    <w:rsid w:val="00D67B31"/>
    <w:rsid w:val="00D72E6D"/>
    <w:rsid w:val="00D74A19"/>
    <w:rsid w:val="00D75F72"/>
    <w:rsid w:val="00D77347"/>
    <w:rsid w:val="00D81577"/>
    <w:rsid w:val="00D81D2C"/>
    <w:rsid w:val="00D919E6"/>
    <w:rsid w:val="00D940B1"/>
    <w:rsid w:val="00D951E9"/>
    <w:rsid w:val="00D95351"/>
    <w:rsid w:val="00D95A3B"/>
    <w:rsid w:val="00D97039"/>
    <w:rsid w:val="00DA4651"/>
    <w:rsid w:val="00DB4BBD"/>
    <w:rsid w:val="00DB52FB"/>
    <w:rsid w:val="00DC07DC"/>
    <w:rsid w:val="00DC1FCF"/>
    <w:rsid w:val="00DC2736"/>
    <w:rsid w:val="00DC2A3A"/>
    <w:rsid w:val="00DC3A4D"/>
    <w:rsid w:val="00DC4E3A"/>
    <w:rsid w:val="00DC584C"/>
    <w:rsid w:val="00DC5C21"/>
    <w:rsid w:val="00DC6A38"/>
    <w:rsid w:val="00DD2E6C"/>
    <w:rsid w:val="00DD338A"/>
    <w:rsid w:val="00DD46BC"/>
    <w:rsid w:val="00DD51A7"/>
    <w:rsid w:val="00DE084A"/>
    <w:rsid w:val="00DE2116"/>
    <w:rsid w:val="00DE43DC"/>
    <w:rsid w:val="00DE5B01"/>
    <w:rsid w:val="00DF17FC"/>
    <w:rsid w:val="00DF3E48"/>
    <w:rsid w:val="00DF4DF8"/>
    <w:rsid w:val="00DF5404"/>
    <w:rsid w:val="00DF5A5D"/>
    <w:rsid w:val="00DF6050"/>
    <w:rsid w:val="00DF672F"/>
    <w:rsid w:val="00DF7C59"/>
    <w:rsid w:val="00E0330E"/>
    <w:rsid w:val="00E06D44"/>
    <w:rsid w:val="00E07933"/>
    <w:rsid w:val="00E07F77"/>
    <w:rsid w:val="00E12191"/>
    <w:rsid w:val="00E129E2"/>
    <w:rsid w:val="00E1711F"/>
    <w:rsid w:val="00E20144"/>
    <w:rsid w:val="00E20514"/>
    <w:rsid w:val="00E20DFE"/>
    <w:rsid w:val="00E214FA"/>
    <w:rsid w:val="00E228A0"/>
    <w:rsid w:val="00E23116"/>
    <w:rsid w:val="00E23E9A"/>
    <w:rsid w:val="00E25099"/>
    <w:rsid w:val="00E279D5"/>
    <w:rsid w:val="00E27D7A"/>
    <w:rsid w:val="00E3140B"/>
    <w:rsid w:val="00E32F16"/>
    <w:rsid w:val="00E3485C"/>
    <w:rsid w:val="00E352C3"/>
    <w:rsid w:val="00E35D6E"/>
    <w:rsid w:val="00E36F70"/>
    <w:rsid w:val="00E44093"/>
    <w:rsid w:val="00E44393"/>
    <w:rsid w:val="00E44E33"/>
    <w:rsid w:val="00E45636"/>
    <w:rsid w:val="00E4611A"/>
    <w:rsid w:val="00E47729"/>
    <w:rsid w:val="00E50DBF"/>
    <w:rsid w:val="00E55BFD"/>
    <w:rsid w:val="00E56247"/>
    <w:rsid w:val="00E569DE"/>
    <w:rsid w:val="00E5767F"/>
    <w:rsid w:val="00E57A73"/>
    <w:rsid w:val="00E61227"/>
    <w:rsid w:val="00E65DA2"/>
    <w:rsid w:val="00E66785"/>
    <w:rsid w:val="00E71FDF"/>
    <w:rsid w:val="00E77437"/>
    <w:rsid w:val="00E8179F"/>
    <w:rsid w:val="00E81A07"/>
    <w:rsid w:val="00E82251"/>
    <w:rsid w:val="00E83286"/>
    <w:rsid w:val="00E83D6D"/>
    <w:rsid w:val="00E8530F"/>
    <w:rsid w:val="00E95B9F"/>
    <w:rsid w:val="00E97B1B"/>
    <w:rsid w:val="00E97C12"/>
    <w:rsid w:val="00EA2243"/>
    <w:rsid w:val="00EA22E7"/>
    <w:rsid w:val="00EA4158"/>
    <w:rsid w:val="00EB04D0"/>
    <w:rsid w:val="00EB15E1"/>
    <w:rsid w:val="00EB3A06"/>
    <w:rsid w:val="00EB4789"/>
    <w:rsid w:val="00EC1674"/>
    <w:rsid w:val="00EC288A"/>
    <w:rsid w:val="00EC5219"/>
    <w:rsid w:val="00EC6BD3"/>
    <w:rsid w:val="00ED0BE4"/>
    <w:rsid w:val="00ED176F"/>
    <w:rsid w:val="00ED1789"/>
    <w:rsid w:val="00ED1FD7"/>
    <w:rsid w:val="00ED2D4A"/>
    <w:rsid w:val="00ED3A35"/>
    <w:rsid w:val="00ED495D"/>
    <w:rsid w:val="00ED4E08"/>
    <w:rsid w:val="00ED53A0"/>
    <w:rsid w:val="00ED7134"/>
    <w:rsid w:val="00EE0C76"/>
    <w:rsid w:val="00EE19AD"/>
    <w:rsid w:val="00EE3B5F"/>
    <w:rsid w:val="00EE52C7"/>
    <w:rsid w:val="00EE6984"/>
    <w:rsid w:val="00EF0921"/>
    <w:rsid w:val="00EF23E5"/>
    <w:rsid w:val="00EF4E92"/>
    <w:rsid w:val="00EF4EC9"/>
    <w:rsid w:val="00F00E08"/>
    <w:rsid w:val="00F045C9"/>
    <w:rsid w:val="00F07258"/>
    <w:rsid w:val="00F13CC7"/>
    <w:rsid w:val="00F15B83"/>
    <w:rsid w:val="00F16452"/>
    <w:rsid w:val="00F17F03"/>
    <w:rsid w:val="00F20321"/>
    <w:rsid w:val="00F20703"/>
    <w:rsid w:val="00F21888"/>
    <w:rsid w:val="00F21F5B"/>
    <w:rsid w:val="00F27708"/>
    <w:rsid w:val="00F27A32"/>
    <w:rsid w:val="00F27CF2"/>
    <w:rsid w:val="00F3004F"/>
    <w:rsid w:val="00F31581"/>
    <w:rsid w:val="00F32338"/>
    <w:rsid w:val="00F32C15"/>
    <w:rsid w:val="00F36193"/>
    <w:rsid w:val="00F373A0"/>
    <w:rsid w:val="00F37AC3"/>
    <w:rsid w:val="00F41260"/>
    <w:rsid w:val="00F41ED0"/>
    <w:rsid w:val="00F42D03"/>
    <w:rsid w:val="00F4440F"/>
    <w:rsid w:val="00F4603B"/>
    <w:rsid w:val="00F46382"/>
    <w:rsid w:val="00F50493"/>
    <w:rsid w:val="00F51446"/>
    <w:rsid w:val="00F53293"/>
    <w:rsid w:val="00F54705"/>
    <w:rsid w:val="00F558D2"/>
    <w:rsid w:val="00F55CA4"/>
    <w:rsid w:val="00F56DBE"/>
    <w:rsid w:val="00F6003F"/>
    <w:rsid w:val="00F6069E"/>
    <w:rsid w:val="00F6205F"/>
    <w:rsid w:val="00F66FDA"/>
    <w:rsid w:val="00F70EB6"/>
    <w:rsid w:val="00F7117A"/>
    <w:rsid w:val="00F729E5"/>
    <w:rsid w:val="00F74588"/>
    <w:rsid w:val="00F76DA6"/>
    <w:rsid w:val="00F779F8"/>
    <w:rsid w:val="00F803FD"/>
    <w:rsid w:val="00F80478"/>
    <w:rsid w:val="00F80552"/>
    <w:rsid w:val="00F80B37"/>
    <w:rsid w:val="00F80DC4"/>
    <w:rsid w:val="00F83684"/>
    <w:rsid w:val="00F83AA1"/>
    <w:rsid w:val="00F847B4"/>
    <w:rsid w:val="00F84EBC"/>
    <w:rsid w:val="00F863F0"/>
    <w:rsid w:val="00F87145"/>
    <w:rsid w:val="00F914A3"/>
    <w:rsid w:val="00F915C2"/>
    <w:rsid w:val="00F941C4"/>
    <w:rsid w:val="00F95C93"/>
    <w:rsid w:val="00F97115"/>
    <w:rsid w:val="00F97252"/>
    <w:rsid w:val="00F97F0F"/>
    <w:rsid w:val="00FA1B0B"/>
    <w:rsid w:val="00FA22AE"/>
    <w:rsid w:val="00FA238B"/>
    <w:rsid w:val="00FA3326"/>
    <w:rsid w:val="00FA6202"/>
    <w:rsid w:val="00FB020A"/>
    <w:rsid w:val="00FB32A6"/>
    <w:rsid w:val="00FB4DC0"/>
    <w:rsid w:val="00FB52F0"/>
    <w:rsid w:val="00FB686B"/>
    <w:rsid w:val="00FB6A23"/>
    <w:rsid w:val="00FB7A62"/>
    <w:rsid w:val="00FC0F75"/>
    <w:rsid w:val="00FC3EF6"/>
    <w:rsid w:val="00FC4D37"/>
    <w:rsid w:val="00FC53DA"/>
    <w:rsid w:val="00FD0AE2"/>
    <w:rsid w:val="00FD0DA9"/>
    <w:rsid w:val="00FD1859"/>
    <w:rsid w:val="00FD1D48"/>
    <w:rsid w:val="00FD2726"/>
    <w:rsid w:val="00FD2F37"/>
    <w:rsid w:val="00FD3973"/>
    <w:rsid w:val="00FD593F"/>
    <w:rsid w:val="00FD7181"/>
    <w:rsid w:val="00FE3382"/>
    <w:rsid w:val="00FE3485"/>
    <w:rsid w:val="00FE3A54"/>
    <w:rsid w:val="00FE457D"/>
    <w:rsid w:val="00FE4F94"/>
    <w:rsid w:val="00FE7E21"/>
    <w:rsid w:val="00FF06E7"/>
    <w:rsid w:val="00FF172D"/>
    <w:rsid w:val="00FF27E4"/>
    <w:rsid w:val="00FF5452"/>
    <w:rsid w:val="00FF5CD9"/>
    <w:rsid w:val="00FF7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F69A8"/>
    <w:pPr>
      <w:widowControl w:val="0"/>
      <w:spacing w:after="240"/>
      <w:ind w:firstLine="720"/>
    </w:pPr>
  </w:style>
  <w:style w:type="character" w:customStyle="1" w:styleId="BodyTextChar">
    <w:name w:val="Body Text Char"/>
    <w:basedOn w:val="DefaultParagraphFont"/>
    <w:link w:val="BodyText"/>
    <w:uiPriority w:val="99"/>
    <w:rsid w:val="00AF31C5"/>
    <w:rPr>
      <w:rFonts w:cs="Times New Roman"/>
      <w:sz w:val="24"/>
      <w:szCs w:val="24"/>
      <w:lang w:eastAsia="en-US"/>
    </w:rPr>
  </w:style>
  <w:style w:type="paragraph" w:customStyle="1" w:styleId="BodyTextContinued">
    <w:name w:val="Body Text Continued"/>
    <w:basedOn w:val="BodyText"/>
    <w:next w:val="BodyText"/>
    <w:uiPriority w:val="99"/>
    <w:rsid w:val="008F69A8"/>
    <w:pPr>
      <w:ind w:firstLine="0"/>
    </w:pPr>
  </w:style>
  <w:style w:type="paragraph" w:styleId="Quote">
    <w:name w:val="Quote"/>
    <w:basedOn w:val="Normal"/>
    <w:next w:val="BodyTextContinued"/>
    <w:link w:val="QuoteChar"/>
    <w:uiPriority w:val="99"/>
    <w:qFormat/>
    <w:rsid w:val="008F69A8"/>
    <w:pPr>
      <w:spacing w:after="240"/>
      <w:ind w:left="1440" w:right="1440"/>
    </w:pPr>
  </w:style>
  <w:style w:type="character" w:customStyle="1" w:styleId="QuoteChar">
    <w:name w:val="Quote Char"/>
    <w:basedOn w:val="DefaultParagraphFont"/>
    <w:link w:val="Quote"/>
    <w:uiPriority w:val="99"/>
    <w:rsid w:val="00AF31C5"/>
    <w:rPr>
      <w:rFonts w:cs="Times New Roman"/>
      <w:sz w:val="24"/>
      <w:lang w:eastAsia="en-US"/>
    </w:rPr>
  </w:style>
  <w:style w:type="paragraph" w:styleId="Header">
    <w:name w:val="header"/>
    <w:basedOn w:val="Normal"/>
    <w:link w:val="HeaderChar"/>
    <w:uiPriority w:val="99"/>
    <w:rsid w:val="008F69A8"/>
    <w:pPr>
      <w:tabs>
        <w:tab w:val="center" w:pos="4680"/>
        <w:tab w:val="right" w:pos="9360"/>
      </w:tabs>
    </w:pPr>
  </w:style>
  <w:style w:type="character" w:customStyle="1" w:styleId="HeaderChar">
    <w:name w:val="Header Char"/>
    <w:basedOn w:val="DefaultParagraphFont"/>
    <w:link w:val="Header"/>
    <w:uiPriority w:val="99"/>
    <w:rsid w:val="00AF31C5"/>
    <w:rPr>
      <w:rFonts w:cs="Times New Roman"/>
      <w:sz w:val="24"/>
      <w:szCs w:val="24"/>
      <w:lang w:eastAsia="en-US"/>
    </w:rPr>
  </w:style>
  <w:style w:type="paragraph" w:styleId="Footer">
    <w:name w:val="footer"/>
    <w:basedOn w:val="Normal"/>
    <w:link w:val="FooterChar"/>
    <w:uiPriority w:val="99"/>
    <w:rsid w:val="008F69A8"/>
    <w:pPr>
      <w:tabs>
        <w:tab w:val="center" w:pos="4680"/>
        <w:tab w:val="right" w:pos="9360"/>
      </w:tabs>
    </w:pPr>
  </w:style>
  <w:style w:type="character" w:customStyle="1" w:styleId="FooterChar">
    <w:name w:val="Footer Char"/>
    <w:basedOn w:val="DefaultParagraphFont"/>
    <w:link w:val="Footer"/>
    <w:uiPriority w:val="99"/>
    <w:rsid w:val="00AF31C5"/>
    <w:rPr>
      <w:rFonts w:cs="Times New Roman"/>
      <w:sz w:val="24"/>
      <w:szCs w:val="24"/>
      <w:lang w:eastAsia="en-US"/>
    </w:rPr>
  </w:style>
  <w:style w:type="character" w:styleId="PageNumber">
    <w:name w:val="page number"/>
    <w:basedOn w:val="DefaultParagraphFont"/>
    <w:uiPriority w:val="99"/>
    <w:rsid w:val="008F69A8"/>
    <w:rPr>
      <w:rFonts w:cs="Times New Roman"/>
    </w:rPr>
  </w:style>
  <w:style w:type="paragraph" w:customStyle="1" w:styleId="Default">
    <w:name w:val="Default"/>
    <w:uiPriority w:val="99"/>
    <w:rsid w:val="00CD2157"/>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CD2157"/>
    <w:pPr>
      <w:ind w:left="720"/>
      <w:contextualSpacing/>
    </w:pPr>
  </w:style>
  <w:style w:type="paragraph" w:customStyle="1" w:styleId="BulletDS">
    <w:name w:val="Bullet DS"/>
    <w:basedOn w:val="Normal"/>
    <w:uiPriority w:val="99"/>
    <w:rsid w:val="00CD2157"/>
    <w:pPr>
      <w:numPr>
        <w:numId w:val="8"/>
      </w:numPr>
      <w:tabs>
        <w:tab w:val="left" w:pos="216"/>
        <w:tab w:val="left" w:pos="533"/>
        <w:tab w:val="left" w:pos="734"/>
      </w:tabs>
      <w:spacing w:after="260" w:line="260" w:lineRule="atLeast"/>
    </w:pPr>
    <w:rPr>
      <w:rFonts w:ascii="Arial" w:hAnsi="Arial" w:cs="Arial"/>
    </w:rPr>
  </w:style>
  <w:style w:type="paragraph" w:customStyle="1" w:styleId="EnDashDS">
    <w:name w:val="EnDash DS"/>
    <w:basedOn w:val="Normal"/>
    <w:uiPriority w:val="99"/>
    <w:rsid w:val="00CD2157"/>
    <w:pPr>
      <w:numPr>
        <w:ilvl w:val="2"/>
        <w:numId w:val="8"/>
      </w:numPr>
      <w:tabs>
        <w:tab w:val="left" w:pos="734"/>
      </w:tabs>
      <w:spacing w:after="260" w:line="260" w:lineRule="atLeast"/>
    </w:pPr>
    <w:rPr>
      <w:rFonts w:ascii="Arial" w:hAnsi="Arial" w:cs="Arial"/>
    </w:rPr>
  </w:style>
  <w:style w:type="paragraph" w:customStyle="1" w:styleId="NormalDS">
    <w:name w:val="Normal DS"/>
    <w:basedOn w:val="Normal"/>
    <w:uiPriority w:val="99"/>
    <w:rsid w:val="00CD2157"/>
    <w:pPr>
      <w:spacing w:after="260" w:line="260" w:lineRule="atLeast"/>
    </w:pPr>
    <w:rPr>
      <w:rFonts w:ascii="Arial" w:hAnsi="Arial" w:cs="Arial"/>
    </w:rPr>
  </w:style>
  <w:style w:type="character" w:styleId="LineNumber">
    <w:name w:val="line number"/>
    <w:uiPriority w:val="99"/>
    <w:rsid w:val="009561F2"/>
    <w:rPr>
      <w:rFonts w:ascii="Arial" w:hAnsi="Arial" w:cs="Arial"/>
      <w:sz w:val="24"/>
      <w:szCs w:val="24"/>
    </w:rPr>
  </w:style>
  <w:style w:type="character" w:customStyle="1" w:styleId="zzmpTrailerItem">
    <w:name w:val="zzmpTrailerItem"/>
    <w:basedOn w:val="DefaultParagraphFont"/>
    <w:uiPriority w:val="99"/>
    <w:rsid w:val="00F16452"/>
    <w:rPr>
      <w:rFonts w:ascii="Times New Roman" w:hAnsi="Times New Roman" w:cs="Times New Roman"/>
      <w:noProof/>
      <w:color w:val="auto"/>
      <w:spacing w:val="0"/>
      <w:position w:val="0"/>
      <w:sz w:val="16"/>
      <w:szCs w:val="16"/>
      <w:u w:val="none"/>
      <w:effect w:val="antsRed"/>
      <w:vertAlign w:val="baseline"/>
    </w:rPr>
  </w:style>
  <w:style w:type="paragraph" w:styleId="BalloonText">
    <w:name w:val="Balloon Text"/>
    <w:basedOn w:val="Normal"/>
    <w:link w:val="BalloonTextChar"/>
    <w:uiPriority w:val="99"/>
    <w:semiHidden/>
    <w:rsid w:val="00BE64A1"/>
    <w:rPr>
      <w:rFonts w:ascii="Tahoma" w:hAnsi="Tahoma" w:cs="Tahoma"/>
      <w:sz w:val="16"/>
      <w:szCs w:val="16"/>
    </w:rPr>
  </w:style>
  <w:style w:type="character" w:customStyle="1" w:styleId="BalloonTextChar">
    <w:name w:val="Balloon Text Char"/>
    <w:basedOn w:val="DefaultParagraphFont"/>
    <w:link w:val="BalloonText"/>
    <w:uiPriority w:val="99"/>
    <w:rsid w:val="00BE64A1"/>
    <w:rPr>
      <w:rFonts w:ascii="Tahoma" w:hAnsi="Tahoma" w:cs="Tahoma"/>
      <w:sz w:val="16"/>
      <w:szCs w:val="16"/>
      <w:lang w:eastAsia="en-US"/>
    </w:rPr>
  </w:style>
  <w:style w:type="character" w:styleId="CommentReference">
    <w:name w:val="annotation reference"/>
    <w:basedOn w:val="DefaultParagraphFont"/>
    <w:uiPriority w:val="99"/>
    <w:semiHidden/>
    <w:rsid w:val="003A69BC"/>
    <w:rPr>
      <w:rFonts w:cs="Times New Roman"/>
      <w:sz w:val="16"/>
      <w:szCs w:val="16"/>
    </w:rPr>
  </w:style>
  <w:style w:type="paragraph" w:styleId="CommentText">
    <w:name w:val="annotation text"/>
    <w:basedOn w:val="Normal"/>
    <w:link w:val="CommentTextChar"/>
    <w:uiPriority w:val="99"/>
    <w:semiHidden/>
    <w:rsid w:val="003A69BC"/>
  </w:style>
  <w:style w:type="character" w:customStyle="1" w:styleId="CommentTextChar">
    <w:name w:val="Comment Text Char"/>
    <w:basedOn w:val="DefaultParagraphFont"/>
    <w:link w:val="CommentText"/>
    <w:uiPriority w:val="99"/>
    <w:rsid w:val="003A69BC"/>
    <w:rPr>
      <w:rFonts w:cs="Times New Roman"/>
      <w:lang w:eastAsia="en-US"/>
    </w:rPr>
  </w:style>
  <w:style w:type="paragraph" w:styleId="CommentSubject">
    <w:name w:val="annotation subject"/>
    <w:basedOn w:val="CommentText"/>
    <w:next w:val="CommentText"/>
    <w:link w:val="CommentSubjectChar"/>
    <w:uiPriority w:val="99"/>
    <w:semiHidden/>
    <w:rsid w:val="003A69BC"/>
    <w:rPr>
      <w:b/>
      <w:bCs/>
    </w:rPr>
  </w:style>
  <w:style w:type="character" w:customStyle="1" w:styleId="CommentSubjectChar">
    <w:name w:val="Comment Subject Char"/>
    <w:basedOn w:val="CommentTextChar"/>
    <w:link w:val="CommentSubject"/>
    <w:uiPriority w:val="99"/>
    <w:rsid w:val="003A69BC"/>
    <w:rPr>
      <w:b/>
      <w:bCs/>
    </w:rPr>
  </w:style>
  <w:style w:type="paragraph" w:styleId="Revision">
    <w:name w:val="Revision"/>
    <w:hidden/>
    <w:uiPriority w:val="99"/>
    <w:semiHidden/>
    <w:rsid w:val="00C52C1B"/>
    <w:rPr>
      <w:sz w:val="20"/>
      <w:szCs w:val="20"/>
    </w:rPr>
  </w:style>
  <w:style w:type="table" w:styleId="TableGrid">
    <w:name w:val="Table Grid"/>
    <w:basedOn w:val="TableNormal"/>
    <w:uiPriority w:val="99"/>
    <w:rsid w:val="00AA14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53FB2"/>
    <w:rPr>
      <w:rFonts w:cs="Times New Roman"/>
      <w:b/>
      <w:bCs/>
    </w:rPr>
  </w:style>
</w:styles>
</file>

<file path=word/webSettings.xml><?xml version="1.0" encoding="utf-8"?>
<w:webSettings xmlns:r="http://schemas.openxmlformats.org/officeDocument/2006/relationships" xmlns:w="http://schemas.openxmlformats.org/wordprocessingml/2006/main">
  <w:divs>
    <w:div w:id="1467354165">
      <w:marLeft w:val="0"/>
      <w:marRight w:val="0"/>
      <w:marTop w:val="0"/>
      <w:marBottom w:val="0"/>
      <w:divBdr>
        <w:top w:val="none" w:sz="0" w:space="0" w:color="auto"/>
        <w:left w:val="none" w:sz="0" w:space="0" w:color="auto"/>
        <w:bottom w:val="none" w:sz="0" w:space="0" w:color="auto"/>
        <w:right w:val="none" w:sz="0" w:space="0" w:color="auto"/>
      </w:divBdr>
    </w:div>
    <w:div w:id="1467354166">
      <w:marLeft w:val="0"/>
      <w:marRight w:val="0"/>
      <w:marTop w:val="0"/>
      <w:marBottom w:val="0"/>
      <w:divBdr>
        <w:top w:val="none" w:sz="0" w:space="0" w:color="auto"/>
        <w:left w:val="none" w:sz="0" w:space="0" w:color="auto"/>
        <w:bottom w:val="none" w:sz="0" w:space="0" w:color="auto"/>
        <w:right w:val="none" w:sz="0" w:space="0" w:color="auto"/>
      </w:divBdr>
    </w:div>
    <w:div w:id="1467354167">
      <w:marLeft w:val="0"/>
      <w:marRight w:val="0"/>
      <w:marTop w:val="0"/>
      <w:marBottom w:val="0"/>
      <w:divBdr>
        <w:top w:val="none" w:sz="0" w:space="0" w:color="auto"/>
        <w:left w:val="none" w:sz="0" w:space="0" w:color="auto"/>
        <w:bottom w:val="none" w:sz="0" w:space="0" w:color="auto"/>
        <w:right w:val="none" w:sz="0" w:space="0" w:color="auto"/>
      </w:divBdr>
    </w:div>
    <w:div w:id="1467354168">
      <w:marLeft w:val="0"/>
      <w:marRight w:val="0"/>
      <w:marTop w:val="0"/>
      <w:marBottom w:val="0"/>
      <w:divBdr>
        <w:top w:val="none" w:sz="0" w:space="0" w:color="auto"/>
        <w:left w:val="none" w:sz="0" w:space="0" w:color="auto"/>
        <w:bottom w:val="none" w:sz="0" w:space="0" w:color="auto"/>
        <w:right w:val="none" w:sz="0" w:space="0" w:color="auto"/>
      </w:divBdr>
    </w:div>
    <w:div w:id="1467354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GULF POWER COMPANY</vt:lpstr>
    </vt:vector>
  </TitlesOfParts>
  <Company>Gunster</Company>
  <LinksUpToDate>false</LinksUpToDate>
  <CharactersWithSpaces>22658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POWER COMPANY</dc:title>
  <dc:subject/>
  <dc:creator>guycha</dc:creator>
  <cp:keywords/>
  <dc:description/>
  <cp:lastModifiedBy>tadavis</cp:lastModifiedBy>
  <cp:revision>2</cp:revision>
  <cp:lastPrinted>2011-07-06T19:08:00Z</cp:lastPrinted>
  <dcterms:created xsi:type="dcterms:W3CDTF">2011-07-06T19:16:00Z</dcterms:created>
  <dcterms:modified xsi:type="dcterms:W3CDTF">2011-07-06T19:16:00Z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438718988</vt:i4>
  </property>
  <property fmtid="{D5CDD505-2E9C-101B-9397-08002B2CF9AE}" pid="3" name="_NewReviewCycle">
    <vt:lpwstr/>
  </property>
  <property fmtid="{D5CDD505-2E9C-101B-9397-08002B2CF9AE}" pid="4" name="_EmailSubject">
    <vt:lpwstr>Twery/Crumlish ready for printing</vt:lpwstr>
  </property>
  <property fmtid="{D5CDD505-2E9C-101B-9397-08002B2CF9AE}" pid="5" name="_AuthorEmail">
    <vt:lpwstr>SDRITENO@southernco.com</vt:lpwstr>
  </property>
  <property fmtid="{D5CDD505-2E9C-101B-9397-08002B2CF9AE}" pid="6" name="_AuthorEmailDisplayName">
    <vt:lpwstr>Ritenour, Susan D.</vt:lpwstr>
  </property>
  <property fmtid="{D5CDD505-2E9C-101B-9397-08002B2CF9AE}" pid="7" name="_ReviewingToolsShownOnce">
    <vt:lpwstr/>
  </property>
</Properties>
</file>