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A84" w:rsidRDefault="00555A84" w:rsidP="00555A84">
      <w:pPr>
        <w:pStyle w:val="MainTitle2Lne"/>
        <w:widowControl/>
      </w:pPr>
      <w:bookmarkStart w:id="0" w:name="_Toc53819579"/>
      <w:bookmarkStart w:id="1" w:name="_Toc53819582"/>
      <w:r>
        <w:t>Performance Pay Program</w:t>
      </w:r>
      <w:r>
        <w:rPr>
          <w:sz w:val="44"/>
        </w:rPr>
        <w:br/>
      </w:r>
      <w:r>
        <w:t>Design Details</w:t>
      </w:r>
      <w:bookmarkEnd w:id="0"/>
    </w:p>
    <w:p w:rsidR="00555A84" w:rsidRDefault="00555A84" w:rsidP="00555A84">
      <w:pPr>
        <w:pStyle w:val="MainTitleRule"/>
        <w:widowControl/>
      </w:pPr>
    </w:p>
    <w:p w:rsidR="00555A84" w:rsidRDefault="00555A84" w:rsidP="00555A84">
      <w:pPr>
        <w:pStyle w:val="Heading1"/>
      </w:pPr>
      <w:r>
        <w:t>Program Concept</w:t>
      </w:r>
    </w:p>
    <w:p w:rsidR="00555A84" w:rsidRPr="00D16AEF" w:rsidRDefault="00555A84" w:rsidP="00555A84">
      <w:pPr>
        <w:rPr>
          <w:b/>
        </w:rPr>
      </w:pPr>
      <w:r>
        <w:t xml:space="preserve">The Performance Pay Program (“PPP”) is a target-type annual incentive program that pays out in cash.  The program is governed by the Southern Company 2011 Omnibus Incentive Compensation Plan, as amended from time to time (“Omnibus Plan”).  The Omnibus Plan is administered by the Compensation and Management Succession Committee of the Board of Directors of Southern Company (the “Committee”).  These Design Details describe various components of PPP awards.  These Design Details and any other administrative documents may be amended at any time by the Committee.  </w:t>
      </w:r>
    </w:p>
    <w:p w:rsidR="00555A84" w:rsidRDefault="00555A84" w:rsidP="00555A84"/>
    <w:p w:rsidR="00555A84" w:rsidRDefault="00555A84" w:rsidP="00555A84">
      <w:pPr>
        <w:pStyle w:val="Heading1"/>
      </w:pPr>
      <w:r>
        <w:t>Eligibility</w:t>
      </w:r>
    </w:p>
    <w:p w:rsidR="00555A84" w:rsidRDefault="00555A84" w:rsidP="00555A84">
      <w:pPr>
        <w:pStyle w:val="NormalDS"/>
        <w:widowControl/>
      </w:pPr>
      <w:r>
        <w:t xml:space="preserve">All regular full-time and part-time employees (except as described below) are eligible to participate in </w:t>
      </w:r>
      <w:smartTag w:uri="urn:schemas-microsoft-com:office:smarttags" w:element="stockticker">
        <w:r>
          <w:t>PPP</w:t>
        </w:r>
      </w:smartTag>
      <w:r>
        <w:t xml:space="preserve"> if hired by December 31 of the performance year.  Collective bargaining employees, however, only participate to the extent that their bargaining units have approved participation.  In addition, some companies and groups of employees have their own incentive plans. Those employees do not participate in </w:t>
      </w:r>
      <w:smartTag w:uri="urn:schemas-microsoft-com:office:smarttags" w:element="stockticker">
        <w:r>
          <w:t>PPP</w:t>
        </w:r>
      </w:smartTag>
      <w:r>
        <w:t>.</w:t>
      </w:r>
    </w:p>
    <w:p w:rsidR="00555A84" w:rsidRDefault="00555A84" w:rsidP="00555A84">
      <w:pPr>
        <w:pStyle w:val="NormalDS"/>
        <w:widowControl/>
      </w:pPr>
      <w:r>
        <w:t xml:space="preserve">The following are </w:t>
      </w:r>
      <w:r w:rsidRPr="006F7955">
        <w:rPr>
          <w:u w:val="single"/>
        </w:rPr>
        <w:t>not</w:t>
      </w:r>
      <w:r>
        <w:t xml:space="preserve"> currently participating in </w:t>
      </w:r>
      <w:smartTag w:uri="urn:schemas-microsoft-com:office:smarttags" w:element="stockticker">
        <w:r>
          <w:t>PPP</w:t>
        </w:r>
      </w:smartTag>
      <w:r>
        <w:t>.</w:t>
      </w:r>
    </w:p>
    <w:tbl>
      <w:tblPr>
        <w:tblW w:w="0" w:type="auto"/>
        <w:tblInd w:w="108" w:type="dxa"/>
        <w:tblLayout w:type="fixed"/>
        <w:tblLook w:val="0000"/>
      </w:tblPr>
      <w:tblGrid>
        <w:gridCol w:w="5310"/>
        <w:gridCol w:w="5310"/>
      </w:tblGrid>
      <w:tr w:rsidR="00555A84" w:rsidTr="004B3437">
        <w:tc>
          <w:tcPr>
            <w:tcW w:w="5310" w:type="dxa"/>
            <w:tcBorders>
              <w:top w:val="single" w:sz="18" w:space="0" w:color="auto"/>
              <w:left w:val="nil"/>
              <w:bottom w:val="single" w:sz="6" w:space="0" w:color="auto"/>
              <w:right w:val="nil"/>
            </w:tcBorders>
          </w:tcPr>
          <w:p w:rsidR="00555A84" w:rsidRDefault="00555A84" w:rsidP="004B3437">
            <w:pPr>
              <w:pStyle w:val="Table2Hdgs"/>
              <w:widowControl/>
            </w:pPr>
            <w:r>
              <w:t>Groups Not Eligible for PPP (including some but not all applicable job codes)</w:t>
            </w:r>
          </w:p>
        </w:tc>
        <w:tc>
          <w:tcPr>
            <w:tcW w:w="5310" w:type="dxa"/>
            <w:tcBorders>
              <w:left w:val="nil"/>
              <w:right w:val="nil"/>
            </w:tcBorders>
          </w:tcPr>
          <w:p w:rsidR="00555A84" w:rsidRDefault="00555A84" w:rsidP="004B3437">
            <w:pPr>
              <w:pStyle w:val="Table2Hdgs"/>
              <w:widowControl/>
            </w:pPr>
          </w:p>
        </w:tc>
      </w:tr>
      <w:tr w:rsidR="00555A84" w:rsidTr="004B3437">
        <w:tc>
          <w:tcPr>
            <w:tcW w:w="5310" w:type="dxa"/>
            <w:tcBorders>
              <w:top w:val="nil"/>
              <w:left w:val="nil"/>
              <w:bottom w:val="nil"/>
              <w:right w:val="nil"/>
            </w:tcBorders>
          </w:tcPr>
          <w:p w:rsidR="00555A84" w:rsidRDefault="00555A84" w:rsidP="004B3437">
            <w:pPr>
              <w:pStyle w:val="Table3Data"/>
              <w:widowControl/>
            </w:pPr>
          </w:p>
        </w:tc>
        <w:tc>
          <w:tcPr>
            <w:tcW w:w="5310" w:type="dxa"/>
            <w:tcBorders>
              <w:left w:val="nil"/>
              <w:bottom w:val="nil"/>
              <w:right w:val="nil"/>
            </w:tcBorders>
          </w:tcPr>
          <w:p w:rsidR="00555A84" w:rsidRDefault="00555A84" w:rsidP="004B3437">
            <w:pPr>
              <w:pStyle w:val="Table3Data"/>
              <w:widowControl/>
            </w:pPr>
          </w:p>
        </w:tc>
      </w:tr>
      <w:tr w:rsidR="00555A84" w:rsidTr="004B3437">
        <w:tc>
          <w:tcPr>
            <w:tcW w:w="5310" w:type="dxa"/>
            <w:tcBorders>
              <w:top w:val="nil"/>
              <w:left w:val="nil"/>
              <w:bottom w:val="nil"/>
              <w:right w:val="nil"/>
            </w:tcBorders>
          </w:tcPr>
          <w:p w:rsidR="00555A84" w:rsidRDefault="00555A84" w:rsidP="004B3437">
            <w:pPr>
              <w:pStyle w:val="Table3Data"/>
              <w:widowControl/>
            </w:pPr>
            <w:r>
              <w:t>Sales employees of Georgia Power Lighting Services</w:t>
            </w:r>
          </w:p>
          <w:p w:rsidR="00555A84" w:rsidRDefault="00555A84" w:rsidP="004B3437">
            <w:pPr>
              <w:pStyle w:val="Table3Data"/>
              <w:widowControl/>
              <w:spacing w:before="240"/>
            </w:pPr>
          </w:p>
        </w:tc>
        <w:tc>
          <w:tcPr>
            <w:tcW w:w="5310" w:type="dxa"/>
            <w:tcBorders>
              <w:top w:val="nil"/>
              <w:left w:val="nil"/>
              <w:bottom w:val="nil"/>
              <w:right w:val="nil"/>
            </w:tcBorders>
          </w:tcPr>
          <w:p w:rsidR="00555A84" w:rsidRDefault="00555A84" w:rsidP="004B3437">
            <w:pPr>
              <w:pStyle w:val="Table3Data"/>
              <w:widowControl/>
            </w:pPr>
            <w:r>
              <w:t>Appliance Salesperson Job Code 004074</w:t>
            </w:r>
          </w:p>
          <w:p w:rsidR="00555A84" w:rsidRDefault="00555A84" w:rsidP="004B3437">
            <w:pPr>
              <w:pStyle w:val="Table3Data"/>
              <w:widowControl/>
            </w:pPr>
          </w:p>
          <w:p w:rsidR="00555A84" w:rsidRDefault="00555A84" w:rsidP="004B3437">
            <w:pPr>
              <w:pStyle w:val="Table3Data"/>
              <w:widowControl/>
            </w:pPr>
            <w:r>
              <w:t>Merchandise Salesperson Sr. 000995</w:t>
            </w:r>
          </w:p>
          <w:p w:rsidR="00555A84" w:rsidRDefault="00555A84" w:rsidP="004B3437">
            <w:pPr>
              <w:pStyle w:val="Table3Data"/>
              <w:widowControl/>
            </w:pPr>
          </w:p>
          <w:p w:rsidR="00555A84" w:rsidRDefault="00555A84" w:rsidP="004B3437">
            <w:pPr>
              <w:pStyle w:val="Table3Data"/>
              <w:widowControl/>
            </w:pPr>
            <w:r>
              <w:t>Merchandise Salesperson I 000708</w:t>
            </w:r>
          </w:p>
          <w:p w:rsidR="00555A84" w:rsidRDefault="00555A84" w:rsidP="004B3437">
            <w:pPr>
              <w:pStyle w:val="Table3Data"/>
              <w:widowControl/>
            </w:pPr>
          </w:p>
          <w:p w:rsidR="00555A84" w:rsidRDefault="00555A84" w:rsidP="004B3437">
            <w:pPr>
              <w:pStyle w:val="Table3Data"/>
              <w:widowControl/>
            </w:pPr>
            <w:r>
              <w:t>Merchandise Salesperson II 000664</w:t>
            </w:r>
          </w:p>
          <w:p w:rsidR="00555A84" w:rsidRDefault="00555A84" w:rsidP="004B3437">
            <w:pPr>
              <w:pStyle w:val="Table3Data"/>
              <w:widowControl/>
            </w:pPr>
          </w:p>
          <w:p w:rsidR="00555A84" w:rsidRDefault="00555A84" w:rsidP="004B3437">
            <w:pPr>
              <w:pStyle w:val="Table3Data"/>
              <w:widowControl/>
            </w:pPr>
            <w:r>
              <w:t>Merchandise Salesperson III 000707</w:t>
            </w:r>
          </w:p>
        </w:tc>
      </w:tr>
    </w:tbl>
    <w:p w:rsidR="00555A84" w:rsidRDefault="00555A84" w:rsidP="00555A84"/>
    <w:p w:rsidR="00555A84" w:rsidRDefault="00555A84" w:rsidP="00555A84"/>
    <w:p w:rsidR="00555A84" w:rsidRDefault="00555A84" w:rsidP="00555A84"/>
    <w:p w:rsidR="00555A84" w:rsidRDefault="00555A84" w:rsidP="00555A84"/>
    <w:p w:rsidR="00555A84" w:rsidRDefault="00555A84" w:rsidP="00555A84"/>
    <w:p w:rsidR="00555A84" w:rsidRDefault="00555A84" w:rsidP="00555A84"/>
    <w:p w:rsidR="00555A84" w:rsidRDefault="00555A84" w:rsidP="00555A84"/>
    <w:p w:rsidR="00555A84" w:rsidRDefault="00555A84" w:rsidP="00555A84"/>
    <w:p w:rsidR="00555A84" w:rsidRDefault="00555A84" w:rsidP="00555A84"/>
    <w:p w:rsidR="00555A84" w:rsidRDefault="00555A84" w:rsidP="00555A84"/>
    <w:p w:rsidR="00555A84" w:rsidRDefault="00555A84" w:rsidP="00555A84"/>
    <w:p w:rsidR="00555A84" w:rsidRDefault="00555A84" w:rsidP="00555A84"/>
    <w:p w:rsidR="00555A84" w:rsidRDefault="00555A84" w:rsidP="00555A84">
      <w:pPr>
        <w:pStyle w:val="Heading1"/>
      </w:pPr>
      <w:r>
        <w:t>Process for Determining Eligibility</w:t>
      </w:r>
    </w:p>
    <w:p w:rsidR="00555A84" w:rsidRDefault="00555A84" w:rsidP="00555A84">
      <w:r>
        <w:t xml:space="preserve">The following employees and other persons are </w:t>
      </w:r>
      <w:r>
        <w:rPr>
          <w:u w:val="single"/>
        </w:rPr>
        <w:t>not</w:t>
      </w:r>
      <w:r>
        <w:t xml:space="preserve"> eligible for PPP payouts:</w:t>
      </w:r>
    </w:p>
    <w:p w:rsidR="00555A84" w:rsidRDefault="00555A84" w:rsidP="00555A84"/>
    <w:p w:rsidR="00555A84" w:rsidRDefault="00555A84" w:rsidP="00555A84">
      <w:pPr>
        <w:pStyle w:val="BulletDS"/>
        <w:widowControl/>
      </w:pPr>
      <w:r>
        <w:sym w:font="Symbol" w:char="F0B7"/>
      </w:r>
      <w:r w:rsidRPr="003359C4">
        <w:tab/>
        <w:t>E</w:t>
      </w:r>
      <w:r>
        <w:t>mployees working for a non-adopting employer</w:t>
      </w:r>
    </w:p>
    <w:p w:rsidR="00555A84" w:rsidRDefault="00555A84" w:rsidP="00555A84">
      <w:pPr>
        <w:pStyle w:val="BulletDS"/>
        <w:widowControl/>
      </w:pPr>
      <w:r>
        <w:lastRenderedPageBreak/>
        <w:sym w:font="Symbol" w:char="F0B7"/>
      </w:r>
      <w:r w:rsidRPr="003359C4">
        <w:tab/>
        <w:t>E</w:t>
      </w:r>
      <w:r>
        <w:t>mployees working for a company that has a different short-term incentive plan or program</w:t>
      </w:r>
    </w:p>
    <w:p w:rsidR="00555A84" w:rsidRDefault="00555A84" w:rsidP="00555A84">
      <w:pPr>
        <w:pStyle w:val="BulletDS"/>
        <w:widowControl/>
      </w:pPr>
      <w:r>
        <w:sym w:font="Symbol" w:char="F0B7"/>
      </w:r>
      <w:r w:rsidRPr="003359C4">
        <w:tab/>
        <w:t>I</w:t>
      </w:r>
      <w:r>
        <w:t>ndependent contractors (even if such classification is determined to have been incorrect)</w:t>
      </w:r>
    </w:p>
    <w:p w:rsidR="00555A84" w:rsidRDefault="00555A84" w:rsidP="00555A84">
      <w:pPr>
        <w:pStyle w:val="BulletDS"/>
        <w:widowControl/>
      </w:pPr>
      <w:r>
        <w:sym w:font="Symbol" w:char="F0B7"/>
      </w:r>
      <w:r w:rsidRPr="003359C4">
        <w:tab/>
        <w:t>L</w:t>
      </w:r>
      <w:r>
        <w:t>eased employees (even if such classification is determined to have been incorrect)</w:t>
      </w:r>
    </w:p>
    <w:p w:rsidR="00555A84" w:rsidRDefault="00555A84" w:rsidP="00555A84">
      <w:pPr>
        <w:pStyle w:val="BulletDS"/>
        <w:widowControl/>
      </w:pPr>
      <w:r>
        <w:sym w:font="Symbol" w:char="F0B7"/>
      </w:r>
      <w:r w:rsidRPr="003359C4">
        <w:tab/>
        <w:t>C</w:t>
      </w:r>
      <w:r>
        <w:t>o-ops</w:t>
      </w:r>
    </w:p>
    <w:p w:rsidR="00555A84" w:rsidRDefault="00555A84" w:rsidP="00555A84">
      <w:pPr>
        <w:pStyle w:val="BulletDS"/>
        <w:widowControl/>
      </w:pPr>
      <w:r>
        <w:sym w:font="Symbol" w:char="F0B7"/>
      </w:r>
      <w:r w:rsidRPr="003359C4">
        <w:tab/>
        <w:t>I</w:t>
      </w:r>
      <w:r>
        <w:t>nterns</w:t>
      </w:r>
    </w:p>
    <w:p w:rsidR="00555A84" w:rsidRDefault="00555A84" w:rsidP="00555A84">
      <w:pPr>
        <w:pStyle w:val="BulletDS"/>
        <w:widowControl/>
      </w:pPr>
      <w:r>
        <w:sym w:font="Symbol" w:char="F0B7"/>
      </w:r>
      <w:r w:rsidRPr="003359C4">
        <w:tab/>
        <w:t>T</w:t>
      </w:r>
      <w:r>
        <w:t>emporary employees (even if such classification is determined to have been incorrect)</w:t>
      </w:r>
    </w:p>
    <w:p w:rsidR="00555A84" w:rsidRDefault="00555A84" w:rsidP="00555A84">
      <w:pPr>
        <w:pStyle w:val="BulletDS"/>
        <w:widowControl/>
      </w:pPr>
      <w:r>
        <w:sym w:font="Symbol" w:char="F0B7"/>
      </w:r>
      <w:r w:rsidRPr="003359C4">
        <w:tab/>
        <w:t>O</w:t>
      </w:r>
      <w:r>
        <w:t>utside directors</w:t>
      </w:r>
    </w:p>
    <w:p w:rsidR="00555A84" w:rsidRDefault="00555A84" w:rsidP="00555A84">
      <w:pPr>
        <w:pStyle w:val="BulletDS"/>
        <w:widowControl/>
      </w:pPr>
      <w:r>
        <w:sym w:font="Symbol" w:char="F0B7"/>
      </w:r>
      <w:r w:rsidRPr="003359C4">
        <w:tab/>
        <w:t>C</w:t>
      </w:r>
      <w:r>
        <w:t>ollective bargaining employees who have not been approved for participation</w:t>
      </w:r>
    </w:p>
    <w:p w:rsidR="00555A84" w:rsidRDefault="00555A84" w:rsidP="00555A84">
      <w:pPr>
        <w:pStyle w:val="BulletDS"/>
        <w:widowControl/>
      </w:pPr>
      <w:r>
        <w:sym w:font="Symbol" w:char="F0B7"/>
      </w:r>
      <w:r w:rsidRPr="003359C4">
        <w:tab/>
        <w:t>G</w:t>
      </w:r>
      <w:r>
        <w:t>eorgia Power bargaining unit employees who have not completed their probationary period and who are not approved by their manager to participate as of December 31</w:t>
      </w:r>
    </w:p>
    <w:p w:rsidR="00555A84" w:rsidRDefault="00555A84" w:rsidP="00555A84">
      <w:pPr>
        <w:pStyle w:val="BulletDS"/>
        <w:widowControl/>
        <w:ind w:left="0" w:firstLine="0"/>
      </w:pPr>
      <w:r>
        <w:t xml:space="preserve">In accordance with the terms of a memorandum of understanding, collective bargaining unit employees may be eligible for some but not all awards under </w:t>
      </w:r>
      <w:smartTag w:uri="urn:schemas-microsoft-com:office:smarttags" w:element="stockticker">
        <w:r>
          <w:t>PPP</w:t>
        </w:r>
      </w:smartTag>
      <w:r>
        <w:t xml:space="preserve">.  Also, in accordance with the terms of a memorandum of understanding, the adopting employer has the right to continue or not continue participation in </w:t>
      </w:r>
      <w:smartTag w:uri="urn:schemas-microsoft-com:office:smarttags" w:element="stockticker">
        <w:r>
          <w:t>PPP</w:t>
        </w:r>
      </w:smartTag>
      <w:r>
        <w:t>.</w:t>
      </w:r>
    </w:p>
    <w:p w:rsidR="00555A84" w:rsidRDefault="00555A84" w:rsidP="00555A84">
      <w:pPr>
        <w:pStyle w:val="Heading1"/>
      </w:pPr>
      <w:r>
        <w:t>Award Sizes</w:t>
      </w:r>
    </w:p>
    <w:p w:rsidR="00555A84" w:rsidRDefault="00555A84" w:rsidP="00555A84">
      <w:pPr>
        <w:pStyle w:val="NormalDS"/>
        <w:widowControl/>
      </w:pPr>
      <w:r>
        <w:t>Target award sizes are as follows:</w:t>
      </w:r>
    </w:p>
    <w:tbl>
      <w:tblPr>
        <w:tblW w:w="0" w:type="auto"/>
        <w:tblInd w:w="108" w:type="dxa"/>
        <w:tblLayout w:type="fixed"/>
        <w:tblLook w:val="0000"/>
      </w:tblPr>
      <w:tblGrid>
        <w:gridCol w:w="4230"/>
        <w:gridCol w:w="2970"/>
      </w:tblGrid>
      <w:tr w:rsidR="00555A84" w:rsidTr="004B3437">
        <w:trPr>
          <w:cantSplit/>
          <w:trHeight w:val="360"/>
        </w:trPr>
        <w:tc>
          <w:tcPr>
            <w:tcW w:w="4230" w:type="dxa"/>
            <w:tcBorders>
              <w:top w:val="single" w:sz="18" w:space="0" w:color="auto"/>
              <w:left w:val="nil"/>
              <w:bottom w:val="single" w:sz="6" w:space="0" w:color="auto"/>
              <w:right w:val="nil"/>
            </w:tcBorders>
          </w:tcPr>
          <w:p w:rsidR="00555A84" w:rsidRDefault="00555A84" w:rsidP="004B3437">
            <w:pPr>
              <w:pStyle w:val="Table2Hdgs"/>
              <w:widowControl/>
            </w:pPr>
            <w:r>
              <w:t>Salary Grade</w:t>
            </w:r>
          </w:p>
        </w:tc>
        <w:tc>
          <w:tcPr>
            <w:tcW w:w="2970" w:type="dxa"/>
            <w:tcBorders>
              <w:top w:val="single" w:sz="18" w:space="0" w:color="auto"/>
              <w:left w:val="nil"/>
              <w:bottom w:val="single" w:sz="6" w:space="0" w:color="auto"/>
              <w:right w:val="nil"/>
            </w:tcBorders>
          </w:tcPr>
          <w:p w:rsidR="00555A84" w:rsidRDefault="00555A84" w:rsidP="004B3437">
            <w:pPr>
              <w:pStyle w:val="Table2Hdgs"/>
              <w:widowControl/>
              <w:jc w:val="center"/>
            </w:pPr>
            <w:r>
              <w:t>Target Award (% of Base Salary)</w:t>
            </w:r>
            <w:r w:rsidRPr="00554785">
              <w:rPr>
                <w:rStyle w:val="FootnoteReference"/>
              </w:rPr>
              <w:footnoteReference w:id="1"/>
            </w:r>
            <w:r>
              <w:rPr>
                <w:rStyle w:val="FootnoteReference"/>
              </w:rPr>
              <w:t xml:space="preserve"> </w:t>
            </w:r>
          </w:p>
        </w:tc>
      </w:tr>
      <w:tr w:rsidR="00555A84" w:rsidTr="004B3437">
        <w:trPr>
          <w:cantSplit/>
          <w:trHeight w:val="360"/>
        </w:trPr>
        <w:tc>
          <w:tcPr>
            <w:tcW w:w="4230" w:type="dxa"/>
            <w:tcBorders>
              <w:top w:val="nil"/>
              <w:left w:val="nil"/>
              <w:bottom w:val="nil"/>
              <w:right w:val="nil"/>
            </w:tcBorders>
          </w:tcPr>
          <w:p w:rsidR="00555A84" w:rsidRDefault="00555A84" w:rsidP="004B3437">
            <w:pPr>
              <w:pStyle w:val="Table3Data"/>
              <w:widowControl/>
              <w:spacing w:after="120"/>
            </w:pPr>
            <w:r>
              <w:t>Alabama Power IBEW bargaining unit employees, Georgia Power IBEW bargaining unit employees, Southern Nuclear (Farley, Hatch, and Vogtle) IBEW bargaining unit employees, Gulf Power IBEW bargaining unit employees and Mississippi Power IBEW bargaining unit employees</w:t>
            </w:r>
          </w:p>
        </w:tc>
        <w:tc>
          <w:tcPr>
            <w:tcW w:w="2970" w:type="dxa"/>
            <w:tcBorders>
              <w:top w:val="nil"/>
              <w:left w:val="nil"/>
              <w:bottom w:val="nil"/>
              <w:right w:val="nil"/>
            </w:tcBorders>
          </w:tcPr>
          <w:p w:rsidR="00555A84" w:rsidRDefault="00555A84" w:rsidP="004B3437">
            <w:pPr>
              <w:pStyle w:val="Table3Data"/>
              <w:widowControl/>
              <w:jc w:val="center"/>
            </w:pPr>
            <w:r>
              <w:t>5%</w:t>
            </w:r>
          </w:p>
        </w:tc>
      </w:tr>
      <w:tr w:rsidR="00555A84" w:rsidTr="004B3437">
        <w:trPr>
          <w:cantSplit/>
          <w:trHeight w:val="360"/>
        </w:trPr>
        <w:tc>
          <w:tcPr>
            <w:tcW w:w="4230" w:type="dxa"/>
            <w:tcBorders>
              <w:top w:val="nil"/>
              <w:left w:val="nil"/>
              <w:bottom w:val="nil"/>
              <w:right w:val="nil"/>
            </w:tcBorders>
          </w:tcPr>
          <w:p w:rsidR="00555A84" w:rsidRDefault="00555A84" w:rsidP="004B3437">
            <w:pPr>
              <w:pStyle w:val="Table3Data"/>
              <w:widowControl/>
            </w:pPr>
            <w:proofErr w:type="spellStart"/>
            <w:r>
              <w:t>Nonexempt</w:t>
            </w:r>
            <w:proofErr w:type="spellEnd"/>
            <w:r>
              <w:t>/</w:t>
            </w:r>
            <w:proofErr w:type="spellStart"/>
            <w:r>
              <w:t>NonCovered</w:t>
            </w:r>
            <w:proofErr w:type="spellEnd"/>
          </w:p>
        </w:tc>
        <w:tc>
          <w:tcPr>
            <w:tcW w:w="2970" w:type="dxa"/>
            <w:tcBorders>
              <w:top w:val="nil"/>
              <w:left w:val="nil"/>
              <w:bottom w:val="nil"/>
              <w:right w:val="nil"/>
            </w:tcBorders>
          </w:tcPr>
          <w:p w:rsidR="00555A84" w:rsidRDefault="00555A84" w:rsidP="004B3437">
            <w:pPr>
              <w:pStyle w:val="Table3Data"/>
              <w:widowControl/>
              <w:jc w:val="center"/>
            </w:pPr>
            <w:r>
              <w:t>10%</w:t>
            </w:r>
          </w:p>
        </w:tc>
      </w:tr>
      <w:tr w:rsidR="00555A84" w:rsidTr="004B3437">
        <w:trPr>
          <w:cantSplit/>
          <w:trHeight w:val="360"/>
        </w:trPr>
        <w:tc>
          <w:tcPr>
            <w:tcW w:w="4230" w:type="dxa"/>
            <w:tcBorders>
              <w:top w:val="nil"/>
              <w:left w:val="nil"/>
              <w:bottom w:val="nil"/>
              <w:right w:val="nil"/>
            </w:tcBorders>
          </w:tcPr>
          <w:p w:rsidR="00555A84" w:rsidRDefault="00555A84" w:rsidP="004B3437">
            <w:pPr>
              <w:pStyle w:val="Table3Data"/>
              <w:widowControl/>
            </w:pPr>
            <w:r>
              <w:t>1 to 5 (Exempt)</w:t>
            </w:r>
          </w:p>
        </w:tc>
        <w:tc>
          <w:tcPr>
            <w:tcW w:w="2970" w:type="dxa"/>
            <w:tcBorders>
              <w:top w:val="nil"/>
              <w:left w:val="nil"/>
              <w:bottom w:val="nil"/>
              <w:right w:val="nil"/>
            </w:tcBorders>
          </w:tcPr>
          <w:p w:rsidR="00555A84" w:rsidRDefault="00555A84" w:rsidP="004B3437">
            <w:pPr>
              <w:pStyle w:val="Table3Data"/>
              <w:widowControl/>
              <w:jc w:val="center"/>
            </w:pPr>
            <w:r>
              <w:t>10%</w:t>
            </w:r>
          </w:p>
        </w:tc>
      </w:tr>
      <w:tr w:rsidR="00555A84" w:rsidTr="004B3437">
        <w:trPr>
          <w:cantSplit/>
          <w:trHeight w:val="360"/>
        </w:trPr>
        <w:tc>
          <w:tcPr>
            <w:tcW w:w="4230" w:type="dxa"/>
            <w:tcBorders>
              <w:top w:val="nil"/>
              <w:left w:val="nil"/>
              <w:bottom w:val="nil"/>
              <w:right w:val="nil"/>
            </w:tcBorders>
          </w:tcPr>
          <w:p w:rsidR="00555A84" w:rsidRDefault="00555A84" w:rsidP="004B3437">
            <w:pPr>
              <w:pStyle w:val="Table3Data"/>
              <w:widowControl/>
            </w:pPr>
            <w:r>
              <w:t>6</w:t>
            </w:r>
          </w:p>
        </w:tc>
        <w:tc>
          <w:tcPr>
            <w:tcW w:w="2970" w:type="dxa"/>
            <w:tcBorders>
              <w:top w:val="nil"/>
              <w:left w:val="nil"/>
              <w:bottom w:val="nil"/>
              <w:right w:val="nil"/>
            </w:tcBorders>
          </w:tcPr>
          <w:p w:rsidR="00555A84" w:rsidRDefault="00555A84" w:rsidP="004B3437">
            <w:pPr>
              <w:pStyle w:val="Table3Data"/>
              <w:widowControl/>
              <w:jc w:val="center"/>
            </w:pPr>
            <w:r>
              <w:t>12.5%</w:t>
            </w:r>
          </w:p>
        </w:tc>
      </w:tr>
      <w:tr w:rsidR="00555A84" w:rsidTr="004B3437">
        <w:trPr>
          <w:cantSplit/>
          <w:trHeight w:val="360"/>
        </w:trPr>
        <w:tc>
          <w:tcPr>
            <w:tcW w:w="4230" w:type="dxa"/>
            <w:tcBorders>
              <w:top w:val="nil"/>
              <w:left w:val="nil"/>
              <w:bottom w:val="nil"/>
              <w:right w:val="nil"/>
            </w:tcBorders>
          </w:tcPr>
          <w:p w:rsidR="00555A84" w:rsidRDefault="00555A84" w:rsidP="004B3437">
            <w:pPr>
              <w:pStyle w:val="Table3Data"/>
              <w:widowControl/>
            </w:pPr>
            <w:r>
              <w:t>7</w:t>
            </w:r>
          </w:p>
        </w:tc>
        <w:tc>
          <w:tcPr>
            <w:tcW w:w="2970" w:type="dxa"/>
            <w:tcBorders>
              <w:top w:val="nil"/>
              <w:left w:val="nil"/>
              <w:bottom w:val="nil"/>
              <w:right w:val="nil"/>
            </w:tcBorders>
          </w:tcPr>
          <w:p w:rsidR="00555A84" w:rsidRDefault="00555A84" w:rsidP="004B3437">
            <w:pPr>
              <w:pStyle w:val="Table3Data"/>
              <w:widowControl/>
              <w:jc w:val="center"/>
            </w:pPr>
            <w:r>
              <w:t>25%</w:t>
            </w:r>
          </w:p>
        </w:tc>
      </w:tr>
      <w:tr w:rsidR="00555A84" w:rsidTr="004B3437">
        <w:trPr>
          <w:cantSplit/>
          <w:trHeight w:val="360"/>
        </w:trPr>
        <w:tc>
          <w:tcPr>
            <w:tcW w:w="4230" w:type="dxa"/>
            <w:tcBorders>
              <w:top w:val="nil"/>
              <w:left w:val="nil"/>
              <w:bottom w:val="nil"/>
              <w:right w:val="nil"/>
            </w:tcBorders>
          </w:tcPr>
          <w:p w:rsidR="00555A84" w:rsidRDefault="00555A84" w:rsidP="004B3437">
            <w:pPr>
              <w:pStyle w:val="Table3Data"/>
              <w:widowControl/>
            </w:pPr>
            <w:r>
              <w:t>8</w:t>
            </w:r>
          </w:p>
        </w:tc>
        <w:tc>
          <w:tcPr>
            <w:tcW w:w="2970" w:type="dxa"/>
            <w:tcBorders>
              <w:top w:val="nil"/>
              <w:left w:val="nil"/>
              <w:bottom w:val="nil"/>
              <w:right w:val="nil"/>
            </w:tcBorders>
          </w:tcPr>
          <w:p w:rsidR="00555A84" w:rsidRDefault="00555A84" w:rsidP="004B3437">
            <w:pPr>
              <w:pStyle w:val="Table3Data"/>
              <w:widowControl/>
              <w:jc w:val="center"/>
            </w:pPr>
            <w:r>
              <w:t>30%</w:t>
            </w:r>
          </w:p>
        </w:tc>
      </w:tr>
      <w:tr w:rsidR="00555A84" w:rsidTr="004B3437">
        <w:trPr>
          <w:cantSplit/>
          <w:trHeight w:val="360"/>
        </w:trPr>
        <w:tc>
          <w:tcPr>
            <w:tcW w:w="4230" w:type="dxa"/>
            <w:tcBorders>
              <w:top w:val="nil"/>
              <w:left w:val="nil"/>
              <w:bottom w:val="nil"/>
              <w:right w:val="nil"/>
            </w:tcBorders>
          </w:tcPr>
          <w:p w:rsidR="00555A84" w:rsidRDefault="00555A84" w:rsidP="004B3437">
            <w:pPr>
              <w:pStyle w:val="Table3Data"/>
              <w:widowControl/>
            </w:pPr>
            <w:r>
              <w:t>9</w:t>
            </w:r>
          </w:p>
        </w:tc>
        <w:tc>
          <w:tcPr>
            <w:tcW w:w="2970" w:type="dxa"/>
            <w:tcBorders>
              <w:top w:val="nil"/>
              <w:left w:val="nil"/>
              <w:bottom w:val="nil"/>
              <w:right w:val="nil"/>
            </w:tcBorders>
          </w:tcPr>
          <w:p w:rsidR="00555A84" w:rsidRDefault="00555A84" w:rsidP="004B3437">
            <w:pPr>
              <w:pStyle w:val="Table3Data"/>
              <w:widowControl/>
              <w:jc w:val="center"/>
            </w:pPr>
            <w:r>
              <w:t>35%</w:t>
            </w:r>
          </w:p>
        </w:tc>
      </w:tr>
      <w:tr w:rsidR="00555A84" w:rsidTr="004B3437">
        <w:trPr>
          <w:cantSplit/>
          <w:trHeight w:val="360"/>
        </w:trPr>
        <w:tc>
          <w:tcPr>
            <w:tcW w:w="4230" w:type="dxa"/>
            <w:tcBorders>
              <w:top w:val="nil"/>
              <w:left w:val="nil"/>
              <w:bottom w:val="nil"/>
              <w:right w:val="nil"/>
            </w:tcBorders>
          </w:tcPr>
          <w:p w:rsidR="00555A84" w:rsidRDefault="00555A84" w:rsidP="004B3437">
            <w:pPr>
              <w:pStyle w:val="Table3Data"/>
              <w:widowControl/>
            </w:pPr>
            <w:r>
              <w:t>10</w:t>
            </w:r>
          </w:p>
        </w:tc>
        <w:tc>
          <w:tcPr>
            <w:tcW w:w="2970" w:type="dxa"/>
            <w:tcBorders>
              <w:top w:val="nil"/>
              <w:left w:val="nil"/>
              <w:bottom w:val="nil"/>
              <w:right w:val="nil"/>
            </w:tcBorders>
          </w:tcPr>
          <w:p w:rsidR="00555A84" w:rsidRDefault="00555A84" w:rsidP="004B3437">
            <w:pPr>
              <w:pStyle w:val="Table3Data"/>
              <w:widowControl/>
              <w:jc w:val="center"/>
            </w:pPr>
            <w:r>
              <w:t>35%</w:t>
            </w:r>
          </w:p>
        </w:tc>
      </w:tr>
      <w:tr w:rsidR="00555A84" w:rsidTr="004B3437">
        <w:trPr>
          <w:cantSplit/>
          <w:trHeight w:val="360"/>
        </w:trPr>
        <w:tc>
          <w:tcPr>
            <w:tcW w:w="4230" w:type="dxa"/>
            <w:tcBorders>
              <w:top w:val="nil"/>
              <w:left w:val="nil"/>
              <w:bottom w:val="nil"/>
              <w:right w:val="nil"/>
            </w:tcBorders>
          </w:tcPr>
          <w:p w:rsidR="00555A84" w:rsidRDefault="00555A84" w:rsidP="004B3437">
            <w:pPr>
              <w:pStyle w:val="Table3Data"/>
              <w:widowControl/>
            </w:pPr>
            <w:r>
              <w:t>11</w:t>
            </w:r>
          </w:p>
        </w:tc>
        <w:tc>
          <w:tcPr>
            <w:tcW w:w="2970" w:type="dxa"/>
            <w:tcBorders>
              <w:top w:val="nil"/>
              <w:left w:val="nil"/>
              <w:bottom w:val="nil"/>
              <w:right w:val="nil"/>
            </w:tcBorders>
          </w:tcPr>
          <w:p w:rsidR="00555A84" w:rsidRDefault="00555A84" w:rsidP="004B3437">
            <w:pPr>
              <w:pStyle w:val="Table3Data"/>
              <w:widowControl/>
              <w:jc w:val="center"/>
            </w:pPr>
            <w:r>
              <w:t>40%</w:t>
            </w:r>
          </w:p>
        </w:tc>
      </w:tr>
      <w:tr w:rsidR="00555A84" w:rsidTr="004B3437">
        <w:trPr>
          <w:cantSplit/>
          <w:trHeight w:val="360"/>
        </w:trPr>
        <w:tc>
          <w:tcPr>
            <w:tcW w:w="4230" w:type="dxa"/>
            <w:tcBorders>
              <w:top w:val="nil"/>
              <w:left w:val="nil"/>
              <w:bottom w:val="nil"/>
              <w:right w:val="nil"/>
            </w:tcBorders>
          </w:tcPr>
          <w:p w:rsidR="00555A84" w:rsidRDefault="00555A84" w:rsidP="004B3437">
            <w:pPr>
              <w:pStyle w:val="Table3Data"/>
              <w:widowControl/>
            </w:pPr>
            <w:r>
              <w:lastRenderedPageBreak/>
              <w:t>12</w:t>
            </w:r>
          </w:p>
        </w:tc>
        <w:tc>
          <w:tcPr>
            <w:tcW w:w="2970" w:type="dxa"/>
            <w:tcBorders>
              <w:top w:val="nil"/>
              <w:left w:val="nil"/>
              <w:bottom w:val="nil"/>
              <w:right w:val="nil"/>
            </w:tcBorders>
          </w:tcPr>
          <w:p w:rsidR="00555A84" w:rsidRDefault="00555A84" w:rsidP="004B3437">
            <w:pPr>
              <w:pStyle w:val="Table3Data"/>
              <w:widowControl/>
              <w:jc w:val="center"/>
            </w:pPr>
            <w:r>
              <w:t>45%</w:t>
            </w:r>
          </w:p>
        </w:tc>
      </w:tr>
      <w:tr w:rsidR="00555A84" w:rsidTr="004B3437">
        <w:trPr>
          <w:cantSplit/>
          <w:trHeight w:val="360"/>
        </w:trPr>
        <w:tc>
          <w:tcPr>
            <w:tcW w:w="4230" w:type="dxa"/>
            <w:tcBorders>
              <w:top w:val="nil"/>
              <w:left w:val="nil"/>
              <w:bottom w:val="nil"/>
              <w:right w:val="nil"/>
            </w:tcBorders>
          </w:tcPr>
          <w:p w:rsidR="00555A84" w:rsidRDefault="00555A84" w:rsidP="004B3437">
            <w:pPr>
              <w:pStyle w:val="Table3Data"/>
              <w:widowControl/>
            </w:pPr>
            <w:r>
              <w:t>13</w:t>
            </w:r>
          </w:p>
        </w:tc>
        <w:tc>
          <w:tcPr>
            <w:tcW w:w="2970" w:type="dxa"/>
            <w:tcBorders>
              <w:top w:val="nil"/>
              <w:left w:val="nil"/>
              <w:bottom w:val="nil"/>
              <w:right w:val="nil"/>
            </w:tcBorders>
          </w:tcPr>
          <w:p w:rsidR="00555A84" w:rsidRDefault="00555A84" w:rsidP="004B3437">
            <w:pPr>
              <w:pStyle w:val="Table3Data"/>
              <w:widowControl/>
              <w:jc w:val="center"/>
            </w:pPr>
            <w:r>
              <w:t>50%</w:t>
            </w:r>
          </w:p>
        </w:tc>
      </w:tr>
      <w:tr w:rsidR="00555A84" w:rsidTr="004B3437">
        <w:trPr>
          <w:cantSplit/>
          <w:trHeight w:val="360"/>
        </w:trPr>
        <w:tc>
          <w:tcPr>
            <w:tcW w:w="4230" w:type="dxa"/>
            <w:tcBorders>
              <w:top w:val="nil"/>
              <w:left w:val="nil"/>
              <w:bottom w:val="nil"/>
              <w:right w:val="nil"/>
            </w:tcBorders>
          </w:tcPr>
          <w:p w:rsidR="00555A84" w:rsidRDefault="00555A84" w:rsidP="004B3437">
            <w:pPr>
              <w:pStyle w:val="Table3Data"/>
              <w:widowControl/>
            </w:pPr>
            <w:r>
              <w:t>14</w:t>
            </w:r>
          </w:p>
        </w:tc>
        <w:tc>
          <w:tcPr>
            <w:tcW w:w="2970" w:type="dxa"/>
            <w:tcBorders>
              <w:top w:val="nil"/>
              <w:left w:val="nil"/>
              <w:bottom w:val="nil"/>
              <w:right w:val="nil"/>
            </w:tcBorders>
          </w:tcPr>
          <w:p w:rsidR="00555A84" w:rsidRDefault="00555A84" w:rsidP="004B3437">
            <w:pPr>
              <w:pStyle w:val="Table3Data"/>
              <w:widowControl/>
              <w:jc w:val="center"/>
            </w:pPr>
            <w:r>
              <w:t>55%</w:t>
            </w:r>
          </w:p>
        </w:tc>
      </w:tr>
      <w:tr w:rsidR="00555A84" w:rsidTr="004B3437">
        <w:trPr>
          <w:cantSplit/>
          <w:trHeight w:val="360"/>
        </w:trPr>
        <w:tc>
          <w:tcPr>
            <w:tcW w:w="4230" w:type="dxa"/>
            <w:tcBorders>
              <w:top w:val="nil"/>
              <w:left w:val="nil"/>
              <w:bottom w:val="nil"/>
              <w:right w:val="nil"/>
            </w:tcBorders>
          </w:tcPr>
          <w:p w:rsidR="00555A84" w:rsidRDefault="00555A84" w:rsidP="004B3437">
            <w:pPr>
              <w:pStyle w:val="Table3Data"/>
              <w:widowControl/>
            </w:pPr>
            <w:r>
              <w:t>15</w:t>
            </w:r>
          </w:p>
        </w:tc>
        <w:tc>
          <w:tcPr>
            <w:tcW w:w="2970" w:type="dxa"/>
            <w:tcBorders>
              <w:top w:val="nil"/>
              <w:left w:val="nil"/>
              <w:bottom w:val="nil"/>
              <w:right w:val="nil"/>
            </w:tcBorders>
          </w:tcPr>
          <w:p w:rsidR="00555A84" w:rsidRDefault="00555A84" w:rsidP="004B3437">
            <w:pPr>
              <w:pStyle w:val="Table3Data"/>
              <w:widowControl/>
              <w:jc w:val="center"/>
            </w:pPr>
            <w:r>
              <w:t>60%</w:t>
            </w:r>
          </w:p>
        </w:tc>
      </w:tr>
      <w:tr w:rsidR="00555A84" w:rsidTr="004B3437">
        <w:trPr>
          <w:cantSplit/>
          <w:trHeight w:val="360"/>
        </w:trPr>
        <w:tc>
          <w:tcPr>
            <w:tcW w:w="4230" w:type="dxa"/>
            <w:tcBorders>
              <w:top w:val="nil"/>
              <w:left w:val="nil"/>
              <w:bottom w:val="single" w:sz="6" w:space="0" w:color="auto"/>
              <w:right w:val="nil"/>
            </w:tcBorders>
          </w:tcPr>
          <w:p w:rsidR="00555A84" w:rsidRDefault="00555A84" w:rsidP="004B3437">
            <w:pPr>
              <w:pStyle w:val="Table3Data"/>
              <w:widowControl/>
            </w:pPr>
            <w:r>
              <w:t>Other Executive Officers</w:t>
            </w:r>
          </w:p>
        </w:tc>
        <w:tc>
          <w:tcPr>
            <w:tcW w:w="2970" w:type="dxa"/>
            <w:tcBorders>
              <w:top w:val="nil"/>
              <w:left w:val="nil"/>
              <w:bottom w:val="single" w:sz="6" w:space="0" w:color="auto"/>
              <w:right w:val="nil"/>
            </w:tcBorders>
          </w:tcPr>
          <w:p w:rsidR="00555A84" w:rsidRDefault="00555A84" w:rsidP="004B3437">
            <w:pPr>
              <w:pStyle w:val="Table3Data"/>
              <w:widowControl/>
              <w:jc w:val="center"/>
            </w:pPr>
            <w:r>
              <w:t>Determined by the Committee</w:t>
            </w:r>
          </w:p>
        </w:tc>
      </w:tr>
    </w:tbl>
    <w:p w:rsidR="00555A84" w:rsidRDefault="00555A84" w:rsidP="00555A84"/>
    <w:p w:rsidR="00555A84" w:rsidRDefault="00555A84" w:rsidP="00555A84">
      <w:pPr>
        <w:pStyle w:val="Heading1"/>
      </w:pPr>
      <w:r>
        <w:t xml:space="preserve">How Payouts are Determined </w:t>
      </w:r>
    </w:p>
    <w:p w:rsidR="00555A84" w:rsidRDefault="00555A84" w:rsidP="00555A84">
      <w:r>
        <w:t>Payouts are determined as follows:</w:t>
      </w:r>
    </w:p>
    <w:p w:rsidR="00555A84" w:rsidRDefault="00555A84" w:rsidP="00555A84"/>
    <w:p w:rsidR="00555A84" w:rsidRDefault="00555A84" w:rsidP="00555A84">
      <w:pPr>
        <w:pStyle w:val="BulletDS"/>
        <w:widowControl/>
        <w:tabs>
          <w:tab w:val="clear" w:pos="216"/>
          <w:tab w:val="clear" w:pos="533"/>
          <w:tab w:val="clear" w:pos="734"/>
        </w:tabs>
        <w:ind w:left="360" w:hanging="360"/>
      </w:pPr>
      <w:r>
        <w:sym w:font="Symbol" w:char="F0B7"/>
      </w:r>
      <w:r w:rsidRPr="003359C4">
        <w:tab/>
        <w:t>E</w:t>
      </w:r>
      <w:r>
        <w:t xml:space="preserve">ach participant has a target award, expressed as a percent of base salary. </w:t>
      </w:r>
    </w:p>
    <w:p w:rsidR="00555A84" w:rsidRDefault="00555A84" w:rsidP="00555A84">
      <w:pPr>
        <w:pStyle w:val="BulletDS"/>
        <w:widowControl/>
        <w:tabs>
          <w:tab w:val="clear" w:pos="216"/>
          <w:tab w:val="clear" w:pos="533"/>
          <w:tab w:val="clear" w:pos="734"/>
        </w:tabs>
        <w:ind w:left="360" w:hanging="360"/>
      </w:pPr>
      <w:r>
        <w:sym w:font="Symbol" w:char="F0B7"/>
      </w:r>
      <w:r w:rsidRPr="003359C4">
        <w:tab/>
        <w:t>E</w:t>
      </w:r>
      <w:r>
        <w:t>ach participant also has performance goal measures assigned to him or her, along with a weight for each performance goal measure.  The standard weights are 1/3 Southern Company EPS, 1/3 business unit(s) ROE and 1/3 business unit(s) operational goals.  Certain employees may have different performance goal weights or performance goal measures, with approval by the Southern Company CEO.  The goal performance determines the Primary Goal Achievement.</w:t>
      </w:r>
    </w:p>
    <w:p w:rsidR="00555A84" w:rsidRDefault="00555A84" w:rsidP="00555A84">
      <w:pPr>
        <w:pStyle w:val="BulletDS"/>
        <w:widowControl/>
        <w:numPr>
          <w:ilvl w:val="0"/>
          <w:numId w:val="16"/>
        </w:numPr>
        <w:tabs>
          <w:tab w:val="clear" w:pos="216"/>
          <w:tab w:val="clear" w:pos="360"/>
          <w:tab w:val="clear" w:pos="533"/>
          <w:tab w:val="clear" w:pos="734"/>
        </w:tabs>
      </w:pPr>
      <w:r>
        <w:t>The Primary Goal Achievement may be reduced by 10 percentage points, due to the following event:  Southern Company EPS trigger – EPS is less than 90% of the EPS target.</w:t>
      </w:r>
    </w:p>
    <w:p w:rsidR="00555A84" w:rsidRDefault="00555A84" w:rsidP="00555A84">
      <w:pPr>
        <w:pStyle w:val="BulletDS"/>
        <w:widowControl/>
        <w:numPr>
          <w:ilvl w:val="0"/>
          <w:numId w:val="16"/>
        </w:numPr>
        <w:tabs>
          <w:tab w:val="clear" w:pos="216"/>
          <w:tab w:val="clear" w:pos="360"/>
          <w:tab w:val="clear" w:pos="533"/>
          <w:tab w:val="clear" w:pos="734"/>
        </w:tabs>
      </w:pPr>
      <w:r>
        <w:t xml:space="preserve">Southern Company EPS must exceed prior year dividend to provide any </w:t>
      </w:r>
      <w:smartTag w:uri="urn:schemas-microsoft-com:office:smarttags" w:element="stockticker">
        <w:r>
          <w:t>PPP</w:t>
        </w:r>
      </w:smartTag>
      <w:r>
        <w:t xml:space="preserve"> opportunity.</w:t>
      </w:r>
    </w:p>
    <w:p w:rsidR="00555A84" w:rsidRDefault="00555A84" w:rsidP="00555A84">
      <w:pPr>
        <w:pStyle w:val="BulletDS"/>
        <w:widowControl/>
        <w:tabs>
          <w:tab w:val="clear" w:pos="216"/>
          <w:tab w:val="clear" w:pos="533"/>
          <w:tab w:val="clear" w:pos="734"/>
        </w:tabs>
        <w:ind w:left="360" w:hanging="360"/>
        <w:rPr>
          <w:rFonts w:ascii="Symbol" w:hAnsi="Symbol"/>
          <w:lang w:val="en-US"/>
        </w:rPr>
      </w:pPr>
      <w:r>
        <w:sym w:font="Symbol" w:char="F0B7"/>
      </w:r>
      <w:r w:rsidRPr="003359C4">
        <w:tab/>
        <w:t>E</w:t>
      </w:r>
      <w:r>
        <w:t xml:space="preserve">ach participant can have his </w:t>
      </w:r>
      <w:smartTag w:uri="urn:schemas-microsoft-com:office:smarttags" w:element="stockticker">
        <w:r>
          <w:t>PPP</w:t>
        </w:r>
      </w:smartTag>
      <w:r>
        <w:t xml:space="preserve"> payout reduced if his individual performance expectations are not met.  The </w:t>
      </w:r>
      <w:smartTag w:uri="urn:schemas-microsoft-com:office:smarttags" w:element="stockticker">
        <w:r>
          <w:t>PPP</w:t>
        </w:r>
      </w:smartTag>
      <w:r>
        <w:t xml:space="preserve"> payout may be reduced to zero based upon individual performance.  Individual performance expectations are determined during the performance year and are measured by the participant’s management.</w:t>
      </w:r>
    </w:p>
    <w:p w:rsidR="00555A84" w:rsidRDefault="00555A84" w:rsidP="00555A84">
      <w:pPr>
        <w:pStyle w:val="BulletDS"/>
        <w:widowControl/>
        <w:tabs>
          <w:tab w:val="clear" w:pos="216"/>
          <w:tab w:val="clear" w:pos="533"/>
          <w:tab w:val="clear" w:pos="734"/>
        </w:tabs>
        <w:ind w:left="360" w:hanging="360"/>
      </w:pPr>
      <w:r>
        <w:sym w:font="Symbol" w:char="F0B7"/>
      </w:r>
      <w:r w:rsidRPr="003359C4">
        <w:tab/>
        <w:t>T</w:t>
      </w:r>
      <w:r>
        <w:t>he Committee establishes each year the criteria for payouts with respect to executive officers.</w:t>
      </w:r>
    </w:p>
    <w:p w:rsidR="00555A84" w:rsidRDefault="00555A84" w:rsidP="00555A84">
      <w:pPr>
        <w:pStyle w:val="BulletDS"/>
        <w:widowControl/>
        <w:tabs>
          <w:tab w:val="clear" w:pos="216"/>
          <w:tab w:val="clear" w:pos="533"/>
          <w:tab w:val="clear" w:pos="734"/>
        </w:tabs>
        <w:ind w:left="360" w:hanging="360"/>
      </w:pPr>
      <w:r>
        <w:sym w:font="Symbol" w:char="F0B7"/>
      </w:r>
      <w:r w:rsidRPr="003359C4">
        <w:tab/>
      </w:r>
      <w:r>
        <w:t>Southern Excellence Awards (</w:t>
      </w:r>
      <w:smartTag w:uri="urn:schemas-microsoft-com:office:smarttags" w:element="stockticker">
        <w:r>
          <w:t>SEA</w:t>
        </w:r>
      </w:smartTag>
      <w:r>
        <w:t xml:space="preserve">) may be given throughout the year to provide immediate recognition for exceptional contribution of individuals and teams.  Southern Excellence Awards are in addition to the </w:t>
      </w:r>
      <w:smartTag w:uri="urn:schemas-microsoft-com:office:smarttags" w:element="stockticker">
        <w:r>
          <w:t>PPP</w:t>
        </w:r>
      </w:smartTag>
      <w:r>
        <w:t xml:space="preserve"> payout.</w:t>
      </w:r>
    </w:p>
    <w:p w:rsidR="00555A84" w:rsidRDefault="00555A84" w:rsidP="00555A84">
      <w:pPr>
        <w:pStyle w:val="Heading1"/>
      </w:pPr>
      <w:r>
        <w:t>How Performance Is Measured</w:t>
      </w:r>
    </w:p>
    <w:p w:rsidR="00555A84" w:rsidRDefault="00555A84" w:rsidP="00555A84">
      <w:r>
        <w:t>Performance is measured over Southern Company’s business year, which is the calendar year. Each year new goals are set, using the performance measures most important to the company.  Performance is determined as follows:</w:t>
      </w:r>
    </w:p>
    <w:p w:rsidR="00555A84" w:rsidRDefault="00555A84" w:rsidP="00555A84"/>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70"/>
        <w:gridCol w:w="2790"/>
        <w:gridCol w:w="3240"/>
      </w:tblGrid>
      <w:tr w:rsidR="00555A84" w:rsidTr="004B3437">
        <w:trPr>
          <w:cantSplit/>
          <w:trHeight w:val="360"/>
          <w:tblHeader/>
        </w:trPr>
        <w:tc>
          <w:tcPr>
            <w:tcW w:w="2970" w:type="dxa"/>
          </w:tcPr>
          <w:p w:rsidR="00555A84" w:rsidRDefault="00555A84" w:rsidP="004B3437">
            <w:pPr>
              <w:pStyle w:val="Table2Hdgs"/>
              <w:widowControl/>
            </w:pPr>
            <w:r>
              <w:t>Payout Structure</w:t>
            </w:r>
          </w:p>
        </w:tc>
        <w:tc>
          <w:tcPr>
            <w:tcW w:w="2790" w:type="dxa"/>
          </w:tcPr>
          <w:p w:rsidR="00555A84" w:rsidRDefault="00555A84" w:rsidP="004B3437">
            <w:pPr>
              <w:pStyle w:val="Table2Hdgs"/>
              <w:widowControl/>
            </w:pPr>
            <w:r>
              <w:t>Entity at Which Performance Is Measured</w:t>
            </w:r>
          </w:p>
        </w:tc>
        <w:tc>
          <w:tcPr>
            <w:tcW w:w="3240" w:type="dxa"/>
          </w:tcPr>
          <w:p w:rsidR="00555A84" w:rsidRDefault="00555A84" w:rsidP="004B3437">
            <w:pPr>
              <w:pStyle w:val="Table2Hdgs"/>
              <w:widowControl/>
            </w:pPr>
            <w:r>
              <w:t>Performance Measures</w:t>
            </w:r>
          </w:p>
        </w:tc>
      </w:tr>
      <w:tr w:rsidR="00555A84" w:rsidTr="004B3437">
        <w:trPr>
          <w:cantSplit/>
          <w:trHeight w:val="458"/>
        </w:trPr>
        <w:tc>
          <w:tcPr>
            <w:tcW w:w="2970" w:type="dxa"/>
          </w:tcPr>
          <w:p w:rsidR="00555A84" w:rsidRDefault="00555A84" w:rsidP="004B3437">
            <w:pPr>
              <w:pStyle w:val="Table3Data"/>
              <w:widowControl/>
            </w:pPr>
            <w:r>
              <w:t>Primary financial determinant of payout</w:t>
            </w:r>
          </w:p>
        </w:tc>
        <w:tc>
          <w:tcPr>
            <w:tcW w:w="2790" w:type="dxa"/>
            <w:shd w:val="clear" w:color="auto" w:fill="auto"/>
          </w:tcPr>
          <w:p w:rsidR="00555A84" w:rsidRDefault="00555A84" w:rsidP="004B3437">
            <w:pPr>
              <w:pStyle w:val="Table3Data"/>
              <w:widowControl/>
              <w:tabs>
                <w:tab w:val="left" w:pos="1317"/>
              </w:tabs>
              <w:ind w:left="1317" w:hanging="1317"/>
            </w:pPr>
            <w:r>
              <w:t>Southern Company</w:t>
            </w:r>
          </w:p>
        </w:tc>
        <w:tc>
          <w:tcPr>
            <w:tcW w:w="3240" w:type="dxa"/>
            <w:shd w:val="clear" w:color="auto" w:fill="auto"/>
          </w:tcPr>
          <w:p w:rsidR="00555A84" w:rsidRDefault="00555A84" w:rsidP="004B3437">
            <w:pPr>
              <w:pStyle w:val="Tab5Data-Bullet"/>
              <w:widowControl/>
              <w:ind w:left="0" w:firstLine="0"/>
            </w:pPr>
            <w:r>
              <w:t>Basic Earnings Per Share from Continuing Operations</w:t>
            </w:r>
          </w:p>
        </w:tc>
      </w:tr>
      <w:tr w:rsidR="00555A84" w:rsidTr="004B3437">
        <w:trPr>
          <w:cantSplit/>
          <w:trHeight w:val="457"/>
        </w:trPr>
        <w:tc>
          <w:tcPr>
            <w:tcW w:w="2970" w:type="dxa"/>
          </w:tcPr>
          <w:p w:rsidR="00555A84" w:rsidRDefault="00555A84" w:rsidP="004B3437">
            <w:pPr>
              <w:pStyle w:val="Table3Data"/>
              <w:widowControl/>
            </w:pPr>
            <w:r>
              <w:t>Primary financial determinant of payout</w:t>
            </w:r>
          </w:p>
        </w:tc>
        <w:tc>
          <w:tcPr>
            <w:tcW w:w="2790" w:type="dxa"/>
            <w:shd w:val="clear" w:color="auto" w:fill="auto"/>
          </w:tcPr>
          <w:p w:rsidR="00555A84" w:rsidRDefault="00555A84" w:rsidP="004B3437">
            <w:pPr>
              <w:pStyle w:val="Table3Data"/>
              <w:widowControl/>
              <w:tabs>
                <w:tab w:val="left" w:pos="1317"/>
              </w:tabs>
              <w:ind w:left="1317" w:hanging="1317"/>
            </w:pPr>
            <w:r>
              <w:t>Business Unit</w:t>
            </w:r>
          </w:p>
        </w:tc>
        <w:tc>
          <w:tcPr>
            <w:tcW w:w="3240" w:type="dxa"/>
            <w:shd w:val="clear" w:color="auto" w:fill="auto"/>
          </w:tcPr>
          <w:p w:rsidR="00555A84" w:rsidRDefault="00555A84" w:rsidP="004B3437">
            <w:pPr>
              <w:pStyle w:val="Tab5Data-Bullet"/>
              <w:widowControl/>
              <w:ind w:left="0" w:firstLine="0"/>
              <w:rPr>
                <w:vertAlign w:val="superscript"/>
              </w:rPr>
            </w:pPr>
            <w:r>
              <w:t>Return on Equity</w:t>
            </w:r>
          </w:p>
          <w:p w:rsidR="00555A84" w:rsidRDefault="00555A84" w:rsidP="004B3437">
            <w:pPr>
              <w:pStyle w:val="Tab5Data-Bullet"/>
              <w:widowControl/>
              <w:ind w:left="0" w:firstLine="0"/>
            </w:pPr>
            <w:r>
              <w:t>or</w:t>
            </w:r>
          </w:p>
          <w:p w:rsidR="00555A84" w:rsidRDefault="00555A84" w:rsidP="004B3437">
            <w:pPr>
              <w:pStyle w:val="Tab5Data-Bullet"/>
              <w:widowControl/>
              <w:ind w:left="0" w:firstLine="0"/>
            </w:pPr>
            <w:r>
              <w:t>Other Financial Measures</w:t>
            </w:r>
          </w:p>
        </w:tc>
      </w:tr>
      <w:tr w:rsidR="00555A84" w:rsidTr="004B3437">
        <w:trPr>
          <w:cantSplit/>
          <w:trHeight w:val="360"/>
        </w:trPr>
        <w:tc>
          <w:tcPr>
            <w:tcW w:w="2970" w:type="dxa"/>
          </w:tcPr>
          <w:p w:rsidR="00555A84" w:rsidRDefault="00555A84" w:rsidP="004B3437">
            <w:pPr>
              <w:pStyle w:val="Table3Data"/>
              <w:widowControl/>
            </w:pPr>
            <w:r>
              <w:t>Primary operational determinant of payout</w:t>
            </w:r>
          </w:p>
        </w:tc>
        <w:tc>
          <w:tcPr>
            <w:tcW w:w="2790" w:type="dxa"/>
          </w:tcPr>
          <w:p w:rsidR="00555A84" w:rsidRDefault="00555A84" w:rsidP="004B3437">
            <w:pPr>
              <w:pStyle w:val="Table3Data"/>
              <w:widowControl/>
            </w:pPr>
            <w:r>
              <w:t xml:space="preserve">Business Unit </w:t>
            </w:r>
          </w:p>
        </w:tc>
        <w:tc>
          <w:tcPr>
            <w:tcW w:w="3240" w:type="dxa"/>
          </w:tcPr>
          <w:p w:rsidR="00555A84" w:rsidRDefault="00555A84" w:rsidP="004B3437">
            <w:pPr>
              <w:pStyle w:val="Tab5Data-Bullet"/>
              <w:widowControl/>
              <w:numPr>
                <w:ilvl w:val="0"/>
                <w:numId w:val="16"/>
              </w:numPr>
            </w:pPr>
            <w:r>
              <w:t>Safety</w:t>
            </w:r>
          </w:p>
          <w:p w:rsidR="00555A84" w:rsidRDefault="00555A84" w:rsidP="004B3437">
            <w:pPr>
              <w:pStyle w:val="Tab5Data-Bullet"/>
              <w:widowControl/>
              <w:numPr>
                <w:ilvl w:val="0"/>
                <w:numId w:val="16"/>
              </w:numPr>
            </w:pPr>
            <w:r>
              <w:t>Operations</w:t>
            </w:r>
          </w:p>
          <w:p w:rsidR="00555A84" w:rsidRDefault="00555A84" w:rsidP="004B3437">
            <w:pPr>
              <w:pStyle w:val="Tab5Data-Bullet"/>
              <w:widowControl/>
              <w:numPr>
                <w:ilvl w:val="0"/>
                <w:numId w:val="16"/>
              </w:numPr>
            </w:pPr>
            <w:r>
              <w:t>Culture</w:t>
            </w:r>
          </w:p>
        </w:tc>
      </w:tr>
      <w:tr w:rsidR="00555A84" w:rsidTr="004B3437">
        <w:trPr>
          <w:cantSplit/>
          <w:trHeight w:val="360"/>
        </w:trPr>
        <w:tc>
          <w:tcPr>
            <w:tcW w:w="2970" w:type="dxa"/>
          </w:tcPr>
          <w:p w:rsidR="00555A84" w:rsidRDefault="00555A84" w:rsidP="004B3437">
            <w:pPr>
              <w:pStyle w:val="Table3Data"/>
              <w:widowControl/>
            </w:pPr>
            <w:r>
              <w:lastRenderedPageBreak/>
              <w:t>EPS trigger - if EPS is less than 90% of EPS target, then 10 percentage point reduction in total payout of all participants</w:t>
            </w:r>
          </w:p>
        </w:tc>
        <w:tc>
          <w:tcPr>
            <w:tcW w:w="2790" w:type="dxa"/>
          </w:tcPr>
          <w:p w:rsidR="00555A84" w:rsidRDefault="00555A84" w:rsidP="004B3437">
            <w:pPr>
              <w:pStyle w:val="Table3Data"/>
              <w:widowControl/>
            </w:pPr>
            <w:r>
              <w:t>Southern Company</w:t>
            </w:r>
          </w:p>
        </w:tc>
        <w:tc>
          <w:tcPr>
            <w:tcW w:w="3240" w:type="dxa"/>
          </w:tcPr>
          <w:p w:rsidR="00555A84" w:rsidRDefault="00555A84" w:rsidP="004B3437">
            <w:pPr>
              <w:pStyle w:val="Tab5Data-Bullet"/>
              <w:widowControl/>
              <w:ind w:left="0" w:firstLine="0"/>
            </w:pPr>
            <w:r>
              <w:t>Basis Earnings Per Share from Continuing Operations</w:t>
            </w:r>
          </w:p>
        </w:tc>
      </w:tr>
      <w:tr w:rsidR="00555A84" w:rsidTr="004B3437">
        <w:trPr>
          <w:cantSplit/>
          <w:trHeight w:val="360"/>
        </w:trPr>
        <w:tc>
          <w:tcPr>
            <w:tcW w:w="2970" w:type="dxa"/>
          </w:tcPr>
          <w:p w:rsidR="00555A84" w:rsidRDefault="00555A84" w:rsidP="004B3437">
            <w:pPr>
              <w:pStyle w:val="Table3Data"/>
              <w:widowControl/>
              <w:tabs>
                <w:tab w:val="left" w:pos="222"/>
              </w:tabs>
            </w:pPr>
            <w:r>
              <w:t>A reduction is possible if individual goals are not met</w:t>
            </w:r>
          </w:p>
        </w:tc>
        <w:tc>
          <w:tcPr>
            <w:tcW w:w="2790" w:type="dxa"/>
          </w:tcPr>
          <w:p w:rsidR="00555A84" w:rsidRDefault="00555A84" w:rsidP="004B3437">
            <w:pPr>
              <w:pStyle w:val="Table3Data"/>
              <w:widowControl/>
            </w:pPr>
            <w:r>
              <w:t>Individual</w:t>
            </w:r>
          </w:p>
        </w:tc>
        <w:tc>
          <w:tcPr>
            <w:tcW w:w="3240" w:type="dxa"/>
          </w:tcPr>
          <w:p w:rsidR="00555A84" w:rsidRDefault="00555A84" w:rsidP="004B3437">
            <w:pPr>
              <w:pStyle w:val="Table3Data"/>
              <w:widowControl/>
            </w:pPr>
            <w:r>
              <w:t>Individual performance expectations</w:t>
            </w:r>
          </w:p>
        </w:tc>
      </w:tr>
      <w:tr w:rsidR="00555A84" w:rsidTr="004B3437">
        <w:trPr>
          <w:cantSplit/>
          <w:trHeight w:val="360"/>
        </w:trPr>
        <w:tc>
          <w:tcPr>
            <w:tcW w:w="2970" w:type="dxa"/>
          </w:tcPr>
          <w:p w:rsidR="00555A84" w:rsidRDefault="00555A84" w:rsidP="004B3437">
            <w:pPr>
              <w:pStyle w:val="Table3Data"/>
              <w:widowControl/>
              <w:tabs>
                <w:tab w:val="left" w:pos="222"/>
              </w:tabs>
            </w:pPr>
            <w:r>
              <w:t>Southern Excellence Award - spot awards determined by Business Unit</w:t>
            </w:r>
          </w:p>
        </w:tc>
        <w:tc>
          <w:tcPr>
            <w:tcW w:w="2790" w:type="dxa"/>
          </w:tcPr>
          <w:p w:rsidR="00555A84" w:rsidRDefault="00555A84" w:rsidP="004B3437">
            <w:pPr>
              <w:pStyle w:val="Table3Data"/>
              <w:widowControl/>
            </w:pPr>
            <w:r>
              <w:t>Individual/Team</w:t>
            </w:r>
          </w:p>
        </w:tc>
        <w:tc>
          <w:tcPr>
            <w:tcW w:w="3240" w:type="dxa"/>
          </w:tcPr>
          <w:p w:rsidR="00555A84" w:rsidRDefault="00555A84" w:rsidP="004B3437">
            <w:pPr>
              <w:pStyle w:val="Table3Data"/>
              <w:widowControl/>
            </w:pPr>
            <w:r>
              <w:t>Individual and/or team performance</w:t>
            </w:r>
          </w:p>
        </w:tc>
      </w:tr>
    </w:tbl>
    <w:p w:rsidR="00555A84" w:rsidRDefault="00555A84" w:rsidP="00555A84"/>
    <w:p w:rsidR="00555A84" w:rsidRDefault="00555A84" w:rsidP="00555A84">
      <w:r>
        <w:t xml:space="preserve">No payout is made under </w:t>
      </w:r>
      <w:smartTag w:uri="urn:schemas-microsoft-com:office:smarttags" w:element="stockticker">
        <w:r>
          <w:t>PPP</w:t>
        </w:r>
      </w:smartTag>
      <w:r>
        <w:t xml:space="preserve">, however, if Southern Company’s earnings during a performance year are not enough to fund the dividend on Southern Company’s common stock, as calculated using the actual dividend rate for the year immediately </w:t>
      </w:r>
      <w:proofErr w:type="gramStart"/>
      <w:r>
        <w:t>preceding</w:t>
      </w:r>
      <w:proofErr w:type="gramEnd"/>
      <w:r>
        <w:t xml:space="preserve"> the performance year.</w:t>
      </w:r>
    </w:p>
    <w:p w:rsidR="00555A84" w:rsidRDefault="00555A84" w:rsidP="00555A84"/>
    <w:p w:rsidR="00555A84" w:rsidRDefault="00555A84" w:rsidP="00555A84">
      <w:r>
        <w:t>The Committee may approve exceptions to the performance measures shown above.  The primary considerations for an exception to a performance measure include adjustments to exclude the up or down impact of items: (1) considered “one time” or outside of “normal operations;” (2) not anticipated in the business plan when the goal was established; and (3) of sufficient magnitude to warrant recognition.</w:t>
      </w:r>
    </w:p>
    <w:p w:rsidR="00555A84" w:rsidRDefault="00555A84" w:rsidP="00555A84">
      <w:pPr>
        <w:pStyle w:val="Heading1"/>
      </w:pPr>
    </w:p>
    <w:p w:rsidR="00555A84" w:rsidRDefault="00555A84" w:rsidP="00555A84">
      <w:pPr>
        <w:pStyle w:val="Heading1"/>
      </w:pPr>
      <w:r>
        <w:t>Maximum Awards</w:t>
      </w:r>
    </w:p>
    <w:p w:rsidR="00555A84" w:rsidRDefault="00555A84" w:rsidP="00555A84">
      <w:r>
        <w:t xml:space="preserve">The maximum payout for any </w:t>
      </w:r>
      <w:smartTag w:uri="urn:schemas-microsoft-com:office:smarttags" w:element="stockticker">
        <w:r>
          <w:t>PPP</w:t>
        </w:r>
      </w:smartTag>
      <w:r>
        <w:t xml:space="preserve"> participant is 200% of target.</w:t>
      </w:r>
    </w:p>
    <w:p w:rsidR="00555A84" w:rsidRDefault="00555A84" w:rsidP="00555A84"/>
    <w:p w:rsidR="00555A84" w:rsidRDefault="00555A84" w:rsidP="00555A84">
      <w:pPr>
        <w:pStyle w:val="Heading1"/>
      </w:pPr>
      <w:r>
        <w:t>Vesting</w:t>
      </w:r>
    </w:p>
    <w:p w:rsidR="00555A84" w:rsidRDefault="00555A84" w:rsidP="00555A84">
      <w:smartTag w:uri="urn:schemas-microsoft-com:office:smarttags" w:element="stockticker">
        <w:r>
          <w:t>PPP</w:t>
        </w:r>
      </w:smartTag>
      <w:r>
        <w:t xml:space="preserve"> awards vest on December 31 of the performance year.  Participants must be employed on that date or have terminated </w:t>
      </w:r>
      <w:r w:rsidRPr="00E93BDB">
        <w:t>with severance</w:t>
      </w:r>
      <w:r>
        <w:t xml:space="preserve"> during the performance year in order to receive a payout for the year (except in cases of death, disability or retirement:  see below).</w:t>
      </w:r>
    </w:p>
    <w:p w:rsidR="00555A84" w:rsidRDefault="00555A84" w:rsidP="00555A84"/>
    <w:p w:rsidR="00555A84" w:rsidRDefault="00555A84" w:rsidP="00555A84">
      <w:r>
        <w:t>Involuntary or voluntary termination for cause</w:t>
      </w:r>
      <w:r>
        <w:rPr>
          <w:rStyle w:val="FootnoteReference"/>
        </w:rPr>
        <w:footnoteReference w:id="2"/>
      </w:r>
      <w:r>
        <w:t xml:space="preserve"> creates an exception to the vesting rule.  Such a termination results in the forfeiture of any unpaid award, even if it otherwise had vested.</w:t>
      </w:r>
    </w:p>
    <w:p w:rsidR="00555A84" w:rsidRDefault="00555A84" w:rsidP="00555A84"/>
    <w:p w:rsidR="00555A84" w:rsidRDefault="00555A84" w:rsidP="00555A84">
      <w:pPr>
        <w:pStyle w:val="Heading1"/>
      </w:pPr>
      <w:r>
        <w:t>Example</w:t>
      </w:r>
    </w:p>
    <w:p w:rsidR="00555A84" w:rsidRDefault="00555A84" w:rsidP="00555A84">
      <w:pPr>
        <w:pStyle w:val="NormalDS"/>
        <w:widowControl/>
      </w:pPr>
      <w:r>
        <w:t xml:space="preserve">Following is an example showing how </w:t>
      </w:r>
      <w:smartTag w:uri="urn:schemas-microsoft-com:office:smarttags" w:element="stockticker">
        <w:r>
          <w:t>PPP</w:t>
        </w:r>
      </w:smartTag>
      <w:r>
        <w:t xml:space="preserve"> works.</w:t>
      </w:r>
    </w:p>
    <w:tbl>
      <w:tblPr>
        <w:tblW w:w="9990" w:type="dxa"/>
        <w:tblInd w:w="108" w:type="dxa"/>
        <w:tblBorders>
          <w:top w:val="single" w:sz="18" w:space="0" w:color="auto"/>
          <w:bottom w:val="single" w:sz="6" w:space="0" w:color="auto"/>
          <w:insideH w:val="single" w:sz="6" w:space="0" w:color="auto"/>
          <w:insideV w:val="single" w:sz="6" w:space="0" w:color="auto"/>
        </w:tblBorders>
        <w:tblLayout w:type="fixed"/>
        <w:tblLook w:val="0000"/>
      </w:tblPr>
      <w:tblGrid>
        <w:gridCol w:w="3240"/>
        <w:gridCol w:w="1530"/>
        <w:gridCol w:w="1260"/>
        <w:gridCol w:w="3960"/>
      </w:tblGrid>
      <w:tr w:rsidR="00555A84" w:rsidTr="004B3437">
        <w:trPr>
          <w:cantSplit/>
          <w:trHeight w:val="360"/>
          <w:tblHeader/>
        </w:trPr>
        <w:tc>
          <w:tcPr>
            <w:tcW w:w="3240" w:type="dxa"/>
          </w:tcPr>
          <w:p w:rsidR="00555A84" w:rsidRDefault="00555A84" w:rsidP="004B3437">
            <w:pPr>
              <w:pStyle w:val="Table2Hdgs"/>
              <w:widowControl/>
            </w:pPr>
            <w:r>
              <w:t>Item</w:t>
            </w:r>
          </w:p>
        </w:tc>
        <w:tc>
          <w:tcPr>
            <w:tcW w:w="1530" w:type="dxa"/>
          </w:tcPr>
          <w:p w:rsidR="00555A84" w:rsidRDefault="00555A84" w:rsidP="004B3437">
            <w:pPr>
              <w:pStyle w:val="Table2Hdgs"/>
              <w:widowControl/>
            </w:pPr>
            <w:r>
              <w:t>Performance</w:t>
            </w:r>
          </w:p>
        </w:tc>
        <w:tc>
          <w:tcPr>
            <w:tcW w:w="1260" w:type="dxa"/>
          </w:tcPr>
          <w:p w:rsidR="00555A84" w:rsidRDefault="00555A84" w:rsidP="004B3437">
            <w:pPr>
              <w:pStyle w:val="Table2Hdgs"/>
              <w:widowControl/>
            </w:pPr>
            <w:r>
              <w:t>Amount</w:t>
            </w:r>
          </w:p>
        </w:tc>
        <w:tc>
          <w:tcPr>
            <w:tcW w:w="3960" w:type="dxa"/>
          </w:tcPr>
          <w:p w:rsidR="00555A84" w:rsidRDefault="00555A84" w:rsidP="004B3437">
            <w:pPr>
              <w:pStyle w:val="Table2Hdgs"/>
              <w:widowControl/>
            </w:pPr>
            <w:r>
              <w:t>Calculation</w:t>
            </w:r>
          </w:p>
        </w:tc>
      </w:tr>
      <w:tr w:rsidR="00555A84" w:rsidTr="004B3437">
        <w:trPr>
          <w:cantSplit/>
          <w:trHeight w:val="360"/>
        </w:trPr>
        <w:tc>
          <w:tcPr>
            <w:tcW w:w="3240" w:type="dxa"/>
          </w:tcPr>
          <w:p w:rsidR="00555A84" w:rsidRDefault="00555A84" w:rsidP="004B3437">
            <w:pPr>
              <w:pStyle w:val="Table3Data"/>
              <w:widowControl/>
            </w:pPr>
            <w:r>
              <w:t>Base salary</w:t>
            </w:r>
          </w:p>
        </w:tc>
        <w:tc>
          <w:tcPr>
            <w:tcW w:w="1530" w:type="dxa"/>
          </w:tcPr>
          <w:p w:rsidR="00555A84" w:rsidRDefault="00555A84" w:rsidP="004B3437">
            <w:pPr>
              <w:pStyle w:val="Table3Data"/>
              <w:widowControl/>
            </w:pPr>
          </w:p>
        </w:tc>
        <w:tc>
          <w:tcPr>
            <w:tcW w:w="1260" w:type="dxa"/>
          </w:tcPr>
          <w:p w:rsidR="00555A84" w:rsidRDefault="00555A84" w:rsidP="004B3437">
            <w:pPr>
              <w:pStyle w:val="Table3Data"/>
              <w:widowControl/>
            </w:pPr>
            <w:r>
              <w:t>$50,000</w:t>
            </w:r>
          </w:p>
        </w:tc>
        <w:tc>
          <w:tcPr>
            <w:tcW w:w="3960" w:type="dxa"/>
          </w:tcPr>
          <w:p w:rsidR="00555A84" w:rsidRDefault="00555A84" w:rsidP="004B3437">
            <w:pPr>
              <w:pStyle w:val="Table3Data"/>
              <w:widowControl/>
            </w:pPr>
          </w:p>
        </w:tc>
      </w:tr>
      <w:tr w:rsidR="00555A84" w:rsidTr="004B3437">
        <w:trPr>
          <w:cantSplit/>
          <w:trHeight w:val="360"/>
        </w:trPr>
        <w:tc>
          <w:tcPr>
            <w:tcW w:w="3240" w:type="dxa"/>
          </w:tcPr>
          <w:p w:rsidR="00555A84" w:rsidRDefault="00555A84" w:rsidP="004B3437">
            <w:pPr>
              <w:pStyle w:val="Table3Data"/>
              <w:widowControl/>
            </w:pPr>
            <w:r>
              <w:t>Target award</w:t>
            </w:r>
          </w:p>
        </w:tc>
        <w:tc>
          <w:tcPr>
            <w:tcW w:w="1530" w:type="dxa"/>
          </w:tcPr>
          <w:p w:rsidR="00555A84" w:rsidRDefault="00555A84" w:rsidP="004B3437">
            <w:pPr>
              <w:pStyle w:val="Table3Data"/>
              <w:widowControl/>
            </w:pPr>
          </w:p>
        </w:tc>
        <w:tc>
          <w:tcPr>
            <w:tcW w:w="1260" w:type="dxa"/>
          </w:tcPr>
          <w:p w:rsidR="00555A84" w:rsidRDefault="00555A84" w:rsidP="004B3437">
            <w:pPr>
              <w:pStyle w:val="Table3Data"/>
              <w:widowControl/>
            </w:pPr>
            <w:r>
              <w:t>10%</w:t>
            </w:r>
          </w:p>
        </w:tc>
        <w:tc>
          <w:tcPr>
            <w:tcW w:w="3960" w:type="dxa"/>
          </w:tcPr>
          <w:p w:rsidR="00555A84" w:rsidRDefault="00555A84" w:rsidP="004B3437">
            <w:pPr>
              <w:pStyle w:val="Table3Data"/>
              <w:widowControl/>
            </w:pPr>
          </w:p>
        </w:tc>
      </w:tr>
      <w:tr w:rsidR="00555A84" w:rsidTr="004B3437">
        <w:trPr>
          <w:cantSplit/>
          <w:trHeight w:val="360"/>
        </w:trPr>
        <w:tc>
          <w:tcPr>
            <w:tcW w:w="3240" w:type="dxa"/>
          </w:tcPr>
          <w:p w:rsidR="00555A84" w:rsidRDefault="00555A84" w:rsidP="004B3437">
            <w:pPr>
              <w:pStyle w:val="Table3Data"/>
              <w:widowControl/>
            </w:pPr>
            <w:r>
              <w:t>Target award in dollars</w:t>
            </w:r>
          </w:p>
        </w:tc>
        <w:tc>
          <w:tcPr>
            <w:tcW w:w="1530" w:type="dxa"/>
          </w:tcPr>
          <w:p w:rsidR="00555A84" w:rsidRDefault="00555A84" w:rsidP="004B3437">
            <w:pPr>
              <w:pStyle w:val="Table3Data"/>
              <w:widowControl/>
            </w:pPr>
          </w:p>
        </w:tc>
        <w:tc>
          <w:tcPr>
            <w:tcW w:w="1260" w:type="dxa"/>
          </w:tcPr>
          <w:p w:rsidR="00555A84" w:rsidRDefault="00555A84" w:rsidP="004B3437">
            <w:pPr>
              <w:pStyle w:val="Table3Data"/>
              <w:widowControl/>
            </w:pPr>
            <w:r>
              <w:t>$5,000</w:t>
            </w:r>
          </w:p>
        </w:tc>
        <w:tc>
          <w:tcPr>
            <w:tcW w:w="3960" w:type="dxa"/>
          </w:tcPr>
          <w:p w:rsidR="00555A84" w:rsidRDefault="00555A84" w:rsidP="004B3437">
            <w:pPr>
              <w:pStyle w:val="Table3Data"/>
              <w:widowControl/>
            </w:pPr>
            <w:r>
              <w:t>10% x $50,000 = $5,000</w:t>
            </w:r>
          </w:p>
        </w:tc>
      </w:tr>
      <w:tr w:rsidR="00555A84" w:rsidTr="004B3437">
        <w:trPr>
          <w:cantSplit/>
          <w:trHeight w:val="360"/>
        </w:trPr>
        <w:tc>
          <w:tcPr>
            <w:tcW w:w="3240" w:type="dxa"/>
          </w:tcPr>
          <w:p w:rsidR="00555A84" w:rsidRDefault="00555A84" w:rsidP="004B3437">
            <w:pPr>
              <w:pStyle w:val="Table3Data"/>
              <w:widowControl/>
            </w:pPr>
            <w:r>
              <w:t>Weight for Basic EPS from Continuing Operations</w:t>
            </w:r>
          </w:p>
        </w:tc>
        <w:tc>
          <w:tcPr>
            <w:tcW w:w="1530" w:type="dxa"/>
          </w:tcPr>
          <w:p w:rsidR="00555A84" w:rsidRDefault="00555A84" w:rsidP="004B3437">
            <w:pPr>
              <w:pStyle w:val="Table3Data"/>
              <w:widowControl/>
            </w:pPr>
          </w:p>
        </w:tc>
        <w:tc>
          <w:tcPr>
            <w:tcW w:w="1260" w:type="dxa"/>
          </w:tcPr>
          <w:p w:rsidR="00555A84" w:rsidRDefault="00555A84" w:rsidP="004B3437">
            <w:pPr>
              <w:pStyle w:val="Table3Data"/>
              <w:widowControl/>
            </w:pPr>
            <w:r>
              <w:t>33.3%</w:t>
            </w:r>
          </w:p>
        </w:tc>
        <w:tc>
          <w:tcPr>
            <w:tcW w:w="3960" w:type="dxa"/>
          </w:tcPr>
          <w:p w:rsidR="00555A84" w:rsidRDefault="00555A84" w:rsidP="004B3437">
            <w:pPr>
              <w:pStyle w:val="Table3Data"/>
              <w:widowControl/>
            </w:pPr>
          </w:p>
        </w:tc>
      </w:tr>
      <w:tr w:rsidR="00555A84" w:rsidTr="004B3437">
        <w:trPr>
          <w:cantSplit/>
          <w:trHeight w:val="360"/>
        </w:trPr>
        <w:tc>
          <w:tcPr>
            <w:tcW w:w="3240" w:type="dxa"/>
          </w:tcPr>
          <w:p w:rsidR="00555A84" w:rsidRDefault="00555A84" w:rsidP="004B3437">
            <w:pPr>
              <w:pStyle w:val="Table3Data"/>
              <w:widowControl/>
            </w:pPr>
            <w:r>
              <w:t>Weight for Business Unit ROE</w:t>
            </w:r>
          </w:p>
        </w:tc>
        <w:tc>
          <w:tcPr>
            <w:tcW w:w="1530" w:type="dxa"/>
          </w:tcPr>
          <w:p w:rsidR="00555A84" w:rsidRDefault="00555A84" w:rsidP="004B3437">
            <w:pPr>
              <w:pStyle w:val="Table3Data"/>
              <w:widowControl/>
            </w:pPr>
          </w:p>
        </w:tc>
        <w:tc>
          <w:tcPr>
            <w:tcW w:w="1260" w:type="dxa"/>
          </w:tcPr>
          <w:p w:rsidR="00555A84" w:rsidRDefault="00555A84" w:rsidP="004B3437">
            <w:pPr>
              <w:pStyle w:val="Table3Data"/>
              <w:widowControl/>
            </w:pPr>
            <w:r>
              <w:t>33.3%</w:t>
            </w:r>
          </w:p>
        </w:tc>
        <w:tc>
          <w:tcPr>
            <w:tcW w:w="3960" w:type="dxa"/>
          </w:tcPr>
          <w:p w:rsidR="00555A84" w:rsidRDefault="00555A84" w:rsidP="004B3437">
            <w:pPr>
              <w:pStyle w:val="Table3Data"/>
              <w:widowControl/>
            </w:pPr>
          </w:p>
        </w:tc>
      </w:tr>
      <w:tr w:rsidR="00555A84" w:rsidTr="004B3437">
        <w:trPr>
          <w:cantSplit/>
          <w:trHeight w:val="360"/>
        </w:trPr>
        <w:tc>
          <w:tcPr>
            <w:tcW w:w="3240" w:type="dxa"/>
          </w:tcPr>
          <w:p w:rsidR="00555A84" w:rsidRDefault="00555A84" w:rsidP="004B3437">
            <w:pPr>
              <w:pStyle w:val="Table3Data"/>
              <w:widowControl/>
            </w:pPr>
            <w:r>
              <w:t>Weight for Business Unit Operational Goals</w:t>
            </w:r>
          </w:p>
        </w:tc>
        <w:tc>
          <w:tcPr>
            <w:tcW w:w="1530" w:type="dxa"/>
          </w:tcPr>
          <w:p w:rsidR="00555A84" w:rsidRDefault="00555A84" w:rsidP="004B3437">
            <w:pPr>
              <w:pStyle w:val="Table3Data"/>
              <w:widowControl/>
            </w:pPr>
          </w:p>
        </w:tc>
        <w:tc>
          <w:tcPr>
            <w:tcW w:w="1260" w:type="dxa"/>
          </w:tcPr>
          <w:p w:rsidR="00555A84" w:rsidRDefault="00555A84" w:rsidP="004B3437">
            <w:pPr>
              <w:pStyle w:val="Table3Data"/>
              <w:widowControl/>
            </w:pPr>
            <w:r>
              <w:t>33.3%</w:t>
            </w:r>
          </w:p>
        </w:tc>
        <w:tc>
          <w:tcPr>
            <w:tcW w:w="3960" w:type="dxa"/>
          </w:tcPr>
          <w:p w:rsidR="00555A84" w:rsidRDefault="00555A84" w:rsidP="004B3437">
            <w:pPr>
              <w:pStyle w:val="Table3Data"/>
              <w:widowControl/>
            </w:pPr>
          </w:p>
        </w:tc>
      </w:tr>
      <w:tr w:rsidR="00555A84" w:rsidTr="004B3437">
        <w:trPr>
          <w:cantSplit/>
          <w:trHeight w:val="360"/>
        </w:trPr>
        <w:tc>
          <w:tcPr>
            <w:tcW w:w="3240" w:type="dxa"/>
          </w:tcPr>
          <w:p w:rsidR="00555A84" w:rsidRDefault="00555A84" w:rsidP="004B3437">
            <w:pPr>
              <w:pStyle w:val="Table3Data"/>
              <w:widowControl/>
            </w:pPr>
            <w:r>
              <w:t>EPS Goal Payout</w:t>
            </w:r>
          </w:p>
        </w:tc>
        <w:tc>
          <w:tcPr>
            <w:tcW w:w="1530" w:type="dxa"/>
          </w:tcPr>
          <w:p w:rsidR="00555A84" w:rsidRDefault="00555A84" w:rsidP="004B3437">
            <w:pPr>
              <w:pStyle w:val="Table3Data"/>
              <w:widowControl/>
            </w:pPr>
            <w:r>
              <w:t>90%</w:t>
            </w:r>
          </w:p>
        </w:tc>
        <w:tc>
          <w:tcPr>
            <w:tcW w:w="1260" w:type="dxa"/>
          </w:tcPr>
          <w:p w:rsidR="00555A84" w:rsidRDefault="00555A84" w:rsidP="004B3437">
            <w:pPr>
              <w:pStyle w:val="Table3Data"/>
              <w:widowControl/>
            </w:pPr>
            <w:r>
              <w:t>30%</w:t>
            </w:r>
          </w:p>
        </w:tc>
        <w:tc>
          <w:tcPr>
            <w:tcW w:w="3960" w:type="dxa"/>
          </w:tcPr>
          <w:p w:rsidR="00555A84" w:rsidRDefault="00555A84" w:rsidP="004B3437">
            <w:pPr>
              <w:pStyle w:val="Table3Data"/>
              <w:widowControl/>
            </w:pPr>
            <w:r>
              <w:t>33.3% weighting x 90% payout</w:t>
            </w:r>
          </w:p>
        </w:tc>
      </w:tr>
      <w:tr w:rsidR="00555A84" w:rsidTr="004B3437">
        <w:trPr>
          <w:cantSplit/>
          <w:trHeight w:val="360"/>
        </w:trPr>
        <w:tc>
          <w:tcPr>
            <w:tcW w:w="3240" w:type="dxa"/>
          </w:tcPr>
          <w:p w:rsidR="00555A84" w:rsidRDefault="00555A84" w:rsidP="004B3437">
            <w:pPr>
              <w:pStyle w:val="Table3Data"/>
              <w:widowControl/>
            </w:pPr>
            <w:r>
              <w:t>ROE Goal Payout</w:t>
            </w:r>
          </w:p>
        </w:tc>
        <w:tc>
          <w:tcPr>
            <w:tcW w:w="1530" w:type="dxa"/>
          </w:tcPr>
          <w:p w:rsidR="00555A84" w:rsidRDefault="00555A84" w:rsidP="004B3437">
            <w:pPr>
              <w:pStyle w:val="Table3Data"/>
              <w:widowControl/>
            </w:pPr>
            <w:r>
              <w:t>80%</w:t>
            </w:r>
          </w:p>
        </w:tc>
        <w:tc>
          <w:tcPr>
            <w:tcW w:w="1260" w:type="dxa"/>
          </w:tcPr>
          <w:p w:rsidR="00555A84" w:rsidRDefault="00555A84" w:rsidP="004B3437">
            <w:pPr>
              <w:pStyle w:val="Table3Data"/>
              <w:widowControl/>
            </w:pPr>
            <w:r>
              <w:t>27%</w:t>
            </w:r>
          </w:p>
        </w:tc>
        <w:tc>
          <w:tcPr>
            <w:tcW w:w="3960" w:type="dxa"/>
          </w:tcPr>
          <w:p w:rsidR="00555A84" w:rsidRDefault="00555A84" w:rsidP="004B3437">
            <w:pPr>
              <w:pStyle w:val="Table3Data"/>
              <w:widowControl/>
            </w:pPr>
            <w:r>
              <w:t>33.3% weighting x 80% payout</w:t>
            </w:r>
          </w:p>
        </w:tc>
      </w:tr>
      <w:tr w:rsidR="00555A84" w:rsidTr="004B3437">
        <w:trPr>
          <w:cantSplit/>
          <w:trHeight w:val="360"/>
        </w:trPr>
        <w:tc>
          <w:tcPr>
            <w:tcW w:w="3240" w:type="dxa"/>
          </w:tcPr>
          <w:p w:rsidR="00555A84" w:rsidRDefault="00555A84" w:rsidP="004B3437">
            <w:pPr>
              <w:pStyle w:val="Table3Data"/>
              <w:widowControl/>
            </w:pPr>
            <w:r>
              <w:t>Operational Goal Payout</w:t>
            </w:r>
          </w:p>
        </w:tc>
        <w:tc>
          <w:tcPr>
            <w:tcW w:w="1530" w:type="dxa"/>
          </w:tcPr>
          <w:p w:rsidR="00555A84" w:rsidRDefault="00555A84" w:rsidP="004B3437">
            <w:pPr>
              <w:pStyle w:val="Table3Data"/>
              <w:widowControl/>
            </w:pPr>
            <w:r>
              <w:t>120%</w:t>
            </w:r>
          </w:p>
        </w:tc>
        <w:tc>
          <w:tcPr>
            <w:tcW w:w="1260" w:type="dxa"/>
          </w:tcPr>
          <w:p w:rsidR="00555A84" w:rsidRDefault="00555A84" w:rsidP="004B3437">
            <w:pPr>
              <w:pStyle w:val="Table3Data"/>
              <w:widowControl/>
            </w:pPr>
            <w:r>
              <w:t>40%</w:t>
            </w:r>
          </w:p>
        </w:tc>
        <w:tc>
          <w:tcPr>
            <w:tcW w:w="3960" w:type="dxa"/>
          </w:tcPr>
          <w:p w:rsidR="00555A84" w:rsidRDefault="00555A84" w:rsidP="004B3437">
            <w:pPr>
              <w:pStyle w:val="Table3Data"/>
              <w:widowControl/>
            </w:pPr>
            <w:r>
              <w:t>33.3% weighting x 40% payout</w:t>
            </w:r>
          </w:p>
        </w:tc>
      </w:tr>
      <w:tr w:rsidR="00555A84" w:rsidTr="004B3437">
        <w:trPr>
          <w:cantSplit/>
          <w:trHeight w:val="360"/>
        </w:trPr>
        <w:tc>
          <w:tcPr>
            <w:tcW w:w="3240" w:type="dxa"/>
          </w:tcPr>
          <w:p w:rsidR="00555A84" w:rsidRDefault="00555A84" w:rsidP="004B3437">
            <w:pPr>
              <w:pStyle w:val="Table3Data"/>
              <w:widowControl/>
              <w:rPr>
                <w:b/>
              </w:rPr>
            </w:pPr>
            <w:r>
              <w:rPr>
                <w:b/>
              </w:rPr>
              <w:t>Primary Goal Achievement</w:t>
            </w:r>
          </w:p>
        </w:tc>
        <w:tc>
          <w:tcPr>
            <w:tcW w:w="1530" w:type="dxa"/>
          </w:tcPr>
          <w:p w:rsidR="00555A84" w:rsidRDefault="00555A84" w:rsidP="004B3437">
            <w:pPr>
              <w:pStyle w:val="Table3Data"/>
              <w:widowControl/>
            </w:pPr>
          </w:p>
        </w:tc>
        <w:tc>
          <w:tcPr>
            <w:tcW w:w="1260" w:type="dxa"/>
          </w:tcPr>
          <w:p w:rsidR="00555A84" w:rsidRDefault="00555A84" w:rsidP="004B3437">
            <w:pPr>
              <w:pStyle w:val="Table3Data"/>
              <w:widowControl/>
            </w:pPr>
            <w:r>
              <w:t>97%</w:t>
            </w:r>
          </w:p>
        </w:tc>
        <w:tc>
          <w:tcPr>
            <w:tcW w:w="3960" w:type="dxa"/>
          </w:tcPr>
          <w:p w:rsidR="00555A84" w:rsidRDefault="00555A84" w:rsidP="004B3437">
            <w:pPr>
              <w:pStyle w:val="Table3Data"/>
              <w:widowControl/>
            </w:pPr>
            <w:r>
              <w:t>Sum of weighted payouts</w:t>
            </w:r>
          </w:p>
        </w:tc>
      </w:tr>
      <w:tr w:rsidR="00555A84" w:rsidTr="004B3437">
        <w:trPr>
          <w:cantSplit/>
          <w:trHeight w:val="360"/>
        </w:trPr>
        <w:tc>
          <w:tcPr>
            <w:tcW w:w="3240" w:type="dxa"/>
          </w:tcPr>
          <w:p w:rsidR="00555A84" w:rsidRDefault="00555A84" w:rsidP="004B3437">
            <w:pPr>
              <w:pStyle w:val="Table3Data"/>
              <w:widowControl/>
            </w:pPr>
          </w:p>
        </w:tc>
        <w:tc>
          <w:tcPr>
            <w:tcW w:w="1530" w:type="dxa"/>
          </w:tcPr>
          <w:p w:rsidR="00555A84" w:rsidRDefault="00555A84" w:rsidP="004B3437">
            <w:pPr>
              <w:pStyle w:val="Table3Data"/>
              <w:widowControl/>
            </w:pPr>
          </w:p>
        </w:tc>
        <w:tc>
          <w:tcPr>
            <w:tcW w:w="1260" w:type="dxa"/>
          </w:tcPr>
          <w:p w:rsidR="00555A84" w:rsidRDefault="00555A84" w:rsidP="004B3437">
            <w:pPr>
              <w:pStyle w:val="Table3Data"/>
              <w:widowControl/>
            </w:pPr>
          </w:p>
        </w:tc>
        <w:tc>
          <w:tcPr>
            <w:tcW w:w="3960" w:type="dxa"/>
          </w:tcPr>
          <w:p w:rsidR="00555A84" w:rsidRDefault="00555A84" w:rsidP="004B3437">
            <w:pPr>
              <w:pStyle w:val="Table3Data"/>
              <w:widowControl/>
            </w:pPr>
          </w:p>
        </w:tc>
      </w:tr>
      <w:tr w:rsidR="00555A84" w:rsidTr="004B3437">
        <w:trPr>
          <w:cantSplit/>
          <w:trHeight w:val="360"/>
        </w:trPr>
        <w:tc>
          <w:tcPr>
            <w:tcW w:w="3240" w:type="dxa"/>
          </w:tcPr>
          <w:p w:rsidR="00555A84" w:rsidRDefault="00555A84" w:rsidP="004B3437">
            <w:pPr>
              <w:pStyle w:val="Table3Data"/>
              <w:widowControl/>
              <w:rPr>
                <w:b/>
              </w:rPr>
            </w:pPr>
            <w:r>
              <w:rPr>
                <w:b/>
              </w:rPr>
              <w:t>EPS Threshold Goal Trigger</w:t>
            </w:r>
          </w:p>
        </w:tc>
        <w:tc>
          <w:tcPr>
            <w:tcW w:w="1530" w:type="dxa"/>
          </w:tcPr>
          <w:p w:rsidR="00555A84" w:rsidRDefault="00555A84" w:rsidP="004B3437">
            <w:pPr>
              <w:pStyle w:val="Table3Data"/>
              <w:widowControl/>
            </w:pPr>
          </w:p>
        </w:tc>
        <w:tc>
          <w:tcPr>
            <w:tcW w:w="1260" w:type="dxa"/>
          </w:tcPr>
          <w:p w:rsidR="00555A84" w:rsidRDefault="00555A84" w:rsidP="004B3437">
            <w:pPr>
              <w:pStyle w:val="Table3Data"/>
              <w:widowControl/>
            </w:pPr>
          </w:p>
        </w:tc>
        <w:tc>
          <w:tcPr>
            <w:tcW w:w="3960" w:type="dxa"/>
          </w:tcPr>
          <w:p w:rsidR="00555A84" w:rsidRDefault="00555A84" w:rsidP="004B3437">
            <w:pPr>
              <w:pStyle w:val="Table3Data"/>
              <w:widowControl/>
            </w:pPr>
          </w:p>
        </w:tc>
      </w:tr>
      <w:tr w:rsidR="00555A84" w:rsidTr="004B3437">
        <w:trPr>
          <w:cantSplit/>
          <w:trHeight w:val="360"/>
        </w:trPr>
        <w:tc>
          <w:tcPr>
            <w:tcW w:w="3240" w:type="dxa"/>
          </w:tcPr>
          <w:p w:rsidR="00555A84" w:rsidRDefault="00555A84" w:rsidP="004B3437">
            <w:pPr>
              <w:pStyle w:val="Table3Data"/>
              <w:widowControl/>
            </w:pPr>
            <w:r>
              <w:t>EPS is at least 90% of target</w:t>
            </w:r>
          </w:p>
        </w:tc>
        <w:tc>
          <w:tcPr>
            <w:tcW w:w="1530" w:type="dxa"/>
          </w:tcPr>
          <w:p w:rsidR="00555A84" w:rsidRDefault="00555A84" w:rsidP="004B3437">
            <w:pPr>
              <w:pStyle w:val="Table3Data"/>
              <w:widowControl/>
            </w:pPr>
            <w:r>
              <w:t>Yes</w:t>
            </w:r>
          </w:p>
        </w:tc>
        <w:tc>
          <w:tcPr>
            <w:tcW w:w="1260" w:type="dxa"/>
          </w:tcPr>
          <w:p w:rsidR="00555A84" w:rsidRDefault="00555A84" w:rsidP="004B3437">
            <w:pPr>
              <w:pStyle w:val="Table3Data"/>
              <w:widowControl/>
            </w:pPr>
          </w:p>
        </w:tc>
        <w:tc>
          <w:tcPr>
            <w:tcW w:w="3960" w:type="dxa"/>
          </w:tcPr>
          <w:p w:rsidR="00555A84" w:rsidRDefault="00555A84" w:rsidP="004B3437">
            <w:pPr>
              <w:pStyle w:val="Table3Data"/>
              <w:widowControl/>
            </w:pPr>
            <w:r>
              <w:t>10% reduction for all Cos. if not met</w:t>
            </w:r>
          </w:p>
        </w:tc>
      </w:tr>
      <w:tr w:rsidR="00555A84" w:rsidTr="004B3437">
        <w:trPr>
          <w:cantSplit/>
          <w:trHeight w:val="360"/>
        </w:trPr>
        <w:tc>
          <w:tcPr>
            <w:tcW w:w="3240" w:type="dxa"/>
          </w:tcPr>
          <w:p w:rsidR="00555A84" w:rsidRDefault="00555A84" w:rsidP="004B3437">
            <w:pPr>
              <w:pStyle w:val="Table3Data"/>
              <w:widowControl/>
            </w:pPr>
          </w:p>
        </w:tc>
        <w:tc>
          <w:tcPr>
            <w:tcW w:w="1530" w:type="dxa"/>
          </w:tcPr>
          <w:p w:rsidR="00555A84" w:rsidRDefault="00555A84" w:rsidP="004B3437">
            <w:pPr>
              <w:pStyle w:val="Table3Data"/>
              <w:widowControl/>
            </w:pPr>
          </w:p>
        </w:tc>
        <w:tc>
          <w:tcPr>
            <w:tcW w:w="1260" w:type="dxa"/>
          </w:tcPr>
          <w:p w:rsidR="00555A84" w:rsidRDefault="00555A84" w:rsidP="004B3437">
            <w:pPr>
              <w:pStyle w:val="Table3Data"/>
              <w:widowControl/>
            </w:pPr>
          </w:p>
        </w:tc>
        <w:tc>
          <w:tcPr>
            <w:tcW w:w="3960" w:type="dxa"/>
          </w:tcPr>
          <w:p w:rsidR="00555A84" w:rsidRDefault="00555A84" w:rsidP="004B3437">
            <w:pPr>
              <w:pStyle w:val="Table3Data"/>
              <w:widowControl/>
            </w:pPr>
          </w:p>
        </w:tc>
      </w:tr>
      <w:tr w:rsidR="00555A84" w:rsidTr="004B3437">
        <w:trPr>
          <w:cantSplit/>
          <w:trHeight w:val="360"/>
        </w:trPr>
        <w:tc>
          <w:tcPr>
            <w:tcW w:w="3240" w:type="dxa"/>
          </w:tcPr>
          <w:p w:rsidR="00555A84" w:rsidRDefault="00555A84" w:rsidP="004B3437">
            <w:pPr>
              <w:pStyle w:val="Table3Data"/>
              <w:widowControl/>
              <w:rPr>
                <w:b/>
              </w:rPr>
            </w:pPr>
            <w:r>
              <w:rPr>
                <w:b/>
              </w:rPr>
              <w:t>Total Goal Achievement</w:t>
            </w:r>
          </w:p>
        </w:tc>
        <w:tc>
          <w:tcPr>
            <w:tcW w:w="1530" w:type="dxa"/>
          </w:tcPr>
          <w:p w:rsidR="00555A84" w:rsidRDefault="00555A84" w:rsidP="004B3437">
            <w:pPr>
              <w:pStyle w:val="Table3Data"/>
              <w:widowControl/>
            </w:pPr>
          </w:p>
        </w:tc>
        <w:tc>
          <w:tcPr>
            <w:tcW w:w="1260" w:type="dxa"/>
          </w:tcPr>
          <w:p w:rsidR="00555A84" w:rsidRDefault="00555A84" w:rsidP="004B3437">
            <w:pPr>
              <w:pStyle w:val="Table3Data"/>
              <w:widowControl/>
            </w:pPr>
            <w:r>
              <w:t>97%</w:t>
            </w:r>
          </w:p>
        </w:tc>
        <w:tc>
          <w:tcPr>
            <w:tcW w:w="3960" w:type="dxa"/>
          </w:tcPr>
          <w:p w:rsidR="00555A84" w:rsidRDefault="00555A84" w:rsidP="004B3437">
            <w:pPr>
              <w:pStyle w:val="Table3Data"/>
              <w:widowControl/>
              <w:jc w:val="center"/>
            </w:pPr>
            <w:r>
              <w:t>97% - 10% trigger</w:t>
            </w:r>
          </w:p>
        </w:tc>
      </w:tr>
      <w:tr w:rsidR="00555A84" w:rsidTr="004B3437">
        <w:trPr>
          <w:cantSplit/>
          <w:trHeight w:val="360"/>
        </w:trPr>
        <w:tc>
          <w:tcPr>
            <w:tcW w:w="3240" w:type="dxa"/>
          </w:tcPr>
          <w:p w:rsidR="00555A84" w:rsidRDefault="00555A84" w:rsidP="004B3437">
            <w:pPr>
              <w:pStyle w:val="Table3Data"/>
              <w:widowControl/>
            </w:pPr>
          </w:p>
        </w:tc>
        <w:tc>
          <w:tcPr>
            <w:tcW w:w="1530" w:type="dxa"/>
          </w:tcPr>
          <w:p w:rsidR="00555A84" w:rsidRDefault="00555A84" w:rsidP="004B3437">
            <w:pPr>
              <w:pStyle w:val="Table3Data"/>
              <w:widowControl/>
            </w:pPr>
          </w:p>
        </w:tc>
        <w:tc>
          <w:tcPr>
            <w:tcW w:w="1260" w:type="dxa"/>
          </w:tcPr>
          <w:p w:rsidR="00555A84" w:rsidRDefault="00555A84" w:rsidP="004B3437">
            <w:pPr>
              <w:pStyle w:val="Table3Data"/>
              <w:widowControl/>
            </w:pPr>
          </w:p>
        </w:tc>
        <w:tc>
          <w:tcPr>
            <w:tcW w:w="3960" w:type="dxa"/>
          </w:tcPr>
          <w:p w:rsidR="00555A84" w:rsidRDefault="00555A84" w:rsidP="004B3437">
            <w:pPr>
              <w:pStyle w:val="Table3Data"/>
              <w:widowControl/>
            </w:pPr>
          </w:p>
        </w:tc>
      </w:tr>
      <w:tr w:rsidR="00555A84" w:rsidTr="004B3437">
        <w:trPr>
          <w:cantSplit/>
          <w:trHeight w:val="360"/>
        </w:trPr>
        <w:tc>
          <w:tcPr>
            <w:tcW w:w="3240" w:type="dxa"/>
            <w:tcBorders>
              <w:bottom w:val="single" w:sz="6" w:space="0" w:color="auto"/>
            </w:tcBorders>
          </w:tcPr>
          <w:p w:rsidR="00555A84" w:rsidRDefault="00555A84" w:rsidP="004B3437">
            <w:pPr>
              <w:pStyle w:val="Table3Data"/>
              <w:widowControl/>
            </w:pPr>
            <w:r>
              <w:t>Payout</w:t>
            </w:r>
          </w:p>
        </w:tc>
        <w:tc>
          <w:tcPr>
            <w:tcW w:w="1530" w:type="dxa"/>
            <w:tcBorders>
              <w:bottom w:val="single" w:sz="6" w:space="0" w:color="auto"/>
            </w:tcBorders>
          </w:tcPr>
          <w:p w:rsidR="00555A84" w:rsidRDefault="00555A84" w:rsidP="004B3437">
            <w:pPr>
              <w:pStyle w:val="Table3Data"/>
              <w:widowControl/>
            </w:pPr>
          </w:p>
        </w:tc>
        <w:tc>
          <w:tcPr>
            <w:tcW w:w="1260" w:type="dxa"/>
            <w:tcBorders>
              <w:bottom w:val="single" w:sz="6" w:space="0" w:color="auto"/>
            </w:tcBorders>
          </w:tcPr>
          <w:p w:rsidR="00555A84" w:rsidRDefault="00555A84" w:rsidP="004B3437">
            <w:pPr>
              <w:pStyle w:val="Table3Data"/>
              <w:widowControl/>
            </w:pPr>
            <w:r>
              <w:t>$4,850</w:t>
            </w:r>
          </w:p>
        </w:tc>
        <w:tc>
          <w:tcPr>
            <w:tcW w:w="3960" w:type="dxa"/>
            <w:tcBorders>
              <w:bottom w:val="single" w:sz="6" w:space="0" w:color="auto"/>
            </w:tcBorders>
          </w:tcPr>
          <w:p w:rsidR="00555A84" w:rsidRDefault="00555A84" w:rsidP="004B3437">
            <w:pPr>
              <w:pStyle w:val="Table3Data"/>
              <w:widowControl/>
              <w:jc w:val="center"/>
            </w:pPr>
            <w:r>
              <w:t xml:space="preserve">Salary x </w:t>
            </w:r>
            <w:smartTag w:uri="urn:schemas-microsoft-com:office:smarttags" w:element="stockticker">
              <w:r>
                <w:t>PPP</w:t>
              </w:r>
            </w:smartTag>
            <w:r>
              <w:t xml:space="preserve"> Target % x Total Goal Achievement</w:t>
            </w:r>
          </w:p>
        </w:tc>
      </w:tr>
      <w:tr w:rsidR="00555A84" w:rsidTr="004B3437">
        <w:trPr>
          <w:cantSplit/>
          <w:trHeight w:val="360"/>
        </w:trPr>
        <w:tc>
          <w:tcPr>
            <w:tcW w:w="3240" w:type="dxa"/>
            <w:tcBorders>
              <w:top w:val="thinThickLargeGap" w:sz="24" w:space="0" w:color="auto"/>
            </w:tcBorders>
          </w:tcPr>
          <w:p w:rsidR="00555A84" w:rsidRDefault="00555A84" w:rsidP="004B3437">
            <w:pPr>
              <w:pStyle w:val="Table3Data"/>
              <w:widowControl/>
              <w:spacing w:before="120"/>
              <w:rPr>
                <w:b/>
              </w:rPr>
            </w:pPr>
            <w:r>
              <w:rPr>
                <w:b/>
              </w:rPr>
              <w:t xml:space="preserve">EPS </w:t>
            </w:r>
            <w:smartTag w:uri="urn:schemas-microsoft-com:office:smarttags" w:element="stockticker">
              <w:r>
                <w:rPr>
                  <w:b/>
                </w:rPr>
                <w:t>PPP</w:t>
              </w:r>
            </w:smartTag>
            <w:r>
              <w:rPr>
                <w:b/>
              </w:rPr>
              <w:t xml:space="preserve"> </w:t>
            </w:r>
            <w:smartTag w:uri="urn:schemas-microsoft-com:office:smarttags" w:element="place">
              <w:r>
                <w:rPr>
                  <w:b/>
                </w:rPr>
                <w:t>Opportunity</w:t>
              </w:r>
            </w:smartTag>
            <w:r>
              <w:rPr>
                <w:b/>
              </w:rPr>
              <w:t xml:space="preserve"> Goal</w:t>
            </w:r>
          </w:p>
        </w:tc>
        <w:tc>
          <w:tcPr>
            <w:tcW w:w="1530" w:type="dxa"/>
            <w:tcBorders>
              <w:top w:val="thinThickLargeGap" w:sz="24" w:space="0" w:color="auto"/>
            </w:tcBorders>
          </w:tcPr>
          <w:p w:rsidR="00555A84" w:rsidRDefault="00555A84" w:rsidP="004B3437">
            <w:pPr>
              <w:pStyle w:val="Table3Data"/>
              <w:widowControl/>
            </w:pPr>
          </w:p>
        </w:tc>
        <w:tc>
          <w:tcPr>
            <w:tcW w:w="1260" w:type="dxa"/>
            <w:tcBorders>
              <w:top w:val="thinThickLargeGap" w:sz="24" w:space="0" w:color="auto"/>
            </w:tcBorders>
          </w:tcPr>
          <w:p w:rsidR="00555A84" w:rsidRDefault="00555A84" w:rsidP="004B3437">
            <w:pPr>
              <w:pStyle w:val="Table3Data"/>
              <w:widowControl/>
            </w:pPr>
          </w:p>
        </w:tc>
        <w:tc>
          <w:tcPr>
            <w:tcW w:w="3960" w:type="dxa"/>
            <w:tcBorders>
              <w:top w:val="thinThickLargeGap" w:sz="24" w:space="0" w:color="auto"/>
            </w:tcBorders>
          </w:tcPr>
          <w:p w:rsidR="00555A84" w:rsidRDefault="00555A84" w:rsidP="004B3437">
            <w:pPr>
              <w:pStyle w:val="Table3Data"/>
              <w:widowControl/>
              <w:jc w:val="center"/>
            </w:pPr>
          </w:p>
        </w:tc>
      </w:tr>
      <w:tr w:rsidR="00555A84" w:rsidTr="004B3437">
        <w:trPr>
          <w:cantSplit/>
          <w:trHeight w:val="360"/>
        </w:trPr>
        <w:tc>
          <w:tcPr>
            <w:tcW w:w="3240" w:type="dxa"/>
          </w:tcPr>
          <w:p w:rsidR="00555A84" w:rsidRDefault="00555A84" w:rsidP="004B3437">
            <w:pPr>
              <w:pStyle w:val="Table3Data"/>
              <w:widowControl/>
              <w:spacing w:before="240"/>
            </w:pPr>
            <w:r>
              <w:t>EPS exceeds the prior year dividend</w:t>
            </w:r>
          </w:p>
        </w:tc>
        <w:tc>
          <w:tcPr>
            <w:tcW w:w="1530" w:type="dxa"/>
          </w:tcPr>
          <w:p w:rsidR="00555A84" w:rsidRDefault="00555A84" w:rsidP="004B3437">
            <w:pPr>
              <w:pStyle w:val="Table3Data"/>
              <w:widowControl/>
              <w:spacing w:before="240"/>
            </w:pPr>
            <w:r>
              <w:t>Yes</w:t>
            </w:r>
          </w:p>
        </w:tc>
        <w:tc>
          <w:tcPr>
            <w:tcW w:w="1260" w:type="dxa"/>
          </w:tcPr>
          <w:p w:rsidR="00555A84" w:rsidRDefault="00555A84" w:rsidP="004B3437">
            <w:pPr>
              <w:pStyle w:val="Table3Data"/>
              <w:widowControl/>
              <w:spacing w:before="240"/>
            </w:pPr>
          </w:p>
        </w:tc>
        <w:tc>
          <w:tcPr>
            <w:tcW w:w="3960" w:type="dxa"/>
          </w:tcPr>
          <w:p w:rsidR="00555A84" w:rsidRDefault="00555A84" w:rsidP="004B3437">
            <w:pPr>
              <w:pStyle w:val="Table3Data"/>
              <w:widowControl/>
              <w:spacing w:before="240"/>
            </w:pPr>
            <w:r>
              <w:t xml:space="preserve">EPS must exceed the prior year total dividend in order to have any </w:t>
            </w:r>
            <w:smartTag w:uri="urn:schemas-microsoft-com:office:smarttags" w:element="stockticker">
              <w:r>
                <w:t>PPP</w:t>
              </w:r>
            </w:smartTag>
            <w:r>
              <w:t xml:space="preserve"> payout opportunity.</w:t>
            </w:r>
          </w:p>
        </w:tc>
      </w:tr>
    </w:tbl>
    <w:p w:rsidR="00555A84" w:rsidRDefault="00555A84" w:rsidP="00555A84">
      <w:pPr>
        <w:pStyle w:val="Heading1"/>
      </w:pPr>
      <w:r>
        <w:lastRenderedPageBreak/>
        <w:t>Impact of Changes in Employment Status</w:t>
      </w:r>
    </w:p>
    <w:p w:rsidR="00555A84" w:rsidRDefault="00555A84" w:rsidP="00555A84">
      <w:pPr>
        <w:pStyle w:val="NormalDS"/>
        <w:keepNext/>
        <w:keepLines/>
        <w:widowControl/>
      </w:pPr>
      <w:r>
        <w:t>The table below shows the impact of changes in employment status.</w:t>
      </w:r>
    </w:p>
    <w:tbl>
      <w:tblPr>
        <w:tblW w:w="0" w:type="auto"/>
        <w:tblInd w:w="108" w:type="dxa"/>
        <w:tblLayout w:type="fixed"/>
        <w:tblLook w:val="0000"/>
      </w:tblPr>
      <w:tblGrid>
        <w:gridCol w:w="3150"/>
        <w:gridCol w:w="5760"/>
      </w:tblGrid>
      <w:tr w:rsidR="00555A84" w:rsidTr="004B3437">
        <w:trPr>
          <w:cantSplit/>
          <w:trHeight w:val="360"/>
          <w:tblHeader/>
        </w:trPr>
        <w:tc>
          <w:tcPr>
            <w:tcW w:w="3150" w:type="dxa"/>
            <w:tcBorders>
              <w:top w:val="single" w:sz="18" w:space="0" w:color="auto"/>
              <w:left w:val="nil"/>
              <w:bottom w:val="nil"/>
              <w:right w:val="nil"/>
            </w:tcBorders>
          </w:tcPr>
          <w:p w:rsidR="00555A84" w:rsidRDefault="00555A84" w:rsidP="004B3437">
            <w:pPr>
              <w:pStyle w:val="Table2Hdgs"/>
              <w:keepNext/>
              <w:keepLines/>
              <w:widowControl/>
            </w:pPr>
            <w:r>
              <w:t>Employment Event</w:t>
            </w:r>
          </w:p>
        </w:tc>
        <w:tc>
          <w:tcPr>
            <w:tcW w:w="5760" w:type="dxa"/>
            <w:tcBorders>
              <w:top w:val="single" w:sz="18" w:space="0" w:color="auto"/>
              <w:left w:val="nil"/>
              <w:bottom w:val="nil"/>
              <w:right w:val="nil"/>
            </w:tcBorders>
          </w:tcPr>
          <w:p w:rsidR="00555A84" w:rsidRDefault="00555A84" w:rsidP="004B3437">
            <w:pPr>
              <w:pStyle w:val="Table2Hdgs"/>
              <w:keepNext/>
              <w:keepLines/>
              <w:widowControl/>
            </w:pPr>
            <w:r>
              <w:t>Payout</w:t>
            </w:r>
          </w:p>
        </w:tc>
      </w:tr>
      <w:tr w:rsidR="00555A84" w:rsidTr="004B3437">
        <w:trPr>
          <w:cantSplit/>
          <w:trHeight w:val="360"/>
        </w:trPr>
        <w:tc>
          <w:tcPr>
            <w:tcW w:w="3150" w:type="dxa"/>
            <w:tcBorders>
              <w:top w:val="single" w:sz="6" w:space="0" w:color="auto"/>
              <w:left w:val="nil"/>
              <w:bottom w:val="single" w:sz="6" w:space="0" w:color="auto"/>
              <w:right w:val="nil"/>
            </w:tcBorders>
          </w:tcPr>
          <w:p w:rsidR="00555A84" w:rsidRDefault="00555A84" w:rsidP="004B3437">
            <w:pPr>
              <w:pStyle w:val="Table3Data"/>
              <w:keepNext/>
              <w:keepLines/>
              <w:widowControl/>
            </w:pPr>
            <w:r>
              <w:t>Death,</w:t>
            </w:r>
            <w:r>
              <w:rPr>
                <w:rStyle w:val="FootnoteReference"/>
              </w:rPr>
              <w:footnoteReference w:id="3"/>
            </w:r>
            <w:r>
              <w:t xml:space="preserve"> or retirement</w:t>
            </w:r>
            <w:r>
              <w:rPr>
                <w:rStyle w:val="FootnoteReference"/>
              </w:rPr>
              <w:footnoteReference w:id="4"/>
            </w:r>
          </w:p>
          <w:p w:rsidR="00555A84" w:rsidRDefault="00555A84" w:rsidP="004B3437">
            <w:pPr>
              <w:pStyle w:val="Table3Data"/>
              <w:keepNext/>
              <w:keepLines/>
              <w:widowControl/>
            </w:pPr>
          </w:p>
        </w:tc>
        <w:tc>
          <w:tcPr>
            <w:tcW w:w="5760" w:type="dxa"/>
            <w:tcBorders>
              <w:top w:val="single" w:sz="6" w:space="0" w:color="auto"/>
              <w:left w:val="nil"/>
              <w:bottom w:val="single" w:sz="6" w:space="0" w:color="auto"/>
              <w:right w:val="nil"/>
            </w:tcBorders>
          </w:tcPr>
          <w:p w:rsidR="00555A84" w:rsidRDefault="00555A84" w:rsidP="004B3437">
            <w:pPr>
              <w:pStyle w:val="Tab5Data-Bullet"/>
              <w:keepNext/>
              <w:keepLines/>
              <w:widowControl/>
              <w:ind w:left="0" w:firstLine="0"/>
            </w:pPr>
            <w:r>
              <w:t>Payout will be determined after the calendar year has ended using base salary rate on date of termination, then prorated (multiplied by number of weeks worked divided by 52).</w:t>
            </w:r>
          </w:p>
        </w:tc>
      </w:tr>
      <w:tr w:rsidR="00555A84" w:rsidTr="004B3437">
        <w:trPr>
          <w:cantSplit/>
          <w:trHeight w:val="360"/>
        </w:trPr>
        <w:tc>
          <w:tcPr>
            <w:tcW w:w="3150" w:type="dxa"/>
            <w:tcBorders>
              <w:top w:val="single" w:sz="6" w:space="0" w:color="auto"/>
              <w:left w:val="nil"/>
              <w:bottom w:val="nil"/>
              <w:right w:val="nil"/>
            </w:tcBorders>
          </w:tcPr>
          <w:p w:rsidR="00555A84" w:rsidRDefault="00555A84" w:rsidP="004B3437">
            <w:pPr>
              <w:pStyle w:val="Table3Data"/>
              <w:keepNext/>
              <w:keepLines/>
              <w:widowControl/>
            </w:pPr>
            <w:r>
              <w:t>Terminations with severance</w:t>
            </w:r>
          </w:p>
          <w:p w:rsidR="00555A84" w:rsidRDefault="00555A84" w:rsidP="004B3437">
            <w:pPr>
              <w:pStyle w:val="Table3Data"/>
              <w:keepNext/>
              <w:keepLines/>
              <w:widowControl/>
            </w:pPr>
            <w:r>
              <w:t>(voluntary or involuntary)</w:t>
            </w:r>
          </w:p>
        </w:tc>
        <w:tc>
          <w:tcPr>
            <w:tcW w:w="5760" w:type="dxa"/>
            <w:tcBorders>
              <w:top w:val="single" w:sz="6" w:space="0" w:color="auto"/>
              <w:left w:val="nil"/>
              <w:bottom w:val="nil"/>
              <w:right w:val="nil"/>
            </w:tcBorders>
          </w:tcPr>
          <w:p w:rsidR="00555A84" w:rsidRDefault="00555A84" w:rsidP="004B3437">
            <w:pPr>
              <w:pStyle w:val="Table3Data"/>
              <w:keepNext/>
              <w:keepLines/>
              <w:widowControl/>
            </w:pPr>
            <w:r>
              <w:t>Payout will be determined after the calendar year has ended using base salary rate on date of termination, then prorated (multiplied by number of weeks worked divided by 52)</w:t>
            </w:r>
          </w:p>
        </w:tc>
      </w:tr>
      <w:tr w:rsidR="00555A84" w:rsidTr="004B3437">
        <w:trPr>
          <w:cantSplit/>
          <w:trHeight w:val="360"/>
        </w:trPr>
        <w:tc>
          <w:tcPr>
            <w:tcW w:w="3150" w:type="dxa"/>
            <w:tcBorders>
              <w:top w:val="single" w:sz="6" w:space="0" w:color="auto"/>
              <w:left w:val="nil"/>
              <w:bottom w:val="nil"/>
              <w:right w:val="nil"/>
            </w:tcBorders>
          </w:tcPr>
          <w:p w:rsidR="00555A84" w:rsidRDefault="00555A84" w:rsidP="004B3437">
            <w:pPr>
              <w:pStyle w:val="Table3Data"/>
              <w:keepNext/>
              <w:keepLines/>
              <w:widowControl/>
            </w:pPr>
            <w:r>
              <w:t>Terminations for cause</w:t>
            </w:r>
            <w:r>
              <w:rPr>
                <w:rStyle w:val="FootnoteReference"/>
              </w:rPr>
              <w:footnoteReference w:id="5"/>
            </w:r>
          </w:p>
          <w:p w:rsidR="00555A84" w:rsidRDefault="00555A84" w:rsidP="004B3437">
            <w:pPr>
              <w:pStyle w:val="Table3Data"/>
              <w:keepNext/>
              <w:keepLines/>
              <w:widowControl/>
            </w:pPr>
          </w:p>
        </w:tc>
        <w:tc>
          <w:tcPr>
            <w:tcW w:w="5760" w:type="dxa"/>
            <w:tcBorders>
              <w:top w:val="single" w:sz="6" w:space="0" w:color="auto"/>
              <w:left w:val="nil"/>
              <w:bottom w:val="nil"/>
              <w:right w:val="nil"/>
            </w:tcBorders>
          </w:tcPr>
          <w:p w:rsidR="00555A84" w:rsidRDefault="00555A84" w:rsidP="004B3437">
            <w:pPr>
              <w:pStyle w:val="Table3Data"/>
              <w:keepNext/>
              <w:keepLines/>
              <w:widowControl/>
            </w:pPr>
            <w:r>
              <w:t>Forfeiture of all payouts, including vested payouts.</w:t>
            </w:r>
          </w:p>
        </w:tc>
      </w:tr>
      <w:tr w:rsidR="00555A84" w:rsidTr="004B3437">
        <w:trPr>
          <w:cantSplit/>
          <w:trHeight w:val="360"/>
        </w:trPr>
        <w:tc>
          <w:tcPr>
            <w:tcW w:w="3150" w:type="dxa"/>
            <w:tcBorders>
              <w:top w:val="single" w:sz="6" w:space="0" w:color="auto"/>
              <w:left w:val="nil"/>
              <w:bottom w:val="nil"/>
              <w:right w:val="nil"/>
            </w:tcBorders>
          </w:tcPr>
          <w:p w:rsidR="00555A84" w:rsidRDefault="00555A84" w:rsidP="004B3437">
            <w:pPr>
              <w:pStyle w:val="Table3Data"/>
              <w:keepNext/>
              <w:keepLines/>
              <w:widowControl/>
            </w:pPr>
            <w:r>
              <w:t>Other voluntary or involuntary terminations prior to December 31</w:t>
            </w:r>
          </w:p>
        </w:tc>
        <w:tc>
          <w:tcPr>
            <w:tcW w:w="5760" w:type="dxa"/>
            <w:tcBorders>
              <w:top w:val="single" w:sz="6" w:space="0" w:color="auto"/>
              <w:left w:val="nil"/>
              <w:bottom w:val="nil"/>
              <w:right w:val="nil"/>
            </w:tcBorders>
          </w:tcPr>
          <w:p w:rsidR="00555A84" w:rsidRDefault="00555A84" w:rsidP="004B3437">
            <w:pPr>
              <w:pStyle w:val="Table3Data"/>
              <w:keepNext/>
              <w:keepLines/>
              <w:widowControl/>
            </w:pPr>
            <w:r>
              <w:t>No payout</w:t>
            </w:r>
          </w:p>
        </w:tc>
      </w:tr>
      <w:tr w:rsidR="00555A84" w:rsidTr="004B3437">
        <w:trPr>
          <w:cantSplit/>
          <w:trHeight w:val="360"/>
        </w:trPr>
        <w:tc>
          <w:tcPr>
            <w:tcW w:w="3150" w:type="dxa"/>
            <w:tcBorders>
              <w:top w:val="single" w:sz="6" w:space="0" w:color="auto"/>
              <w:left w:val="nil"/>
              <w:bottom w:val="single" w:sz="6" w:space="0" w:color="auto"/>
              <w:right w:val="nil"/>
            </w:tcBorders>
          </w:tcPr>
          <w:p w:rsidR="00555A84" w:rsidRDefault="00555A84" w:rsidP="004B3437">
            <w:pPr>
              <w:pStyle w:val="Table3Data"/>
              <w:keepNext/>
              <w:keepLines/>
              <w:widowControl/>
            </w:pPr>
            <w:r>
              <w:t>Employees who change their standard hours during the year</w:t>
            </w:r>
          </w:p>
        </w:tc>
        <w:tc>
          <w:tcPr>
            <w:tcW w:w="5760" w:type="dxa"/>
            <w:tcBorders>
              <w:top w:val="single" w:sz="6" w:space="0" w:color="auto"/>
              <w:left w:val="nil"/>
              <w:bottom w:val="single" w:sz="6" w:space="0" w:color="auto"/>
              <w:right w:val="nil"/>
            </w:tcBorders>
          </w:tcPr>
          <w:p w:rsidR="00555A84" w:rsidRDefault="00555A84" w:rsidP="004B3437">
            <w:pPr>
              <w:pStyle w:val="Table3Data"/>
              <w:keepNext/>
              <w:keepLines/>
              <w:widowControl/>
            </w:pPr>
            <w:r>
              <w:t>Adjust salary for PPP purposes to reflect the weighted average standard hours during the year.</w:t>
            </w:r>
          </w:p>
        </w:tc>
      </w:tr>
      <w:tr w:rsidR="00555A84" w:rsidTr="004B3437">
        <w:trPr>
          <w:cantSplit/>
          <w:trHeight w:val="360"/>
        </w:trPr>
        <w:tc>
          <w:tcPr>
            <w:tcW w:w="3150" w:type="dxa"/>
            <w:tcBorders>
              <w:top w:val="single" w:sz="6" w:space="0" w:color="auto"/>
              <w:left w:val="nil"/>
              <w:bottom w:val="single" w:sz="6" w:space="0" w:color="auto"/>
              <w:right w:val="nil"/>
            </w:tcBorders>
          </w:tcPr>
          <w:p w:rsidR="00555A84" w:rsidRDefault="00555A84" w:rsidP="004B3437">
            <w:pPr>
              <w:pStyle w:val="Table3Data"/>
              <w:keepNext/>
              <w:keepLines/>
              <w:widowControl/>
            </w:pPr>
            <w:r>
              <w:t>Paid Leave of Absence</w:t>
            </w:r>
          </w:p>
        </w:tc>
        <w:tc>
          <w:tcPr>
            <w:tcW w:w="5760" w:type="dxa"/>
            <w:tcBorders>
              <w:top w:val="single" w:sz="6" w:space="0" w:color="auto"/>
              <w:left w:val="nil"/>
              <w:bottom w:val="single" w:sz="6" w:space="0" w:color="auto"/>
              <w:right w:val="nil"/>
            </w:tcBorders>
          </w:tcPr>
          <w:p w:rsidR="00555A84" w:rsidRPr="00334CE5" w:rsidRDefault="00555A84" w:rsidP="004B3437">
            <w:pPr>
              <w:pStyle w:val="Table3Data"/>
              <w:keepNext/>
              <w:keepLines/>
              <w:widowControl/>
              <w:rPr>
                <w:b/>
              </w:rPr>
            </w:pPr>
            <w:r>
              <w:t>Same as active employee.</w:t>
            </w:r>
          </w:p>
        </w:tc>
      </w:tr>
      <w:tr w:rsidR="00555A84" w:rsidTr="004B3437">
        <w:trPr>
          <w:cantSplit/>
          <w:trHeight w:val="360"/>
        </w:trPr>
        <w:tc>
          <w:tcPr>
            <w:tcW w:w="3150" w:type="dxa"/>
            <w:tcBorders>
              <w:top w:val="single" w:sz="6" w:space="0" w:color="auto"/>
              <w:left w:val="nil"/>
              <w:bottom w:val="single" w:sz="6" w:space="0" w:color="auto"/>
              <w:right w:val="nil"/>
            </w:tcBorders>
          </w:tcPr>
          <w:p w:rsidR="00555A84" w:rsidRDefault="00555A84" w:rsidP="004B3437">
            <w:pPr>
              <w:pStyle w:val="Table3Data"/>
              <w:keepNext/>
              <w:keepLines/>
              <w:widowControl/>
            </w:pPr>
            <w:r>
              <w:t>Unpaid Leave of Absence or disability</w:t>
            </w:r>
            <w:r>
              <w:rPr>
                <w:rStyle w:val="FootnoteReference"/>
              </w:rPr>
              <w:footnoteReference w:id="6"/>
            </w:r>
          </w:p>
        </w:tc>
        <w:tc>
          <w:tcPr>
            <w:tcW w:w="5760" w:type="dxa"/>
            <w:tcBorders>
              <w:top w:val="single" w:sz="6" w:space="0" w:color="auto"/>
              <w:left w:val="nil"/>
              <w:bottom w:val="single" w:sz="6" w:space="0" w:color="auto"/>
              <w:right w:val="nil"/>
            </w:tcBorders>
          </w:tcPr>
          <w:p w:rsidR="00555A84" w:rsidRDefault="00555A84" w:rsidP="004B3437">
            <w:pPr>
              <w:pStyle w:val="Table3Data"/>
              <w:keepNext/>
              <w:keepLines/>
              <w:widowControl/>
            </w:pPr>
            <w:r>
              <w:t>If employed at least one full month of performance year, payout will be determined after the calendar year has ended using base salary on last day before leave or disability began, then prorated (multiplied by number of weeks worked divided by 52).</w:t>
            </w:r>
          </w:p>
        </w:tc>
      </w:tr>
      <w:tr w:rsidR="00555A84" w:rsidTr="004B3437">
        <w:trPr>
          <w:cantSplit/>
          <w:trHeight w:val="360"/>
        </w:trPr>
        <w:tc>
          <w:tcPr>
            <w:tcW w:w="3150" w:type="dxa"/>
            <w:tcBorders>
              <w:top w:val="single" w:sz="6" w:space="0" w:color="auto"/>
              <w:left w:val="nil"/>
              <w:bottom w:val="single" w:sz="6" w:space="0" w:color="auto"/>
              <w:right w:val="nil"/>
            </w:tcBorders>
          </w:tcPr>
          <w:p w:rsidR="00555A84" w:rsidRDefault="00555A84" w:rsidP="004B3437">
            <w:pPr>
              <w:pStyle w:val="Table3Data"/>
              <w:keepNext/>
              <w:keepLines/>
              <w:widowControl/>
            </w:pPr>
            <w:r>
              <w:t>Qualified Military Leave of Absence Under Military Leave Policy</w:t>
            </w:r>
          </w:p>
        </w:tc>
        <w:tc>
          <w:tcPr>
            <w:tcW w:w="5760" w:type="dxa"/>
            <w:tcBorders>
              <w:top w:val="single" w:sz="6" w:space="0" w:color="auto"/>
              <w:left w:val="nil"/>
              <w:bottom w:val="single" w:sz="6" w:space="0" w:color="auto"/>
              <w:right w:val="nil"/>
            </w:tcBorders>
          </w:tcPr>
          <w:p w:rsidR="00555A84" w:rsidRDefault="00555A84" w:rsidP="004B3437">
            <w:pPr>
              <w:pStyle w:val="Table3Data"/>
              <w:keepNext/>
              <w:keepLines/>
              <w:widowControl/>
            </w:pPr>
            <w:r>
              <w:t>Payout will be determined after the calendar year has ended using base salary on last day before leave began.  Payout will be calculated on full year and will not be prorated.  Employee on qualified military leave will receive such payout during each year the employee is on qualified military leave but only if the employee would have received such payout if he had been actively employed.  The Committee has the discretion to provide a reduced payout to an employee on military leave.  Such discretion will be exercised before December 31 of the applicable performance year.</w:t>
            </w:r>
          </w:p>
        </w:tc>
      </w:tr>
      <w:tr w:rsidR="00555A84" w:rsidTr="004B3437">
        <w:trPr>
          <w:cantSplit/>
          <w:trHeight w:val="360"/>
        </w:trPr>
        <w:tc>
          <w:tcPr>
            <w:tcW w:w="3150" w:type="dxa"/>
            <w:tcBorders>
              <w:top w:val="single" w:sz="6" w:space="0" w:color="auto"/>
              <w:left w:val="nil"/>
              <w:bottom w:val="single" w:sz="6" w:space="0" w:color="auto"/>
              <w:right w:val="nil"/>
            </w:tcBorders>
          </w:tcPr>
          <w:p w:rsidR="00555A84" w:rsidRDefault="00555A84" w:rsidP="004B3437">
            <w:pPr>
              <w:pStyle w:val="Table3Data"/>
              <w:keepNext/>
              <w:keepLines/>
              <w:widowControl/>
            </w:pPr>
            <w:r>
              <w:t>Acquisitions and Dispositions</w:t>
            </w:r>
          </w:p>
        </w:tc>
        <w:tc>
          <w:tcPr>
            <w:tcW w:w="5760" w:type="dxa"/>
            <w:tcBorders>
              <w:top w:val="single" w:sz="6" w:space="0" w:color="auto"/>
              <w:left w:val="nil"/>
              <w:bottom w:val="single" w:sz="6" w:space="0" w:color="auto"/>
              <w:right w:val="nil"/>
            </w:tcBorders>
          </w:tcPr>
          <w:p w:rsidR="00555A84" w:rsidRDefault="00555A84" w:rsidP="004B3437">
            <w:pPr>
              <w:pStyle w:val="Table3Data"/>
              <w:keepNext/>
              <w:keepLines/>
              <w:widowControl/>
            </w:pPr>
            <w:r>
              <w:t>Determined on a case-by-case basis.</w:t>
            </w:r>
          </w:p>
        </w:tc>
      </w:tr>
      <w:tr w:rsidR="00555A84" w:rsidTr="004B3437">
        <w:trPr>
          <w:cantSplit/>
          <w:trHeight w:val="360"/>
        </w:trPr>
        <w:tc>
          <w:tcPr>
            <w:tcW w:w="3150" w:type="dxa"/>
            <w:tcBorders>
              <w:top w:val="single" w:sz="6" w:space="0" w:color="auto"/>
              <w:left w:val="nil"/>
              <w:bottom w:val="single" w:sz="6" w:space="0" w:color="auto"/>
              <w:right w:val="nil"/>
            </w:tcBorders>
          </w:tcPr>
          <w:p w:rsidR="00555A84" w:rsidRPr="008B1F87" w:rsidRDefault="00555A84" w:rsidP="004B3437">
            <w:pPr>
              <w:pStyle w:val="Table3Data"/>
              <w:keepNext/>
              <w:keepLines/>
              <w:widowControl/>
            </w:pPr>
            <w:r>
              <w:t xml:space="preserve">Transfer or job change from a PPP eligible position to a PPP ineligible </w:t>
            </w:r>
            <w:r>
              <w:rPr>
                <w:b/>
              </w:rPr>
              <w:t>covered</w:t>
            </w:r>
            <w:r>
              <w:t xml:space="preserve"> position</w:t>
            </w:r>
          </w:p>
        </w:tc>
        <w:tc>
          <w:tcPr>
            <w:tcW w:w="5760" w:type="dxa"/>
            <w:tcBorders>
              <w:top w:val="single" w:sz="6" w:space="0" w:color="auto"/>
              <w:left w:val="nil"/>
              <w:bottom w:val="single" w:sz="6" w:space="0" w:color="auto"/>
              <w:right w:val="nil"/>
            </w:tcBorders>
          </w:tcPr>
          <w:p w:rsidR="00555A84" w:rsidRDefault="00555A84" w:rsidP="004B3437">
            <w:pPr>
              <w:pStyle w:val="Table3Data"/>
              <w:keepNext/>
              <w:keepLines/>
              <w:widowControl/>
            </w:pPr>
            <w:r>
              <w:t>There will be no payout for the year of transfer.</w:t>
            </w:r>
          </w:p>
        </w:tc>
      </w:tr>
      <w:tr w:rsidR="00555A84" w:rsidTr="004B3437">
        <w:trPr>
          <w:cantSplit/>
          <w:trHeight w:val="360"/>
        </w:trPr>
        <w:tc>
          <w:tcPr>
            <w:tcW w:w="3150" w:type="dxa"/>
            <w:tcBorders>
              <w:top w:val="single" w:sz="6" w:space="0" w:color="auto"/>
              <w:left w:val="nil"/>
              <w:bottom w:val="single" w:sz="6" w:space="0" w:color="auto"/>
              <w:right w:val="nil"/>
            </w:tcBorders>
          </w:tcPr>
          <w:p w:rsidR="00555A84" w:rsidRPr="008B1F87" w:rsidRDefault="00555A84" w:rsidP="004B3437">
            <w:pPr>
              <w:pStyle w:val="Table3Data"/>
              <w:keepNext/>
              <w:keepLines/>
              <w:widowControl/>
            </w:pPr>
            <w:r>
              <w:t xml:space="preserve">Transfer or job change from a PPP eligible position to a PPP ineligible </w:t>
            </w:r>
            <w:r>
              <w:rPr>
                <w:b/>
              </w:rPr>
              <w:t>non-covered</w:t>
            </w:r>
            <w:r>
              <w:t xml:space="preserve"> position</w:t>
            </w:r>
          </w:p>
        </w:tc>
        <w:tc>
          <w:tcPr>
            <w:tcW w:w="5760" w:type="dxa"/>
            <w:tcBorders>
              <w:top w:val="single" w:sz="6" w:space="0" w:color="auto"/>
              <w:left w:val="nil"/>
              <w:bottom w:val="single" w:sz="6" w:space="0" w:color="auto"/>
              <w:right w:val="nil"/>
            </w:tcBorders>
          </w:tcPr>
          <w:p w:rsidR="00555A84" w:rsidRDefault="00555A84" w:rsidP="004B3437">
            <w:pPr>
              <w:pStyle w:val="Table3Data"/>
              <w:keepNext/>
              <w:keepLines/>
              <w:widowControl/>
            </w:pPr>
            <w:r>
              <w:t>Payout will be determined after the calendar year has ended using last base salary in the PPP eligible position, then prorated (multiplied by number of weeks worked in the PPP eligible position divided by 52).</w:t>
            </w:r>
          </w:p>
        </w:tc>
      </w:tr>
      <w:tr w:rsidR="00555A84" w:rsidTr="004B3437">
        <w:trPr>
          <w:cantSplit/>
          <w:trHeight w:val="360"/>
        </w:trPr>
        <w:tc>
          <w:tcPr>
            <w:tcW w:w="3150" w:type="dxa"/>
            <w:tcBorders>
              <w:top w:val="single" w:sz="6" w:space="0" w:color="auto"/>
              <w:left w:val="nil"/>
              <w:bottom w:val="single" w:sz="6" w:space="0" w:color="auto"/>
              <w:right w:val="nil"/>
            </w:tcBorders>
          </w:tcPr>
          <w:p w:rsidR="00555A84" w:rsidRDefault="00555A84" w:rsidP="004B3437">
            <w:pPr>
              <w:pStyle w:val="Table3Data"/>
              <w:keepNext/>
              <w:keepLines/>
              <w:widowControl/>
            </w:pPr>
            <w:r>
              <w:t>Transfer or job change from a PPP ineligible position to a PPP eligible position</w:t>
            </w:r>
          </w:p>
        </w:tc>
        <w:tc>
          <w:tcPr>
            <w:tcW w:w="5760" w:type="dxa"/>
            <w:tcBorders>
              <w:top w:val="single" w:sz="6" w:space="0" w:color="auto"/>
              <w:left w:val="nil"/>
              <w:bottom w:val="single" w:sz="6" w:space="0" w:color="auto"/>
              <w:right w:val="nil"/>
            </w:tcBorders>
          </w:tcPr>
          <w:p w:rsidR="00555A84" w:rsidRDefault="00555A84" w:rsidP="004B3437">
            <w:pPr>
              <w:pStyle w:val="Table3Data"/>
              <w:keepNext/>
              <w:keepLines/>
              <w:widowControl/>
            </w:pPr>
            <w:r>
              <w:t xml:space="preserve">Payout will be determined after the calendar year has ended using base salary on December 31, then prorated (multiplied by number of weeks worked in a </w:t>
            </w:r>
            <w:smartTag w:uri="urn:schemas-microsoft-com:office:smarttags" w:element="stockticker">
              <w:r>
                <w:t>PPP</w:t>
              </w:r>
            </w:smartTag>
            <w:r>
              <w:t xml:space="preserve"> eligible position divided by 52).</w:t>
            </w:r>
          </w:p>
        </w:tc>
      </w:tr>
      <w:tr w:rsidR="00555A84" w:rsidTr="004B3437">
        <w:trPr>
          <w:cantSplit/>
          <w:trHeight w:val="360"/>
        </w:trPr>
        <w:tc>
          <w:tcPr>
            <w:tcW w:w="3150" w:type="dxa"/>
            <w:tcBorders>
              <w:top w:val="single" w:sz="6" w:space="0" w:color="auto"/>
              <w:left w:val="nil"/>
              <w:bottom w:val="single" w:sz="6" w:space="0" w:color="auto"/>
              <w:right w:val="nil"/>
            </w:tcBorders>
          </w:tcPr>
          <w:p w:rsidR="00555A84" w:rsidRDefault="00555A84" w:rsidP="004B3437">
            <w:pPr>
              <w:pStyle w:val="Table3Data"/>
              <w:widowControl/>
            </w:pPr>
            <w:r>
              <w:t>Transfer or job change from a PPP eligible position to another PPP eligible position</w:t>
            </w:r>
          </w:p>
        </w:tc>
        <w:tc>
          <w:tcPr>
            <w:tcW w:w="5760" w:type="dxa"/>
            <w:tcBorders>
              <w:top w:val="single" w:sz="6" w:space="0" w:color="auto"/>
              <w:left w:val="nil"/>
              <w:bottom w:val="single" w:sz="6" w:space="0" w:color="auto"/>
              <w:right w:val="nil"/>
            </w:tcBorders>
          </w:tcPr>
          <w:p w:rsidR="00555A84" w:rsidRDefault="00555A84" w:rsidP="004B3437">
            <w:pPr>
              <w:pStyle w:val="Table3Data"/>
              <w:widowControl/>
            </w:pPr>
            <w:r>
              <w:t>Payouts will be prorated based upon the target awards of each position held by the participant but using base salary on December 31.</w:t>
            </w:r>
          </w:p>
        </w:tc>
      </w:tr>
      <w:tr w:rsidR="00555A84" w:rsidTr="004B3437">
        <w:trPr>
          <w:cantSplit/>
          <w:trHeight w:val="360"/>
        </w:trPr>
        <w:tc>
          <w:tcPr>
            <w:tcW w:w="3150" w:type="dxa"/>
            <w:tcBorders>
              <w:top w:val="single" w:sz="6" w:space="0" w:color="auto"/>
              <w:left w:val="nil"/>
              <w:bottom w:val="nil"/>
              <w:right w:val="nil"/>
            </w:tcBorders>
          </w:tcPr>
          <w:p w:rsidR="00555A84" w:rsidRDefault="00555A84" w:rsidP="004B3437">
            <w:pPr>
              <w:pStyle w:val="Table3Data"/>
              <w:widowControl/>
            </w:pPr>
            <w:r>
              <w:lastRenderedPageBreak/>
              <w:t>Promotion</w:t>
            </w:r>
          </w:p>
        </w:tc>
        <w:tc>
          <w:tcPr>
            <w:tcW w:w="5760" w:type="dxa"/>
            <w:tcBorders>
              <w:top w:val="single" w:sz="6" w:space="0" w:color="auto"/>
              <w:left w:val="nil"/>
              <w:bottom w:val="nil"/>
              <w:right w:val="nil"/>
            </w:tcBorders>
          </w:tcPr>
          <w:p w:rsidR="00555A84" w:rsidRDefault="00555A84" w:rsidP="004B3437">
            <w:pPr>
              <w:pStyle w:val="Table3Data"/>
              <w:widowControl/>
            </w:pPr>
            <w:r>
              <w:t>Payouts will be prorated based upon the target awards of each position held by the participant but using base salary on December 31.</w:t>
            </w:r>
          </w:p>
        </w:tc>
      </w:tr>
      <w:tr w:rsidR="00555A84" w:rsidTr="004B3437">
        <w:trPr>
          <w:cantSplit/>
          <w:trHeight w:val="360"/>
        </w:trPr>
        <w:tc>
          <w:tcPr>
            <w:tcW w:w="3150" w:type="dxa"/>
            <w:tcBorders>
              <w:top w:val="single" w:sz="6" w:space="0" w:color="auto"/>
              <w:left w:val="nil"/>
              <w:bottom w:val="single" w:sz="4" w:space="0" w:color="auto"/>
              <w:right w:val="nil"/>
            </w:tcBorders>
          </w:tcPr>
          <w:p w:rsidR="00555A84" w:rsidRDefault="00555A84" w:rsidP="004B3437">
            <w:pPr>
              <w:pStyle w:val="Table3Data"/>
              <w:widowControl/>
            </w:pPr>
            <w:r>
              <w:t>Demotion</w:t>
            </w:r>
          </w:p>
        </w:tc>
        <w:tc>
          <w:tcPr>
            <w:tcW w:w="5760" w:type="dxa"/>
            <w:tcBorders>
              <w:top w:val="single" w:sz="6" w:space="0" w:color="auto"/>
              <w:left w:val="nil"/>
              <w:bottom w:val="single" w:sz="4" w:space="0" w:color="auto"/>
              <w:right w:val="nil"/>
            </w:tcBorders>
          </w:tcPr>
          <w:p w:rsidR="00555A84" w:rsidRDefault="00555A84" w:rsidP="004B3437">
            <w:pPr>
              <w:pStyle w:val="Table3Data"/>
              <w:widowControl/>
            </w:pPr>
            <w:r>
              <w:t>Payouts will be prorated based upon the target awards of each position held by the participant but using base salary on December 31.</w:t>
            </w:r>
          </w:p>
        </w:tc>
      </w:tr>
    </w:tbl>
    <w:p w:rsidR="00555A84" w:rsidRDefault="00555A84" w:rsidP="00555A84">
      <w:pPr>
        <w:pStyle w:val="Heading1"/>
      </w:pPr>
    </w:p>
    <w:p w:rsidR="00555A84" w:rsidRDefault="00555A84" w:rsidP="00555A84">
      <w:pPr>
        <w:pStyle w:val="Heading1"/>
      </w:pPr>
      <w:r>
        <w:t>Impact on Other Plans</w:t>
      </w:r>
    </w:p>
    <w:p w:rsidR="00555A84" w:rsidRDefault="00555A84" w:rsidP="00555A84">
      <w:r>
        <w:t xml:space="preserve">Following is how </w:t>
      </w:r>
      <w:smartTag w:uri="urn:schemas-microsoft-com:office:smarttags" w:element="stockticker">
        <w:r>
          <w:t>PPP</w:t>
        </w:r>
      </w:smartTag>
      <w:r>
        <w:t xml:space="preserve"> is treated in other Southern Company plans.</w:t>
      </w:r>
    </w:p>
    <w:p w:rsidR="00555A84" w:rsidRDefault="00555A84" w:rsidP="00555A84"/>
    <w:tbl>
      <w:tblPr>
        <w:tblW w:w="0" w:type="auto"/>
        <w:tblInd w:w="108" w:type="dxa"/>
        <w:tblLayout w:type="fixed"/>
        <w:tblLook w:val="0000"/>
      </w:tblPr>
      <w:tblGrid>
        <w:gridCol w:w="3084"/>
        <w:gridCol w:w="5826"/>
      </w:tblGrid>
      <w:tr w:rsidR="00555A84" w:rsidTr="004B3437">
        <w:trPr>
          <w:cantSplit/>
          <w:trHeight w:val="360"/>
        </w:trPr>
        <w:tc>
          <w:tcPr>
            <w:tcW w:w="3084" w:type="dxa"/>
            <w:tcBorders>
              <w:top w:val="single" w:sz="18" w:space="0" w:color="auto"/>
              <w:left w:val="nil"/>
              <w:bottom w:val="single" w:sz="6" w:space="0" w:color="auto"/>
              <w:right w:val="nil"/>
            </w:tcBorders>
          </w:tcPr>
          <w:p w:rsidR="00555A84" w:rsidRDefault="00555A84" w:rsidP="004B3437">
            <w:pPr>
              <w:pStyle w:val="Table2Hdgs"/>
              <w:widowControl/>
            </w:pPr>
            <w:r>
              <w:t>Plan</w:t>
            </w:r>
          </w:p>
        </w:tc>
        <w:tc>
          <w:tcPr>
            <w:tcW w:w="5826" w:type="dxa"/>
            <w:tcBorders>
              <w:top w:val="single" w:sz="18" w:space="0" w:color="auto"/>
              <w:left w:val="nil"/>
              <w:bottom w:val="single" w:sz="6" w:space="0" w:color="auto"/>
              <w:right w:val="nil"/>
            </w:tcBorders>
          </w:tcPr>
          <w:p w:rsidR="00555A84" w:rsidRDefault="00555A84" w:rsidP="004B3437">
            <w:pPr>
              <w:pStyle w:val="Table2Hdgs"/>
              <w:widowControl/>
            </w:pPr>
            <w:r>
              <w:t>Treatment of PPP</w:t>
            </w:r>
          </w:p>
        </w:tc>
      </w:tr>
      <w:tr w:rsidR="00555A84" w:rsidTr="004B3437">
        <w:trPr>
          <w:cantSplit/>
          <w:trHeight w:val="360"/>
        </w:trPr>
        <w:tc>
          <w:tcPr>
            <w:tcW w:w="3084" w:type="dxa"/>
            <w:tcBorders>
              <w:top w:val="nil"/>
              <w:left w:val="nil"/>
              <w:bottom w:val="nil"/>
              <w:right w:val="nil"/>
            </w:tcBorders>
          </w:tcPr>
          <w:p w:rsidR="00555A84" w:rsidRDefault="00555A84" w:rsidP="004B3437">
            <w:pPr>
              <w:pStyle w:val="Table3Data"/>
              <w:widowControl/>
            </w:pPr>
            <w:r>
              <w:t>Broad-based pension plan</w:t>
            </w:r>
          </w:p>
        </w:tc>
        <w:tc>
          <w:tcPr>
            <w:tcW w:w="5826" w:type="dxa"/>
            <w:tcBorders>
              <w:top w:val="nil"/>
              <w:left w:val="nil"/>
              <w:bottom w:val="nil"/>
              <w:right w:val="nil"/>
            </w:tcBorders>
          </w:tcPr>
          <w:p w:rsidR="00555A84" w:rsidRDefault="00555A84" w:rsidP="004B3437">
            <w:pPr>
              <w:pStyle w:val="Table3Data"/>
              <w:widowControl/>
            </w:pPr>
            <w:r>
              <w:t>Counts actual PPP payouts as pay for one pension formula only</w:t>
            </w:r>
          </w:p>
        </w:tc>
      </w:tr>
      <w:tr w:rsidR="00555A84" w:rsidTr="004B3437">
        <w:trPr>
          <w:cantSplit/>
          <w:trHeight w:val="360"/>
        </w:trPr>
        <w:tc>
          <w:tcPr>
            <w:tcW w:w="3084" w:type="dxa"/>
            <w:tcBorders>
              <w:top w:val="nil"/>
              <w:left w:val="nil"/>
              <w:bottom w:val="nil"/>
              <w:right w:val="nil"/>
            </w:tcBorders>
          </w:tcPr>
          <w:p w:rsidR="00555A84" w:rsidRDefault="00555A84" w:rsidP="004B3437">
            <w:pPr>
              <w:pStyle w:val="Table3Data"/>
              <w:widowControl/>
            </w:pPr>
            <w:r>
              <w:t>SERP</w:t>
            </w:r>
          </w:p>
        </w:tc>
        <w:tc>
          <w:tcPr>
            <w:tcW w:w="5826" w:type="dxa"/>
            <w:tcBorders>
              <w:top w:val="nil"/>
              <w:left w:val="nil"/>
              <w:bottom w:val="nil"/>
              <w:right w:val="nil"/>
            </w:tcBorders>
          </w:tcPr>
          <w:p w:rsidR="00555A84" w:rsidRDefault="00555A84" w:rsidP="004B3437">
            <w:pPr>
              <w:pStyle w:val="Table3Data"/>
              <w:widowControl/>
            </w:pPr>
            <w:r>
              <w:t>Counts “actual PPP payouts minus 15% of base salary” as pay</w:t>
            </w:r>
          </w:p>
        </w:tc>
      </w:tr>
      <w:tr w:rsidR="00555A84" w:rsidTr="004B3437">
        <w:trPr>
          <w:cantSplit/>
          <w:trHeight w:val="360"/>
        </w:trPr>
        <w:tc>
          <w:tcPr>
            <w:tcW w:w="3084" w:type="dxa"/>
            <w:tcBorders>
              <w:top w:val="nil"/>
              <w:left w:val="nil"/>
              <w:bottom w:val="nil"/>
              <w:right w:val="nil"/>
            </w:tcBorders>
          </w:tcPr>
          <w:p w:rsidR="00555A84" w:rsidRDefault="00555A84" w:rsidP="004B3437">
            <w:pPr>
              <w:pStyle w:val="Table3Data"/>
              <w:widowControl/>
            </w:pPr>
            <w:r>
              <w:t>Employee Savings Plan</w:t>
            </w:r>
          </w:p>
        </w:tc>
        <w:tc>
          <w:tcPr>
            <w:tcW w:w="5826" w:type="dxa"/>
            <w:tcBorders>
              <w:top w:val="nil"/>
              <w:left w:val="nil"/>
              <w:bottom w:val="nil"/>
              <w:right w:val="nil"/>
            </w:tcBorders>
          </w:tcPr>
          <w:p w:rsidR="00555A84" w:rsidRDefault="00555A84" w:rsidP="004B3437">
            <w:pPr>
              <w:pStyle w:val="Table3Data"/>
              <w:widowControl/>
            </w:pPr>
            <w:r>
              <w:t>Does not count PPP as pay</w:t>
            </w:r>
          </w:p>
        </w:tc>
      </w:tr>
      <w:tr w:rsidR="00555A84" w:rsidTr="004B3437">
        <w:trPr>
          <w:cantSplit/>
          <w:trHeight w:val="360"/>
        </w:trPr>
        <w:tc>
          <w:tcPr>
            <w:tcW w:w="3084" w:type="dxa"/>
            <w:tcBorders>
              <w:top w:val="nil"/>
              <w:left w:val="nil"/>
              <w:bottom w:val="nil"/>
              <w:right w:val="nil"/>
            </w:tcBorders>
          </w:tcPr>
          <w:p w:rsidR="00555A84" w:rsidRDefault="00555A84" w:rsidP="004B3437">
            <w:pPr>
              <w:pStyle w:val="Table3Data"/>
              <w:widowControl/>
            </w:pPr>
            <w:r>
              <w:t>Life Insurance Plan</w:t>
            </w:r>
          </w:p>
        </w:tc>
        <w:tc>
          <w:tcPr>
            <w:tcW w:w="5826" w:type="dxa"/>
            <w:tcBorders>
              <w:top w:val="nil"/>
              <w:left w:val="nil"/>
              <w:bottom w:val="nil"/>
              <w:right w:val="nil"/>
            </w:tcBorders>
          </w:tcPr>
          <w:p w:rsidR="00555A84" w:rsidRPr="00F67979" w:rsidRDefault="00555A84" w:rsidP="004B3437">
            <w:pPr>
              <w:pStyle w:val="Table3Data"/>
              <w:widowControl/>
            </w:pPr>
            <w:r w:rsidRPr="00F67979">
              <w:t>Does not count PPP as pay</w:t>
            </w:r>
          </w:p>
        </w:tc>
      </w:tr>
      <w:tr w:rsidR="00555A84" w:rsidTr="004B3437">
        <w:trPr>
          <w:cantSplit/>
          <w:trHeight w:val="360"/>
        </w:trPr>
        <w:tc>
          <w:tcPr>
            <w:tcW w:w="3084" w:type="dxa"/>
            <w:tcBorders>
              <w:top w:val="nil"/>
              <w:left w:val="nil"/>
              <w:bottom w:val="nil"/>
              <w:right w:val="nil"/>
            </w:tcBorders>
          </w:tcPr>
          <w:p w:rsidR="00555A84" w:rsidRDefault="00555A84" w:rsidP="004B3437">
            <w:pPr>
              <w:pStyle w:val="Table3Data"/>
              <w:widowControl/>
            </w:pPr>
            <w:r>
              <w:t>Long-Term Disability</w:t>
            </w:r>
          </w:p>
        </w:tc>
        <w:tc>
          <w:tcPr>
            <w:tcW w:w="5826" w:type="dxa"/>
            <w:tcBorders>
              <w:top w:val="nil"/>
              <w:left w:val="nil"/>
              <w:bottom w:val="nil"/>
              <w:right w:val="nil"/>
            </w:tcBorders>
          </w:tcPr>
          <w:p w:rsidR="00555A84" w:rsidRPr="00F67979" w:rsidRDefault="00555A84" w:rsidP="004B3437">
            <w:pPr>
              <w:pStyle w:val="Table3Data"/>
              <w:widowControl/>
            </w:pPr>
            <w:r w:rsidRPr="00F67979">
              <w:t>Does not count PPP as pay</w:t>
            </w:r>
          </w:p>
        </w:tc>
      </w:tr>
      <w:tr w:rsidR="00555A84" w:rsidTr="004B3437">
        <w:trPr>
          <w:cantSplit/>
          <w:trHeight w:val="360"/>
        </w:trPr>
        <w:tc>
          <w:tcPr>
            <w:tcW w:w="3084" w:type="dxa"/>
            <w:tcBorders>
              <w:top w:val="nil"/>
              <w:left w:val="nil"/>
              <w:bottom w:val="nil"/>
              <w:right w:val="nil"/>
            </w:tcBorders>
          </w:tcPr>
          <w:p w:rsidR="00555A84" w:rsidRDefault="00555A84" w:rsidP="004B3437">
            <w:pPr>
              <w:pStyle w:val="Table3Data"/>
              <w:widowControl/>
            </w:pPr>
            <w:r>
              <w:t xml:space="preserve">Supplemental Long-Term Disability </w:t>
            </w:r>
          </w:p>
        </w:tc>
        <w:tc>
          <w:tcPr>
            <w:tcW w:w="5826" w:type="dxa"/>
            <w:tcBorders>
              <w:top w:val="nil"/>
              <w:left w:val="nil"/>
              <w:bottom w:val="nil"/>
              <w:right w:val="nil"/>
            </w:tcBorders>
          </w:tcPr>
          <w:p w:rsidR="00555A84" w:rsidRPr="00F67979" w:rsidRDefault="00555A84" w:rsidP="004B3437">
            <w:pPr>
              <w:pStyle w:val="Table3Data"/>
              <w:widowControl/>
            </w:pPr>
            <w:r w:rsidRPr="00F67979">
              <w:t>Counts actual PPP payouts as pay</w:t>
            </w:r>
          </w:p>
        </w:tc>
      </w:tr>
      <w:tr w:rsidR="00555A84" w:rsidTr="004B3437">
        <w:trPr>
          <w:cantSplit/>
          <w:trHeight w:val="360"/>
        </w:trPr>
        <w:tc>
          <w:tcPr>
            <w:tcW w:w="3084" w:type="dxa"/>
            <w:tcBorders>
              <w:top w:val="nil"/>
              <w:left w:val="nil"/>
              <w:bottom w:val="single" w:sz="6" w:space="0" w:color="auto"/>
              <w:right w:val="nil"/>
            </w:tcBorders>
          </w:tcPr>
          <w:p w:rsidR="00555A84" w:rsidRDefault="00555A84" w:rsidP="004B3437">
            <w:pPr>
              <w:pStyle w:val="Table3Data"/>
              <w:widowControl/>
            </w:pPr>
            <w:r>
              <w:t>Nonqualified Deferred Compensation Plan</w:t>
            </w:r>
          </w:p>
        </w:tc>
        <w:tc>
          <w:tcPr>
            <w:tcW w:w="5826" w:type="dxa"/>
            <w:tcBorders>
              <w:top w:val="nil"/>
              <w:left w:val="nil"/>
              <w:bottom w:val="single" w:sz="6" w:space="0" w:color="auto"/>
              <w:right w:val="nil"/>
            </w:tcBorders>
          </w:tcPr>
          <w:p w:rsidR="00555A84" w:rsidRDefault="00555A84" w:rsidP="004B3437">
            <w:pPr>
              <w:pStyle w:val="Table3Data"/>
              <w:widowControl/>
            </w:pPr>
            <w:r>
              <w:t>PPP is not counted for purposes of eligibility, but is counted as pay that may be deferred.</w:t>
            </w:r>
          </w:p>
        </w:tc>
      </w:tr>
    </w:tbl>
    <w:p w:rsidR="00555A84" w:rsidRDefault="00555A84" w:rsidP="00555A84"/>
    <w:p w:rsidR="00555A84" w:rsidRDefault="00555A84" w:rsidP="00555A84">
      <w:pPr>
        <w:pStyle w:val="Heading1"/>
      </w:pPr>
      <w:r>
        <w:t>Form and Timing of Payout</w:t>
      </w:r>
    </w:p>
    <w:p w:rsidR="00555A84" w:rsidRDefault="00555A84" w:rsidP="00555A84">
      <w:r>
        <w:t>Payments from PPP are made in cash as soon as practicable after year end, but before March 15, and are subject to withholding.</w:t>
      </w:r>
    </w:p>
    <w:p w:rsidR="00555A84" w:rsidRDefault="00555A84" w:rsidP="00555A84"/>
    <w:p w:rsidR="00555A84" w:rsidRDefault="00555A84" w:rsidP="00555A84">
      <w:pPr>
        <w:rPr>
          <w:b/>
          <w:sz w:val="27"/>
          <w:szCs w:val="27"/>
        </w:rPr>
      </w:pPr>
      <w:r>
        <w:rPr>
          <w:b/>
          <w:sz w:val="27"/>
          <w:szCs w:val="27"/>
        </w:rPr>
        <w:t>Errors in Payout</w:t>
      </w:r>
    </w:p>
    <w:p w:rsidR="00555A84" w:rsidRDefault="00555A84" w:rsidP="00555A84">
      <w:pPr>
        <w:rPr>
          <w:szCs w:val="23"/>
        </w:rPr>
      </w:pPr>
      <w:r>
        <w:rPr>
          <w:szCs w:val="23"/>
        </w:rPr>
        <w:t>In the event there is an error in the determination of a payout amount (regardless of why the error occurs) or in the payment of a payout, the company, in its sole discretion, shall determine the method for correcting the error in accordance with the requirements of the Omnibus Plan.  If the error results in an overpayment, the company may choose, among other options, to require repayment of the overpayment or to reduce future payouts.</w:t>
      </w:r>
    </w:p>
    <w:p w:rsidR="00555A84" w:rsidRPr="008854DB" w:rsidRDefault="00555A84" w:rsidP="00555A84">
      <w:pPr>
        <w:rPr>
          <w:szCs w:val="23"/>
        </w:rPr>
      </w:pPr>
    </w:p>
    <w:p w:rsidR="00555A84" w:rsidRDefault="00555A84" w:rsidP="00555A84">
      <w:pPr>
        <w:pStyle w:val="Heading1"/>
      </w:pPr>
      <w:r>
        <w:t>Deferral Opportunities</w:t>
      </w:r>
    </w:p>
    <w:p w:rsidR="00555A84" w:rsidRDefault="00555A84" w:rsidP="00555A84">
      <w:r>
        <w:t>Participants eligible for the Southern Company Deferred Compensation Plan may defer their PPP payouts according to the rules of that plan.</w:t>
      </w:r>
    </w:p>
    <w:p w:rsidR="00555A84" w:rsidRDefault="00555A84" w:rsidP="00555A84"/>
    <w:p w:rsidR="00555A84" w:rsidRDefault="00555A84" w:rsidP="00555A84">
      <w:pPr>
        <w:pStyle w:val="Heading1"/>
      </w:pPr>
      <w:r>
        <w:t>No Right to Assign and No Right to Employment</w:t>
      </w:r>
    </w:p>
    <w:p w:rsidR="00555A84" w:rsidRDefault="00555A84" w:rsidP="00555A84">
      <w:r>
        <w:t xml:space="preserve">Payments from </w:t>
      </w:r>
      <w:smartTag w:uri="urn:schemas-microsoft-com:office:smarttags" w:element="stockticker">
        <w:r>
          <w:t>PPP</w:t>
        </w:r>
      </w:smartTag>
      <w:r>
        <w:t xml:space="preserve"> are not subject to assignment or transfer for any reason, including a transfer incident to a divorce.  Any attempt to assign or transfer the right to payments from </w:t>
      </w:r>
      <w:smartTag w:uri="urn:schemas-microsoft-com:office:smarttags" w:element="stockticker">
        <w:r>
          <w:t>PPP</w:t>
        </w:r>
      </w:smartTag>
      <w:r>
        <w:t xml:space="preserve"> shall be void and have no effect.  No employment rights are created by </w:t>
      </w:r>
      <w:smartTag w:uri="urn:schemas-microsoft-com:office:smarttags" w:element="stockticker">
        <w:r>
          <w:t>PPP</w:t>
        </w:r>
      </w:smartTag>
      <w:r>
        <w:t xml:space="preserve"> or the Omnibus Plan.</w:t>
      </w:r>
    </w:p>
    <w:p w:rsidR="00555A84" w:rsidRDefault="00555A84" w:rsidP="00555A84"/>
    <w:p w:rsidR="00555A84" w:rsidRDefault="00555A84" w:rsidP="00555A84">
      <w:pPr>
        <w:pStyle w:val="Heading1"/>
      </w:pPr>
      <w:r>
        <w:t>Service of Process</w:t>
      </w:r>
    </w:p>
    <w:p w:rsidR="00555A84" w:rsidRDefault="00555A84" w:rsidP="00555A84">
      <w:r>
        <w:t>The Vice President of Human Resources will be the agent for service of process for the Omnibus Plan.</w:t>
      </w:r>
      <w:bookmarkEnd w:id="1"/>
    </w:p>
    <w:p w:rsidR="00B1320C" w:rsidRDefault="00B1320C" w:rsidP="0067601C">
      <w:pPr>
        <w:rPr>
          <w:rFonts w:ascii="Arial" w:hAnsi="Arial"/>
          <w:b/>
          <w:sz w:val="24"/>
          <w:szCs w:val="24"/>
        </w:rPr>
      </w:pPr>
    </w:p>
    <w:p w:rsidR="00555A84" w:rsidRDefault="00555A84" w:rsidP="00555A84">
      <w:pPr>
        <w:pStyle w:val="MainTitle2Lne"/>
        <w:widowControl/>
        <w:numPr>
          <w:ilvl w:val="12"/>
          <w:numId w:val="0"/>
        </w:numPr>
      </w:pPr>
      <w:bookmarkStart w:id="2" w:name="_Toc53819583"/>
      <w:r>
        <w:lastRenderedPageBreak/>
        <w:t>Stock Option Program</w:t>
      </w:r>
      <w:r>
        <w:rPr>
          <w:sz w:val="44"/>
        </w:rPr>
        <w:br/>
      </w:r>
      <w:r>
        <w:t>Design Details</w:t>
      </w:r>
      <w:bookmarkEnd w:id="2"/>
    </w:p>
    <w:p w:rsidR="00555A84" w:rsidRDefault="00555A84" w:rsidP="00555A84">
      <w:pPr>
        <w:pStyle w:val="MainTitleRule"/>
        <w:widowControl/>
        <w:numPr>
          <w:ilvl w:val="12"/>
          <w:numId w:val="0"/>
        </w:numPr>
        <w:rPr>
          <w:sz w:val="16"/>
          <w:szCs w:val="16"/>
        </w:rPr>
      </w:pPr>
    </w:p>
    <w:p w:rsidR="00555A84" w:rsidRDefault="00555A84" w:rsidP="00555A84">
      <w:pPr>
        <w:pStyle w:val="NormalDS"/>
        <w:widowControl/>
        <w:numPr>
          <w:ilvl w:val="12"/>
          <w:numId w:val="0"/>
        </w:numPr>
        <w:spacing w:after="240"/>
      </w:pPr>
      <w:r>
        <w:t>Stock options and the associated Performance Shares (described in the section entitled Performance Share Program) together comprise Southern Company’s long-term incentive program.</w:t>
      </w:r>
    </w:p>
    <w:p w:rsidR="00555A84" w:rsidRDefault="00555A84" w:rsidP="00555A84">
      <w:pPr>
        <w:pStyle w:val="NormalDS"/>
        <w:widowControl/>
        <w:numPr>
          <w:ilvl w:val="12"/>
          <w:numId w:val="0"/>
        </w:numPr>
        <w:spacing w:after="240"/>
      </w:pPr>
      <w:r>
        <w:t>Stock options are the right to purchase Southern Company common stock at a fixed price for a specified period of time.  Stock options are issued under the Southern Company 2006 Omnibus Incentive Compensation Plan, as amended from time to time (“Omnibus Plan”).  The Omnibus Plan is administered by the Compensation and Management Succession Committee of the Board of Directors of Southern Company (“the Committee”).  These Design Details generally describe the various components of stock option awards.  These Design Details and any other administrative documents may be amended at any time by the Committee.  Following are the terms of Southern Company options.</w:t>
      </w:r>
    </w:p>
    <w:p w:rsidR="00555A84" w:rsidRDefault="00555A84" w:rsidP="00555A84">
      <w:pPr>
        <w:pStyle w:val="Heading2"/>
        <w:numPr>
          <w:ilvl w:val="12"/>
          <w:numId w:val="0"/>
        </w:numPr>
      </w:pPr>
      <w:r>
        <w:t>Type of Option</w:t>
      </w:r>
    </w:p>
    <w:p w:rsidR="00555A84" w:rsidRDefault="00555A84" w:rsidP="00555A84">
      <w:pPr>
        <w:numPr>
          <w:ilvl w:val="12"/>
          <w:numId w:val="0"/>
        </w:numPr>
      </w:pPr>
      <w:r>
        <w:t>Southern Company options are nonqualified stock options, not incentive stock options.</w:t>
      </w:r>
    </w:p>
    <w:p w:rsidR="00555A84" w:rsidRDefault="00555A84" w:rsidP="00555A84">
      <w:pPr>
        <w:numPr>
          <w:ilvl w:val="12"/>
          <w:numId w:val="0"/>
        </w:numPr>
      </w:pPr>
    </w:p>
    <w:p w:rsidR="00555A84" w:rsidRDefault="00555A84" w:rsidP="00555A84">
      <w:pPr>
        <w:pStyle w:val="Heading2"/>
        <w:numPr>
          <w:ilvl w:val="12"/>
          <w:numId w:val="0"/>
        </w:numPr>
      </w:pPr>
      <w:r>
        <w:t>Eligibility</w:t>
      </w:r>
    </w:p>
    <w:p w:rsidR="00555A84" w:rsidRDefault="00555A84" w:rsidP="00555A84">
      <w:pPr>
        <w:rPr>
          <w:i/>
        </w:rPr>
      </w:pPr>
      <w:r>
        <w:sym w:font="Symbol" w:char="F0B7"/>
      </w:r>
      <w:r w:rsidRPr="003359C4">
        <w:tab/>
      </w:r>
      <w:proofErr w:type="gramStart"/>
      <w:r w:rsidRPr="007F0D00">
        <w:rPr>
          <w:i/>
        </w:rPr>
        <w:t>I</w:t>
      </w:r>
      <w:r>
        <w:rPr>
          <w:i/>
        </w:rPr>
        <w:t>n general.</w:t>
      </w:r>
      <w:proofErr w:type="gramEnd"/>
      <w:r>
        <w:rPr>
          <w:i/>
        </w:rPr>
        <w:t xml:space="preserve">  </w:t>
      </w:r>
      <w:r>
        <w:t xml:space="preserve">According to the Omnibus Plan, employees and directors of Southern Company, its subsidiaries, or affiliates are eligible to receive stock options.  The Committee selects who is to receive stock options.  In practice, options are granted only to exempt employees of Southern Company and its subsidiaries in salary grades 7 and above. </w:t>
      </w:r>
    </w:p>
    <w:p w:rsidR="00555A84" w:rsidRDefault="00555A84" w:rsidP="00555A84">
      <w:r>
        <w:sym w:font="Symbol" w:char="F0B7"/>
      </w:r>
      <w:r w:rsidRPr="003359C4">
        <w:tab/>
      </w:r>
      <w:proofErr w:type="gramStart"/>
      <w:r w:rsidRPr="007F0D00">
        <w:rPr>
          <w:i/>
        </w:rPr>
        <w:t>S</w:t>
      </w:r>
      <w:r>
        <w:rPr>
          <w:i/>
        </w:rPr>
        <w:t>pecifics.</w:t>
      </w:r>
      <w:proofErr w:type="gramEnd"/>
      <w:r>
        <w:rPr>
          <w:i/>
        </w:rPr>
        <w:t xml:space="preserve">  </w:t>
      </w:r>
      <w:r>
        <w:t>Options are not currently granted to employees who fall within the following groups (even if the employees’ classification within a group is determined to have been incorrect):</w:t>
      </w:r>
    </w:p>
    <w:p w:rsidR="00555A84" w:rsidRDefault="00555A84" w:rsidP="00555A84">
      <w:pPr>
        <w:rPr>
          <w:i/>
        </w:rPr>
      </w:pPr>
    </w:p>
    <w:p w:rsidR="00555A84" w:rsidRPr="00645CCB" w:rsidRDefault="00555A84" w:rsidP="00555A84">
      <w:pPr>
        <w:pStyle w:val="BulletDS"/>
        <w:widowControl/>
        <w:numPr>
          <w:ilvl w:val="0"/>
          <w:numId w:val="17"/>
        </w:numPr>
        <w:spacing w:after="240"/>
      </w:pPr>
      <w:r w:rsidRPr="00645CCB">
        <w:t>Outside directors</w:t>
      </w:r>
    </w:p>
    <w:p w:rsidR="00555A84" w:rsidRPr="00645CCB" w:rsidRDefault="00555A84" w:rsidP="00555A84">
      <w:pPr>
        <w:pStyle w:val="BulletDS"/>
        <w:widowControl/>
        <w:numPr>
          <w:ilvl w:val="0"/>
          <w:numId w:val="18"/>
        </w:numPr>
        <w:spacing w:after="240"/>
      </w:pPr>
      <w:r w:rsidRPr="00645CCB">
        <w:t>Non-exempt employees</w:t>
      </w:r>
    </w:p>
    <w:p w:rsidR="00555A84" w:rsidRPr="00645CCB" w:rsidRDefault="00555A84" w:rsidP="00555A84">
      <w:pPr>
        <w:pStyle w:val="BulletDS"/>
        <w:widowControl/>
        <w:numPr>
          <w:ilvl w:val="0"/>
          <w:numId w:val="19"/>
        </w:numPr>
        <w:spacing w:after="240"/>
      </w:pPr>
      <w:r w:rsidRPr="00645CCB">
        <w:t xml:space="preserve">Exempt employees in </w:t>
      </w:r>
      <w:r>
        <w:t xml:space="preserve">salary </w:t>
      </w:r>
      <w:r w:rsidRPr="00645CCB">
        <w:t xml:space="preserve">grades </w:t>
      </w:r>
      <w:r>
        <w:t>6</w:t>
      </w:r>
      <w:r w:rsidRPr="00645CCB">
        <w:t xml:space="preserve"> or below</w:t>
      </w:r>
    </w:p>
    <w:p w:rsidR="00555A84" w:rsidRPr="00645CCB" w:rsidRDefault="00555A84" w:rsidP="00555A84">
      <w:pPr>
        <w:pStyle w:val="BulletDS"/>
        <w:widowControl/>
        <w:numPr>
          <w:ilvl w:val="0"/>
          <w:numId w:val="20"/>
        </w:numPr>
        <w:spacing w:after="240"/>
      </w:pPr>
      <w:r w:rsidRPr="00645CCB">
        <w:t>Bargaining Unit Employees</w:t>
      </w:r>
    </w:p>
    <w:p w:rsidR="00555A84" w:rsidRPr="00645CCB" w:rsidRDefault="00555A84" w:rsidP="00555A84">
      <w:pPr>
        <w:pStyle w:val="BulletDS"/>
        <w:widowControl/>
        <w:numPr>
          <w:ilvl w:val="0"/>
          <w:numId w:val="21"/>
        </w:numPr>
        <w:spacing w:after="240"/>
      </w:pPr>
      <w:r w:rsidRPr="00645CCB">
        <w:t>Independent contractors</w:t>
      </w:r>
    </w:p>
    <w:p w:rsidR="00555A84" w:rsidRPr="00645CCB" w:rsidRDefault="00555A84" w:rsidP="00555A84">
      <w:pPr>
        <w:pStyle w:val="BulletDS"/>
        <w:widowControl/>
        <w:numPr>
          <w:ilvl w:val="0"/>
          <w:numId w:val="21"/>
        </w:numPr>
        <w:spacing w:after="240"/>
      </w:pPr>
      <w:r w:rsidRPr="00645CCB">
        <w:t>Leased employees</w:t>
      </w:r>
    </w:p>
    <w:p w:rsidR="00555A84" w:rsidRPr="00645CCB" w:rsidRDefault="00555A84" w:rsidP="00555A84">
      <w:pPr>
        <w:pStyle w:val="BulletDS"/>
        <w:widowControl/>
        <w:numPr>
          <w:ilvl w:val="0"/>
          <w:numId w:val="22"/>
        </w:numPr>
        <w:spacing w:after="240"/>
      </w:pPr>
      <w:r w:rsidRPr="00645CCB">
        <w:t>Co-ops</w:t>
      </w:r>
    </w:p>
    <w:p w:rsidR="00555A84" w:rsidRPr="00645CCB" w:rsidRDefault="00555A84" w:rsidP="00555A84">
      <w:pPr>
        <w:pStyle w:val="BulletDS"/>
        <w:widowControl/>
        <w:numPr>
          <w:ilvl w:val="0"/>
          <w:numId w:val="23"/>
        </w:numPr>
        <w:spacing w:after="240"/>
      </w:pPr>
      <w:r w:rsidRPr="00645CCB">
        <w:t>Interns</w:t>
      </w:r>
    </w:p>
    <w:p w:rsidR="00555A84" w:rsidRPr="00645CCB" w:rsidRDefault="00555A84" w:rsidP="00555A84">
      <w:pPr>
        <w:pStyle w:val="BulletDS"/>
        <w:widowControl/>
        <w:numPr>
          <w:ilvl w:val="0"/>
          <w:numId w:val="24"/>
        </w:numPr>
        <w:spacing w:after="240"/>
      </w:pPr>
      <w:r w:rsidRPr="00645CCB">
        <w:t>Temporary employees</w:t>
      </w:r>
    </w:p>
    <w:p w:rsidR="00555A84" w:rsidRDefault="00555A84" w:rsidP="00555A84">
      <w:pPr>
        <w:pStyle w:val="Heading2"/>
      </w:pPr>
      <w:r>
        <w:t>Exercise Price</w:t>
      </w:r>
    </w:p>
    <w:p w:rsidR="00555A84" w:rsidRDefault="00555A84" w:rsidP="00555A84">
      <w:r>
        <w:t>The Omnibus Plan allows the Committee to set the exercise price, provided that the exercise price of Southern Company options shall be equal to or higher than the common stock price on the date of grant.  In practice, the Committee sets the exercise price equal to the common stock price on the date of grant.</w:t>
      </w:r>
    </w:p>
    <w:p w:rsidR="00555A84" w:rsidRDefault="00555A84" w:rsidP="00555A84">
      <w:pPr>
        <w:rPr>
          <w:sz w:val="18"/>
          <w:szCs w:val="18"/>
        </w:rPr>
      </w:pPr>
    </w:p>
    <w:p w:rsidR="00555A84" w:rsidRDefault="00555A84" w:rsidP="00555A84">
      <w:r>
        <w:lastRenderedPageBreak/>
        <w:t>Exercise price is the closing price on the date of grant.  For annual grants, the date of grant is the date that the Committee approves the stock option award.  For interim grants, the date of grant is the interim grant date designated in the Design Details.  If the markets are closed on the date of grant, then the most recent trading day prior to the date of grant is deemed to be the date of grant for purposes of determining the exercise price.</w:t>
      </w:r>
    </w:p>
    <w:p w:rsidR="00555A84" w:rsidRDefault="00555A84" w:rsidP="00555A84">
      <w:pPr>
        <w:rPr>
          <w:sz w:val="18"/>
          <w:szCs w:val="18"/>
        </w:rPr>
      </w:pPr>
    </w:p>
    <w:p w:rsidR="00555A84" w:rsidRDefault="00555A84" w:rsidP="00555A84">
      <w:pPr>
        <w:pStyle w:val="Heading2"/>
      </w:pPr>
      <w:r>
        <w:t>Term</w:t>
      </w:r>
    </w:p>
    <w:p w:rsidR="00555A84" w:rsidRDefault="00555A84" w:rsidP="00555A84">
      <w:r>
        <w:t>The Omnibus Plan allows the Committee to set the term of options.  The Committee has committed to grant Southern Company options with a term of no more than 10 years.  In practice, the Committee sets the term at 10 years.  This term may be shortened through termination of employment (see that section, below).</w:t>
      </w:r>
    </w:p>
    <w:p w:rsidR="00555A84" w:rsidRDefault="00555A84" w:rsidP="00555A84">
      <w:pPr>
        <w:rPr>
          <w:sz w:val="18"/>
          <w:szCs w:val="18"/>
        </w:rPr>
      </w:pPr>
    </w:p>
    <w:p w:rsidR="00555A84" w:rsidRDefault="00555A84" w:rsidP="00555A84">
      <w:pPr>
        <w:pStyle w:val="Heading2"/>
      </w:pPr>
      <w:r>
        <w:t>Vesting</w:t>
      </w:r>
    </w:p>
    <w:p w:rsidR="00555A84" w:rsidRDefault="00555A84" w:rsidP="00555A84">
      <w:r>
        <w:t>The Omnibus Plan allows the Committee to set the vesting schedule.  In practice, options are set to vest one third per year.  Vesting occurs on the first, second and third anniversaries of the grant date.</w:t>
      </w:r>
    </w:p>
    <w:p w:rsidR="00555A84" w:rsidRDefault="00555A84" w:rsidP="00555A84">
      <w:pPr>
        <w:rPr>
          <w:sz w:val="18"/>
          <w:szCs w:val="18"/>
        </w:rPr>
      </w:pPr>
    </w:p>
    <w:p w:rsidR="00555A84" w:rsidRDefault="00555A84" w:rsidP="00555A84">
      <w:pPr>
        <w:pStyle w:val="Heading2"/>
      </w:pPr>
      <w:r>
        <w:t>Transferability</w:t>
      </w:r>
    </w:p>
    <w:p w:rsidR="00555A84" w:rsidRPr="00E84247" w:rsidRDefault="00555A84" w:rsidP="00555A84">
      <w:pPr>
        <w:keepNext/>
        <w:keepLines/>
        <w:rPr>
          <w:b/>
        </w:rPr>
      </w:pPr>
      <w:r>
        <w:t>Southern Company options are only transferable if the award agreement specifically allows it.  In practice, all award agreements allow options to be transferred to revocable trusts subject to the prior approval of the Senior Vice President, Human Resources and Chief Diversity Officer, and, in certain limited circumstances, some award agreements also allow transfers to other persons or entities.  A transfer is only allowed if it is not a transfer for value.  No subsequent transfers or assignments are allowed and any attempt at a subsequent transfer is void.  Transfers incident to a divorce are not allowed.</w:t>
      </w:r>
    </w:p>
    <w:p w:rsidR="00555A84" w:rsidRDefault="00555A84" w:rsidP="00555A84">
      <w:pPr>
        <w:rPr>
          <w:sz w:val="18"/>
          <w:szCs w:val="18"/>
        </w:rPr>
      </w:pPr>
    </w:p>
    <w:p w:rsidR="00555A84" w:rsidRDefault="00555A84" w:rsidP="00555A84">
      <w:pPr>
        <w:pStyle w:val="Heading2"/>
        <w:keepNext w:val="0"/>
      </w:pPr>
      <w:r>
        <w:t>Award Sizes</w:t>
      </w:r>
    </w:p>
    <w:p w:rsidR="00555A84" w:rsidRDefault="00555A84" w:rsidP="00555A84">
      <w:pPr>
        <w:pStyle w:val="NormalDS"/>
        <w:widowControl/>
        <w:spacing w:after="120"/>
      </w:pPr>
      <w:r>
        <w:t>The long term incentive target award value (“LTI Target Award”) is based on a percentage of base salary.  Forty percent (40%) of the LTI Target Award is used as part of the calculation to determine the number of stock options to be awarded.  The remaining sixty (60%) of the LTI Target Award is awarded under the Performance Share Program (except for mid-year awards which are addressed below).</w:t>
      </w:r>
    </w:p>
    <w:tbl>
      <w:tblPr>
        <w:tblStyle w:val="TableGrid"/>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2"/>
        <w:gridCol w:w="3192"/>
        <w:gridCol w:w="3192"/>
      </w:tblGrid>
      <w:tr w:rsidR="00555A84" w:rsidTr="004B3437">
        <w:tc>
          <w:tcPr>
            <w:tcW w:w="3192" w:type="dxa"/>
            <w:tcBorders>
              <w:top w:val="single" w:sz="18" w:space="0" w:color="auto"/>
              <w:bottom w:val="single" w:sz="2" w:space="0" w:color="auto"/>
            </w:tcBorders>
          </w:tcPr>
          <w:p w:rsidR="00555A84" w:rsidRDefault="00555A84" w:rsidP="004B3437">
            <w:pPr>
              <w:pStyle w:val="NormalDS"/>
              <w:widowControl/>
              <w:spacing w:after="0"/>
              <w:rPr>
                <w:b/>
                <w:sz w:val="20"/>
              </w:rPr>
            </w:pPr>
          </w:p>
          <w:p w:rsidR="00555A84" w:rsidRDefault="00555A84" w:rsidP="004B3437">
            <w:pPr>
              <w:pStyle w:val="NormalDS"/>
              <w:widowControl/>
              <w:spacing w:after="0"/>
              <w:rPr>
                <w:b/>
                <w:sz w:val="20"/>
              </w:rPr>
            </w:pPr>
            <w:r>
              <w:rPr>
                <w:b/>
                <w:sz w:val="20"/>
              </w:rPr>
              <w:t>Salary</w:t>
            </w:r>
          </w:p>
          <w:p w:rsidR="00555A84" w:rsidRDefault="00555A84" w:rsidP="004B3437">
            <w:pPr>
              <w:pStyle w:val="NormalDS"/>
              <w:widowControl/>
              <w:spacing w:after="0"/>
              <w:rPr>
                <w:b/>
                <w:sz w:val="20"/>
              </w:rPr>
            </w:pPr>
            <w:r>
              <w:rPr>
                <w:b/>
                <w:sz w:val="20"/>
              </w:rPr>
              <w:t>Grade</w:t>
            </w:r>
          </w:p>
        </w:tc>
        <w:tc>
          <w:tcPr>
            <w:tcW w:w="3192" w:type="dxa"/>
            <w:tcBorders>
              <w:top w:val="single" w:sz="18" w:space="0" w:color="auto"/>
              <w:bottom w:val="single" w:sz="2" w:space="0" w:color="auto"/>
            </w:tcBorders>
          </w:tcPr>
          <w:p w:rsidR="00555A84" w:rsidRDefault="00555A84" w:rsidP="004B3437">
            <w:pPr>
              <w:pStyle w:val="NormalDS"/>
              <w:widowControl/>
              <w:spacing w:after="0"/>
              <w:jc w:val="center"/>
              <w:rPr>
                <w:b/>
                <w:sz w:val="20"/>
              </w:rPr>
            </w:pPr>
            <w:r>
              <w:rPr>
                <w:b/>
                <w:sz w:val="20"/>
              </w:rPr>
              <w:t>Long Term Incentive</w:t>
            </w:r>
          </w:p>
          <w:p w:rsidR="00555A84" w:rsidRDefault="00555A84" w:rsidP="004B3437">
            <w:pPr>
              <w:pStyle w:val="NormalDS"/>
              <w:widowControl/>
              <w:spacing w:after="0"/>
              <w:jc w:val="center"/>
              <w:rPr>
                <w:b/>
                <w:sz w:val="20"/>
              </w:rPr>
            </w:pPr>
            <w:r>
              <w:rPr>
                <w:b/>
                <w:sz w:val="20"/>
              </w:rPr>
              <w:t>Target Award as</w:t>
            </w:r>
          </w:p>
          <w:p w:rsidR="00555A84" w:rsidRDefault="00555A84" w:rsidP="004B3437">
            <w:pPr>
              <w:pStyle w:val="NormalDS"/>
              <w:widowControl/>
              <w:spacing w:after="0"/>
              <w:jc w:val="center"/>
              <w:rPr>
                <w:b/>
                <w:sz w:val="20"/>
              </w:rPr>
            </w:pPr>
            <w:r>
              <w:rPr>
                <w:b/>
                <w:sz w:val="20"/>
              </w:rPr>
              <w:t>% of Base Salary</w:t>
            </w:r>
          </w:p>
        </w:tc>
        <w:tc>
          <w:tcPr>
            <w:tcW w:w="3192" w:type="dxa"/>
            <w:tcBorders>
              <w:top w:val="single" w:sz="18" w:space="0" w:color="auto"/>
              <w:bottom w:val="single" w:sz="2" w:space="0" w:color="auto"/>
            </w:tcBorders>
          </w:tcPr>
          <w:p w:rsidR="00555A84" w:rsidRDefault="00555A84" w:rsidP="004B3437">
            <w:pPr>
              <w:pStyle w:val="NormalDS"/>
              <w:widowControl/>
              <w:spacing w:after="0"/>
              <w:jc w:val="center"/>
              <w:rPr>
                <w:b/>
                <w:sz w:val="20"/>
              </w:rPr>
            </w:pPr>
          </w:p>
          <w:p w:rsidR="00555A84" w:rsidRDefault="00555A84" w:rsidP="004B3437">
            <w:pPr>
              <w:pStyle w:val="NormalDS"/>
              <w:widowControl/>
              <w:spacing w:after="0"/>
              <w:jc w:val="center"/>
              <w:rPr>
                <w:b/>
                <w:sz w:val="20"/>
              </w:rPr>
            </w:pPr>
            <w:r>
              <w:rPr>
                <w:b/>
                <w:sz w:val="20"/>
              </w:rPr>
              <w:t>Stock Option</w:t>
            </w:r>
          </w:p>
          <w:p w:rsidR="00555A84" w:rsidRDefault="00555A84" w:rsidP="004B3437">
            <w:pPr>
              <w:pStyle w:val="NormalDS"/>
              <w:widowControl/>
              <w:spacing w:after="0"/>
              <w:jc w:val="center"/>
              <w:rPr>
                <w:b/>
                <w:sz w:val="20"/>
              </w:rPr>
            </w:pPr>
            <w:r>
              <w:rPr>
                <w:b/>
                <w:sz w:val="20"/>
              </w:rPr>
              <w:t>Allocation</w:t>
            </w:r>
          </w:p>
        </w:tc>
      </w:tr>
      <w:tr w:rsidR="00555A84" w:rsidTr="004B3437">
        <w:tc>
          <w:tcPr>
            <w:tcW w:w="3192" w:type="dxa"/>
            <w:tcBorders>
              <w:top w:val="single" w:sz="2" w:space="0" w:color="auto"/>
            </w:tcBorders>
          </w:tcPr>
          <w:p w:rsidR="00555A84" w:rsidRDefault="00555A84" w:rsidP="004B3437">
            <w:pPr>
              <w:pStyle w:val="NormalDS"/>
              <w:widowControl/>
              <w:spacing w:after="0"/>
              <w:rPr>
                <w:sz w:val="20"/>
              </w:rPr>
            </w:pPr>
            <w:r>
              <w:rPr>
                <w:sz w:val="20"/>
              </w:rPr>
              <w:t>7</w:t>
            </w:r>
          </w:p>
        </w:tc>
        <w:tc>
          <w:tcPr>
            <w:tcW w:w="3192" w:type="dxa"/>
            <w:tcBorders>
              <w:top w:val="single" w:sz="2" w:space="0" w:color="auto"/>
            </w:tcBorders>
          </w:tcPr>
          <w:p w:rsidR="00555A84" w:rsidRDefault="00555A84" w:rsidP="004B3437">
            <w:pPr>
              <w:pStyle w:val="NormalDS"/>
              <w:widowControl/>
              <w:spacing w:after="0"/>
              <w:jc w:val="center"/>
              <w:rPr>
                <w:sz w:val="20"/>
              </w:rPr>
            </w:pPr>
            <w:r>
              <w:rPr>
                <w:sz w:val="20"/>
              </w:rPr>
              <w:t>2.5%</w:t>
            </w:r>
          </w:p>
        </w:tc>
        <w:tc>
          <w:tcPr>
            <w:tcW w:w="3192" w:type="dxa"/>
            <w:tcBorders>
              <w:top w:val="single" w:sz="2" w:space="0" w:color="auto"/>
            </w:tcBorders>
          </w:tcPr>
          <w:p w:rsidR="00555A84" w:rsidRDefault="00555A84" w:rsidP="004B3437">
            <w:pPr>
              <w:pStyle w:val="NormalDS"/>
              <w:widowControl/>
              <w:spacing w:after="0"/>
              <w:jc w:val="center"/>
              <w:rPr>
                <w:sz w:val="20"/>
              </w:rPr>
            </w:pPr>
            <w:r>
              <w:rPr>
                <w:sz w:val="20"/>
              </w:rPr>
              <w:t>40%</w:t>
            </w:r>
          </w:p>
        </w:tc>
      </w:tr>
      <w:tr w:rsidR="00555A84" w:rsidTr="004B3437">
        <w:tc>
          <w:tcPr>
            <w:tcW w:w="3192" w:type="dxa"/>
          </w:tcPr>
          <w:p w:rsidR="00555A84" w:rsidRDefault="00555A84" w:rsidP="004B3437">
            <w:pPr>
              <w:pStyle w:val="NormalDS"/>
              <w:widowControl/>
              <w:spacing w:after="0"/>
              <w:rPr>
                <w:sz w:val="20"/>
              </w:rPr>
            </w:pPr>
            <w:r>
              <w:rPr>
                <w:sz w:val="20"/>
              </w:rPr>
              <w:t>8</w:t>
            </w:r>
          </w:p>
        </w:tc>
        <w:tc>
          <w:tcPr>
            <w:tcW w:w="3192" w:type="dxa"/>
          </w:tcPr>
          <w:p w:rsidR="00555A84" w:rsidRDefault="00555A84" w:rsidP="004B3437">
            <w:pPr>
              <w:pStyle w:val="NormalDS"/>
              <w:widowControl/>
              <w:spacing w:after="0"/>
              <w:jc w:val="center"/>
              <w:rPr>
                <w:sz w:val="20"/>
              </w:rPr>
            </w:pPr>
            <w:r>
              <w:rPr>
                <w:sz w:val="20"/>
              </w:rPr>
              <w:t>10%</w:t>
            </w:r>
          </w:p>
        </w:tc>
        <w:tc>
          <w:tcPr>
            <w:tcW w:w="3192" w:type="dxa"/>
          </w:tcPr>
          <w:p w:rsidR="00555A84" w:rsidRDefault="00555A84" w:rsidP="004B3437">
            <w:pPr>
              <w:jc w:val="center"/>
            </w:pPr>
            <w:r>
              <w:t>40%</w:t>
            </w:r>
          </w:p>
        </w:tc>
      </w:tr>
      <w:tr w:rsidR="00555A84" w:rsidTr="004B3437">
        <w:tc>
          <w:tcPr>
            <w:tcW w:w="3192" w:type="dxa"/>
          </w:tcPr>
          <w:p w:rsidR="00555A84" w:rsidRDefault="00555A84" w:rsidP="004B3437">
            <w:pPr>
              <w:pStyle w:val="NormalDS"/>
              <w:widowControl/>
              <w:spacing w:after="0"/>
              <w:rPr>
                <w:sz w:val="20"/>
              </w:rPr>
            </w:pPr>
            <w:r>
              <w:rPr>
                <w:sz w:val="20"/>
              </w:rPr>
              <w:t>9</w:t>
            </w:r>
          </w:p>
        </w:tc>
        <w:tc>
          <w:tcPr>
            <w:tcW w:w="3192" w:type="dxa"/>
          </w:tcPr>
          <w:p w:rsidR="00555A84" w:rsidRDefault="00555A84" w:rsidP="004B3437">
            <w:pPr>
              <w:pStyle w:val="NormalDS"/>
              <w:widowControl/>
              <w:spacing w:after="0"/>
              <w:jc w:val="center"/>
              <w:rPr>
                <w:sz w:val="20"/>
              </w:rPr>
            </w:pPr>
            <w:r>
              <w:rPr>
                <w:sz w:val="20"/>
              </w:rPr>
              <w:t>15%</w:t>
            </w:r>
          </w:p>
        </w:tc>
        <w:tc>
          <w:tcPr>
            <w:tcW w:w="3192" w:type="dxa"/>
          </w:tcPr>
          <w:p w:rsidR="00555A84" w:rsidRDefault="00555A84" w:rsidP="004B3437">
            <w:pPr>
              <w:jc w:val="center"/>
            </w:pPr>
            <w:r>
              <w:t>40%</w:t>
            </w:r>
          </w:p>
        </w:tc>
      </w:tr>
      <w:tr w:rsidR="00555A84" w:rsidTr="004B3437">
        <w:tc>
          <w:tcPr>
            <w:tcW w:w="3192" w:type="dxa"/>
          </w:tcPr>
          <w:p w:rsidR="00555A84" w:rsidRDefault="00555A84" w:rsidP="004B3437">
            <w:pPr>
              <w:pStyle w:val="NormalDS"/>
              <w:widowControl/>
              <w:spacing w:after="0"/>
              <w:rPr>
                <w:sz w:val="20"/>
              </w:rPr>
            </w:pPr>
            <w:r>
              <w:rPr>
                <w:sz w:val="20"/>
              </w:rPr>
              <w:t>10</w:t>
            </w:r>
          </w:p>
        </w:tc>
        <w:tc>
          <w:tcPr>
            <w:tcW w:w="3192" w:type="dxa"/>
          </w:tcPr>
          <w:p w:rsidR="00555A84" w:rsidRDefault="00555A84" w:rsidP="004B3437">
            <w:pPr>
              <w:pStyle w:val="NormalDS"/>
              <w:widowControl/>
              <w:spacing w:after="0"/>
              <w:jc w:val="center"/>
              <w:rPr>
                <w:sz w:val="20"/>
              </w:rPr>
            </w:pPr>
            <w:r>
              <w:rPr>
                <w:sz w:val="20"/>
              </w:rPr>
              <w:t>25%</w:t>
            </w:r>
          </w:p>
        </w:tc>
        <w:tc>
          <w:tcPr>
            <w:tcW w:w="3192" w:type="dxa"/>
          </w:tcPr>
          <w:p w:rsidR="00555A84" w:rsidRDefault="00555A84" w:rsidP="004B3437">
            <w:pPr>
              <w:jc w:val="center"/>
            </w:pPr>
            <w:r>
              <w:t>40%</w:t>
            </w:r>
          </w:p>
        </w:tc>
      </w:tr>
      <w:tr w:rsidR="00555A84" w:rsidTr="004B3437">
        <w:tc>
          <w:tcPr>
            <w:tcW w:w="3192" w:type="dxa"/>
          </w:tcPr>
          <w:p w:rsidR="00555A84" w:rsidRDefault="00555A84" w:rsidP="004B3437">
            <w:pPr>
              <w:pStyle w:val="NormalDS"/>
              <w:widowControl/>
              <w:spacing w:after="0"/>
              <w:rPr>
                <w:sz w:val="20"/>
              </w:rPr>
            </w:pPr>
            <w:r>
              <w:rPr>
                <w:sz w:val="20"/>
              </w:rPr>
              <w:t>11</w:t>
            </w:r>
          </w:p>
        </w:tc>
        <w:tc>
          <w:tcPr>
            <w:tcW w:w="3192" w:type="dxa"/>
          </w:tcPr>
          <w:p w:rsidR="00555A84" w:rsidRDefault="00555A84" w:rsidP="004B3437">
            <w:pPr>
              <w:pStyle w:val="NormalDS"/>
              <w:widowControl/>
              <w:spacing w:after="0"/>
              <w:jc w:val="center"/>
              <w:rPr>
                <w:sz w:val="20"/>
              </w:rPr>
            </w:pPr>
            <w:r>
              <w:rPr>
                <w:sz w:val="20"/>
              </w:rPr>
              <w:t>40%</w:t>
            </w:r>
          </w:p>
        </w:tc>
        <w:tc>
          <w:tcPr>
            <w:tcW w:w="3192" w:type="dxa"/>
          </w:tcPr>
          <w:p w:rsidR="00555A84" w:rsidRDefault="00555A84" w:rsidP="004B3437">
            <w:pPr>
              <w:jc w:val="center"/>
            </w:pPr>
            <w:r>
              <w:t>40%</w:t>
            </w:r>
          </w:p>
        </w:tc>
      </w:tr>
      <w:tr w:rsidR="00555A84" w:rsidTr="004B3437">
        <w:tc>
          <w:tcPr>
            <w:tcW w:w="3192" w:type="dxa"/>
          </w:tcPr>
          <w:p w:rsidR="00555A84" w:rsidRDefault="00555A84" w:rsidP="004B3437">
            <w:pPr>
              <w:pStyle w:val="NormalDS"/>
              <w:widowControl/>
              <w:spacing w:after="0"/>
              <w:rPr>
                <w:sz w:val="20"/>
              </w:rPr>
            </w:pPr>
            <w:r>
              <w:rPr>
                <w:sz w:val="20"/>
              </w:rPr>
              <w:t>12</w:t>
            </w:r>
          </w:p>
        </w:tc>
        <w:tc>
          <w:tcPr>
            <w:tcW w:w="3192" w:type="dxa"/>
          </w:tcPr>
          <w:p w:rsidR="00555A84" w:rsidRDefault="00555A84" w:rsidP="004B3437">
            <w:pPr>
              <w:pStyle w:val="NormalDS"/>
              <w:widowControl/>
              <w:spacing w:after="0"/>
              <w:jc w:val="center"/>
              <w:rPr>
                <w:sz w:val="20"/>
              </w:rPr>
            </w:pPr>
            <w:r>
              <w:rPr>
                <w:sz w:val="20"/>
              </w:rPr>
              <w:t>60%</w:t>
            </w:r>
          </w:p>
        </w:tc>
        <w:tc>
          <w:tcPr>
            <w:tcW w:w="3192" w:type="dxa"/>
          </w:tcPr>
          <w:p w:rsidR="00555A84" w:rsidRDefault="00555A84" w:rsidP="004B3437">
            <w:pPr>
              <w:jc w:val="center"/>
            </w:pPr>
            <w:r>
              <w:t>40%</w:t>
            </w:r>
          </w:p>
        </w:tc>
      </w:tr>
      <w:tr w:rsidR="00555A84" w:rsidTr="004B3437">
        <w:tc>
          <w:tcPr>
            <w:tcW w:w="3192" w:type="dxa"/>
            <w:tcBorders>
              <w:bottom w:val="nil"/>
            </w:tcBorders>
          </w:tcPr>
          <w:p w:rsidR="00555A84" w:rsidRDefault="00555A84" w:rsidP="004B3437">
            <w:pPr>
              <w:pStyle w:val="NormalDS"/>
              <w:widowControl/>
              <w:spacing w:after="0"/>
              <w:rPr>
                <w:sz w:val="20"/>
              </w:rPr>
            </w:pPr>
            <w:r>
              <w:rPr>
                <w:sz w:val="20"/>
              </w:rPr>
              <w:t>13</w:t>
            </w:r>
          </w:p>
        </w:tc>
        <w:tc>
          <w:tcPr>
            <w:tcW w:w="3192" w:type="dxa"/>
            <w:tcBorders>
              <w:bottom w:val="nil"/>
            </w:tcBorders>
          </w:tcPr>
          <w:p w:rsidR="00555A84" w:rsidRDefault="00555A84" w:rsidP="004B3437">
            <w:pPr>
              <w:pStyle w:val="NormalDS"/>
              <w:widowControl/>
              <w:spacing w:after="0"/>
              <w:jc w:val="center"/>
              <w:rPr>
                <w:sz w:val="20"/>
              </w:rPr>
            </w:pPr>
            <w:r>
              <w:rPr>
                <w:sz w:val="20"/>
              </w:rPr>
              <w:t>70%</w:t>
            </w:r>
          </w:p>
        </w:tc>
        <w:tc>
          <w:tcPr>
            <w:tcW w:w="3192" w:type="dxa"/>
            <w:tcBorders>
              <w:bottom w:val="nil"/>
            </w:tcBorders>
          </w:tcPr>
          <w:p w:rsidR="00555A84" w:rsidRDefault="00555A84" w:rsidP="004B3437">
            <w:pPr>
              <w:jc w:val="center"/>
            </w:pPr>
            <w:r>
              <w:t>40%</w:t>
            </w:r>
          </w:p>
        </w:tc>
      </w:tr>
      <w:tr w:rsidR="00555A84" w:rsidTr="004B3437">
        <w:tc>
          <w:tcPr>
            <w:tcW w:w="3192" w:type="dxa"/>
            <w:tcBorders>
              <w:top w:val="nil"/>
            </w:tcBorders>
          </w:tcPr>
          <w:p w:rsidR="00555A84" w:rsidRDefault="00555A84" w:rsidP="004B3437">
            <w:pPr>
              <w:pStyle w:val="NormalDS"/>
              <w:widowControl/>
              <w:spacing w:after="0"/>
              <w:rPr>
                <w:sz w:val="20"/>
              </w:rPr>
            </w:pPr>
            <w:r>
              <w:rPr>
                <w:sz w:val="20"/>
              </w:rPr>
              <w:t>14</w:t>
            </w:r>
          </w:p>
        </w:tc>
        <w:tc>
          <w:tcPr>
            <w:tcW w:w="3192" w:type="dxa"/>
            <w:tcBorders>
              <w:top w:val="nil"/>
            </w:tcBorders>
          </w:tcPr>
          <w:p w:rsidR="00555A84" w:rsidRDefault="00555A84" w:rsidP="004B3437">
            <w:pPr>
              <w:pStyle w:val="NormalDS"/>
              <w:widowControl/>
              <w:spacing w:after="0"/>
              <w:jc w:val="center"/>
              <w:rPr>
                <w:sz w:val="20"/>
              </w:rPr>
            </w:pPr>
            <w:r>
              <w:rPr>
                <w:sz w:val="20"/>
              </w:rPr>
              <w:t>95%</w:t>
            </w:r>
          </w:p>
        </w:tc>
        <w:tc>
          <w:tcPr>
            <w:tcW w:w="3192" w:type="dxa"/>
            <w:tcBorders>
              <w:top w:val="nil"/>
            </w:tcBorders>
          </w:tcPr>
          <w:p w:rsidR="00555A84" w:rsidRDefault="00555A84" w:rsidP="004B3437">
            <w:pPr>
              <w:jc w:val="center"/>
            </w:pPr>
            <w:r>
              <w:t>40%</w:t>
            </w:r>
          </w:p>
        </w:tc>
      </w:tr>
      <w:tr w:rsidR="00555A84" w:rsidTr="004B3437">
        <w:tc>
          <w:tcPr>
            <w:tcW w:w="3192" w:type="dxa"/>
          </w:tcPr>
          <w:p w:rsidR="00555A84" w:rsidRDefault="00555A84" w:rsidP="004B3437">
            <w:pPr>
              <w:pStyle w:val="NormalDS"/>
              <w:widowControl/>
              <w:spacing w:after="0"/>
              <w:rPr>
                <w:sz w:val="20"/>
              </w:rPr>
            </w:pPr>
            <w:r>
              <w:rPr>
                <w:sz w:val="20"/>
              </w:rPr>
              <w:t>15</w:t>
            </w:r>
          </w:p>
        </w:tc>
        <w:tc>
          <w:tcPr>
            <w:tcW w:w="3192" w:type="dxa"/>
          </w:tcPr>
          <w:p w:rsidR="00555A84" w:rsidRDefault="00555A84" w:rsidP="004B3437">
            <w:pPr>
              <w:pStyle w:val="NormalDS"/>
              <w:widowControl/>
              <w:spacing w:after="0"/>
              <w:jc w:val="center"/>
              <w:rPr>
                <w:sz w:val="20"/>
              </w:rPr>
            </w:pPr>
            <w:r>
              <w:rPr>
                <w:sz w:val="20"/>
              </w:rPr>
              <w:t>125%</w:t>
            </w:r>
          </w:p>
        </w:tc>
        <w:tc>
          <w:tcPr>
            <w:tcW w:w="3192" w:type="dxa"/>
          </w:tcPr>
          <w:p w:rsidR="00555A84" w:rsidRDefault="00555A84" w:rsidP="004B3437">
            <w:pPr>
              <w:jc w:val="center"/>
            </w:pPr>
            <w:r>
              <w:t>40%</w:t>
            </w:r>
          </w:p>
        </w:tc>
      </w:tr>
      <w:tr w:rsidR="00555A84" w:rsidTr="004B3437">
        <w:tc>
          <w:tcPr>
            <w:tcW w:w="3192" w:type="dxa"/>
            <w:tcBorders>
              <w:top w:val="nil"/>
              <w:bottom w:val="single" w:sz="2" w:space="0" w:color="auto"/>
            </w:tcBorders>
          </w:tcPr>
          <w:p w:rsidR="00555A84" w:rsidRDefault="00555A84" w:rsidP="004B3437">
            <w:pPr>
              <w:pStyle w:val="NormalDS"/>
              <w:widowControl/>
              <w:spacing w:before="120" w:after="0"/>
              <w:rPr>
                <w:sz w:val="20"/>
              </w:rPr>
            </w:pPr>
            <w:r>
              <w:rPr>
                <w:sz w:val="20"/>
              </w:rPr>
              <w:t>Executive officers</w:t>
            </w:r>
          </w:p>
        </w:tc>
        <w:tc>
          <w:tcPr>
            <w:tcW w:w="3192" w:type="dxa"/>
            <w:tcBorders>
              <w:top w:val="nil"/>
              <w:bottom w:val="single" w:sz="2" w:space="0" w:color="auto"/>
            </w:tcBorders>
          </w:tcPr>
          <w:p w:rsidR="00555A84" w:rsidRDefault="00555A84" w:rsidP="004B3437">
            <w:pPr>
              <w:pStyle w:val="NormalDS"/>
              <w:widowControl/>
              <w:spacing w:before="120" w:after="0"/>
              <w:rPr>
                <w:sz w:val="20"/>
              </w:rPr>
            </w:pPr>
            <w:r>
              <w:rPr>
                <w:sz w:val="20"/>
              </w:rPr>
              <w:t>Committee discretion</w:t>
            </w:r>
          </w:p>
        </w:tc>
        <w:tc>
          <w:tcPr>
            <w:tcW w:w="3192" w:type="dxa"/>
            <w:tcBorders>
              <w:top w:val="nil"/>
              <w:bottom w:val="single" w:sz="2" w:space="0" w:color="auto"/>
            </w:tcBorders>
          </w:tcPr>
          <w:p w:rsidR="00555A84" w:rsidRDefault="00555A84" w:rsidP="004B3437">
            <w:pPr>
              <w:pStyle w:val="NormalDS"/>
              <w:widowControl/>
              <w:spacing w:after="0"/>
              <w:jc w:val="center"/>
              <w:rPr>
                <w:sz w:val="20"/>
              </w:rPr>
            </w:pPr>
          </w:p>
        </w:tc>
      </w:tr>
    </w:tbl>
    <w:p w:rsidR="00555A84" w:rsidRDefault="00555A84" w:rsidP="00555A84">
      <w:pPr>
        <w:pStyle w:val="NormalDS"/>
        <w:widowControl/>
        <w:spacing w:after="0"/>
      </w:pPr>
      <w:r>
        <w:t>To calculate the number of stock options to be granted, the Stock Option Award Value (base salary</w:t>
      </w:r>
      <w:r>
        <w:rPr>
          <w:rStyle w:val="FootnoteReference"/>
        </w:rPr>
        <w:footnoteReference w:id="7"/>
      </w:r>
      <w:r>
        <w:t xml:space="preserve"> x LTI Target Award % x Stock Option Allocation %) is divided by the present value of one outstanding Southern Company stock option on the business day one day prior to the date of grant as determined by the Committee.</w:t>
      </w:r>
    </w:p>
    <w:p w:rsidR="00555A84" w:rsidRDefault="00555A84" w:rsidP="00555A84">
      <w:pPr>
        <w:pStyle w:val="NormalDS"/>
        <w:widowControl/>
        <w:spacing w:after="0"/>
      </w:pPr>
    </w:p>
    <w:p w:rsidR="00555A84" w:rsidRDefault="00555A84" w:rsidP="00555A84">
      <w:pPr>
        <w:pStyle w:val="NormalDS"/>
        <w:widowControl/>
        <w:spacing w:after="0"/>
        <w:rPr>
          <w:b/>
        </w:rPr>
      </w:pPr>
      <w:r>
        <w:rPr>
          <w:b/>
        </w:rPr>
        <w:t>Timing of</w:t>
      </w:r>
      <w:r w:rsidRPr="00ED71DE">
        <w:rPr>
          <w:b/>
        </w:rPr>
        <w:t xml:space="preserve"> Grants</w:t>
      </w:r>
    </w:p>
    <w:p w:rsidR="00555A84" w:rsidRDefault="00555A84" w:rsidP="00555A84">
      <w:pPr>
        <w:pStyle w:val="NormalDS"/>
        <w:widowControl/>
        <w:numPr>
          <w:ilvl w:val="0"/>
          <w:numId w:val="25"/>
        </w:numPr>
        <w:tabs>
          <w:tab w:val="clear" w:pos="720"/>
        </w:tabs>
        <w:spacing w:after="240"/>
        <w:ind w:left="360"/>
      </w:pPr>
      <w:r w:rsidRPr="00873F4E">
        <w:rPr>
          <w:i/>
        </w:rPr>
        <w:t>Regular</w:t>
      </w:r>
      <w:r>
        <w:rPr>
          <w:i/>
        </w:rPr>
        <w:t xml:space="preserve"> grants.  </w:t>
      </w:r>
      <w:r>
        <w:t>Options are granted on a regular basis, typically annually, to eligible employees. This is done in order to remain competitive with market practice.  Employee must be in an eligible position on the date of the annual merit pay adjustment and the date of the grant.</w:t>
      </w:r>
    </w:p>
    <w:p w:rsidR="00555A84" w:rsidRPr="00694806" w:rsidRDefault="00555A84" w:rsidP="00555A84">
      <w:pPr>
        <w:pStyle w:val="NormalDS"/>
        <w:widowControl/>
        <w:ind w:left="360" w:hanging="360"/>
      </w:pPr>
      <w:r>
        <w:lastRenderedPageBreak/>
        <w:sym w:font="Symbol" w:char="F0B7"/>
      </w:r>
      <w:r w:rsidRPr="003359C4">
        <w:tab/>
        <w:t>G</w:t>
      </w:r>
      <w:r>
        <w:rPr>
          <w:i/>
        </w:rPr>
        <w:t xml:space="preserve">rants to new hires and employees promoted from ineligible positions into eligible positions.  </w:t>
      </w:r>
      <w:r>
        <w:t>Options are granted to new hires and employees promoted from ineligible positions into eligible positions under a formula:</w:t>
      </w:r>
    </w:p>
    <w:tbl>
      <w:tblPr>
        <w:tblW w:w="0" w:type="auto"/>
        <w:tblInd w:w="378" w:type="dxa"/>
        <w:tblLayout w:type="fixed"/>
        <w:tblLook w:val="0000"/>
      </w:tblPr>
      <w:tblGrid>
        <w:gridCol w:w="1350"/>
        <w:gridCol w:w="6300"/>
        <w:gridCol w:w="1548"/>
      </w:tblGrid>
      <w:tr w:rsidR="00555A84" w:rsidTr="004B3437">
        <w:trPr>
          <w:cantSplit/>
        </w:trPr>
        <w:tc>
          <w:tcPr>
            <w:tcW w:w="1350" w:type="dxa"/>
            <w:tcBorders>
              <w:top w:val="single" w:sz="18" w:space="0" w:color="auto"/>
              <w:left w:val="nil"/>
              <w:bottom w:val="nil"/>
              <w:right w:val="nil"/>
            </w:tcBorders>
          </w:tcPr>
          <w:p w:rsidR="00555A84" w:rsidRDefault="00555A84" w:rsidP="004B3437">
            <w:pPr>
              <w:pStyle w:val="Tab3Hdgs"/>
              <w:widowControl/>
            </w:pPr>
            <w:r>
              <w:t>Grant Date</w:t>
            </w:r>
            <w:r>
              <w:rPr>
                <w:rStyle w:val="FootnoteReference"/>
              </w:rPr>
              <w:footnoteReference w:id="8"/>
            </w:r>
          </w:p>
        </w:tc>
        <w:tc>
          <w:tcPr>
            <w:tcW w:w="6300" w:type="dxa"/>
            <w:tcBorders>
              <w:top w:val="single" w:sz="18" w:space="0" w:color="auto"/>
              <w:left w:val="nil"/>
              <w:bottom w:val="nil"/>
              <w:right w:val="nil"/>
            </w:tcBorders>
          </w:tcPr>
          <w:p w:rsidR="00555A84" w:rsidRDefault="00555A84" w:rsidP="004B3437">
            <w:pPr>
              <w:jc w:val="center"/>
              <w:rPr>
                <w:b/>
              </w:rPr>
            </w:pPr>
            <w:r>
              <w:rPr>
                <w:b/>
              </w:rPr>
              <w:t>New Hires and Employees Promoted Into</w:t>
            </w:r>
          </w:p>
          <w:p w:rsidR="00555A84" w:rsidRDefault="00555A84" w:rsidP="004B3437">
            <w:pPr>
              <w:jc w:val="center"/>
              <w:rPr>
                <w:b/>
              </w:rPr>
            </w:pPr>
            <w:r>
              <w:rPr>
                <w:b/>
              </w:rPr>
              <w:t>Eligible Position Included</w:t>
            </w:r>
          </w:p>
        </w:tc>
        <w:tc>
          <w:tcPr>
            <w:tcW w:w="1548" w:type="dxa"/>
            <w:tcBorders>
              <w:top w:val="single" w:sz="18" w:space="0" w:color="auto"/>
              <w:left w:val="nil"/>
              <w:bottom w:val="nil"/>
              <w:right w:val="nil"/>
            </w:tcBorders>
          </w:tcPr>
          <w:p w:rsidR="00555A84" w:rsidRDefault="00555A84" w:rsidP="004B3437">
            <w:pPr>
              <w:jc w:val="center"/>
              <w:rPr>
                <w:b/>
              </w:rPr>
            </w:pPr>
            <w:r>
              <w:rPr>
                <w:b/>
              </w:rPr>
              <w:t>Percent of a Guideline</w:t>
            </w:r>
          </w:p>
          <w:p w:rsidR="00555A84" w:rsidRDefault="00555A84" w:rsidP="004B3437">
            <w:pPr>
              <w:jc w:val="center"/>
              <w:rPr>
                <w:b/>
              </w:rPr>
            </w:pPr>
            <w:r>
              <w:rPr>
                <w:b/>
              </w:rPr>
              <w:t>Grant Made</w:t>
            </w:r>
          </w:p>
        </w:tc>
      </w:tr>
      <w:tr w:rsidR="00555A84" w:rsidTr="004B3437">
        <w:trPr>
          <w:cantSplit/>
          <w:trHeight w:val="360"/>
        </w:trPr>
        <w:tc>
          <w:tcPr>
            <w:tcW w:w="1350" w:type="dxa"/>
            <w:tcBorders>
              <w:top w:val="single" w:sz="6" w:space="0" w:color="auto"/>
              <w:left w:val="nil"/>
              <w:bottom w:val="single" w:sz="6" w:space="0" w:color="auto"/>
              <w:right w:val="nil"/>
            </w:tcBorders>
          </w:tcPr>
          <w:p w:rsidR="00555A84" w:rsidRDefault="00555A84" w:rsidP="004B3437">
            <w:r>
              <w:t>May 1</w:t>
            </w:r>
          </w:p>
        </w:tc>
        <w:tc>
          <w:tcPr>
            <w:tcW w:w="6300" w:type="dxa"/>
            <w:tcBorders>
              <w:top w:val="single" w:sz="6" w:space="0" w:color="auto"/>
              <w:left w:val="nil"/>
              <w:bottom w:val="single" w:sz="6" w:space="0" w:color="auto"/>
              <w:right w:val="nil"/>
            </w:tcBorders>
          </w:tcPr>
          <w:p w:rsidR="00555A84" w:rsidRDefault="00555A84" w:rsidP="004B3437">
            <w:r>
              <w:t>From the last date included in the February option grant, through April 30</w:t>
            </w:r>
          </w:p>
        </w:tc>
        <w:tc>
          <w:tcPr>
            <w:tcW w:w="1548" w:type="dxa"/>
            <w:tcBorders>
              <w:top w:val="single" w:sz="6" w:space="0" w:color="auto"/>
              <w:left w:val="nil"/>
              <w:bottom w:val="single" w:sz="6" w:space="0" w:color="auto"/>
              <w:right w:val="nil"/>
            </w:tcBorders>
          </w:tcPr>
          <w:p w:rsidR="00555A84" w:rsidRDefault="00555A84" w:rsidP="004B3437">
            <w:pPr>
              <w:jc w:val="center"/>
            </w:pPr>
            <w:r>
              <w:t>75%</w:t>
            </w:r>
          </w:p>
        </w:tc>
      </w:tr>
      <w:tr w:rsidR="00555A84" w:rsidTr="004B3437">
        <w:trPr>
          <w:cantSplit/>
          <w:trHeight w:val="360"/>
        </w:trPr>
        <w:tc>
          <w:tcPr>
            <w:tcW w:w="1350" w:type="dxa"/>
            <w:tcBorders>
              <w:top w:val="single" w:sz="6" w:space="0" w:color="auto"/>
              <w:left w:val="nil"/>
              <w:bottom w:val="single" w:sz="6" w:space="0" w:color="auto"/>
              <w:right w:val="nil"/>
            </w:tcBorders>
          </w:tcPr>
          <w:p w:rsidR="00555A84" w:rsidRDefault="00555A84" w:rsidP="004B3437">
            <w:r>
              <w:t>August 1</w:t>
            </w:r>
          </w:p>
        </w:tc>
        <w:tc>
          <w:tcPr>
            <w:tcW w:w="6300" w:type="dxa"/>
            <w:tcBorders>
              <w:top w:val="single" w:sz="6" w:space="0" w:color="auto"/>
              <w:left w:val="nil"/>
              <w:bottom w:val="single" w:sz="6" w:space="0" w:color="auto"/>
              <w:right w:val="nil"/>
            </w:tcBorders>
          </w:tcPr>
          <w:p w:rsidR="00555A84" w:rsidRDefault="00555A84" w:rsidP="004B3437">
            <w:r>
              <w:t>May 1 through July 31</w:t>
            </w:r>
          </w:p>
        </w:tc>
        <w:tc>
          <w:tcPr>
            <w:tcW w:w="1548" w:type="dxa"/>
            <w:tcBorders>
              <w:top w:val="single" w:sz="6" w:space="0" w:color="auto"/>
              <w:left w:val="nil"/>
              <w:bottom w:val="single" w:sz="6" w:space="0" w:color="auto"/>
              <w:right w:val="nil"/>
            </w:tcBorders>
          </w:tcPr>
          <w:p w:rsidR="00555A84" w:rsidRDefault="00555A84" w:rsidP="004B3437">
            <w:pPr>
              <w:jc w:val="center"/>
            </w:pPr>
            <w:r>
              <w:t>50%</w:t>
            </w:r>
          </w:p>
        </w:tc>
      </w:tr>
      <w:tr w:rsidR="00555A84" w:rsidTr="004B3437">
        <w:trPr>
          <w:cantSplit/>
          <w:trHeight w:val="360"/>
        </w:trPr>
        <w:tc>
          <w:tcPr>
            <w:tcW w:w="1350" w:type="dxa"/>
            <w:tcBorders>
              <w:top w:val="single" w:sz="6" w:space="0" w:color="auto"/>
              <w:left w:val="nil"/>
              <w:bottom w:val="single" w:sz="6" w:space="0" w:color="auto"/>
              <w:right w:val="nil"/>
            </w:tcBorders>
          </w:tcPr>
          <w:p w:rsidR="00555A84" w:rsidRDefault="00555A84" w:rsidP="004B3437">
            <w:pPr>
              <w:pStyle w:val="Table3Data"/>
              <w:widowControl/>
            </w:pPr>
            <w:r>
              <w:t>November 1</w:t>
            </w:r>
          </w:p>
        </w:tc>
        <w:tc>
          <w:tcPr>
            <w:tcW w:w="6300" w:type="dxa"/>
            <w:tcBorders>
              <w:top w:val="single" w:sz="6" w:space="0" w:color="auto"/>
              <w:left w:val="nil"/>
              <w:bottom w:val="single" w:sz="6" w:space="0" w:color="auto"/>
              <w:right w:val="nil"/>
            </w:tcBorders>
          </w:tcPr>
          <w:p w:rsidR="00555A84" w:rsidRDefault="00555A84" w:rsidP="004B3437">
            <w:r>
              <w:t>August 1 through October 31</w:t>
            </w:r>
          </w:p>
        </w:tc>
        <w:tc>
          <w:tcPr>
            <w:tcW w:w="1548" w:type="dxa"/>
            <w:tcBorders>
              <w:top w:val="single" w:sz="6" w:space="0" w:color="auto"/>
              <w:left w:val="nil"/>
              <w:bottom w:val="single" w:sz="6" w:space="0" w:color="auto"/>
              <w:right w:val="nil"/>
            </w:tcBorders>
          </w:tcPr>
          <w:p w:rsidR="00555A84" w:rsidRDefault="00555A84" w:rsidP="004B3437">
            <w:pPr>
              <w:jc w:val="center"/>
            </w:pPr>
            <w:r>
              <w:t>25%</w:t>
            </w:r>
          </w:p>
        </w:tc>
      </w:tr>
    </w:tbl>
    <w:p w:rsidR="00555A84" w:rsidRDefault="00555A84" w:rsidP="00555A84"/>
    <w:p w:rsidR="00555A84" w:rsidRDefault="00555A84" w:rsidP="00555A84">
      <w:pPr>
        <w:pStyle w:val="NormalDS"/>
        <w:widowControl/>
        <w:numPr>
          <w:ilvl w:val="0"/>
          <w:numId w:val="25"/>
        </w:numPr>
        <w:tabs>
          <w:tab w:val="clear" w:pos="720"/>
        </w:tabs>
        <w:spacing w:after="240"/>
        <w:ind w:left="360"/>
      </w:pPr>
      <w:r>
        <w:t>Employees eligible for prorated grants will receive full LTI Target Award (base salary x LTI Target Award % x Proration Percentage) in stock options rather than the 40% Stock Option Allocation.</w:t>
      </w:r>
    </w:p>
    <w:p w:rsidR="00555A84" w:rsidRDefault="00555A84" w:rsidP="00555A84">
      <w:pPr>
        <w:pStyle w:val="Heading2"/>
      </w:pPr>
      <w:r>
        <w:t>Impact of Changes in Employment Status</w:t>
      </w:r>
    </w:p>
    <w:p w:rsidR="00555A84" w:rsidRDefault="00555A84" w:rsidP="00555A84">
      <w:r>
        <w:t>The following table shows the impact of changes in employment status.</w:t>
      </w:r>
    </w:p>
    <w:p w:rsidR="00555A84" w:rsidRDefault="00555A84" w:rsidP="00555A84"/>
    <w:tbl>
      <w:tblPr>
        <w:tblW w:w="0" w:type="auto"/>
        <w:tblInd w:w="115" w:type="dxa"/>
        <w:tblLayout w:type="fixed"/>
        <w:tblLook w:val="0000"/>
      </w:tblPr>
      <w:tblGrid>
        <w:gridCol w:w="3053"/>
        <w:gridCol w:w="2430"/>
        <w:gridCol w:w="1890"/>
        <w:gridCol w:w="1890"/>
      </w:tblGrid>
      <w:tr w:rsidR="00555A84" w:rsidTr="004B3437">
        <w:trPr>
          <w:cantSplit/>
          <w:trHeight w:val="360"/>
        </w:trPr>
        <w:tc>
          <w:tcPr>
            <w:tcW w:w="3053" w:type="dxa"/>
            <w:tcBorders>
              <w:top w:val="single" w:sz="6" w:space="0" w:color="auto"/>
              <w:left w:val="nil"/>
              <w:bottom w:val="single" w:sz="6" w:space="0" w:color="auto"/>
              <w:right w:val="nil"/>
            </w:tcBorders>
          </w:tcPr>
          <w:p w:rsidR="00555A84" w:rsidRDefault="00555A84" w:rsidP="004B3437">
            <w:pPr>
              <w:pStyle w:val="Table3Data"/>
              <w:widowControl/>
            </w:pPr>
          </w:p>
          <w:p w:rsidR="00555A84" w:rsidRDefault="00555A84" w:rsidP="004B3437">
            <w:pPr>
              <w:pStyle w:val="Table3Data"/>
              <w:widowControl/>
            </w:pPr>
          </w:p>
          <w:p w:rsidR="00555A84" w:rsidRDefault="00555A84" w:rsidP="004B3437">
            <w:pPr>
              <w:pStyle w:val="Table3Data"/>
              <w:widowControl/>
            </w:pPr>
          </w:p>
          <w:p w:rsidR="00555A84" w:rsidRDefault="00555A84" w:rsidP="004B3437">
            <w:pPr>
              <w:pStyle w:val="Table3Data"/>
              <w:widowControl/>
            </w:pPr>
            <w:r>
              <w:t>Employment Event</w:t>
            </w:r>
          </w:p>
        </w:tc>
        <w:tc>
          <w:tcPr>
            <w:tcW w:w="2430" w:type="dxa"/>
            <w:tcBorders>
              <w:top w:val="single" w:sz="6" w:space="0" w:color="auto"/>
              <w:left w:val="nil"/>
              <w:bottom w:val="single" w:sz="6" w:space="0" w:color="auto"/>
              <w:right w:val="nil"/>
            </w:tcBorders>
          </w:tcPr>
          <w:p w:rsidR="00555A84" w:rsidRDefault="00555A84" w:rsidP="004B3437">
            <w:pPr>
              <w:pStyle w:val="Table3Data"/>
              <w:widowControl/>
            </w:pPr>
          </w:p>
          <w:p w:rsidR="00555A84" w:rsidRDefault="00555A84" w:rsidP="004B3437">
            <w:pPr>
              <w:pStyle w:val="Table3Data"/>
              <w:widowControl/>
            </w:pPr>
          </w:p>
          <w:p w:rsidR="00555A84" w:rsidRDefault="00555A84" w:rsidP="004B3437">
            <w:pPr>
              <w:pStyle w:val="Table3Data"/>
              <w:widowControl/>
            </w:pPr>
            <w:r>
              <w:t>Treatment of</w:t>
            </w:r>
          </w:p>
          <w:p w:rsidR="00555A84" w:rsidRDefault="00555A84" w:rsidP="004B3437">
            <w:pPr>
              <w:pStyle w:val="Table3Data"/>
              <w:widowControl/>
            </w:pPr>
            <w:r>
              <w:t>Unvested Options</w:t>
            </w:r>
          </w:p>
        </w:tc>
        <w:tc>
          <w:tcPr>
            <w:tcW w:w="1890" w:type="dxa"/>
            <w:tcBorders>
              <w:top w:val="single" w:sz="6" w:space="0" w:color="auto"/>
              <w:left w:val="nil"/>
              <w:bottom w:val="single" w:sz="6" w:space="0" w:color="auto"/>
              <w:right w:val="nil"/>
            </w:tcBorders>
          </w:tcPr>
          <w:p w:rsidR="00555A84" w:rsidRDefault="00555A84" w:rsidP="004B3437">
            <w:pPr>
              <w:pStyle w:val="Table3Data"/>
              <w:widowControl/>
              <w:jc w:val="center"/>
            </w:pPr>
            <w:r>
              <w:t>Exercise Period</w:t>
            </w:r>
          </w:p>
          <w:p w:rsidR="00555A84" w:rsidRDefault="00555A84" w:rsidP="004B3437">
            <w:pPr>
              <w:pStyle w:val="Table3Data"/>
              <w:widowControl/>
              <w:jc w:val="center"/>
            </w:pPr>
            <w:r>
              <w:t>for Vested Options</w:t>
            </w:r>
          </w:p>
          <w:p w:rsidR="00555A84" w:rsidRPr="00991006" w:rsidRDefault="00555A84" w:rsidP="004B3437">
            <w:pPr>
              <w:pStyle w:val="Table3Data"/>
              <w:widowControl/>
              <w:jc w:val="center"/>
              <w:rPr>
                <w:vertAlign w:val="superscript"/>
              </w:rPr>
            </w:pPr>
            <w:r>
              <w:t>(But In No Event Beyond the Original Option Term)</w:t>
            </w:r>
            <w:r>
              <w:rPr>
                <w:vertAlign w:val="superscript"/>
              </w:rPr>
              <w:t>1</w:t>
            </w:r>
          </w:p>
        </w:tc>
        <w:tc>
          <w:tcPr>
            <w:tcW w:w="1890" w:type="dxa"/>
            <w:tcBorders>
              <w:top w:val="single" w:sz="6" w:space="0" w:color="auto"/>
              <w:left w:val="nil"/>
              <w:bottom w:val="single" w:sz="6" w:space="0" w:color="auto"/>
              <w:right w:val="nil"/>
            </w:tcBorders>
          </w:tcPr>
          <w:p w:rsidR="00555A84" w:rsidRDefault="00555A84" w:rsidP="004B3437">
            <w:pPr>
              <w:pStyle w:val="Table3Data"/>
              <w:widowControl/>
              <w:jc w:val="center"/>
            </w:pPr>
            <w:r>
              <w:t>Eligible for</w:t>
            </w:r>
          </w:p>
          <w:p w:rsidR="00555A84" w:rsidRDefault="00555A84" w:rsidP="004B3437">
            <w:pPr>
              <w:pStyle w:val="Table3Data"/>
              <w:widowControl/>
              <w:jc w:val="center"/>
            </w:pPr>
            <w:r>
              <w:t>Additional Grants</w:t>
            </w:r>
          </w:p>
          <w:p w:rsidR="00555A84" w:rsidRDefault="00555A84" w:rsidP="004B3437">
            <w:pPr>
              <w:pStyle w:val="Table3Data"/>
              <w:widowControl/>
              <w:jc w:val="center"/>
            </w:pPr>
            <w:r>
              <w:t>after Employment</w:t>
            </w:r>
          </w:p>
          <w:p w:rsidR="00555A84" w:rsidRDefault="00555A84" w:rsidP="004B3437">
            <w:pPr>
              <w:pStyle w:val="Table3Data"/>
              <w:widowControl/>
              <w:jc w:val="center"/>
            </w:pPr>
            <w:r>
              <w:t>Event</w:t>
            </w:r>
          </w:p>
          <w:p w:rsidR="00555A84" w:rsidRDefault="00555A84" w:rsidP="004B3437">
            <w:pPr>
              <w:pStyle w:val="Table3Data"/>
              <w:widowControl/>
              <w:jc w:val="center"/>
            </w:pPr>
          </w:p>
        </w:tc>
      </w:tr>
      <w:tr w:rsidR="00555A84" w:rsidTr="004B3437">
        <w:trPr>
          <w:cantSplit/>
          <w:trHeight w:val="360"/>
        </w:trPr>
        <w:tc>
          <w:tcPr>
            <w:tcW w:w="3053" w:type="dxa"/>
            <w:tcBorders>
              <w:top w:val="nil"/>
              <w:left w:val="nil"/>
              <w:bottom w:val="nil"/>
              <w:right w:val="nil"/>
            </w:tcBorders>
          </w:tcPr>
          <w:p w:rsidR="00555A84" w:rsidRDefault="00555A84" w:rsidP="004B3437">
            <w:pPr>
              <w:pStyle w:val="Table3Data"/>
              <w:widowControl/>
              <w:rPr>
                <w:vertAlign w:val="superscript"/>
              </w:rPr>
            </w:pPr>
            <w:r>
              <w:t xml:space="preserve">Retirement </w:t>
            </w:r>
            <w:r>
              <w:rPr>
                <w:vertAlign w:val="superscript"/>
              </w:rPr>
              <w:t>3</w:t>
            </w:r>
          </w:p>
        </w:tc>
        <w:tc>
          <w:tcPr>
            <w:tcW w:w="2430" w:type="dxa"/>
            <w:tcBorders>
              <w:top w:val="nil"/>
              <w:left w:val="nil"/>
              <w:bottom w:val="nil"/>
              <w:right w:val="nil"/>
            </w:tcBorders>
          </w:tcPr>
          <w:p w:rsidR="00555A84" w:rsidRPr="00872F2C" w:rsidRDefault="00555A84" w:rsidP="004B3437">
            <w:pPr>
              <w:pStyle w:val="Table3Data"/>
              <w:widowControl/>
              <w:rPr>
                <w:vertAlign w:val="superscript"/>
              </w:rPr>
            </w:pPr>
            <w:r>
              <w:t>Vest fully</w:t>
            </w:r>
            <w:r>
              <w:rPr>
                <w:vertAlign w:val="superscript"/>
              </w:rPr>
              <w:t>4</w:t>
            </w:r>
          </w:p>
        </w:tc>
        <w:tc>
          <w:tcPr>
            <w:tcW w:w="1890" w:type="dxa"/>
            <w:tcBorders>
              <w:top w:val="nil"/>
              <w:left w:val="nil"/>
              <w:bottom w:val="nil"/>
              <w:right w:val="nil"/>
            </w:tcBorders>
          </w:tcPr>
          <w:p w:rsidR="00555A84" w:rsidRDefault="00555A84" w:rsidP="004B3437">
            <w:pPr>
              <w:pStyle w:val="Table3Data"/>
              <w:widowControl/>
              <w:jc w:val="center"/>
            </w:pPr>
            <w:r>
              <w:t xml:space="preserve">5 years </w:t>
            </w:r>
          </w:p>
        </w:tc>
        <w:tc>
          <w:tcPr>
            <w:tcW w:w="1890" w:type="dxa"/>
            <w:tcBorders>
              <w:top w:val="nil"/>
              <w:left w:val="nil"/>
              <w:bottom w:val="nil"/>
              <w:right w:val="nil"/>
            </w:tcBorders>
          </w:tcPr>
          <w:p w:rsidR="00555A84" w:rsidRDefault="00555A84" w:rsidP="004B3437">
            <w:pPr>
              <w:pStyle w:val="Table3Data"/>
              <w:widowControl/>
              <w:jc w:val="center"/>
            </w:pPr>
            <w:r>
              <w:t>No</w:t>
            </w:r>
          </w:p>
        </w:tc>
      </w:tr>
      <w:tr w:rsidR="00555A84" w:rsidTr="004B3437">
        <w:trPr>
          <w:cantSplit/>
          <w:trHeight w:val="360"/>
        </w:trPr>
        <w:tc>
          <w:tcPr>
            <w:tcW w:w="3053" w:type="dxa"/>
            <w:tcBorders>
              <w:top w:val="nil"/>
              <w:left w:val="nil"/>
              <w:bottom w:val="nil"/>
              <w:right w:val="nil"/>
            </w:tcBorders>
          </w:tcPr>
          <w:p w:rsidR="00555A84" w:rsidRPr="00872F2C" w:rsidRDefault="00555A84" w:rsidP="004B3437">
            <w:pPr>
              <w:pStyle w:val="Table3Data"/>
              <w:widowControl/>
              <w:rPr>
                <w:vertAlign w:val="superscript"/>
              </w:rPr>
            </w:pPr>
            <w:r>
              <w:t>Death</w:t>
            </w:r>
            <w:r>
              <w:rPr>
                <w:vertAlign w:val="superscript"/>
              </w:rPr>
              <w:t>5</w:t>
            </w:r>
          </w:p>
        </w:tc>
        <w:tc>
          <w:tcPr>
            <w:tcW w:w="2430" w:type="dxa"/>
            <w:tcBorders>
              <w:top w:val="nil"/>
              <w:left w:val="nil"/>
              <w:bottom w:val="nil"/>
              <w:right w:val="nil"/>
            </w:tcBorders>
          </w:tcPr>
          <w:p w:rsidR="00555A84" w:rsidRDefault="00555A84" w:rsidP="004B3437">
            <w:pPr>
              <w:pStyle w:val="Table3Data"/>
              <w:widowControl/>
            </w:pPr>
            <w:r>
              <w:t>Vest fully</w:t>
            </w:r>
          </w:p>
        </w:tc>
        <w:tc>
          <w:tcPr>
            <w:tcW w:w="1890" w:type="dxa"/>
            <w:tcBorders>
              <w:top w:val="nil"/>
              <w:left w:val="nil"/>
              <w:bottom w:val="nil"/>
              <w:right w:val="nil"/>
            </w:tcBorders>
          </w:tcPr>
          <w:p w:rsidR="00555A84" w:rsidRDefault="00555A84" w:rsidP="004B3437">
            <w:pPr>
              <w:pStyle w:val="Table3Data"/>
              <w:widowControl/>
              <w:jc w:val="center"/>
            </w:pPr>
            <w:r>
              <w:t>3 years</w:t>
            </w:r>
          </w:p>
        </w:tc>
        <w:tc>
          <w:tcPr>
            <w:tcW w:w="1890" w:type="dxa"/>
            <w:tcBorders>
              <w:top w:val="nil"/>
              <w:left w:val="nil"/>
              <w:bottom w:val="nil"/>
              <w:right w:val="nil"/>
            </w:tcBorders>
          </w:tcPr>
          <w:p w:rsidR="00555A84" w:rsidRDefault="00555A84" w:rsidP="004B3437">
            <w:pPr>
              <w:pStyle w:val="Table3Data"/>
              <w:widowControl/>
              <w:jc w:val="center"/>
            </w:pPr>
            <w:r>
              <w:t>No</w:t>
            </w:r>
          </w:p>
        </w:tc>
      </w:tr>
      <w:tr w:rsidR="00555A84" w:rsidTr="004B3437">
        <w:trPr>
          <w:cantSplit/>
          <w:trHeight w:val="360"/>
        </w:trPr>
        <w:tc>
          <w:tcPr>
            <w:tcW w:w="3053" w:type="dxa"/>
            <w:tcBorders>
              <w:top w:val="nil"/>
              <w:left w:val="nil"/>
              <w:bottom w:val="nil"/>
              <w:right w:val="nil"/>
            </w:tcBorders>
          </w:tcPr>
          <w:p w:rsidR="00555A84" w:rsidRDefault="00555A84" w:rsidP="004B3437">
            <w:pPr>
              <w:pStyle w:val="Table3Data"/>
              <w:widowControl/>
            </w:pPr>
            <w:r>
              <w:t>Any other type of termination not</w:t>
            </w:r>
          </w:p>
          <w:p w:rsidR="00555A84" w:rsidRDefault="00555A84" w:rsidP="004B3437">
            <w:pPr>
              <w:pStyle w:val="Table3Data"/>
              <w:widowControl/>
            </w:pPr>
            <w:r>
              <w:t>for cause</w:t>
            </w:r>
            <w:r>
              <w:rPr>
                <w:vertAlign w:val="superscript"/>
              </w:rPr>
              <w:t>6</w:t>
            </w:r>
          </w:p>
        </w:tc>
        <w:tc>
          <w:tcPr>
            <w:tcW w:w="2430" w:type="dxa"/>
            <w:tcBorders>
              <w:top w:val="nil"/>
              <w:left w:val="nil"/>
              <w:bottom w:val="nil"/>
              <w:right w:val="nil"/>
            </w:tcBorders>
          </w:tcPr>
          <w:p w:rsidR="00555A84" w:rsidRDefault="00555A84" w:rsidP="004B3437">
            <w:pPr>
              <w:pStyle w:val="Table3Data"/>
              <w:widowControl/>
            </w:pPr>
            <w:r>
              <w:t>Forfeited</w:t>
            </w:r>
          </w:p>
        </w:tc>
        <w:tc>
          <w:tcPr>
            <w:tcW w:w="1890" w:type="dxa"/>
            <w:tcBorders>
              <w:top w:val="nil"/>
              <w:left w:val="nil"/>
              <w:bottom w:val="nil"/>
              <w:right w:val="nil"/>
            </w:tcBorders>
          </w:tcPr>
          <w:p w:rsidR="00555A84" w:rsidRDefault="00555A84" w:rsidP="004B3437">
            <w:pPr>
              <w:pStyle w:val="Table3Data"/>
              <w:widowControl/>
              <w:jc w:val="center"/>
            </w:pPr>
            <w:r>
              <w:t xml:space="preserve">90 days </w:t>
            </w:r>
          </w:p>
        </w:tc>
        <w:tc>
          <w:tcPr>
            <w:tcW w:w="1890" w:type="dxa"/>
            <w:tcBorders>
              <w:top w:val="nil"/>
              <w:left w:val="nil"/>
              <w:bottom w:val="nil"/>
              <w:right w:val="nil"/>
            </w:tcBorders>
          </w:tcPr>
          <w:p w:rsidR="00555A84" w:rsidRDefault="00555A84" w:rsidP="004B3437">
            <w:pPr>
              <w:pStyle w:val="Table3Data"/>
              <w:widowControl/>
              <w:jc w:val="center"/>
            </w:pPr>
            <w:r>
              <w:t>No</w:t>
            </w:r>
          </w:p>
        </w:tc>
      </w:tr>
      <w:tr w:rsidR="00555A84" w:rsidTr="004B3437">
        <w:trPr>
          <w:cantSplit/>
          <w:trHeight w:val="360"/>
        </w:trPr>
        <w:tc>
          <w:tcPr>
            <w:tcW w:w="3053" w:type="dxa"/>
            <w:tcBorders>
              <w:top w:val="nil"/>
              <w:left w:val="nil"/>
              <w:bottom w:val="nil"/>
              <w:right w:val="nil"/>
            </w:tcBorders>
          </w:tcPr>
          <w:p w:rsidR="00555A84" w:rsidRDefault="00555A84" w:rsidP="004B3437">
            <w:pPr>
              <w:pStyle w:val="Table3Data"/>
              <w:widowControl/>
            </w:pPr>
            <w:r>
              <w:t xml:space="preserve">Any termination for cause </w:t>
            </w:r>
            <w:r>
              <w:rPr>
                <w:vertAlign w:val="superscript"/>
              </w:rPr>
              <w:t>6/7</w:t>
            </w:r>
          </w:p>
        </w:tc>
        <w:tc>
          <w:tcPr>
            <w:tcW w:w="2430" w:type="dxa"/>
            <w:tcBorders>
              <w:top w:val="nil"/>
              <w:left w:val="nil"/>
              <w:bottom w:val="nil"/>
              <w:right w:val="nil"/>
            </w:tcBorders>
          </w:tcPr>
          <w:p w:rsidR="00555A84" w:rsidRDefault="00555A84" w:rsidP="004B3437">
            <w:pPr>
              <w:pStyle w:val="Table3Data"/>
              <w:widowControl/>
            </w:pPr>
            <w:r>
              <w:t>Forfeited</w:t>
            </w:r>
          </w:p>
        </w:tc>
        <w:tc>
          <w:tcPr>
            <w:tcW w:w="1890" w:type="dxa"/>
            <w:tcBorders>
              <w:top w:val="nil"/>
              <w:left w:val="nil"/>
              <w:bottom w:val="nil"/>
              <w:right w:val="nil"/>
            </w:tcBorders>
          </w:tcPr>
          <w:p w:rsidR="00555A84" w:rsidRDefault="00555A84" w:rsidP="004B3437">
            <w:pPr>
              <w:pStyle w:val="Table3Data"/>
              <w:widowControl/>
              <w:jc w:val="center"/>
            </w:pPr>
            <w:r>
              <w:t xml:space="preserve">Forfeited </w:t>
            </w:r>
          </w:p>
        </w:tc>
        <w:tc>
          <w:tcPr>
            <w:tcW w:w="1890" w:type="dxa"/>
            <w:tcBorders>
              <w:top w:val="nil"/>
              <w:left w:val="nil"/>
              <w:bottom w:val="nil"/>
              <w:right w:val="nil"/>
            </w:tcBorders>
          </w:tcPr>
          <w:p w:rsidR="00555A84" w:rsidRDefault="00555A84" w:rsidP="004B3437">
            <w:pPr>
              <w:pStyle w:val="Table3Data"/>
              <w:widowControl/>
              <w:jc w:val="center"/>
            </w:pPr>
            <w:r>
              <w:t>No</w:t>
            </w:r>
          </w:p>
        </w:tc>
      </w:tr>
      <w:tr w:rsidR="00555A84" w:rsidTr="004B3437">
        <w:trPr>
          <w:cantSplit/>
          <w:trHeight w:val="360"/>
        </w:trPr>
        <w:tc>
          <w:tcPr>
            <w:tcW w:w="3053" w:type="dxa"/>
            <w:tcBorders>
              <w:top w:val="nil"/>
              <w:left w:val="nil"/>
              <w:bottom w:val="nil"/>
              <w:right w:val="nil"/>
            </w:tcBorders>
          </w:tcPr>
          <w:p w:rsidR="00555A84" w:rsidRDefault="00555A84" w:rsidP="004B3437">
            <w:pPr>
              <w:pStyle w:val="Table3Data"/>
              <w:widowControl/>
            </w:pPr>
            <w:r>
              <w:t xml:space="preserve">Paid Leave of absence </w:t>
            </w:r>
          </w:p>
        </w:tc>
        <w:tc>
          <w:tcPr>
            <w:tcW w:w="2430" w:type="dxa"/>
            <w:tcBorders>
              <w:top w:val="nil"/>
              <w:left w:val="nil"/>
              <w:bottom w:val="nil"/>
              <w:right w:val="nil"/>
            </w:tcBorders>
          </w:tcPr>
          <w:p w:rsidR="00555A84" w:rsidRDefault="00555A84" w:rsidP="004B3437">
            <w:pPr>
              <w:pStyle w:val="Table3Data"/>
              <w:widowControl/>
            </w:pPr>
            <w:r>
              <w:t>Treated as still employed</w:t>
            </w:r>
          </w:p>
        </w:tc>
        <w:tc>
          <w:tcPr>
            <w:tcW w:w="1890" w:type="dxa"/>
            <w:tcBorders>
              <w:top w:val="nil"/>
              <w:left w:val="nil"/>
              <w:bottom w:val="nil"/>
              <w:right w:val="nil"/>
            </w:tcBorders>
          </w:tcPr>
          <w:p w:rsidR="00555A84" w:rsidRDefault="00555A84" w:rsidP="004B3437">
            <w:pPr>
              <w:pStyle w:val="Table3Data"/>
              <w:widowControl/>
              <w:jc w:val="center"/>
            </w:pPr>
            <w:r>
              <w:t>No change</w:t>
            </w:r>
          </w:p>
        </w:tc>
        <w:tc>
          <w:tcPr>
            <w:tcW w:w="1890" w:type="dxa"/>
            <w:tcBorders>
              <w:top w:val="nil"/>
              <w:left w:val="nil"/>
              <w:bottom w:val="nil"/>
              <w:right w:val="nil"/>
            </w:tcBorders>
          </w:tcPr>
          <w:p w:rsidR="00555A84" w:rsidRDefault="00555A84" w:rsidP="004B3437">
            <w:pPr>
              <w:pStyle w:val="Table3Data"/>
              <w:widowControl/>
              <w:jc w:val="center"/>
            </w:pPr>
            <w:r>
              <w:t>Yes</w:t>
            </w:r>
          </w:p>
        </w:tc>
      </w:tr>
      <w:tr w:rsidR="00555A84" w:rsidTr="004B3437">
        <w:trPr>
          <w:cantSplit/>
          <w:trHeight w:val="360"/>
        </w:trPr>
        <w:tc>
          <w:tcPr>
            <w:tcW w:w="3053" w:type="dxa"/>
            <w:tcBorders>
              <w:top w:val="nil"/>
              <w:left w:val="nil"/>
              <w:bottom w:val="nil"/>
              <w:right w:val="nil"/>
            </w:tcBorders>
          </w:tcPr>
          <w:p w:rsidR="00555A84" w:rsidRDefault="00555A84" w:rsidP="004B3437">
            <w:pPr>
              <w:pStyle w:val="Table3Data"/>
              <w:widowControl/>
            </w:pPr>
            <w:r>
              <w:t>Military Leave of Absence</w:t>
            </w:r>
          </w:p>
        </w:tc>
        <w:tc>
          <w:tcPr>
            <w:tcW w:w="2430" w:type="dxa"/>
            <w:tcBorders>
              <w:top w:val="nil"/>
              <w:left w:val="nil"/>
              <w:bottom w:val="nil"/>
              <w:right w:val="nil"/>
            </w:tcBorders>
          </w:tcPr>
          <w:p w:rsidR="00555A84" w:rsidRDefault="00555A84" w:rsidP="004B3437">
            <w:pPr>
              <w:pStyle w:val="Table3Data"/>
              <w:widowControl/>
            </w:pPr>
            <w:r>
              <w:t>Treated as still employed</w:t>
            </w:r>
          </w:p>
        </w:tc>
        <w:tc>
          <w:tcPr>
            <w:tcW w:w="1890" w:type="dxa"/>
            <w:tcBorders>
              <w:top w:val="nil"/>
              <w:left w:val="nil"/>
              <w:bottom w:val="nil"/>
              <w:right w:val="nil"/>
            </w:tcBorders>
          </w:tcPr>
          <w:p w:rsidR="00555A84" w:rsidRDefault="00555A84" w:rsidP="004B3437">
            <w:pPr>
              <w:pStyle w:val="Table3Data"/>
              <w:widowControl/>
              <w:jc w:val="center"/>
            </w:pPr>
            <w:r>
              <w:t>No change</w:t>
            </w:r>
          </w:p>
        </w:tc>
        <w:tc>
          <w:tcPr>
            <w:tcW w:w="1890" w:type="dxa"/>
            <w:tcBorders>
              <w:top w:val="nil"/>
              <w:left w:val="nil"/>
              <w:bottom w:val="nil"/>
              <w:right w:val="nil"/>
            </w:tcBorders>
          </w:tcPr>
          <w:p w:rsidR="00555A84" w:rsidRDefault="00555A84" w:rsidP="004B3437">
            <w:pPr>
              <w:pStyle w:val="Table3Data"/>
              <w:widowControl/>
              <w:jc w:val="center"/>
            </w:pPr>
            <w:r>
              <w:t>No</w:t>
            </w:r>
          </w:p>
        </w:tc>
      </w:tr>
      <w:tr w:rsidR="00555A84" w:rsidTr="004B3437">
        <w:trPr>
          <w:cantSplit/>
          <w:trHeight w:val="360"/>
        </w:trPr>
        <w:tc>
          <w:tcPr>
            <w:tcW w:w="3053" w:type="dxa"/>
            <w:tcBorders>
              <w:top w:val="nil"/>
              <w:left w:val="nil"/>
              <w:bottom w:val="nil"/>
              <w:right w:val="nil"/>
            </w:tcBorders>
          </w:tcPr>
          <w:p w:rsidR="00555A84" w:rsidRDefault="00555A84" w:rsidP="004B3437">
            <w:pPr>
              <w:pStyle w:val="Table3Data"/>
              <w:widowControl/>
            </w:pPr>
            <w:r>
              <w:t xml:space="preserve">Unpaid Leave of Absence or Disability </w:t>
            </w:r>
            <w:r>
              <w:rPr>
                <w:vertAlign w:val="superscript"/>
              </w:rPr>
              <w:t>2</w:t>
            </w:r>
          </w:p>
        </w:tc>
        <w:tc>
          <w:tcPr>
            <w:tcW w:w="2430" w:type="dxa"/>
            <w:tcBorders>
              <w:top w:val="nil"/>
              <w:left w:val="nil"/>
              <w:bottom w:val="nil"/>
              <w:right w:val="nil"/>
            </w:tcBorders>
          </w:tcPr>
          <w:p w:rsidR="00555A84" w:rsidRDefault="00555A84" w:rsidP="004B3437">
            <w:pPr>
              <w:pStyle w:val="Table3Data"/>
              <w:widowControl/>
            </w:pPr>
            <w:r>
              <w:t>Treated as still employed</w:t>
            </w:r>
          </w:p>
        </w:tc>
        <w:tc>
          <w:tcPr>
            <w:tcW w:w="1890" w:type="dxa"/>
            <w:tcBorders>
              <w:top w:val="nil"/>
              <w:left w:val="nil"/>
              <w:bottom w:val="nil"/>
              <w:right w:val="nil"/>
            </w:tcBorders>
          </w:tcPr>
          <w:p w:rsidR="00555A84" w:rsidRDefault="00555A84" w:rsidP="004B3437">
            <w:pPr>
              <w:pStyle w:val="Table3Data"/>
              <w:widowControl/>
              <w:jc w:val="center"/>
            </w:pPr>
            <w:r>
              <w:t>No change</w:t>
            </w:r>
          </w:p>
        </w:tc>
        <w:tc>
          <w:tcPr>
            <w:tcW w:w="1890" w:type="dxa"/>
            <w:tcBorders>
              <w:top w:val="nil"/>
              <w:left w:val="nil"/>
              <w:bottom w:val="nil"/>
              <w:right w:val="nil"/>
            </w:tcBorders>
          </w:tcPr>
          <w:p w:rsidR="00555A84" w:rsidRDefault="00555A84" w:rsidP="004B3437">
            <w:pPr>
              <w:pStyle w:val="Table3Data"/>
              <w:widowControl/>
              <w:jc w:val="center"/>
            </w:pPr>
            <w:r>
              <w:t>No</w:t>
            </w:r>
          </w:p>
        </w:tc>
      </w:tr>
      <w:tr w:rsidR="00555A84" w:rsidTr="004B3437">
        <w:trPr>
          <w:cantSplit/>
          <w:trHeight w:val="360"/>
        </w:trPr>
        <w:tc>
          <w:tcPr>
            <w:tcW w:w="3053" w:type="dxa"/>
            <w:tcBorders>
              <w:top w:val="nil"/>
              <w:left w:val="nil"/>
              <w:bottom w:val="single" w:sz="12" w:space="0" w:color="808080"/>
              <w:right w:val="nil"/>
            </w:tcBorders>
          </w:tcPr>
          <w:p w:rsidR="00555A84" w:rsidRDefault="00555A84" w:rsidP="004B3437">
            <w:pPr>
              <w:pStyle w:val="Table3Data"/>
              <w:widowControl/>
            </w:pPr>
            <w:r>
              <w:t>Demotion to Ineligible Position</w:t>
            </w:r>
          </w:p>
        </w:tc>
        <w:tc>
          <w:tcPr>
            <w:tcW w:w="2430" w:type="dxa"/>
            <w:tcBorders>
              <w:top w:val="nil"/>
              <w:left w:val="nil"/>
              <w:bottom w:val="single" w:sz="12" w:space="0" w:color="808080"/>
              <w:right w:val="nil"/>
            </w:tcBorders>
          </w:tcPr>
          <w:p w:rsidR="00555A84" w:rsidRDefault="00555A84" w:rsidP="004B3437">
            <w:pPr>
              <w:pStyle w:val="Table3Data"/>
              <w:widowControl/>
            </w:pPr>
            <w:r>
              <w:t>No change</w:t>
            </w:r>
          </w:p>
        </w:tc>
        <w:tc>
          <w:tcPr>
            <w:tcW w:w="1890" w:type="dxa"/>
            <w:tcBorders>
              <w:top w:val="nil"/>
              <w:left w:val="nil"/>
              <w:bottom w:val="single" w:sz="12" w:space="0" w:color="808080"/>
              <w:right w:val="nil"/>
            </w:tcBorders>
          </w:tcPr>
          <w:p w:rsidR="00555A84" w:rsidRDefault="00555A84" w:rsidP="004B3437">
            <w:pPr>
              <w:pStyle w:val="Table3Data"/>
              <w:widowControl/>
              <w:jc w:val="center"/>
            </w:pPr>
            <w:r>
              <w:t>No Change</w:t>
            </w:r>
          </w:p>
        </w:tc>
        <w:tc>
          <w:tcPr>
            <w:tcW w:w="1890" w:type="dxa"/>
            <w:tcBorders>
              <w:top w:val="nil"/>
              <w:left w:val="nil"/>
              <w:bottom w:val="single" w:sz="12" w:space="0" w:color="808080"/>
              <w:right w:val="nil"/>
            </w:tcBorders>
          </w:tcPr>
          <w:p w:rsidR="00555A84" w:rsidRDefault="00555A84" w:rsidP="004B3437">
            <w:pPr>
              <w:pStyle w:val="Table3Data"/>
              <w:widowControl/>
              <w:jc w:val="center"/>
            </w:pPr>
            <w:r>
              <w:t>No</w:t>
            </w:r>
          </w:p>
        </w:tc>
      </w:tr>
    </w:tbl>
    <w:p w:rsidR="00555A84" w:rsidRDefault="00555A84" w:rsidP="00555A84">
      <w:r>
        <w:rPr>
          <w:vertAlign w:val="superscript"/>
        </w:rPr>
        <w:t>1</w:t>
      </w:r>
      <w:r>
        <w:t xml:space="preserve"> In no event may exercise extend beyond the original term of the option.</w:t>
      </w:r>
      <w:r>
        <w:br/>
      </w:r>
      <w:r>
        <w:rPr>
          <w:vertAlign w:val="superscript"/>
        </w:rPr>
        <w:t xml:space="preserve">2 </w:t>
      </w:r>
      <w:r>
        <w:t>Per the Omnibus Plan, disability is defined under Southern Company’s governing long-term disability plan or, if no such plan exists, at the discretion of the Committee.</w:t>
      </w:r>
      <w:r>
        <w:br/>
      </w:r>
      <w:r>
        <w:rPr>
          <w:vertAlign w:val="superscript"/>
        </w:rPr>
        <w:t>3</w:t>
      </w:r>
      <w:r>
        <w:t xml:space="preserve"> Retirement is any allowed retirement under the Southern Company Pension Plan.  If the retiree dies within the 5 year period for exercise after date of termination, the executor will have 3 years to exercise from the date of death of the participant (subject to the expiration of the original term of the option).</w:t>
      </w:r>
    </w:p>
    <w:p w:rsidR="00555A84" w:rsidRPr="00872F2C" w:rsidRDefault="00555A84" w:rsidP="00555A84">
      <w:r>
        <w:rPr>
          <w:vertAlign w:val="superscript"/>
        </w:rPr>
        <w:t xml:space="preserve">4 </w:t>
      </w:r>
      <w:r>
        <w:t xml:space="preserve">Individual Award Agreements may provide that options are forfeited if the employee goes to work with a peer company. </w:t>
      </w:r>
    </w:p>
    <w:p w:rsidR="00555A84" w:rsidRDefault="00555A84" w:rsidP="00555A84">
      <w:r>
        <w:rPr>
          <w:vertAlign w:val="superscript"/>
        </w:rPr>
        <w:t>5</w:t>
      </w:r>
      <w:r>
        <w:t xml:space="preserve"> May be exercised by the administrator of the estate, the executor under the will, or the entity or individual to which the options have been transferred by such executor or administrator pursuant to the will or laws of intestate succession.</w:t>
      </w:r>
    </w:p>
    <w:p w:rsidR="00555A84" w:rsidRDefault="00555A84" w:rsidP="00555A84">
      <w:r>
        <w:rPr>
          <w:vertAlign w:val="superscript"/>
        </w:rPr>
        <w:t xml:space="preserve">6 </w:t>
      </w:r>
      <w:r>
        <w:t>The Committee will determine when a termination is related to “cause.”</w:t>
      </w:r>
    </w:p>
    <w:p w:rsidR="00555A84" w:rsidRDefault="00555A84" w:rsidP="00555A84">
      <w:r>
        <w:rPr>
          <w:vertAlign w:val="superscript"/>
        </w:rPr>
        <w:t>7</w:t>
      </w:r>
      <w:r>
        <w:t xml:space="preserve"> Any termination for cause includes any type of termination (including, but not limited to, a voluntary or involuntary resignation by a participant, a voluntary or involuntary termination by the company, a termination with severance, a participant’s retirement, or a participant’s termination because of a disability) if such termination is related to cause.</w:t>
      </w:r>
    </w:p>
    <w:p w:rsidR="00555A84" w:rsidRDefault="00555A84" w:rsidP="00555A84"/>
    <w:p w:rsidR="00555A84" w:rsidRPr="00120738" w:rsidRDefault="00555A84" w:rsidP="00555A84">
      <w:pPr>
        <w:rPr>
          <w:sz w:val="27"/>
          <w:szCs w:val="27"/>
        </w:rPr>
      </w:pPr>
      <w:r>
        <w:rPr>
          <w:b/>
          <w:sz w:val="27"/>
          <w:szCs w:val="27"/>
        </w:rPr>
        <w:t>Forfeiture of Options Because of Competition</w:t>
      </w:r>
    </w:p>
    <w:p w:rsidR="00555A84" w:rsidRDefault="00555A84" w:rsidP="00555A84">
      <w:pPr>
        <w:pStyle w:val="FootnoteText"/>
        <w:ind w:firstLine="0"/>
        <w:rPr>
          <w:sz w:val="22"/>
          <w:szCs w:val="22"/>
        </w:rPr>
      </w:pPr>
      <w:r>
        <w:rPr>
          <w:sz w:val="22"/>
          <w:szCs w:val="22"/>
        </w:rPr>
        <w:t>Effective with grants made in 2009, stock options or gains from exercise of stock options are subject to forfeiture if an executive officer becomes employed by a peer company within two years of Retirement.</w:t>
      </w:r>
    </w:p>
    <w:p w:rsidR="00555A84" w:rsidRDefault="00555A84" w:rsidP="00555A84"/>
    <w:p w:rsidR="00555A84" w:rsidRPr="00120738" w:rsidRDefault="00555A84" w:rsidP="00555A84">
      <w:pPr>
        <w:rPr>
          <w:sz w:val="27"/>
          <w:szCs w:val="27"/>
        </w:rPr>
      </w:pPr>
      <w:r>
        <w:rPr>
          <w:b/>
          <w:sz w:val="27"/>
          <w:szCs w:val="27"/>
        </w:rPr>
        <w:t xml:space="preserve">Failure to Make Grant </w:t>
      </w:r>
      <w:r w:rsidRPr="00CF70CF">
        <w:rPr>
          <w:b/>
          <w:sz w:val="27"/>
          <w:szCs w:val="27"/>
        </w:rPr>
        <w:t>of Options</w:t>
      </w:r>
      <w:r>
        <w:rPr>
          <w:b/>
          <w:sz w:val="27"/>
          <w:szCs w:val="27"/>
        </w:rPr>
        <w:t xml:space="preserve"> or Erroneous Grant of Options</w:t>
      </w:r>
    </w:p>
    <w:p w:rsidR="00555A84" w:rsidRDefault="00555A84" w:rsidP="00555A84">
      <w:r>
        <w:t>In the event the company determines that a participant has not been awarded an option otherwise due him (including failure to award the correct number of shares) and such determination is made after the end of the calendar year in which the option should have been granted, it is the company’s policy to only provide such participant with a cash award instead of an award of options.  The cash award is determined based upon the economic value of the option and any related PDP award.  Currently, the economic value is determined using the Black Scholes method.  However, the company may change its method for determining economic value at any time.  It is in the company’s sole discretion to determine when a participant should have been awarded an option and when and if to make a cash award.  The company may change this policy at any time.</w:t>
      </w:r>
    </w:p>
    <w:p w:rsidR="00555A84" w:rsidRDefault="00555A84" w:rsidP="00555A84"/>
    <w:p w:rsidR="00555A84" w:rsidRPr="00696532" w:rsidRDefault="00555A84" w:rsidP="00555A84">
      <w:pPr>
        <w:rPr>
          <w:szCs w:val="23"/>
        </w:rPr>
      </w:pPr>
      <w:r w:rsidRPr="00407E77">
        <w:rPr>
          <w:szCs w:val="23"/>
        </w:rPr>
        <w:t xml:space="preserve">In the event the </w:t>
      </w:r>
      <w:r>
        <w:rPr>
          <w:szCs w:val="23"/>
        </w:rPr>
        <w:t>c</w:t>
      </w:r>
      <w:r w:rsidRPr="00407E77">
        <w:rPr>
          <w:szCs w:val="23"/>
        </w:rPr>
        <w:t xml:space="preserve">ompany determines that a participant has been awarded an option in error (including an option for too many shares), </w:t>
      </w:r>
      <w:r>
        <w:rPr>
          <w:szCs w:val="23"/>
        </w:rPr>
        <w:t xml:space="preserve">it is the company’s policy to require that </w:t>
      </w:r>
      <w:r w:rsidRPr="00407E77">
        <w:rPr>
          <w:szCs w:val="23"/>
        </w:rPr>
        <w:t>the</w:t>
      </w:r>
      <w:r>
        <w:rPr>
          <w:szCs w:val="23"/>
        </w:rPr>
        <w:t xml:space="preserve"> option (or a portion of the option, if appropriate) be forfeited immediately.  The company may change this policy at any time.</w:t>
      </w:r>
    </w:p>
    <w:p w:rsidR="00555A84" w:rsidRDefault="00555A84" w:rsidP="00555A84"/>
    <w:p w:rsidR="00555A84" w:rsidRPr="007248FF" w:rsidRDefault="00555A84" w:rsidP="00555A84">
      <w:pPr>
        <w:pStyle w:val="Heading2"/>
      </w:pPr>
      <w:bookmarkStart w:id="3" w:name="_Toc48449822"/>
      <w:r>
        <w:t xml:space="preserve">Specific Terms and Conditions Applicable to All Optionholders </w:t>
      </w:r>
      <w:bookmarkEnd w:id="3"/>
    </w:p>
    <w:p w:rsidR="00555A84" w:rsidRDefault="00555A84" w:rsidP="00555A84"/>
    <w:p w:rsidR="00555A84" w:rsidRPr="007A1C33" w:rsidRDefault="00555A84" w:rsidP="00555A84">
      <w:pPr>
        <w:rPr>
          <w:i/>
          <w:szCs w:val="23"/>
        </w:rPr>
      </w:pPr>
      <w:r w:rsidRPr="007A1C33">
        <w:rPr>
          <w:i/>
          <w:szCs w:val="23"/>
        </w:rPr>
        <w:t xml:space="preserve">The following provisions are incorporated by reference into the terms of each </w:t>
      </w:r>
      <w:r>
        <w:rPr>
          <w:i/>
          <w:szCs w:val="23"/>
        </w:rPr>
        <w:t>A</w:t>
      </w:r>
      <w:r w:rsidRPr="007A1C33">
        <w:rPr>
          <w:i/>
          <w:szCs w:val="23"/>
        </w:rPr>
        <w:t xml:space="preserve">ward </w:t>
      </w:r>
      <w:r>
        <w:rPr>
          <w:i/>
          <w:szCs w:val="23"/>
        </w:rPr>
        <w:t>Ag</w:t>
      </w:r>
      <w:r w:rsidRPr="007A1C33">
        <w:rPr>
          <w:i/>
          <w:szCs w:val="23"/>
        </w:rPr>
        <w:t xml:space="preserve">reement granting </w:t>
      </w:r>
      <w:r>
        <w:rPr>
          <w:i/>
          <w:szCs w:val="23"/>
        </w:rPr>
        <w:t>Opt</w:t>
      </w:r>
      <w:r w:rsidRPr="007A1C33">
        <w:rPr>
          <w:i/>
          <w:szCs w:val="23"/>
        </w:rPr>
        <w:t>ions under the Omnibus Plan.</w:t>
      </w:r>
    </w:p>
    <w:p w:rsidR="00555A84" w:rsidRPr="007A1C33" w:rsidRDefault="00555A84" w:rsidP="00555A84">
      <w:pPr>
        <w:rPr>
          <w:i/>
        </w:rPr>
      </w:pPr>
    </w:p>
    <w:p w:rsidR="00555A84" w:rsidRPr="007248FF" w:rsidRDefault="00555A84" w:rsidP="00555A84">
      <w:pPr>
        <w:pStyle w:val="Heading1"/>
      </w:pPr>
      <w:r w:rsidRPr="007248FF">
        <w:t>Change in Control</w:t>
      </w:r>
    </w:p>
    <w:p w:rsidR="00555A84" w:rsidRPr="007248FF" w:rsidRDefault="00555A84" w:rsidP="00555A84">
      <w:pPr>
        <w:pStyle w:val="NormalDS"/>
        <w:widowControl/>
        <w:rPr>
          <w:b/>
        </w:rPr>
      </w:pPr>
      <w:r>
        <w:t xml:space="preserve">In the event of a change in control, an </w:t>
      </w:r>
      <w:proofErr w:type="spellStart"/>
      <w:r>
        <w:t>Optionholder’s</w:t>
      </w:r>
      <w:proofErr w:type="spellEnd"/>
      <w:r>
        <w:t xml:space="preserve"> rights related to any Options will be governed by the Southern Company Change-in-Control Benefits Protection Plan and any applicable change-in-control severance plans and agreements.</w:t>
      </w:r>
    </w:p>
    <w:p w:rsidR="00555A84" w:rsidRPr="007248FF" w:rsidRDefault="00555A84" w:rsidP="00555A84">
      <w:pPr>
        <w:pStyle w:val="Heading1"/>
      </w:pPr>
      <w:r w:rsidRPr="007248FF">
        <w:t>Taxes</w:t>
      </w:r>
      <w:r>
        <w:t xml:space="preserve"> and Withholding</w:t>
      </w:r>
    </w:p>
    <w:p w:rsidR="00555A84" w:rsidRDefault="00555A84" w:rsidP="00555A84">
      <w:pPr>
        <w:pStyle w:val="NormalDS"/>
        <w:widowControl/>
      </w:pPr>
      <w:r>
        <w:t xml:space="preserve">The </w:t>
      </w:r>
      <w:proofErr w:type="spellStart"/>
      <w:r>
        <w:t>Optionholder</w:t>
      </w:r>
      <w:proofErr w:type="spellEnd"/>
      <w:r>
        <w:t xml:space="preserve"> will be subject to taxation upon the exercise of any Options.  The </w:t>
      </w:r>
      <w:proofErr w:type="spellStart"/>
      <w:r>
        <w:t>Optionholder</w:t>
      </w:r>
      <w:proofErr w:type="spellEnd"/>
      <w:r>
        <w:t xml:space="preserve"> should contact a qualified tax advisor for a further discussion of these tax consequences.  The company may withhold any tax due on gains the </w:t>
      </w:r>
      <w:proofErr w:type="spellStart"/>
      <w:r>
        <w:t>Optionholder</w:t>
      </w:r>
      <w:proofErr w:type="spellEnd"/>
      <w:r>
        <w:t xml:space="preserve"> recognizes from any payment of compensation to the </w:t>
      </w:r>
      <w:proofErr w:type="spellStart"/>
      <w:r>
        <w:t>Optionholder</w:t>
      </w:r>
      <w:proofErr w:type="spellEnd"/>
      <w:r>
        <w:t>.</w:t>
      </w:r>
    </w:p>
    <w:p w:rsidR="00555A84" w:rsidRPr="007248FF" w:rsidRDefault="00555A84" w:rsidP="00555A84">
      <w:pPr>
        <w:pStyle w:val="Heading1"/>
      </w:pPr>
      <w:r w:rsidRPr="007248FF">
        <w:t>Requirements of Law</w:t>
      </w:r>
    </w:p>
    <w:p w:rsidR="00555A84" w:rsidRDefault="00555A84" w:rsidP="00555A84">
      <w:pPr>
        <w:pStyle w:val="NormalDS"/>
        <w:widowControl/>
      </w:pPr>
      <w:r>
        <w:t>The granting of Options and the issuance of Common Stock under the Plan will be subject to all applicable laws, rules, and regulations, and to such approvals by any governmental agencies or national securities exchanges as may be required.</w:t>
      </w:r>
    </w:p>
    <w:p w:rsidR="00555A84" w:rsidRPr="007248FF" w:rsidRDefault="00555A84" w:rsidP="00555A84">
      <w:pPr>
        <w:pStyle w:val="Heading1"/>
      </w:pPr>
      <w:r w:rsidRPr="007248FF">
        <w:t>Inability to Obtain Authorization</w:t>
      </w:r>
    </w:p>
    <w:p w:rsidR="00555A84" w:rsidRDefault="00555A84" w:rsidP="00555A84">
      <w:pPr>
        <w:pStyle w:val="NormalDS"/>
        <w:widowControl/>
      </w:pPr>
      <w:r>
        <w:rPr>
          <w:snapToGrid w:val="0"/>
        </w:rPr>
        <w:t xml:space="preserve">The inability of the company to obtain </w:t>
      </w:r>
      <w:r>
        <w:t xml:space="preserve">authority from any regulatory body having jurisdiction, which authority is deemed by the company’s </w:t>
      </w:r>
      <w:r>
        <w:rPr>
          <w:snapToGrid w:val="0"/>
        </w:rPr>
        <w:t>counsel to be necessary to the lawful issuance and sale of any Common Stock hereunder, will relieve the company of any liability in respect of the failure to issue or sell such Common Stock as to which such requisite authority will not have been obtained.</w:t>
      </w:r>
    </w:p>
    <w:p w:rsidR="00555A84" w:rsidRPr="007248FF" w:rsidRDefault="00555A84" w:rsidP="00555A84">
      <w:pPr>
        <w:pStyle w:val="Heading1"/>
      </w:pPr>
      <w:r w:rsidRPr="007248FF">
        <w:rPr>
          <w:snapToGrid w:val="0"/>
        </w:rPr>
        <w:t>Applicable Laws</w:t>
      </w:r>
    </w:p>
    <w:p w:rsidR="00555A84" w:rsidRPr="00CB2220" w:rsidRDefault="00555A84" w:rsidP="00555A84">
      <w:pPr>
        <w:pStyle w:val="NormalDS"/>
        <w:widowControl/>
        <w:rPr>
          <w:b/>
          <w:snapToGrid w:val="0"/>
        </w:rPr>
      </w:pPr>
      <w:r>
        <w:rPr>
          <w:snapToGrid w:val="0"/>
        </w:rPr>
        <w:t xml:space="preserve">The validity, construction, interpretation, and enforceability of the Plan and Award Agreement will be determined and governed by the laws of the state of </w:t>
      </w:r>
      <w:smartTag w:uri="urn:schemas-microsoft-com:office:smarttags" w:element="place">
        <w:smartTag w:uri="urn:schemas-microsoft-com:office:smarttags" w:element="State">
          <w:r>
            <w:rPr>
              <w:snapToGrid w:val="0"/>
            </w:rPr>
            <w:t>Delaware</w:t>
          </w:r>
        </w:smartTag>
      </w:smartTag>
      <w:r>
        <w:rPr>
          <w:snapToGrid w:val="0"/>
        </w:rPr>
        <w:t xml:space="preserve"> without giving effect to the principles of conflicts of law. For the purpose of litigating any dispute that arises under the Plan or Award Agreement, such litigation shall be conducted in the federal or state courts of the state of </w:t>
      </w:r>
      <w:smartTag w:uri="urn:schemas-microsoft-com:office:smarttags" w:element="State">
        <w:r>
          <w:rPr>
            <w:snapToGrid w:val="0"/>
          </w:rPr>
          <w:t>Delaware</w:t>
        </w:r>
      </w:smartTag>
      <w:r>
        <w:rPr>
          <w:snapToGrid w:val="0"/>
        </w:rPr>
        <w:t xml:space="preserve">, </w:t>
      </w:r>
      <w:smartTag w:uri="urn:schemas-microsoft-com:office:smarttags" w:element="place">
        <w:smartTag w:uri="urn:schemas-microsoft-com:office:smarttags" w:element="PlaceType">
          <w:r>
            <w:rPr>
              <w:snapToGrid w:val="0"/>
            </w:rPr>
            <w:t>county</w:t>
          </w:r>
        </w:smartTag>
        <w:r>
          <w:rPr>
            <w:snapToGrid w:val="0"/>
          </w:rPr>
          <w:t xml:space="preserve"> of </w:t>
        </w:r>
        <w:smartTag w:uri="urn:schemas-microsoft-com:office:smarttags" w:element="PlaceName">
          <w:smartTag w:uri="urn:schemas-microsoft-com:office:smarttags" w:element="time">
            <w:r>
              <w:rPr>
                <w:snapToGrid w:val="0"/>
              </w:rPr>
              <w:t>New Castle</w:t>
            </w:r>
          </w:smartTag>
        </w:smartTag>
      </w:smartTag>
      <w:r>
        <w:rPr>
          <w:snapToGrid w:val="0"/>
        </w:rPr>
        <w:t>.</w:t>
      </w:r>
    </w:p>
    <w:p w:rsidR="00555A84" w:rsidRPr="00E87FB0" w:rsidRDefault="00555A84" w:rsidP="00555A84">
      <w:pPr>
        <w:pStyle w:val="Heading1"/>
      </w:pPr>
      <w:r w:rsidRPr="00E87FB0">
        <w:lastRenderedPageBreak/>
        <w:t>Not an Employment Agreement</w:t>
      </w:r>
    </w:p>
    <w:p w:rsidR="00555A84" w:rsidRDefault="00555A84" w:rsidP="00555A84">
      <w:pPr>
        <w:pStyle w:val="NormalDS"/>
        <w:widowControl/>
      </w:pPr>
      <w:r>
        <w:t xml:space="preserve">Neither the Award Agreement nor any benefits arising under the Plan constitute part of an employment contract between the </w:t>
      </w:r>
      <w:proofErr w:type="spellStart"/>
      <w:r>
        <w:t>Optionholder</w:t>
      </w:r>
      <w:proofErr w:type="spellEnd"/>
      <w:r>
        <w:t xml:space="preserve"> or Southern Company or the company or any subsidiary or affiliate.  Nothing in the Plan or Award Agreement will interfere with or limit in any way the right of the company to terminate an </w:t>
      </w:r>
      <w:proofErr w:type="spellStart"/>
      <w:r>
        <w:t>Optionholder’s</w:t>
      </w:r>
      <w:proofErr w:type="spellEnd"/>
      <w:r>
        <w:t xml:space="preserve"> employment at any time or confer upon the </w:t>
      </w:r>
      <w:proofErr w:type="spellStart"/>
      <w:r>
        <w:t>Optionholder</w:t>
      </w:r>
      <w:proofErr w:type="spellEnd"/>
      <w:r>
        <w:t xml:space="preserve"> any right of continued employment with the company.  No employment rights are created by the granting or holding of stock options.</w:t>
      </w:r>
    </w:p>
    <w:p w:rsidR="00555A84" w:rsidRDefault="00555A84" w:rsidP="00555A84">
      <w:pPr>
        <w:pStyle w:val="Heading1"/>
      </w:pPr>
      <w:r>
        <w:t>Service of Process</w:t>
      </w:r>
    </w:p>
    <w:p w:rsidR="00555A84" w:rsidRDefault="00555A84" w:rsidP="00555A84">
      <w:r>
        <w:t>The Senior Vice President, Human Resources and Chief Diversity Officer, is the agent for service of process for the Omnibus Plan.</w:t>
      </w:r>
    </w:p>
    <w:p w:rsidR="00555A84" w:rsidRDefault="00555A84" w:rsidP="0067601C">
      <w:pPr>
        <w:rPr>
          <w:rFonts w:ascii="Arial" w:hAnsi="Arial"/>
          <w:b/>
          <w:sz w:val="24"/>
          <w:szCs w:val="24"/>
        </w:rPr>
      </w:pPr>
    </w:p>
    <w:p w:rsidR="00555A84" w:rsidRDefault="00555A84" w:rsidP="00555A84">
      <w:pPr>
        <w:pStyle w:val="MainTitle2Lne"/>
        <w:widowControl/>
      </w:pPr>
      <w:r>
        <w:lastRenderedPageBreak/>
        <w:t>Performance Share Program</w:t>
      </w:r>
      <w:r>
        <w:rPr>
          <w:sz w:val="44"/>
        </w:rPr>
        <w:br/>
      </w:r>
      <w:r>
        <w:t>Design Details</w:t>
      </w:r>
    </w:p>
    <w:p w:rsidR="00555A84" w:rsidRDefault="00555A84" w:rsidP="00555A84">
      <w:pPr>
        <w:pStyle w:val="MainTitleRule"/>
        <w:widowControl/>
      </w:pPr>
    </w:p>
    <w:p w:rsidR="00555A84" w:rsidRDefault="00555A84" w:rsidP="00555A84">
      <w:pPr>
        <w:pStyle w:val="Heading1"/>
      </w:pPr>
      <w:r>
        <w:t>Program Concept</w:t>
      </w:r>
    </w:p>
    <w:p w:rsidR="00555A84" w:rsidRDefault="00555A84" w:rsidP="00555A84">
      <w:pPr>
        <w:pStyle w:val="NormalDS"/>
        <w:widowControl/>
      </w:pPr>
      <w:r>
        <w:t>A target number of share units are granted to a participant and paid out in Southern Company common stock after the end of a three-year performance period.  The value of the units is based on the performance of the Southern Company Total Shareholder Return (“TSR”) over a three-year performance period relative to the TSR of its industry peers.  These share units are referred to as “Performance Shares.”  No actual shares of Southern Company common stock are issued to, or otherwise set aside for, the participant at the time of grant.</w:t>
      </w:r>
    </w:p>
    <w:p w:rsidR="00555A84" w:rsidRDefault="00555A84" w:rsidP="00555A84">
      <w:pPr>
        <w:pStyle w:val="NormalDS"/>
        <w:widowControl/>
      </w:pPr>
      <w:r>
        <w:t xml:space="preserve">The participant can earn from 0% to 200% of the target Performance Shares depending on Southern Company’s three-year TSR relative to its industry peers.  Based upon Southern Company’s TSR, a certain number of shares of Southern Company common stock (which may be below or above the original target number of Performance Shares) will be paid out to the participant after the end of the performance period.  As a result, the ultimate value of the Performance Shares award rises and falls with Southern Company’s common stock during the performance period and </w:t>
      </w:r>
      <w:proofErr w:type="gramStart"/>
      <w:r>
        <w:t>its</w:t>
      </w:r>
      <w:proofErr w:type="gramEnd"/>
      <w:r>
        <w:t xml:space="preserve"> TSR relative to its peers during that same period.</w:t>
      </w:r>
    </w:p>
    <w:p w:rsidR="00555A84" w:rsidRDefault="00555A84" w:rsidP="00555A84">
      <w:pPr>
        <w:pStyle w:val="NormalDS"/>
        <w:widowControl/>
      </w:pPr>
      <w:r>
        <w:t xml:space="preserve">Although dividends are paid on common stock by Southern Company during the three-year performance period and included in the definition of TSR, there are no dividends or dividend equivalents paid or earned </w:t>
      </w:r>
      <w:proofErr w:type="gramStart"/>
      <w:r>
        <w:t>on,</w:t>
      </w:r>
      <w:proofErr w:type="gramEnd"/>
      <w:r>
        <w:t xml:space="preserve"> or otherwise attributable to, Performance Shares or any ultimate payout in Southern Company common stock.</w:t>
      </w:r>
    </w:p>
    <w:p w:rsidR="00555A84" w:rsidRDefault="00555A84" w:rsidP="00555A84">
      <w:pPr>
        <w:pStyle w:val="NormalDS"/>
        <w:widowControl/>
      </w:pPr>
      <w:r>
        <w:t>The Performance Share Program (“PSP”) is governed by the Omnibus Incentive Compensation Plan (“Omnibus Plan”), as amended from time to time.  The Omnibus Plan is administered by the Compensation and Management Succession Committee of the Board of Directors of Southern Company (the “Committee”).</w:t>
      </w:r>
    </w:p>
    <w:p w:rsidR="00555A84" w:rsidRDefault="00555A84" w:rsidP="00555A84">
      <w:pPr>
        <w:pStyle w:val="NormalDS"/>
        <w:widowControl/>
      </w:pPr>
      <w:r>
        <w:t>These Design Details describe the various components of PSP awards.  These Design Details and any other administrative documents may be amended at any time by the Committee.</w:t>
      </w:r>
    </w:p>
    <w:p w:rsidR="00555A84" w:rsidRDefault="00555A84" w:rsidP="00555A84">
      <w:pPr>
        <w:pStyle w:val="Heading1"/>
      </w:pPr>
      <w:r>
        <w:t>Eligibility</w:t>
      </w:r>
    </w:p>
    <w:p w:rsidR="00555A84" w:rsidRDefault="00555A84" w:rsidP="00555A84">
      <w:pPr>
        <w:pStyle w:val="NormalDS"/>
        <w:widowControl/>
      </w:pPr>
      <w:r>
        <w:t>Exempt employees who are employed by Southern Company, or a subsidiary of Southern Company, in exempt salary grades 7 through CEO and who are employed on the date of the grant date and date of the annual merit increase adjustment in the year of grant are eligible for PSP.</w:t>
      </w:r>
      <w:r>
        <w:rPr>
          <w:rStyle w:val="FootnoteReference"/>
        </w:rPr>
        <w:footnoteReference w:id="9"/>
      </w:r>
    </w:p>
    <w:p w:rsidR="00555A84" w:rsidRDefault="00555A84" w:rsidP="00555A84">
      <w:r>
        <w:t>Performance Shares are not currently granted to employees who fall within the following groups (even if the employees’ classification within a group is determined to have been incorrect):</w:t>
      </w:r>
    </w:p>
    <w:p w:rsidR="00555A84" w:rsidRDefault="00555A84" w:rsidP="00555A84">
      <w:pPr>
        <w:rPr>
          <w:i/>
        </w:rPr>
      </w:pPr>
    </w:p>
    <w:p w:rsidR="00555A84" w:rsidRPr="00645CCB" w:rsidRDefault="00555A84" w:rsidP="00555A84">
      <w:pPr>
        <w:pStyle w:val="BulletDS"/>
        <w:widowControl/>
        <w:numPr>
          <w:ilvl w:val="0"/>
          <w:numId w:val="17"/>
        </w:numPr>
      </w:pPr>
      <w:r w:rsidRPr="00645CCB">
        <w:t>Outside directors</w:t>
      </w:r>
    </w:p>
    <w:p w:rsidR="00555A84" w:rsidRPr="00645CCB" w:rsidRDefault="00555A84" w:rsidP="00555A84">
      <w:pPr>
        <w:pStyle w:val="BulletDS"/>
        <w:widowControl/>
        <w:numPr>
          <w:ilvl w:val="0"/>
          <w:numId w:val="18"/>
        </w:numPr>
      </w:pPr>
      <w:r w:rsidRPr="00645CCB">
        <w:t>Non-exempt employees</w:t>
      </w:r>
    </w:p>
    <w:p w:rsidR="00555A84" w:rsidRPr="00645CCB" w:rsidRDefault="00555A84" w:rsidP="00555A84">
      <w:pPr>
        <w:pStyle w:val="BulletDS"/>
        <w:widowControl/>
        <w:numPr>
          <w:ilvl w:val="0"/>
          <w:numId w:val="19"/>
        </w:numPr>
      </w:pPr>
      <w:r w:rsidRPr="00645CCB">
        <w:lastRenderedPageBreak/>
        <w:t xml:space="preserve">Exempt employees in </w:t>
      </w:r>
      <w:r>
        <w:t xml:space="preserve">salary </w:t>
      </w:r>
      <w:r w:rsidRPr="00645CCB">
        <w:t xml:space="preserve">grades </w:t>
      </w:r>
      <w:r>
        <w:t>6</w:t>
      </w:r>
      <w:r w:rsidRPr="00645CCB">
        <w:t xml:space="preserve"> or below</w:t>
      </w:r>
    </w:p>
    <w:p w:rsidR="00555A84" w:rsidRPr="00645CCB" w:rsidRDefault="00555A84" w:rsidP="00555A84">
      <w:pPr>
        <w:pStyle w:val="BulletDS"/>
        <w:widowControl/>
        <w:numPr>
          <w:ilvl w:val="0"/>
          <w:numId w:val="20"/>
        </w:numPr>
      </w:pPr>
      <w:r w:rsidRPr="00645CCB">
        <w:t xml:space="preserve">Bargaining </w:t>
      </w:r>
      <w:r>
        <w:t>u</w:t>
      </w:r>
      <w:r w:rsidRPr="00645CCB">
        <w:t xml:space="preserve">nit </w:t>
      </w:r>
      <w:r>
        <w:t>e</w:t>
      </w:r>
      <w:r w:rsidRPr="00645CCB">
        <w:t>mployees</w:t>
      </w:r>
    </w:p>
    <w:p w:rsidR="00555A84" w:rsidRPr="00645CCB" w:rsidRDefault="00555A84" w:rsidP="00555A84">
      <w:pPr>
        <w:pStyle w:val="BulletDS"/>
        <w:widowControl/>
        <w:numPr>
          <w:ilvl w:val="0"/>
          <w:numId w:val="21"/>
        </w:numPr>
      </w:pPr>
      <w:r w:rsidRPr="00645CCB">
        <w:t>Independent contractors</w:t>
      </w:r>
    </w:p>
    <w:p w:rsidR="00555A84" w:rsidRPr="00645CCB" w:rsidRDefault="00555A84" w:rsidP="00555A84">
      <w:pPr>
        <w:pStyle w:val="BulletDS"/>
        <w:widowControl/>
        <w:numPr>
          <w:ilvl w:val="0"/>
          <w:numId w:val="21"/>
        </w:numPr>
      </w:pPr>
      <w:r w:rsidRPr="00645CCB">
        <w:t>Leased employees</w:t>
      </w:r>
    </w:p>
    <w:p w:rsidR="00555A84" w:rsidRPr="00645CCB" w:rsidRDefault="00555A84" w:rsidP="00555A84">
      <w:pPr>
        <w:pStyle w:val="BulletDS"/>
        <w:widowControl/>
        <w:numPr>
          <w:ilvl w:val="0"/>
          <w:numId w:val="22"/>
        </w:numPr>
      </w:pPr>
      <w:r w:rsidRPr="00645CCB">
        <w:t>Co-ops</w:t>
      </w:r>
    </w:p>
    <w:p w:rsidR="00555A84" w:rsidRPr="00645CCB" w:rsidRDefault="00555A84" w:rsidP="00555A84">
      <w:pPr>
        <w:pStyle w:val="BulletDS"/>
        <w:widowControl/>
        <w:numPr>
          <w:ilvl w:val="0"/>
          <w:numId w:val="23"/>
        </w:numPr>
      </w:pPr>
      <w:r w:rsidRPr="00645CCB">
        <w:t>Interns</w:t>
      </w:r>
    </w:p>
    <w:p w:rsidR="00555A84" w:rsidRPr="00645CCB" w:rsidRDefault="00555A84" w:rsidP="00555A84">
      <w:pPr>
        <w:pStyle w:val="BulletDS"/>
        <w:widowControl/>
        <w:numPr>
          <w:ilvl w:val="0"/>
          <w:numId w:val="24"/>
        </w:numPr>
        <w:spacing w:after="120"/>
      </w:pPr>
      <w:r w:rsidRPr="00645CCB">
        <w:t>Temporary employees</w:t>
      </w:r>
    </w:p>
    <w:p w:rsidR="00555A84" w:rsidRDefault="00555A84" w:rsidP="00555A84">
      <w:pPr>
        <w:pStyle w:val="Heading1"/>
      </w:pPr>
      <w:r>
        <w:t>How Number of Performance Shares Are Determined</w:t>
      </w:r>
    </w:p>
    <w:p w:rsidR="00555A84" w:rsidRDefault="00555A84" w:rsidP="00555A84">
      <w:pPr>
        <w:pStyle w:val="NormalDS"/>
        <w:widowControl/>
        <w:spacing w:after="120"/>
      </w:pPr>
      <w:r>
        <w:t>The long term incentive target award value (“LTI Target Award”) is based on a percentage of base salary.  Forty percent (40%) of the LTI Target Award is used as part of the calculation to determine the number of stock options to be awarded.  The remaining sixty percent (60%) of the LTI Target Award is used as part of the calculation to determine the number of Performance Shares to be awarded.</w:t>
      </w:r>
    </w:p>
    <w:tbl>
      <w:tblPr>
        <w:tblStyle w:val="TableGrid"/>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2"/>
        <w:gridCol w:w="3192"/>
        <w:gridCol w:w="3192"/>
      </w:tblGrid>
      <w:tr w:rsidR="00555A84" w:rsidTr="004B3437">
        <w:tc>
          <w:tcPr>
            <w:tcW w:w="3192" w:type="dxa"/>
            <w:tcBorders>
              <w:top w:val="single" w:sz="18" w:space="0" w:color="auto"/>
              <w:bottom w:val="single" w:sz="2" w:space="0" w:color="auto"/>
            </w:tcBorders>
          </w:tcPr>
          <w:p w:rsidR="00555A84" w:rsidRDefault="00555A84" w:rsidP="004B3437">
            <w:pPr>
              <w:pStyle w:val="NormalDS"/>
              <w:widowControl/>
              <w:spacing w:after="0"/>
              <w:rPr>
                <w:b/>
                <w:sz w:val="20"/>
              </w:rPr>
            </w:pPr>
          </w:p>
          <w:p w:rsidR="00555A84" w:rsidRDefault="00555A84" w:rsidP="004B3437">
            <w:pPr>
              <w:pStyle w:val="NormalDS"/>
              <w:widowControl/>
              <w:spacing w:after="0"/>
              <w:rPr>
                <w:b/>
                <w:sz w:val="20"/>
              </w:rPr>
            </w:pPr>
            <w:r>
              <w:rPr>
                <w:b/>
                <w:sz w:val="20"/>
              </w:rPr>
              <w:t>Salary</w:t>
            </w:r>
          </w:p>
          <w:p w:rsidR="00555A84" w:rsidRDefault="00555A84" w:rsidP="004B3437">
            <w:pPr>
              <w:pStyle w:val="NormalDS"/>
              <w:widowControl/>
              <w:spacing w:after="0"/>
              <w:rPr>
                <w:b/>
                <w:sz w:val="20"/>
              </w:rPr>
            </w:pPr>
            <w:r>
              <w:rPr>
                <w:b/>
                <w:sz w:val="20"/>
              </w:rPr>
              <w:t>Grade</w:t>
            </w:r>
          </w:p>
        </w:tc>
        <w:tc>
          <w:tcPr>
            <w:tcW w:w="3192" w:type="dxa"/>
            <w:tcBorders>
              <w:top w:val="single" w:sz="18" w:space="0" w:color="auto"/>
              <w:bottom w:val="single" w:sz="2" w:space="0" w:color="auto"/>
            </w:tcBorders>
          </w:tcPr>
          <w:p w:rsidR="00555A84" w:rsidRDefault="00555A84" w:rsidP="004B3437">
            <w:pPr>
              <w:pStyle w:val="NormalDS"/>
              <w:widowControl/>
              <w:spacing w:after="0"/>
              <w:jc w:val="center"/>
              <w:rPr>
                <w:b/>
                <w:sz w:val="20"/>
              </w:rPr>
            </w:pPr>
            <w:r>
              <w:rPr>
                <w:b/>
                <w:sz w:val="20"/>
              </w:rPr>
              <w:t>Long Term Incentive</w:t>
            </w:r>
          </w:p>
          <w:p w:rsidR="00555A84" w:rsidRDefault="00555A84" w:rsidP="004B3437">
            <w:pPr>
              <w:pStyle w:val="NormalDS"/>
              <w:widowControl/>
              <w:spacing w:after="0"/>
              <w:jc w:val="center"/>
              <w:rPr>
                <w:b/>
                <w:sz w:val="20"/>
              </w:rPr>
            </w:pPr>
            <w:r>
              <w:rPr>
                <w:b/>
                <w:sz w:val="20"/>
              </w:rPr>
              <w:t>Target Award as</w:t>
            </w:r>
          </w:p>
          <w:p w:rsidR="00555A84" w:rsidRDefault="00555A84" w:rsidP="004B3437">
            <w:pPr>
              <w:pStyle w:val="NormalDS"/>
              <w:widowControl/>
              <w:spacing w:after="0"/>
              <w:jc w:val="center"/>
              <w:rPr>
                <w:b/>
                <w:sz w:val="20"/>
              </w:rPr>
            </w:pPr>
            <w:r>
              <w:rPr>
                <w:b/>
                <w:sz w:val="20"/>
              </w:rPr>
              <w:t>% of Base Salary</w:t>
            </w:r>
          </w:p>
        </w:tc>
        <w:tc>
          <w:tcPr>
            <w:tcW w:w="3192" w:type="dxa"/>
            <w:tcBorders>
              <w:top w:val="single" w:sz="18" w:space="0" w:color="auto"/>
              <w:bottom w:val="single" w:sz="2" w:space="0" w:color="auto"/>
            </w:tcBorders>
          </w:tcPr>
          <w:p w:rsidR="00555A84" w:rsidRDefault="00555A84" w:rsidP="004B3437">
            <w:pPr>
              <w:pStyle w:val="NormalDS"/>
              <w:widowControl/>
              <w:spacing w:after="0"/>
              <w:jc w:val="center"/>
              <w:rPr>
                <w:b/>
                <w:sz w:val="20"/>
              </w:rPr>
            </w:pPr>
            <w:r>
              <w:rPr>
                <w:b/>
                <w:sz w:val="20"/>
              </w:rPr>
              <w:t>Performance</w:t>
            </w:r>
          </w:p>
          <w:p w:rsidR="00555A84" w:rsidRDefault="00555A84" w:rsidP="004B3437">
            <w:pPr>
              <w:pStyle w:val="NormalDS"/>
              <w:widowControl/>
              <w:spacing w:after="0"/>
              <w:jc w:val="center"/>
              <w:rPr>
                <w:b/>
                <w:sz w:val="20"/>
              </w:rPr>
            </w:pPr>
            <w:r>
              <w:rPr>
                <w:b/>
                <w:sz w:val="20"/>
              </w:rPr>
              <w:t>Share</w:t>
            </w:r>
          </w:p>
          <w:p w:rsidR="00555A84" w:rsidRDefault="00555A84" w:rsidP="004B3437">
            <w:pPr>
              <w:pStyle w:val="NormalDS"/>
              <w:widowControl/>
              <w:spacing w:after="0"/>
              <w:jc w:val="center"/>
              <w:rPr>
                <w:b/>
                <w:sz w:val="20"/>
              </w:rPr>
            </w:pPr>
            <w:r>
              <w:rPr>
                <w:b/>
                <w:sz w:val="20"/>
              </w:rPr>
              <w:t>Allocation</w:t>
            </w:r>
          </w:p>
        </w:tc>
      </w:tr>
      <w:tr w:rsidR="00555A84" w:rsidTr="004B3437">
        <w:tc>
          <w:tcPr>
            <w:tcW w:w="3192" w:type="dxa"/>
            <w:tcBorders>
              <w:top w:val="single" w:sz="2" w:space="0" w:color="auto"/>
            </w:tcBorders>
          </w:tcPr>
          <w:p w:rsidR="00555A84" w:rsidRDefault="00555A84" w:rsidP="004B3437">
            <w:pPr>
              <w:pStyle w:val="NormalDS"/>
              <w:widowControl/>
              <w:spacing w:after="0"/>
              <w:rPr>
                <w:sz w:val="20"/>
              </w:rPr>
            </w:pPr>
            <w:r>
              <w:rPr>
                <w:sz w:val="20"/>
              </w:rPr>
              <w:t>7</w:t>
            </w:r>
          </w:p>
        </w:tc>
        <w:tc>
          <w:tcPr>
            <w:tcW w:w="3192" w:type="dxa"/>
            <w:tcBorders>
              <w:top w:val="single" w:sz="2" w:space="0" w:color="auto"/>
            </w:tcBorders>
          </w:tcPr>
          <w:p w:rsidR="00555A84" w:rsidRDefault="00555A84" w:rsidP="004B3437">
            <w:pPr>
              <w:pStyle w:val="NormalDS"/>
              <w:widowControl/>
              <w:spacing w:after="0"/>
              <w:jc w:val="center"/>
              <w:rPr>
                <w:sz w:val="20"/>
              </w:rPr>
            </w:pPr>
            <w:r>
              <w:rPr>
                <w:sz w:val="20"/>
              </w:rPr>
              <w:t>2.5%</w:t>
            </w:r>
          </w:p>
        </w:tc>
        <w:tc>
          <w:tcPr>
            <w:tcW w:w="3192" w:type="dxa"/>
            <w:tcBorders>
              <w:top w:val="single" w:sz="2" w:space="0" w:color="auto"/>
            </w:tcBorders>
          </w:tcPr>
          <w:p w:rsidR="00555A84" w:rsidRDefault="00555A84" w:rsidP="004B3437">
            <w:pPr>
              <w:pStyle w:val="NormalDS"/>
              <w:widowControl/>
              <w:spacing w:after="0"/>
              <w:jc w:val="center"/>
              <w:rPr>
                <w:sz w:val="20"/>
              </w:rPr>
            </w:pPr>
            <w:r>
              <w:rPr>
                <w:sz w:val="20"/>
              </w:rPr>
              <w:t>60%</w:t>
            </w:r>
          </w:p>
        </w:tc>
      </w:tr>
      <w:tr w:rsidR="00555A84" w:rsidTr="004B3437">
        <w:tc>
          <w:tcPr>
            <w:tcW w:w="3192" w:type="dxa"/>
          </w:tcPr>
          <w:p w:rsidR="00555A84" w:rsidRDefault="00555A84" w:rsidP="004B3437">
            <w:pPr>
              <w:pStyle w:val="NormalDS"/>
              <w:widowControl/>
              <w:spacing w:after="0"/>
              <w:rPr>
                <w:sz w:val="20"/>
              </w:rPr>
            </w:pPr>
            <w:r>
              <w:rPr>
                <w:sz w:val="20"/>
              </w:rPr>
              <w:t>8</w:t>
            </w:r>
          </w:p>
        </w:tc>
        <w:tc>
          <w:tcPr>
            <w:tcW w:w="3192" w:type="dxa"/>
          </w:tcPr>
          <w:p w:rsidR="00555A84" w:rsidRDefault="00555A84" w:rsidP="004B3437">
            <w:pPr>
              <w:pStyle w:val="NormalDS"/>
              <w:widowControl/>
              <w:spacing w:after="0"/>
              <w:jc w:val="center"/>
              <w:rPr>
                <w:sz w:val="20"/>
              </w:rPr>
            </w:pPr>
            <w:r>
              <w:rPr>
                <w:sz w:val="20"/>
              </w:rPr>
              <w:t>10%</w:t>
            </w:r>
          </w:p>
        </w:tc>
        <w:tc>
          <w:tcPr>
            <w:tcW w:w="3192" w:type="dxa"/>
          </w:tcPr>
          <w:p w:rsidR="00555A84" w:rsidRDefault="00555A84" w:rsidP="004B3437">
            <w:pPr>
              <w:jc w:val="center"/>
            </w:pPr>
            <w:r>
              <w:t>60%</w:t>
            </w:r>
          </w:p>
        </w:tc>
      </w:tr>
      <w:tr w:rsidR="00555A84" w:rsidTr="004B3437">
        <w:tc>
          <w:tcPr>
            <w:tcW w:w="3192" w:type="dxa"/>
          </w:tcPr>
          <w:p w:rsidR="00555A84" w:rsidRDefault="00555A84" w:rsidP="004B3437">
            <w:pPr>
              <w:pStyle w:val="NormalDS"/>
              <w:widowControl/>
              <w:spacing w:after="0"/>
              <w:rPr>
                <w:sz w:val="20"/>
              </w:rPr>
            </w:pPr>
            <w:r>
              <w:rPr>
                <w:sz w:val="20"/>
              </w:rPr>
              <w:t>9</w:t>
            </w:r>
          </w:p>
        </w:tc>
        <w:tc>
          <w:tcPr>
            <w:tcW w:w="3192" w:type="dxa"/>
          </w:tcPr>
          <w:p w:rsidR="00555A84" w:rsidRDefault="00555A84" w:rsidP="004B3437">
            <w:pPr>
              <w:pStyle w:val="NormalDS"/>
              <w:widowControl/>
              <w:spacing w:after="0"/>
              <w:jc w:val="center"/>
              <w:rPr>
                <w:sz w:val="20"/>
              </w:rPr>
            </w:pPr>
            <w:r>
              <w:rPr>
                <w:sz w:val="20"/>
              </w:rPr>
              <w:t>15%</w:t>
            </w:r>
          </w:p>
        </w:tc>
        <w:tc>
          <w:tcPr>
            <w:tcW w:w="3192" w:type="dxa"/>
          </w:tcPr>
          <w:p w:rsidR="00555A84" w:rsidRDefault="00555A84" w:rsidP="004B3437">
            <w:pPr>
              <w:jc w:val="center"/>
            </w:pPr>
            <w:r>
              <w:t>60%</w:t>
            </w:r>
          </w:p>
        </w:tc>
      </w:tr>
      <w:tr w:rsidR="00555A84" w:rsidTr="004B3437">
        <w:tc>
          <w:tcPr>
            <w:tcW w:w="3192" w:type="dxa"/>
          </w:tcPr>
          <w:p w:rsidR="00555A84" w:rsidRDefault="00555A84" w:rsidP="004B3437">
            <w:pPr>
              <w:pStyle w:val="NormalDS"/>
              <w:widowControl/>
              <w:spacing w:after="0"/>
              <w:rPr>
                <w:sz w:val="20"/>
              </w:rPr>
            </w:pPr>
            <w:r>
              <w:rPr>
                <w:sz w:val="20"/>
              </w:rPr>
              <w:t>10</w:t>
            </w:r>
          </w:p>
        </w:tc>
        <w:tc>
          <w:tcPr>
            <w:tcW w:w="3192" w:type="dxa"/>
          </w:tcPr>
          <w:p w:rsidR="00555A84" w:rsidRDefault="00555A84" w:rsidP="004B3437">
            <w:pPr>
              <w:pStyle w:val="NormalDS"/>
              <w:widowControl/>
              <w:spacing w:after="0"/>
              <w:jc w:val="center"/>
              <w:rPr>
                <w:sz w:val="20"/>
              </w:rPr>
            </w:pPr>
            <w:r>
              <w:rPr>
                <w:sz w:val="20"/>
              </w:rPr>
              <w:t>25%</w:t>
            </w:r>
          </w:p>
        </w:tc>
        <w:tc>
          <w:tcPr>
            <w:tcW w:w="3192" w:type="dxa"/>
          </w:tcPr>
          <w:p w:rsidR="00555A84" w:rsidRDefault="00555A84" w:rsidP="004B3437">
            <w:pPr>
              <w:jc w:val="center"/>
            </w:pPr>
            <w:r>
              <w:t>60%</w:t>
            </w:r>
          </w:p>
        </w:tc>
      </w:tr>
      <w:tr w:rsidR="00555A84" w:rsidTr="004B3437">
        <w:tc>
          <w:tcPr>
            <w:tcW w:w="3192" w:type="dxa"/>
          </w:tcPr>
          <w:p w:rsidR="00555A84" w:rsidRDefault="00555A84" w:rsidP="004B3437">
            <w:pPr>
              <w:pStyle w:val="NormalDS"/>
              <w:widowControl/>
              <w:spacing w:after="0"/>
              <w:rPr>
                <w:sz w:val="20"/>
              </w:rPr>
            </w:pPr>
            <w:r>
              <w:rPr>
                <w:sz w:val="20"/>
              </w:rPr>
              <w:t>11</w:t>
            </w:r>
          </w:p>
        </w:tc>
        <w:tc>
          <w:tcPr>
            <w:tcW w:w="3192" w:type="dxa"/>
          </w:tcPr>
          <w:p w:rsidR="00555A84" w:rsidRDefault="00555A84" w:rsidP="004B3437">
            <w:pPr>
              <w:pStyle w:val="NormalDS"/>
              <w:widowControl/>
              <w:spacing w:after="0"/>
              <w:jc w:val="center"/>
              <w:rPr>
                <w:sz w:val="20"/>
              </w:rPr>
            </w:pPr>
            <w:r>
              <w:rPr>
                <w:sz w:val="20"/>
              </w:rPr>
              <w:t>40%</w:t>
            </w:r>
          </w:p>
        </w:tc>
        <w:tc>
          <w:tcPr>
            <w:tcW w:w="3192" w:type="dxa"/>
          </w:tcPr>
          <w:p w:rsidR="00555A84" w:rsidRDefault="00555A84" w:rsidP="004B3437">
            <w:pPr>
              <w:jc w:val="center"/>
            </w:pPr>
            <w:r>
              <w:t>60%</w:t>
            </w:r>
          </w:p>
        </w:tc>
      </w:tr>
      <w:tr w:rsidR="00555A84" w:rsidTr="004B3437">
        <w:tc>
          <w:tcPr>
            <w:tcW w:w="3192" w:type="dxa"/>
          </w:tcPr>
          <w:p w:rsidR="00555A84" w:rsidRDefault="00555A84" w:rsidP="004B3437">
            <w:pPr>
              <w:pStyle w:val="NormalDS"/>
              <w:widowControl/>
              <w:spacing w:after="0"/>
              <w:rPr>
                <w:sz w:val="20"/>
              </w:rPr>
            </w:pPr>
            <w:r>
              <w:rPr>
                <w:sz w:val="20"/>
              </w:rPr>
              <w:t>12</w:t>
            </w:r>
          </w:p>
        </w:tc>
        <w:tc>
          <w:tcPr>
            <w:tcW w:w="3192" w:type="dxa"/>
          </w:tcPr>
          <w:p w:rsidR="00555A84" w:rsidRDefault="00555A84" w:rsidP="004B3437">
            <w:pPr>
              <w:pStyle w:val="NormalDS"/>
              <w:widowControl/>
              <w:spacing w:after="0"/>
              <w:jc w:val="center"/>
              <w:rPr>
                <w:sz w:val="20"/>
              </w:rPr>
            </w:pPr>
            <w:r>
              <w:rPr>
                <w:sz w:val="20"/>
              </w:rPr>
              <w:t>60%</w:t>
            </w:r>
          </w:p>
        </w:tc>
        <w:tc>
          <w:tcPr>
            <w:tcW w:w="3192" w:type="dxa"/>
          </w:tcPr>
          <w:p w:rsidR="00555A84" w:rsidRDefault="00555A84" w:rsidP="004B3437">
            <w:pPr>
              <w:jc w:val="center"/>
            </w:pPr>
            <w:r>
              <w:t>60%</w:t>
            </w:r>
          </w:p>
        </w:tc>
      </w:tr>
      <w:tr w:rsidR="00555A84" w:rsidTr="004B3437">
        <w:tc>
          <w:tcPr>
            <w:tcW w:w="3192" w:type="dxa"/>
          </w:tcPr>
          <w:p w:rsidR="00555A84" w:rsidRDefault="00555A84" w:rsidP="004B3437">
            <w:pPr>
              <w:pStyle w:val="NormalDS"/>
              <w:widowControl/>
              <w:spacing w:after="0"/>
              <w:rPr>
                <w:sz w:val="20"/>
              </w:rPr>
            </w:pPr>
            <w:r>
              <w:rPr>
                <w:sz w:val="20"/>
              </w:rPr>
              <w:t>13</w:t>
            </w:r>
          </w:p>
        </w:tc>
        <w:tc>
          <w:tcPr>
            <w:tcW w:w="3192" w:type="dxa"/>
          </w:tcPr>
          <w:p w:rsidR="00555A84" w:rsidRDefault="00555A84" w:rsidP="004B3437">
            <w:pPr>
              <w:pStyle w:val="NormalDS"/>
              <w:widowControl/>
              <w:spacing w:after="0"/>
              <w:jc w:val="center"/>
              <w:rPr>
                <w:sz w:val="20"/>
              </w:rPr>
            </w:pPr>
            <w:r>
              <w:rPr>
                <w:sz w:val="20"/>
              </w:rPr>
              <w:t>70%</w:t>
            </w:r>
          </w:p>
        </w:tc>
        <w:tc>
          <w:tcPr>
            <w:tcW w:w="3192" w:type="dxa"/>
          </w:tcPr>
          <w:p w:rsidR="00555A84" w:rsidRDefault="00555A84" w:rsidP="004B3437">
            <w:pPr>
              <w:jc w:val="center"/>
            </w:pPr>
            <w:r>
              <w:t>60%</w:t>
            </w:r>
          </w:p>
        </w:tc>
      </w:tr>
      <w:tr w:rsidR="00555A84" w:rsidTr="004B3437">
        <w:tc>
          <w:tcPr>
            <w:tcW w:w="3192" w:type="dxa"/>
          </w:tcPr>
          <w:p w:rsidR="00555A84" w:rsidRDefault="00555A84" w:rsidP="004B3437">
            <w:pPr>
              <w:pStyle w:val="NormalDS"/>
              <w:widowControl/>
              <w:spacing w:after="0"/>
              <w:rPr>
                <w:sz w:val="20"/>
              </w:rPr>
            </w:pPr>
            <w:r>
              <w:rPr>
                <w:sz w:val="20"/>
              </w:rPr>
              <w:t>14</w:t>
            </w:r>
          </w:p>
        </w:tc>
        <w:tc>
          <w:tcPr>
            <w:tcW w:w="3192" w:type="dxa"/>
          </w:tcPr>
          <w:p w:rsidR="00555A84" w:rsidRDefault="00555A84" w:rsidP="004B3437">
            <w:pPr>
              <w:pStyle w:val="NormalDS"/>
              <w:widowControl/>
              <w:spacing w:after="0"/>
              <w:jc w:val="center"/>
              <w:rPr>
                <w:sz w:val="20"/>
              </w:rPr>
            </w:pPr>
            <w:r>
              <w:rPr>
                <w:sz w:val="20"/>
              </w:rPr>
              <w:t>95%</w:t>
            </w:r>
          </w:p>
        </w:tc>
        <w:tc>
          <w:tcPr>
            <w:tcW w:w="3192" w:type="dxa"/>
          </w:tcPr>
          <w:p w:rsidR="00555A84" w:rsidRDefault="00555A84" w:rsidP="004B3437">
            <w:pPr>
              <w:jc w:val="center"/>
            </w:pPr>
            <w:r>
              <w:t>60%</w:t>
            </w:r>
          </w:p>
        </w:tc>
      </w:tr>
      <w:tr w:rsidR="00555A84" w:rsidTr="004B3437">
        <w:tc>
          <w:tcPr>
            <w:tcW w:w="3192" w:type="dxa"/>
          </w:tcPr>
          <w:p w:rsidR="00555A84" w:rsidRDefault="00555A84" w:rsidP="004B3437">
            <w:pPr>
              <w:pStyle w:val="NormalDS"/>
              <w:widowControl/>
              <w:spacing w:after="0"/>
              <w:rPr>
                <w:sz w:val="20"/>
              </w:rPr>
            </w:pPr>
            <w:r>
              <w:rPr>
                <w:sz w:val="20"/>
              </w:rPr>
              <w:t>15</w:t>
            </w:r>
          </w:p>
        </w:tc>
        <w:tc>
          <w:tcPr>
            <w:tcW w:w="3192" w:type="dxa"/>
          </w:tcPr>
          <w:p w:rsidR="00555A84" w:rsidRDefault="00555A84" w:rsidP="004B3437">
            <w:pPr>
              <w:pStyle w:val="NormalDS"/>
              <w:widowControl/>
              <w:spacing w:after="0"/>
              <w:jc w:val="center"/>
              <w:rPr>
                <w:sz w:val="20"/>
              </w:rPr>
            </w:pPr>
            <w:r>
              <w:rPr>
                <w:sz w:val="20"/>
              </w:rPr>
              <w:t>125%</w:t>
            </w:r>
          </w:p>
        </w:tc>
        <w:tc>
          <w:tcPr>
            <w:tcW w:w="3192" w:type="dxa"/>
          </w:tcPr>
          <w:p w:rsidR="00555A84" w:rsidRDefault="00555A84" w:rsidP="004B3437">
            <w:pPr>
              <w:jc w:val="center"/>
            </w:pPr>
            <w:r>
              <w:t>60%</w:t>
            </w:r>
          </w:p>
        </w:tc>
      </w:tr>
      <w:tr w:rsidR="00555A84" w:rsidTr="004B3437">
        <w:tc>
          <w:tcPr>
            <w:tcW w:w="3192" w:type="dxa"/>
            <w:tcBorders>
              <w:top w:val="nil"/>
              <w:bottom w:val="single" w:sz="2" w:space="0" w:color="auto"/>
            </w:tcBorders>
          </w:tcPr>
          <w:p w:rsidR="00555A84" w:rsidRDefault="00555A84" w:rsidP="004B3437">
            <w:pPr>
              <w:pStyle w:val="NormalDS"/>
              <w:widowControl/>
              <w:spacing w:after="0"/>
              <w:rPr>
                <w:sz w:val="20"/>
              </w:rPr>
            </w:pPr>
            <w:r>
              <w:rPr>
                <w:sz w:val="20"/>
              </w:rPr>
              <w:t>Executive officers</w:t>
            </w:r>
          </w:p>
        </w:tc>
        <w:tc>
          <w:tcPr>
            <w:tcW w:w="3192" w:type="dxa"/>
            <w:tcBorders>
              <w:top w:val="nil"/>
              <w:bottom w:val="single" w:sz="2" w:space="0" w:color="auto"/>
            </w:tcBorders>
          </w:tcPr>
          <w:p w:rsidR="00555A84" w:rsidRDefault="00555A84" w:rsidP="004B3437">
            <w:pPr>
              <w:pStyle w:val="NormalDS"/>
              <w:widowControl/>
              <w:spacing w:after="0"/>
              <w:rPr>
                <w:sz w:val="20"/>
              </w:rPr>
            </w:pPr>
            <w:r>
              <w:rPr>
                <w:sz w:val="20"/>
              </w:rPr>
              <w:t>Committee discretion</w:t>
            </w:r>
          </w:p>
        </w:tc>
        <w:tc>
          <w:tcPr>
            <w:tcW w:w="3192" w:type="dxa"/>
            <w:tcBorders>
              <w:top w:val="nil"/>
              <w:bottom w:val="single" w:sz="2" w:space="0" w:color="auto"/>
            </w:tcBorders>
          </w:tcPr>
          <w:p w:rsidR="00555A84" w:rsidRDefault="00555A84" w:rsidP="004B3437">
            <w:pPr>
              <w:pStyle w:val="NormalDS"/>
              <w:widowControl/>
              <w:spacing w:after="0"/>
              <w:jc w:val="center"/>
              <w:rPr>
                <w:sz w:val="20"/>
              </w:rPr>
            </w:pPr>
            <w:r>
              <w:rPr>
                <w:sz w:val="20"/>
              </w:rPr>
              <w:t>Committee discretion</w:t>
            </w:r>
          </w:p>
        </w:tc>
      </w:tr>
    </w:tbl>
    <w:p w:rsidR="00555A84" w:rsidRDefault="00555A84" w:rsidP="00555A84">
      <w:pPr>
        <w:pStyle w:val="NormalDS"/>
        <w:widowControl/>
        <w:spacing w:after="0"/>
      </w:pPr>
    </w:p>
    <w:p w:rsidR="00555A84" w:rsidRDefault="00555A84" w:rsidP="00555A84">
      <w:pPr>
        <w:pStyle w:val="NormalDS"/>
        <w:widowControl/>
        <w:spacing w:after="0"/>
        <w:rPr>
          <w:b/>
        </w:rPr>
      </w:pPr>
      <w:r>
        <w:t xml:space="preserve">To calculate the number of Performance Shares to be granted, the Performance Share Allocation amount (base salary x LTI Target Award % x 60%) is divided by the fair value of one Performance Share on the date of the grant.  Fair Value is based on accounting standards and is not the same as market value.  Base salary and salary grade level are determined as of the date of the annual merit increase adjustment of the year of grant.  The participant will be notified of the number of Performance Shares that have been granted to the participant.  Performance Shares are units, not actual shares of Southern Company common stock, and thus the actual number of Southern Company common stock to be paid to the participant will not be determined until the end of the performance period.  </w:t>
      </w:r>
    </w:p>
    <w:p w:rsidR="00555A84" w:rsidRDefault="00555A84" w:rsidP="00555A84">
      <w:pPr>
        <w:pStyle w:val="NormalDS"/>
        <w:widowControl/>
        <w:spacing w:after="0"/>
      </w:pPr>
    </w:p>
    <w:p w:rsidR="00555A84" w:rsidRDefault="00555A84" w:rsidP="00555A84">
      <w:pPr>
        <w:pStyle w:val="Heading1"/>
      </w:pPr>
      <w:r>
        <w:t>How Performance is Measured</w:t>
      </w:r>
    </w:p>
    <w:p w:rsidR="00555A84" w:rsidRDefault="00555A84" w:rsidP="00555A84">
      <w:pPr>
        <w:pStyle w:val="Heading1"/>
        <w:spacing w:after="240"/>
        <w:rPr>
          <w:b w:val="0"/>
          <w:sz w:val="23"/>
          <w:szCs w:val="23"/>
        </w:rPr>
      </w:pPr>
      <w:r>
        <w:rPr>
          <w:b w:val="0"/>
          <w:sz w:val="23"/>
          <w:szCs w:val="23"/>
        </w:rPr>
        <w:t>The performance measure is Southern Company’s TSR relative to the TSR of its industry peers.  The TSR calculation reflects changes in stock price, dividends paid, and reinvestment of dividends paid during the performance period.</w:t>
      </w:r>
    </w:p>
    <w:p w:rsidR="00555A84" w:rsidRDefault="00555A84" w:rsidP="00555A84">
      <w:pPr>
        <w:pStyle w:val="NormalDS"/>
      </w:pPr>
      <w:r>
        <w:t>The share price at the beginning of the performance period will be determined by an average of the closing prices for 20 consecutive trading days, ending on December 31 of the prior year.</w:t>
      </w:r>
    </w:p>
    <w:p w:rsidR="00555A84" w:rsidRDefault="00555A84" w:rsidP="00555A84">
      <w:pPr>
        <w:pStyle w:val="NormalDS"/>
      </w:pPr>
      <w:r>
        <w:lastRenderedPageBreak/>
        <w:t>The share price at the end of the performance period will be determined by an average of the closing prices for 20 consecutive trading days, ending on December 31 of the performance period.</w:t>
      </w:r>
    </w:p>
    <w:p w:rsidR="00555A84" w:rsidRDefault="00555A84" w:rsidP="00555A84">
      <w:pPr>
        <w:pStyle w:val="Heading1"/>
      </w:pPr>
      <w:r>
        <w:t>Performance Period</w:t>
      </w:r>
    </w:p>
    <w:p w:rsidR="00555A84" w:rsidRDefault="00555A84" w:rsidP="00555A84">
      <w:pPr>
        <w:pStyle w:val="NormalDS"/>
        <w:widowControl/>
      </w:pPr>
      <w:r>
        <w:t xml:space="preserve">A new performance period begins on January 1 of each year, and continues until December 31 three years later.  </w:t>
      </w:r>
    </w:p>
    <w:p w:rsidR="00555A84" w:rsidRDefault="00555A84" w:rsidP="00555A84">
      <w:pPr>
        <w:pStyle w:val="Heading1"/>
      </w:pPr>
      <w:r>
        <w:t>Peer Group</w:t>
      </w:r>
    </w:p>
    <w:p w:rsidR="00555A84" w:rsidRDefault="00555A84" w:rsidP="00555A84">
      <w:pPr>
        <w:pStyle w:val="NormalDS"/>
        <w:widowControl/>
        <w:spacing w:after="240"/>
      </w:pPr>
      <w:r>
        <w:t>Performance is measured against a group of industry peers.  This peer group is redefined by the Committee for each new performance measurement period but generally stays constant during that performance measurement period, except for the impact of mergers and acquisitions.</w:t>
      </w:r>
      <w:r>
        <w:rPr>
          <w:lang w:val="en-US"/>
        </w:rPr>
        <w:t xml:space="preserve"> </w:t>
      </w:r>
      <w:r>
        <w:t xml:space="preserve"> In order to be counted in the final calculations, a company must be in the peer group at both the beginning and the end of the performance measurement period. </w:t>
      </w:r>
    </w:p>
    <w:p w:rsidR="00555A84" w:rsidRDefault="00555A84" w:rsidP="00555A84">
      <w:pPr>
        <w:pStyle w:val="NormalDS"/>
        <w:widowControl/>
        <w:spacing w:after="240"/>
        <w:rPr>
          <w:lang w:val="en-US"/>
        </w:rPr>
      </w:pPr>
      <w:r>
        <w:t>The Committee in its discretion may add or delete companies from the peer group during the performance measurement period to the extent that it deems it appropriate.</w:t>
      </w:r>
    </w:p>
    <w:p w:rsidR="00555A84" w:rsidRDefault="00555A84" w:rsidP="00555A84">
      <w:pPr>
        <w:pStyle w:val="Heading1"/>
      </w:pPr>
      <w:r>
        <w:t>TSR Performance/Payout Relationship</w:t>
      </w:r>
    </w:p>
    <w:p w:rsidR="00555A84" w:rsidRDefault="00555A84" w:rsidP="00555A84">
      <w:pPr>
        <w:rPr>
          <w:color w:val="000000"/>
          <w:szCs w:val="23"/>
        </w:rPr>
      </w:pPr>
      <w:r>
        <w:t xml:space="preserve">Once TSR is calculated and compared to the TSR of the industry peers, the scale below determines the percent of target that is paid.  Payout </w:t>
      </w:r>
      <w:r>
        <w:rPr>
          <w:color w:val="000000"/>
          <w:szCs w:val="23"/>
        </w:rPr>
        <w:t>for performance between points is interpolated on a straight-line basis.  200% is the maximum payout percentage.</w:t>
      </w:r>
    </w:p>
    <w:p w:rsidR="00555A84" w:rsidRDefault="00555A84" w:rsidP="00555A84">
      <w:pPr>
        <w:rPr>
          <w:color w:val="000000"/>
          <w:szCs w:val="23"/>
        </w:rPr>
      </w:pPr>
    </w:p>
    <w:tbl>
      <w:tblPr>
        <w:tblW w:w="0" w:type="auto"/>
        <w:tblInd w:w="108" w:type="dxa"/>
        <w:tblLayout w:type="fixed"/>
        <w:tblLook w:val="0000"/>
      </w:tblPr>
      <w:tblGrid>
        <w:gridCol w:w="4230"/>
        <w:gridCol w:w="2970"/>
      </w:tblGrid>
      <w:tr w:rsidR="00555A84" w:rsidTr="004B3437">
        <w:trPr>
          <w:cantSplit/>
          <w:trHeight w:val="360"/>
        </w:trPr>
        <w:tc>
          <w:tcPr>
            <w:tcW w:w="4230" w:type="dxa"/>
            <w:tcBorders>
              <w:top w:val="single" w:sz="18" w:space="0" w:color="auto"/>
              <w:left w:val="nil"/>
              <w:bottom w:val="single" w:sz="6" w:space="0" w:color="auto"/>
              <w:right w:val="nil"/>
            </w:tcBorders>
          </w:tcPr>
          <w:p w:rsidR="00555A84" w:rsidRDefault="00555A84" w:rsidP="004B3437">
            <w:pPr>
              <w:pStyle w:val="Table2Hdgs"/>
              <w:widowControl/>
              <w:spacing w:after="0"/>
            </w:pPr>
            <w:r>
              <w:t>Southern Company’s Percentile Ranking in 3-Year TSR vs. Peers</w:t>
            </w:r>
          </w:p>
        </w:tc>
        <w:tc>
          <w:tcPr>
            <w:tcW w:w="2970" w:type="dxa"/>
            <w:tcBorders>
              <w:top w:val="single" w:sz="18" w:space="0" w:color="auto"/>
              <w:left w:val="nil"/>
              <w:bottom w:val="single" w:sz="6" w:space="0" w:color="auto"/>
              <w:right w:val="nil"/>
            </w:tcBorders>
          </w:tcPr>
          <w:p w:rsidR="00555A84" w:rsidRDefault="00555A84" w:rsidP="004B3437">
            <w:pPr>
              <w:pStyle w:val="Table2Hdgs"/>
              <w:widowControl/>
              <w:spacing w:after="0"/>
              <w:jc w:val="center"/>
            </w:pPr>
            <w:r>
              <w:t>Percent of Target Earned</w:t>
            </w:r>
            <w:r>
              <w:rPr>
                <w:rStyle w:val="FootnoteReference"/>
              </w:rPr>
              <w:t xml:space="preserve"> </w:t>
            </w:r>
          </w:p>
        </w:tc>
      </w:tr>
      <w:tr w:rsidR="00555A84" w:rsidTr="004B3437">
        <w:trPr>
          <w:cantSplit/>
          <w:trHeight w:val="360"/>
        </w:trPr>
        <w:tc>
          <w:tcPr>
            <w:tcW w:w="4230" w:type="dxa"/>
            <w:tcBorders>
              <w:top w:val="nil"/>
              <w:left w:val="nil"/>
              <w:bottom w:val="nil"/>
              <w:right w:val="nil"/>
            </w:tcBorders>
          </w:tcPr>
          <w:p w:rsidR="00555A84" w:rsidRDefault="00555A84" w:rsidP="004B3437">
            <w:pPr>
              <w:pStyle w:val="Table3Data"/>
              <w:widowControl/>
            </w:pPr>
            <w:r>
              <w:t>90</w:t>
            </w:r>
            <w:r>
              <w:rPr>
                <w:vertAlign w:val="superscript"/>
              </w:rPr>
              <w:t>th</w:t>
            </w:r>
            <w:r>
              <w:t xml:space="preserve"> or above</w:t>
            </w:r>
          </w:p>
        </w:tc>
        <w:tc>
          <w:tcPr>
            <w:tcW w:w="2970" w:type="dxa"/>
            <w:tcBorders>
              <w:top w:val="nil"/>
              <w:left w:val="nil"/>
              <w:bottom w:val="nil"/>
              <w:right w:val="nil"/>
            </w:tcBorders>
          </w:tcPr>
          <w:p w:rsidR="00555A84" w:rsidRDefault="00555A84" w:rsidP="004B3437">
            <w:pPr>
              <w:pStyle w:val="Table3Data"/>
              <w:widowControl/>
              <w:jc w:val="center"/>
            </w:pPr>
            <w:r>
              <w:t>200%</w:t>
            </w:r>
          </w:p>
        </w:tc>
      </w:tr>
      <w:tr w:rsidR="00555A84" w:rsidTr="004B3437">
        <w:trPr>
          <w:cantSplit/>
          <w:trHeight w:val="360"/>
        </w:trPr>
        <w:tc>
          <w:tcPr>
            <w:tcW w:w="4230" w:type="dxa"/>
            <w:tcBorders>
              <w:top w:val="nil"/>
              <w:left w:val="nil"/>
              <w:bottom w:val="nil"/>
              <w:right w:val="nil"/>
            </w:tcBorders>
          </w:tcPr>
          <w:p w:rsidR="00555A84" w:rsidRDefault="00555A84" w:rsidP="004B3437">
            <w:pPr>
              <w:pStyle w:val="Table3Data"/>
              <w:widowControl/>
            </w:pPr>
            <w:r>
              <w:t>70</w:t>
            </w:r>
            <w:r>
              <w:rPr>
                <w:vertAlign w:val="superscript"/>
              </w:rPr>
              <w:t>th</w:t>
            </w:r>
          </w:p>
        </w:tc>
        <w:tc>
          <w:tcPr>
            <w:tcW w:w="2970" w:type="dxa"/>
            <w:tcBorders>
              <w:top w:val="nil"/>
              <w:left w:val="nil"/>
              <w:bottom w:val="nil"/>
              <w:right w:val="nil"/>
            </w:tcBorders>
          </w:tcPr>
          <w:p w:rsidR="00555A84" w:rsidRDefault="00555A84" w:rsidP="004B3437">
            <w:pPr>
              <w:pStyle w:val="Table3Data"/>
              <w:widowControl/>
              <w:jc w:val="center"/>
            </w:pPr>
            <w:r>
              <w:t>150%</w:t>
            </w:r>
          </w:p>
        </w:tc>
      </w:tr>
      <w:tr w:rsidR="00555A84" w:rsidTr="004B3437">
        <w:trPr>
          <w:cantSplit/>
          <w:trHeight w:val="360"/>
        </w:trPr>
        <w:tc>
          <w:tcPr>
            <w:tcW w:w="4230" w:type="dxa"/>
            <w:tcBorders>
              <w:top w:val="nil"/>
              <w:left w:val="nil"/>
              <w:bottom w:val="nil"/>
              <w:right w:val="nil"/>
            </w:tcBorders>
          </w:tcPr>
          <w:p w:rsidR="00555A84" w:rsidRDefault="00555A84" w:rsidP="004B3437">
            <w:pPr>
              <w:pStyle w:val="Table3Data"/>
              <w:widowControl/>
            </w:pPr>
            <w:r>
              <w:t>50</w:t>
            </w:r>
            <w:r>
              <w:rPr>
                <w:vertAlign w:val="superscript"/>
              </w:rPr>
              <w:t>th</w:t>
            </w:r>
          </w:p>
        </w:tc>
        <w:tc>
          <w:tcPr>
            <w:tcW w:w="2970" w:type="dxa"/>
            <w:tcBorders>
              <w:top w:val="nil"/>
              <w:left w:val="nil"/>
              <w:bottom w:val="nil"/>
              <w:right w:val="nil"/>
            </w:tcBorders>
          </w:tcPr>
          <w:p w:rsidR="00555A84" w:rsidRDefault="00555A84" w:rsidP="004B3437">
            <w:pPr>
              <w:pStyle w:val="Table3Data"/>
              <w:widowControl/>
              <w:jc w:val="center"/>
            </w:pPr>
            <w:r>
              <w:t>100%</w:t>
            </w:r>
          </w:p>
        </w:tc>
      </w:tr>
      <w:tr w:rsidR="00555A84" w:rsidTr="004B3437">
        <w:trPr>
          <w:cantSplit/>
          <w:trHeight w:val="360"/>
        </w:trPr>
        <w:tc>
          <w:tcPr>
            <w:tcW w:w="4230" w:type="dxa"/>
            <w:tcBorders>
              <w:top w:val="nil"/>
              <w:left w:val="nil"/>
              <w:right w:val="nil"/>
            </w:tcBorders>
          </w:tcPr>
          <w:p w:rsidR="00555A84" w:rsidRDefault="00555A84" w:rsidP="004B3437">
            <w:pPr>
              <w:pStyle w:val="Table3Data"/>
              <w:widowControl/>
            </w:pPr>
            <w:r>
              <w:t>30</w:t>
            </w:r>
            <w:r>
              <w:rPr>
                <w:vertAlign w:val="superscript"/>
              </w:rPr>
              <w:t>th</w:t>
            </w:r>
          </w:p>
        </w:tc>
        <w:tc>
          <w:tcPr>
            <w:tcW w:w="2970" w:type="dxa"/>
            <w:tcBorders>
              <w:top w:val="nil"/>
              <w:left w:val="nil"/>
              <w:right w:val="nil"/>
            </w:tcBorders>
          </w:tcPr>
          <w:p w:rsidR="00555A84" w:rsidRDefault="00555A84" w:rsidP="004B3437">
            <w:pPr>
              <w:pStyle w:val="Table3Data"/>
              <w:widowControl/>
              <w:jc w:val="center"/>
            </w:pPr>
            <w:r>
              <w:t>50</w:t>
            </w:r>
            <w:r>
              <w:rPr>
                <w:vertAlign w:val="superscript"/>
              </w:rPr>
              <w:t>th</w:t>
            </w:r>
          </w:p>
        </w:tc>
      </w:tr>
      <w:tr w:rsidR="00555A84" w:rsidTr="004B3437">
        <w:trPr>
          <w:cantSplit/>
          <w:trHeight w:val="360"/>
        </w:trPr>
        <w:tc>
          <w:tcPr>
            <w:tcW w:w="4230" w:type="dxa"/>
            <w:tcBorders>
              <w:top w:val="nil"/>
              <w:left w:val="nil"/>
              <w:bottom w:val="single" w:sz="4" w:space="0" w:color="auto"/>
              <w:right w:val="nil"/>
            </w:tcBorders>
          </w:tcPr>
          <w:p w:rsidR="00555A84" w:rsidRDefault="00555A84" w:rsidP="004B3437">
            <w:pPr>
              <w:pStyle w:val="Table3Data"/>
              <w:widowControl/>
            </w:pPr>
            <w:r>
              <w:t>10</w:t>
            </w:r>
            <w:r>
              <w:rPr>
                <w:vertAlign w:val="superscript"/>
              </w:rPr>
              <w:t>th</w:t>
            </w:r>
            <w:r>
              <w:t xml:space="preserve"> or below</w:t>
            </w:r>
          </w:p>
        </w:tc>
        <w:tc>
          <w:tcPr>
            <w:tcW w:w="2970" w:type="dxa"/>
            <w:tcBorders>
              <w:top w:val="nil"/>
              <w:left w:val="nil"/>
              <w:bottom w:val="single" w:sz="4" w:space="0" w:color="auto"/>
              <w:right w:val="nil"/>
            </w:tcBorders>
          </w:tcPr>
          <w:p w:rsidR="00555A84" w:rsidRDefault="00555A84" w:rsidP="004B3437">
            <w:pPr>
              <w:pStyle w:val="Table3Data"/>
              <w:widowControl/>
              <w:jc w:val="center"/>
            </w:pPr>
            <w:r>
              <w:t>0%</w:t>
            </w:r>
          </w:p>
        </w:tc>
      </w:tr>
    </w:tbl>
    <w:p w:rsidR="00555A84" w:rsidRDefault="00555A84" w:rsidP="00555A84">
      <w:pPr>
        <w:rPr>
          <w:color w:val="000000"/>
          <w:szCs w:val="23"/>
        </w:rPr>
      </w:pPr>
    </w:p>
    <w:p w:rsidR="00555A84" w:rsidRDefault="00555A84" w:rsidP="00555A84">
      <w:pPr>
        <w:pStyle w:val="Heading1"/>
      </w:pPr>
      <w:r>
        <w:t>Example of How PSP Works</w:t>
      </w:r>
    </w:p>
    <w:p w:rsidR="00555A84" w:rsidRDefault="00555A84" w:rsidP="00555A84">
      <w:pPr>
        <w:pStyle w:val="NormalDS"/>
      </w:pPr>
      <w:r>
        <w:t>The following example illustrates how PSP works.</w:t>
      </w:r>
    </w:p>
    <w:p w:rsidR="00555A84" w:rsidRDefault="00555A84" w:rsidP="00555A84">
      <w:pPr>
        <w:pStyle w:val="NormalDS"/>
        <w:numPr>
          <w:ilvl w:val="0"/>
          <w:numId w:val="26"/>
        </w:numPr>
        <w:rPr>
          <w:szCs w:val="23"/>
        </w:rPr>
      </w:pPr>
      <w:r>
        <w:rPr>
          <w:szCs w:val="23"/>
        </w:rPr>
        <w:t xml:space="preserve">On </w:t>
      </w:r>
      <w:smartTag w:uri="urn:schemas-microsoft-com:office:smarttags" w:element="date">
        <w:smartTagPr>
          <w:attr w:name="Year" w:val="2010"/>
          <w:attr w:name="Day" w:val="15"/>
          <w:attr w:name="Month" w:val="2"/>
          <w:attr w:name="ls" w:val="trans"/>
        </w:smartTagPr>
        <w:r>
          <w:rPr>
            <w:szCs w:val="23"/>
          </w:rPr>
          <w:t>February 15, 2010</w:t>
        </w:r>
      </w:smartTag>
      <w:r>
        <w:rPr>
          <w:szCs w:val="23"/>
        </w:rPr>
        <w:t xml:space="preserve">, a participant (who was employed on </w:t>
      </w:r>
      <w:smartTag w:uri="urn:schemas-microsoft-com:office:smarttags" w:element="date">
        <w:smartTagPr>
          <w:attr w:name="Year" w:val="2010"/>
          <w:attr w:name="Day" w:val="1"/>
          <w:attr w:name="Month" w:val="1"/>
          <w:attr w:name="ls" w:val="trans"/>
        </w:smartTagPr>
        <w:r>
          <w:rPr>
            <w:szCs w:val="23"/>
          </w:rPr>
          <w:t>January 1, 2010</w:t>
        </w:r>
      </w:smartTag>
      <w:r>
        <w:rPr>
          <w:szCs w:val="23"/>
        </w:rPr>
        <w:t>) is in salary grade level 8 and has a base salary rate of $60,000.  The fair value of a Performance Share is $30 based on the expected TSR ranking of one Southern Company common stock on February 15</w:t>
      </w:r>
      <w:r w:rsidRPr="00F67BAE">
        <w:rPr>
          <w:szCs w:val="23"/>
          <w:vertAlign w:val="superscript"/>
        </w:rPr>
        <w:t>th</w:t>
      </w:r>
      <w:r>
        <w:rPr>
          <w:szCs w:val="23"/>
        </w:rPr>
        <w:t xml:space="preserve">.  The participant remains employed until the date of payout.  Payout is made on </w:t>
      </w:r>
      <w:smartTag w:uri="urn:schemas-microsoft-com:office:smarttags" w:element="date">
        <w:smartTagPr>
          <w:attr w:name="Year" w:val="2013"/>
          <w:attr w:name="Day" w:val="1"/>
          <w:attr w:name="Month" w:val="3"/>
          <w:attr w:name="ls" w:val="trans"/>
        </w:smartTagPr>
        <w:r>
          <w:rPr>
            <w:szCs w:val="23"/>
          </w:rPr>
          <w:t>March 1, 2013</w:t>
        </w:r>
      </w:smartTag>
      <w:r>
        <w:rPr>
          <w:szCs w:val="23"/>
        </w:rPr>
        <w:t xml:space="preserve">. </w:t>
      </w:r>
    </w:p>
    <w:p w:rsidR="00555A84" w:rsidRDefault="00555A84" w:rsidP="00555A84">
      <w:pPr>
        <w:pStyle w:val="NormalDS"/>
        <w:numPr>
          <w:ilvl w:val="0"/>
          <w:numId w:val="26"/>
        </w:numPr>
        <w:rPr>
          <w:szCs w:val="23"/>
        </w:rPr>
      </w:pPr>
      <w:r>
        <w:rPr>
          <w:szCs w:val="23"/>
        </w:rPr>
        <w:t>In February 2010, a participant is granted a target award of 120 Performance Shares ($60,000 x 10% x 60% divided by $30), i.e., $3,600 of LTI.</w:t>
      </w:r>
    </w:p>
    <w:p w:rsidR="00555A84" w:rsidRDefault="00555A84" w:rsidP="00555A84">
      <w:pPr>
        <w:pStyle w:val="NormalDS"/>
        <w:numPr>
          <w:ilvl w:val="0"/>
          <w:numId w:val="26"/>
        </w:numPr>
        <w:rPr>
          <w:szCs w:val="23"/>
        </w:rPr>
      </w:pPr>
      <w:r>
        <w:rPr>
          <w:szCs w:val="23"/>
        </w:rPr>
        <w:t xml:space="preserve">Southern Company’s percentile ranking in TSR for the three-year period ending </w:t>
      </w:r>
      <w:smartTag w:uri="urn:schemas-microsoft-com:office:smarttags" w:element="date">
        <w:smartTagPr>
          <w:attr w:name="Year" w:val="2012"/>
          <w:attr w:name="Day" w:val="31"/>
          <w:attr w:name="Month" w:val="12"/>
          <w:attr w:name="ls" w:val="trans"/>
        </w:smartTagPr>
        <w:r>
          <w:rPr>
            <w:szCs w:val="23"/>
          </w:rPr>
          <w:t>December 31, 2012</w:t>
        </w:r>
      </w:smartTag>
      <w:r>
        <w:rPr>
          <w:szCs w:val="23"/>
        </w:rPr>
        <w:t xml:space="preserve"> is 54th percentile. This translates to a payout equal to 110% of target.</w:t>
      </w:r>
    </w:p>
    <w:p w:rsidR="00555A84" w:rsidRDefault="00555A84" w:rsidP="00555A84">
      <w:pPr>
        <w:pStyle w:val="NormalDS"/>
        <w:numPr>
          <w:ilvl w:val="0"/>
          <w:numId w:val="26"/>
        </w:numPr>
        <w:rPr>
          <w:szCs w:val="23"/>
        </w:rPr>
      </w:pPr>
      <w:r>
        <w:rPr>
          <w:szCs w:val="23"/>
        </w:rPr>
        <w:t xml:space="preserve">A participant will be entitled to the PSP payout on </w:t>
      </w:r>
      <w:smartTag w:uri="urn:schemas-microsoft-com:office:smarttags" w:element="date">
        <w:smartTagPr>
          <w:attr w:name="Year" w:val="2013"/>
          <w:attr w:name="Day" w:val="1"/>
          <w:attr w:name="Month" w:val="3"/>
          <w:attr w:name="ls" w:val="trans"/>
        </w:smartTagPr>
        <w:r>
          <w:rPr>
            <w:szCs w:val="23"/>
          </w:rPr>
          <w:t>March 1, 2013</w:t>
        </w:r>
      </w:smartTag>
      <w:r>
        <w:rPr>
          <w:szCs w:val="23"/>
        </w:rPr>
        <w:t xml:space="preserve"> as follows: 120 Performance Shares x 110% = 132 shares of Southern Company common stock.  If the market value of a share of Southern Company common stock on </w:t>
      </w:r>
      <w:smartTag w:uri="urn:schemas-microsoft-com:office:smarttags" w:element="date">
        <w:smartTagPr>
          <w:attr w:name="Year" w:val="2013"/>
          <w:attr w:name="Day" w:val="1"/>
          <w:attr w:name="Month" w:val="3"/>
          <w:attr w:name="ls" w:val="trans"/>
        </w:smartTagPr>
        <w:r>
          <w:rPr>
            <w:szCs w:val="23"/>
          </w:rPr>
          <w:t>March 1, 2013</w:t>
        </w:r>
      </w:smartTag>
      <w:r>
        <w:rPr>
          <w:szCs w:val="23"/>
        </w:rPr>
        <w:t xml:space="preserve"> is $45 (the payout date’s closing price), then the value of the Performance Shares on that date will be $5,940 which will be reported as W-2 earnings to the participant and will be subject to withholding taxes prior to the payment of </w:t>
      </w:r>
      <w:r>
        <w:rPr>
          <w:szCs w:val="23"/>
        </w:rPr>
        <w:lastRenderedPageBreak/>
        <w:t xml:space="preserve">the actual shares of Southern Company common stock to the participant.  </w:t>
      </w:r>
    </w:p>
    <w:p w:rsidR="00555A84" w:rsidRDefault="00555A84" w:rsidP="00555A84">
      <w:pPr>
        <w:pStyle w:val="Heading1"/>
      </w:pPr>
      <w:r>
        <w:t>Vesting</w:t>
      </w:r>
    </w:p>
    <w:p w:rsidR="00555A84" w:rsidRDefault="00555A84" w:rsidP="00555A84">
      <w:pPr>
        <w:pStyle w:val="NormalDS"/>
        <w:rPr>
          <w:szCs w:val="23"/>
        </w:rPr>
      </w:pPr>
      <w:r>
        <w:rPr>
          <w:szCs w:val="23"/>
        </w:rPr>
        <w:t>Performance Shares do not vest until December 31 of the last year in the performance period.  Participants must be employed on the last day of the performance period (except in cases of death or retirement - see below).</w:t>
      </w:r>
    </w:p>
    <w:p w:rsidR="00555A84" w:rsidRDefault="00555A84" w:rsidP="00555A84">
      <w:pPr>
        <w:pStyle w:val="NormalDS"/>
        <w:rPr>
          <w:szCs w:val="23"/>
        </w:rPr>
      </w:pPr>
      <w:r>
        <w:rPr>
          <w:szCs w:val="23"/>
        </w:rPr>
        <w:t>Termination for cause</w:t>
      </w:r>
      <w:r>
        <w:rPr>
          <w:rStyle w:val="FootnoteReference"/>
          <w:szCs w:val="23"/>
        </w:rPr>
        <w:footnoteReference w:id="10"/>
      </w:r>
      <w:r>
        <w:rPr>
          <w:szCs w:val="23"/>
        </w:rPr>
        <w:t xml:space="preserve"> creates an exception to the vesting rule.  Such a termination results in forfeiture of any unpaid award, even if it is vested.</w:t>
      </w:r>
    </w:p>
    <w:p w:rsidR="00555A84" w:rsidRDefault="00555A84" w:rsidP="00555A84">
      <w:pPr>
        <w:pStyle w:val="Heading1"/>
      </w:pPr>
      <w:r>
        <w:t>Form and Timing of Payout</w:t>
      </w:r>
    </w:p>
    <w:p w:rsidR="00555A84" w:rsidRDefault="00555A84" w:rsidP="00555A84">
      <w:pPr>
        <w:pStyle w:val="NormalDS"/>
        <w:rPr>
          <w:szCs w:val="23"/>
        </w:rPr>
      </w:pPr>
      <w:r>
        <w:rPr>
          <w:szCs w:val="23"/>
        </w:rPr>
        <w:t>PSP payouts are made in unrestricted Southern Company common stock on or about March 1</w:t>
      </w:r>
      <w:r>
        <w:rPr>
          <w:szCs w:val="23"/>
          <w:vertAlign w:val="superscript"/>
        </w:rPr>
        <w:t xml:space="preserve"> </w:t>
      </w:r>
      <w:r>
        <w:rPr>
          <w:szCs w:val="23"/>
        </w:rPr>
        <w:t>following the end of the performance period.  In all events, any payouts shall be paid prior to the March 15 immediately following the end of the performance period.  The value for purposes of tax calculations will be determined based on the market price at that time.  If the payout date is on a day the NYSE is closed, then the market price on the next following business day will be used.  The PSP payout is subject to withholding taxes and thus the actual number of Southern Company common stock will be reduced by the number of shares of Southern Company common stock reflecting the amount of withholding taxes.</w:t>
      </w:r>
    </w:p>
    <w:p w:rsidR="00555A84" w:rsidRDefault="00555A84" w:rsidP="00555A84">
      <w:pPr>
        <w:pStyle w:val="Heading1"/>
      </w:pPr>
      <w:r>
        <w:t>Errors in Payout</w:t>
      </w:r>
    </w:p>
    <w:p w:rsidR="00555A84" w:rsidRDefault="00555A84" w:rsidP="00555A84">
      <w:pPr>
        <w:rPr>
          <w:szCs w:val="23"/>
        </w:rPr>
      </w:pPr>
      <w:r>
        <w:rPr>
          <w:szCs w:val="23"/>
        </w:rPr>
        <w:t>In the event there is an error in the determination of a payout amount (regardless of why the error occurs) or in the payment of a payout, the company, in its sole discretion, shall determine the method for correcting the error in accordance with the requirements of the Omnibus Plan.  If the error results in an overpayment, the company may choose, among other options, to require repayment of the overpayment or to reduce future payouts.</w:t>
      </w:r>
    </w:p>
    <w:p w:rsidR="00555A84" w:rsidRPr="00282305" w:rsidRDefault="00555A84" w:rsidP="00555A84">
      <w:pPr>
        <w:rPr>
          <w:szCs w:val="23"/>
        </w:rPr>
      </w:pPr>
    </w:p>
    <w:p w:rsidR="00555A84" w:rsidRDefault="00555A84" w:rsidP="00555A84">
      <w:pPr>
        <w:pStyle w:val="Heading1"/>
      </w:pPr>
      <w:r>
        <w:t>Impact of Employment Events</w:t>
      </w:r>
    </w:p>
    <w:p w:rsidR="00555A84" w:rsidRDefault="00555A84" w:rsidP="00555A84">
      <w:pPr>
        <w:pStyle w:val="NormalDS"/>
        <w:rPr>
          <w:szCs w:val="23"/>
        </w:rPr>
      </w:pPr>
      <w:r>
        <w:rPr>
          <w:szCs w:val="23"/>
        </w:rPr>
        <w:t>The following table shows the impact of various employment events on the date of or prior to the PSP payout.</w:t>
      </w:r>
    </w:p>
    <w:tbl>
      <w:tblPr>
        <w:tblStyle w:val="TableGrid"/>
        <w:tblW w:w="0" w:type="auto"/>
        <w:tblLook w:val="01E0"/>
      </w:tblPr>
      <w:tblGrid>
        <w:gridCol w:w="2288"/>
        <w:gridCol w:w="2338"/>
        <w:gridCol w:w="1892"/>
        <w:gridCol w:w="2230"/>
      </w:tblGrid>
      <w:tr w:rsidR="00555A84" w:rsidTr="004B3437">
        <w:tc>
          <w:tcPr>
            <w:tcW w:w="2288" w:type="dxa"/>
          </w:tcPr>
          <w:p w:rsidR="00555A84" w:rsidRDefault="00555A84" w:rsidP="004B3437">
            <w:pPr>
              <w:pStyle w:val="Table3Data"/>
              <w:widowControl/>
              <w:jc w:val="center"/>
              <w:rPr>
                <w:b/>
              </w:rPr>
            </w:pPr>
          </w:p>
          <w:p w:rsidR="00555A84" w:rsidRDefault="00555A84" w:rsidP="004B3437">
            <w:pPr>
              <w:pStyle w:val="Table3Data"/>
              <w:widowControl/>
              <w:jc w:val="center"/>
              <w:rPr>
                <w:b/>
              </w:rPr>
            </w:pPr>
          </w:p>
          <w:p w:rsidR="00555A84" w:rsidRPr="00960129" w:rsidRDefault="00555A84" w:rsidP="004B3437">
            <w:pPr>
              <w:pStyle w:val="Table3Data"/>
              <w:widowControl/>
              <w:jc w:val="center"/>
              <w:rPr>
                <w:b/>
              </w:rPr>
            </w:pPr>
            <w:r w:rsidRPr="00960129">
              <w:rPr>
                <w:b/>
              </w:rPr>
              <w:t>Employment Event</w:t>
            </w:r>
          </w:p>
        </w:tc>
        <w:tc>
          <w:tcPr>
            <w:tcW w:w="2338" w:type="dxa"/>
          </w:tcPr>
          <w:p w:rsidR="00555A84" w:rsidRDefault="00555A84" w:rsidP="004B3437">
            <w:pPr>
              <w:jc w:val="center"/>
              <w:rPr>
                <w:b/>
              </w:rPr>
            </w:pPr>
          </w:p>
          <w:p w:rsidR="00555A84" w:rsidRPr="00960129" w:rsidRDefault="00555A84" w:rsidP="004B3437">
            <w:pPr>
              <w:jc w:val="center"/>
              <w:rPr>
                <w:b/>
              </w:rPr>
            </w:pPr>
            <w:r>
              <w:rPr>
                <w:b/>
              </w:rPr>
              <w:t>T</w:t>
            </w:r>
            <w:r w:rsidRPr="00960129">
              <w:rPr>
                <w:b/>
              </w:rPr>
              <w:t xml:space="preserve">reatment of </w:t>
            </w:r>
            <w:r>
              <w:rPr>
                <w:b/>
              </w:rPr>
              <w:t>Performance Shares</w:t>
            </w:r>
          </w:p>
        </w:tc>
        <w:tc>
          <w:tcPr>
            <w:tcW w:w="1892" w:type="dxa"/>
          </w:tcPr>
          <w:p w:rsidR="00555A84" w:rsidRDefault="00555A84" w:rsidP="004B3437">
            <w:pPr>
              <w:jc w:val="center"/>
              <w:rPr>
                <w:b/>
              </w:rPr>
            </w:pPr>
          </w:p>
          <w:p w:rsidR="00555A84" w:rsidRDefault="00555A84" w:rsidP="004B3437">
            <w:pPr>
              <w:jc w:val="center"/>
              <w:rPr>
                <w:b/>
              </w:rPr>
            </w:pPr>
          </w:p>
          <w:p w:rsidR="00555A84" w:rsidRPr="00960129" w:rsidRDefault="00555A84" w:rsidP="004B3437">
            <w:pPr>
              <w:jc w:val="center"/>
              <w:rPr>
                <w:b/>
              </w:rPr>
            </w:pPr>
            <w:r w:rsidRPr="00960129">
              <w:rPr>
                <w:b/>
              </w:rPr>
              <w:t>When Paid</w:t>
            </w:r>
          </w:p>
        </w:tc>
        <w:tc>
          <w:tcPr>
            <w:tcW w:w="2230" w:type="dxa"/>
          </w:tcPr>
          <w:p w:rsidR="00555A84" w:rsidRPr="00960129" w:rsidRDefault="00555A84" w:rsidP="004B3437">
            <w:pPr>
              <w:jc w:val="center"/>
              <w:rPr>
                <w:b/>
              </w:rPr>
            </w:pPr>
            <w:r w:rsidRPr="00960129">
              <w:rPr>
                <w:b/>
              </w:rPr>
              <w:t>Eligible for Additional Grants after Employment Event</w:t>
            </w:r>
          </w:p>
        </w:tc>
      </w:tr>
      <w:tr w:rsidR="00555A84" w:rsidTr="004B3437">
        <w:tc>
          <w:tcPr>
            <w:tcW w:w="2288" w:type="dxa"/>
          </w:tcPr>
          <w:p w:rsidR="00555A84" w:rsidRPr="00960129" w:rsidRDefault="00555A84" w:rsidP="004B3437">
            <w:pPr>
              <w:pStyle w:val="Table3Data"/>
              <w:widowControl/>
              <w:jc w:val="center"/>
            </w:pPr>
            <w:r w:rsidRPr="00960129">
              <w:t>Death</w:t>
            </w:r>
            <w:r w:rsidRPr="00960129">
              <w:rPr>
                <w:rStyle w:val="FootnoteReference"/>
              </w:rPr>
              <w:footnoteReference w:id="11"/>
            </w:r>
          </w:p>
          <w:p w:rsidR="00555A84" w:rsidRPr="00960129" w:rsidRDefault="00555A84" w:rsidP="004B3437">
            <w:pPr>
              <w:pStyle w:val="Table3Data"/>
              <w:widowControl/>
              <w:jc w:val="center"/>
            </w:pPr>
            <w:r w:rsidRPr="00960129">
              <w:t>or</w:t>
            </w:r>
          </w:p>
          <w:p w:rsidR="00555A84" w:rsidRPr="00960129" w:rsidRDefault="00555A84" w:rsidP="004B3437">
            <w:pPr>
              <w:pStyle w:val="Table3Data"/>
              <w:widowControl/>
              <w:jc w:val="center"/>
            </w:pPr>
            <w:r w:rsidRPr="00960129">
              <w:t>Retirement</w:t>
            </w:r>
            <w:r w:rsidRPr="00960129">
              <w:rPr>
                <w:rStyle w:val="FootnoteReference"/>
              </w:rPr>
              <w:footnoteReference w:id="12"/>
            </w:r>
          </w:p>
        </w:tc>
        <w:tc>
          <w:tcPr>
            <w:tcW w:w="2338" w:type="dxa"/>
          </w:tcPr>
          <w:p w:rsidR="00555A84" w:rsidRPr="00960129" w:rsidRDefault="00555A84" w:rsidP="004B3437">
            <w:pPr>
              <w:jc w:val="center"/>
            </w:pPr>
            <w:r w:rsidRPr="00960129">
              <w:t xml:space="preserve">Pro rata, based on </w:t>
            </w:r>
            <w:r>
              <w:t>number</w:t>
            </w:r>
            <w:r w:rsidRPr="00960129">
              <w:t xml:space="preserve"> of months employed during the performance period</w:t>
            </w:r>
            <w:r>
              <w:t xml:space="preserve"> and actual TSR performance during entire performance period</w:t>
            </w:r>
          </w:p>
        </w:tc>
        <w:tc>
          <w:tcPr>
            <w:tcW w:w="1892" w:type="dxa"/>
          </w:tcPr>
          <w:p w:rsidR="00555A84" w:rsidRPr="00960129" w:rsidRDefault="00555A84" w:rsidP="004B3437">
            <w:pPr>
              <w:jc w:val="center"/>
            </w:pPr>
            <w:r w:rsidRPr="00960129">
              <w:t>A</w:t>
            </w:r>
            <w:r>
              <w:t>fter e</w:t>
            </w:r>
            <w:r w:rsidRPr="00960129">
              <w:t>nd of performance period</w:t>
            </w:r>
          </w:p>
        </w:tc>
        <w:tc>
          <w:tcPr>
            <w:tcW w:w="2230" w:type="dxa"/>
          </w:tcPr>
          <w:p w:rsidR="00555A84" w:rsidRPr="00960129" w:rsidRDefault="00555A84" w:rsidP="004B3437">
            <w:pPr>
              <w:jc w:val="center"/>
            </w:pPr>
            <w:r w:rsidRPr="00960129">
              <w:t>No</w:t>
            </w:r>
          </w:p>
        </w:tc>
      </w:tr>
      <w:tr w:rsidR="00555A84" w:rsidTr="004B3437">
        <w:tc>
          <w:tcPr>
            <w:tcW w:w="2288" w:type="dxa"/>
          </w:tcPr>
          <w:p w:rsidR="00555A84" w:rsidRPr="00960129" w:rsidRDefault="00555A84" w:rsidP="004B3437">
            <w:pPr>
              <w:pStyle w:val="Table3Data"/>
              <w:widowControl/>
              <w:jc w:val="center"/>
            </w:pPr>
            <w:r>
              <w:t>Any termination for cause</w:t>
            </w:r>
            <w:r>
              <w:rPr>
                <w:vertAlign w:val="superscript"/>
              </w:rPr>
              <w:t>18</w:t>
            </w:r>
            <w:r>
              <w:t xml:space="preserve"> at any time on or before date of PSP payout</w:t>
            </w:r>
          </w:p>
        </w:tc>
        <w:tc>
          <w:tcPr>
            <w:tcW w:w="2338" w:type="dxa"/>
          </w:tcPr>
          <w:p w:rsidR="00555A84" w:rsidRDefault="00555A84" w:rsidP="004B3437">
            <w:pPr>
              <w:jc w:val="center"/>
            </w:pPr>
            <w:r>
              <w:t>No payout</w:t>
            </w:r>
          </w:p>
        </w:tc>
        <w:tc>
          <w:tcPr>
            <w:tcW w:w="1892" w:type="dxa"/>
          </w:tcPr>
          <w:p w:rsidR="00555A84" w:rsidRDefault="00555A84" w:rsidP="004B3437">
            <w:pPr>
              <w:jc w:val="center"/>
            </w:pPr>
            <w:r>
              <w:t>No payout</w:t>
            </w:r>
          </w:p>
        </w:tc>
        <w:tc>
          <w:tcPr>
            <w:tcW w:w="2230" w:type="dxa"/>
          </w:tcPr>
          <w:p w:rsidR="00555A84" w:rsidRPr="00960129" w:rsidRDefault="00555A84" w:rsidP="004B3437">
            <w:pPr>
              <w:jc w:val="center"/>
            </w:pPr>
            <w:r>
              <w:t>No</w:t>
            </w:r>
          </w:p>
        </w:tc>
      </w:tr>
      <w:tr w:rsidR="00555A84" w:rsidTr="004B3437">
        <w:tc>
          <w:tcPr>
            <w:tcW w:w="2288" w:type="dxa"/>
          </w:tcPr>
          <w:p w:rsidR="00555A84" w:rsidRPr="00960129" w:rsidRDefault="00555A84" w:rsidP="004B3437">
            <w:pPr>
              <w:pStyle w:val="Table3Data"/>
              <w:keepNext/>
              <w:keepLines/>
              <w:widowControl/>
              <w:jc w:val="center"/>
            </w:pPr>
            <w:r w:rsidRPr="00960129">
              <w:t>Any other type of termination</w:t>
            </w:r>
            <w:r>
              <w:t xml:space="preserve"> not for cause </w:t>
            </w:r>
            <w:r>
              <w:rPr>
                <w:u w:val="single"/>
              </w:rPr>
              <w:t>on or before</w:t>
            </w:r>
            <w:r>
              <w:t xml:space="preserve"> end of performance period</w:t>
            </w:r>
          </w:p>
        </w:tc>
        <w:tc>
          <w:tcPr>
            <w:tcW w:w="2338" w:type="dxa"/>
          </w:tcPr>
          <w:p w:rsidR="00555A84" w:rsidRPr="00960129" w:rsidRDefault="00555A84" w:rsidP="004B3437">
            <w:pPr>
              <w:keepNext/>
              <w:keepLines/>
              <w:jc w:val="center"/>
            </w:pPr>
            <w:r>
              <w:t>No payout</w:t>
            </w:r>
          </w:p>
        </w:tc>
        <w:tc>
          <w:tcPr>
            <w:tcW w:w="1892" w:type="dxa"/>
          </w:tcPr>
          <w:p w:rsidR="00555A84" w:rsidRPr="00960129" w:rsidRDefault="00555A84" w:rsidP="004B3437">
            <w:pPr>
              <w:keepNext/>
              <w:keepLines/>
              <w:jc w:val="center"/>
            </w:pPr>
            <w:r>
              <w:t>No payout</w:t>
            </w:r>
          </w:p>
        </w:tc>
        <w:tc>
          <w:tcPr>
            <w:tcW w:w="2230" w:type="dxa"/>
          </w:tcPr>
          <w:p w:rsidR="00555A84" w:rsidRPr="00960129" w:rsidRDefault="00555A84" w:rsidP="004B3437">
            <w:pPr>
              <w:keepNext/>
              <w:keepLines/>
              <w:jc w:val="center"/>
            </w:pPr>
            <w:r w:rsidRPr="00960129">
              <w:t>No</w:t>
            </w:r>
          </w:p>
        </w:tc>
      </w:tr>
      <w:tr w:rsidR="00555A84" w:rsidTr="004B3437">
        <w:tc>
          <w:tcPr>
            <w:tcW w:w="2288" w:type="dxa"/>
          </w:tcPr>
          <w:p w:rsidR="00555A84" w:rsidRPr="00960129" w:rsidRDefault="00555A84" w:rsidP="004B3437">
            <w:pPr>
              <w:pStyle w:val="Table3Data"/>
              <w:widowControl/>
              <w:jc w:val="center"/>
            </w:pPr>
            <w:r>
              <w:t xml:space="preserve">Any other type of termination other than for cause </w:t>
            </w:r>
            <w:r>
              <w:rPr>
                <w:u w:val="single"/>
              </w:rPr>
              <w:t>after</w:t>
            </w:r>
            <w:r>
              <w:t xml:space="preserve"> the end of the </w:t>
            </w:r>
            <w:r>
              <w:lastRenderedPageBreak/>
              <w:t>performance period</w:t>
            </w:r>
          </w:p>
        </w:tc>
        <w:tc>
          <w:tcPr>
            <w:tcW w:w="2338" w:type="dxa"/>
          </w:tcPr>
          <w:p w:rsidR="00555A84" w:rsidRDefault="00555A84" w:rsidP="004B3437">
            <w:pPr>
              <w:jc w:val="center"/>
            </w:pPr>
            <w:r>
              <w:lastRenderedPageBreak/>
              <w:t>Will receive vested PSP payout only</w:t>
            </w:r>
          </w:p>
        </w:tc>
        <w:tc>
          <w:tcPr>
            <w:tcW w:w="1892" w:type="dxa"/>
          </w:tcPr>
          <w:p w:rsidR="00555A84" w:rsidRDefault="00555A84" w:rsidP="004B3437">
            <w:pPr>
              <w:jc w:val="center"/>
            </w:pPr>
            <w:r>
              <w:t>After end of performance period</w:t>
            </w:r>
          </w:p>
        </w:tc>
        <w:tc>
          <w:tcPr>
            <w:tcW w:w="2230" w:type="dxa"/>
          </w:tcPr>
          <w:p w:rsidR="00555A84" w:rsidRPr="00960129" w:rsidRDefault="00555A84" w:rsidP="004B3437">
            <w:pPr>
              <w:jc w:val="center"/>
            </w:pPr>
            <w:r>
              <w:t>No</w:t>
            </w:r>
          </w:p>
        </w:tc>
      </w:tr>
      <w:tr w:rsidR="00555A84" w:rsidTr="004B3437">
        <w:tc>
          <w:tcPr>
            <w:tcW w:w="2288" w:type="dxa"/>
          </w:tcPr>
          <w:p w:rsidR="00555A84" w:rsidRPr="00960129" w:rsidRDefault="00555A84" w:rsidP="004B3437">
            <w:pPr>
              <w:pStyle w:val="Table3Data"/>
              <w:widowControl/>
              <w:tabs>
                <w:tab w:val="left" w:pos="222"/>
              </w:tabs>
              <w:jc w:val="center"/>
            </w:pPr>
            <w:r w:rsidRPr="00960129">
              <w:lastRenderedPageBreak/>
              <w:t>Paid Leave of Absence</w:t>
            </w:r>
          </w:p>
        </w:tc>
        <w:tc>
          <w:tcPr>
            <w:tcW w:w="2338" w:type="dxa"/>
          </w:tcPr>
          <w:p w:rsidR="00555A84" w:rsidRPr="00960129" w:rsidRDefault="00555A84" w:rsidP="004B3437">
            <w:pPr>
              <w:jc w:val="center"/>
            </w:pPr>
            <w:r>
              <w:t>Same as active employee</w:t>
            </w:r>
          </w:p>
        </w:tc>
        <w:tc>
          <w:tcPr>
            <w:tcW w:w="1892" w:type="dxa"/>
          </w:tcPr>
          <w:p w:rsidR="00555A84" w:rsidRPr="00960129" w:rsidRDefault="00555A84" w:rsidP="004B3437">
            <w:pPr>
              <w:jc w:val="center"/>
            </w:pPr>
            <w:r w:rsidRPr="00960129">
              <w:t>A</w:t>
            </w:r>
            <w:r>
              <w:t>f</w:t>
            </w:r>
            <w:r w:rsidRPr="00960129">
              <w:t>t</w:t>
            </w:r>
            <w:r>
              <w:t>er</w:t>
            </w:r>
            <w:r w:rsidRPr="00960129">
              <w:t xml:space="preserve"> end of performance period</w:t>
            </w:r>
          </w:p>
        </w:tc>
        <w:tc>
          <w:tcPr>
            <w:tcW w:w="2230" w:type="dxa"/>
          </w:tcPr>
          <w:p w:rsidR="00555A84" w:rsidRPr="00960129" w:rsidRDefault="00555A84" w:rsidP="004B3437">
            <w:pPr>
              <w:jc w:val="center"/>
            </w:pPr>
            <w:r>
              <w:t>No</w:t>
            </w:r>
          </w:p>
        </w:tc>
      </w:tr>
      <w:tr w:rsidR="00555A84" w:rsidTr="004B3437">
        <w:tc>
          <w:tcPr>
            <w:tcW w:w="2288" w:type="dxa"/>
          </w:tcPr>
          <w:p w:rsidR="00555A84" w:rsidRPr="00960129" w:rsidRDefault="00555A84" w:rsidP="004B3437">
            <w:pPr>
              <w:pStyle w:val="Table3Data"/>
              <w:widowControl/>
              <w:tabs>
                <w:tab w:val="left" w:pos="222"/>
              </w:tabs>
              <w:jc w:val="center"/>
            </w:pPr>
            <w:r w:rsidRPr="00960129">
              <w:t>Military Leave of Absence</w:t>
            </w:r>
          </w:p>
        </w:tc>
        <w:tc>
          <w:tcPr>
            <w:tcW w:w="2338" w:type="dxa"/>
          </w:tcPr>
          <w:p w:rsidR="00555A84" w:rsidRPr="00960129" w:rsidRDefault="00555A84" w:rsidP="004B3437">
            <w:pPr>
              <w:jc w:val="center"/>
            </w:pPr>
            <w:r>
              <w:t>Same as active employee</w:t>
            </w:r>
          </w:p>
        </w:tc>
        <w:tc>
          <w:tcPr>
            <w:tcW w:w="1892" w:type="dxa"/>
          </w:tcPr>
          <w:p w:rsidR="00555A84" w:rsidRPr="00960129" w:rsidRDefault="00555A84" w:rsidP="004B3437">
            <w:pPr>
              <w:jc w:val="center"/>
            </w:pPr>
            <w:r w:rsidRPr="00960129">
              <w:t>A</w:t>
            </w:r>
            <w:r>
              <w:t>f</w:t>
            </w:r>
            <w:r w:rsidRPr="00960129">
              <w:t>t</w:t>
            </w:r>
            <w:r>
              <w:t>er</w:t>
            </w:r>
            <w:r w:rsidRPr="00960129">
              <w:t xml:space="preserve"> end of performance period</w:t>
            </w:r>
          </w:p>
        </w:tc>
        <w:tc>
          <w:tcPr>
            <w:tcW w:w="2230" w:type="dxa"/>
          </w:tcPr>
          <w:p w:rsidR="00555A84" w:rsidRPr="00960129" w:rsidRDefault="00555A84" w:rsidP="004B3437">
            <w:pPr>
              <w:jc w:val="center"/>
            </w:pPr>
            <w:r w:rsidRPr="00960129">
              <w:t>No</w:t>
            </w:r>
          </w:p>
        </w:tc>
      </w:tr>
      <w:tr w:rsidR="00555A84" w:rsidTr="004B3437">
        <w:tc>
          <w:tcPr>
            <w:tcW w:w="2288" w:type="dxa"/>
          </w:tcPr>
          <w:p w:rsidR="00555A84" w:rsidRPr="00960129" w:rsidRDefault="00555A84" w:rsidP="004B3437">
            <w:pPr>
              <w:pStyle w:val="Table3Data"/>
              <w:widowControl/>
              <w:tabs>
                <w:tab w:val="left" w:pos="222"/>
              </w:tabs>
              <w:jc w:val="center"/>
            </w:pPr>
            <w:r w:rsidRPr="00960129">
              <w:t>Unpaid Leave of Absence or disability</w:t>
            </w:r>
            <w:r w:rsidRPr="00960129">
              <w:rPr>
                <w:rStyle w:val="FootnoteReference"/>
              </w:rPr>
              <w:footnoteReference w:id="13"/>
            </w:r>
          </w:p>
        </w:tc>
        <w:tc>
          <w:tcPr>
            <w:tcW w:w="2338" w:type="dxa"/>
          </w:tcPr>
          <w:p w:rsidR="00555A84" w:rsidRPr="00960129" w:rsidRDefault="00555A84" w:rsidP="004B3437">
            <w:pPr>
              <w:jc w:val="center"/>
            </w:pPr>
            <w:r>
              <w:t>Same as active employee</w:t>
            </w:r>
          </w:p>
        </w:tc>
        <w:tc>
          <w:tcPr>
            <w:tcW w:w="1892" w:type="dxa"/>
          </w:tcPr>
          <w:p w:rsidR="00555A84" w:rsidRPr="00960129" w:rsidRDefault="00555A84" w:rsidP="004B3437">
            <w:pPr>
              <w:jc w:val="center"/>
            </w:pPr>
            <w:r w:rsidRPr="00960129">
              <w:t>A</w:t>
            </w:r>
            <w:r>
              <w:t>f</w:t>
            </w:r>
            <w:r w:rsidRPr="00960129">
              <w:t>t</w:t>
            </w:r>
            <w:r>
              <w:t>er</w:t>
            </w:r>
            <w:r w:rsidRPr="00960129">
              <w:t xml:space="preserve"> end of performance period</w:t>
            </w:r>
          </w:p>
        </w:tc>
        <w:tc>
          <w:tcPr>
            <w:tcW w:w="2230" w:type="dxa"/>
          </w:tcPr>
          <w:p w:rsidR="00555A84" w:rsidRPr="00960129" w:rsidRDefault="00555A84" w:rsidP="004B3437">
            <w:pPr>
              <w:jc w:val="center"/>
            </w:pPr>
            <w:r w:rsidRPr="00960129">
              <w:t>No</w:t>
            </w:r>
          </w:p>
        </w:tc>
      </w:tr>
      <w:tr w:rsidR="00555A84" w:rsidTr="004B3437">
        <w:tc>
          <w:tcPr>
            <w:tcW w:w="2288" w:type="dxa"/>
          </w:tcPr>
          <w:p w:rsidR="00555A84" w:rsidRPr="00960129" w:rsidRDefault="00555A84" w:rsidP="004B3437">
            <w:pPr>
              <w:pStyle w:val="Table3Data"/>
              <w:widowControl/>
              <w:jc w:val="center"/>
            </w:pPr>
            <w:r w:rsidRPr="00960129">
              <w:t>New hires, Rehire, Promotion to Eligible Position</w:t>
            </w:r>
          </w:p>
        </w:tc>
        <w:tc>
          <w:tcPr>
            <w:tcW w:w="2338" w:type="dxa"/>
          </w:tcPr>
          <w:p w:rsidR="00555A84" w:rsidRPr="00960129" w:rsidRDefault="00555A84" w:rsidP="004B3437">
            <w:pPr>
              <w:jc w:val="center"/>
            </w:pPr>
            <w:r>
              <w:t>No awards for existing performance periods</w:t>
            </w:r>
          </w:p>
        </w:tc>
        <w:tc>
          <w:tcPr>
            <w:tcW w:w="1892" w:type="dxa"/>
          </w:tcPr>
          <w:p w:rsidR="00555A84" w:rsidRPr="00960129" w:rsidRDefault="00555A84" w:rsidP="004B3437">
            <w:pPr>
              <w:jc w:val="center"/>
            </w:pPr>
            <w:r w:rsidRPr="00960129">
              <w:t>N/A</w:t>
            </w:r>
          </w:p>
        </w:tc>
        <w:tc>
          <w:tcPr>
            <w:tcW w:w="2230" w:type="dxa"/>
          </w:tcPr>
          <w:p w:rsidR="00555A84" w:rsidRPr="00960129" w:rsidRDefault="00555A84" w:rsidP="004B3437">
            <w:pPr>
              <w:jc w:val="center"/>
            </w:pPr>
            <w:r w:rsidRPr="00960129">
              <w:t>Yes</w:t>
            </w:r>
          </w:p>
        </w:tc>
      </w:tr>
      <w:tr w:rsidR="00555A84" w:rsidTr="004B3437">
        <w:tc>
          <w:tcPr>
            <w:tcW w:w="2288" w:type="dxa"/>
          </w:tcPr>
          <w:p w:rsidR="00555A84" w:rsidRPr="00960129" w:rsidRDefault="00555A84" w:rsidP="004B3437">
            <w:pPr>
              <w:pStyle w:val="Table3Data"/>
              <w:widowControl/>
              <w:tabs>
                <w:tab w:val="left" w:pos="222"/>
              </w:tabs>
              <w:jc w:val="center"/>
            </w:pPr>
            <w:r w:rsidRPr="00960129">
              <w:t>Demotion to Ineligible Position</w:t>
            </w:r>
          </w:p>
        </w:tc>
        <w:tc>
          <w:tcPr>
            <w:tcW w:w="2338" w:type="dxa"/>
          </w:tcPr>
          <w:p w:rsidR="00555A84" w:rsidRPr="00960129" w:rsidRDefault="00555A84" w:rsidP="004B3437">
            <w:pPr>
              <w:jc w:val="center"/>
            </w:pPr>
            <w:r>
              <w:t>Same as active employee</w:t>
            </w:r>
          </w:p>
        </w:tc>
        <w:tc>
          <w:tcPr>
            <w:tcW w:w="1892" w:type="dxa"/>
          </w:tcPr>
          <w:p w:rsidR="00555A84" w:rsidRPr="00960129" w:rsidRDefault="00555A84" w:rsidP="004B3437">
            <w:pPr>
              <w:jc w:val="center"/>
            </w:pPr>
            <w:r>
              <w:t>After</w:t>
            </w:r>
            <w:r w:rsidRPr="00960129">
              <w:t xml:space="preserve"> end of performance period</w:t>
            </w:r>
          </w:p>
        </w:tc>
        <w:tc>
          <w:tcPr>
            <w:tcW w:w="2230" w:type="dxa"/>
          </w:tcPr>
          <w:p w:rsidR="00555A84" w:rsidRPr="00960129" w:rsidRDefault="00555A84" w:rsidP="004B3437">
            <w:pPr>
              <w:jc w:val="center"/>
            </w:pPr>
            <w:r w:rsidRPr="00960129">
              <w:t>No</w:t>
            </w:r>
          </w:p>
        </w:tc>
      </w:tr>
    </w:tbl>
    <w:p w:rsidR="00555A84" w:rsidRDefault="00555A84" w:rsidP="00555A84">
      <w:pPr>
        <w:pStyle w:val="Heading1"/>
        <w:spacing w:before="240"/>
      </w:pPr>
      <w:r>
        <w:t>Impact on Other Plans</w:t>
      </w:r>
    </w:p>
    <w:p w:rsidR="00555A84" w:rsidRDefault="00555A84" w:rsidP="00555A84">
      <w:pPr>
        <w:pStyle w:val="NormalDS"/>
        <w:rPr>
          <w:szCs w:val="23"/>
        </w:rPr>
      </w:pPr>
      <w:r>
        <w:rPr>
          <w:szCs w:val="23"/>
        </w:rPr>
        <w:t>PSP payouts are not considered pay for purposes of the Southern Company Pension Plan, ESOP, SERP or 401(k) plans.</w:t>
      </w:r>
    </w:p>
    <w:p w:rsidR="00555A84" w:rsidRDefault="00555A84" w:rsidP="00555A84">
      <w:pPr>
        <w:pStyle w:val="Heading1"/>
      </w:pPr>
      <w:r>
        <w:t>Deferral Opportunities</w:t>
      </w:r>
    </w:p>
    <w:p w:rsidR="00555A84" w:rsidRDefault="00555A84" w:rsidP="00555A84">
      <w:pPr>
        <w:pStyle w:val="NormalDS"/>
        <w:rPr>
          <w:szCs w:val="23"/>
        </w:rPr>
      </w:pPr>
      <w:r>
        <w:rPr>
          <w:szCs w:val="23"/>
        </w:rPr>
        <w:t>Participants in the Southern Company Deferred Compensation Plan may not defer receipt of PSP payouts.</w:t>
      </w:r>
    </w:p>
    <w:p w:rsidR="00555A84" w:rsidRDefault="00555A84" w:rsidP="00555A84">
      <w:pPr>
        <w:pStyle w:val="Heading1"/>
      </w:pPr>
      <w:r>
        <w:t>No Right to Assign and No Right to Employment</w:t>
      </w:r>
    </w:p>
    <w:p w:rsidR="00555A84" w:rsidRDefault="00555A84" w:rsidP="00555A84">
      <w:pPr>
        <w:pStyle w:val="NormalDS"/>
      </w:pPr>
      <w:r>
        <w:rPr>
          <w:szCs w:val="23"/>
        </w:rPr>
        <w:t xml:space="preserve">Payments </w:t>
      </w:r>
      <w:r>
        <w:t>from this program are not subject to assignment or transfer for any reason, including transfers incident to a divorce. Any attempt to assign or transfer the right to payments from this program shall be void and have no effect. No employment rights are created by this program or the Omnibus Plan.</w:t>
      </w:r>
    </w:p>
    <w:p w:rsidR="00555A84" w:rsidRDefault="00555A84" w:rsidP="00555A84">
      <w:pPr>
        <w:pStyle w:val="Heading1"/>
      </w:pPr>
      <w:r>
        <w:t>Service of Process</w:t>
      </w:r>
    </w:p>
    <w:p w:rsidR="00555A84" w:rsidRDefault="00555A84" w:rsidP="00555A84">
      <w:pPr>
        <w:pStyle w:val="NormalDS"/>
        <w:rPr>
          <w:szCs w:val="23"/>
        </w:rPr>
      </w:pPr>
      <w:r>
        <w:rPr>
          <w:szCs w:val="23"/>
        </w:rPr>
        <w:t>The Vice President of Human Resources is the agent for service of process for the Omnibus Plan.</w:t>
      </w:r>
    </w:p>
    <w:p w:rsidR="00555A84" w:rsidRDefault="00555A84" w:rsidP="00555A84">
      <w:pPr>
        <w:spacing w:after="240"/>
      </w:pPr>
    </w:p>
    <w:p w:rsidR="00555A84" w:rsidRDefault="00555A84" w:rsidP="00555A84">
      <w:pPr>
        <w:pStyle w:val="MainTitle2Lne"/>
        <w:widowControl/>
      </w:pPr>
      <w:bookmarkStart w:id="4" w:name="_Toc53819587"/>
      <w:r>
        <w:lastRenderedPageBreak/>
        <w:t>Performance Dividend Program</w:t>
      </w:r>
      <w:r>
        <w:br/>
        <w:t>Design Details</w:t>
      </w:r>
      <w:bookmarkEnd w:id="4"/>
    </w:p>
    <w:p w:rsidR="00555A84" w:rsidRDefault="00555A84" w:rsidP="00555A84">
      <w:pPr>
        <w:pStyle w:val="MainTitleRule"/>
        <w:widowControl/>
      </w:pPr>
    </w:p>
    <w:p w:rsidR="00555A84" w:rsidRDefault="00555A84" w:rsidP="00555A84">
      <w:pPr>
        <w:pStyle w:val="Heading1"/>
      </w:pPr>
      <w:r>
        <w:t>Program Concept</w:t>
      </w:r>
    </w:p>
    <w:p w:rsidR="00555A84" w:rsidRDefault="00555A84" w:rsidP="00555A84">
      <w:r>
        <w:t xml:space="preserve">The Performance Dividend Program (“PDP”) is being phased out and replaced with the Performance Share Program.  No new PDP performance periods will be established.  PDP will phase out over the next three years for existing performance periods.  </w:t>
      </w:r>
      <w:proofErr w:type="gramStart"/>
      <w:r>
        <w:t>No  new</w:t>
      </w:r>
      <w:proofErr w:type="gramEnd"/>
      <w:r>
        <w:t xml:space="preserve"> PDP eligible options will be granted in 2010 or thereafter.</w:t>
      </w:r>
    </w:p>
    <w:p w:rsidR="00555A84" w:rsidRDefault="00555A84" w:rsidP="00555A84"/>
    <w:p w:rsidR="00555A84" w:rsidRDefault="00555A84" w:rsidP="00555A84">
      <w:r>
        <w:t xml:space="preserve">PDP pays from 0% to 100% of a full year’s dividend for each option (granted prior to 2010) held at the end of the applicable performance measurement period. The amount of the dividend paid depends on Southern Company’s Total Shareholder Return as measured against a peer group over the performance measurement period.  </w:t>
      </w:r>
    </w:p>
    <w:p w:rsidR="00555A84" w:rsidRDefault="00555A84" w:rsidP="00555A84"/>
    <w:p w:rsidR="00555A84" w:rsidRDefault="00555A84" w:rsidP="00555A84">
      <w:r>
        <w:t xml:space="preserve">PDP is governed by the Southern Company 2006 Omnibus Incentive Compensation Plan (“Omnibus Plan”), as amended from time to time.  The Omnibus Plan is administered by the Compensation and Management Succession Committee of the Board of Directors of Southern Company (“the Committee”).  </w:t>
      </w:r>
    </w:p>
    <w:p w:rsidR="00555A84" w:rsidRDefault="00555A84" w:rsidP="00555A84"/>
    <w:p w:rsidR="00555A84" w:rsidRDefault="00555A84" w:rsidP="00555A84">
      <w:r>
        <w:t>These Design Details describe the various components of PDP awards.  These Design Details and any other administrative documents may be amended at any time by the Committee.</w:t>
      </w:r>
    </w:p>
    <w:p w:rsidR="00555A84" w:rsidRDefault="00555A84" w:rsidP="00555A84"/>
    <w:p w:rsidR="00555A84" w:rsidRDefault="00555A84" w:rsidP="00555A84">
      <w:pPr>
        <w:pStyle w:val="Heading1"/>
      </w:pPr>
      <w:r>
        <w:t>Eligibility</w:t>
      </w:r>
    </w:p>
    <w:p w:rsidR="00555A84" w:rsidRDefault="00555A84" w:rsidP="00555A84">
      <w:r>
        <w:t>All Southern Company optionholders who are employees of Southern Company or a subsidiary of Southern Company are eligible for Performance Dividends based on performance periods that began prior to 2010 for options granted prior to 2010 but after 1996.</w:t>
      </w:r>
      <w:r>
        <w:rPr>
          <w:rStyle w:val="FootnoteReference"/>
        </w:rPr>
        <w:footnoteReference w:id="14"/>
      </w:r>
      <w:r>
        <w:t xml:space="preserve">  No new performance periods will be established after 2009.</w:t>
      </w:r>
    </w:p>
    <w:p w:rsidR="00555A84" w:rsidRDefault="00555A84" w:rsidP="00555A84"/>
    <w:p w:rsidR="00555A84" w:rsidRDefault="00555A84" w:rsidP="00555A84">
      <w:r>
        <w:t>Notwithstanding the above, at the beginning of the last year of each performance measurement period, the Committee will determine whether it will authorize payouts to vested employees as of the end of such performance measurement period (subject to satisfaction of the established performance criteria).</w:t>
      </w:r>
    </w:p>
    <w:p w:rsidR="00555A84" w:rsidRDefault="00555A84" w:rsidP="00555A84"/>
    <w:p w:rsidR="00555A84" w:rsidRDefault="00555A84" w:rsidP="00555A84">
      <w:pPr>
        <w:pStyle w:val="Heading1"/>
      </w:pPr>
      <w:r>
        <w:t>How Performance Is Measured</w:t>
      </w:r>
    </w:p>
    <w:p w:rsidR="00555A84" w:rsidRDefault="00555A84" w:rsidP="00555A84">
      <w:r>
        <w:t xml:space="preserve">Generally, the performance measure is Southern Company’s Total Shareholder Return (TSR) as compared to the Total Shareholder Return of a designated peer group of companies (expressed as a percentile ranking).  Total Shareholder Return is calculated as the total value at the end of the performance measurement period (or such other earlier date established by Southern Company’s CEO) assuming investment of $100 at the beginning of each quarter.  In making this calculation, quarterly reinvestment of dividends in the same stock are assumed.  Beginning with the 2005-2008 performance </w:t>
      </w:r>
      <w:proofErr w:type="gramStart"/>
      <w:r>
        <w:t>period</w:t>
      </w:r>
      <w:proofErr w:type="gramEnd"/>
      <w:r>
        <w:t>, the performance will be determined at the end of each quarter of the final year of the performance period.  For each quarter, the relative TSR ranking will determine the corresponding PDP payout percentage, which is multiplied by the dividend paid during that quarter.</w:t>
      </w:r>
    </w:p>
    <w:p w:rsidR="00555A84" w:rsidRDefault="00555A84" w:rsidP="00555A84"/>
    <w:p w:rsidR="00555A84" w:rsidRDefault="00555A84" w:rsidP="00555A84">
      <w:pPr>
        <w:pStyle w:val="Heading1"/>
      </w:pPr>
      <w:r>
        <w:t>Performance Measurement Period</w:t>
      </w:r>
    </w:p>
    <w:p w:rsidR="00555A84" w:rsidRDefault="00555A84" w:rsidP="00555A84">
      <w:pPr>
        <w:pStyle w:val="NormalDS"/>
        <w:widowControl/>
        <w:spacing w:after="240"/>
      </w:pPr>
      <w:r>
        <w:t>A performance measurement period begins on January 1 of each year, and continues until December 31 four years later.  The outstanding performance periods are 2007-2010, 2008-2011, and 2009-2012.</w:t>
      </w:r>
    </w:p>
    <w:p w:rsidR="00555A84" w:rsidRDefault="00555A84" w:rsidP="00555A84">
      <w:pPr>
        <w:pStyle w:val="Heading1"/>
      </w:pPr>
      <w:r>
        <w:t>Peer Group</w:t>
      </w:r>
    </w:p>
    <w:p w:rsidR="00555A84" w:rsidRDefault="00555A84" w:rsidP="00555A84">
      <w:pPr>
        <w:pStyle w:val="NormalDS"/>
        <w:widowControl/>
        <w:spacing w:after="240"/>
      </w:pPr>
      <w:r>
        <w:t>Performance is measured against a peer group of companies.  The peer group is redefined by the Committee for each new performance measurement period but generally stays constant during that performance measurement period, except for the impact of mergers and acquisitions.</w:t>
      </w:r>
      <w:r>
        <w:rPr>
          <w:lang w:val="en-US"/>
        </w:rPr>
        <w:t xml:space="preserve"> </w:t>
      </w:r>
      <w:r>
        <w:t xml:space="preserve"> In order to be </w:t>
      </w:r>
      <w:r>
        <w:lastRenderedPageBreak/>
        <w:t xml:space="preserve">counted in the final calculations, a company must be in the peer group at both the beginning and the end of the performance measurement period. </w:t>
      </w:r>
    </w:p>
    <w:p w:rsidR="00555A84" w:rsidRDefault="00555A84" w:rsidP="00555A84">
      <w:pPr>
        <w:pStyle w:val="NormalDS"/>
        <w:widowControl/>
        <w:spacing w:after="240"/>
        <w:rPr>
          <w:lang w:val="en-US"/>
        </w:rPr>
      </w:pPr>
      <w:r>
        <w:t>The Committee in its discretion may add or delete companies from the peer group during the performance measurement period to the extent that it deems appropriate.</w:t>
      </w:r>
    </w:p>
    <w:p w:rsidR="00555A84" w:rsidRDefault="00555A84" w:rsidP="00555A84">
      <w:pPr>
        <w:pStyle w:val="Heading1"/>
      </w:pPr>
      <w:r>
        <w:t>Total Shareholder Return Performance/Payout Relationship</w:t>
      </w:r>
    </w:p>
    <w:p w:rsidR="00555A84" w:rsidRDefault="00555A84" w:rsidP="00555A84">
      <w:pPr>
        <w:pStyle w:val="NormalDS"/>
        <w:widowControl/>
        <w:spacing w:after="240"/>
      </w:pPr>
      <w:r>
        <w:t>Once Total Shareholder Return for the performance measurement period is calculated, Southern Company’s percentile ranking as compared to the peer group companies can be determined.  That ranking is then used to determine the percent of the normal dividends paid in the final year of the performance measurement period that will be paid as Performance Dividend payout to each participant who holds options for Southern Company stock on the last day of such performance measurement period, as set forth in the chart below. Payout for performance between points is interpolated on a straight-line basis.</w:t>
      </w:r>
    </w:p>
    <w:tbl>
      <w:tblPr>
        <w:tblW w:w="0" w:type="auto"/>
        <w:tblInd w:w="108" w:type="dxa"/>
        <w:tblLayout w:type="fixed"/>
        <w:tblLook w:val="0000"/>
      </w:tblPr>
      <w:tblGrid>
        <w:gridCol w:w="3780"/>
        <w:gridCol w:w="3330"/>
      </w:tblGrid>
      <w:tr w:rsidR="00555A84" w:rsidTr="004B3437">
        <w:trPr>
          <w:cantSplit/>
          <w:trHeight w:val="360"/>
        </w:trPr>
        <w:tc>
          <w:tcPr>
            <w:tcW w:w="3780" w:type="dxa"/>
            <w:tcBorders>
              <w:top w:val="single" w:sz="18" w:space="0" w:color="auto"/>
              <w:left w:val="nil"/>
              <w:bottom w:val="single" w:sz="6" w:space="0" w:color="auto"/>
              <w:right w:val="nil"/>
            </w:tcBorders>
          </w:tcPr>
          <w:p w:rsidR="00555A84" w:rsidRDefault="00555A84" w:rsidP="004B3437">
            <w:pPr>
              <w:pStyle w:val="Table2Hdgs"/>
              <w:widowControl/>
            </w:pPr>
            <w:r>
              <w:t>Southern Company’s Percentile Ranking in 4-Year Total Shareholder Return vs. Peers</w:t>
            </w:r>
          </w:p>
        </w:tc>
        <w:tc>
          <w:tcPr>
            <w:tcW w:w="3330" w:type="dxa"/>
            <w:tcBorders>
              <w:top w:val="single" w:sz="18" w:space="0" w:color="auto"/>
              <w:left w:val="nil"/>
              <w:bottom w:val="single" w:sz="6" w:space="0" w:color="auto"/>
              <w:right w:val="nil"/>
            </w:tcBorders>
          </w:tcPr>
          <w:p w:rsidR="00555A84" w:rsidRDefault="00555A84" w:rsidP="004B3437">
            <w:pPr>
              <w:pStyle w:val="Table2Hdgs"/>
              <w:widowControl/>
            </w:pPr>
            <w:r>
              <w:t>Percent of a Full Year’s Dividend Paid on Each Option Held</w:t>
            </w:r>
          </w:p>
        </w:tc>
      </w:tr>
      <w:tr w:rsidR="00555A84" w:rsidTr="004B3437">
        <w:trPr>
          <w:cantSplit/>
          <w:trHeight w:val="360"/>
        </w:trPr>
        <w:tc>
          <w:tcPr>
            <w:tcW w:w="3780" w:type="dxa"/>
            <w:tcBorders>
              <w:top w:val="nil"/>
              <w:left w:val="nil"/>
              <w:bottom w:val="nil"/>
              <w:right w:val="nil"/>
            </w:tcBorders>
          </w:tcPr>
          <w:p w:rsidR="00555A84" w:rsidRDefault="00555A84" w:rsidP="004B3437">
            <w:pPr>
              <w:pStyle w:val="Table3Data"/>
              <w:widowControl/>
            </w:pPr>
            <w:r>
              <w:t>90</w:t>
            </w:r>
            <w:r w:rsidRPr="003B5606">
              <w:rPr>
                <w:vertAlign w:val="superscript"/>
              </w:rPr>
              <w:t>th</w:t>
            </w:r>
            <w:r>
              <w:t xml:space="preserve"> or higher</w:t>
            </w:r>
            <w:r>
              <w:rPr>
                <w:vertAlign w:val="superscript"/>
              </w:rPr>
              <w:t xml:space="preserve"> </w:t>
            </w:r>
          </w:p>
        </w:tc>
        <w:tc>
          <w:tcPr>
            <w:tcW w:w="3330" w:type="dxa"/>
            <w:tcBorders>
              <w:top w:val="nil"/>
              <w:left w:val="nil"/>
              <w:bottom w:val="nil"/>
              <w:right w:val="nil"/>
            </w:tcBorders>
          </w:tcPr>
          <w:p w:rsidR="00555A84" w:rsidRDefault="00555A84" w:rsidP="004B3437">
            <w:pPr>
              <w:pStyle w:val="Table3Data"/>
              <w:widowControl/>
            </w:pPr>
            <w:r>
              <w:t>100%</w:t>
            </w:r>
          </w:p>
        </w:tc>
      </w:tr>
      <w:tr w:rsidR="00555A84" w:rsidTr="004B3437">
        <w:trPr>
          <w:cantSplit/>
          <w:trHeight w:val="360"/>
        </w:trPr>
        <w:tc>
          <w:tcPr>
            <w:tcW w:w="3780" w:type="dxa"/>
            <w:tcBorders>
              <w:top w:val="nil"/>
              <w:left w:val="nil"/>
              <w:bottom w:val="nil"/>
              <w:right w:val="nil"/>
            </w:tcBorders>
          </w:tcPr>
          <w:p w:rsidR="00555A84" w:rsidRDefault="00555A84" w:rsidP="004B3437">
            <w:pPr>
              <w:pStyle w:val="Table3Data"/>
              <w:widowControl/>
            </w:pPr>
            <w:r>
              <w:t>70</w:t>
            </w:r>
            <w:r>
              <w:rPr>
                <w:vertAlign w:val="superscript"/>
              </w:rPr>
              <w:t>th</w:t>
            </w:r>
          </w:p>
        </w:tc>
        <w:tc>
          <w:tcPr>
            <w:tcW w:w="3330" w:type="dxa"/>
            <w:tcBorders>
              <w:top w:val="nil"/>
              <w:left w:val="nil"/>
              <w:bottom w:val="nil"/>
              <w:right w:val="nil"/>
            </w:tcBorders>
          </w:tcPr>
          <w:p w:rsidR="00555A84" w:rsidRDefault="00555A84" w:rsidP="004B3437">
            <w:pPr>
              <w:pStyle w:val="Table3Data"/>
              <w:widowControl/>
            </w:pPr>
            <w:r>
              <w:t>75%</w:t>
            </w:r>
          </w:p>
        </w:tc>
      </w:tr>
      <w:tr w:rsidR="00555A84" w:rsidTr="004B3437">
        <w:trPr>
          <w:cantSplit/>
          <w:trHeight w:val="360"/>
        </w:trPr>
        <w:tc>
          <w:tcPr>
            <w:tcW w:w="3780" w:type="dxa"/>
            <w:tcBorders>
              <w:top w:val="nil"/>
              <w:left w:val="nil"/>
              <w:bottom w:val="nil"/>
              <w:right w:val="nil"/>
            </w:tcBorders>
          </w:tcPr>
          <w:p w:rsidR="00555A84" w:rsidRDefault="00555A84" w:rsidP="004B3437">
            <w:pPr>
              <w:pStyle w:val="Table3Data"/>
              <w:widowControl/>
            </w:pPr>
            <w:r>
              <w:t>50</w:t>
            </w:r>
            <w:r>
              <w:rPr>
                <w:vertAlign w:val="superscript"/>
              </w:rPr>
              <w:t>th</w:t>
            </w:r>
          </w:p>
        </w:tc>
        <w:tc>
          <w:tcPr>
            <w:tcW w:w="3330" w:type="dxa"/>
            <w:tcBorders>
              <w:top w:val="nil"/>
              <w:left w:val="nil"/>
              <w:bottom w:val="nil"/>
              <w:right w:val="nil"/>
            </w:tcBorders>
          </w:tcPr>
          <w:p w:rsidR="00555A84" w:rsidRDefault="00555A84" w:rsidP="004B3437">
            <w:pPr>
              <w:pStyle w:val="Table3Data"/>
              <w:widowControl/>
            </w:pPr>
            <w:r>
              <w:t>50%</w:t>
            </w:r>
          </w:p>
        </w:tc>
      </w:tr>
      <w:tr w:rsidR="00555A84" w:rsidTr="004B3437">
        <w:trPr>
          <w:cantSplit/>
          <w:trHeight w:val="360"/>
        </w:trPr>
        <w:tc>
          <w:tcPr>
            <w:tcW w:w="3780" w:type="dxa"/>
            <w:tcBorders>
              <w:top w:val="nil"/>
              <w:left w:val="nil"/>
              <w:bottom w:val="nil"/>
              <w:right w:val="nil"/>
            </w:tcBorders>
          </w:tcPr>
          <w:p w:rsidR="00555A84" w:rsidRDefault="00555A84" w:rsidP="004B3437">
            <w:pPr>
              <w:pStyle w:val="Table3Data"/>
              <w:widowControl/>
            </w:pPr>
            <w:r>
              <w:t>30</w:t>
            </w:r>
            <w:r>
              <w:rPr>
                <w:vertAlign w:val="superscript"/>
              </w:rPr>
              <w:t>th</w:t>
            </w:r>
          </w:p>
        </w:tc>
        <w:tc>
          <w:tcPr>
            <w:tcW w:w="3330" w:type="dxa"/>
            <w:tcBorders>
              <w:top w:val="nil"/>
              <w:left w:val="nil"/>
              <w:bottom w:val="nil"/>
              <w:right w:val="nil"/>
            </w:tcBorders>
          </w:tcPr>
          <w:p w:rsidR="00555A84" w:rsidRDefault="00555A84" w:rsidP="004B3437">
            <w:pPr>
              <w:pStyle w:val="Table3Data"/>
              <w:widowControl/>
            </w:pPr>
            <w:r>
              <w:t>25%</w:t>
            </w:r>
          </w:p>
        </w:tc>
      </w:tr>
      <w:tr w:rsidR="00555A84" w:rsidTr="004B3437">
        <w:trPr>
          <w:cantSplit/>
          <w:trHeight w:val="360"/>
        </w:trPr>
        <w:tc>
          <w:tcPr>
            <w:tcW w:w="3780" w:type="dxa"/>
            <w:tcBorders>
              <w:top w:val="nil"/>
              <w:left w:val="nil"/>
              <w:bottom w:val="single" w:sz="6" w:space="0" w:color="auto"/>
              <w:right w:val="nil"/>
            </w:tcBorders>
          </w:tcPr>
          <w:p w:rsidR="00555A84" w:rsidRDefault="00555A84" w:rsidP="004B3437">
            <w:pPr>
              <w:pStyle w:val="Table3Data"/>
              <w:widowControl/>
            </w:pPr>
            <w:r>
              <w:t>10</w:t>
            </w:r>
            <w:r w:rsidRPr="003B5606">
              <w:rPr>
                <w:vertAlign w:val="superscript"/>
              </w:rPr>
              <w:t>th</w:t>
            </w:r>
            <w:r>
              <w:t xml:space="preserve"> or lower</w:t>
            </w:r>
          </w:p>
        </w:tc>
        <w:tc>
          <w:tcPr>
            <w:tcW w:w="3330" w:type="dxa"/>
            <w:tcBorders>
              <w:top w:val="nil"/>
              <w:left w:val="nil"/>
              <w:bottom w:val="single" w:sz="6" w:space="0" w:color="auto"/>
              <w:right w:val="nil"/>
            </w:tcBorders>
          </w:tcPr>
          <w:p w:rsidR="00555A84" w:rsidRDefault="00555A84" w:rsidP="004B3437">
            <w:pPr>
              <w:pStyle w:val="Table3Data"/>
              <w:widowControl/>
            </w:pPr>
            <w:r>
              <w:t>0%</w:t>
            </w:r>
          </w:p>
        </w:tc>
      </w:tr>
    </w:tbl>
    <w:p w:rsidR="00555A84" w:rsidRPr="003A0DDE" w:rsidRDefault="00555A84" w:rsidP="00555A84">
      <w:pPr>
        <w:pStyle w:val="NormalDS"/>
        <w:spacing w:after="240"/>
      </w:pPr>
      <w:r>
        <w:t>For performance measurement periods beginning prior to 2005, the authorized payout for all Executive Officers (as defined in the Exchange Act of 1934) is two times the amount calculated above.  The Committee then uses negative discretion to determine the actual payout.</w:t>
      </w:r>
    </w:p>
    <w:p w:rsidR="00555A84" w:rsidRDefault="00555A84" w:rsidP="00555A84">
      <w:pPr>
        <w:pStyle w:val="NormalDS"/>
        <w:spacing w:after="240"/>
      </w:pPr>
      <w:r>
        <w:t xml:space="preserve">Beginning with the 2005-2008 performance measurement </w:t>
      </w:r>
      <w:proofErr w:type="gramStart"/>
      <w:r>
        <w:t>period</w:t>
      </w:r>
      <w:proofErr w:type="gramEnd"/>
      <w:r>
        <w:t>, this calculation will be performed with respect to each calendar quarter in the last year of the performance measurement period based on the number of options held by participants at the end of the performance measurement period.  Each quarterly calculation will be weighted 25% and the results will be added together to determine the total payout for the performance measurement period.</w:t>
      </w:r>
    </w:p>
    <w:p w:rsidR="00555A84" w:rsidRDefault="00555A84" w:rsidP="00555A84">
      <w:pPr>
        <w:pStyle w:val="Heading1"/>
      </w:pPr>
      <w:r>
        <w:t>Funding and Limits on Payouts</w:t>
      </w:r>
    </w:p>
    <w:p w:rsidR="00555A84" w:rsidRDefault="00555A84" w:rsidP="00555A84">
      <w:pPr>
        <w:pStyle w:val="NormalDS"/>
        <w:widowControl/>
        <w:spacing w:after="240"/>
      </w:pPr>
      <w:r>
        <w:t>No payout is made if the earnings of Southern Company are less than the amount necessary to fund dividends on its common stock at the rate such dividends were paid for the immediately preceding year.  This is true even if such a payout was otherwise authorized by the Committee.</w:t>
      </w:r>
    </w:p>
    <w:p w:rsidR="00555A84" w:rsidRDefault="00555A84" w:rsidP="00555A84">
      <w:pPr>
        <w:pStyle w:val="Heading1"/>
      </w:pPr>
      <w:r>
        <w:t>Example for 2007-2010 PDP</w:t>
      </w:r>
    </w:p>
    <w:p w:rsidR="00555A84" w:rsidRDefault="00555A84" w:rsidP="00555A84">
      <w:pPr>
        <w:pStyle w:val="NormalDS"/>
        <w:widowControl/>
      </w:pPr>
      <w:r>
        <w:t>Assumptions:</w:t>
      </w:r>
    </w:p>
    <w:p w:rsidR="00555A84" w:rsidRDefault="00555A84" w:rsidP="00555A84">
      <w:pPr>
        <w:pStyle w:val="BulletDS"/>
        <w:widowControl/>
        <w:spacing w:after="240"/>
      </w:pPr>
      <w:r>
        <w:sym w:font="Symbol" w:char="F0B7"/>
      </w:r>
      <w:r w:rsidRPr="003359C4">
        <w:tab/>
        <w:t>S</w:t>
      </w:r>
      <w:r>
        <w:t xml:space="preserve">outhern Company’s actual dividend to shareholders during 2010 (example only) (the last year of the 2007-2010 performance measurement </w:t>
      </w:r>
      <w:proofErr w:type="gramStart"/>
      <w:r>
        <w:t>period</w:t>
      </w:r>
      <w:proofErr w:type="gramEnd"/>
      <w:r>
        <w:t>): $1.66 (1</w:t>
      </w:r>
      <w:r>
        <w:rPr>
          <w:vertAlign w:val="superscript"/>
        </w:rPr>
        <w:t xml:space="preserve">st </w:t>
      </w:r>
      <w:r>
        <w:t>year transition) per share (.40 for the 1</w:t>
      </w:r>
      <w:r w:rsidRPr="009F5410">
        <w:rPr>
          <w:vertAlign w:val="superscript"/>
        </w:rPr>
        <w:t>st</w:t>
      </w:r>
      <w:r>
        <w:t xml:space="preserve"> quarter </w:t>
      </w:r>
      <w:r w:rsidRPr="00D05242">
        <w:rPr>
          <w:i/>
        </w:rPr>
        <w:t>plus</w:t>
      </w:r>
      <w:r>
        <w:t xml:space="preserve"> .42 for the 2</w:t>
      </w:r>
      <w:r w:rsidRPr="009F5410">
        <w:rPr>
          <w:vertAlign w:val="superscript"/>
        </w:rPr>
        <w:t>nd</w:t>
      </w:r>
      <w:r>
        <w:t xml:space="preserve"> through 4</w:t>
      </w:r>
      <w:r w:rsidRPr="009F5410">
        <w:rPr>
          <w:vertAlign w:val="superscript"/>
        </w:rPr>
        <w:t>th</w:t>
      </w:r>
      <w:r>
        <w:t xml:space="preserve"> quarter).</w:t>
      </w:r>
    </w:p>
    <w:p w:rsidR="00555A84" w:rsidRDefault="00555A84" w:rsidP="00555A84">
      <w:pPr>
        <w:pStyle w:val="BulletDS"/>
        <w:widowControl/>
        <w:spacing w:after="240"/>
      </w:pPr>
      <w:r>
        <w:sym w:font="Symbol" w:char="F0B7"/>
      </w:r>
      <w:r w:rsidRPr="003359C4">
        <w:tab/>
      </w:r>
      <w:proofErr w:type="gramStart"/>
      <w:r w:rsidRPr="003359C4">
        <w:t>S</w:t>
      </w:r>
      <w:r>
        <w:t>outhern Company’s percentile ranking in TSR during the last four quarters of the last year.</w:t>
      </w:r>
      <w:proofErr w:type="gramEnd"/>
      <w:r>
        <w:t xml:space="preserve">  </w:t>
      </w:r>
    </w:p>
    <w:p w:rsidR="00555A84" w:rsidRPr="00E2666A" w:rsidRDefault="00555A84" w:rsidP="00555A84">
      <w:pPr>
        <w:pStyle w:val="BulletDS"/>
        <w:widowControl/>
        <w:spacing w:after="240"/>
        <w:rPr>
          <w:b/>
        </w:rPr>
      </w:pPr>
      <w:r>
        <w:sym w:font="Symbol" w:char="F0B7"/>
      </w:r>
      <w:r>
        <w:tab/>
        <w:t>Example for 2007-2010 PDP Performance (1</w:t>
      </w:r>
      <w:r>
        <w:rPr>
          <w:vertAlign w:val="superscript"/>
        </w:rPr>
        <w:t>st</w:t>
      </w:r>
      <w:r>
        <w:t xml:space="preserve"> year of 3 year transition): </w:t>
      </w:r>
    </w:p>
    <w:tbl>
      <w:tblPr>
        <w:tblW w:w="0" w:type="auto"/>
        <w:tblInd w:w="378" w:type="dxa"/>
        <w:tblLayout w:type="fixed"/>
        <w:tblLook w:val="0000"/>
      </w:tblPr>
      <w:tblGrid>
        <w:gridCol w:w="1260"/>
        <w:gridCol w:w="504"/>
        <w:gridCol w:w="846"/>
        <w:gridCol w:w="450"/>
        <w:gridCol w:w="810"/>
        <w:gridCol w:w="720"/>
        <w:gridCol w:w="810"/>
        <w:gridCol w:w="1530"/>
        <w:gridCol w:w="1710"/>
      </w:tblGrid>
      <w:tr w:rsidR="00555A84" w:rsidTr="004B3437">
        <w:trPr>
          <w:gridAfter w:val="1"/>
          <w:wAfter w:w="1710" w:type="dxa"/>
          <w:cantSplit/>
          <w:trHeight w:val="360"/>
        </w:trPr>
        <w:tc>
          <w:tcPr>
            <w:tcW w:w="1764" w:type="dxa"/>
            <w:gridSpan w:val="2"/>
            <w:tcBorders>
              <w:left w:val="nil"/>
              <w:bottom w:val="single" w:sz="12" w:space="0" w:color="auto"/>
              <w:right w:val="nil"/>
            </w:tcBorders>
          </w:tcPr>
          <w:p w:rsidR="00555A84" w:rsidRDefault="00555A84" w:rsidP="004B3437">
            <w:pPr>
              <w:pStyle w:val="Table2Hdgs"/>
              <w:widowControl/>
              <w:spacing w:before="0" w:after="0"/>
              <w:jc w:val="center"/>
            </w:pPr>
          </w:p>
          <w:p w:rsidR="00555A84" w:rsidRDefault="00555A84" w:rsidP="004B3437">
            <w:pPr>
              <w:pStyle w:val="Table2Hdgs"/>
              <w:widowControl/>
              <w:spacing w:before="0" w:after="0"/>
              <w:jc w:val="center"/>
            </w:pPr>
          </w:p>
          <w:p w:rsidR="00555A84" w:rsidRDefault="00555A84" w:rsidP="004B3437">
            <w:pPr>
              <w:pStyle w:val="Table2Hdgs"/>
              <w:widowControl/>
              <w:spacing w:before="0" w:after="0"/>
              <w:jc w:val="center"/>
            </w:pPr>
          </w:p>
          <w:p w:rsidR="00555A84" w:rsidRDefault="00555A84" w:rsidP="004B3437">
            <w:pPr>
              <w:pStyle w:val="Table2Hdgs"/>
              <w:widowControl/>
              <w:spacing w:before="0" w:after="0"/>
              <w:jc w:val="center"/>
            </w:pPr>
            <w:r>
              <w:t>Grant Date</w:t>
            </w:r>
          </w:p>
        </w:tc>
        <w:tc>
          <w:tcPr>
            <w:tcW w:w="1296" w:type="dxa"/>
            <w:gridSpan w:val="2"/>
            <w:tcBorders>
              <w:left w:val="nil"/>
              <w:bottom w:val="single" w:sz="12" w:space="0" w:color="auto"/>
              <w:right w:val="nil"/>
            </w:tcBorders>
          </w:tcPr>
          <w:p w:rsidR="00555A84" w:rsidRDefault="00555A84" w:rsidP="004B3437">
            <w:pPr>
              <w:pStyle w:val="Table2Hdgs"/>
              <w:widowControl/>
              <w:spacing w:before="0" w:after="0"/>
              <w:jc w:val="center"/>
            </w:pPr>
            <w:r>
              <w:t>Original Number of Options Granted</w:t>
            </w:r>
          </w:p>
        </w:tc>
        <w:tc>
          <w:tcPr>
            <w:tcW w:w="1530" w:type="dxa"/>
            <w:gridSpan w:val="2"/>
            <w:tcBorders>
              <w:left w:val="nil"/>
              <w:bottom w:val="single" w:sz="12" w:space="0" w:color="auto"/>
              <w:right w:val="nil"/>
            </w:tcBorders>
          </w:tcPr>
          <w:p w:rsidR="00555A84" w:rsidRDefault="00555A84" w:rsidP="004B3437">
            <w:pPr>
              <w:pStyle w:val="Table2Hdgs"/>
              <w:widowControl/>
              <w:spacing w:before="0" w:after="0"/>
              <w:jc w:val="center"/>
            </w:pPr>
          </w:p>
          <w:p w:rsidR="00555A84" w:rsidRDefault="00555A84" w:rsidP="004B3437">
            <w:pPr>
              <w:pStyle w:val="Table2Hdgs"/>
              <w:widowControl/>
              <w:spacing w:before="0" w:after="0"/>
              <w:jc w:val="center"/>
            </w:pPr>
            <w:r>
              <w:t>PDP Eligible Options</w:t>
            </w:r>
          </w:p>
        </w:tc>
        <w:tc>
          <w:tcPr>
            <w:tcW w:w="2340" w:type="dxa"/>
            <w:gridSpan w:val="2"/>
            <w:tcBorders>
              <w:left w:val="nil"/>
              <w:bottom w:val="single" w:sz="12" w:space="0" w:color="auto"/>
              <w:right w:val="nil"/>
            </w:tcBorders>
          </w:tcPr>
          <w:p w:rsidR="00555A84" w:rsidRDefault="00555A84" w:rsidP="004B3437">
            <w:pPr>
              <w:pStyle w:val="Table2Hdgs"/>
              <w:widowControl/>
              <w:spacing w:before="0" w:after="0"/>
              <w:jc w:val="center"/>
            </w:pPr>
            <w:r>
              <w:t>PDP-Eligible</w:t>
            </w:r>
          </w:p>
          <w:p w:rsidR="00555A84" w:rsidRDefault="00555A84" w:rsidP="004B3437">
            <w:pPr>
              <w:pStyle w:val="Table2Hdgs"/>
              <w:widowControl/>
              <w:spacing w:before="0" w:after="0"/>
              <w:jc w:val="center"/>
            </w:pPr>
            <w:r>
              <w:t>Options</w:t>
            </w:r>
          </w:p>
          <w:p w:rsidR="00555A84" w:rsidRDefault="00555A84" w:rsidP="004B3437">
            <w:pPr>
              <w:pStyle w:val="Table2Hdgs"/>
              <w:widowControl/>
              <w:spacing w:before="0" w:after="0"/>
              <w:jc w:val="center"/>
            </w:pPr>
            <w:r>
              <w:t xml:space="preserve">Outstanding  </w:t>
            </w:r>
            <w:smartTag w:uri="urn:schemas-microsoft-com:office:smarttags" w:element="date">
              <w:smartTagPr>
                <w:attr w:name="ls" w:val="trans"/>
                <w:attr w:name="Month" w:val="12"/>
                <w:attr w:name="Day" w:val="31"/>
                <w:attr w:name="Year" w:val="2010"/>
              </w:smartTagPr>
              <w:r>
                <w:t>12/31/2010</w:t>
              </w:r>
            </w:smartTag>
          </w:p>
        </w:tc>
      </w:tr>
      <w:tr w:rsidR="00555A84" w:rsidTr="004B3437">
        <w:trPr>
          <w:gridAfter w:val="1"/>
          <w:wAfter w:w="1710" w:type="dxa"/>
          <w:cantSplit/>
          <w:trHeight w:val="360"/>
        </w:trPr>
        <w:tc>
          <w:tcPr>
            <w:tcW w:w="1764" w:type="dxa"/>
            <w:gridSpan w:val="2"/>
            <w:tcBorders>
              <w:top w:val="single" w:sz="12" w:space="0" w:color="auto"/>
              <w:left w:val="nil"/>
              <w:bottom w:val="nil"/>
              <w:right w:val="nil"/>
            </w:tcBorders>
          </w:tcPr>
          <w:p w:rsidR="00555A84" w:rsidRDefault="00555A84" w:rsidP="004B3437">
            <w:pPr>
              <w:rPr>
                <w:szCs w:val="23"/>
              </w:rPr>
            </w:pPr>
            <w:r>
              <w:rPr>
                <w:szCs w:val="23"/>
              </w:rPr>
              <w:t>2006</w:t>
            </w:r>
          </w:p>
        </w:tc>
        <w:tc>
          <w:tcPr>
            <w:tcW w:w="1296" w:type="dxa"/>
            <w:gridSpan w:val="2"/>
            <w:tcBorders>
              <w:top w:val="single" w:sz="12" w:space="0" w:color="auto"/>
              <w:left w:val="nil"/>
              <w:bottom w:val="nil"/>
              <w:right w:val="nil"/>
            </w:tcBorders>
          </w:tcPr>
          <w:p w:rsidR="00555A84" w:rsidRDefault="00555A84" w:rsidP="004B3437">
            <w:pPr>
              <w:jc w:val="center"/>
              <w:rPr>
                <w:szCs w:val="23"/>
              </w:rPr>
            </w:pPr>
            <w:r>
              <w:rPr>
                <w:szCs w:val="23"/>
              </w:rPr>
              <w:t>500</w:t>
            </w:r>
          </w:p>
        </w:tc>
        <w:tc>
          <w:tcPr>
            <w:tcW w:w="1530" w:type="dxa"/>
            <w:gridSpan w:val="2"/>
            <w:tcBorders>
              <w:top w:val="single" w:sz="12" w:space="0" w:color="auto"/>
              <w:left w:val="nil"/>
              <w:bottom w:val="nil"/>
              <w:right w:val="nil"/>
            </w:tcBorders>
          </w:tcPr>
          <w:p w:rsidR="00555A84" w:rsidRDefault="00555A84" w:rsidP="004B3437">
            <w:pPr>
              <w:jc w:val="center"/>
              <w:rPr>
                <w:szCs w:val="23"/>
              </w:rPr>
            </w:pPr>
            <w:r>
              <w:rPr>
                <w:szCs w:val="23"/>
              </w:rPr>
              <w:t>500</w:t>
            </w:r>
          </w:p>
        </w:tc>
        <w:tc>
          <w:tcPr>
            <w:tcW w:w="2340" w:type="dxa"/>
            <w:gridSpan w:val="2"/>
            <w:tcBorders>
              <w:top w:val="single" w:sz="12" w:space="0" w:color="auto"/>
              <w:left w:val="nil"/>
              <w:bottom w:val="nil"/>
              <w:right w:val="nil"/>
            </w:tcBorders>
          </w:tcPr>
          <w:p w:rsidR="00555A84" w:rsidRDefault="00555A84" w:rsidP="004B3437">
            <w:pPr>
              <w:jc w:val="center"/>
              <w:rPr>
                <w:szCs w:val="23"/>
              </w:rPr>
            </w:pPr>
            <w:r>
              <w:rPr>
                <w:szCs w:val="23"/>
              </w:rPr>
              <w:t>0</w:t>
            </w:r>
          </w:p>
        </w:tc>
      </w:tr>
      <w:tr w:rsidR="00555A84" w:rsidTr="004B3437">
        <w:trPr>
          <w:gridAfter w:val="1"/>
          <w:wAfter w:w="1710" w:type="dxa"/>
          <w:cantSplit/>
          <w:trHeight w:val="360"/>
        </w:trPr>
        <w:tc>
          <w:tcPr>
            <w:tcW w:w="1764" w:type="dxa"/>
            <w:gridSpan w:val="2"/>
            <w:tcBorders>
              <w:top w:val="nil"/>
              <w:left w:val="nil"/>
              <w:bottom w:val="nil"/>
              <w:right w:val="nil"/>
            </w:tcBorders>
          </w:tcPr>
          <w:p w:rsidR="00555A84" w:rsidRDefault="00555A84" w:rsidP="004B3437">
            <w:pPr>
              <w:rPr>
                <w:szCs w:val="23"/>
              </w:rPr>
            </w:pPr>
            <w:r>
              <w:rPr>
                <w:szCs w:val="23"/>
              </w:rPr>
              <w:t>2007</w:t>
            </w:r>
          </w:p>
        </w:tc>
        <w:tc>
          <w:tcPr>
            <w:tcW w:w="1296" w:type="dxa"/>
            <w:gridSpan w:val="2"/>
            <w:tcBorders>
              <w:top w:val="nil"/>
              <w:left w:val="nil"/>
              <w:bottom w:val="nil"/>
              <w:right w:val="nil"/>
            </w:tcBorders>
          </w:tcPr>
          <w:p w:rsidR="00555A84" w:rsidRDefault="00555A84" w:rsidP="004B3437">
            <w:pPr>
              <w:jc w:val="center"/>
              <w:rPr>
                <w:szCs w:val="23"/>
              </w:rPr>
            </w:pPr>
            <w:r>
              <w:rPr>
                <w:szCs w:val="23"/>
              </w:rPr>
              <w:t>600</w:t>
            </w:r>
          </w:p>
        </w:tc>
        <w:tc>
          <w:tcPr>
            <w:tcW w:w="1530" w:type="dxa"/>
            <w:gridSpan w:val="2"/>
            <w:tcBorders>
              <w:top w:val="nil"/>
              <w:left w:val="nil"/>
              <w:bottom w:val="nil"/>
              <w:right w:val="nil"/>
            </w:tcBorders>
          </w:tcPr>
          <w:p w:rsidR="00555A84" w:rsidRDefault="00555A84" w:rsidP="004B3437">
            <w:pPr>
              <w:jc w:val="center"/>
              <w:rPr>
                <w:szCs w:val="23"/>
              </w:rPr>
            </w:pPr>
            <w:r>
              <w:rPr>
                <w:szCs w:val="23"/>
              </w:rPr>
              <w:t>600</w:t>
            </w:r>
          </w:p>
        </w:tc>
        <w:tc>
          <w:tcPr>
            <w:tcW w:w="2340" w:type="dxa"/>
            <w:gridSpan w:val="2"/>
            <w:tcBorders>
              <w:top w:val="nil"/>
              <w:left w:val="nil"/>
              <w:bottom w:val="nil"/>
              <w:right w:val="nil"/>
            </w:tcBorders>
          </w:tcPr>
          <w:p w:rsidR="00555A84" w:rsidRDefault="00555A84" w:rsidP="004B3437">
            <w:pPr>
              <w:jc w:val="center"/>
              <w:rPr>
                <w:szCs w:val="23"/>
              </w:rPr>
            </w:pPr>
            <w:r>
              <w:rPr>
                <w:szCs w:val="23"/>
              </w:rPr>
              <w:t>300</w:t>
            </w:r>
          </w:p>
        </w:tc>
      </w:tr>
      <w:tr w:rsidR="00555A84" w:rsidTr="004B3437">
        <w:trPr>
          <w:gridAfter w:val="1"/>
          <w:wAfter w:w="1710" w:type="dxa"/>
          <w:cantSplit/>
          <w:trHeight w:val="360"/>
        </w:trPr>
        <w:tc>
          <w:tcPr>
            <w:tcW w:w="1764" w:type="dxa"/>
            <w:gridSpan w:val="2"/>
            <w:tcBorders>
              <w:top w:val="nil"/>
              <w:left w:val="nil"/>
              <w:bottom w:val="nil"/>
              <w:right w:val="nil"/>
            </w:tcBorders>
          </w:tcPr>
          <w:p w:rsidR="00555A84" w:rsidRDefault="00555A84" w:rsidP="004B3437">
            <w:pPr>
              <w:rPr>
                <w:szCs w:val="23"/>
              </w:rPr>
            </w:pPr>
            <w:r>
              <w:rPr>
                <w:szCs w:val="23"/>
              </w:rPr>
              <w:t>2008</w:t>
            </w:r>
          </w:p>
        </w:tc>
        <w:tc>
          <w:tcPr>
            <w:tcW w:w="1296" w:type="dxa"/>
            <w:gridSpan w:val="2"/>
            <w:tcBorders>
              <w:top w:val="nil"/>
              <w:left w:val="nil"/>
              <w:bottom w:val="nil"/>
              <w:right w:val="nil"/>
            </w:tcBorders>
          </w:tcPr>
          <w:p w:rsidR="00555A84" w:rsidRDefault="00555A84" w:rsidP="004B3437">
            <w:pPr>
              <w:jc w:val="center"/>
              <w:rPr>
                <w:szCs w:val="23"/>
              </w:rPr>
            </w:pPr>
            <w:r>
              <w:rPr>
                <w:szCs w:val="23"/>
              </w:rPr>
              <w:t>700</w:t>
            </w:r>
          </w:p>
        </w:tc>
        <w:tc>
          <w:tcPr>
            <w:tcW w:w="1530" w:type="dxa"/>
            <w:gridSpan w:val="2"/>
            <w:tcBorders>
              <w:top w:val="nil"/>
              <w:left w:val="nil"/>
              <w:bottom w:val="nil"/>
              <w:right w:val="nil"/>
            </w:tcBorders>
          </w:tcPr>
          <w:p w:rsidR="00555A84" w:rsidRDefault="00555A84" w:rsidP="004B3437">
            <w:pPr>
              <w:jc w:val="center"/>
              <w:rPr>
                <w:szCs w:val="23"/>
              </w:rPr>
            </w:pPr>
            <w:r>
              <w:rPr>
                <w:szCs w:val="23"/>
              </w:rPr>
              <w:t>700</w:t>
            </w:r>
          </w:p>
        </w:tc>
        <w:tc>
          <w:tcPr>
            <w:tcW w:w="2340" w:type="dxa"/>
            <w:gridSpan w:val="2"/>
            <w:tcBorders>
              <w:top w:val="nil"/>
              <w:left w:val="nil"/>
              <w:bottom w:val="nil"/>
              <w:right w:val="nil"/>
            </w:tcBorders>
          </w:tcPr>
          <w:p w:rsidR="00555A84" w:rsidRDefault="00555A84" w:rsidP="004B3437">
            <w:pPr>
              <w:jc w:val="center"/>
              <w:rPr>
                <w:szCs w:val="23"/>
              </w:rPr>
            </w:pPr>
            <w:r>
              <w:rPr>
                <w:szCs w:val="23"/>
              </w:rPr>
              <w:t>700</w:t>
            </w:r>
          </w:p>
        </w:tc>
      </w:tr>
      <w:tr w:rsidR="00555A84" w:rsidTr="004B3437">
        <w:trPr>
          <w:gridAfter w:val="1"/>
          <w:wAfter w:w="1710" w:type="dxa"/>
          <w:cantSplit/>
          <w:trHeight w:val="360"/>
        </w:trPr>
        <w:tc>
          <w:tcPr>
            <w:tcW w:w="1764" w:type="dxa"/>
            <w:gridSpan w:val="2"/>
            <w:tcBorders>
              <w:top w:val="nil"/>
              <w:left w:val="nil"/>
              <w:right w:val="nil"/>
            </w:tcBorders>
          </w:tcPr>
          <w:p w:rsidR="00555A84" w:rsidRDefault="00555A84" w:rsidP="004B3437">
            <w:pPr>
              <w:rPr>
                <w:szCs w:val="23"/>
              </w:rPr>
            </w:pPr>
            <w:r>
              <w:rPr>
                <w:szCs w:val="23"/>
              </w:rPr>
              <w:t>2009</w:t>
            </w:r>
          </w:p>
        </w:tc>
        <w:tc>
          <w:tcPr>
            <w:tcW w:w="1296" w:type="dxa"/>
            <w:gridSpan w:val="2"/>
            <w:tcBorders>
              <w:top w:val="nil"/>
              <w:left w:val="nil"/>
              <w:right w:val="nil"/>
            </w:tcBorders>
          </w:tcPr>
          <w:p w:rsidR="00555A84" w:rsidRDefault="00555A84" w:rsidP="004B3437">
            <w:pPr>
              <w:jc w:val="center"/>
              <w:rPr>
                <w:szCs w:val="23"/>
              </w:rPr>
            </w:pPr>
            <w:r>
              <w:rPr>
                <w:szCs w:val="23"/>
              </w:rPr>
              <w:t>800</w:t>
            </w:r>
          </w:p>
        </w:tc>
        <w:tc>
          <w:tcPr>
            <w:tcW w:w="1530" w:type="dxa"/>
            <w:gridSpan w:val="2"/>
            <w:tcBorders>
              <w:top w:val="nil"/>
              <w:left w:val="nil"/>
              <w:right w:val="nil"/>
            </w:tcBorders>
          </w:tcPr>
          <w:p w:rsidR="00555A84" w:rsidRDefault="00555A84" w:rsidP="004B3437">
            <w:pPr>
              <w:jc w:val="center"/>
              <w:rPr>
                <w:szCs w:val="23"/>
              </w:rPr>
            </w:pPr>
            <w:r>
              <w:rPr>
                <w:szCs w:val="23"/>
              </w:rPr>
              <w:t>800</w:t>
            </w:r>
          </w:p>
        </w:tc>
        <w:tc>
          <w:tcPr>
            <w:tcW w:w="2340" w:type="dxa"/>
            <w:gridSpan w:val="2"/>
            <w:tcBorders>
              <w:top w:val="nil"/>
              <w:left w:val="nil"/>
              <w:right w:val="nil"/>
            </w:tcBorders>
          </w:tcPr>
          <w:p w:rsidR="00555A84" w:rsidRDefault="00555A84" w:rsidP="004B3437">
            <w:pPr>
              <w:jc w:val="center"/>
              <w:rPr>
                <w:szCs w:val="23"/>
              </w:rPr>
            </w:pPr>
            <w:r>
              <w:rPr>
                <w:szCs w:val="23"/>
              </w:rPr>
              <w:t>800</w:t>
            </w:r>
          </w:p>
        </w:tc>
      </w:tr>
      <w:tr w:rsidR="00555A84" w:rsidTr="004B3437">
        <w:trPr>
          <w:gridAfter w:val="1"/>
          <w:wAfter w:w="1710" w:type="dxa"/>
          <w:cantSplit/>
          <w:trHeight w:val="360"/>
        </w:trPr>
        <w:tc>
          <w:tcPr>
            <w:tcW w:w="1764" w:type="dxa"/>
            <w:gridSpan w:val="2"/>
            <w:tcBorders>
              <w:top w:val="nil"/>
              <w:left w:val="nil"/>
              <w:bottom w:val="single" w:sz="12" w:space="0" w:color="auto"/>
              <w:right w:val="nil"/>
            </w:tcBorders>
          </w:tcPr>
          <w:p w:rsidR="00555A84" w:rsidRDefault="00555A84" w:rsidP="004B3437">
            <w:pPr>
              <w:rPr>
                <w:szCs w:val="23"/>
              </w:rPr>
            </w:pPr>
            <w:r>
              <w:rPr>
                <w:szCs w:val="23"/>
              </w:rPr>
              <w:t>2010</w:t>
            </w:r>
          </w:p>
        </w:tc>
        <w:tc>
          <w:tcPr>
            <w:tcW w:w="1296" w:type="dxa"/>
            <w:gridSpan w:val="2"/>
            <w:tcBorders>
              <w:top w:val="nil"/>
              <w:left w:val="nil"/>
              <w:bottom w:val="single" w:sz="12" w:space="0" w:color="auto"/>
              <w:right w:val="nil"/>
            </w:tcBorders>
          </w:tcPr>
          <w:p w:rsidR="00555A84" w:rsidRDefault="00555A84" w:rsidP="004B3437">
            <w:pPr>
              <w:jc w:val="center"/>
              <w:rPr>
                <w:szCs w:val="23"/>
              </w:rPr>
            </w:pPr>
            <w:r>
              <w:rPr>
                <w:szCs w:val="23"/>
              </w:rPr>
              <w:t>400</w:t>
            </w:r>
          </w:p>
        </w:tc>
        <w:tc>
          <w:tcPr>
            <w:tcW w:w="1530" w:type="dxa"/>
            <w:gridSpan w:val="2"/>
            <w:tcBorders>
              <w:top w:val="nil"/>
              <w:left w:val="nil"/>
              <w:bottom w:val="single" w:sz="12" w:space="0" w:color="auto"/>
              <w:right w:val="nil"/>
            </w:tcBorders>
          </w:tcPr>
          <w:p w:rsidR="00555A84" w:rsidRDefault="00555A84" w:rsidP="004B3437">
            <w:pPr>
              <w:jc w:val="center"/>
              <w:rPr>
                <w:szCs w:val="23"/>
              </w:rPr>
            </w:pPr>
            <w:r>
              <w:rPr>
                <w:szCs w:val="23"/>
              </w:rPr>
              <w:t>0</w:t>
            </w:r>
          </w:p>
        </w:tc>
        <w:tc>
          <w:tcPr>
            <w:tcW w:w="2340" w:type="dxa"/>
            <w:gridSpan w:val="2"/>
            <w:tcBorders>
              <w:top w:val="nil"/>
              <w:left w:val="nil"/>
              <w:bottom w:val="single" w:sz="12" w:space="0" w:color="auto"/>
              <w:right w:val="nil"/>
            </w:tcBorders>
          </w:tcPr>
          <w:p w:rsidR="00555A84" w:rsidRDefault="00555A84" w:rsidP="004B3437">
            <w:pPr>
              <w:jc w:val="center"/>
              <w:rPr>
                <w:szCs w:val="23"/>
              </w:rPr>
            </w:pPr>
            <w:r>
              <w:rPr>
                <w:szCs w:val="23"/>
              </w:rPr>
              <w:t>0</w:t>
            </w:r>
          </w:p>
        </w:tc>
      </w:tr>
      <w:tr w:rsidR="00555A84" w:rsidTr="004B3437">
        <w:trPr>
          <w:gridAfter w:val="1"/>
          <w:wAfter w:w="1710" w:type="dxa"/>
          <w:cantSplit/>
          <w:trHeight w:val="360"/>
        </w:trPr>
        <w:tc>
          <w:tcPr>
            <w:tcW w:w="1764" w:type="dxa"/>
            <w:gridSpan w:val="2"/>
            <w:tcBorders>
              <w:top w:val="single" w:sz="12" w:space="0" w:color="auto"/>
              <w:left w:val="nil"/>
              <w:right w:val="nil"/>
            </w:tcBorders>
          </w:tcPr>
          <w:p w:rsidR="00555A84" w:rsidRDefault="00555A84" w:rsidP="004B3437"/>
        </w:tc>
        <w:tc>
          <w:tcPr>
            <w:tcW w:w="1296" w:type="dxa"/>
            <w:gridSpan w:val="2"/>
            <w:tcBorders>
              <w:top w:val="single" w:sz="12" w:space="0" w:color="auto"/>
              <w:left w:val="nil"/>
              <w:right w:val="nil"/>
            </w:tcBorders>
          </w:tcPr>
          <w:p w:rsidR="00555A84" w:rsidRDefault="00555A84" w:rsidP="004B3437">
            <w:pPr>
              <w:jc w:val="center"/>
            </w:pPr>
            <w:r>
              <w:t>3,000</w:t>
            </w:r>
          </w:p>
        </w:tc>
        <w:tc>
          <w:tcPr>
            <w:tcW w:w="1530" w:type="dxa"/>
            <w:gridSpan w:val="2"/>
            <w:tcBorders>
              <w:top w:val="single" w:sz="12" w:space="0" w:color="auto"/>
              <w:left w:val="nil"/>
              <w:right w:val="nil"/>
            </w:tcBorders>
          </w:tcPr>
          <w:p w:rsidR="00555A84" w:rsidRDefault="00555A84" w:rsidP="004B3437">
            <w:pPr>
              <w:jc w:val="center"/>
            </w:pPr>
            <w:r>
              <w:t>2,600</w:t>
            </w:r>
          </w:p>
        </w:tc>
        <w:tc>
          <w:tcPr>
            <w:tcW w:w="2340" w:type="dxa"/>
            <w:gridSpan w:val="2"/>
            <w:tcBorders>
              <w:top w:val="single" w:sz="12" w:space="0" w:color="auto"/>
              <w:left w:val="nil"/>
              <w:right w:val="nil"/>
            </w:tcBorders>
          </w:tcPr>
          <w:p w:rsidR="00555A84" w:rsidRDefault="00555A84" w:rsidP="004B3437">
            <w:pPr>
              <w:jc w:val="center"/>
            </w:pPr>
            <w:r>
              <w:t>1,800</w:t>
            </w:r>
          </w:p>
        </w:tc>
      </w:tr>
      <w:tr w:rsidR="00555A84" w:rsidTr="004B3437">
        <w:trPr>
          <w:cantSplit/>
          <w:trHeight w:val="360"/>
        </w:trPr>
        <w:tc>
          <w:tcPr>
            <w:tcW w:w="1260" w:type="dxa"/>
            <w:tcBorders>
              <w:left w:val="nil"/>
              <w:bottom w:val="single" w:sz="6" w:space="0" w:color="auto"/>
              <w:right w:val="nil"/>
            </w:tcBorders>
          </w:tcPr>
          <w:p w:rsidR="00555A84" w:rsidRDefault="00555A84" w:rsidP="004B3437">
            <w:pPr>
              <w:pStyle w:val="Table2Hdgs"/>
              <w:widowControl/>
              <w:spacing w:before="0" w:after="0"/>
            </w:pPr>
          </w:p>
          <w:p w:rsidR="00555A84" w:rsidRDefault="00555A84" w:rsidP="004B3437">
            <w:pPr>
              <w:pStyle w:val="Table2Hdgs"/>
              <w:widowControl/>
              <w:spacing w:before="0" w:after="0"/>
            </w:pPr>
          </w:p>
          <w:p w:rsidR="00555A84" w:rsidRDefault="00555A84" w:rsidP="004B3437">
            <w:pPr>
              <w:pStyle w:val="Table2Hdgs"/>
              <w:widowControl/>
              <w:spacing w:before="0" w:after="0"/>
            </w:pPr>
          </w:p>
          <w:p w:rsidR="00555A84" w:rsidRDefault="00555A84" w:rsidP="004B3437">
            <w:pPr>
              <w:pStyle w:val="Table2Hdgs"/>
              <w:widowControl/>
              <w:spacing w:before="0" w:after="0"/>
            </w:pPr>
            <w:r>
              <w:t>Quarter</w:t>
            </w:r>
          </w:p>
        </w:tc>
        <w:tc>
          <w:tcPr>
            <w:tcW w:w="1350" w:type="dxa"/>
            <w:gridSpan w:val="2"/>
            <w:tcBorders>
              <w:left w:val="nil"/>
              <w:bottom w:val="single" w:sz="6" w:space="0" w:color="auto"/>
              <w:right w:val="nil"/>
            </w:tcBorders>
          </w:tcPr>
          <w:p w:rsidR="00555A84" w:rsidRDefault="00555A84" w:rsidP="004B3437">
            <w:pPr>
              <w:pStyle w:val="Table2Hdgs"/>
              <w:widowControl/>
              <w:spacing w:before="0" w:after="0"/>
              <w:jc w:val="center"/>
            </w:pPr>
          </w:p>
          <w:p w:rsidR="00555A84" w:rsidRDefault="00555A84" w:rsidP="004B3437">
            <w:pPr>
              <w:pStyle w:val="Table2Hdgs"/>
              <w:widowControl/>
              <w:spacing w:before="0" w:after="0"/>
              <w:jc w:val="center"/>
            </w:pPr>
          </w:p>
          <w:p w:rsidR="00555A84" w:rsidRDefault="00555A84" w:rsidP="004B3437">
            <w:pPr>
              <w:pStyle w:val="Table2Hdgs"/>
              <w:widowControl/>
              <w:spacing w:before="0" w:after="0"/>
              <w:jc w:val="center"/>
            </w:pPr>
          </w:p>
          <w:p w:rsidR="00555A84" w:rsidRDefault="00555A84" w:rsidP="004B3437">
            <w:pPr>
              <w:pStyle w:val="Table2Hdgs"/>
              <w:widowControl/>
              <w:spacing w:before="0" w:after="0"/>
              <w:jc w:val="center"/>
            </w:pPr>
            <w:r>
              <w:t>Rank</w:t>
            </w:r>
          </w:p>
        </w:tc>
        <w:tc>
          <w:tcPr>
            <w:tcW w:w="1260" w:type="dxa"/>
            <w:gridSpan w:val="2"/>
            <w:tcBorders>
              <w:left w:val="nil"/>
              <w:bottom w:val="single" w:sz="6" w:space="0" w:color="auto"/>
              <w:right w:val="nil"/>
            </w:tcBorders>
          </w:tcPr>
          <w:p w:rsidR="00555A84" w:rsidRDefault="00555A84" w:rsidP="004B3437">
            <w:pPr>
              <w:pStyle w:val="Table2Hdgs"/>
              <w:widowControl/>
              <w:spacing w:before="0" w:after="0"/>
              <w:jc w:val="center"/>
            </w:pPr>
          </w:p>
          <w:p w:rsidR="00555A84" w:rsidRDefault="00555A84" w:rsidP="004B3437">
            <w:pPr>
              <w:pStyle w:val="Table2Hdgs"/>
              <w:widowControl/>
              <w:spacing w:before="0" w:after="0"/>
              <w:jc w:val="center"/>
            </w:pPr>
          </w:p>
          <w:p w:rsidR="00555A84" w:rsidRDefault="00555A84" w:rsidP="004B3437">
            <w:pPr>
              <w:pStyle w:val="Table2Hdgs"/>
              <w:widowControl/>
              <w:spacing w:before="0" w:after="0"/>
              <w:jc w:val="center"/>
            </w:pPr>
          </w:p>
          <w:p w:rsidR="00555A84" w:rsidRDefault="00555A84" w:rsidP="004B3437">
            <w:pPr>
              <w:pStyle w:val="Table2Hdgs"/>
              <w:widowControl/>
              <w:spacing w:before="0" w:after="0"/>
              <w:jc w:val="center"/>
            </w:pPr>
            <w:r>
              <w:t>Percentile</w:t>
            </w:r>
          </w:p>
        </w:tc>
        <w:tc>
          <w:tcPr>
            <w:tcW w:w="1530" w:type="dxa"/>
            <w:gridSpan w:val="2"/>
            <w:tcBorders>
              <w:left w:val="nil"/>
              <w:bottom w:val="single" w:sz="6" w:space="0" w:color="auto"/>
              <w:right w:val="nil"/>
            </w:tcBorders>
          </w:tcPr>
          <w:p w:rsidR="00555A84" w:rsidRDefault="00555A84" w:rsidP="004B3437">
            <w:pPr>
              <w:pStyle w:val="Table2Hdgs"/>
              <w:widowControl/>
              <w:spacing w:before="0" w:after="0"/>
              <w:jc w:val="center"/>
            </w:pPr>
          </w:p>
          <w:p w:rsidR="00555A84" w:rsidRDefault="00555A84" w:rsidP="004B3437">
            <w:pPr>
              <w:pStyle w:val="Table2Hdgs"/>
              <w:widowControl/>
              <w:spacing w:before="0" w:after="0"/>
              <w:jc w:val="center"/>
            </w:pPr>
          </w:p>
          <w:p w:rsidR="00555A84" w:rsidRDefault="00555A84" w:rsidP="004B3437">
            <w:pPr>
              <w:pStyle w:val="Table2Hdgs"/>
              <w:widowControl/>
              <w:spacing w:before="0" w:after="0"/>
              <w:jc w:val="center"/>
            </w:pPr>
            <w:r>
              <w:t>Dividend</w:t>
            </w:r>
          </w:p>
          <w:p w:rsidR="00555A84" w:rsidRDefault="00555A84" w:rsidP="004B3437">
            <w:pPr>
              <w:pStyle w:val="Table2Hdgs"/>
              <w:widowControl/>
              <w:spacing w:before="0" w:after="0"/>
              <w:jc w:val="center"/>
            </w:pPr>
            <w:r>
              <w:t>Paid</w:t>
            </w:r>
          </w:p>
        </w:tc>
        <w:tc>
          <w:tcPr>
            <w:tcW w:w="1530" w:type="dxa"/>
            <w:tcBorders>
              <w:left w:val="nil"/>
              <w:bottom w:val="single" w:sz="6" w:space="0" w:color="auto"/>
              <w:right w:val="nil"/>
            </w:tcBorders>
          </w:tcPr>
          <w:p w:rsidR="00555A84" w:rsidRDefault="00555A84" w:rsidP="004B3437">
            <w:pPr>
              <w:pStyle w:val="Table2Hdgs"/>
              <w:widowControl/>
              <w:spacing w:before="0" w:after="0"/>
              <w:jc w:val="center"/>
            </w:pPr>
          </w:p>
          <w:p w:rsidR="00555A84" w:rsidRDefault="00555A84" w:rsidP="004B3437">
            <w:pPr>
              <w:pStyle w:val="Table2Hdgs"/>
              <w:widowControl/>
              <w:spacing w:before="0" w:after="0"/>
              <w:jc w:val="center"/>
            </w:pPr>
          </w:p>
          <w:p w:rsidR="00555A84" w:rsidRDefault="00555A84" w:rsidP="004B3437">
            <w:pPr>
              <w:pStyle w:val="Table2Hdgs"/>
              <w:widowControl/>
              <w:spacing w:before="0" w:after="0"/>
              <w:jc w:val="center"/>
            </w:pPr>
          </w:p>
          <w:p w:rsidR="00555A84" w:rsidRDefault="00555A84" w:rsidP="004B3437">
            <w:pPr>
              <w:pStyle w:val="Table2Hdgs"/>
              <w:widowControl/>
              <w:spacing w:before="0" w:after="0"/>
              <w:jc w:val="center"/>
            </w:pPr>
            <w:r>
              <w:t>PDP Payout %</w:t>
            </w:r>
          </w:p>
        </w:tc>
        <w:tc>
          <w:tcPr>
            <w:tcW w:w="1710" w:type="dxa"/>
            <w:tcBorders>
              <w:left w:val="nil"/>
              <w:bottom w:val="single" w:sz="6" w:space="0" w:color="auto"/>
              <w:right w:val="nil"/>
            </w:tcBorders>
          </w:tcPr>
          <w:p w:rsidR="00555A84" w:rsidRDefault="00555A84" w:rsidP="004B3437">
            <w:pPr>
              <w:pStyle w:val="Table2Hdgs"/>
              <w:widowControl/>
              <w:spacing w:before="0" w:after="0"/>
              <w:jc w:val="center"/>
            </w:pPr>
          </w:p>
          <w:p w:rsidR="00555A84" w:rsidRDefault="00555A84" w:rsidP="004B3437">
            <w:pPr>
              <w:pStyle w:val="Table2Hdgs"/>
              <w:widowControl/>
              <w:spacing w:before="0" w:after="0"/>
              <w:jc w:val="center"/>
            </w:pPr>
          </w:p>
          <w:p w:rsidR="00555A84" w:rsidRDefault="00555A84" w:rsidP="004B3437">
            <w:pPr>
              <w:pStyle w:val="Table2Hdgs"/>
              <w:widowControl/>
              <w:spacing w:before="0" w:after="0"/>
              <w:jc w:val="center"/>
            </w:pPr>
            <w:r>
              <w:t>Actual</w:t>
            </w:r>
          </w:p>
          <w:p w:rsidR="00555A84" w:rsidRDefault="00555A84" w:rsidP="004B3437">
            <w:pPr>
              <w:pStyle w:val="Table2Hdgs"/>
              <w:widowControl/>
              <w:spacing w:before="0" w:after="0"/>
              <w:jc w:val="center"/>
            </w:pPr>
            <w:r>
              <w:t>Payout</w:t>
            </w:r>
          </w:p>
        </w:tc>
      </w:tr>
      <w:tr w:rsidR="00555A84" w:rsidTr="004B3437">
        <w:trPr>
          <w:cantSplit/>
          <w:trHeight w:val="360"/>
        </w:trPr>
        <w:tc>
          <w:tcPr>
            <w:tcW w:w="1260" w:type="dxa"/>
            <w:tcBorders>
              <w:top w:val="nil"/>
              <w:left w:val="nil"/>
              <w:bottom w:val="nil"/>
              <w:right w:val="nil"/>
            </w:tcBorders>
          </w:tcPr>
          <w:p w:rsidR="00555A84" w:rsidRDefault="00555A84" w:rsidP="004B3437">
            <w:r>
              <w:t>1</w:t>
            </w:r>
            <w:r>
              <w:rPr>
                <w:vertAlign w:val="superscript"/>
              </w:rPr>
              <w:t>st</w:t>
            </w:r>
          </w:p>
        </w:tc>
        <w:tc>
          <w:tcPr>
            <w:tcW w:w="1350" w:type="dxa"/>
            <w:gridSpan w:val="2"/>
            <w:tcBorders>
              <w:top w:val="nil"/>
              <w:left w:val="nil"/>
              <w:bottom w:val="nil"/>
              <w:right w:val="nil"/>
            </w:tcBorders>
          </w:tcPr>
          <w:p w:rsidR="00555A84" w:rsidRDefault="00555A84" w:rsidP="004B3437">
            <w:pPr>
              <w:jc w:val="center"/>
            </w:pPr>
            <w:r>
              <w:t>10</w:t>
            </w:r>
          </w:p>
        </w:tc>
        <w:tc>
          <w:tcPr>
            <w:tcW w:w="1260" w:type="dxa"/>
            <w:gridSpan w:val="2"/>
            <w:tcBorders>
              <w:top w:val="nil"/>
              <w:left w:val="nil"/>
              <w:bottom w:val="nil"/>
              <w:right w:val="nil"/>
            </w:tcBorders>
          </w:tcPr>
          <w:p w:rsidR="00555A84" w:rsidRDefault="00555A84" w:rsidP="004B3437">
            <w:pPr>
              <w:jc w:val="center"/>
            </w:pPr>
            <w:r>
              <w:t>61</w:t>
            </w:r>
            <w:r>
              <w:rPr>
                <w:vertAlign w:val="superscript"/>
              </w:rPr>
              <w:t>st</w:t>
            </w:r>
          </w:p>
        </w:tc>
        <w:tc>
          <w:tcPr>
            <w:tcW w:w="1530" w:type="dxa"/>
            <w:gridSpan w:val="2"/>
            <w:tcBorders>
              <w:top w:val="nil"/>
              <w:left w:val="nil"/>
              <w:bottom w:val="nil"/>
              <w:right w:val="nil"/>
            </w:tcBorders>
          </w:tcPr>
          <w:p w:rsidR="00555A84" w:rsidRDefault="00555A84" w:rsidP="004B3437">
            <w:pPr>
              <w:jc w:val="center"/>
            </w:pPr>
            <w:r>
              <w:t>$0.40</w:t>
            </w:r>
          </w:p>
        </w:tc>
        <w:tc>
          <w:tcPr>
            <w:tcW w:w="1530" w:type="dxa"/>
            <w:tcBorders>
              <w:top w:val="nil"/>
              <w:left w:val="nil"/>
              <w:bottom w:val="nil"/>
              <w:right w:val="nil"/>
            </w:tcBorders>
          </w:tcPr>
          <w:p w:rsidR="00555A84" w:rsidRDefault="00555A84" w:rsidP="004B3437">
            <w:pPr>
              <w:jc w:val="center"/>
            </w:pPr>
            <w:r>
              <w:t>64%</w:t>
            </w:r>
          </w:p>
        </w:tc>
        <w:tc>
          <w:tcPr>
            <w:tcW w:w="1710" w:type="dxa"/>
            <w:tcBorders>
              <w:top w:val="nil"/>
              <w:left w:val="nil"/>
              <w:bottom w:val="nil"/>
              <w:right w:val="nil"/>
            </w:tcBorders>
          </w:tcPr>
          <w:p w:rsidR="00555A84" w:rsidRDefault="00555A84" w:rsidP="004B3437">
            <w:pPr>
              <w:jc w:val="center"/>
            </w:pPr>
            <w:r>
              <w:t>$0.26</w:t>
            </w:r>
          </w:p>
        </w:tc>
      </w:tr>
      <w:tr w:rsidR="00555A84" w:rsidTr="004B3437">
        <w:trPr>
          <w:cantSplit/>
          <w:trHeight w:val="360"/>
        </w:trPr>
        <w:tc>
          <w:tcPr>
            <w:tcW w:w="1260" w:type="dxa"/>
            <w:tcBorders>
              <w:top w:val="nil"/>
              <w:left w:val="nil"/>
              <w:bottom w:val="nil"/>
              <w:right w:val="nil"/>
            </w:tcBorders>
          </w:tcPr>
          <w:p w:rsidR="00555A84" w:rsidRDefault="00555A84" w:rsidP="004B3437">
            <w:r>
              <w:t>2</w:t>
            </w:r>
            <w:r>
              <w:rPr>
                <w:vertAlign w:val="superscript"/>
              </w:rPr>
              <w:t>nd</w:t>
            </w:r>
          </w:p>
        </w:tc>
        <w:tc>
          <w:tcPr>
            <w:tcW w:w="1350" w:type="dxa"/>
            <w:gridSpan w:val="2"/>
            <w:tcBorders>
              <w:top w:val="nil"/>
              <w:left w:val="nil"/>
              <w:bottom w:val="nil"/>
              <w:right w:val="nil"/>
            </w:tcBorders>
          </w:tcPr>
          <w:p w:rsidR="00555A84" w:rsidRDefault="00555A84" w:rsidP="004B3437">
            <w:pPr>
              <w:jc w:val="center"/>
            </w:pPr>
            <w:r>
              <w:t>13</w:t>
            </w:r>
          </w:p>
        </w:tc>
        <w:tc>
          <w:tcPr>
            <w:tcW w:w="1260" w:type="dxa"/>
            <w:gridSpan w:val="2"/>
            <w:tcBorders>
              <w:top w:val="nil"/>
              <w:left w:val="nil"/>
              <w:bottom w:val="nil"/>
              <w:right w:val="nil"/>
            </w:tcBorders>
          </w:tcPr>
          <w:p w:rsidR="00555A84" w:rsidRDefault="00555A84" w:rsidP="004B3437">
            <w:pPr>
              <w:jc w:val="center"/>
            </w:pPr>
            <w:r>
              <w:t>48</w:t>
            </w:r>
            <w:r>
              <w:rPr>
                <w:vertAlign w:val="superscript"/>
              </w:rPr>
              <w:t>th</w:t>
            </w:r>
          </w:p>
        </w:tc>
        <w:tc>
          <w:tcPr>
            <w:tcW w:w="1530" w:type="dxa"/>
            <w:gridSpan w:val="2"/>
            <w:tcBorders>
              <w:top w:val="nil"/>
              <w:left w:val="nil"/>
              <w:bottom w:val="nil"/>
              <w:right w:val="nil"/>
            </w:tcBorders>
          </w:tcPr>
          <w:p w:rsidR="00555A84" w:rsidRDefault="00555A84" w:rsidP="004B3437">
            <w:pPr>
              <w:jc w:val="center"/>
            </w:pPr>
            <w:r>
              <w:t>$0.42</w:t>
            </w:r>
          </w:p>
        </w:tc>
        <w:tc>
          <w:tcPr>
            <w:tcW w:w="1530" w:type="dxa"/>
            <w:tcBorders>
              <w:top w:val="nil"/>
              <w:left w:val="nil"/>
              <w:bottom w:val="nil"/>
              <w:right w:val="nil"/>
            </w:tcBorders>
          </w:tcPr>
          <w:p w:rsidR="00555A84" w:rsidRDefault="00555A84" w:rsidP="004B3437">
            <w:pPr>
              <w:jc w:val="center"/>
            </w:pPr>
            <w:r>
              <w:t>48%</w:t>
            </w:r>
          </w:p>
        </w:tc>
        <w:tc>
          <w:tcPr>
            <w:tcW w:w="1710" w:type="dxa"/>
            <w:tcBorders>
              <w:top w:val="nil"/>
              <w:left w:val="nil"/>
              <w:bottom w:val="nil"/>
              <w:right w:val="nil"/>
            </w:tcBorders>
          </w:tcPr>
          <w:p w:rsidR="00555A84" w:rsidRDefault="00555A84" w:rsidP="004B3437">
            <w:pPr>
              <w:jc w:val="center"/>
            </w:pPr>
            <w:r>
              <w:t>$0.20</w:t>
            </w:r>
          </w:p>
        </w:tc>
      </w:tr>
      <w:tr w:rsidR="00555A84" w:rsidTr="004B3437">
        <w:trPr>
          <w:cantSplit/>
          <w:trHeight w:val="360"/>
        </w:trPr>
        <w:tc>
          <w:tcPr>
            <w:tcW w:w="1260" w:type="dxa"/>
            <w:tcBorders>
              <w:top w:val="nil"/>
              <w:left w:val="nil"/>
              <w:bottom w:val="nil"/>
              <w:right w:val="nil"/>
            </w:tcBorders>
          </w:tcPr>
          <w:p w:rsidR="00555A84" w:rsidRDefault="00555A84" w:rsidP="004B3437">
            <w:r>
              <w:t>3</w:t>
            </w:r>
            <w:r>
              <w:rPr>
                <w:vertAlign w:val="superscript"/>
              </w:rPr>
              <w:t>rd</w:t>
            </w:r>
          </w:p>
        </w:tc>
        <w:tc>
          <w:tcPr>
            <w:tcW w:w="1350" w:type="dxa"/>
            <w:gridSpan w:val="2"/>
            <w:tcBorders>
              <w:top w:val="nil"/>
              <w:left w:val="nil"/>
              <w:bottom w:val="nil"/>
              <w:right w:val="nil"/>
            </w:tcBorders>
          </w:tcPr>
          <w:p w:rsidR="00555A84" w:rsidRDefault="00555A84" w:rsidP="004B3437">
            <w:pPr>
              <w:jc w:val="center"/>
            </w:pPr>
            <w:r>
              <w:t>3</w:t>
            </w:r>
          </w:p>
        </w:tc>
        <w:tc>
          <w:tcPr>
            <w:tcW w:w="1260" w:type="dxa"/>
            <w:gridSpan w:val="2"/>
            <w:tcBorders>
              <w:top w:val="nil"/>
              <w:left w:val="nil"/>
              <w:bottom w:val="nil"/>
              <w:right w:val="nil"/>
            </w:tcBorders>
          </w:tcPr>
          <w:p w:rsidR="00555A84" w:rsidRDefault="00555A84" w:rsidP="004B3437">
            <w:pPr>
              <w:jc w:val="center"/>
            </w:pPr>
            <w:r>
              <w:t>91</w:t>
            </w:r>
            <w:r>
              <w:rPr>
                <w:vertAlign w:val="superscript"/>
              </w:rPr>
              <w:t>st</w:t>
            </w:r>
          </w:p>
        </w:tc>
        <w:tc>
          <w:tcPr>
            <w:tcW w:w="1530" w:type="dxa"/>
            <w:gridSpan w:val="2"/>
            <w:tcBorders>
              <w:top w:val="nil"/>
              <w:left w:val="nil"/>
              <w:bottom w:val="nil"/>
              <w:right w:val="nil"/>
            </w:tcBorders>
          </w:tcPr>
          <w:p w:rsidR="00555A84" w:rsidRDefault="00555A84" w:rsidP="004B3437">
            <w:pPr>
              <w:jc w:val="center"/>
            </w:pPr>
            <w:r>
              <w:t>$0.42</w:t>
            </w:r>
          </w:p>
        </w:tc>
        <w:tc>
          <w:tcPr>
            <w:tcW w:w="1530" w:type="dxa"/>
            <w:tcBorders>
              <w:top w:val="nil"/>
              <w:left w:val="nil"/>
              <w:bottom w:val="nil"/>
              <w:right w:val="nil"/>
            </w:tcBorders>
          </w:tcPr>
          <w:p w:rsidR="00555A84" w:rsidRDefault="00555A84" w:rsidP="004B3437">
            <w:pPr>
              <w:jc w:val="center"/>
            </w:pPr>
            <w:r>
              <w:t>100%</w:t>
            </w:r>
          </w:p>
        </w:tc>
        <w:tc>
          <w:tcPr>
            <w:tcW w:w="1710" w:type="dxa"/>
            <w:tcBorders>
              <w:top w:val="nil"/>
              <w:left w:val="nil"/>
              <w:bottom w:val="nil"/>
              <w:right w:val="nil"/>
            </w:tcBorders>
          </w:tcPr>
          <w:p w:rsidR="00555A84" w:rsidRDefault="00555A84" w:rsidP="004B3437">
            <w:pPr>
              <w:jc w:val="center"/>
            </w:pPr>
            <w:r>
              <w:t>$0.42</w:t>
            </w:r>
          </w:p>
        </w:tc>
      </w:tr>
      <w:tr w:rsidR="00555A84" w:rsidTr="004B3437">
        <w:trPr>
          <w:cantSplit/>
          <w:trHeight w:val="360"/>
        </w:trPr>
        <w:tc>
          <w:tcPr>
            <w:tcW w:w="1260" w:type="dxa"/>
            <w:tcBorders>
              <w:top w:val="nil"/>
              <w:left w:val="nil"/>
              <w:right w:val="nil"/>
            </w:tcBorders>
          </w:tcPr>
          <w:p w:rsidR="00555A84" w:rsidRDefault="00555A84" w:rsidP="004B3437">
            <w:r>
              <w:t>4</w:t>
            </w:r>
            <w:r>
              <w:rPr>
                <w:vertAlign w:val="superscript"/>
              </w:rPr>
              <w:t>th</w:t>
            </w:r>
          </w:p>
        </w:tc>
        <w:tc>
          <w:tcPr>
            <w:tcW w:w="1350" w:type="dxa"/>
            <w:gridSpan w:val="2"/>
            <w:tcBorders>
              <w:top w:val="nil"/>
              <w:left w:val="nil"/>
              <w:right w:val="nil"/>
            </w:tcBorders>
          </w:tcPr>
          <w:p w:rsidR="00555A84" w:rsidRDefault="00555A84" w:rsidP="004B3437">
            <w:pPr>
              <w:jc w:val="center"/>
            </w:pPr>
            <w:r>
              <w:t>3</w:t>
            </w:r>
          </w:p>
        </w:tc>
        <w:tc>
          <w:tcPr>
            <w:tcW w:w="1260" w:type="dxa"/>
            <w:gridSpan w:val="2"/>
            <w:tcBorders>
              <w:top w:val="nil"/>
              <w:left w:val="nil"/>
              <w:right w:val="nil"/>
            </w:tcBorders>
          </w:tcPr>
          <w:p w:rsidR="00555A84" w:rsidRDefault="00555A84" w:rsidP="004B3437">
            <w:pPr>
              <w:jc w:val="center"/>
            </w:pPr>
            <w:r>
              <w:t>91</w:t>
            </w:r>
            <w:r>
              <w:rPr>
                <w:vertAlign w:val="superscript"/>
              </w:rPr>
              <w:t>st</w:t>
            </w:r>
          </w:p>
        </w:tc>
        <w:tc>
          <w:tcPr>
            <w:tcW w:w="1530" w:type="dxa"/>
            <w:gridSpan w:val="2"/>
            <w:tcBorders>
              <w:top w:val="nil"/>
              <w:left w:val="nil"/>
              <w:right w:val="nil"/>
            </w:tcBorders>
          </w:tcPr>
          <w:p w:rsidR="00555A84" w:rsidRDefault="00555A84" w:rsidP="004B3437">
            <w:pPr>
              <w:jc w:val="center"/>
            </w:pPr>
            <w:r>
              <w:t>$0.42</w:t>
            </w:r>
          </w:p>
        </w:tc>
        <w:tc>
          <w:tcPr>
            <w:tcW w:w="1530" w:type="dxa"/>
            <w:tcBorders>
              <w:top w:val="nil"/>
              <w:left w:val="nil"/>
              <w:right w:val="nil"/>
            </w:tcBorders>
          </w:tcPr>
          <w:p w:rsidR="00555A84" w:rsidRDefault="00555A84" w:rsidP="004B3437">
            <w:pPr>
              <w:jc w:val="center"/>
            </w:pPr>
            <w:r>
              <w:t>100%</w:t>
            </w:r>
          </w:p>
        </w:tc>
        <w:tc>
          <w:tcPr>
            <w:tcW w:w="1710" w:type="dxa"/>
            <w:tcBorders>
              <w:top w:val="nil"/>
              <w:left w:val="nil"/>
              <w:right w:val="nil"/>
            </w:tcBorders>
          </w:tcPr>
          <w:p w:rsidR="00555A84" w:rsidRDefault="00555A84" w:rsidP="004B3437">
            <w:pPr>
              <w:jc w:val="center"/>
            </w:pPr>
            <w:r>
              <w:t>$0.42</w:t>
            </w:r>
          </w:p>
        </w:tc>
      </w:tr>
      <w:tr w:rsidR="00555A84" w:rsidTr="004B3437">
        <w:trPr>
          <w:cantSplit/>
          <w:trHeight w:val="360"/>
        </w:trPr>
        <w:tc>
          <w:tcPr>
            <w:tcW w:w="1260" w:type="dxa"/>
            <w:tcBorders>
              <w:top w:val="single" w:sz="12" w:space="0" w:color="auto"/>
              <w:left w:val="nil"/>
              <w:right w:val="nil"/>
            </w:tcBorders>
          </w:tcPr>
          <w:p w:rsidR="00555A84" w:rsidRDefault="00555A84" w:rsidP="004B3437"/>
        </w:tc>
        <w:tc>
          <w:tcPr>
            <w:tcW w:w="1350" w:type="dxa"/>
            <w:gridSpan w:val="2"/>
            <w:tcBorders>
              <w:top w:val="single" w:sz="12" w:space="0" w:color="auto"/>
              <w:left w:val="nil"/>
              <w:right w:val="nil"/>
            </w:tcBorders>
          </w:tcPr>
          <w:p w:rsidR="00555A84" w:rsidRDefault="00555A84" w:rsidP="004B3437">
            <w:pPr>
              <w:jc w:val="center"/>
            </w:pPr>
          </w:p>
        </w:tc>
        <w:tc>
          <w:tcPr>
            <w:tcW w:w="1260" w:type="dxa"/>
            <w:gridSpan w:val="2"/>
            <w:tcBorders>
              <w:top w:val="single" w:sz="12" w:space="0" w:color="auto"/>
              <w:left w:val="nil"/>
              <w:right w:val="nil"/>
            </w:tcBorders>
          </w:tcPr>
          <w:p w:rsidR="00555A84" w:rsidRDefault="00555A84" w:rsidP="004B3437">
            <w:pPr>
              <w:jc w:val="center"/>
            </w:pPr>
          </w:p>
        </w:tc>
        <w:tc>
          <w:tcPr>
            <w:tcW w:w="1530" w:type="dxa"/>
            <w:gridSpan w:val="2"/>
            <w:tcBorders>
              <w:top w:val="single" w:sz="12" w:space="0" w:color="auto"/>
              <w:left w:val="nil"/>
              <w:right w:val="nil"/>
            </w:tcBorders>
          </w:tcPr>
          <w:p w:rsidR="00555A84" w:rsidRDefault="00555A84" w:rsidP="004B3437">
            <w:pPr>
              <w:jc w:val="center"/>
            </w:pPr>
            <w:r>
              <w:t>$1.66</w:t>
            </w:r>
          </w:p>
        </w:tc>
        <w:tc>
          <w:tcPr>
            <w:tcW w:w="1530" w:type="dxa"/>
            <w:tcBorders>
              <w:top w:val="single" w:sz="12" w:space="0" w:color="auto"/>
              <w:left w:val="nil"/>
              <w:right w:val="nil"/>
            </w:tcBorders>
          </w:tcPr>
          <w:p w:rsidR="00555A84" w:rsidRDefault="00555A84" w:rsidP="004B3437">
            <w:pPr>
              <w:jc w:val="center"/>
            </w:pPr>
            <w:r>
              <w:t>78%</w:t>
            </w:r>
          </w:p>
        </w:tc>
        <w:tc>
          <w:tcPr>
            <w:tcW w:w="1710" w:type="dxa"/>
            <w:tcBorders>
              <w:top w:val="single" w:sz="12" w:space="0" w:color="auto"/>
              <w:left w:val="nil"/>
              <w:right w:val="nil"/>
            </w:tcBorders>
          </w:tcPr>
          <w:p w:rsidR="00555A84" w:rsidRDefault="00555A84" w:rsidP="004B3437">
            <w:pPr>
              <w:spacing w:after="240"/>
              <w:jc w:val="center"/>
            </w:pPr>
            <w:r>
              <w:t>$1.30</w:t>
            </w:r>
          </w:p>
        </w:tc>
      </w:tr>
      <w:tr w:rsidR="00555A84" w:rsidTr="004B3437">
        <w:trPr>
          <w:cantSplit/>
          <w:trHeight w:val="360"/>
        </w:trPr>
        <w:tc>
          <w:tcPr>
            <w:tcW w:w="8640" w:type="dxa"/>
            <w:gridSpan w:val="9"/>
            <w:tcBorders>
              <w:left w:val="nil"/>
            </w:tcBorders>
          </w:tcPr>
          <w:p w:rsidR="00555A84" w:rsidRDefault="00555A84" w:rsidP="004B3437">
            <w:r>
              <w:t>Outstanding Options:</w:t>
            </w:r>
            <w:r>
              <w:tab/>
            </w:r>
            <w:r>
              <w:tab/>
              <w:t>1,800</w:t>
            </w:r>
          </w:p>
        </w:tc>
      </w:tr>
      <w:tr w:rsidR="00555A84" w:rsidTr="004B3437">
        <w:trPr>
          <w:cantSplit/>
          <w:trHeight w:val="360"/>
        </w:trPr>
        <w:tc>
          <w:tcPr>
            <w:tcW w:w="8640" w:type="dxa"/>
            <w:gridSpan w:val="9"/>
            <w:tcBorders>
              <w:left w:val="nil"/>
            </w:tcBorders>
          </w:tcPr>
          <w:p w:rsidR="00555A84" w:rsidRDefault="00555A84" w:rsidP="004B3437">
            <w:pPr>
              <w:rPr>
                <w:b/>
                <w:u w:val="single"/>
              </w:rPr>
            </w:pPr>
            <w:r>
              <w:rPr>
                <w:b/>
                <w:u w:val="single"/>
              </w:rPr>
              <w:t>PDP Actual Payment:</w:t>
            </w:r>
            <w:r>
              <w:rPr>
                <w:b/>
                <w:u w:val="single"/>
              </w:rPr>
              <w:tab/>
            </w:r>
            <w:r>
              <w:rPr>
                <w:b/>
                <w:u w:val="single"/>
              </w:rPr>
              <w:tab/>
              <w:t>$1.30</w:t>
            </w:r>
          </w:p>
        </w:tc>
      </w:tr>
      <w:tr w:rsidR="00555A84" w:rsidTr="004B3437">
        <w:trPr>
          <w:cantSplit/>
          <w:trHeight w:val="360"/>
        </w:trPr>
        <w:tc>
          <w:tcPr>
            <w:tcW w:w="8640" w:type="dxa"/>
            <w:gridSpan w:val="9"/>
            <w:tcBorders>
              <w:left w:val="nil"/>
            </w:tcBorders>
          </w:tcPr>
          <w:p w:rsidR="00555A84" w:rsidRDefault="00555A84" w:rsidP="004B3437">
            <w:pPr>
              <w:spacing w:after="120"/>
            </w:pPr>
            <w:r>
              <w:t>PDP Awarded</w:t>
            </w:r>
            <w:r>
              <w:tab/>
            </w:r>
            <w:r>
              <w:tab/>
            </w:r>
            <w:r>
              <w:tab/>
              <w:t>$2,340</w:t>
            </w:r>
          </w:p>
        </w:tc>
      </w:tr>
    </w:tbl>
    <w:p w:rsidR="00555A84" w:rsidRDefault="00555A84" w:rsidP="00555A84">
      <w:pPr>
        <w:pStyle w:val="Heading1"/>
      </w:pPr>
      <w:r>
        <w:t>Vesting</w:t>
      </w:r>
    </w:p>
    <w:p w:rsidR="00555A84" w:rsidRDefault="00555A84" w:rsidP="00555A84">
      <w:r>
        <w:t>PDP payouts vest on December 31 of the last year in the performance measurement period if the Committee has, at the beginning of that year, authorized such payouts.  Participants must be employed on that date in order to receive a Performance Dividend payout (except in cases of death, disability or retirement - see below).</w:t>
      </w:r>
    </w:p>
    <w:p w:rsidR="00555A84" w:rsidRDefault="00555A84" w:rsidP="00555A84"/>
    <w:p w:rsidR="00555A84" w:rsidRDefault="00555A84" w:rsidP="00555A84">
      <w:r>
        <w:t>Termination for cause</w:t>
      </w:r>
      <w:r>
        <w:rPr>
          <w:rStyle w:val="FootnoteReference"/>
        </w:rPr>
        <w:footnoteReference w:id="15"/>
      </w:r>
      <w:r>
        <w:t xml:space="preserve"> creates an exception to the vesting rule.  Such a termination results in forfeiture of any unpaid award, even if it is otherwise vested.</w:t>
      </w:r>
    </w:p>
    <w:p w:rsidR="00555A84" w:rsidRDefault="00555A84" w:rsidP="00555A84"/>
    <w:p w:rsidR="00555A84" w:rsidRDefault="00555A84" w:rsidP="00555A84">
      <w:pPr>
        <w:pStyle w:val="Heading1"/>
      </w:pPr>
      <w:r>
        <w:t>Form and Timing of Payout</w:t>
      </w:r>
    </w:p>
    <w:p w:rsidR="00555A84" w:rsidRDefault="00555A84" w:rsidP="00555A84">
      <w:r>
        <w:t>Payouts are made in cash as soon as practicable after the end of the performance measurement period and are subject to withholding.  Payouts will be made after the performance measurement period ends but no later than the immediately following March 15</w:t>
      </w:r>
      <w:r w:rsidRPr="00610105">
        <w:rPr>
          <w:vertAlign w:val="superscript"/>
        </w:rPr>
        <w:t>th</w:t>
      </w:r>
      <w:r>
        <w:t>.</w:t>
      </w:r>
    </w:p>
    <w:p w:rsidR="00555A84" w:rsidRDefault="00555A84" w:rsidP="00555A84"/>
    <w:p w:rsidR="00555A84" w:rsidRDefault="00555A84" w:rsidP="00555A84">
      <w:pPr>
        <w:pStyle w:val="Heading1"/>
      </w:pPr>
      <w:r>
        <w:t>Errors in Payout</w:t>
      </w:r>
    </w:p>
    <w:p w:rsidR="00555A84" w:rsidRPr="00282305" w:rsidRDefault="00555A84" w:rsidP="00555A84">
      <w:pPr>
        <w:rPr>
          <w:szCs w:val="23"/>
        </w:rPr>
      </w:pPr>
      <w:r>
        <w:rPr>
          <w:szCs w:val="23"/>
        </w:rPr>
        <w:t>In the event there is an error in the determination of a payout amount (regardless of why the error occurs) or in the payment of a payout, the company, in its sole discretion, shall determine the method for correcting the error in accordance with the requirements of the Omnibus Plan.  If the error results in an overpayment, the company may choose, among other options, to require repayment of the overpayment or to reduce future payouts.</w:t>
      </w:r>
    </w:p>
    <w:p w:rsidR="00555A84" w:rsidRDefault="00555A84" w:rsidP="00555A84"/>
    <w:p w:rsidR="00555A84" w:rsidRDefault="00555A84" w:rsidP="00555A84">
      <w:pPr>
        <w:pStyle w:val="Heading1"/>
      </w:pPr>
      <w:r>
        <w:t>Impact of Employment Events</w:t>
      </w:r>
    </w:p>
    <w:p w:rsidR="00555A84" w:rsidRDefault="00555A84" w:rsidP="00555A84">
      <w:pPr>
        <w:pStyle w:val="NormalDS"/>
        <w:widowControl/>
      </w:pPr>
      <w:r>
        <w:t>The following table shows the impact of various employment events.</w:t>
      </w:r>
    </w:p>
    <w:tbl>
      <w:tblPr>
        <w:tblW w:w="0" w:type="auto"/>
        <w:tblInd w:w="108" w:type="dxa"/>
        <w:tblLayout w:type="fixed"/>
        <w:tblLook w:val="0000"/>
      </w:tblPr>
      <w:tblGrid>
        <w:gridCol w:w="3150"/>
        <w:gridCol w:w="5760"/>
      </w:tblGrid>
      <w:tr w:rsidR="00555A84" w:rsidTr="004B3437">
        <w:trPr>
          <w:cantSplit/>
          <w:trHeight w:val="600"/>
          <w:tblHeader/>
        </w:trPr>
        <w:tc>
          <w:tcPr>
            <w:tcW w:w="3150" w:type="dxa"/>
            <w:tcBorders>
              <w:top w:val="single" w:sz="18" w:space="0" w:color="auto"/>
              <w:left w:val="nil"/>
              <w:bottom w:val="nil"/>
              <w:right w:val="nil"/>
            </w:tcBorders>
          </w:tcPr>
          <w:p w:rsidR="00555A84" w:rsidRDefault="00555A84" w:rsidP="004B3437">
            <w:pPr>
              <w:pStyle w:val="Table2Hdgs"/>
              <w:widowControl/>
            </w:pPr>
            <w:r>
              <w:t>Employment Event</w:t>
            </w:r>
          </w:p>
        </w:tc>
        <w:tc>
          <w:tcPr>
            <w:tcW w:w="5760" w:type="dxa"/>
            <w:tcBorders>
              <w:top w:val="single" w:sz="18" w:space="0" w:color="auto"/>
              <w:left w:val="nil"/>
              <w:bottom w:val="nil"/>
              <w:right w:val="nil"/>
            </w:tcBorders>
          </w:tcPr>
          <w:p w:rsidR="00555A84" w:rsidRDefault="00555A84" w:rsidP="004B3437">
            <w:pPr>
              <w:pStyle w:val="Table2Hdgs"/>
              <w:widowControl/>
            </w:pPr>
            <w:r>
              <w:t>Payout</w:t>
            </w:r>
          </w:p>
        </w:tc>
      </w:tr>
      <w:tr w:rsidR="00555A84" w:rsidTr="004B3437">
        <w:trPr>
          <w:cantSplit/>
          <w:trHeight w:val="600"/>
        </w:trPr>
        <w:tc>
          <w:tcPr>
            <w:tcW w:w="3150" w:type="dxa"/>
            <w:tcBorders>
              <w:top w:val="single" w:sz="6" w:space="0" w:color="auto"/>
              <w:left w:val="nil"/>
              <w:bottom w:val="single" w:sz="6" w:space="0" w:color="auto"/>
              <w:right w:val="nil"/>
            </w:tcBorders>
          </w:tcPr>
          <w:p w:rsidR="00555A84" w:rsidRDefault="00555A84" w:rsidP="004B3437">
            <w:pPr>
              <w:pStyle w:val="Table3Data"/>
              <w:widowControl/>
            </w:pPr>
            <w:r>
              <w:lastRenderedPageBreak/>
              <w:t>Death</w:t>
            </w:r>
            <w:r>
              <w:rPr>
                <w:rStyle w:val="FootnoteReference"/>
              </w:rPr>
              <w:footnoteReference w:id="16"/>
            </w:r>
            <w:r>
              <w:t>, unpaid leave of absence or disability</w:t>
            </w:r>
            <w:r>
              <w:rPr>
                <w:rStyle w:val="FootnoteReference"/>
              </w:rPr>
              <w:footnoteReference w:id="17"/>
            </w:r>
            <w:r>
              <w:t xml:space="preserve"> </w:t>
            </w:r>
          </w:p>
        </w:tc>
        <w:tc>
          <w:tcPr>
            <w:tcW w:w="5760" w:type="dxa"/>
            <w:tcBorders>
              <w:top w:val="single" w:sz="6" w:space="0" w:color="auto"/>
              <w:left w:val="nil"/>
              <w:bottom w:val="single" w:sz="6" w:space="0" w:color="auto"/>
              <w:right w:val="nil"/>
            </w:tcBorders>
          </w:tcPr>
          <w:p w:rsidR="00555A84" w:rsidRDefault="00555A84" w:rsidP="004B3437">
            <w:pPr>
              <w:pStyle w:val="Table3Data"/>
              <w:widowControl/>
              <w:rPr>
                <w:i/>
              </w:rPr>
            </w:pPr>
            <w:r>
              <w:t>Estate or participant continues to participate in PDP as long as stock options are outstanding and PDP payouts have been authorized and PDP payouts remain subject to the performance requirements for the applicable performance period.</w:t>
            </w:r>
          </w:p>
        </w:tc>
      </w:tr>
      <w:tr w:rsidR="00555A84" w:rsidTr="004B3437">
        <w:trPr>
          <w:cantSplit/>
          <w:trHeight w:val="600"/>
        </w:trPr>
        <w:tc>
          <w:tcPr>
            <w:tcW w:w="3150" w:type="dxa"/>
            <w:tcBorders>
              <w:top w:val="single" w:sz="6" w:space="0" w:color="auto"/>
              <w:left w:val="nil"/>
              <w:bottom w:val="nil"/>
              <w:right w:val="nil"/>
            </w:tcBorders>
          </w:tcPr>
          <w:p w:rsidR="00555A84" w:rsidRDefault="00555A84" w:rsidP="004B3437">
            <w:pPr>
              <w:pStyle w:val="Table3Data"/>
              <w:widowControl/>
            </w:pPr>
            <w:r>
              <w:t>Retirement</w:t>
            </w:r>
            <w:r>
              <w:rPr>
                <w:rStyle w:val="FootnoteReference"/>
              </w:rPr>
              <w:footnoteReference w:id="18"/>
            </w:r>
          </w:p>
        </w:tc>
        <w:tc>
          <w:tcPr>
            <w:tcW w:w="5760" w:type="dxa"/>
            <w:tcBorders>
              <w:top w:val="single" w:sz="6" w:space="0" w:color="auto"/>
              <w:left w:val="nil"/>
              <w:bottom w:val="nil"/>
              <w:right w:val="nil"/>
            </w:tcBorders>
          </w:tcPr>
          <w:p w:rsidR="00555A84" w:rsidRDefault="00555A84" w:rsidP="004B3437">
            <w:pPr>
              <w:pStyle w:val="Table3Data"/>
              <w:widowControl/>
            </w:pPr>
            <w:r>
              <w:t xml:space="preserve">Retirees will be paid any vested but not yet paid PDP payouts at the same time as active participants.  Retirees will also participate in PDP for three payouts </w:t>
            </w:r>
            <w:r>
              <w:rPr>
                <w:rStyle w:val="FootnoteReference"/>
              </w:rPr>
              <w:footnoteReference w:id="19"/>
            </w:r>
            <w:r>
              <w:t xml:space="preserve"> following retirement as long as stock options are outstanding and PDP payouts have been authorized and PDP payouts remain subject to the performance requirements for the applicable performance period.</w:t>
            </w:r>
          </w:p>
        </w:tc>
      </w:tr>
      <w:tr w:rsidR="00555A84" w:rsidTr="004B3437">
        <w:trPr>
          <w:cantSplit/>
          <w:trHeight w:val="600"/>
        </w:trPr>
        <w:tc>
          <w:tcPr>
            <w:tcW w:w="3150" w:type="dxa"/>
            <w:tcBorders>
              <w:top w:val="single" w:sz="6" w:space="0" w:color="auto"/>
              <w:left w:val="nil"/>
              <w:bottom w:val="nil"/>
              <w:right w:val="nil"/>
            </w:tcBorders>
          </w:tcPr>
          <w:p w:rsidR="00555A84" w:rsidRDefault="00555A84" w:rsidP="004B3437">
            <w:pPr>
              <w:pStyle w:val="Table3Data"/>
              <w:widowControl/>
            </w:pPr>
            <w:r>
              <w:t>Any other type of termination not for cause</w:t>
            </w:r>
          </w:p>
        </w:tc>
        <w:tc>
          <w:tcPr>
            <w:tcW w:w="5760" w:type="dxa"/>
            <w:tcBorders>
              <w:top w:val="single" w:sz="6" w:space="0" w:color="auto"/>
              <w:left w:val="nil"/>
              <w:bottom w:val="nil"/>
              <w:right w:val="nil"/>
            </w:tcBorders>
          </w:tcPr>
          <w:p w:rsidR="00555A84" w:rsidRDefault="00555A84" w:rsidP="004B3437">
            <w:pPr>
              <w:pStyle w:val="Table3Data"/>
              <w:widowControl/>
            </w:pPr>
            <w:r>
              <w:t>No payout unless vested.</w:t>
            </w:r>
          </w:p>
        </w:tc>
      </w:tr>
      <w:tr w:rsidR="00555A84" w:rsidTr="004B3437">
        <w:trPr>
          <w:cantSplit/>
          <w:trHeight w:val="600"/>
        </w:trPr>
        <w:tc>
          <w:tcPr>
            <w:tcW w:w="3150" w:type="dxa"/>
            <w:tcBorders>
              <w:top w:val="single" w:sz="6" w:space="0" w:color="auto"/>
              <w:left w:val="nil"/>
              <w:bottom w:val="nil"/>
              <w:right w:val="nil"/>
            </w:tcBorders>
          </w:tcPr>
          <w:p w:rsidR="00555A84" w:rsidRDefault="00555A84" w:rsidP="004B3437">
            <w:pPr>
              <w:pStyle w:val="Table3Data"/>
              <w:widowControl/>
            </w:pPr>
            <w:r>
              <w:t>Termination for cause</w:t>
            </w:r>
            <w:r w:rsidRPr="00435B50">
              <w:rPr>
                <w:vertAlign w:val="superscript"/>
              </w:rPr>
              <w:t>17</w:t>
            </w:r>
            <w:r w:rsidRPr="00C16F5B">
              <w:rPr>
                <w:vertAlign w:val="superscript"/>
              </w:rPr>
              <w:t xml:space="preserve">/ </w:t>
            </w:r>
            <w:r>
              <w:rPr>
                <w:rStyle w:val="FootnoteReference"/>
              </w:rPr>
              <w:footnoteReference w:id="20"/>
            </w:r>
          </w:p>
        </w:tc>
        <w:tc>
          <w:tcPr>
            <w:tcW w:w="5760" w:type="dxa"/>
            <w:tcBorders>
              <w:top w:val="single" w:sz="6" w:space="0" w:color="auto"/>
              <w:left w:val="nil"/>
              <w:bottom w:val="nil"/>
              <w:right w:val="nil"/>
            </w:tcBorders>
          </w:tcPr>
          <w:p w:rsidR="00555A84" w:rsidRDefault="00555A84" w:rsidP="004B3437">
            <w:pPr>
              <w:pStyle w:val="Table3Data"/>
              <w:widowControl/>
            </w:pPr>
            <w:r>
              <w:t>No payout even if vested.</w:t>
            </w:r>
          </w:p>
        </w:tc>
      </w:tr>
      <w:tr w:rsidR="00555A84" w:rsidTr="004B3437">
        <w:trPr>
          <w:cantSplit/>
          <w:trHeight w:val="600"/>
        </w:trPr>
        <w:tc>
          <w:tcPr>
            <w:tcW w:w="3150" w:type="dxa"/>
            <w:tcBorders>
              <w:top w:val="single" w:sz="6" w:space="0" w:color="auto"/>
              <w:left w:val="nil"/>
              <w:bottom w:val="single" w:sz="6" w:space="0" w:color="auto"/>
              <w:right w:val="nil"/>
            </w:tcBorders>
          </w:tcPr>
          <w:p w:rsidR="00555A84" w:rsidRDefault="00555A84" w:rsidP="004B3437">
            <w:pPr>
              <w:pStyle w:val="Table3Data"/>
              <w:widowControl/>
            </w:pPr>
            <w:r>
              <w:t>New hires</w:t>
            </w:r>
          </w:p>
        </w:tc>
        <w:tc>
          <w:tcPr>
            <w:tcW w:w="5760" w:type="dxa"/>
            <w:tcBorders>
              <w:top w:val="single" w:sz="6" w:space="0" w:color="auto"/>
              <w:left w:val="nil"/>
              <w:bottom w:val="single" w:sz="6" w:space="0" w:color="auto"/>
              <w:right w:val="nil"/>
            </w:tcBorders>
          </w:tcPr>
          <w:p w:rsidR="00555A84" w:rsidRDefault="00555A84" w:rsidP="004B3437">
            <w:pPr>
              <w:pStyle w:val="Table3Data"/>
              <w:widowControl/>
            </w:pPr>
            <w:r>
              <w:t>New hires are eligible for the payout that follows their first grant of stock options.</w:t>
            </w:r>
          </w:p>
        </w:tc>
      </w:tr>
      <w:tr w:rsidR="00555A84" w:rsidTr="004B3437">
        <w:trPr>
          <w:cantSplit/>
          <w:trHeight w:val="600"/>
        </w:trPr>
        <w:tc>
          <w:tcPr>
            <w:tcW w:w="3150" w:type="dxa"/>
            <w:tcBorders>
              <w:top w:val="single" w:sz="6" w:space="0" w:color="auto"/>
              <w:left w:val="nil"/>
              <w:bottom w:val="single" w:sz="6" w:space="0" w:color="auto"/>
              <w:right w:val="nil"/>
            </w:tcBorders>
          </w:tcPr>
          <w:p w:rsidR="00555A84" w:rsidRDefault="00555A84" w:rsidP="004B3437">
            <w:pPr>
              <w:pStyle w:val="Table3Data"/>
              <w:widowControl/>
            </w:pPr>
            <w:r>
              <w:t>Paid Leave of Absence</w:t>
            </w:r>
          </w:p>
        </w:tc>
        <w:tc>
          <w:tcPr>
            <w:tcW w:w="5760" w:type="dxa"/>
            <w:tcBorders>
              <w:top w:val="single" w:sz="6" w:space="0" w:color="auto"/>
              <w:left w:val="nil"/>
              <w:bottom w:val="single" w:sz="6" w:space="0" w:color="auto"/>
              <w:right w:val="nil"/>
            </w:tcBorders>
          </w:tcPr>
          <w:p w:rsidR="00555A84" w:rsidRDefault="00555A84" w:rsidP="004B3437">
            <w:pPr>
              <w:pStyle w:val="Table3Data"/>
              <w:widowControl/>
            </w:pPr>
            <w:r>
              <w:t>Continues to participate in PDP as long as stock options outstanding.</w:t>
            </w:r>
          </w:p>
        </w:tc>
      </w:tr>
      <w:tr w:rsidR="00555A84" w:rsidTr="004B3437">
        <w:trPr>
          <w:cantSplit/>
          <w:trHeight w:val="600"/>
        </w:trPr>
        <w:tc>
          <w:tcPr>
            <w:tcW w:w="3150" w:type="dxa"/>
            <w:tcBorders>
              <w:top w:val="single" w:sz="6" w:space="0" w:color="auto"/>
              <w:left w:val="nil"/>
              <w:bottom w:val="single" w:sz="6" w:space="0" w:color="auto"/>
              <w:right w:val="nil"/>
            </w:tcBorders>
          </w:tcPr>
          <w:p w:rsidR="00555A84" w:rsidRDefault="00555A84" w:rsidP="004B3437">
            <w:pPr>
              <w:pStyle w:val="Table3Data"/>
              <w:widowControl/>
            </w:pPr>
            <w:r>
              <w:t>Military Leave of Absence</w:t>
            </w:r>
          </w:p>
        </w:tc>
        <w:tc>
          <w:tcPr>
            <w:tcW w:w="5760" w:type="dxa"/>
            <w:tcBorders>
              <w:top w:val="single" w:sz="6" w:space="0" w:color="auto"/>
              <w:left w:val="nil"/>
              <w:bottom w:val="single" w:sz="6" w:space="0" w:color="auto"/>
              <w:right w:val="nil"/>
            </w:tcBorders>
          </w:tcPr>
          <w:p w:rsidR="00555A84" w:rsidRDefault="00555A84" w:rsidP="004B3437">
            <w:pPr>
              <w:pStyle w:val="Table3Data"/>
              <w:widowControl/>
            </w:pPr>
            <w:r>
              <w:t>Continues to participate in PDP as long as stock options outstanding.</w:t>
            </w:r>
          </w:p>
        </w:tc>
      </w:tr>
      <w:tr w:rsidR="00555A84" w:rsidTr="004B3437">
        <w:trPr>
          <w:cantSplit/>
          <w:trHeight w:val="600"/>
        </w:trPr>
        <w:tc>
          <w:tcPr>
            <w:tcW w:w="3150" w:type="dxa"/>
            <w:tcBorders>
              <w:top w:val="single" w:sz="6" w:space="0" w:color="auto"/>
              <w:left w:val="nil"/>
              <w:bottom w:val="single" w:sz="6" w:space="0" w:color="auto"/>
              <w:right w:val="nil"/>
            </w:tcBorders>
          </w:tcPr>
          <w:p w:rsidR="00555A84" w:rsidRDefault="00555A84" w:rsidP="004B3437">
            <w:pPr>
              <w:pStyle w:val="Table3Data"/>
              <w:widowControl/>
            </w:pPr>
            <w:r>
              <w:t>Unpaid Leave of Absence</w:t>
            </w:r>
          </w:p>
        </w:tc>
        <w:tc>
          <w:tcPr>
            <w:tcW w:w="5760" w:type="dxa"/>
            <w:tcBorders>
              <w:top w:val="single" w:sz="6" w:space="0" w:color="auto"/>
              <w:left w:val="nil"/>
              <w:bottom w:val="single" w:sz="6" w:space="0" w:color="auto"/>
              <w:right w:val="nil"/>
            </w:tcBorders>
          </w:tcPr>
          <w:p w:rsidR="00555A84" w:rsidRDefault="00555A84" w:rsidP="004B3437">
            <w:pPr>
              <w:pStyle w:val="Table3Data"/>
              <w:widowControl/>
            </w:pPr>
            <w:r>
              <w:t>Continues to participate in PDP as long as stock options outstanding.</w:t>
            </w:r>
          </w:p>
        </w:tc>
      </w:tr>
    </w:tbl>
    <w:p w:rsidR="00555A84" w:rsidRDefault="00555A84" w:rsidP="00555A84"/>
    <w:p w:rsidR="00555A84" w:rsidRDefault="00555A84" w:rsidP="00555A84">
      <w:pPr>
        <w:pStyle w:val="Heading1"/>
      </w:pPr>
      <w:r>
        <w:t>Impact on Other Plans</w:t>
      </w:r>
    </w:p>
    <w:p w:rsidR="00555A84" w:rsidRPr="001D56F5" w:rsidRDefault="00555A84" w:rsidP="00555A84">
      <w:pPr>
        <w:pStyle w:val="NormalDS"/>
        <w:widowControl/>
        <w:rPr>
          <w:b/>
        </w:rPr>
      </w:pPr>
      <w:r>
        <w:t>Performance Dividends are not considered pay for purposes of the Southern Company Pension Plan, SERP or ESP.</w:t>
      </w:r>
    </w:p>
    <w:p w:rsidR="00555A84" w:rsidRDefault="00555A84" w:rsidP="00555A84">
      <w:pPr>
        <w:pStyle w:val="Heading1"/>
      </w:pPr>
      <w:r>
        <w:t>Deferral Opportunities</w:t>
      </w:r>
    </w:p>
    <w:p w:rsidR="00555A84" w:rsidRDefault="00555A84" w:rsidP="00555A84">
      <w:r>
        <w:t>Participants in the Southern Company Deferred Compensation Plan may defer receipt of a Performance Dividend payout by following the procedures in that plan.</w:t>
      </w:r>
    </w:p>
    <w:p w:rsidR="00555A84" w:rsidRDefault="00555A84" w:rsidP="00555A84"/>
    <w:p w:rsidR="00555A84" w:rsidRDefault="00555A84" w:rsidP="00555A84">
      <w:pPr>
        <w:pStyle w:val="Heading1"/>
      </w:pPr>
      <w:r>
        <w:t>No Right to Assign and No Right to Employment</w:t>
      </w:r>
    </w:p>
    <w:p w:rsidR="00555A84" w:rsidRDefault="00555A84" w:rsidP="00555A84">
      <w:r>
        <w:t>Payments from this program are not subject to assignment or transfer for any reason, including transfers incident to a divorce.  Any attempt to assign or transfer the right to payments from this program shall be void and have no effect.  No employment rights are created by this program or the Omnibus Plan.</w:t>
      </w:r>
    </w:p>
    <w:p w:rsidR="00555A84" w:rsidRDefault="00555A84" w:rsidP="00555A84"/>
    <w:p w:rsidR="00555A84" w:rsidRDefault="00555A84" w:rsidP="00555A84">
      <w:pPr>
        <w:pStyle w:val="Heading1"/>
      </w:pPr>
      <w:r>
        <w:t>Service of Process</w:t>
      </w:r>
    </w:p>
    <w:p w:rsidR="00555A84" w:rsidRDefault="00555A84" w:rsidP="00555A84">
      <w:r>
        <w:t>The Vice President of Human Resources is the agent for service of process for the Omnibus Plan.</w:t>
      </w:r>
    </w:p>
    <w:p w:rsidR="00555A84" w:rsidRDefault="00555A84" w:rsidP="0067601C">
      <w:pPr>
        <w:rPr>
          <w:rFonts w:ascii="Arial" w:hAnsi="Arial"/>
          <w:b/>
          <w:sz w:val="24"/>
          <w:szCs w:val="24"/>
        </w:rPr>
      </w:pPr>
    </w:p>
    <w:sectPr w:rsidR="00555A84" w:rsidSect="00E7604F">
      <w:pgSz w:w="12240" w:h="15840"/>
      <w:pgMar w:top="1296" w:right="1440" w:bottom="115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861" w:rsidRDefault="007E1861">
      <w:r>
        <w:separator/>
      </w:r>
    </w:p>
  </w:endnote>
  <w:endnote w:type="continuationSeparator" w:id="0">
    <w:p w:rsidR="007E1861" w:rsidRDefault="007E18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861" w:rsidRDefault="007E1861">
      <w:r>
        <w:separator/>
      </w:r>
    </w:p>
  </w:footnote>
  <w:footnote w:type="continuationSeparator" w:id="0">
    <w:p w:rsidR="007E1861" w:rsidRDefault="007E1861">
      <w:r>
        <w:continuationSeparator/>
      </w:r>
    </w:p>
  </w:footnote>
  <w:footnote w:id="1">
    <w:p w:rsidR="00390190" w:rsidRDefault="00390190" w:rsidP="00555A84">
      <w:pPr>
        <w:pStyle w:val="FootnoteText"/>
      </w:pPr>
      <w:r>
        <w:rPr>
          <w:rStyle w:val="FootnoteReference"/>
        </w:rPr>
        <w:footnoteRef/>
      </w:r>
      <w:r>
        <w:t xml:space="preserve"> </w:t>
      </w:r>
      <w:r>
        <w:rPr>
          <w:lang w:val="en-US"/>
        </w:rPr>
        <w:t xml:space="preserve">The company may unilaterally change the percentage target award at any time.  </w:t>
      </w:r>
    </w:p>
  </w:footnote>
  <w:footnote w:id="2">
    <w:p w:rsidR="00390190" w:rsidRDefault="00390190" w:rsidP="00555A84">
      <w:pPr>
        <w:pStyle w:val="FootnoteText"/>
        <w:widowControl/>
        <w:ind w:firstLine="0"/>
      </w:pPr>
      <w:r>
        <w:rPr>
          <w:rStyle w:val="FootnoteReference"/>
        </w:rPr>
        <w:footnoteRef/>
      </w:r>
      <w:r>
        <w:rPr>
          <w:sz w:val="20"/>
        </w:rPr>
        <w:t xml:space="preserve"> </w:t>
      </w:r>
      <w:r>
        <w:t xml:space="preserve">The Committee determines whether “cause” is present. </w:t>
      </w:r>
    </w:p>
  </w:footnote>
  <w:footnote w:id="3">
    <w:p w:rsidR="00390190" w:rsidRDefault="00390190" w:rsidP="00555A84">
      <w:pPr>
        <w:pStyle w:val="FootnoteText"/>
        <w:ind w:firstLine="0"/>
      </w:pPr>
      <w:r>
        <w:rPr>
          <w:rStyle w:val="FootnoteReference"/>
        </w:rPr>
        <w:footnoteRef/>
      </w:r>
      <w:r>
        <w:t xml:space="preserve"> Any </w:t>
      </w:r>
      <w:smartTag w:uri="urn:schemas-microsoft-com:office:smarttags" w:element="stockticker">
        <w:r>
          <w:t>PPP</w:t>
        </w:r>
      </w:smartTag>
      <w:r>
        <w:t xml:space="preserve"> payout that is payable after death will be paid to the estate.</w:t>
      </w:r>
    </w:p>
  </w:footnote>
  <w:footnote w:id="4">
    <w:p w:rsidR="00390190" w:rsidRDefault="00390190" w:rsidP="00555A84">
      <w:pPr>
        <w:pStyle w:val="FootnoteText"/>
        <w:widowControl/>
        <w:ind w:firstLine="0"/>
      </w:pPr>
      <w:r>
        <w:rPr>
          <w:rStyle w:val="FootnoteReference"/>
        </w:rPr>
        <w:footnoteRef/>
      </w:r>
      <w:r>
        <w:t xml:space="preserve"> Retirement is any allowed retirement under the Southern Company Pension Plan.</w:t>
      </w:r>
    </w:p>
  </w:footnote>
  <w:footnote w:id="5">
    <w:p w:rsidR="00390190" w:rsidRDefault="00390190" w:rsidP="00555A84">
      <w:r>
        <w:rPr>
          <w:rStyle w:val="FootnoteReference"/>
        </w:rPr>
        <w:footnoteRef/>
      </w:r>
      <w:r>
        <w:t xml:space="preserve"> </w:t>
      </w:r>
      <w:r w:rsidRPr="009A2C0D">
        <w:rPr>
          <w:sz w:val="18"/>
        </w:rPr>
        <w:t xml:space="preserve">A termination for cause includes any type of termination (including, but not limited to, a voluntary or involuntary resignation by a participant, a voluntary or involuntary termination by the </w:t>
      </w:r>
      <w:r>
        <w:rPr>
          <w:sz w:val="18"/>
        </w:rPr>
        <w:t>c</w:t>
      </w:r>
      <w:r w:rsidRPr="009A2C0D">
        <w:rPr>
          <w:sz w:val="18"/>
        </w:rPr>
        <w:t>ompany, a termination with severance, a participant’s retirement, or a participant’s termination because of a disability) if such termination is related to cause.  The Committee will determine when a termination is related to “cause”.</w:t>
      </w:r>
    </w:p>
  </w:footnote>
  <w:footnote w:id="6">
    <w:p w:rsidR="00390190" w:rsidRDefault="00390190" w:rsidP="00555A84">
      <w:pPr>
        <w:pStyle w:val="FootnoteText"/>
        <w:widowControl/>
        <w:ind w:firstLine="0"/>
      </w:pPr>
      <w:r>
        <w:rPr>
          <w:rStyle w:val="FootnoteReference"/>
        </w:rPr>
        <w:footnoteRef/>
      </w:r>
      <w:r>
        <w:t xml:space="preserve"> Per the Omnibus Plan, disability is defined under Southern Company’s governing long-term disability plan or, if no such plan exists, at the discretion of the Committee</w:t>
      </w:r>
      <w:r>
        <w:rPr>
          <w:sz w:val="20"/>
        </w:rPr>
        <w:t>.</w:t>
      </w:r>
    </w:p>
  </w:footnote>
  <w:footnote w:id="7">
    <w:p w:rsidR="00390190" w:rsidRDefault="00390190" w:rsidP="00555A84">
      <w:pPr>
        <w:pStyle w:val="FootnoteText"/>
        <w:rPr>
          <w:sz w:val="16"/>
          <w:szCs w:val="16"/>
        </w:rPr>
      </w:pPr>
    </w:p>
    <w:p w:rsidR="00390190" w:rsidRDefault="00390190" w:rsidP="00555A84">
      <w:pPr>
        <w:pStyle w:val="FootnoteText"/>
        <w:rPr>
          <w:lang w:val="en-US"/>
        </w:rPr>
      </w:pPr>
      <w:r>
        <w:rPr>
          <w:rStyle w:val="FootnoteReference"/>
        </w:rPr>
        <w:footnoteRef/>
      </w:r>
      <w:r>
        <w:t xml:space="preserve"> Base salary is typically the annual base salary rate on the date of the annual merit pay adjustment.  In all cases, base salary will be fixed and determined prior to the date of grant.</w:t>
      </w:r>
    </w:p>
  </w:footnote>
  <w:footnote w:id="8">
    <w:p w:rsidR="00390190" w:rsidRPr="00696532" w:rsidRDefault="00390190" w:rsidP="00555A84">
      <w:pPr>
        <w:pStyle w:val="FootnoteText"/>
        <w:rPr>
          <w:lang w:val="en-US"/>
        </w:rPr>
      </w:pPr>
      <w:r>
        <w:rPr>
          <w:rStyle w:val="FootnoteReference"/>
        </w:rPr>
        <w:footnoteRef/>
      </w:r>
      <w:r>
        <w:t xml:space="preserve"> The Committee may change an interim date of grant at any time and may cancel an interim grant prior to the date of grant.</w:t>
      </w:r>
    </w:p>
  </w:footnote>
  <w:footnote w:id="9">
    <w:p w:rsidR="00390190" w:rsidRDefault="00390190" w:rsidP="00555A84">
      <w:pPr>
        <w:pStyle w:val="FootnoteText"/>
        <w:rPr>
          <w:lang w:val="en-US"/>
        </w:rPr>
      </w:pPr>
      <w:r>
        <w:rPr>
          <w:rStyle w:val="FootnoteReference"/>
        </w:rPr>
        <w:footnoteRef/>
      </w:r>
      <w:r>
        <w:t xml:space="preserve"> Employees hired or promoted into an eligible position after the eligibility date for PSP grants in any year will not receive interim grants under PSP for such year.  All interim grants will be made through stock option grants.</w:t>
      </w:r>
    </w:p>
  </w:footnote>
  <w:footnote w:id="10">
    <w:p w:rsidR="00390190" w:rsidRDefault="00390190" w:rsidP="00555A84">
      <w:pPr>
        <w:pStyle w:val="FootnoteText"/>
        <w:rPr>
          <w:lang w:val="en-US"/>
        </w:rPr>
      </w:pPr>
      <w:r>
        <w:rPr>
          <w:rStyle w:val="FootnoteReference"/>
        </w:rPr>
        <w:footnoteRef/>
      </w:r>
      <w:r>
        <w:t xml:space="preserve"> The Committee determines whether “cause” is present.</w:t>
      </w:r>
    </w:p>
  </w:footnote>
  <w:footnote w:id="11">
    <w:p w:rsidR="00390190" w:rsidRDefault="00390190" w:rsidP="00555A84">
      <w:pPr>
        <w:pStyle w:val="FootnoteText"/>
        <w:rPr>
          <w:lang w:val="en-US"/>
        </w:rPr>
      </w:pPr>
      <w:r>
        <w:rPr>
          <w:rStyle w:val="FootnoteReference"/>
        </w:rPr>
        <w:footnoteRef/>
      </w:r>
      <w:r>
        <w:t xml:space="preserve"> The PSP payouts will be paid to the participant’s estate or the entity or individual authorized to receive the payments under the participant’s will or the laws of intestate succession.</w:t>
      </w:r>
    </w:p>
  </w:footnote>
  <w:footnote w:id="12">
    <w:p w:rsidR="00390190" w:rsidRDefault="00390190" w:rsidP="00555A84">
      <w:pPr>
        <w:pStyle w:val="FootnoteText"/>
        <w:rPr>
          <w:lang w:val="en-US"/>
        </w:rPr>
      </w:pPr>
      <w:r>
        <w:rPr>
          <w:rStyle w:val="FootnoteReference"/>
        </w:rPr>
        <w:footnoteRef/>
      </w:r>
      <w:r>
        <w:t xml:space="preserve"> Retirement is any allowed retirement under the Southern Company Pension Plan.</w:t>
      </w:r>
    </w:p>
  </w:footnote>
  <w:footnote w:id="13">
    <w:p w:rsidR="00390190" w:rsidRDefault="00390190" w:rsidP="00555A84">
      <w:pPr>
        <w:pStyle w:val="FootnoteText"/>
        <w:rPr>
          <w:lang w:val="en-US"/>
        </w:rPr>
      </w:pPr>
      <w:r>
        <w:rPr>
          <w:rStyle w:val="FootnoteReference"/>
        </w:rPr>
        <w:footnoteRef/>
      </w:r>
      <w:r>
        <w:t xml:space="preserve"> Per the Omnibus Plan, disability is defined under Southern’s governing long-term disability plan or, if no such plan exists, at the discretion of the Committee.</w:t>
      </w:r>
    </w:p>
  </w:footnote>
  <w:footnote w:id="14">
    <w:p w:rsidR="00390190" w:rsidRDefault="00390190" w:rsidP="00555A84">
      <w:pPr>
        <w:pStyle w:val="FootnoteText"/>
      </w:pPr>
      <w:r>
        <w:rPr>
          <w:rStyle w:val="FootnoteReference"/>
        </w:rPr>
        <w:footnoteRef/>
      </w:r>
      <w:r>
        <w:t xml:space="preserve"> If an </w:t>
      </w:r>
      <w:proofErr w:type="spellStart"/>
      <w:r>
        <w:t>optionholder</w:t>
      </w:r>
      <w:proofErr w:type="spellEnd"/>
      <w:r>
        <w:t xml:space="preserve"> (or former </w:t>
      </w:r>
      <w:proofErr w:type="spellStart"/>
      <w:r>
        <w:t>optionholder</w:t>
      </w:r>
      <w:proofErr w:type="spellEnd"/>
      <w:r>
        <w:t xml:space="preserve">) has transferred all or a portion of his options in compliance with the terms of his option agreement, he or she will still be considered an </w:t>
      </w:r>
      <w:proofErr w:type="spellStart"/>
      <w:r>
        <w:t>optionholder</w:t>
      </w:r>
      <w:proofErr w:type="spellEnd"/>
      <w:r>
        <w:t xml:space="preserve"> and will be eligible for a Performance Dividend payout provided the transferee holds the transferred options on December 31 of the last day of the performance measurement period.  The transferee will </w:t>
      </w:r>
      <w:r>
        <w:rPr>
          <w:u w:val="single"/>
        </w:rPr>
        <w:t>not</w:t>
      </w:r>
      <w:r>
        <w:t xml:space="preserve"> be eligible to receive a Performance Dividend payout.</w:t>
      </w:r>
    </w:p>
  </w:footnote>
  <w:footnote w:id="15">
    <w:p w:rsidR="00390190" w:rsidRDefault="00390190" w:rsidP="00555A84">
      <w:pPr>
        <w:pStyle w:val="FootnoteText"/>
        <w:ind w:firstLine="0"/>
      </w:pPr>
      <w:r>
        <w:rPr>
          <w:rStyle w:val="FootnoteReference"/>
        </w:rPr>
        <w:footnoteRef/>
      </w:r>
      <w:r>
        <w:t xml:space="preserve"> The Committee determines whether “cause” is present.</w:t>
      </w:r>
    </w:p>
  </w:footnote>
  <w:footnote w:id="16">
    <w:p w:rsidR="00390190" w:rsidRDefault="00390190" w:rsidP="00555A84">
      <w:pPr>
        <w:pStyle w:val="FootnoteText"/>
        <w:ind w:firstLine="0"/>
      </w:pPr>
      <w:r>
        <w:rPr>
          <w:rStyle w:val="FootnoteReference"/>
        </w:rPr>
        <w:footnoteRef/>
      </w:r>
      <w:r>
        <w:t xml:space="preserve"> Authorized PDP payouts will be paid (as long as stock options are outstanding) to the participant’s estate or the entity or individual authorized to receive the payouts under the participant’s will or the laws of intestate succession.  </w:t>
      </w:r>
    </w:p>
  </w:footnote>
  <w:footnote w:id="17">
    <w:p w:rsidR="00390190" w:rsidRDefault="00390190" w:rsidP="00555A84">
      <w:pPr>
        <w:pStyle w:val="FootnoteText"/>
        <w:widowControl/>
        <w:ind w:firstLine="0"/>
      </w:pPr>
      <w:r>
        <w:rPr>
          <w:rStyle w:val="FootnoteReference"/>
        </w:rPr>
        <w:footnoteRef/>
      </w:r>
      <w:r>
        <w:t xml:space="preserve"> Per the Omnibus Plan, disability is defined under Southern’s governing long-term disability plan or, if no such plan exists, at the discretion of the Committee</w:t>
      </w:r>
      <w:r>
        <w:rPr>
          <w:sz w:val="20"/>
        </w:rPr>
        <w:t>.</w:t>
      </w:r>
    </w:p>
  </w:footnote>
  <w:footnote w:id="18">
    <w:p w:rsidR="00390190" w:rsidRDefault="00390190" w:rsidP="00555A84">
      <w:pPr>
        <w:pStyle w:val="FootnoteText"/>
        <w:ind w:firstLine="0"/>
      </w:pPr>
      <w:r>
        <w:rPr>
          <w:rStyle w:val="FootnoteReference"/>
        </w:rPr>
        <w:footnoteRef/>
      </w:r>
      <w:r>
        <w:t xml:space="preserve"> Retirement is any allowed retirement under the Southern Company Pension Plan.  </w:t>
      </w:r>
    </w:p>
  </w:footnote>
  <w:footnote w:id="19">
    <w:p w:rsidR="00390190" w:rsidRPr="00806824" w:rsidRDefault="00390190" w:rsidP="00555A84">
      <w:pPr>
        <w:pStyle w:val="FootnoteText"/>
        <w:ind w:firstLine="0"/>
        <w:rPr>
          <w:lang w:val="en-US"/>
        </w:rPr>
      </w:pPr>
      <w:r>
        <w:rPr>
          <w:rStyle w:val="FootnoteReference"/>
        </w:rPr>
        <w:footnoteRef/>
      </w:r>
      <w:r>
        <w:t xml:space="preserve"> In determining the three payouts, the first payout relates to the performance measurement period ending during the year that includes the retiree’s retirement date.  The second payout and third payout relate to each performance measurement period thereafter.</w:t>
      </w:r>
    </w:p>
  </w:footnote>
  <w:footnote w:id="20">
    <w:p w:rsidR="00390190" w:rsidRPr="00435B50" w:rsidRDefault="00390190" w:rsidP="00555A84">
      <w:pPr>
        <w:rPr>
          <w:sz w:val="18"/>
          <w:szCs w:val="18"/>
        </w:rPr>
      </w:pPr>
      <w:r w:rsidRPr="00435B50">
        <w:rPr>
          <w:rStyle w:val="FootnoteReference"/>
          <w:sz w:val="18"/>
          <w:szCs w:val="18"/>
        </w:rPr>
        <w:footnoteRef/>
      </w:r>
      <w:r w:rsidRPr="00435B50">
        <w:rPr>
          <w:sz w:val="18"/>
          <w:szCs w:val="18"/>
        </w:rPr>
        <w:t xml:space="preserve"> Any termination for cause includes any type of termination (including, but not limited to, a voluntary or involuntary resignation by </w:t>
      </w:r>
      <w:r>
        <w:rPr>
          <w:sz w:val="18"/>
          <w:szCs w:val="18"/>
        </w:rPr>
        <w:t>a</w:t>
      </w:r>
      <w:r w:rsidRPr="00435B50">
        <w:rPr>
          <w:sz w:val="18"/>
          <w:szCs w:val="18"/>
        </w:rPr>
        <w:t xml:space="preserve"> participant, a voluntary or involuntary termination by the </w:t>
      </w:r>
      <w:r>
        <w:rPr>
          <w:sz w:val="18"/>
          <w:szCs w:val="18"/>
        </w:rPr>
        <w:t>c</w:t>
      </w:r>
      <w:r w:rsidRPr="00435B50">
        <w:rPr>
          <w:sz w:val="18"/>
          <w:szCs w:val="18"/>
        </w:rPr>
        <w:t>ompany,</w:t>
      </w:r>
      <w:r>
        <w:rPr>
          <w:sz w:val="18"/>
          <w:szCs w:val="18"/>
        </w:rPr>
        <w:t xml:space="preserve"> a termination with severance, </w:t>
      </w:r>
      <w:r w:rsidRPr="00435B50">
        <w:rPr>
          <w:sz w:val="18"/>
          <w:szCs w:val="18"/>
        </w:rPr>
        <w:t>a participant’s retirement, or a participant’s termination because of a disability) if such termination is related to cause.</w:t>
      </w:r>
    </w:p>
    <w:p w:rsidR="00390190" w:rsidRDefault="00390190" w:rsidP="00555A84">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08E1"/>
    <w:multiLevelType w:val="singleLevel"/>
    <w:tmpl w:val="561E3808"/>
    <w:lvl w:ilvl="0">
      <w:numFmt w:val="bullet"/>
      <w:lvlText w:val="-"/>
      <w:lvlJc w:val="left"/>
      <w:pPr>
        <w:tabs>
          <w:tab w:val="num" w:pos="810"/>
        </w:tabs>
        <w:ind w:left="810" w:hanging="360"/>
      </w:pPr>
      <w:rPr>
        <w:rFonts w:hint="default"/>
      </w:rPr>
    </w:lvl>
  </w:abstractNum>
  <w:abstractNum w:abstractNumId="1">
    <w:nsid w:val="0C4903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0A36D35"/>
    <w:multiLevelType w:val="singleLevel"/>
    <w:tmpl w:val="04B85728"/>
    <w:lvl w:ilvl="0">
      <w:start w:val="1"/>
      <w:numFmt w:val="none"/>
      <w:lvlText w:val=""/>
      <w:legacy w:legacy="1" w:legacySpace="0" w:legacyIndent="216"/>
      <w:lvlJc w:val="left"/>
      <w:pPr>
        <w:ind w:left="432" w:hanging="216"/>
      </w:pPr>
      <w:rPr>
        <w:rFonts w:ascii="Symbol" w:hAnsi="Symbol" w:hint="default"/>
      </w:rPr>
    </w:lvl>
  </w:abstractNum>
  <w:abstractNum w:abstractNumId="3">
    <w:nsid w:val="120A33EC"/>
    <w:multiLevelType w:val="hybridMultilevel"/>
    <w:tmpl w:val="3D623D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5160E5F"/>
    <w:multiLevelType w:val="singleLevel"/>
    <w:tmpl w:val="0298F088"/>
    <w:lvl w:ilvl="0">
      <w:numFmt w:val="bullet"/>
      <w:lvlText w:val=""/>
      <w:lvlJc w:val="left"/>
      <w:pPr>
        <w:tabs>
          <w:tab w:val="num" w:pos="360"/>
        </w:tabs>
        <w:ind w:left="360" w:hanging="360"/>
      </w:pPr>
      <w:rPr>
        <w:rFonts w:ascii="Symbol" w:hAnsi="Symbol" w:hint="default"/>
        <w:b w:val="0"/>
      </w:rPr>
    </w:lvl>
  </w:abstractNum>
  <w:abstractNum w:abstractNumId="5">
    <w:nsid w:val="180E0A3A"/>
    <w:multiLevelType w:val="singleLevel"/>
    <w:tmpl w:val="04B85728"/>
    <w:lvl w:ilvl="0">
      <w:start w:val="1"/>
      <w:numFmt w:val="none"/>
      <w:lvlText w:val=""/>
      <w:legacy w:legacy="1" w:legacySpace="0" w:legacyIndent="216"/>
      <w:lvlJc w:val="left"/>
      <w:pPr>
        <w:ind w:left="432" w:hanging="216"/>
      </w:pPr>
      <w:rPr>
        <w:rFonts w:ascii="Symbol" w:hAnsi="Symbol" w:hint="default"/>
      </w:rPr>
    </w:lvl>
  </w:abstractNum>
  <w:abstractNum w:abstractNumId="6">
    <w:nsid w:val="1F3E422C"/>
    <w:multiLevelType w:val="hybridMultilevel"/>
    <w:tmpl w:val="B0227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D61A0C"/>
    <w:multiLevelType w:val="singleLevel"/>
    <w:tmpl w:val="0298F088"/>
    <w:lvl w:ilvl="0">
      <w:numFmt w:val="bullet"/>
      <w:lvlText w:val=""/>
      <w:lvlJc w:val="left"/>
      <w:pPr>
        <w:tabs>
          <w:tab w:val="num" w:pos="360"/>
        </w:tabs>
        <w:ind w:left="360" w:hanging="360"/>
      </w:pPr>
      <w:rPr>
        <w:rFonts w:ascii="Symbol" w:hAnsi="Symbol" w:hint="default"/>
        <w:b w:val="0"/>
      </w:rPr>
    </w:lvl>
  </w:abstractNum>
  <w:abstractNum w:abstractNumId="8">
    <w:nsid w:val="25B95B2F"/>
    <w:multiLevelType w:val="singleLevel"/>
    <w:tmpl w:val="04B85728"/>
    <w:lvl w:ilvl="0">
      <w:start w:val="1"/>
      <w:numFmt w:val="none"/>
      <w:lvlText w:val=""/>
      <w:legacy w:legacy="1" w:legacySpace="0" w:legacyIndent="216"/>
      <w:lvlJc w:val="left"/>
      <w:pPr>
        <w:ind w:left="432" w:hanging="216"/>
      </w:pPr>
      <w:rPr>
        <w:rFonts w:ascii="Symbol" w:hAnsi="Symbol" w:hint="default"/>
      </w:rPr>
    </w:lvl>
  </w:abstractNum>
  <w:abstractNum w:abstractNumId="9">
    <w:nsid w:val="2EC86577"/>
    <w:multiLevelType w:val="hybridMultilevel"/>
    <w:tmpl w:val="CA5CE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CD33A2"/>
    <w:multiLevelType w:val="hybridMultilevel"/>
    <w:tmpl w:val="10226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6911BD"/>
    <w:multiLevelType w:val="singleLevel"/>
    <w:tmpl w:val="0298F088"/>
    <w:lvl w:ilvl="0">
      <w:numFmt w:val="bullet"/>
      <w:lvlText w:val=""/>
      <w:lvlJc w:val="left"/>
      <w:pPr>
        <w:tabs>
          <w:tab w:val="num" w:pos="360"/>
        </w:tabs>
        <w:ind w:left="360" w:hanging="360"/>
      </w:pPr>
      <w:rPr>
        <w:rFonts w:ascii="Symbol" w:hAnsi="Symbol" w:hint="default"/>
        <w:b w:val="0"/>
      </w:rPr>
    </w:lvl>
  </w:abstractNum>
  <w:abstractNum w:abstractNumId="12">
    <w:nsid w:val="33B203D3"/>
    <w:multiLevelType w:val="singleLevel"/>
    <w:tmpl w:val="04B85728"/>
    <w:lvl w:ilvl="0">
      <w:start w:val="1"/>
      <w:numFmt w:val="none"/>
      <w:lvlText w:val=""/>
      <w:legacy w:legacy="1" w:legacySpace="0" w:legacyIndent="216"/>
      <w:lvlJc w:val="left"/>
      <w:pPr>
        <w:ind w:left="432" w:hanging="216"/>
      </w:pPr>
      <w:rPr>
        <w:rFonts w:ascii="Symbol" w:hAnsi="Symbol" w:hint="default"/>
      </w:rPr>
    </w:lvl>
  </w:abstractNum>
  <w:abstractNum w:abstractNumId="13">
    <w:nsid w:val="3A7A2C09"/>
    <w:multiLevelType w:val="hybridMultilevel"/>
    <w:tmpl w:val="240C546C"/>
    <w:lvl w:ilvl="0" w:tplc="04090001">
      <w:start w:val="1"/>
      <w:numFmt w:val="bullet"/>
      <w:lvlText w:val=""/>
      <w:lvlJc w:val="left"/>
      <w:pPr>
        <w:tabs>
          <w:tab w:val="num" w:pos="720"/>
        </w:tabs>
        <w:ind w:left="720" w:hanging="360"/>
      </w:pPr>
      <w:rPr>
        <w:rFonts w:ascii="Symbol" w:hAnsi="Symbol" w:hint="default"/>
        <w:b/>
      </w:rPr>
    </w:lvl>
    <w:lvl w:ilvl="1" w:tplc="0C4E6584">
      <w:numFmt w:val="bullet"/>
      <w:lvlText w:val="–"/>
      <w:lvlJc w:val="left"/>
      <w:pPr>
        <w:tabs>
          <w:tab w:val="num" w:pos="1500"/>
        </w:tabs>
        <w:ind w:left="1500" w:hanging="360"/>
      </w:pPr>
      <w:rPr>
        <w:rFonts w:ascii="Arial" w:eastAsia="Times New Roman" w:hAnsi="Arial" w:cs="Arial" w:hint="default"/>
        <w:b/>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3AC31C3B"/>
    <w:multiLevelType w:val="singleLevel"/>
    <w:tmpl w:val="04B85728"/>
    <w:lvl w:ilvl="0">
      <w:start w:val="1"/>
      <w:numFmt w:val="none"/>
      <w:lvlText w:val=""/>
      <w:legacy w:legacy="1" w:legacySpace="0" w:legacyIndent="216"/>
      <w:lvlJc w:val="left"/>
      <w:pPr>
        <w:ind w:left="432" w:hanging="216"/>
      </w:pPr>
      <w:rPr>
        <w:rFonts w:ascii="Symbol" w:hAnsi="Symbol" w:hint="default"/>
      </w:rPr>
    </w:lvl>
  </w:abstractNum>
  <w:abstractNum w:abstractNumId="15">
    <w:nsid w:val="427E2224"/>
    <w:multiLevelType w:val="hybridMultilevel"/>
    <w:tmpl w:val="903A78FC"/>
    <w:lvl w:ilvl="0" w:tplc="8782038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4152307"/>
    <w:multiLevelType w:val="hybridMultilevel"/>
    <w:tmpl w:val="FD928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FF64AD7"/>
    <w:multiLevelType w:val="hybridMultilevel"/>
    <w:tmpl w:val="9EB40A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91A083B"/>
    <w:multiLevelType w:val="singleLevel"/>
    <w:tmpl w:val="04B85728"/>
    <w:lvl w:ilvl="0">
      <w:start w:val="1"/>
      <w:numFmt w:val="none"/>
      <w:lvlText w:val=""/>
      <w:legacy w:legacy="1" w:legacySpace="0" w:legacyIndent="216"/>
      <w:lvlJc w:val="left"/>
      <w:pPr>
        <w:ind w:left="432" w:hanging="216"/>
      </w:pPr>
      <w:rPr>
        <w:rFonts w:ascii="Symbol" w:hAnsi="Symbol" w:hint="default"/>
      </w:rPr>
    </w:lvl>
  </w:abstractNum>
  <w:abstractNum w:abstractNumId="19">
    <w:nsid w:val="696B75A8"/>
    <w:multiLevelType w:val="hybridMultilevel"/>
    <w:tmpl w:val="19066956"/>
    <w:lvl w:ilvl="0" w:tplc="878203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BE91B7C"/>
    <w:multiLevelType w:val="hybridMultilevel"/>
    <w:tmpl w:val="940C02A6"/>
    <w:lvl w:ilvl="0" w:tplc="878203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72F5757A"/>
    <w:multiLevelType w:val="singleLevel"/>
    <w:tmpl w:val="0298F088"/>
    <w:lvl w:ilvl="0">
      <w:numFmt w:val="bullet"/>
      <w:lvlText w:val=""/>
      <w:lvlJc w:val="left"/>
      <w:pPr>
        <w:tabs>
          <w:tab w:val="num" w:pos="360"/>
        </w:tabs>
        <w:ind w:left="360" w:hanging="360"/>
      </w:pPr>
      <w:rPr>
        <w:rFonts w:ascii="Symbol" w:hAnsi="Symbol" w:hint="default"/>
        <w:b w:val="0"/>
      </w:rPr>
    </w:lvl>
  </w:abstractNum>
  <w:abstractNum w:abstractNumId="22">
    <w:nsid w:val="789D7919"/>
    <w:multiLevelType w:val="singleLevel"/>
    <w:tmpl w:val="04B85728"/>
    <w:lvl w:ilvl="0">
      <w:start w:val="1"/>
      <w:numFmt w:val="none"/>
      <w:lvlText w:val=""/>
      <w:legacy w:legacy="1" w:legacySpace="0" w:legacyIndent="216"/>
      <w:lvlJc w:val="left"/>
      <w:pPr>
        <w:ind w:left="432" w:hanging="216"/>
      </w:pPr>
      <w:rPr>
        <w:rFonts w:ascii="Symbol" w:hAnsi="Symbol" w:hint="default"/>
      </w:rPr>
    </w:lvl>
  </w:abstractNum>
  <w:abstractNum w:abstractNumId="23">
    <w:nsid w:val="7A001B6E"/>
    <w:multiLevelType w:val="singleLevel"/>
    <w:tmpl w:val="04B85728"/>
    <w:lvl w:ilvl="0">
      <w:start w:val="1"/>
      <w:numFmt w:val="none"/>
      <w:lvlText w:val=""/>
      <w:legacy w:legacy="1" w:legacySpace="0" w:legacyIndent="216"/>
      <w:lvlJc w:val="left"/>
      <w:pPr>
        <w:ind w:left="432" w:hanging="216"/>
      </w:pPr>
      <w:rPr>
        <w:rFonts w:ascii="Symbol" w:hAnsi="Symbol" w:hint="default"/>
      </w:rPr>
    </w:lvl>
  </w:abstractNum>
  <w:abstractNum w:abstractNumId="24">
    <w:nsid w:val="7A067CDE"/>
    <w:multiLevelType w:val="singleLevel"/>
    <w:tmpl w:val="0298F088"/>
    <w:lvl w:ilvl="0">
      <w:numFmt w:val="bullet"/>
      <w:lvlText w:val=""/>
      <w:lvlJc w:val="left"/>
      <w:pPr>
        <w:tabs>
          <w:tab w:val="num" w:pos="360"/>
        </w:tabs>
        <w:ind w:left="360" w:hanging="360"/>
      </w:pPr>
      <w:rPr>
        <w:rFonts w:ascii="Symbol" w:hAnsi="Symbol" w:hint="default"/>
        <w:b w:val="0"/>
      </w:rPr>
    </w:lvl>
  </w:abstractNum>
  <w:abstractNum w:abstractNumId="25">
    <w:nsid w:val="7E780C33"/>
    <w:multiLevelType w:val="singleLevel"/>
    <w:tmpl w:val="0298F088"/>
    <w:lvl w:ilvl="0">
      <w:numFmt w:val="bullet"/>
      <w:lvlText w:val=""/>
      <w:lvlJc w:val="left"/>
      <w:pPr>
        <w:tabs>
          <w:tab w:val="num" w:pos="360"/>
        </w:tabs>
        <w:ind w:left="360" w:hanging="360"/>
      </w:pPr>
      <w:rPr>
        <w:rFonts w:ascii="Symbol" w:hAnsi="Symbol" w:hint="default"/>
        <w:b w:val="0"/>
      </w:rPr>
    </w:lvl>
  </w:abstractNum>
  <w:num w:numId="1">
    <w:abstractNumId w:val="7"/>
  </w:num>
  <w:num w:numId="2">
    <w:abstractNumId w:val="21"/>
  </w:num>
  <w:num w:numId="3">
    <w:abstractNumId w:val="4"/>
  </w:num>
  <w:num w:numId="4">
    <w:abstractNumId w:val="0"/>
  </w:num>
  <w:num w:numId="5">
    <w:abstractNumId w:val="25"/>
  </w:num>
  <w:num w:numId="6">
    <w:abstractNumId w:val="24"/>
  </w:num>
  <w:num w:numId="7">
    <w:abstractNumId w:val="11"/>
  </w:num>
  <w:num w:numId="8">
    <w:abstractNumId w:val="1"/>
  </w:num>
  <w:num w:numId="9">
    <w:abstractNumId w:val="10"/>
  </w:num>
  <w:num w:numId="10">
    <w:abstractNumId w:val="16"/>
  </w:num>
  <w:num w:numId="11">
    <w:abstractNumId w:val="9"/>
  </w:num>
  <w:num w:numId="12">
    <w:abstractNumId w:val="6"/>
  </w:num>
  <w:num w:numId="13">
    <w:abstractNumId w:val="13"/>
  </w:num>
  <w:num w:numId="14">
    <w:abstractNumId w:val="17"/>
  </w:num>
  <w:num w:numId="15">
    <w:abstractNumId w:val="3"/>
  </w:num>
  <w:num w:numId="16">
    <w:abstractNumId w:val="20"/>
  </w:num>
  <w:num w:numId="17">
    <w:abstractNumId w:val="18"/>
  </w:num>
  <w:num w:numId="18">
    <w:abstractNumId w:val="22"/>
  </w:num>
  <w:num w:numId="19">
    <w:abstractNumId w:val="8"/>
  </w:num>
  <w:num w:numId="20">
    <w:abstractNumId w:val="14"/>
  </w:num>
  <w:num w:numId="21">
    <w:abstractNumId w:val="5"/>
  </w:num>
  <w:num w:numId="22">
    <w:abstractNumId w:val="2"/>
  </w:num>
  <w:num w:numId="23">
    <w:abstractNumId w:val="23"/>
  </w:num>
  <w:num w:numId="24">
    <w:abstractNumId w:val="12"/>
  </w:num>
  <w:num w:numId="25">
    <w:abstractNumId w:val="15"/>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123DC"/>
    <w:rsid w:val="00020FAD"/>
    <w:rsid w:val="000851E4"/>
    <w:rsid w:val="000B2AF3"/>
    <w:rsid w:val="000B57C1"/>
    <w:rsid w:val="000E680A"/>
    <w:rsid w:val="00125714"/>
    <w:rsid w:val="001859C2"/>
    <w:rsid w:val="0019418A"/>
    <w:rsid w:val="001C332F"/>
    <w:rsid w:val="001C78D8"/>
    <w:rsid w:val="001D65DD"/>
    <w:rsid w:val="002E3AD2"/>
    <w:rsid w:val="003518F6"/>
    <w:rsid w:val="00390190"/>
    <w:rsid w:val="003B67B2"/>
    <w:rsid w:val="00442861"/>
    <w:rsid w:val="004462F9"/>
    <w:rsid w:val="004B3437"/>
    <w:rsid w:val="00555A84"/>
    <w:rsid w:val="006468A0"/>
    <w:rsid w:val="0067601C"/>
    <w:rsid w:val="006E7465"/>
    <w:rsid w:val="00743713"/>
    <w:rsid w:val="007875DC"/>
    <w:rsid w:val="007E1861"/>
    <w:rsid w:val="008A18A6"/>
    <w:rsid w:val="008E22F2"/>
    <w:rsid w:val="008F4DE0"/>
    <w:rsid w:val="00982F63"/>
    <w:rsid w:val="00987E4D"/>
    <w:rsid w:val="009B207F"/>
    <w:rsid w:val="00B1320C"/>
    <w:rsid w:val="00B42585"/>
    <w:rsid w:val="00BA4A2A"/>
    <w:rsid w:val="00C35CE4"/>
    <w:rsid w:val="00D0601D"/>
    <w:rsid w:val="00D123DC"/>
    <w:rsid w:val="00D17CDF"/>
    <w:rsid w:val="00DC27C7"/>
    <w:rsid w:val="00E43A46"/>
    <w:rsid w:val="00E72CD2"/>
    <w:rsid w:val="00E7604F"/>
    <w:rsid w:val="00E828BC"/>
    <w:rsid w:val="00E902F4"/>
    <w:rsid w:val="00EE01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time"/>
  <w:smartTagType w:namespaceuri="urn:schemas-microsoft-com:office:smarttags" w:name="stockticker"/>
  <w:smartTagType w:namespaceuri="urn:schemas-microsoft-com:office:smarttags" w:name="d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3AD2"/>
  </w:style>
  <w:style w:type="paragraph" w:styleId="Heading1">
    <w:name w:val="heading 1"/>
    <w:basedOn w:val="Normal"/>
    <w:next w:val="Normal"/>
    <w:qFormat/>
    <w:rsid w:val="002E3AD2"/>
    <w:pPr>
      <w:keepNext/>
      <w:outlineLvl w:val="0"/>
    </w:pPr>
    <w:rPr>
      <w:rFonts w:ascii="Arial" w:hAnsi="Arial"/>
      <w:b/>
    </w:rPr>
  </w:style>
  <w:style w:type="paragraph" w:styleId="Heading2">
    <w:name w:val="heading 2"/>
    <w:basedOn w:val="Normal"/>
    <w:next w:val="Normal"/>
    <w:qFormat/>
    <w:rsid w:val="002E3AD2"/>
    <w:pPr>
      <w:keepNext/>
      <w:outlineLvl w:val="1"/>
    </w:pPr>
    <w:rPr>
      <w:rFonts w:ascii="Arial" w:hAnsi="Arial"/>
      <w:b/>
      <w:u w:val="single"/>
    </w:rPr>
  </w:style>
  <w:style w:type="paragraph" w:styleId="Heading3">
    <w:name w:val="heading 3"/>
    <w:basedOn w:val="Normal"/>
    <w:next w:val="Normal"/>
    <w:qFormat/>
    <w:rsid w:val="002E3AD2"/>
    <w:pPr>
      <w:keepNext/>
      <w:ind w:left="1440" w:hanging="1440"/>
      <w:outlineLvl w:val="2"/>
    </w:pPr>
    <w:rPr>
      <w:rFonts w:ascii="Arial" w:hAnsi="Arial"/>
      <w:b/>
      <w:u w:val="single"/>
    </w:rPr>
  </w:style>
  <w:style w:type="paragraph" w:styleId="Heading8">
    <w:name w:val="heading 8"/>
    <w:basedOn w:val="Normal"/>
    <w:next w:val="Normal"/>
    <w:qFormat/>
    <w:rsid w:val="00E828BC"/>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E3AD2"/>
    <w:rPr>
      <w:sz w:val="24"/>
    </w:rPr>
  </w:style>
  <w:style w:type="character" w:styleId="Strong">
    <w:name w:val="Strong"/>
    <w:basedOn w:val="DefaultParagraphFont"/>
    <w:qFormat/>
    <w:rsid w:val="002E3AD2"/>
    <w:rPr>
      <w:b/>
    </w:rPr>
  </w:style>
  <w:style w:type="character" w:styleId="Hyperlink">
    <w:name w:val="Hyperlink"/>
    <w:basedOn w:val="DefaultParagraphFont"/>
    <w:rsid w:val="00D123DC"/>
    <w:rPr>
      <w:color w:val="0000FF"/>
      <w:u w:val="single"/>
    </w:rPr>
  </w:style>
  <w:style w:type="character" w:styleId="FollowedHyperlink">
    <w:name w:val="FollowedHyperlink"/>
    <w:basedOn w:val="DefaultParagraphFont"/>
    <w:rsid w:val="00D123DC"/>
    <w:rPr>
      <w:color w:val="606420"/>
      <w:u w:val="single"/>
    </w:rPr>
  </w:style>
  <w:style w:type="paragraph" w:styleId="HTMLPreformatted">
    <w:name w:val="HTML Preformatted"/>
    <w:basedOn w:val="Normal"/>
    <w:rsid w:val="00E8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table" w:styleId="TableGrid">
    <w:name w:val="Table Grid"/>
    <w:basedOn w:val="TableNormal"/>
    <w:rsid w:val="00E760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DS">
    <w:name w:val="Normal DS"/>
    <w:basedOn w:val="Normal"/>
    <w:rsid w:val="00555A84"/>
    <w:pPr>
      <w:widowControl w:val="0"/>
      <w:overflowPunct w:val="0"/>
      <w:autoSpaceDE w:val="0"/>
      <w:autoSpaceDN w:val="0"/>
      <w:adjustRightInd w:val="0"/>
      <w:spacing w:after="260"/>
      <w:textAlignment w:val="baseline"/>
    </w:pPr>
    <w:rPr>
      <w:rFonts w:ascii="Times" w:hAnsi="Times"/>
      <w:sz w:val="23"/>
      <w:lang w:val="en-GB"/>
    </w:rPr>
  </w:style>
  <w:style w:type="paragraph" w:customStyle="1" w:styleId="BulletDS">
    <w:name w:val="Bullet DS"/>
    <w:basedOn w:val="Normal"/>
    <w:rsid w:val="00555A84"/>
    <w:pPr>
      <w:widowControl w:val="0"/>
      <w:tabs>
        <w:tab w:val="left" w:pos="216"/>
        <w:tab w:val="left" w:pos="533"/>
        <w:tab w:val="left" w:pos="734"/>
      </w:tabs>
      <w:overflowPunct w:val="0"/>
      <w:autoSpaceDE w:val="0"/>
      <w:autoSpaceDN w:val="0"/>
      <w:adjustRightInd w:val="0"/>
      <w:spacing w:after="260"/>
      <w:ind w:left="216" w:hanging="216"/>
      <w:textAlignment w:val="baseline"/>
    </w:pPr>
    <w:rPr>
      <w:rFonts w:ascii="Times" w:hAnsi="Times"/>
      <w:sz w:val="23"/>
      <w:lang w:val="en-GB"/>
    </w:rPr>
  </w:style>
  <w:style w:type="paragraph" w:styleId="FootnoteText">
    <w:name w:val="footnote text"/>
    <w:basedOn w:val="Normal"/>
    <w:semiHidden/>
    <w:rsid w:val="00555A84"/>
    <w:pPr>
      <w:widowControl w:val="0"/>
      <w:overflowPunct w:val="0"/>
      <w:autoSpaceDE w:val="0"/>
      <w:autoSpaceDN w:val="0"/>
      <w:adjustRightInd w:val="0"/>
      <w:ind w:hanging="86"/>
      <w:textAlignment w:val="baseline"/>
    </w:pPr>
    <w:rPr>
      <w:rFonts w:ascii="Times" w:hAnsi="Times"/>
      <w:sz w:val="18"/>
      <w:lang w:val="en-GB"/>
    </w:rPr>
  </w:style>
  <w:style w:type="character" w:styleId="FootnoteReference">
    <w:name w:val="footnote reference"/>
    <w:basedOn w:val="DefaultParagraphFont"/>
    <w:semiHidden/>
    <w:rsid w:val="00555A84"/>
    <w:rPr>
      <w:sz w:val="20"/>
      <w:vertAlign w:val="superscript"/>
    </w:rPr>
  </w:style>
  <w:style w:type="paragraph" w:customStyle="1" w:styleId="MainTitleRule">
    <w:name w:val="MainTitle/Rule"/>
    <w:basedOn w:val="Normal"/>
    <w:next w:val="NormalDS"/>
    <w:rsid w:val="00555A84"/>
    <w:pPr>
      <w:widowControl w:val="0"/>
      <w:pBdr>
        <w:bottom w:val="single" w:sz="24" w:space="1" w:color="auto"/>
      </w:pBdr>
      <w:overflowPunct w:val="0"/>
      <w:autoSpaceDE w:val="0"/>
      <w:autoSpaceDN w:val="0"/>
      <w:adjustRightInd w:val="0"/>
      <w:spacing w:after="40"/>
      <w:textAlignment w:val="baseline"/>
    </w:pPr>
    <w:rPr>
      <w:rFonts w:ascii="Times" w:hAnsi="Times"/>
      <w:sz w:val="23"/>
      <w:lang w:val="en-GB"/>
    </w:rPr>
  </w:style>
  <w:style w:type="paragraph" w:customStyle="1" w:styleId="MainTitle2Lne">
    <w:name w:val="MainTitle/2 Lne"/>
    <w:basedOn w:val="Normal"/>
    <w:next w:val="MainTitleRule"/>
    <w:rsid w:val="00555A84"/>
    <w:pPr>
      <w:keepNext/>
      <w:keepLines/>
      <w:pageBreakBefore/>
      <w:widowControl w:val="0"/>
      <w:overflowPunct w:val="0"/>
      <w:autoSpaceDE w:val="0"/>
      <w:autoSpaceDN w:val="0"/>
      <w:adjustRightInd w:val="0"/>
      <w:spacing w:after="800"/>
      <w:textAlignment w:val="baseline"/>
    </w:pPr>
    <w:rPr>
      <w:rFonts w:ascii="Times" w:hAnsi="Times"/>
      <w:b/>
      <w:sz w:val="34"/>
      <w:lang w:val="en-GB"/>
    </w:rPr>
  </w:style>
  <w:style w:type="paragraph" w:customStyle="1" w:styleId="Table3Data">
    <w:name w:val="Table3/Data"/>
    <w:basedOn w:val="Normal"/>
    <w:rsid w:val="00555A84"/>
    <w:pPr>
      <w:widowControl w:val="0"/>
      <w:overflowPunct w:val="0"/>
      <w:autoSpaceDE w:val="0"/>
      <w:autoSpaceDN w:val="0"/>
      <w:adjustRightInd w:val="0"/>
      <w:textAlignment w:val="baseline"/>
    </w:pPr>
    <w:rPr>
      <w:rFonts w:ascii="Times" w:hAnsi="Times"/>
      <w:lang w:val="en-GB"/>
    </w:rPr>
  </w:style>
  <w:style w:type="paragraph" w:customStyle="1" w:styleId="Table2Hdgs">
    <w:name w:val="Table2/Hdgs"/>
    <w:basedOn w:val="Table3Data"/>
    <w:rsid w:val="00555A84"/>
    <w:pPr>
      <w:spacing w:before="120" w:after="120"/>
    </w:pPr>
    <w:rPr>
      <w:b/>
    </w:rPr>
  </w:style>
  <w:style w:type="paragraph" w:customStyle="1" w:styleId="Tab5Data-Bullet">
    <w:name w:val="Tab5/Data-Bullet"/>
    <w:basedOn w:val="Normal"/>
    <w:rsid w:val="00555A84"/>
    <w:pPr>
      <w:widowControl w:val="0"/>
      <w:tabs>
        <w:tab w:val="left" w:pos="187"/>
      </w:tabs>
      <w:overflowPunct w:val="0"/>
      <w:autoSpaceDE w:val="0"/>
      <w:autoSpaceDN w:val="0"/>
      <w:adjustRightInd w:val="0"/>
      <w:ind w:left="187" w:hanging="187"/>
      <w:textAlignment w:val="baseline"/>
    </w:pPr>
    <w:rPr>
      <w:rFonts w:ascii="Times" w:hAnsi="Times"/>
      <w:lang w:val="en-GB"/>
    </w:rPr>
  </w:style>
  <w:style w:type="paragraph" w:customStyle="1" w:styleId="Tab3Hdgs">
    <w:name w:val="Tab3/Hdgs"/>
    <w:basedOn w:val="Table3Data"/>
    <w:next w:val="Normal"/>
    <w:rsid w:val="00555A84"/>
    <w:pPr>
      <w:keepNext/>
    </w:pPr>
    <w:rPr>
      <w:b/>
    </w:rPr>
  </w:style>
  <w:style w:type="paragraph" w:styleId="Header">
    <w:name w:val="header"/>
    <w:basedOn w:val="Normal"/>
    <w:link w:val="HeaderChar"/>
    <w:uiPriority w:val="99"/>
    <w:rsid w:val="00D060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D0601D"/>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71850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cchaffi\Application%20Data\Microsoft\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4</TotalTime>
  <Pages>22</Pages>
  <Words>7253</Words>
  <Characters>37893</Characters>
  <Application>Microsoft Office Word</Application>
  <DocSecurity>0</DocSecurity>
  <Lines>315</Lines>
  <Paragraphs>90</Paragraphs>
  <ScaleCrop>false</ScaleCrop>
  <HeadingPairs>
    <vt:vector size="2" baseType="variant">
      <vt:variant>
        <vt:lpstr>Title</vt:lpstr>
      </vt:variant>
      <vt:variant>
        <vt:i4>1</vt:i4>
      </vt:variant>
    </vt:vector>
  </HeadingPairs>
  <TitlesOfParts>
    <vt:vector size="1" baseType="lpstr">
      <vt:lpstr>Top Performer Award </vt:lpstr>
    </vt:vector>
  </TitlesOfParts>
  <Company>Southern Company</Company>
  <LinksUpToDate>false</LinksUpToDate>
  <CharactersWithSpaces>45056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Performer Award </dc:title>
  <dc:subject/>
  <dc:creator>TWCHEN</dc:creator>
  <cp:keywords/>
  <dc:description/>
  <cp:lastModifiedBy>kcchaffi</cp:lastModifiedBy>
  <cp:revision>5</cp:revision>
  <cp:lastPrinted>2002-05-02T16:56:00Z</cp:lastPrinted>
  <dcterms:created xsi:type="dcterms:W3CDTF">2011-08-03T23:22:00Z</dcterms:created>
  <dcterms:modified xsi:type="dcterms:W3CDTF">2011-08-05T15:29:00Z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371227418</vt:i4>
  </property>
  <property fmtid="{D5CDD505-2E9C-101B-9397-08002B2CF9AE}" pid="3" name="_EmailSubject">
    <vt:lpwstr>PSC Request</vt:lpwstr>
  </property>
  <property fmtid="{D5CDD505-2E9C-101B-9397-08002B2CF9AE}" pid="4" name="_AuthorEmail">
    <vt:lpwstr>JPCONNEL@southernco.com</vt:lpwstr>
  </property>
  <property fmtid="{D5CDD505-2E9C-101B-9397-08002B2CF9AE}" pid="5" name="_AuthorEmailDisplayName">
    <vt:lpwstr>Connell, Joseph P.</vt:lpwstr>
  </property>
  <property fmtid="{D5CDD505-2E9C-101B-9397-08002B2CF9AE}" pid="6" name="_NewReviewCycle">
    <vt:lpwstr/>
  </property>
  <property fmtid="{D5CDD505-2E9C-101B-9397-08002B2CF9AE}" pid="7" name="_PreviousAdHocReviewCycleID">
    <vt:i4>1071831630</vt:i4>
  </property>
  <property fmtid="{D5CDD505-2E9C-101B-9397-08002B2CF9AE}" pid="8" name="_ReviewingToolsShownOnce">
    <vt:lpwstr/>
  </property>
</Properties>
</file>