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DD" w:rsidRPr="00D412DD" w:rsidRDefault="00D412DD" w:rsidP="00D412DD">
      <w:pPr>
        <w:tabs>
          <w:tab w:val="center" w:pos="4680"/>
        </w:tabs>
        <w:autoSpaceDE/>
        <w:autoSpaceDN/>
        <w:adjustRightInd/>
        <w:jc w:val="center"/>
        <w:rPr>
          <w:rFonts w:ascii="Times New Roman" w:hAnsi="Times New Roman"/>
          <w:b/>
          <w:sz w:val="24"/>
        </w:rPr>
      </w:pPr>
      <w:r w:rsidRPr="00D412DD">
        <w:rPr>
          <w:rFonts w:ascii="Times New Roman" w:hAnsi="Times New Roman"/>
          <w:b/>
          <w:sz w:val="24"/>
        </w:rPr>
        <w:t>BEFORE THE FLORIDA PUBLIC SERVICE COMMISSION</w:t>
      </w:r>
    </w:p>
    <w:p w:rsidR="00D412DD" w:rsidRPr="00D412DD" w:rsidRDefault="00D412DD" w:rsidP="00D412DD">
      <w:pPr>
        <w:tabs>
          <w:tab w:val="center" w:pos="4680"/>
        </w:tabs>
        <w:autoSpaceDE/>
        <w:autoSpaceDN/>
        <w:adjustRightInd/>
        <w:jc w:val="center"/>
        <w:rPr>
          <w:rFonts w:ascii="Times New Roman" w:eastAsia="Calibri" w:hAnsi="Times New Roman"/>
          <w:b/>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0"/>
        <w:gridCol w:w="318"/>
        <w:gridCol w:w="4698"/>
      </w:tblGrid>
      <w:tr w:rsidR="00D412DD" w:rsidRPr="00D412DD" w:rsidTr="00D412DD">
        <w:tc>
          <w:tcPr>
            <w:tcW w:w="4560" w:type="dxa"/>
            <w:hideMark/>
          </w:tcPr>
          <w:p w:rsidR="00D412DD" w:rsidRPr="00D412DD" w:rsidRDefault="00D412DD" w:rsidP="00D412DD">
            <w:pPr>
              <w:autoSpaceDE/>
              <w:autoSpaceDN/>
              <w:adjustRightInd/>
              <w:rPr>
                <w:rFonts w:ascii="Times New Roman" w:eastAsia="Calibri" w:hAnsi="Times New Roman"/>
              </w:rPr>
            </w:pPr>
            <w:r w:rsidRPr="00D412DD">
              <w:rPr>
                <w:rFonts w:ascii="Times New Roman" w:eastAsiaTheme="minorHAnsi" w:hAnsi="Times New Roman"/>
              </w:rPr>
              <w:t>In Re: Application for increase in water rates in Franklin County by Water Management Services, Inc.</w:t>
            </w:r>
          </w:p>
        </w:tc>
        <w:tc>
          <w:tcPr>
            <w:tcW w:w="318" w:type="dxa"/>
            <w:hideMark/>
          </w:tcPr>
          <w:p w:rsidR="00D412DD" w:rsidRPr="00D412DD" w:rsidRDefault="00D412DD" w:rsidP="00D412DD">
            <w:pPr>
              <w:autoSpaceDE/>
              <w:autoSpaceDN/>
              <w:adjustRightInd/>
              <w:rPr>
                <w:rFonts w:ascii="Times New Roman" w:eastAsia="Calibri" w:hAnsi="Times New Roman"/>
              </w:rPr>
            </w:pPr>
            <w:r w:rsidRPr="00D412DD">
              <w:rPr>
                <w:rFonts w:ascii="Times New Roman" w:eastAsiaTheme="minorHAnsi" w:hAnsi="Times New Roman"/>
              </w:rPr>
              <w:t>)</w:t>
            </w:r>
            <w:r w:rsidRPr="00D412DD">
              <w:rPr>
                <w:rFonts w:ascii="Times New Roman" w:eastAsiaTheme="minorHAnsi" w:hAnsi="Times New Roman"/>
              </w:rPr>
              <w:br/>
              <w:t>)</w:t>
            </w:r>
            <w:r w:rsidRPr="00D412DD">
              <w:rPr>
                <w:rFonts w:ascii="Times New Roman" w:eastAsiaTheme="minorHAnsi" w:hAnsi="Times New Roman"/>
              </w:rPr>
              <w:br/>
              <w:t>)</w:t>
            </w:r>
            <w:r w:rsidRPr="00D412DD">
              <w:rPr>
                <w:rFonts w:ascii="Times New Roman" w:eastAsiaTheme="minorHAnsi" w:hAnsi="Times New Roman"/>
              </w:rPr>
              <w:br/>
              <w:t>)</w:t>
            </w:r>
          </w:p>
        </w:tc>
        <w:tc>
          <w:tcPr>
            <w:tcW w:w="4698" w:type="dxa"/>
          </w:tcPr>
          <w:p w:rsidR="00D412DD" w:rsidRPr="00D412DD" w:rsidRDefault="00D412DD" w:rsidP="00D412DD">
            <w:pPr>
              <w:autoSpaceDE/>
              <w:autoSpaceDN/>
              <w:adjustRightInd/>
              <w:rPr>
                <w:rFonts w:ascii="Times New Roman" w:eastAsia="Calibri" w:hAnsi="Times New Roman"/>
              </w:rPr>
            </w:pPr>
          </w:p>
          <w:p w:rsidR="00D412DD" w:rsidRPr="00D412DD" w:rsidRDefault="00D412DD" w:rsidP="00D412DD">
            <w:pPr>
              <w:autoSpaceDE/>
              <w:autoSpaceDN/>
              <w:adjustRightInd/>
              <w:rPr>
                <w:rFonts w:ascii="Times New Roman" w:eastAsiaTheme="minorHAnsi" w:hAnsi="Times New Roman"/>
              </w:rPr>
            </w:pPr>
            <w:r>
              <w:rPr>
                <w:rFonts w:ascii="Times New Roman" w:eastAsiaTheme="minorHAnsi" w:hAnsi="Times New Roman"/>
              </w:rPr>
              <w:t xml:space="preserve">          Docket No: 110200-WU</w:t>
            </w:r>
          </w:p>
          <w:p w:rsidR="00D412DD" w:rsidRPr="00D412DD" w:rsidRDefault="00D412DD" w:rsidP="00D412DD">
            <w:pPr>
              <w:autoSpaceDE/>
              <w:autoSpaceDN/>
              <w:adjustRightInd/>
              <w:rPr>
                <w:rFonts w:ascii="Times New Roman" w:eastAsiaTheme="minorHAnsi" w:hAnsi="Times New Roman"/>
              </w:rPr>
            </w:pPr>
          </w:p>
          <w:p w:rsidR="00D412DD" w:rsidRPr="00D412DD" w:rsidRDefault="00D412DD" w:rsidP="00D412DD">
            <w:pPr>
              <w:autoSpaceDE/>
              <w:autoSpaceDN/>
              <w:adjustRightInd/>
              <w:rPr>
                <w:rFonts w:ascii="Times New Roman" w:eastAsia="Calibri" w:hAnsi="Times New Roman"/>
              </w:rPr>
            </w:pPr>
            <w:r>
              <w:rPr>
                <w:rFonts w:ascii="Times New Roman" w:eastAsiaTheme="minorHAnsi" w:hAnsi="Times New Roman"/>
              </w:rPr>
              <w:t xml:space="preserve">          Filed: Dece</w:t>
            </w:r>
            <w:r w:rsidRPr="00D412DD">
              <w:rPr>
                <w:rFonts w:ascii="Times New Roman" w:eastAsiaTheme="minorHAnsi" w:hAnsi="Times New Roman"/>
              </w:rPr>
              <w:t>mber 1</w:t>
            </w:r>
            <w:r>
              <w:rPr>
                <w:rFonts w:ascii="Times New Roman" w:eastAsiaTheme="minorHAnsi" w:hAnsi="Times New Roman"/>
              </w:rPr>
              <w:t>7</w:t>
            </w:r>
            <w:r w:rsidRPr="00D412DD">
              <w:rPr>
                <w:rFonts w:ascii="Times New Roman" w:eastAsiaTheme="minorHAnsi" w:hAnsi="Times New Roman"/>
              </w:rPr>
              <w:t>, 2012</w:t>
            </w:r>
          </w:p>
        </w:tc>
      </w:tr>
    </w:tbl>
    <w:p w:rsidR="00D412DD" w:rsidRPr="00D412DD" w:rsidRDefault="00D412DD" w:rsidP="00D412DD">
      <w:pPr>
        <w:autoSpaceDE/>
        <w:autoSpaceDN/>
        <w:adjustRightInd/>
        <w:rPr>
          <w:rFonts w:ascii="Times New Roman" w:eastAsia="Calibri" w:hAnsi="Times New Roman"/>
          <w:sz w:val="24"/>
        </w:rPr>
      </w:pPr>
      <w:r w:rsidRPr="00D412DD">
        <w:rPr>
          <w:rFonts w:ascii="Times New Roman" w:eastAsia="Calibri" w:hAnsi="Times New Roman"/>
          <w:sz w:val="24"/>
          <w:u w:val="single"/>
        </w:rPr>
        <w:t xml:space="preserve">                                                                           </w:t>
      </w:r>
      <w:r w:rsidRPr="00D412DD">
        <w:rPr>
          <w:rFonts w:ascii="Times New Roman" w:eastAsia="Calibri" w:hAnsi="Times New Roman"/>
          <w:sz w:val="24"/>
        </w:rPr>
        <w:t>/</w:t>
      </w:r>
    </w:p>
    <w:p w:rsidR="00D412DD" w:rsidRPr="00D412DD" w:rsidRDefault="00D412DD" w:rsidP="00D412DD">
      <w:pPr>
        <w:widowControl/>
        <w:autoSpaceDE/>
        <w:autoSpaceDN/>
        <w:adjustRightInd/>
        <w:rPr>
          <w:rFonts w:ascii="Times New Roman" w:eastAsia="Calibri" w:hAnsi="Times New Roman"/>
          <w:sz w:val="24"/>
        </w:rPr>
      </w:pPr>
    </w:p>
    <w:p w:rsidR="005A2D5E" w:rsidRPr="005A2D5E" w:rsidRDefault="005A2D5E" w:rsidP="005A2D5E">
      <w:pPr>
        <w:widowControl/>
        <w:autoSpaceDE/>
        <w:autoSpaceDN/>
        <w:adjustRightInd/>
      </w:pPr>
    </w:p>
    <w:p w:rsidR="0007519B" w:rsidRPr="00697FF7" w:rsidRDefault="0007519B" w:rsidP="00755D39">
      <w:pPr>
        <w:spacing w:line="480" w:lineRule="auto"/>
        <w:jc w:val="center"/>
        <w:rPr>
          <w:rFonts w:ascii="Times New Roman" w:hAnsi="Times New Roman"/>
          <w:b/>
          <w:bCs/>
          <w:sz w:val="24"/>
          <w:u w:val="single"/>
        </w:rPr>
      </w:pPr>
    </w:p>
    <w:p w:rsidR="003D6AC7" w:rsidRPr="008330BC" w:rsidRDefault="00755D39" w:rsidP="008330BC">
      <w:pPr>
        <w:spacing w:after="240" w:line="360" w:lineRule="auto"/>
        <w:jc w:val="center"/>
        <w:rPr>
          <w:rFonts w:ascii="Times New Roman" w:hAnsi="Times New Roman"/>
          <w:b/>
          <w:bCs/>
          <w:sz w:val="24"/>
          <w:u w:val="single"/>
        </w:rPr>
      </w:pPr>
      <w:r w:rsidRPr="007B6954">
        <w:rPr>
          <w:rFonts w:ascii="Times New Roman" w:hAnsi="Times New Roman"/>
          <w:b/>
          <w:bCs/>
          <w:sz w:val="24"/>
          <w:u w:val="single"/>
        </w:rPr>
        <w:t>PREHEARING STATEMENT OF THE OFFICE OF PUBLIC COUNSEL</w:t>
      </w:r>
    </w:p>
    <w:p w:rsidR="003D6AC7" w:rsidRPr="00697FF7" w:rsidRDefault="00755D39" w:rsidP="008330BC">
      <w:pPr>
        <w:tabs>
          <w:tab w:val="left" w:pos="720"/>
        </w:tabs>
        <w:spacing w:line="360" w:lineRule="auto"/>
        <w:jc w:val="both"/>
        <w:rPr>
          <w:rFonts w:ascii="Times New Roman" w:hAnsi="Times New Roman"/>
          <w:bCs/>
          <w:sz w:val="24"/>
        </w:rPr>
      </w:pPr>
      <w:r w:rsidRPr="00697FF7">
        <w:rPr>
          <w:rFonts w:ascii="Times New Roman" w:hAnsi="Times New Roman"/>
          <w:bCs/>
          <w:sz w:val="24"/>
        </w:rPr>
        <w:tab/>
        <w:t>The Citizens of the State of Florida</w:t>
      </w:r>
      <w:r w:rsidR="004442AC">
        <w:rPr>
          <w:rFonts w:ascii="Times New Roman" w:hAnsi="Times New Roman"/>
          <w:bCs/>
          <w:sz w:val="24"/>
        </w:rPr>
        <w:t xml:space="preserve"> (“Citizens”),</w:t>
      </w:r>
      <w:r w:rsidRPr="00697FF7">
        <w:rPr>
          <w:rFonts w:ascii="Times New Roman" w:hAnsi="Times New Roman"/>
          <w:bCs/>
          <w:sz w:val="24"/>
        </w:rPr>
        <w:t xml:space="preserve"> through the Office of Public Counsel</w:t>
      </w:r>
      <w:r w:rsidR="004442AC">
        <w:rPr>
          <w:rFonts w:ascii="Times New Roman" w:hAnsi="Times New Roman"/>
          <w:bCs/>
          <w:sz w:val="24"/>
        </w:rPr>
        <w:t xml:space="preserve"> (“OPC”)</w:t>
      </w:r>
      <w:r w:rsidRPr="00697FF7">
        <w:rPr>
          <w:rFonts w:ascii="Times New Roman" w:hAnsi="Times New Roman"/>
          <w:bCs/>
          <w:sz w:val="24"/>
        </w:rPr>
        <w:t xml:space="preserve">, pursuant to the Order Establishing Procedure </w:t>
      </w:r>
      <w:r w:rsidR="007D0352">
        <w:rPr>
          <w:rFonts w:ascii="Times New Roman" w:hAnsi="Times New Roman"/>
          <w:bCs/>
          <w:sz w:val="24"/>
        </w:rPr>
        <w:t>in this docket, Order No. PSC-12</w:t>
      </w:r>
      <w:r w:rsidR="004B0BAD">
        <w:rPr>
          <w:rFonts w:ascii="Times New Roman" w:hAnsi="Times New Roman"/>
          <w:bCs/>
          <w:sz w:val="24"/>
        </w:rPr>
        <w:t>-0</w:t>
      </w:r>
      <w:r w:rsidR="00086BE0">
        <w:rPr>
          <w:rFonts w:ascii="Times New Roman" w:hAnsi="Times New Roman"/>
          <w:bCs/>
          <w:sz w:val="24"/>
        </w:rPr>
        <w:t>526</w:t>
      </w:r>
      <w:r w:rsidR="002F2B13" w:rsidRPr="00697FF7">
        <w:rPr>
          <w:rFonts w:ascii="Times New Roman" w:hAnsi="Times New Roman"/>
          <w:bCs/>
          <w:sz w:val="24"/>
        </w:rPr>
        <w:t>-PCO-</w:t>
      </w:r>
      <w:r w:rsidR="00086BE0">
        <w:rPr>
          <w:rFonts w:ascii="Times New Roman" w:hAnsi="Times New Roman"/>
          <w:bCs/>
          <w:sz w:val="24"/>
        </w:rPr>
        <w:t>WU</w:t>
      </w:r>
      <w:r w:rsidR="002F2B13" w:rsidRPr="00697FF7">
        <w:rPr>
          <w:rFonts w:ascii="Times New Roman" w:hAnsi="Times New Roman"/>
          <w:bCs/>
          <w:sz w:val="24"/>
        </w:rPr>
        <w:t>, issued</w:t>
      </w:r>
      <w:r w:rsidR="00D05F08">
        <w:rPr>
          <w:rFonts w:ascii="Times New Roman" w:hAnsi="Times New Roman"/>
          <w:bCs/>
          <w:sz w:val="24"/>
        </w:rPr>
        <w:t xml:space="preserve"> October 3</w:t>
      </w:r>
      <w:r w:rsidR="007D0352">
        <w:rPr>
          <w:rFonts w:ascii="Times New Roman" w:hAnsi="Times New Roman"/>
          <w:bCs/>
          <w:sz w:val="24"/>
        </w:rPr>
        <w:t>, 2012</w:t>
      </w:r>
      <w:r w:rsidRPr="00697FF7">
        <w:rPr>
          <w:rFonts w:ascii="Times New Roman" w:hAnsi="Times New Roman"/>
          <w:bCs/>
          <w:sz w:val="24"/>
        </w:rPr>
        <w:t xml:space="preserve">, </w:t>
      </w:r>
      <w:r w:rsidR="00025087">
        <w:rPr>
          <w:rFonts w:ascii="Times New Roman" w:hAnsi="Times New Roman"/>
          <w:bCs/>
          <w:sz w:val="24"/>
        </w:rPr>
        <w:t xml:space="preserve">and First Order Revising Order Establishing Procedure, </w:t>
      </w:r>
      <w:r w:rsidR="00056AAD">
        <w:rPr>
          <w:rFonts w:ascii="Times New Roman" w:hAnsi="Times New Roman"/>
          <w:bCs/>
          <w:sz w:val="24"/>
        </w:rPr>
        <w:t xml:space="preserve">Order No. PSC-12-0624-PCO-WU </w:t>
      </w:r>
      <w:r w:rsidR="00025087">
        <w:rPr>
          <w:rFonts w:ascii="Times New Roman" w:hAnsi="Times New Roman"/>
          <w:bCs/>
          <w:sz w:val="24"/>
        </w:rPr>
        <w:t>issued November 20, 2012</w:t>
      </w:r>
      <w:r w:rsidR="00056AAD">
        <w:rPr>
          <w:rFonts w:ascii="Times New Roman" w:hAnsi="Times New Roman"/>
          <w:bCs/>
          <w:sz w:val="24"/>
        </w:rPr>
        <w:t>,</w:t>
      </w:r>
      <w:r w:rsidR="00BD0C1B">
        <w:rPr>
          <w:rFonts w:ascii="Times New Roman" w:hAnsi="Times New Roman"/>
          <w:bCs/>
          <w:sz w:val="24"/>
        </w:rPr>
        <w:t xml:space="preserve"> </w:t>
      </w:r>
      <w:r w:rsidRPr="00697FF7">
        <w:rPr>
          <w:rFonts w:ascii="Times New Roman" w:hAnsi="Times New Roman"/>
          <w:bCs/>
          <w:sz w:val="24"/>
        </w:rPr>
        <w:t>hereby submit this Prehearing Statement.</w:t>
      </w:r>
    </w:p>
    <w:p w:rsidR="00331BD4" w:rsidRDefault="00331BD4" w:rsidP="00331BD4">
      <w:pPr>
        <w:tabs>
          <w:tab w:val="left" w:pos="720"/>
        </w:tabs>
        <w:jc w:val="both"/>
        <w:rPr>
          <w:rFonts w:ascii="Times New Roman" w:hAnsi="Times New Roman"/>
          <w:bCs/>
          <w:sz w:val="24"/>
          <w:u w:val="single"/>
        </w:rPr>
      </w:pPr>
    </w:p>
    <w:p w:rsidR="00755D39" w:rsidRDefault="00755D39" w:rsidP="00331BD4">
      <w:pPr>
        <w:tabs>
          <w:tab w:val="left" w:pos="720"/>
        </w:tabs>
        <w:jc w:val="both"/>
        <w:rPr>
          <w:rFonts w:ascii="Times New Roman" w:hAnsi="Times New Roman"/>
          <w:bCs/>
          <w:sz w:val="24"/>
          <w:u w:val="single"/>
        </w:rPr>
      </w:pPr>
      <w:r w:rsidRPr="00697FF7">
        <w:rPr>
          <w:rFonts w:ascii="Times New Roman" w:hAnsi="Times New Roman"/>
          <w:bCs/>
          <w:sz w:val="24"/>
          <w:u w:val="single"/>
        </w:rPr>
        <w:t>APPEARANCES:</w:t>
      </w:r>
    </w:p>
    <w:p w:rsidR="00331BD4" w:rsidRDefault="00331BD4" w:rsidP="002F2B13">
      <w:pPr>
        <w:tabs>
          <w:tab w:val="left" w:pos="720"/>
        </w:tabs>
        <w:jc w:val="both"/>
        <w:rPr>
          <w:rFonts w:ascii="Times New Roman" w:hAnsi="Times New Roman"/>
          <w:bCs/>
          <w:sz w:val="24"/>
        </w:rPr>
      </w:pPr>
    </w:p>
    <w:p w:rsidR="005A2D5E" w:rsidRDefault="005A2D5E" w:rsidP="005A2D5E">
      <w:pPr>
        <w:tabs>
          <w:tab w:val="left" w:pos="720"/>
        </w:tabs>
        <w:jc w:val="both"/>
        <w:rPr>
          <w:rFonts w:ascii="Times New Roman" w:hAnsi="Times New Roman"/>
          <w:bCs/>
          <w:sz w:val="24"/>
        </w:rPr>
      </w:pPr>
      <w:r w:rsidRPr="00697FF7">
        <w:rPr>
          <w:rFonts w:ascii="Times New Roman" w:hAnsi="Times New Roman"/>
          <w:bCs/>
          <w:sz w:val="24"/>
        </w:rPr>
        <w:tab/>
      </w:r>
      <w:r w:rsidR="00086BE0" w:rsidRPr="00607833">
        <w:rPr>
          <w:rFonts w:ascii="Times New Roman" w:hAnsi="Times New Roman"/>
          <w:sz w:val="24"/>
        </w:rPr>
        <w:t>Erik L. Sayler</w:t>
      </w:r>
    </w:p>
    <w:p w:rsidR="005A2D5E" w:rsidRDefault="005A2D5E" w:rsidP="005A2D5E">
      <w:pPr>
        <w:tabs>
          <w:tab w:val="left" w:pos="720"/>
        </w:tabs>
        <w:jc w:val="both"/>
        <w:rPr>
          <w:rFonts w:ascii="Times New Roman" w:hAnsi="Times New Roman"/>
          <w:bCs/>
          <w:sz w:val="24"/>
        </w:rPr>
      </w:pPr>
      <w:r>
        <w:rPr>
          <w:rFonts w:ascii="Times New Roman" w:hAnsi="Times New Roman"/>
          <w:bCs/>
          <w:sz w:val="24"/>
        </w:rPr>
        <w:tab/>
        <w:t>Associate Public Counsel</w:t>
      </w:r>
    </w:p>
    <w:p w:rsidR="007A0368" w:rsidRDefault="005A2D5E" w:rsidP="005A2D5E">
      <w:pPr>
        <w:tabs>
          <w:tab w:val="left" w:pos="720"/>
        </w:tabs>
        <w:jc w:val="both"/>
        <w:rPr>
          <w:rFonts w:ascii="Times New Roman" w:hAnsi="Times New Roman"/>
          <w:bCs/>
          <w:sz w:val="24"/>
        </w:rPr>
      </w:pPr>
      <w:r>
        <w:rPr>
          <w:rFonts w:ascii="Times New Roman" w:hAnsi="Times New Roman"/>
          <w:bCs/>
          <w:sz w:val="24"/>
        </w:rPr>
        <w:tab/>
      </w:r>
    </w:p>
    <w:p w:rsidR="005A2D5E" w:rsidRPr="00697FF7" w:rsidRDefault="007A0368" w:rsidP="005A2D5E">
      <w:pPr>
        <w:tabs>
          <w:tab w:val="left" w:pos="720"/>
        </w:tabs>
        <w:jc w:val="both"/>
        <w:rPr>
          <w:rFonts w:ascii="Times New Roman" w:hAnsi="Times New Roman"/>
          <w:bCs/>
          <w:sz w:val="24"/>
        </w:rPr>
      </w:pPr>
      <w:r>
        <w:rPr>
          <w:rFonts w:ascii="Times New Roman" w:hAnsi="Times New Roman"/>
          <w:bCs/>
          <w:sz w:val="24"/>
        </w:rPr>
        <w:tab/>
      </w:r>
      <w:r w:rsidR="005A2D5E" w:rsidRPr="00697FF7">
        <w:rPr>
          <w:rFonts w:ascii="Times New Roman" w:hAnsi="Times New Roman"/>
          <w:bCs/>
          <w:sz w:val="24"/>
        </w:rPr>
        <w:t>Office of Public Counsel</w:t>
      </w:r>
    </w:p>
    <w:p w:rsidR="005A2D5E" w:rsidRPr="00697FF7" w:rsidRDefault="005A2D5E" w:rsidP="005A2D5E">
      <w:pPr>
        <w:tabs>
          <w:tab w:val="left" w:pos="720"/>
        </w:tabs>
        <w:jc w:val="both"/>
        <w:rPr>
          <w:rFonts w:ascii="Times New Roman" w:hAnsi="Times New Roman"/>
          <w:bCs/>
          <w:sz w:val="24"/>
        </w:rPr>
      </w:pPr>
      <w:r w:rsidRPr="00697FF7">
        <w:rPr>
          <w:rFonts w:ascii="Times New Roman" w:hAnsi="Times New Roman"/>
          <w:bCs/>
          <w:sz w:val="24"/>
        </w:rPr>
        <w:tab/>
        <w:t>c/o The Florida Legislature</w:t>
      </w:r>
    </w:p>
    <w:p w:rsidR="005A2D5E" w:rsidRPr="00697FF7" w:rsidRDefault="005A2D5E" w:rsidP="005A2D5E">
      <w:pPr>
        <w:tabs>
          <w:tab w:val="left" w:pos="720"/>
        </w:tabs>
        <w:jc w:val="both"/>
        <w:rPr>
          <w:rFonts w:ascii="Times New Roman" w:hAnsi="Times New Roman"/>
          <w:bCs/>
          <w:sz w:val="24"/>
        </w:rPr>
      </w:pPr>
      <w:r w:rsidRPr="00697FF7">
        <w:rPr>
          <w:rFonts w:ascii="Times New Roman" w:hAnsi="Times New Roman"/>
          <w:bCs/>
          <w:sz w:val="24"/>
        </w:rPr>
        <w:tab/>
        <w:t>111 West Madison Street, Room 812</w:t>
      </w:r>
    </w:p>
    <w:p w:rsidR="005A2D5E" w:rsidRPr="00697FF7" w:rsidRDefault="005A2D5E" w:rsidP="005A2D5E">
      <w:pPr>
        <w:tabs>
          <w:tab w:val="left" w:pos="720"/>
        </w:tabs>
        <w:jc w:val="both"/>
        <w:rPr>
          <w:rFonts w:ascii="Times New Roman" w:hAnsi="Times New Roman"/>
          <w:bCs/>
          <w:sz w:val="24"/>
        </w:rPr>
      </w:pPr>
      <w:r w:rsidRPr="00697FF7">
        <w:rPr>
          <w:rFonts w:ascii="Times New Roman" w:hAnsi="Times New Roman"/>
          <w:bCs/>
          <w:sz w:val="24"/>
        </w:rPr>
        <w:tab/>
        <w:t>Tallahassee, Florida 32399-1400</w:t>
      </w:r>
    </w:p>
    <w:p w:rsidR="005A2D5E" w:rsidRPr="00697FF7" w:rsidRDefault="005A2D5E" w:rsidP="005A2D5E">
      <w:pPr>
        <w:tabs>
          <w:tab w:val="left" w:pos="720"/>
        </w:tabs>
        <w:jc w:val="both"/>
        <w:rPr>
          <w:rFonts w:ascii="Times New Roman" w:hAnsi="Times New Roman"/>
          <w:bCs/>
          <w:sz w:val="24"/>
          <w:u w:val="single"/>
        </w:rPr>
      </w:pPr>
      <w:r w:rsidRPr="00697FF7">
        <w:rPr>
          <w:rFonts w:ascii="Times New Roman" w:hAnsi="Times New Roman"/>
          <w:bCs/>
          <w:sz w:val="24"/>
        </w:rPr>
        <w:tab/>
      </w:r>
      <w:r w:rsidRPr="00697FF7">
        <w:rPr>
          <w:rFonts w:ascii="Times New Roman" w:hAnsi="Times New Roman"/>
          <w:bCs/>
          <w:sz w:val="24"/>
          <w:u w:val="single"/>
        </w:rPr>
        <w:t>On behalf of the Citizens of the State of Florida</w:t>
      </w:r>
    </w:p>
    <w:p w:rsidR="005A2D5E" w:rsidRDefault="005A2D5E" w:rsidP="002F2B13">
      <w:pPr>
        <w:tabs>
          <w:tab w:val="left" w:pos="720"/>
        </w:tabs>
        <w:jc w:val="both"/>
        <w:rPr>
          <w:rFonts w:ascii="Times New Roman" w:hAnsi="Times New Roman"/>
          <w:bCs/>
          <w:sz w:val="24"/>
        </w:rPr>
      </w:pPr>
    </w:p>
    <w:p w:rsidR="00331BD4" w:rsidRPr="00697FF7" w:rsidRDefault="00331BD4" w:rsidP="00FC39E0">
      <w:pPr>
        <w:tabs>
          <w:tab w:val="left" w:pos="720"/>
        </w:tabs>
        <w:rPr>
          <w:rFonts w:ascii="Times New Roman" w:hAnsi="Times New Roman"/>
          <w:bCs/>
          <w:sz w:val="24"/>
          <w:u w:val="single"/>
        </w:rPr>
      </w:pPr>
    </w:p>
    <w:p w:rsidR="00FC39E0" w:rsidRPr="00344D31" w:rsidRDefault="00FC39E0" w:rsidP="00FC39E0">
      <w:pPr>
        <w:tabs>
          <w:tab w:val="left" w:pos="720"/>
        </w:tabs>
        <w:rPr>
          <w:rFonts w:ascii="Times New Roman" w:hAnsi="Times New Roman"/>
          <w:b/>
          <w:bCs/>
          <w:sz w:val="24"/>
          <w:u w:val="single"/>
        </w:rPr>
      </w:pPr>
      <w:r w:rsidRPr="00344D31">
        <w:rPr>
          <w:rFonts w:ascii="Times New Roman" w:hAnsi="Times New Roman"/>
          <w:b/>
          <w:bCs/>
          <w:sz w:val="24"/>
        </w:rPr>
        <w:t xml:space="preserve">1.  </w:t>
      </w:r>
      <w:r w:rsidR="00344D31" w:rsidRPr="00344D31">
        <w:rPr>
          <w:rFonts w:ascii="Times New Roman" w:hAnsi="Times New Roman"/>
          <w:b/>
          <w:bCs/>
          <w:sz w:val="24"/>
        </w:rPr>
        <w:tab/>
      </w:r>
      <w:r w:rsidRPr="00344D31">
        <w:rPr>
          <w:rFonts w:ascii="Times New Roman" w:hAnsi="Times New Roman"/>
          <w:b/>
          <w:bCs/>
          <w:sz w:val="24"/>
          <w:u w:val="single"/>
        </w:rPr>
        <w:t>WITNESSES</w:t>
      </w:r>
      <w:r w:rsidRPr="00344D31">
        <w:rPr>
          <w:rFonts w:ascii="Times New Roman" w:hAnsi="Times New Roman"/>
          <w:b/>
          <w:bCs/>
          <w:sz w:val="24"/>
        </w:rPr>
        <w:t>:</w:t>
      </w:r>
    </w:p>
    <w:p w:rsidR="00FC39E0" w:rsidRPr="00697FF7" w:rsidRDefault="00FC39E0" w:rsidP="00FC39E0">
      <w:pPr>
        <w:tabs>
          <w:tab w:val="left" w:pos="720"/>
        </w:tabs>
        <w:rPr>
          <w:rFonts w:ascii="Times New Roman" w:hAnsi="Times New Roman"/>
          <w:bCs/>
          <w:sz w:val="24"/>
          <w:u w:val="single"/>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t>The Citizens intend to call the following witnesses, who will address the issues indicated:</w:t>
      </w:r>
    </w:p>
    <w:p w:rsidR="00FC39E0" w:rsidRPr="00697FF7" w:rsidRDefault="00FC39E0" w:rsidP="00FC39E0">
      <w:pPr>
        <w:tabs>
          <w:tab w:val="left" w:pos="720"/>
        </w:tabs>
        <w:rPr>
          <w:rFonts w:ascii="Times New Roman" w:hAnsi="Times New Roman"/>
          <w:bCs/>
          <w:sz w:val="24"/>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r>
      <w:r w:rsidRPr="00697FF7">
        <w:rPr>
          <w:rFonts w:ascii="Times New Roman" w:hAnsi="Times New Roman"/>
          <w:bCs/>
          <w:sz w:val="24"/>
          <w:u w:val="single"/>
        </w:rPr>
        <w:t>NAME</w:t>
      </w:r>
      <w:r w:rsidRPr="00697FF7">
        <w:rPr>
          <w:rFonts w:ascii="Times New Roman" w:hAnsi="Times New Roman"/>
          <w:bCs/>
          <w:sz w:val="24"/>
          <w:u w:val="single"/>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u w:val="single"/>
        </w:rPr>
        <w:t>ISSUES</w:t>
      </w:r>
    </w:p>
    <w:p w:rsidR="00FC39E0" w:rsidRDefault="00EC6159" w:rsidP="00FC39E0">
      <w:pPr>
        <w:tabs>
          <w:tab w:val="left" w:pos="720"/>
        </w:tabs>
        <w:rPr>
          <w:rFonts w:ascii="Times New Roman" w:hAnsi="Times New Roman"/>
          <w:bCs/>
          <w:sz w:val="24"/>
        </w:rPr>
      </w:pPr>
      <w:r>
        <w:rPr>
          <w:rFonts w:ascii="Times New Roman" w:hAnsi="Times New Roman"/>
          <w:bCs/>
          <w:sz w:val="24"/>
        </w:rPr>
        <w:tab/>
      </w:r>
    </w:p>
    <w:p w:rsidR="00D05F08" w:rsidRDefault="00D40B4F" w:rsidP="00FC39E0">
      <w:pPr>
        <w:tabs>
          <w:tab w:val="left" w:pos="720"/>
        </w:tabs>
        <w:rPr>
          <w:rFonts w:ascii="Times New Roman" w:hAnsi="Times New Roman"/>
          <w:bCs/>
          <w:sz w:val="24"/>
        </w:rPr>
      </w:pPr>
      <w:r>
        <w:rPr>
          <w:rFonts w:ascii="Times New Roman" w:hAnsi="Times New Roman"/>
          <w:bCs/>
          <w:sz w:val="24"/>
        </w:rPr>
        <w:tab/>
      </w:r>
      <w:r w:rsidR="00C96C4B">
        <w:rPr>
          <w:rFonts w:ascii="Times New Roman" w:hAnsi="Times New Roman"/>
          <w:bCs/>
          <w:sz w:val="24"/>
        </w:rPr>
        <w:t>Helmuth Schultz III</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6E3126">
        <w:rPr>
          <w:rFonts w:ascii="Times New Roman" w:hAnsi="Times New Roman"/>
          <w:bCs/>
          <w:sz w:val="24"/>
        </w:rPr>
        <w:t xml:space="preserve">1, </w:t>
      </w:r>
      <w:r w:rsidR="004A7C41">
        <w:rPr>
          <w:rFonts w:ascii="Times New Roman" w:hAnsi="Times New Roman"/>
          <w:bCs/>
          <w:sz w:val="24"/>
        </w:rPr>
        <w:t xml:space="preserve">3, </w:t>
      </w:r>
      <w:r w:rsidR="006E3126">
        <w:rPr>
          <w:rFonts w:ascii="Times New Roman" w:hAnsi="Times New Roman"/>
          <w:bCs/>
          <w:sz w:val="24"/>
        </w:rPr>
        <w:t>4, 5, 9, 9(a), 10, 10(a)</w:t>
      </w:r>
    </w:p>
    <w:p w:rsidR="00D05F08" w:rsidRDefault="00D05F08" w:rsidP="00FC39E0">
      <w:pPr>
        <w:tabs>
          <w:tab w:val="left" w:pos="720"/>
        </w:tabs>
        <w:rPr>
          <w:rFonts w:ascii="Times New Roman" w:hAnsi="Times New Roman"/>
          <w:bCs/>
          <w:sz w:val="24"/>
        </w:rPr>
      </w:pPr>
    </w:p>
    <w:p w:rsidR="00EC6159" w:rsidRPr="00A3692F" w:rsidRDefault="00EC6159" w:rsidP="004C053D">
      <w:pPr>
        <w:tabs>
          <w:tab w:val="left" w:pos="720"/>
        </w:tabs>
        <w:ind w:left="6480" w:hanging="6480"/>
        <w:rPr>
          <w:rFonts w:ascii="Times New Roman" w:hAnsi="Times New Roman"/>
          <w:bCs/>
          <w:sz w:val="24"/>
        </w:rPr>
      </w:pPr>
      <w:r>
        <w:rPr>
          <w:rFonts w:ascii="Times New Roman" w:hAnsi="Times New Roman"/>
          <w:bCs/>
          <w:sz w:val="24"/>
        </w:rPr>
        <w:tab/>
      </w:r>
      <w:r w:rsidR="00C96C4B">
        <w:rPr>
          <w:rFonts w:ascii="Times New Roman" w:hAnsi="Times New Roman"/>
          <w:bCs/>
          <w:sz w:val="24"/>
        </w:rPr>
        <w:t>Denise N. Vandiver</w:t>
      </w:r>
      <w:r w:rsidR="00275B80" w:rsidRPr="00285E69">
        <w:rPr>
          <w:rFonts w:ascii="Times New Roman" w:hAnsi="Times New Roman"/>
          <w:bCs/>
          <w:sz w:val="24"/>
        </w:rPr>
        <w:tab/>
      </w:r>
      <w:r w:rsidR="00B00CC4">
        <w:rPr>
          <w:rFonts w:ascii="Times New Roman" w:hAnsi="Times New Roman"/>
          <w:bCs/>
          <w:sz w:val="24"/>
        </w:rPr>
        <w:t>6, 7, 14</w:t>
      </w:r>
      <w:r w:rsidR="006E3126">
        <w:rPr>
          <w:rFonts w:ascii="Times New Roman" w:hAnsi="Times New Roman"/>
          <w:bCs/>
          <w:sz w:val="24"/>
        </w:rPr>
        <w:t xml:space="preserve"> </w:t>
      </w:r>
    </w:p>
    <w:p w:rsidR="00EC6159" w:rsidRPr="00A3692F" w:rsidRDefault="00B26582" w:rsidP="004C053D">
      <w:pPr>
        <w:tabs>
          <w:tab w:val="left" w:pos="720"/>
        </w:tabs>
        <w:ind w:left="6480" w:hanging="6480"/>
        <w:rPr>
          <w:rFonts w:ascii="Times New Roman" w:hAnsi="Times New Roman"/>
          <w:bCs/>
          <w:sz w:val="24"/>
        </w:rPr>
      </w:pPr>
      <w:r w:rsidRPr="00A3692F">
        <w:rPr>
          <w:rFonts w:ascii="Times New Roman" w:hAnsi="Times New Roman"/>
          <w:bCs/>
          <w:sz w:val="24"/>
        </w:rPr>
        <w:tab/>
      </w:r>
    </w:p>
    <w:p w:rsidR="00C96C4B" w:rsidRDefault="00C96C4B" w:rsidP="00C96C4B">
      <w:pPr>
        <w:tabs>
          <w:tab w:val="left" w:pos="720"/>
        </w:tabs>
        <w:ind w:left="6480" w:hanging="6480"/>
        <w:rPr>
          <w:rFonts w:ascii="Times New Roman" w:hAnsi="Times New Roman"/>
          <w:bCs/>
          <w:sz w:val="24"/>
        </w:rPr>
      </w:pPr>
    </w:p>
    <w:p w:rsidR="006E3126" w:rsidRDefault="006E3126" w:rsidP="00C96C4B">
      <w:pPr>
        <w:tabs>
          <w:tab w:val="left" w:pos="720"/>
        </w:tabs>
        <w:ind w:left="6480" w:hanging="6480"/>
        <w:rPr>
          <w:rFonts w:ascii="Times New Roman" w:hAnsi="Times New Roman"/>
          <w:bCs/>
          <w:sz w:val="24"/>
        </w:rPr>
      </w:pPr>
    </w:p>
    <w:p w:rsidR="00D05F08" w:rsidRDefault="00D05F08" w:rsidP="00FC39E0">
      <w:pPr>
        <w:tabs>
          <w:tab w:val="left" w:pos="720"/>
        </w:tabs>
        <w:rPr>
          <w:rFonts w:ascii="Times New Roman" w:hAnsi="Times New Roman"/>
          <w:bCs/>
          <w:sz w:val="24"/>
        </w:rPr>
      </w:pPr>
    </w:p>
    <w:p w:rsidR="00EC6159" w:rsidRDefault="00EC6159" w:rsidP="00FC39E0">
      <w:pPr>
        <w:tabs>
          <w:tab w:val="left" w:pos="720"/>
        </w:tabs>
        <w:rPr>
          <w:rFonts w:ascii="Times New Roman" w:hAnsi="Times New Roman"/>
          <w:bCs/>
          <w:sz w:val="24"/>
        </w:rPr>
      </w:pPr>
      <w:r>
        <w:rPr>
          <w:rFonts w:ascii="Times New Roman" w:hAnsi="Times New Roman"/>
          <w:bCs/>
          <w:sz w:val="24"/>
        </w:rPr>
        <w:tab/>
      </w:r>
    </w:p>
    <w:p w:rsidR="00B26582" w:rsidRPr="00344D31" w:rsidRDefault="00B26582" w:rsidP="00275B80">
      <w:pPr>
        <w:tabs>
          <w:tab w:val="left" w:pos="720"/>
        </w:tabs>
        <w:rPr>
          <w:rFonts w:ascii="Times New Roman" w:hAnsi="Times New Roman"/>
          <w:b/>
          <w:bCs/>
          <w:sz w:val="24"/>
        </w:rPr>
      </w:pPr>
      <w:r w:rsidRPr="00344D31">
        <w:rPr>
          <w:rFonts w:ascii="Times New Roman" w:hAnsi="Times New Roman"/>
          <w:b/>
          <w:bCs/>
          <w:sz w:val="24"/>
        </w:rPr>
        <w:lastRenderedPageBreak/>
        <w:t xml:space="preserve">2. </w:t>
      </w:r>
      <w:r w:rsidR="00344D31" w:rsidRPr="00344D31">
        <w:rPr>
          <w:rFonts w:ascii="Times New Roman" w:hAnsi="Times New Roman"/>
          <w:b/>
          <w:bCs/>
          <w:sz w:val="24"/>
        </w:rPr>
        <w:tab/>
      </w:r>
      <w:r w:rsidRPr="00344D31">
        <w:rPr>
          <w:rFonts w:ascii="Times New Roman" w:hAnsi="Times New Roman"/>
          <w:b/>
          <w:bCs/>
          <w:sz w:val="24"/>
          <w:u w:val="single"/>
        </w:rPr>
        <w:t>EXHIBITS:</w:t>
      </w:r>
    </w:p>
    <w:p w:rsidR="00B26582" w:rsidRPr="00697FF7" w:rsidRDefault="00B26582" w:rsidP="002F2B13">
      <w:pPr>
        <w:tabs>
          <w:tab w:val="left" w:pos="720"/>
        </w:tabs>
        <w:jc w:val="both"/>
        <w:rPr>
          <w:rFonts w:ascii="Times New Roman" w:hAnsi="Times New Roman"/>
          <w:bCs/>
          <w:sz w:val="24"/>
        </w:rPr>
      </w:pPr>
    </w:p>
    <w:p w:rsidR="00B26582" w:rsidRDefault="00B26582" w:rsidP="00344D31">
      <w:pPr>
        <w:tabs>
          <w:tab w:val="left" w:pos="720"/>
        </w:tabs>
        <w:ind w:left="720"/>
        <w:jc w:val="both"/>
        <w:rPr>
          <w:rFonts w:ascii="Times New Roman" w:hAnsi="Times New Roman"/>
          <w:bCs/>
          <w:sz w:val="24"/>
        </w:rPr>
      </w:pPr>
      <w:r w:rsidRPr="00697FF7">
        <w:rPr>
          <w:rFonts w:ascii="Times New Roman" w:hAnsi="Times New Roman"/>
          <w:bCs/>
          <w:sz w:val="24"/>
        </w:rPr>
        <w:t>Through</w:t>
      </w:r>
      <w:r w:rsidR="00C96C4B">
        <w:rPr>
          <w:rFonts w:ascii="Times New Roman" w:hAnsi="Times New Roman"/>
          <w:bCs/>
          <w:sz w:val="24"/>
        </w:rPr>
        <w:t xml:space="preserve"> Helmuth Schultz III</w:t>
      </w:r>
      <w:r w:rsidR="00D05F08">
        <w:rPr>
          <w:rFonts w:ascii="Times New Roman" w:hAnsi="Times New Roman"/>
          <w:bCs/>
          <w:sz w:val="24"/>
        </w:rPr>
        <w:t>,</w:t>
      </w:r>
      <w:r w:rsidR="004F11C3">
        <w:rPr>
          <w:rFonts w:ascii="Times New Roman" w:hAnsi="Times New Roman"/>
          <w:bCs/>
          <w:sz w:val="24"/>
        </w:rPr>
        <w:t xml:space="preserve"> </w:t>
      </w:r>
      <w:r w:rsidR="00D05F08">
        <w:rPr>
          <w:rFonts w:ascii="Times New Roman" w:hAnsi="Times New Roman"/>
          <w:bCs/>
          <w:sz w:val="24"/>
        </w:rPr>
        <w:t xml:space="preserve">and </w:t>
      </w:r>
      <w:r w:rsidR="00BD0C1B">
        <w:rPr>
          <w:rFonts w:ascii="Times New Roman" w:hAnsi="Times New Roman"/>
          <w:bCs/>
          <w:sz w:val="24"/>
        </w:rPr>
        <w:t>Denise N. Vandiver,</w:t>
      </w:r>
      <w:r w:rsidR="00C96C4B">
        <w:rPr>
          <w:rFonts w:ascii="Times New Roman" w:hAnsi="Times New Roman"/>
          <w:bCs/>
          <w:sz w:val="24"/>
        </w:rPr>
        <w:t xml:space="preserve"> CPA</w:t>
      </w:r>
      <w:r w:rsidR="002C1405">
        <w:rPr>
          <w:rFonts w:ascii="Times New Roman" w:hAnsi="Times New Roman"/>
          <w:bCs/>
          <w:sz w:val="24"/>
        </w:rPr>
        <w:t xml:space="preserve">, </w:t>
      </w:r>
      <w:r w:rsidRPr="00697FF7">
        <w:rPr>
          <w:rFonts w:ascii="Times New Roman" w:hAnsi="Times New Roman"/>
          <w:bCs/>
          <w:sz w:val="24"/>
        </w:rPr>
        <w:t>the Citizens intend to introduce the following exhibits, which can be identified on a composite basis</w:t>
      </w:r>
      <w:r w:rsidR="00275B80">
        <w:rPr>
          <w:rFonts w:ascii="Times New Roman" w:hAnsi="Times New Roman"/>
          <w:bCs/>
          <w:sz w:val="24"/>
        </w:rPr>
        <w:t xml:space="preserve"> for each witness</w:t>
      </w:r>
      <w:r w:rsidRPr="00697FF7">
        <w:rPr>
          <w:rFonts w:ascii="Times New Roman" w:hAnsi="Times New Roman"/>
          <w:bCs/>
          <w:sz w:val="24"/>
        </w:rPr>
        <w:t>:</w:t>
      </w:r>
    </w:p>
    <w:p w:rsidR="00275B80" w:rsidRDefault="00275B80" w:rsidP="002F2B13">
      <w:pPr>
        <w:tabs>
          <w:tab w:val="left" w:pos="720"/>
        </w:tabs>
        <w:jc w:val="both"/>
        <w:rPr>
          <w:rFonts w:ascii="Times New Roman" w:hAnsi="Times New Roman"/>
          <w:bCs/>
          <w:sz w:val="24"/>
        </w:rPr>
      </w:pPr>
    </w:p>
    <w:tbl>
      <w:tblPr>
        <w:tblStyle w:val="TableGrid"/>
        <w:tblW w:w="92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1530"/>
        <w:gridCol w:w="4950"/>
      </w:tblGrid>
      <w:tr w:rsidR="00A3692F" w:rsidRPr="00A3692F" w:rsidTr="000979F1">
        <w:tc>
          <w:tcPr>
            <w:tcW w:w="2790" w:type="dxa"/>
          </w:tcPr>
          <w:p w:rsidR="00A3692F" w:rsidRPr="00A3692F" w:rsidRDefault="00A3692F" w:rsidP="00A3692F">
            <w:pPr>
              <w:jc w:val="center"/>
              <w:rPr>
                <w:rFonts w:ascii="Times New Roman" w:hAnsi="Times New Roman"/>
                <w:b/>
                <w:sz w:val="24"/>
                <w:u w:val="single"/>
              </w:rPr>
            </w:pPr>
            <w:r w:rsidRPr="00A3692F">
              <w:rPr>
                <w:rFonts w:ascii="Times New Roman" w:hAnsi="Times New Roman"/>
                <w:b/>
                <w:sz w:val="24"/>
                <w:u w:val="single"/>
              </w:rPr>
              <w:t>Witness</w:t>
            </w:r>
          </w:p>
        </w:tc>
        <w:tc>
          <w:tcPr>
            <w:tcW w:w="1530" w:type="dxa"/>
          </w:tcPr>
          <w:p w:rsidR="00A3692F" w:rsidRPr="00A3692F" w:rsidRDefault="00A3692F" w:rsidP="00A3692F">
            <w:pPr>
              <w:rPr>
                <w:rFonts w:ascii="Times New Roman" w:hAnsi="Times New Roman"/>
                <w:b/>
                <w:sz w:val="24"/>
                <w:u w:val="single"/>
              </w:rPr>
            </w:pPr>
            <w:r w:rsidRPr="00A3692F">
              <w:rPr>
                <w:rFonts w:ascii="Times New Roman" w:hAnsi="Times New Roman"/>
                <w:b/>
                <w:sz w:val="24"/>
                <w:u w:val="single"/>
              </w:rPr>
              <w:t>Exhibits</w:t>
            </w:r>
          </w:p>
        </w:tc>
        <w:tc>
          <w:tcPr>
            <w:tcW w:w="4950" w:type="dxa"/>
          </w:tcPr>
          <w:p w:rsidR="00A3692F" w:rsidRPr="00A3692F" w:rsidRDefault="00A3692F" w:rsidP="00A3692F">
            <w:pPr>
              <w:jc w:val="center"/>
              <w:rPr>
                <w:rFonts w:ascii="Times New Roman" w:hAnsi="Times New Roman"/>
                <w:b/>
                <w:sz w:val="24"/>
                <w:u w:val="single"/>
              </w:rPr>
            </w:pPr>
            <w:r w:rsidRPr="00A3692F">
              <w:rPr>
                <w:rFonts w:ascii="Times New Roman" w:hAnsi="Times New Roman"/>
                <w:b/>
                <w:sz w:val="24"/>
                <w:u w:val="single"/>
              </w:rPr>
              <w:t>Title</w:t>
            </w:r>
          </w:p>
        </w:tc>
      </w:tr>
      <w:tr w:rsidR="00D05F08" w:rsidRPr="00275B80" w:rsidTr="000979F1">
        <w:tc>
          <w:tcPr>
            <w:tcW w:w="2790" w:type="dxa"/>
          </w:tcPr>
          <w:p w:rsidR="00D05F08" w:rsidRDefault="00C96C4B" w:rsidP="004F11C3">
            <w:pPr>
              <w:rPr>
                <w:rFonts w:ascii="Times New Roman" w:hAnsi="Times New Roman"/>
                <w:sz w:val="24"/>
              </w:rPr>
            </w:pPr>
            <w:r>
              <w:rPr>
                <w:rFonts w:ascii="Times New Roman" w:hAnsi="Times New Roman"/>
                <w:bCs/>
                <w:sz w:val="24"/>
              </w:rPr>
              <w:t>Helmuth Schultz III</w:t>
            </w:r>
          </w:p>
        </w:tc>
        <w:tc>
          <w:tcPr>
            <w:tcW w:w="1530" w:type="dxa"/>
          </w:tcPr>
          <w:p w:rsidR="00D05F08" w:rsidRDefault="00C96C4B" w:rsidP="00522382">
            <w:pPr>
              <w:rPr>
                <w:rFonts w:ascii="Times New Roman" w:hAnsi="Times New Roman"/>
                <w:sz w:val="24"/>
              </w:rPr>
            </w:pPr>
            <w:r>
              <w:rPr>
                <w:rFonts w:ascii="Times New Roman" w:hAnsi="Times New Roman"/>
                <w:sz w:val="24"/>
              </w:rPr>
              <w:t>HWS</w:t>
            </w:r>
            <w:r w:rsidR="002170E0">
              <w:rPr>
                <w:rFonts w:ascii="Times New Roman" w:hAnsi="Times New Roman"/>
                <w:sz w:val="24"/>
              </w:rPr>
              <w:t>-1</w:t>
            </w:r>
          </w:p>
        </w:tc>
        <w:tc>
          <w:tcPr>
            <w:tcW w:w="4950" w:type="dxa"/>
          </w:tcPr>
          <w:p w:rsidR="00D05F08" w:rsidRDefault="00C96C4B" w:rsidP="00522382">
            <w:pPr>
              <w:rPr>
                <w:rFonts w:ascii="Times New Roman" w:hAnsi="Times New Roman"/>
                <w:sz w:val="24"/>
              </w:rPr>
            </w:pPr>
            <w:r>
              <w:rPr>
                <w:rFonts w:ascii="Times New Roman" w:hAnsi="Times New Roman"/>
                <w:sz w:val="24"/>
              </w:rPr>
              <w:t>Qualifications of Helmuth W. Schultz, III</w:t>
            </w:r>
          </w:p>
        </w:tc>
      </w:tr>
      <w:tr w:rsidR="002170E0" w:rsidRPr="00275B80" w:rsidTr="000979F1">
        <w:tc>
          <w:tcPr>
            <w:tcW w:w="2790" w:type="dxa"/>
          </w:tcPr>
          <w:p w:rsidR="002170E0" w:rsidRDefault="00C96C4B" w:rsidP="00C96C4B">
            <w:pPr>
              <w:rPr>
                <w:rFonts w:ascii="Times New Roman" w:hAnsi="Times New Roman"/>
                <w:sz w:val="24"/>
              </w:rPr>
            </w:pPr>
            <w:r>
              <w:rPr>
                <w:rFonts w:ascii="Times New Roman" w:hAnsi="Times New Roman"/>
                <w:bCs/>
                <w:sz w:val="24"/>
              </w:rPr>
              <w:t>Helmuth Schultz III</w:t>
            </w:r>
          </w:p>
        </w:tc>
        <w:tc>
          <w:tcPr>
            <w:tcW w:w="1530" w:type="dxa"/>
          </w:tcPr>
          <w:p w:rsidR="002170E0" w:rsidRDefault="00C96C4B" w:rsidP="00522382">
            <w:pPr>
              <w:rPr>
                <w:rFonts w:ascii="Times New Roman" w:hAnsi="Times New Roman"/>
                <w:sz w:val="24"/>
              </w:rPr>
            </w:pPr>
            <w:r>
              <w:rPr>
                <w:rFonts w:ascii="Times New Roman" w:hAnsi="Times New Roman"/>
                <w:sz w:val="24"/>
              </w:rPr>
              <w:t>HWS</w:t>
            </w:r>
            <w:r w:rsidR="002170E0">
              <w:rPr>
                <w:rFonts w:ascii="Times New Roman" w:hAnsi="Times New Roman"/>
                <w:sz w:val="24"/>
              </w:rPr>
              <w:t>-2</w:t>
            </w:r>
          </w:p>
        </w:tc>
        <w:tc>
          <w:tcPr>
            <w:tcW w:w="4950" w:type="dxa"/>
          </w:tcPr>
          <w:p w:rsidR="002170E0" w:rsidRDefault="00383B98" w:rsidP="00522382">
            <w:pPr>
              <w:rPr>
                <w:rFonts w:ascii="Times New Roman" w:hAnsi="Times New Roman"/>
                <w:sz w:val="24"/>
              </w:rPr>
            </w:pPr>
            <w:r>
              <w:rPr>
                <w:rFonts w:ascii="Times New Roman" w:hAnsi="Times New Roman"/>
                <w:sz w:val="24"/>
              </w:rPr>
              <w:t>NARUC USOA for Class A Water Utilities</w:t>
            </w:r>
          </w:p>
        </w:tc>
      </w:tr>
      <w:tr w:rsidR="00A3692F" w:rsidRPr="00275B80" w:rsidTr="000979F1">
        <w:tc>
          <w:tcPr>
            <w:tcW w:w="2790" w:type="dxa"/>
          </w:tcPr>
          <w:p w:rsidR="00A3692F" w:rsidRPr="00275B80" w:rsidRDefault="00C96C4B" w:rsidP="00C96C4B">
            <w:pPr>
              <w:rPr>
                <w:rFonts w:ascii="Times New Roman" w:hAnsi="Times New Roman"/>
                <w:sz w:val="24"/>
              </w:rPr>
            </w:pPr>
            <w:r>
              <w:rPr>
                <w:rFonts w:ascii="Times New Roman" w:hAnsi="Times New Roman"/>
                <w:bCs/>
                <w:sz w:val="24"/>
              </w:rPr>
              <w:t>Helmuth Schultz III</w:t>
            </w:r>
          </w:p>
        </w:tc>
        <w:tc>
          <w:tcPr>
            <w:tcW w:w="1530" w:type="dxa"/>
          </w:tcPr>
          <w:p w:rsidR="00A3692F" w:rsidRPr="00275B80" w:rsidRDefault="00383B98" w:rsidP="00383B98">
            <w:pPr>
              <w:rPr>
                <w:rFonts w:ascii="Times New Roman" w:hAnsi="Times New Roman"/>
                <w:sz w:val="24"/>
              </w:rPr>
            </w:pPr>
            <w:r>
              <w:rPr>
                <w:rFonts w:ascii="Times New Roman" w:hAnsi="Times New Roman"/>
                <w:sz w:val="24"/>
              </w:rPr>
              <w:t>HWS-3</w:t>
            </w:r>
          </w:p>
        </w:tc>
        <w:tc>
          <w:tcPr>
            <w:tcW w:w="4950" w:type="dxa"/>
          </w:tcPr>
          <w:p w:rsidR="00A3692F" w:rsidRPr="00275B80" w:rsidRDefault="00383B98" w:rsidP="00522382">
            <w:pPr>
              <w:rPr>
                <w:rFonts w:ascii="Times New Roman" w:hAnsi="Times New Roman"/>
                <w:sz w:val="24"/>
              </w:rPr>
            </w:pPr>
            <w:r>
              <w:rPr>
                <w:rFonts w:ascii="Times New Roman" w:hAnsi="Times New Roman"/>
                <w:sz w:val="24"/>
              </w:rPr>
              <w:t>Response to Staff Audit Request No. 9</w:t>
            </w:r>
          </w:p>
        </w:tc>
      </w:tr>
      <w:tr w:rsidR="00A3692F" w:rsidRPr="00275B80" w:rsidTr="000979F1">
        <w:tc>
          <w:tcPr>
            <w:tcW w:w="2790" w:type="dxa"/>
          </w:tcPr>
          <w:p w:rsidR="00A3692F" w:rsidRDefault="00C96C4B" w:rsidP="00C96C4B">
            <w:pPr>
              <w:rPr>
                <w:rFonts w:ascii="Times New Roman" w:hAnsi="Times New Roman"/>
                <w:sz w:val="24"/>
              </w:rPr>
            </w:pPr>
            <w:r>
              <w:rPr>
                <w:rFonts w:ascii="Times New Roman" w:hAnsi="Times New Roman"/>
                <w:bCs/>
                <w:sz w:val="24"/>
              </w:rPr>
              <w:t>Helmuth Schultz III</w:t>
            </w:r>
          </w:p>
        </w:tc>
        <w:tc>
          <w:tcPr>
            <w:tcW w:w="1530" w:type="dxa"/>
          </w:tcPr>
          <w:p w:rsidR="00A3692F" w:rsidRDefault="00383B98" w:rsidP="00522382">
            <w:pPr>
              <w:rPr>
                <w:rFonts w:ascii="Times New Roman" w:hAnsi="Times New Roman"/>
                <w:sz w:val="24"/>
              </w:rPr>
            </w:pPr>
            <w:r>
              <w:rPr>
                <w:rFonts w:ascii="Times New Roman" w:hAnsi="Times New Roman"/>
                <w:sz w:val="24"/>
              </w:rPr>
              <w:t>HWS-4</w:t>
            </w:r>
          </w:p>
        </w:tc>
        <w:tc>
          <w:tcPr>
            <w:tcW w:w="4950" w:type="dxa"/>
          </w:tcPr>
          <w:p w:rsidR="00A3692F" w:rsidRDefault="00383B98" w:rsidP="00522382">
            <w:pPr>
              <w:rPr>
                <w:rFonts w:ascii="Times New Roman" w:hAnsi="Times New Roman"/>
                <w:sz w:val="24"/>
              </w:rPr>
            </w:pPr>
            <w:r>
              <w:rPr>
                <w:rFonts w:ascii="Times New Roman" w:hAnsi="Times New Roman"/>
                <w:sz w:val="24"/>
              </w:rPr>
              <w:t>Staff Reclassification Summarized</w:t>
            </w:r>
          </w:p>
        </w:tc>
      </w:tr>
      <w:tr w:rsidR="00A3692F" w:rsidRPr="00275B80" w:rsidTr="000979F1">
        <w:tc>
          <w:tcPr>
            <w:tcW w:w="2790" w:type="dxa"/>
          </w:tcPr>
          <w:p w:rsidR="00A3692F" w:rsidRDefault="00C96C4B" w:rsidP="004F11C3">
            <w:pPr>
              <w:rPr>
                <w:rFonts w:ascii="Times New Roman" w:hAnsi="Times New Roman"/>
                <w:sz w:val="24"/>
              </w:rPr>
            </w:pPr>
            <w:r>
              <w:rPr>
                <w:rFonts w:ascii="Times New Roman" w:hAnsi="Times New Roman"/>
                <w:bCs/>
                <w:sz w:val="24"/>
              </w:rPr>
              <w:t>Helmuth Schultz III</w:t>
            </w:r>
          </w:p>
        </w:tc>
        <w:tc>
          <w:tcPr>
            <w:tcW w:w="1530" w:type="dxa"/>
          </w:tcPr>
          <w:p w:rsidR="00A3692F" w:rsidRDefault="00383B98" w:rsidP="00383B98">
            <w:pPr>
              <w:rPr>
                <w:rFonts w:ascii="Times New Roman" w:hAnsi="Times New Roman"/>
                <w:sz w:val="24"/>
              </w:rPr>
            </w:pPr>
            <w:r>
              <w:rPr>
                <w:rFonts w:ascii="Times New Roman" w:hAnsi="Times New Roman"/>
                <w:sz w:val="24"/>
              </w:rPr>
              <w:t>HWS-5</w:t>
            </w:r>
          </w:p>
        </w:tc>
        <w:tc>
          <w:tcPr>
            <w:tcW w:w="4950" w:type="dxa"/>
          </w:tcPr>
          <w:p w:rsidR="00A3692F" w:rsidRDefault="00383B98" w:rsidP="00522382">
            <w:pPr>
              <w:rPr>
                <w:rFonts w:ascii="Times New Roman" w:hAnsi="Times New Roman"/>
                <w:sz w:val="24"/>
              </w:rPr>
            </w:pPr>
            <w:r>
              <w:rPr>
                <w:rFonts w:ascii="Times New Roman" w:hAnsi="Times New Roman"/>
                <w:sz w:val="24"/>
              </w:rPr>
              <w:t>Deposition Transcript:  Gene Brown</w:t>
            </w:r>
          </w:p>
        </w:tc>
      </w:tr>
      <w:tr w:rsidR="00A3692F" w:rsidRPr="00275B80" w:rsidTr="000979F1">
        <w:tc>
          <w:tcPr>
            <w:tcW w:w="2790" w:type="dxa"/>
          </w:tcPr>
          <w:p w:rsidR="00A3692F" w:rsidRDefault="00C96C4B" w:rsidP="004F11C3">
            <w:pPr>
              <w:rPr>
                <w:rFonts w:ascii="Times New Roman" w:hAnsi="Times New Roman"/>
                <w:sz w:val="24"/>
              </w:rPr>
            </w:pPr>
            <w:r>
              <w:rPr>
                <w:rFonts w:ascii="Times New Roman" w:hAnsi="Times New Roman"/>
                <w:bCs/>
                <w:sz w:val="24"/>
              </w:rPr>
              <w:t>Helmuth Schultz III</w:t>
            </w:r>
          </w:p>
        </w:tc>
        <w:tc>
          <w:tcPr>
            <w:tcW w:w="1530" w:type="dxa"/>
          </w:tcPr>
          <w:p w:rsidR="00A3692F" w:rsidRDefault="00383B98" w:rsidP="00383B98">
            <w:pPr>
              <w:rPr>
                <w:rFonts w:ascii="Times New Roman" w:hAnsi="Times New Roman"/>
                <w:sz w:val="24"/>
              </w:rPr>
            </w:pPr>
            <w:r>
              <w:rPr>
                <w:rFonts w:ascii="Times New Roman" w:hAnsi="Times New Roman"/>
                <w:sz w:val="24"/>
              </w:rPr>
              <w:t>HWS-6</w:t>
            </w:r>
          </w:p>
        </w:tc>
        <w:tc>
          <w:tcPr>
            <w:tcW w:w="4950" w:type="dxa"/>
          </w:tcPr>
          <w:p w:rsidR="00A3692F" w:rsidRDefault="00383B98" w:rsidP="00522382">
            <w:pPr>
              <w:rPr>
                <w:rFonts w:ascii="Times New Roman" w:hAnsi="Times New Roman"/>
                <w:sz w:val="24"/>
              </w:rPr>
            </w:pPr>
            <w:r>
              <w:rPr>
                <w:rFonts w:ascii="Times New Roman" w:hAnsi="Times New Roman"/>
                <w:sz w:val="24"/>
              </w:rPr>
              <w:t>Staff Audit Workpapers – Account 123</w:t>
            </w:r>
          </w:p>
        </w:tc>
      </w:tr>
      <w:tr w:rsidR="00A3692F" w:rsidRPr="00275B80" w:rsidTr="000979F1">
        <w:tc>
          <w:tcPr>
            <w:tcW w:w="2790" w:type="dxa"/>
          </w:tcPr>
          <w:p w:rsidR="00A3692F" w:rsidRDefault="00C96C4B" w:rsidP="004F11C3">
            <w:pPr>
              <w:rPr>
                <w:rFonts w:ascii="Times New Roman" w:hAnsi="Times New Roman"/>
                <w:sz w:val="24"/>
              </w:rPr>
            </w:pPr>
            <w:r>
              <w:rPr>
                <w:rFonts w:ascii="Times New Roman" w:hAnsi="Times New Roman"/>
                <w:bCs/>
                <w:sz w:val="24"/>
              </w:rPr>
              <w:t>Helmuth Schultz III</w:t>
            </w:r>
          </w:p>
        </w:tc>
        <w:tc>
          <w:tcPr>
            <w:tcW w:w="1530" w:type="dxa"/>
          </w:tcPr>
          <w:p w:rsidR="00A3692F" w:rsidRDefault="00383B98" w:rsidP="00383B98">
            <w:pPr>
              <w:rPr>
                <w:rFonts w:ascii="Times New Roman" w:hAnsi="Times New Roman"/>
                <w:sz w:val="24"/>
              </w:rPr>
            </w:pPr>
            <w:r>
              <w:rPr>
                <w:rFonts w:ascii="Times New Roman" w:hAnsi="Times New Roman"/>
                <w:sz w:val="24"/>
              </w:rPr>
              <w:t>HWS-7</w:t>
            </w:r>
          </w:p>
        </w:tc>
        <w:tc>
          <w:tcPr>
            <w:tcW w:w="4950" w:type="dxa"/>
          </w:tcPr>
          <w:p w:rsidR="00A3692F" w:rsidRDefault="00383B98" w:rsidP="004A7C41">
            <w:pPr>
              <w:rPr>
                <w:rFonts w:ascii="Times New Roman" w:hAnsi="Times New Roman"/>
                <w:sz w:val="24"/>
              </w:rPr>
            </w:pPr>
            <w:r>
              <w:rPr>
                <w:rFonts w:ascii="Times New Roman" w:hAnsi="Times New Roman"/>
                <w:sz w:val="24"/>
              </w:rPr>
              <w:t xml:space="preserve">Response to Staff Audit Request No. 27 – </w:t>
            </w:r>
            <w:r w:rsidR="004A7C41">
              <w:rPr>
                <w:rFonts w:ascii="Times New Roman" w:hAnsi="Times New Roman"/>
                <w:sz w:val="24"/>
              </w:rPr>
              <w:t xml:space="preserve">BMG </w:t>
            </w:r>
            <w:r>
              <w:rPr>
                <w:rFonts w:ascii="Times New Roman" w:hAnsi="Times New Roman"/>
                <w:sz w:val="24"/>
              </w:rPr>
              <w:t>Financial Statements</w:t>
            </w:r>
          </w:p>
        </w:tc>
      </w:tr>
      <w:tr w:rsidR="002170E0" w:rsidRPr="00275B80" w:rsidTr="000979F1">
        <w:tc>
          <w:tcPr>
            <w:tcW w:w="2790" w:type="dxa"/>
          </w:tcPr>
          <w:p w:rsidR="002170E0" w:rsidRDefault="00C96C4B" w:rsidP="00C36EA0">
            <w:pPr>
              <w:rPr>
                <w:rFonts w:ascii="Times New Roman" w:hAnsi="Times New Roman"/>
                <w:sz w:val="24"/>
              </w:rPr>
            </w:pPr>
            <w:r>
              <w:rPr>
                <w:rFonts w:ascii="Times New Roman" w:hAnsi="Times New Roman"/>
                <w:bCs/>
                <w:sz w:val="24"/>
              </w:rPr>
              <w:t>Helmuth Schultz III</w:t>
            </w:r>
          </w:p>
        </w:tc>
        <w:tc>
          <w:tcPr>
            <w:tcW w:w="1530" w:type="dxa"/>
          </w:tcPr>
          <w:p w:rsidR="002170E0" w:rsidRDefault="00383B98" w:rsidP="00383B98">
            <w:pPr>
              <w:rPr>
                <w:rFonts w:ascii="Times New Roman" w:hAnsi="Times New Roman"/>
                <w:sz w:val="24"/>
              </w:rPr>
            </w:pPr>
            <w:r>
              <w:rPr>
                <w:rFonts w:ascii="Times New Roman" w:hAnsi="Times New Roman"/>
                <w:sz w:val="24"/>
              </w:rPr>
              <w:t>HWS-8</w:t>
            </w:r>
          </w:p>
        </w:tc>
        <w:tc>
          <w:tcPr>
            <w:tcW w:w="4950" w:type="dxa"/>
          </w:tcPr>
          <w:p w:rsidR="002170E0" w:rsidRDefault="00383B98" w:rsidP="00C36EA0">
            <w:pPr>
              <w:rPr>
                <w:rFonts w:ascii="Times New Roman" w:hAnsi="Times New Roman"/>
                <w:sz w:val="24"/>
              </w:rPr>
            </w:pPr>
            <w:r>
              <w:rPr>
                <w:rFonts w:ascii="Times New Roman" w:hAnsi="Times New Roman"/>
                <w:sz w:val="24"/>
              </w:rPr>
              <w:t>CONFIDENTIAL – BMG Financials 2007-2011 – OPC POD 14</w:t>
            </w:r>
          </w:p>
        </w:tc>
      </w:tr>
      <w:tr w:rsidR="002170E0" w:rsidRPr="00275B80" w:rsidTr="000979F1">
        <w:tc>
          <w:tcPr>
            <w:tcW w:w="2790" w:type="dxa"/>
          </w:tcPr>
          <w:p w:rsidR="002170E0" w:rsidRDefault="00C96C4B" w:rsidP="00C36EA0">
            <w:pPr>
              <w:rPr>
                <w:rFonts w:ascii="Times New Roman" w:hAnsi="Times New Roman"/>
                <w:sz w:val="24"/>
              </w:rPr>
            </w:pPr>
            <w:r>
              <w:rPr>
                <w:rFonts w:ascii="Times New Roman" w:hAnsi="Times New Roman"/>
                <w:bCs/>
                <w:sz w:val="24"/>
              </w:rPr>
              <w:t>Helmuth Schultz III</w:t>
            </w:r>
          </w:p>
        </w:tc>
        <w:tc>
          <w:tcPr>
            <w:tcW w:w="1530" w:type="dxa"/>
          </w:tcPr>
          <w:p w:rsidR="002170E0" w:rsidRDefault="00383B98" w:rsidP="00383B98">
            <w:pPr>
              <w:rPr>
                <w:rFonts w:ascii="Times New Roman" w:hAnsi="Times New Roman"/>
                <w:sz w:val="24"/>
              </w:rPr>
            </w:pPr>
            <w:r>
              <w:rPr>
                <w:rFonts w:ascii="Times New Roman" w:hAnsi="Times New Roman"/>
                <w:sz w:val="24"/>
              </w:rPr>
              <w:t>HWS -9</w:t>
            </w:r>
          </w:p>
        </w:tc>
        <w:tc>
          <w:tcPr>
            <w:tcW w:w="4950" w:type="dxa"/>
          </w:tcPr>
          <w:p w:rsidR="002170E0" w:rsidRDefault="00383B98" w:rsidP="00C36EA0">
            <w:pPr>
              <w:rPr>
                <w:rFonts w:ascii="Times New Roman" w:hAnsi="Times New Roman"/>
                <w:sz w:val="24"/>
              </w:rPr>
            </w:pPr>
            <w:r>
              <w:rPr>
                <w:rFonts w:ascii="Times New Roman" w:hAnsi="Times New Roman"/>
                <w:sz w:val="24"/>
              </w:rPr>
              <w:t>August 1, 2012 Gene Brown Letter</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DF385D" w:rsidP="00C36EA0">
            <w:pPr>
              <w:rPr>
                <w:rFonts w:ascii="Times New Roman" w:hAnsi="Times New Roman"/>
                <w:sz w:val="24"/>
              </w:rPr>
            </w:pPr>
            <w:r>
              <w:rPr>
                <w:rFonts w:ascii="Times New Roman" w:hAnsi="Times New Roman"/>
                <w:sz w:val="24"/>
              </w:rPr>
              <w:t>HWS-10</w:t>
            </w:r>
          </w:p>
        </w:tc>
        <w:tc>
          <w:tcPr>
            <w:tcW w:w="4950" w:type="dxa"/>
          </w:tcPr>
          <w:p w:rsidR="00C96C4B" w:rsidRDefault="00DF385D" w:rsidP="00C36EA0">
            <w:pPr>
              <w:rPr>
                <w:rFonts w:ascii="Times New Roman" w:hAnsi="Times New Roman"/>
                <w:sz w:val="24"/>
              </w:rPr>
            </w:pPr>
            <w:r>
              <w:rPr>
                <w:rFonts w:ascii="Times New Roman" w:hAnsi="Times New Roman"/>
                <w:sz w:val="24"/>
              </w:rPr>
              <w:t>Transcript of August 2, 2012 Agenda Conference, Excerpts</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DF385D" w:rsidP="00C36EA0">
            <w:pPr>
              <w:rPr>
                <w:rFonts w:ascii="Times New Roman" w:hAnsi="Times New Roman"/>
                <w:sz w:val="24"/>
              </w:rPr>
            </w:pPr>
            <w:r>
              <w:rPr>
                <w:rFonts w:ascii="Times New Roman" w:hAnsi="Times New Roman"/>
                <w:sz w:val="24"/>
              </w:rPr>
              <w:t>HWS-11</w:t>
            </w:r>
          </w:p>
        </w:tc>
        <w:tc>
          <w:tcPr>
            <w:tcW w:w="4950" w:type="dxa"/>
          </w:tcPr>
          <w:p w:rsidR="00C96C4B" w:rsidRDefault="00DF385D" w:rsidP="00C36EA0">
            <w:pPr>
              <w:rPr>
                <w:rFonts w:ascii="Times New Roman" w:hAnsi="Times New Roman"/>
                <w:sz w:val="24"/>
              </w:rPr>
            </w:pPr>
            <w:r>
              <w:rPr>
                <w:rFonts w:ascii="Times New Roman" w:hAnsi="Times New Roman"/>
                <w:sz w:val="24"/>
              </w:rPr>
              <w:t>Commission Staff Audit Report Cash Flow Audit</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DF385D" w:rsidP="00C36EA0">
            <w:pPr>
              <w:rPr>
                <w:rFonts w:ascii="Times New Roman" w:hAnsi="Times New Roman"/>
                <w:sz w:val="24"/>
              </w:rPr>
            </w:pPr>
            <w:r>
              <w:rPr>
                <w:rFonts w:ascii="Times New Roman" w:hAnsi="Times New Roman"/>
                <w:sz w:val="24"/>
              </w:rPr>
              <w:t>HWS-12</w:t>
            </w:r>
          </w:p>
        </w:tc>
        <w:tc>
          <w:tcPr>
            <w:tcW w:w="4950" w:type="dxa"/>
          </w:tcPr>
          <w:p w:rsidR="00C96C4B" w:rsidRDefault="00DF385D" w:rsidP="00C36EA0">
            <w:pPr>
              <w:rPr>
                <w:rFonts w:ascii="Times New Roman" w:hAnsi="Times New Roman"/>
                <w:sz w:val="24"/>
              </w:rPr>
            </w:pPr>
            <w:r>
              <w:rPr>
                <w:rFonts w:ascii="Times New Roman" w:hAnsi="Times New Roman"/>
                <w:sz w:val="24"/>
              </w:rPr>
              <w:t>Staff Audit Workpapers Response to OPC POD 5</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DF385D" w:rsidP="00C36EA0">
            <w:pPr>
              <w:rPr>
                <w:rFonts w:ascii="Times New Roman" w:hAnsi="Times New Roman"/>
                <w:sz w:val="24"/>
              </w:rPr>
            </w:pPr>
            <w:r>
              <w:rPr>
                <w:rFonts w:ascii="Times New Roman" w:hAnsi="Times New Roman"/>
                <w:sz w:val="24"/>
              </w:rPr>
              <w:t>HWS-13</w:t>
            </w:r>
          </w:p>
        </w:tc>
        <w:tc>
          <w:tcPr>
            <w:tcW w:w="4950" w:type="dxa"/>
          </w:tcPr>
          <w:p w:rsidR="00C96C4B" w:rsidRDefault="00DF385D" w:rsidP="00C36EA0">
            <w:pPr>
              <w:rPr>
                <w:rFonts w:ascii="Times New Roman" w:hAnsi="Times New Roman"/>
                <w:sz w:val="24"/>
              </w:rPr>
            </w:pPr>
            <w:r>
              <w:rPr>
                <w:rFonts w:ascii="Times New Roman" w:hAnsi="Times New Roman"/>
                <w:sz w:val="24"/>
              </w:rPr>
              <w:t>Audit Workpapers Identified for SMC Investment Properties</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DF385D" w:rsidP="00C36EA0">
            <w:pPr>
              <w:rPr>
                <w:rFonts w:ascii="Times New Roman" w:hAnsi="Times New Roman"/>
                <w:sz w:val="24"/>
              </w:rPr>
            </w:pPr>
            <w:r>
              <w:rPr>
                <w:rFonts w:ascii="Times New Roman" w:hAnsi="Times New Roman"/>
                <w:sz w:val="24"/>
              </w:rPr>
              <w:t>HWS-14</w:t>
            </w:r>
          </w:p>
        </w:tc>
        <w:tc>
          <w:tcPr>
            <w:tcW w:w="4950" w:type="dxa"/>
          </w:tcPr>
          <w:p w:rsidR="00C96C4B" w:rsidRDefault="00DF385D" w:rsidP="00C36EA0">
            <w:pPr>
              <w:rPr>
                <w:rFonts w:ascii="Times New Roman" w:hAnsi="Times New Roman"/>
                <w:sz w:val="24"/>
              </w:rPr>
            </w:pPr>
            <w:r>
              <w:rPr>
                <w:rFonts w:ascii="Times New Roman" w:hAnsi="Times New Roman"/>
                <w:sz w:val="24"/>
              </w:rPr>
              <w:t>Deposition Transcript: Bob Mitchell</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DF385D" w:rsidP="00C36EA0">
            <w:pPr>
              <w:rPr>
                <w:rFonts w:ascii="Times New Roman" w:hAnsi="Times New Roman"/>
                <w:sz w:val="24"/>
              </w:rPr>
            </w:pPr>
            <w:r>
              <w:rPr>
                <w:rFonts w:ascii="Times New Roman" w:hAnsi="Times New Roman"/>
                <w:sz w:val="24"/>
              </w:rPr>
              <w:t>HWS-15</w:t>
            </w:r>
          </w:p>
        </w:tc>
        <w:tc>
          <w:tcPr>
            <w:tcW w:w="4950" w:type="dxa"/>
          </w:tcPr>
          <w:p w:rsidR="00C96C4B" w:rsidRDefault="00C56604" w:rsidP="00C36EA0">
            <w:pPr>
              <w:rPr>
                <w:rFonts w:ascii="Times New Roman" w:hAnsi="Times New Roman"/>
                <w:sz w:val="24"/>
              </w:rPr>
            </w:pPr>
            <w:r>
              <w:rPr>
                <w:rFonts w:ascii="Times New Roman" w:hAnsi="Times New Roman"/>
                <w:sz w:val="24"/>
              </w:rPr>
              <w:t>Amendment 6 to DEP Loan Agreement</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HWS-16</w:t>
            </w:r>
          </w:p>
        </w:tc>
        <w:tc>
          <w:tcPr>
            <w:tcW w:w="4950" w:type="dxa"/>
          </w:tcPr>
          <w:p w:rsidR="00C96C4B" w:rsidRDefault="00C56604" w:rsidP="00C36EA0">
            <w:pPr>
              <w:rPr>
                <w:rFonts w:ascii="Times New Roman" w:hAnsi="Times New Roman"/>
                <w:sz w:val="24"/>
              </w:rPr>
            </w:pPr>
            <w:r>
              <w:rPr>
                <w:rFonts w:ascii="Times New Roman" w:hAnsi="Times New Roman"/>
                <w:sz w:val="24"/>
              </w:rPr>
              <w:t>Auditing Standards Section 341:  Going Concerns</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HWS-17</w:t>
            </w:r>
          </w:p>
        </w:tc>
        <w:tc>
          <w:tcPr>
            <w:tcW w:w="4950" w:type="dxa"/>
          </w:tcPr>
          <w:p w:rsidR="00C56604" w:rsidRDefault="00C56604" w:rsidP="00C56604">
            <w:pPr>
              <w:rPr>
                <w:rFonts w:ascii="Times New Roman" w:hAnsi="Times New Roman"/>
                <w:sz w:val="24"/>
              </w:rPr>
            </w:pPr>
            <w:r>
              <w:rPr>
                <w:rFonts w:ascii="Times New Roman" w:hAnsi="Times New Roman"/>
                <w:sz w:val="24"/>
              </w:rPr>
              <w:t>2010 WMSI Annual Report</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HWS-18</w:t>
            </w:r>
          </w:p>
        </w:tc>
        <w:tc>
          <w:tcPr>
            <w:tcW w:w="4950" w:type="dxa"/>
          </w:tcPr>
          <w:p w:rsidR="00C96C4B" w:rsidRDefault="00BD0C1B" w:rsidP="00C36EA0">
            <w:pPr>
              <w:rPr>
                <w:rFonts w:ascii="Times New Roman" w:hAnsi="Times New Roman"/>
                <w:sz w:val="24"/>
              </w:rPr>
            </w:pPr>
            <w:r>
              <w:rPr>
                <w:rFonts w:ascii="Times New Roman" w:hAnsi="Times New Roman"/>
                <w:sz w:val="24"/>
              </w:rPr>
              <w:t>CONFIDENTIAL</w:t>
            </w:r>
            <w:r w:rsidR="00C56604">
              <w:rPr>
                <w:rFonts w:ascii="Times New Roman" w:hAnsi="Times New Roman"/>
                <w:sz w:val="24"/>
              </w:rPr>
              <w:t xml:space="preserve"> – WMSI Financial Statements-Response to OPC POD 4</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HSW-19</w:t>
            </w:r>
          </w:p>
        </w:tc>
        <w:tc>
          <w:tcPr>
            <w:tcW w:w="4950" w:type="dxa"/>
          </w:tcPr>
          <w:p w:rsidR="00C96C4B" w:rsidRDefault="00C56604" w:rsidP="00C36EA0">
            <w:pPr>
              <w:rPr>
                <w:rFonts w:ascii="Times New Roman" w:hAnsi="Times New Roman"/>
                <w:sz w:val="24"/>
              </w:rPr>
            </w:pPr>
            <w:r>
              <w:rPr>
                <w:rFonts w:ascii="Times New Roman" w:hAnsi="Times New Roman"/>
                <w:sz w:val="24"/>
              </w:rPr>
              <w:t>Commission Staff July 20, 2012 PAA recommendation:  Issue 15</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HSW-20</w:t>
            </w:r>
          </w:p>
        </w:tc>
        <w:tc>
          <w:tcPr>
            <w:tcW w:w="4950" w:type="dxa"/>
          </w:tcPr>
          <w:p w:rsidR="00C96C4B" w:rsidRDefault="00C56604" w:rsidP="00C36EA0">
            <w:pPr>
              <w:rPr>
                <w:rFonts w:ascii="Times New Roman" w:hAnsi="Times New Roman"/>
                <w:sz w:val="24"/>
              </w:rPr>
            </w:pPr>
            <w:r>
              <w:rPr>
                <w:rFonts w:ascii="Times New Roman" w:hAnsi="Times New Roman"/>
                <w:sz w:val="24"/>
              </w:rPr>
              <w:t>BMG General Ledgers – Response to OPC POD 13</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HSW-21</w:t>
            </w:r>
          </w:p>
        </w:tc>
        <w:tc>
          <w:tcPr>
            <w:tcW w:w="4950" w:type="dxa"/>
          </w:tcPr>
          <w:p w:rsidR="00C96C4B" w:rsidRDefault="00C56604" w:rsidP="00C36EA0">
            <w:pPr>
              <w:rPr>
                <w:rFonts w:ascii="Times New Roman" w:hAnsi="Times New Roman"/>
                <w:sz w:val="24"/>
              </w:rPr>
            </w:pPr>
            <w:r>
              <w:rPr>
                <w:rFonts w:ascii="Times New Roman" w:hAnsi="Times New Roman"/>
                <w:sz w:val="24"/>
              </w:rPr>
              <w:t>CONFIDENTIAL - $40,000 Reclassification – WMSI General Ledger</w:t>
            </w:r>
          </w:p>
        </w:tc>
      </w:tr>
      <w:tr w:rsidR="00C96C4B" w:rsidRPr="00275B80" w:rsidTr="000979F1">
        <w:tc>
          <w:tcPr>
            <w:tcW w:w="2790" w:type="dxa"/>
          </w:tcPr>
          <w:p w:rsidR="00C96C4B" w:rsidRDefault="00383B98"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HSW-22</w:t>
            </w:r>
          </w:p>
        </w:tc>
        <w:tc>
          <w:tcPr>
            <w:tcW w:w="4950" w:type="dxa"/>
          </w:tcPr>
          <w:p w:rsidR="00C96C4B" w:rsidRDefault="00C56604" w:rsidP="00C36EA0">
            <w:pPr>
              <w:rPr>
                <w:rFonts w:ascii="Times New Roman" w:hAnsi="Times New Roman"/>
                <w:sz w:val="24"/>
              </w:rPr>
            </w:pPr>
            <w:r>
              <w:rPr>
                <w:rFonts w:ascii="Times New Roman" w:hAnsi="Times New Roman"/>
                <w:sz w:val="24"/>
              </w:rPr>
              <w:t>Nature of WMSI Financial Sources and Uses Document</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HSW-23</w:t>
            </w:r>
          </w:p>
        </w:tc>
        <w:tc>
          <w:tcPr>
            <w:tcW w:w="4950" w:type="dxa"/>
          </w:tcPr>
          <w:p w:rsidR="00C96C4B" w:rsidRDefault="00C56604" w:rsidP="00C36EA0">
            <w:pPr>
              <w:rPr>
                <w:rFonts w:ascii="Times New Roman" w:hAnsi="Times New Roman"/>
                <w:sz w:val="24"/>
              </w:rPr>
            </w:pPr>
            <w:r>
              <w:rPr>
                <w:rFonts w:ascii="Times New Roman" w:hAnsi="Times New Roman"/>
                <w:sz w:val="24"/>
              </w:rPr>
              <w:t>Staff Audit Report:  Rate Case, dated March 12, 2012</w:t>
            </w:r>
          </w:p>
        </w:tc>
      </w:tr>
      <w:tr w:rsidR="00F00AAF" w:rsidRPr="00275B80" w:rsidTr="000979F1">
        <w:tc>
          <w:tcPr>
            <w:tcW w:w="2790" w:type="dxa"/>
          </w:tcPr>
          <w:p w:rsidR="00F00AAF"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F00AAF" w:rsidRDefault="00C56604" w:rsidP="00C36EA0">
            <w:pPr>
              <w:rPr>
                <w:rFonts w:ascii="Times New Roman" w:hAnsi="Times New Roman"/>
                <w:sz w:val="24"/>
              </w:rPr>
            </w:pPr>
            <w:r>
              <w:rPr>
                <w:rFonts w:ascii="Times New Roman" w:hAnsi="Times New Roman"/>
                <w:sz w:val="24"/>
              </w:rPr>
              <w:t>HSW-24</w:t>
            </w:r>
          </w:p>
        </w:tc>
        <w:tc>
          <w:tcPr>
            <w:tcW w:w="4950" w:type="dxa"/>
          </w:tcPr>
          <w:p w:rsidR="00F00AAF" w:rsidRDefault="00C56604" w:rsidP="00C36EA0">
            <w:pPr>
              <w:rPr>
                <w:rFonts w:ascii="Times New Roman" w:hAnsi="Times New Roman"/>
                <w:sz w:val="24"/>
              </w:rPr>
            </w:pPr>
            <w:r>
              <w:rPr>
                <w:rFonts w:ascii="Times New Roman" w:hAnsi="Times New Roman"/>
                <w:sz w:val="24"/>
              </w:rPr>
              <w:t>Requests for RAF Payment Plans</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HSW-25</w:t>
            </w:r>
          </w:p>
        </w:tc>
        <w:tc>
          <w:tcPr>
            <w:tcW w:w="4950" w:type="dxa"/>
          </w:tcPr>
          <w:p w:rsidR="00C96C4B" w:rsidRDefault="00C56604" w:rsidP="00C36EA0">
            <w:pPr>
              <w:rPr>
                <w:rFonts w:ascii="Times New Roman" w:hAnsi="Times New Roman"/>
                <w:sz w:val="24"/>
              </w:rPr>
            </w:pPr>
            <w:r>
              <w:rPr>
                <w:rFonts w:ascii="Times New Roman" w:hAnsi="Times New Roman"/>
                <w:sz w:val="24"/>
              </w:rPr>
              <w:t>Objections to Appraisals of BMG &amp; Compelled Response OPC POD 12</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C56604" w:rsidP="00C36EA0">
            <w:pPr>
              <w:rPr>
                <w:rFonts w:ascii="Times New Roman" w:hAnsi="Times New Roman"/>
                <w:sz w:val="24"/>
              </w:rPr>
            </w:pPr>
            <w:r>
              <w:rPr>
                <w:rFonts w:ascii="Times New Roman" w:hAnsi="Times New Roman"/>
                <w:sz w:val="24"/>
              </w:rPr>
              <w:t>HSW-26</w:t>
            </w:r>
          </w:p>
        </w:tc>
        <w:tc>
          <w:tcPr>
            <w:tcW w:w="4950" w:type="dxa"/>
          </w:tcPr>
          <w:p w:rsidR="00C96C4B" w:rsidRDefault="008844EA" w:rsidP="00C36EA0">
            <w:pPr>
              <w:rPr>
                <w:rFonts w:ascii="Times New Roman" w:hAnsi="Times New Roman"/>
                <w:sz w:val="24"/>
              </w:rPr>
            </w:pPr>
            <w:r>
              <w:rPr>
                <w:rFonts w:ascii="Times New Roman" w:hAnsi="Times New Roman"/>
                <w:sz w:val="24"/>
              </w:rPr>
              <w:t>DEP Loan &amp; Amendments 1 through 6</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8844EA" w:rsidP="00C36EA0">
            <w:pPr>
              <w:rPr>
                <w:rFonts w:ascii="Times New Roman" w:hAnsi="Times New Roman"/>
                <w:sz w:val="24"/>
              </w:rPr>
            </w:pPr>
            <w:r>
              <w:rPr>
                <w:rFonts w:ascii="Times New Roman" w:hAnsi="Times New Roman"/>
                <w:sz w:val="24"/>
              </w:rPr>
              <w:t>HWS-27</w:t>
            </w:r>
          </w:p>
        </w:tc>
        <w:tc>
          <w:tcPr>
            <w:tcW w:w="4950" w:type="dxa"/>
          </w:tcPr>
          <w:p w:rsidR="00C96C4B" w:rsidRDefault="008844EA" w:rsidP="00C36EA0">
            <w:pPr>
              <w:rPr>
                <w:rFonts w:ascii="Times New Roman" w:hAnsi="Times New Roman"/>
                <w:sz w:val="24"/>
              </w:rPr>
            </w:pPr>
            <w:r>
              <w:rPr>
                <w:rFonts w:ascii="Times New Roman" w:hAnsi="Times New Roman"/>
                <w:sz w:val="24"/>
              </w:rPr>
              <w:t>Cash Flow Analysis of Damage Settlement</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lastRenderedPageBreak/>
              <w:t>Helmuth Schultz III</w:t>
            </w:r>
          </w:p>
        </w:tc>
        <w:tc>
          <w:tcPr>
            <w:tcW w:w="1530" w:type="dxa"/>
          </w:tcPr>
          <w:p w:rsidR="00C96C4B" w:rsidRDefault="008844EA" w:rsidP="00C36EA0">
            <w:pPr>
              <w:rPr>
                <w:rFonts w:ascii="Times New Roman" w:hAnsi="Times New Roman"/>
                <w:sz w:val="24"/>
              </w:rPr>
            </w:pPr>
            <w:r>
              <w:rPr>
                <w:rFonts w:ascii="Times New Roman" w:hAnsi="Times New Roman"/>
                <w:sz w:val="24"/>
              </w:rPr>
              <w:t>HWS-28</w:t>
            </w:r>
          </w:p>
        </w:tc>
        <w:tc>
          <w:tcPr>
            <w:tcW w:w="4950" w:type="dxa"/>
          </w:tcPr>
          <w:p w:rsidR="00C96C4B" w:rsidRDefault="008844EA" w:rsidP="00C36EA0">
            <w:pPr>
              <w:rPr>
                <w:rFonts w:ascii="Times New Roman" w:hAnsi="Times New Roman"/>
                <w:sz w:val="24"/>
              </w:rPr>
            </w:pPr>
            <w:r>
              <w:rPr>
                <w:rFonts w:ascii="Times New Roman" w:hAnsi="Times New Roman"/>
                <w:sz w:val="24"/>
              </w:rPr>
              <w:t>DEP Inquiry and WMSI Response</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8844EA" w:rsidP="00C36EA0">
            <w:pPr>
              <w:rPr>
                <w:rFonts w:ascii="Times New Roman" w:hAnsi="Times New Roman"/>
                <w:sz w:val="24"/>
              </w:rPr>
            </w:pPr>
            <w:r>
              <w:rPr>
                <w:rFonts w:ascii="Times New Roman" w:hAnsi="Times New Roman"/>
                <w:sz w:val="24"/>
              </w:rPr>
              <w:t>HSW-29</w:t>
            </w:r>
          </w:p>
        </w:tc>
        <w:tc>
          <w:tcPr>
            <w:tcW w:w="4950" w:type="dxa"/>
          </w:tcPr>
          <w:p w:rsidR="00C96C4B" w:rsidRDefault="008844EA" w:rsidP="00C36EA0">
            <w:pPr>
              <w:rPr>
                <w:rFonts w:ascii="Times New Roman" w:hAnsi="Times New Roman"/>
                <w:sz w:val="24"/>
              </w:rPr>
            </w:pPr>
            <w:r>
              <w:rPr>
                <w:rFonts w:ascii="Times New Roman" w:hAnsi="Times New Roman"/>
                <w:sz w:val="24"/>
              </w:rPr>
              <w:t>Gulf State Bank Reserve – 2006 General Ledger</w:t>
            </w:r>
          </w:p>
        </w:tc>
      </w:tr>
      <w:tr w:rsidR="00C96C4B" w:rsidRPr="00275B80" w:rsidTr="000979F1">
        <w:tc>
          <w:tcPr>
            <w:tcW w:w="2790" w:type="dxa"/>
          </w:tcPr>
          <w:p w:rsidR="00C96C4B" w:rsidRDefault="00F00AAF" w:rsidP="00C36EA0">
            <w:pPr>
              <w:rPr>
                <w:rFonts w:ascii="Times New Roman" w:hAnsi="Times New Roman"/>
                <w:bCs/>
                <w:sz w:val="24"/>
              </w:rPr>
            </w:pPr>
            <w:r>
              <w:rPr>
                <w:rFonts w:ascii="Times New Roman" w:hAnsi="Times New Roman"/>
                <w:bCs/>
                <w:sz w:val="24"/>
              </w:rPr>
              <w:t>Helmuth Schultz III</w:t>
            </w:r>
          </w:p>
        </w:tc>
        <w:tc>
          <w:tcPr>
            <w:tcW w:w="1530" w:type="dxa"/>
          </w:tcPr>
          <w:p w:rsidR="00C96C4B" w:rsidRDefault="008844EA" w:rsidP="00C36EA0">
            <w:pPr>
              <w:rPr>
                <w:rFonts w:ascii="Times New Roman" w:hAnsi="Times New Roman"/>
                <w:sz w:val="24"/>
              </w:rPr>
            </w:pPr>
            <w:r>
              <w:rPr>
                <w:rFonts w:ascii="Times New Roman" w:hAnsi="Times New Roman"/>
                <w:sz w:val="24"/>
              </w:rPr>
              <w:t>HSW-30</w:t>
            </w:r>
          </w:p>
        </w:tc>
        <w:tc>
          <w:tcPr>
            <w:tcW w:w="4950" w:type="dxa"/>
          </w:tcPr>
          <w:p w:rsidR="00C96C4B" w:rsidRDefault="008844EA" w:rsidP="00C36EA0">
            <w:pPr>
              <w:rPr>
                <w:rFonts w:ascii="Times New Roman" w:hAnsi="Times New Roman"/>
                <w:sz w:val="24"/>
              </w:rPr>
            </w:pPr>
            <w:r>
              <w:rPr>
                <w:rFonts w:ascii="Times New Roman" w:hAnsi="Times New Roman"/>
                <w:sz w:val="24"/>
              </w:rPr>
              <w:t>WMSI and DEP Correspondence</w:t>
            </w:r>
          </w:p>
        </w:tc>
      </w:tr>
      <w:tr w:rsidR="008844EA" w:rsidRPr="00275B80" w:rsidTr="000979F1">
        <w:tc>
          <w:tcPr>
            <w:tcW w:w="2790" w:type="dxa"/>
          </w:tcPr>
          <w:p w:rsidR="008844EA" w:rsidRDefault="008844EA" w:rsidP="00C36EA0">
            <w:pPr>
              <w:rPr>
                <w:rFonts w:ascii="Times New Roman" w:hAnsi="Times New Roman"/>
                <w:bCs/>
                <w:sz w:val="24"/>
              </w:rPr>
            </w:pPr>
            <w:r>
              <w:rPr>
                <w:rFonts w:ascii="Times New Roman" w:hAnsi="Times New Roman"/>
                <w:bCs/>
                <w:sz w:val="24"/>
              </w:rPr>
              <w:t>Helmuth Schultz III</w:t>
            </w:r>
          </w:p>
        </w:tc>
        <w:tc>
          <w:tcPr>
            <w:tcW w:w="1530" w:type="dxa"/>
          </w:tcPr>
          <w:p w:rsidR="008844EA" w:rsidRDefault="00040409" w:rsidP="00C36EA0">
            <w:pPr>
              <w:rPr>
                <w:rFonts w:ascii="Times New Roman" w:hAnsi="Times New Roman"/>
                <w:sz w:val="24"/>
              </w:rPr>
            </w:pPr>
            <w:r>
              <w:rPr>
                <w:rFonts w:ascii="Times New Roman" w:hAnsi="Times New Roman"/>
                <w:sz w:val="24"/>
              </w:rPr>
              <w:t>HSW-31</w:t>
            </w:r>
          </w:p>
        </w:tc>
        <w:tc>
          <w:tcPr>
            <w:tcW w:w="4950" w:type="dxa"/>
          </w:tcPr>
          <w:p w:rsidR="008844EA" w:rsidRDefault="00040409" w:rsidP="00C36EA0">
            <w:pPr>
              <w:rPr>
                <w:rFonts w:ascii="Times New Roman" w:hAnsi="Times New Roman"/>
                <w:sz w:val="24"/>
              </w:rPr>
            </w:pPr>
            <w:r>
              <w:rPr>
                <w:rFonts w:ascii="Times New Roman" w:hAnsi="Times New Roman"/>
                <w:sz w:val="24"/>
              </w:rPr>
              <w:t>WMSI Audited Financial Statements</w:t>
            </w:r>
          </w:p>
        </w:tc>
      </w:tr>
      <w:tr w:rsidR="008844EA" w:rsidRPr="00275B80" w:rsidTr="000979F1">
        <w:tc>
          <w:tcPr>
            <w:tcW w:w="2790" w:type="dxa"/>
          </w:tcPr>
          <w:p w:rsidR="008844EA" w:rsidRDefault="008844EA" w:rsidP="00C36EA0">
            <w:pPr>
              <w:rPr>
                <w:rFonts w:ascii="Times New Roman" w:hAnsi="Times New Roman"/>
                <w:bCs/>
                <w:sz w:val="24"/>
              </w:rPr>
            </w:pPr>
            <w:r>
              <w:rPr>
                <w:rFonts w:ascii="Times New Roman" w:hAnsi="Times New Roman"/>
                <w:bCs/>
                <w:sz w:val="24"/>
              </w:rPr>
              <w:t>Helmuth Schultz III</w:t>
            </w:r>
          </w:p>
        </w:tc>
        <w:tc>
          <w:tcPr>
            <w:tcW w:w="1530" w:type="dxa"/>
          </w:tcPr>
          <w:p w:rsidR="008844EA" w:rsidRDefault="00040409" w:rsidP="00C36EA0">
            <w:pPr>
              <w:rPr>
                <w:rFonts w:ascii="Times New Roman" w:hAnsi="Times New Roman"/>
                <w:sz w:val="24"/>
              </w:rPr>
            </w:pPr>
            <w:r>
              <w:rPr>
                <w:rFonts w:ascii="Times New Roman" w:hAnsi="Times New Roman"/>
                <w:sz w:val="24"/>
              </w:rPr>
              <w:t>HSW-32</w:t>
            </w:r>
          </w:p>
        </w:tc>
        <w:tc>
          <w:tcPr>
            <w:tcW w:w="4950" w:type="dxa"/>
          </w:tcPr>
          <w:p w:rsidR="008844EA" w:rsidRDefault="00040409" w:rsidP="00C36EA0">
            <w:pPr>
              <w:rPr>
                <w:rFonts w:ascii="Times New Roman" w:hAnsi="Times New Roman"/>
                <w:sz w:val="24"/>
              </w:rPr>
            </w:pPr>
            <w:r>
              <w:rPr>
                <w:rFonts w:ascii="Times New Roman" w:hAnsi="Times New Roman"/>
                <w:sz w:val="24"/>
              </w:rPr>
              <w:t>Accounts Payable Aging Report</w:t>
            </w:r>
          </w:p>
        </w:tc>
      </w:tr>
      <w:tr w:rsidR="008844EA" w:rsidRPr="00275B80" w:rsidTr="000979F1">
        <w:tc>
          <w:tcPr>
            <w:tcW w:w="2790" w:type="dxa"/>
          </w:tcPr>
          <w:p w:rsidR="008844EA" w:rsidRDefault="008844EA" w:rsidP="00C36EA0">
            <w:pPr>
              <w:rPr>
                <w:rFonts w:ascii="Times New Roman" w:hAnsi="Times New Roman"/>
                <w:bCs/>
                <w:sz w:val="24"/>
              </w:rPr>
            </w:pPr>
            <w:r>
              <w:rPr>
                <w:rFonts w:ascii="Times New Roman" w:hAnsi="Times New Roman"/>
                <w:bCs/>
                <w:sz w:val="24"/>
              </w:rPr>
              <w:t>Helmuth Schultz III</w:t>
            </w:r>
          </w:p>
        </w:tc>
        <w:tc>
          <w:tcPr>
            <w:tcW w:w="1530" w:type="dxa"/>
          </w:tcPr>
          <w:p w:rsidR="008844EA" w:rsidRDefault="00040409" w:rsidP="00C36EA0">
            <w:pPr>
              <w:rPr>
                <w:rFonts w:ascii="Times New Roman" w:hAnsi="Times New Roman"/>
                <w:sz w:val="24"/>
              </w:rPr>
            </w:pPr>
            <w:r>
              <w:rPr>
                <w:rFonts w:ascii="Times New Roman" w:hAnsi="Times New Roman"/>
                <w:sz w:val="24"/>
              </w:rPr>
              <w:t>HSW-33</w:t>
            </w:r>
          </w:p>
        </w:tc>
        <w:tc>
          <w:tcPr>
            <w:tcW w:w="4950" w:type="dxa"/>
          </w:tcPr>
          <w:p w:rsidR="008844EA" w:rsidRDefault="00040409" w:rsidP="00C36EA0">
            <w:pPr>
              <w:rPr>
                <w:rFonts w:ascii="Times New Roman" w:hAnsi="Times New Roman"/>
                <w:sz w:val="24"/>
              </w:rPr>
            </w:pPr>
            <w:r>
              <w:rPr>
                <w:rFonts w:ascii="Times New Roman" w:hAnsi="Times New Roman"/>
                <w:sz w:val="24"/>
              </w:rPr>
              <w:t>DEP Loan Amortization Schedules</w:t>
            </w:r>
          </w:p>
        </w:tc>
      </w:tr>
      <w:tr w:rsidR="008844EA" w:rsidRPr="00275B80" w:rsidTr="000979F1">
        <w:tc>
          <w:tcPr>
            <w:tcW w:w="2790" w:type="dxa"/>
          </w:tcPr>
          <w:p w:rsidR="008844EA" w:rsidRDefault="008844EA" w:rsidP="00C36EA0">
            <w:pPr>
              <w:rPr>
                <w:rFonts w:ascii="Times New Roman" w:hAnsi="Times New Roman"/>
                <w:bCs/>
                <w:sz w:val="24"/>
              </w:rPr>
            </w:pPr>
            <w:r>
              <w:rPr>
                <w:rFonts w:ascii="Times New Roman" w:hAnsi="Times New Roman"/>
                <w:bCs/>
                <w:sz w:val="24"/>
              </w:rPr>
              <w:t>Helmuth Schultz III</w:t>
            </w:r>
          </w:p>
        </w:tc>
        <w:tc>
          <w:tcPr>
            <w:tcW w:w="1530" w:type="dxa"/>
          </w:tcPr>
          <w:p w:rsidR="008844EA" w:rsidRDefault="00040409" w:rsidP="00C36EA0">
            <w:pPr>
              <w:rPr>
                <w:rFonts w:ascii="Times New Roman" w:hAnsi="Times New Roman"/>
                <w:sz w:val="24"/>
              </w:rPr>
            </w:pPr>
            <w:r>
              <w:rPr>
                <w:rFonts w:ascii="Times New Roman" w:hAnsi="Times New Roman"/>
                <w:sz w:val="24"/>
              </w:rPr>
              <w:t>HSW-34</w:t>
            </w:r>
          </w:p>
        </w:tc>
        <w:tc>
          <w:tcPr>
            <w:tcW w:w="4950" w:type="dxa"/>
          </w:tcPr>
          <w:p w:rsidR="008844EA" w:rsidRDefault="00040409" w:rsidP="00C36EA0">
            <w:pPr>
              <w:rPr>
                <w:rFonts w:ascii="Times New Roman" w:hAnsi="Times New Roman"/>
                <w:sz w:val="24"/>
              </w:rPr>
            </w:pPr>
            <w:r>
              <w:rPr>
                <w:rFonts w:ascii="Times New Roman" w:hAnsi="Times New Roman"/>
                <w:sz w:val="24"/>
              </w:rPr>
              <w:t>Secretary of State – BMG Name Changes 1994 to Present</w:t>
            </w:r>
          </w:p>
        </w:tc>
      </w:tr>
      <w:tr w:rsidR="008844EA" w:rsidRPr="00275B80" w:rsidTr="000979F1">
        <w:tc>
          <w:tcPr>
            <w:tcW w:w="2790" w:type="dxa"/>
          </w:tcPr>
          <w:p w:rsidR="008844EA" w:rsidRDefault="008844EA" w:rsidP="00C36EA0">
            <w:pPr>
              <w:rPr>
                <w:rFonts w:ascii="Times New Roman" w:hAnsi="Times New Roman"/>
                <w:bCs/>
                <w:sz w:val="24"/>
              </w:rPr>
            </w:pPr>
            <w:r>
              <w:rPr>
                <w:rFonts w:ascii="Times New Roman" w:hAnsi="Times New Roman"/>
                <w:bCs/>
                <w:sz w:val="24"/>
              </w:rPr>
              <w:t>Helmuth Schultz III</w:t>
            </w:r>
          </w:p>
        </w:tc>
        <w:tc>
          <w:tcPr>
            <w:tcW w:w="1530" w:type="dxa"/>
          </w:tcPr>
          <w:p w:rsidR="008844EA" w:rsidRDefault="00040409" w:rsidP="00C36EA0">
            <w:pPr>
              <w:rPr>
                <w:rFonts w:ascii="Times New Roman" w:hAnsi="Times New Roman"/>
                <w:sz w:val="24"/>
              </w:rPr>
            </w:pPr>
            <w:r>
              <w:rPr>
                <w:rFonts w:ascii="Times New Roman" w:hAnsi="Times New Roman"/>
                <w:sz w:val="24"/>
              </w:rPr>
              <w:t>HSW-35</w:t>
            </w:r>
          </w:p>
        </w:tc>
        <w:tc>
          <w:tcPr>
            <w:tcW w:w="4950" w:type="dxa"/>
          </w:tcPr>
          <w:p w:rsidR="008844EA" w:rsidRDefault="00040409" w:rsidP="00C36EA0">
            <w:pPr>
              <w:rPr>
                <w:rFonts w:ascii="Times New Roman" w:hAnsi="Times New Roman"/>
                <w:sz w:val="24"/>
              </w:rPr>
            </w:pPr>
            <w:r>
              <w:rPr>
                <w:rFonts w:ascii="Times New Roman" w:hAnsi="Times New Roman"/>
                <w:sz w:val="24"/>
              </w:rPr>
              <w:t>Excerpt from Principles of Public Utility Rates</w:t>
            </w:r>
          </w:p>
        </w:tc>
      </w:tr>
      <w:tr w:rsidR="008844EA" w:rsidRPr="00275B80" w:rsidTr="000979F1">
        <w:tc>
          <w:tcPr>
            <w:tcW w:w="2790" w:type="dxa"/>
          </w:tcPr>
          <w:p w:rsidR="008844EA" w:rsidRDefault="008844EA" w:rsidP="00C36EA0">
            <w:pPr>
              <w:rPr>
                <w:rFonts w:ascii="Times New Roman" w:hAnsi="Times New Roman"/>
                <w:bCs/>
                <w:sz w:val="24"/>
              </w:rPr>
            </w:pPr>
            <w:r>
              <w:rPr>
                <w:rFonts w:ascii="Times New Roman" w:hAnsi="Times New Roman"/>
                <w:bCs/>
                <w:sz w:val="24"/>
              </w:rPr>
              <w:t>Helmuth Schultz III</w:t>
            </w:r>
          </w:p>
        </w:tc>
        <w:tc>
          <w:tcPr>
            <w:tcW w:w="1530" w:type="dxa"/>
          </w:tcPr>
          <w:p w:rsidR="008844EA" w:rsidRDefault="00040409" w:rsidP="00C36EA0">
            <w:pPr>
              <w:rPr>
                <w:rFonts w:ascii="Times New Roman" w:hAnsi="Times New Roman"/>
                <w:sz w:val="24"/>
              </w:rPr>
            </w:pPr>
            <w:r>
              <w:rPr>
                <w:rFonts w:ascii="Times New Roman" w:hAnsi="Times New Roman"/>
                <w:sz w:val="24"/>
              </w:rPr>
              <w:t>HSW-36</w:t>
            </w:r>
          </w:p>
        </w:tc>
        <w:tc>
          <w:tcPr>
            <w:tcW w:w="4950" w:type="dxa"/>
          </w:tcPr>
          <w:p w:rsidR="008844EA" w:rsidRDefault="00040409" w:rsidP="00C36EA0">
            <w:pPr>
              <w:rPr>
                <w:rFonts w:ascii="Times New Roman" w:hAnsi="Times New Roman"/>
                <w:sz w:val="24"/>
              </w:rPr>
            </w:pPr>
            <w:r>
              <w:rPr>
                <w:rFonts w:ascii="Times New Roman" w:hAnsi="Times New Roman"/>
                <w:sz w:val="24"/>
              </w:rPr>
              <w:t>Remaining Gain on Sale Balance</w:t>
            </w:r>
          </w:p>
          <w:p w:rsidR="00C54515" w:rsidRDefault="00C54515" w:rsidP="00C36EA0">
            <w:pPr>
              <w:rPr>
                <w:rFonts w:ascii="Times New Roman" w:hAnsi="Times New Roman"/>
                <w:sz w:val="24"/>
              </w:rPr>
            </w:pP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0979F1" w:rsidP="00C36EA0">
            <w:pPr>
              <w:rPr>
                <w:rFonts w:ascii="Times New Roman" w:hAnsi="Times New Roman"/>
                <w:sz w:val="24"/>
              </w:rPr>
            </w:pPr>
            <w:r>
              <w:rPr>
                <w:rFonts w:ascii="Times New Roman" w:hAnsi="Times New Roman"/>
                <w:sz w:val="24"/>
              </w:rPr>
              <w:t>DNV-1</w:t>
            </w:r>
          </w:p>
        </w:tc>
        <w:tc>
          <w:tcPr>
            <w:tcW w:w="4950" w:type="dxa"/>
          </w:tcPr>
          <w:p w:rsidR="00BD0C1B" w:rsidRDefault="000979F1" w:rsidP="00C36EA0">
            <w:pPr>
              <w:rPr>
                <w:rFonts w:ascii="Times New Roman" w:hAnsi="Times New Roman"/>
                <w:sz w:val="24"/>
              </w:rPr>
            </w:pPr>
            <w:r>
              <w:rPr>
                <w:rFonts w:ascii="Times New Roman" w:hAnsi="Times New Roman"/>
                <w:sz w:val="24"/>
              </w:rPr>
              <w:t>Denise N. Vandiver Resume</w:t>
            </w:r>
          </w:p>
        </w:tc>
      </w:tr>
      <w:tr w:rsidR="00BD0C1B" w:rsidRPr="00275B80" w:rsidTr="00B55C5D">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0979F1" w:rsidP="00C36EA0">
            <w:pPr>
              <w:rPr>
                <w:rFonts w:ascii="Times New Roman" w:hAnsi="Times New Roman"/>
                <w:sz w:val="24"/>
              </w:rPr>
            </w:pPr>
            <w:r>
              <w:rPr>
                <w:rFonts w:ascii="Times New Roman" w:hAnsi="Times New Roman"/>
                <w:sz w:val="24"/>
              </w:rPr>
              <w:t>DNV-2</w:t>
            </w:r>
          </w:p>
        </w:tc>
        <w:tc>
          <w:tcPr>
            <w:tcW w:w="4950" w:type="dxa"/>
          </w:tcPr>
          <w:p w:rsidR="00BD0C1B" w:rsidRDefault="00BB13D3" w:rsidP="00C36EA0">
            <w:pPr>
              <w:rPr>
                <w:rFonts w:ascii="Times New Roman" w:hAnsi="Times New Roman"/>
                <w:sz w:val="24"/>
              </w:rPr>
            </w:pPr>
            <w:r>
              <w:rPr>
                <w:rFonts w:ascii="Times New Roman" w:hAnsi="Times New Roman"/>
                <w:sz w:val="24"/>
              </w:rPr>
              <w:t>Prior Rate Case Expense:  Payments Made</w:t>
            </w: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BB13D3" w:rsidP="00C36EA0">
            <w:pPr>
              <w:rPr>
                <w:rFonts w:ascii="Times New Roman" w:hAnsi="Times New Roman"/>
                <w:sz w:val="24"/>
              </w:rPr>
            </w:pPr>
            <w:r>
              <w:rPr>
                <w:rFonts w:ascii="Times New Roman" w:hAnsi="Times New Roman"/>
                <w:sz w:val="24"/>
              </w:rPr>
              <w:t>DNV-3</w:t>
            </w:r>
          </w:p>
        </w:tc>
        <w:tc>
          <w:tcPr>
            <w:tcW w:w="4950" w:type="dxa"/>
          </w:tcPr>
          <w:p w:rsidR="00BD0C1B" w:rsidRDefault="00BB13D3" w:rsidP="00C36EA0">
            <w:pPr>
              <w:rPr>
                <w:rFonts w:ascii="Times New Roman" w:hAnsi="Times New Roman"/>
                <w:sz w:val="24"/>
              </w:rPr>
            </w:pPr>
            <w:r>
              <w:rPr>
                <w:rFonts w:ascii="Times New Roman" w:hAnsi="Times New Roman"/>
                <w:sz w:val="24"/>
              </w:rPr>
              <w:t>Schedule of Bills and Payments:  Radey Firm</w:t>
            </w: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BB13D3" w:rsidP="00C36EA0">
            <w:pPr>
              <w:rPr>
                <w:rFonts w:ascii="Times New Roman" w:hAnsi="Times New Roman"/>
                <w:sz w:val="24"/>
              </w:rPr>
            </w:pPr>
            <w:r>
              <w:rPr>
                <w:rFonts w:ascii="Times New Roman" w:hAnsi="Times New Roman"/>
                <w:sz w:val="24"/>
              </w:rPr>
              <w:t>DNV-4</w:t>
            </w:r>
          </w:p>
        </w:tc>
        <w:tc>
          <w:tcPr>
            <w:tcW w:w="4950" w:type="dxa"/>
          </w:tcPr>
          <w:p w:rsidR="00BD0C1B" w:rsidRDefault="00BB13D3" w:rsidP="00C36EA0">
            <w:pPr>
              <w:rPr>
                <w:rFonts w:ascii="Times New Roman" w:hAnsi="Times New Roman"/>
                <w:sz w:val="24"/>
              </w:rPr>
            </w:pPr>
            <w:r>
              <w:rPr>
                <w:rFonts w:ascii="Times New Roman" w:hAnsi="Times New Roman"/>
                <w:sz w:val="24"/>
              </w:rPr>
              <w:t>History of Payments to Radey Firm</w:t>
            </w: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BB13D3" w:rsidP="00C36EA0">
            <w:pPr>
              <w:rPr>
                <w:rFonts w:ascii="Times New Roman" w:hAnsi="Times New Roman"/>
                <w:sz w:val="24"/>
              </w:rPr>
            </w:pPr>
            <w:r>
              <w:rPr>
                <w:rFonts w:ascii="Times New Roman" w:hAnsi="Times New Roman"/>
                <w:sz w:val="24"/>
              </w:rPr>
              <w:t>DVN-5</w:t>
            </w:r>
          </w:p>
        </w:tc>
        <w:tc>
          <w:tcPr>
            <w:tcW w:w="4950" w:type="dxa"/>
          </w:tcPr>
          <w:p w:rsidR="00BD0C1B" w:rsidRDefault="00BB13D3" w:rsidP="00C36EA0">
            <w:pPr>
              <w:rPr>
                <w:rFonts w:ascii="Times New Roman" w:hAnsi="Times New Roman"/>
                <w:sz w:val="24"/>
              </w:rPr>
            </w:pPr>
            <w:r>
              <w:rPr>
                <w:rFonts w:ascii="Times New Roman" w:hAnsi="Times New Roman"/>
                <w:sz w:val="24"/>
              </w:rPr>
              <w:t>March 2012 Letters To and From Radey Firm</w:t>
            </w: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BB13D3" w:rsidP="00C36EA0">
            <w:pPr>
              <w:rPr>
                <w:rFonts w:ascii="Times New Roman" w:hAnsi="Times New Roman"/>
                <w:sz w:val="24"/>
              </w:rPr>
            </w:pPr>
            <w:r>
              <w:rPr>
                <w:rFonts w:ascii="Times New Roman" w:hAnsi="Times New Roman"/>
                <w:sz w:val="24"/>
              </w:rPr>
              <w:t>DNV-6</w:t>
            </w:r>
          </w:p>
        </w:tc>
        <w:tc>
          <w:tcPr>
            <w:tcW w:w="4950" w:type="dxa"/>
          </w:tcPr>
          <w:p w:rsidR="00BD0C1B" w:rsidRDefault="00BB13D3" w:rsidP="00C36EA0">
            <w:pPr>
              <w:rPr>
                <w:rFonts w:ascii="Times New Roman" w:hAnsi="Times New Roman"/>
                <w:sz w:val="24"/>
              </w:rPr>
            </w:pPr>
            <w:r>
              <w:rPr>
                <w:rFonts w:ascii="Times New Roman" w:hAnsi="Times New Roman"/>
                <w:sz w:val="24"/>
              </w:rPr>
              <w:t>Representation Letter With Radey Firm</w:t>
            </w: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BB13D3" w:rsidP="00C36EA0">
            <w:pPr>
              <w:rPr>
                <w:rFonts w:ascii="Times New Roman" w:hAnsi="Times New Roman"/>
                <w:sz w:val="24"/>
              </w:rPr>
            </w:pPr>
            <w:r>
              <w:rPr>
                <w:rFonts w:ascii="Times New Roman" w:hAnsi="Times New Roman"/>
                <w:sz w:val="24"/>
              </w:rPr>
              <w:t>DNV-7</w:t>
            </w:r>
          </w:p>
        </w:tc>
        <w:tc>
          <w:tcPr>
            <w:tcW w:w="4950" w:type="dxa"/>
          </w:tcPr>
          <w:p w:rsidR="00BD0C1B" w:rsidRDefault="00BB13D3" w:rsidP="00C36EA0">
            <w:pPr>
              <w:rPr>
                <w:rFonts w:ascii="Times New Roman" w:hAnsi="Times New Roman"/>
                <w:sz w:val="24"/>
              </w:rPr>
            </w:pPr>
            <w:r>
              <w:rPr>
                <w:rFonts w:ascii="Times New Roman" w:hAnsi="Times New Roman"/>
                <w:sz w:val="24"/>
              </w:rPr>
              <w:t>Questions On Any Bill Dispute</w:t>
            </w:r>
          </w:p>
        </w:tc>
      </w:tr>
      <w:tr w:rsidR="00BD0C1B" w:rsidRPr="00275B80" w:rsidTr="000979F1">
        <w:tc>
          <w:tcPr>
            <w:tcW w:w="2790" w:type="dxa"/>
          </w:tcPr>
          <w:p w:rsidR="00BD0C1B"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BD0C1B" w:rsidRDefault="00BB13D3" w:rsidP="00C36EA0">
            <w:pPr>
              <w:rPr>
                <w:rFonts w:ascii="Times New Roman" w:hAnsi="Times New Roman"/>
                <w:sz w:val="24"/>
              </w:rPr>
            </w:pPr>
            <w:r>
              <w:rPr>
                <w:rFonts w:ascii="Times New Roman" w:hAnsi="Times New Roman"/>
                <w:sz w:val="24"/>
              </w:rPr>
              <w:t>DNV-8</w:t>
            </w:r>
          </w:p>
        </w:tc>
        <w:tc>
          <w:tcPr>
            <w:tcW w:w="4950" w:type="dxa"/>
          </w:tcPr>
          <w:p w:rsidR="00BD0C1B" w:rsidRDefault="00BB13D3" w:rsidP="00C36EA0">
            <w:pPr>
              <w:rPr>
                <w:rFonts w:ascii="Times New Roman" w:hAnsi="Times New Roman"/>
                <w:sz w:val="24"/>
              </w:rPr>
            </w:pPr>
            <w:r>
              <w:rPr>
                <w:rFonts w:ascii="Times New Roman" w:hAnsi="Times New Roman"/>
                <w:sz w:val="24"/>
              </w:rPr>
              <w:t>Agreement to Pay Radey Firm</w:t>
            </w:r>
          </w:p>
        </w:tc>
      </w:tr>
      <w:tr w:rsidR="000979F1" w:rsidRPr="00275B80" w:rsidTr="000979F1">
        <w:tc>
          <w:tcPr>
            <w:tcW w:w="2790" w:type="dxa"/>
          </w:tcPr>
          <w:p w:rsidR="000979F1" w:rsidRDefault="000979F1" w:rsidP="00C36EA0">
            <w:pPr>
              <w:rPr>
                <w:rFonts w:ascii="Times New Roman" w:hAnsi="Times New Roman"/>
                <w:bCs/>
                <w:sz w:val="24"/>
              </w:rPr>
            </w:pPr>
            <w:r>
              <w:rPr>
                <w:rFonts w:ascii="Times New Roman" w:hAnsi="Times New Roman"/>
                <w:bCs/>
                <w:sz w:val="24"/>
              </w:rPr>
              <w:t>Denise N. Vandiver, CPA</w:t>
            </w:r>
          </w:p>
        </w:tc>
        <w:tc>
          <w:tcPr>
            <w:tcW w:w="1530" w:type="dxa"/>
          </w:tcPr>
          <w:p w:rsidR="000979F1" w:rsidRDefault="00BB13D3" w:rsidP="00C36EA0">
            <w:pPr>
              <w:rPr>
                <w:rFonts w:ascii="Times New Roman" w:hAnsi="Times New Roman"/>
                <w:sz w:val="24"/>
              </w:rPr>
            </w:pPr>
            <w:r>
              <w:rPr>
                <w:rFonts w:ascii="Times New Roman" w:hAnsi="Times New Roman"/>
                <w:sz w:val="24"/>
              </w:rPr>
              <w:t>DNV-9</w:t>
            </w:r>
          </w:p>
        </w:tc>
        <w:tc>
          <w:tcPr>
            <w:tcW w:w="4950" w:type="dxa"/>
          </w:tcPr>
          <w:p w:rsidR="000979F1" w:rsidRDefault="00BB13D3" w:rsidP="00C36EA0">
            <w:pPr>
              <w:rPr>
                <w:rFonts w:ascii="Times New Roman" w:hAnsi="Times New Roman"/>
                <w:sz w:val="24"/>
              </w:rPr>
            </w:pPr>
            <w:r>
              <w:rPr>
                <w:rFonts w:ascii="Times New Roman" w:hAnsi="Times New Roman"/>
                <w:sz w:val="24"/>
              </w:rPr>
              <w:t>Justification For Two Witnesses</w:t>
            </w:r>
          </w:p>
        </w:tc>
      </w:tr>
    </w:tbl>
    <w:p w:rsidR="00331BD4" w:rsidRDefault="00331BD4" w:rsidP="00331BD4">
      <w:pPr>
        <w:tabs>
          <w:tab w:val="left" w:pos="720"/>
        </w:tabs>
        <w:ind w:left="4320" w:hanging="4320"/>
        <w:rPr>
          <w:rFonts w:ascii="Times New Roman" w:hAnsi="Times New Roman"/>
          <w:b/>
          <w:bCs/>
          <w:sz w:val="24"/>
        </w:rPr>
      </w:pPr>
    </w:p>
    <w:p w:rsidR="00C36EA0" w:rsidRDefault="00C36EA0" w:rsidP="00331BD4">
      <w:pPr>
        <w:tabs>
          <w:tab w:val="left" w:pos="720"/>
        </w:tabs>
        <w:ind w:left="4320" w:hanging="4320"/>
        <w:rPr>
          <w:rFonts w:ascii="Times New Roman" w:hAnsi="Times New Roman"/>
          <w:b/>
          <w:bCs/>
          <w:sz w:val="24"/>
        </w:rPr>
      </w:pPr>
    </w:p>
    <w:p w:rsidR="00AE2FBF" w:rsidRDefault="00AE2FBF" w:rsidP="00331BD4">
      <w:pPr>
        <w:tabs>
          <w:tab w:val="left" w:pos="720"/>
        </w:tabs>
        <w:ind w:left="4320" w:hanging="4320"/>
        <w:rPr>
          <w:rFonts w:ascii="Times New Roman" w:hAnsi="Times New Roman"/>
          <w:b/>
          <w:bCs/>
          <w:sz w:val="24"/>
          <w:u w:val="single"/>
        </w:rPr>
      </w:pPr>
      <w:r w:rsidRPr="00331BD4">
        <w:rPr>
          <w:rFonts w:ascii="Times New Roman" w:hAnsi="Times New Roman"/>
          <w:b/>
          <w:bCs/>
          <w:sz w:val="24"/>
        </w:rPr>
        <w:t xml:space="preserve">3. </w:t>
      </w:r>
      <w:r w:rsidR="00344D31" w:rsidRPr="00331BD4">
        <w:rPr>
          <w:rFonts w:ascii="Times New Roman" w:hAnsi="Times New Roman"/>
          <w:b/>
          <w:bCs/>
          <w:sz w:val="24"/>
        </w:rPr>
        <w:tab/>
      </w:r>
      <w:r w:rsidRPr="00331BD4">
        <w:rPr>
          <w:rFonts w:ascii="Times New Roman" w:hAnsi="Times New Roman"/>
          <w:b/>
          <w:bCs/>
          <w:sz w:val="24"/>
          <w:u w:val="single"/>
        </w:rPr>
        <w:t>STATEMENT OF BASIC POSITION</w:t>
      </w:r>
    </w:p>
    <w:p w:rsidR="00D1340B" w:rsidRDefault="00D1340B" w:rsidP="00D1340B">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B07CDE" w:rsidRDefault="000108DC"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t xml:space="preserve">By Proposed Agency Action </w:t>
      </w:r>
      <w:r w:rsidRPr="006E3126">
        <w:rPr>
          <w:rFonts w:ascii="Times New Roman" w:hAnsi="Times New Roman"/>
          <w:sz w:val="24"/>
        </w:rPr>
        <w:t>Order No. PSC-12-0435-PAA-WU</w:t>
      </w:r>
      <w:r>
        <w:rPr>
          <w:rFonts w:ascii="Times New Roman" w:hAnsi="Times New Roman"/>
          <w:sz w:val="24"/>
        </w:rPr>
        <w:t xml:space="preserve">, </w:t>
      </w:r>
      <w:r w:rsidRPr="00A71493">
        <w:rPr>
          <w:rFonts w:ascii="Times New Roman" w:hAnsi="Times New Roman"/>
          <w:sz w:val="24"/>
        </w:rPr>
        <w:t>issued August 22, 2012</w:t>
      </w:r>
      <w:r>
        <w:rPr>
          <w:rFonts w:ascii="Times New Roman" w:hAnsi="Times New Roman"/>
          <w:sz w:val="24"/>
        </w:rPr>
        <w:t xml:space="preserve"> (PAA Order), the Commission approved </w:t>
      </w:r>
      <w:r w:rsidRPr="000108DC">
        <w:rPr>
          <w:rFonts w:ascii="Times New Roman" w:hAnsi="Times New Roman"/>
          <w:sz w:val="24"/>
        </w:rPr>
        <w:t xml:space="preserve">an annual increase of $506,061. </w:t>
      </w:r>
      <w:r>
        <w:rPr>
          <w:rFonts w:ascii="Times New Roman" w:hAnsi="Times New Roman"/>
          <w:sz w:val="24"/>
        </w:rPr>
        <w:t xml:space="preserve"> Most of the annual increase was due to the need for the Utility to replace a ground water storage tank and other pro forma plant capital expenditures</w:t>
      </w:r>
      <w:r w:rsidR="00B00CC4">
        <w:rPr>
          <w:rFonts w:ascii="Times New Roman" w:hAnsi="Times New Roman"/>
          <w:sz w:val="24"/>
        </w:rPr>
        <w:t>.</w:t>
      </w:r>
      <w:r>
        <w:rPr>
          <w:rFonts w:ascii="Times New Roman" w:hAnsi="Times New Roman"/>
          <w:sz w:val="24"/>
        </w:rPr>
        <w:t xml:space="preserve">  The increase along with revenues to repay the </w:t>
      </w:r>
      <w:r w:rsidRPr="000108DC">
        <w:rPr>
          <w:rFonts w:ascii="Times New Roman" w:hAnsi="Times New Roman"/>
          <w:sz w:val="24"/>
        </w:rPr>
        <w:t>Department of Environmental Protection (DEP)</w:t>
      </w:r>
      <w:r>
        <w:rPr>
          <w:rFonts w:ascii="Times New Roman" w:hAnsi="Times New Roman"/>
          <w:sz w:val="24"/>
        </w:rPr>
        <w:t xml:space="preserve"> were placed in an escrow account to ensure that those moneys were properly spent</w:t>
      </w:r>
      <w:r w:rsidR="00B00CC4">
        <w:rPr>
          <w:rFonts w:ascii="Times New Roman" w:hAnsi="Times New Roman"/>
          <w:sz w:val="24"/>
        </w:rPr>
        <w:t>.</w:t>
      </w:r>
      <w:r>
        <w:rPr>
          <w:rFonts w:ascii="Times New Roman" w:hAnsi="Times New Roman"/>
          <w:sz w:val="24"/>
        </w:rPr>
        <w:t xml:space="preserve">  Citizens chose not to protest these customer oriented protections, but instead </w:t>
      </w:r>
      <w:r w:rsidRPr="000108DC">
        <w:rPr>
          <w:rFonts w:ascii="Times New Roman" w:hAnsi="Times New Roman"/>
          <w:sz w:val="24"/>
        </w:rPr>
        <w:t xml:space="preserve">protested </w:t>
      </w:r>
      <w:r w:rsidR="00B07CDE">
        <w:rPr>
          <w:rFonts w:ascii="Times New Roman" w:hAnsi="Times New Roman"/>
          <w:sz w:val="24"/>
        </w:rPr>
        <w:t xml:space="preserve">other aspects of the </w:t>
      </w:r>
      <w:r>
        <w:rPr>
          <w:rFonts w:ascii="Times New Roman" w:hAnsi="Times New Roman"/>
          <w:sz w:val="24"/>
        </w:rPr>
        <w:t>PAA Order</w:t>
      </w:r>
      <w:r w:rsidR="00B07CDE">
        <w:rPr>
          <w:rFonts w:ascii="Times New Roman" w:hAnsi="Times New Roman"/>
          <w:sz w:val="24"/>
        </w:rPr>
        <w:t xml:space="preserve"> for the reasons set forth in its positions below and </w:t>
      </w:r>
      <w:r w:rsidR="00B00CC4">
        <w:rPr>
          <w:rFonts w:ascii="Times New Roman" w:hAnsi="Times New Roman"/>
          <w:sz w:val="24"/>
        </w:rPr>
        <w:t xml:space="preserve">the </w:t>
      </w:r>
      <w:r w:rsidR="00B07CDE">
        <w:rPr>
          <w:rFonts w:ascii="Times New Roman" w:hAnsi="Times New Roman"/>
          <w:sz w:val="24"/>
        </w:rPr>
        <w:t xml:space="preserve">testimony of its two expert witnesses.  </w:t>
      </w:r>
    </w:p>
    <w:p w:rsidR="00B07CDE" w:rsidRDefault="00B07CDE"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F844B2" w:rsidRDefault="00B07CDE"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t>First and foremost, the PAA</w:t>
      </w:r>
      <w:r w:rsidR="000108DC" w:rsidRPr="000108DC">
        <w:rPr>
          <w:rFonts w:ascii="Times New Roman" w:hAnsi="Times New Roman"/>
          <w:sz w:val="24"/>
        </w:rPr>
        <w:t xml:space="preserve"> Order </w:t>
      </w:r>
      <w:r w:rsidR="00F844B2">
        <w:rPr>
          <w:rFonts w:ascii="Times New Roman" w:hAnsi="Times New Roman"/>
          <w:sz w:val="24"/>
        </w:rPr>
        <w:t>failed to</w:t>
      </w:r>
      <w:r w:rsidR="000108DC" w:rsidRPr="000108DC">
        <w:rPr>
          <w:rFonts w:ascii="Times New Roman" w:hAnsi="Times New Roman"/>
          <w:sz w:val="24"/>
        </w:rPr>
        <w:t xml:space="preserve"> adequately address issues relating to the $1.2 million that the Utility advanced to the Utility owner and </w:t>
      </w:r>
      <w:r w:rsidR="00B00CC4">
        <w:rPr>
          <w:rFonts w:ascii="Times New Roman" w:hAnsi="Times New Roman"/>
          <w:sz w:val="24"/>
        </w:rPr>
        <w:t xml:space="preserve">his </w:t>
      </w:r>
      <w:r w:rsidR="000108DC" w:rsidRPr="000108DC">
        <w:rPr>
          <w:rFonts w:ascii="Times New Roman" w:hAnsi="Times New Roman"/>
          <w:sz w:val="24"/>
        </w:rPr>
        <w:t>associated companies.</w:t>
      </w:r>
      <w:r w:rsidR="000108DC">
        <w:rPr>
          <w:rFonts w:ascii="Times New Roman" w:hAnsi="Times New Roman"/>
          <w:sz w:val="24"/>
        </w:rPr>
        <w:t xml:space="preserve">  </w:t>
      </w:r>
      <w:r w:rsidR="00B00CC4">
        <w:rPr>
          <w:rFonts w:ascii="Times New Roman" w:hAnsi="Times New Roman"/>
          <w:sz w:val="24"/>
        </w:rPr>
        <w:t>Specifically</w:t>
      </w:r>
      <w:r w:rsidR="000108DC">
        <w:rPr>
          <w:rFonts w:ascii="Times New Roman" w:hAnsi="Times New Roman"/>
          <w:sz w:val="24"/>
        </w:rPr>
        <w:t xml:space="preserve">, the PAA Order </w:t>
      </w:r>
      <w:r w:rsidR="00F844B2">
        <w:rPr>
          <w:rFonts w:ascii="Times New Roman" w:hAnsi="Times New Roman"/>
          <w:sz w:val="24"/>
        </w:rPr>
        <w:t>failed to</w:t>
      </w:r>
      <w:r w:rsidR="000108DC">
        <w:rPr>
          <w:rFonts w:ascii="Times New Roman" w:hAnsi="Times New Roman"/>
          <w:sz w:val="24"/>
        </w:rPr>
        <w:t xml:space="preserve"> address the </w:t>
      </w:r>
      <w:r w:rsidR="00F844B2">
        <w:rPr>
          <w:rFonts w:ascii="Times New Roman" w:hAnsi="Times New Roman"/>
          <w:sz w:val="24"/>
        </w:rPr>
        <w:t xml:space="preserve">adverse impact of advancing this money and the management decisions which were and are the source of the </w:t>
      </w:r>
      <w:r w:rsidR="000108DC">
        <w:rPr>
          <w:rFonts w:ascii="Times New Roman" w:hAnsi="Times New Roman"/>
          <w:sz w:val="24"/>
        </w:rPr>
        <w:t xml:space="preserve">Utility’s </w:t>
      </w:r>
      <w:r>
        <w:rPr>
          <w:rFonts w:ascii="Times New Roman" w:hAnsi="Times New Roman"/>
          <w:sz w:val="24"/>
        </w:rPr>
        <w:t xml:space="preserve">current </w:t>
      </w:r>
      <w:r w:rsidR="000108DC">
        <w:rPr>
          <w:rFonts w:ascii="Times New Roman" w:hAnsi="Times New Roman"/>
          <w:sz w:val="24"/>
        </w:rPr>
        <w:t>financial distress</w:t>
      </w:r>
      <w:r w:rsidR="00F844B2">
        <w:rPr>
          <w:rFonts w:ascii="Times New Roman" w:hAnsi="Times New Roman"/>
          <w:sz w:val="24"/>
        </w:rPr>
        <w:t xml:space="preserve">.  Additionally, the PAA Order failed to </w:t>
      </w:r>
      <w:r w:rsidR="000108DC">
        <w:rPr>
          <w:rFonts w:ascii="Times New Roman" w:hAnsi="Times New Roman"/>
          <w:sz w:val="24"/>
        </w:rPr>
        <w:t xml:space="preserve">institute any protective measures </w:t>
      </w:r>
      <w:r w:rsidR="00F844B2">
        <w:rPr>
          <w:rFonts w:ascii="Times New Roman" w:hAnsi="Times New Roman"/>
          <w:sz w:val="24"/>
        </w:rPr>
        <w:t xml:space="preserve">designed </w:t>
      </w:r>
      <w:r w:rsidR="000108DC">
        <w:rPr>
          <w:rFonts w:ascii="Times New Roman" w:hAnsi="Times New Roman"/>
          <w:sz w:val="24"/>
        </w:rPr>
        <w:t>to prevent further financial harm to the Utility</w:t>
      </w:r>
      <w:r w:rsidR="00F844B2">
        <w:rPr>
          <w:rFonts w:ascii="Times New Roman" w:hAnsi="Times New Roman"/>
          <w:sz w:val="24"/>
        </w:rPr>
        <w:t xml:space="preserve"> or </w:t>
      </w:r>
      <w:r>
        <w:rPr>
          <w:rFonts w:ascii="Times New Roman" w:hAnsi="Times New Roman"/>
          <w:sz w:val="24"/>
        </w:rPr>
        <w:t xml:space="preserve">its </w:t>
      </w:r>
      <w:r w:rsidR="00F844B2">
        <w:rPr>
          <w:rFonts w:ascii="Times New Roman" w:hAnsi="Times New Roman"/>
          <w:sz w:val="24"/>
        </w:rPr>
        <w:t xml:space="preserve">customers, </w:t>
      </w:r>
      <w:r>
        <w:rPr>
          <w:rFonts w:ascii="Times New Roman" w:hAnsi="Times New Roman"/>
          <w:sz w:val="24"/>
        </w:rPr>
        <w:t>restore these advances for the Utility use (i.e. ensure that the Utility is repaid)</w:t>
      </w:r>
      <w:r w:rsidR="00F844B2">
        <w:rPr>
          <w:rFonts w:ascii="Times New Roman" w:hAnsi="Times New Roman"/>
          <w:sz w:val="24"/>
        </w:rPr>
        <w:t>, or prevent future advances</w:t>
      </w:r>
      <w:r w:rsidR="000108DC">
        <w:rPr>
          <w:rFonts w:ascii="Times New Roman" w:hAnsi="Times New Roman"/>
          <w:sz w:val="24"/>
        </w:rPr>
        <w:t xml:space="preserve">.  </w:t>
      </w:r>
      <w:r w:rsidR="000108DC" w:rsidRPr="000108DC">
        <w:rPr>
          <w:rFonts w:ascii="Times New Roman" w:hAnsi="Times New Roman"/>
          <w:sz w:val="24"/>
        </w:rPr>
        <w:t xml:space="preserve"> </w:t>
      </w:r>
    </w:p>
    <w:p w:rsidR="00F844B2" w:rsidRDefault="00F844B2"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0108DC" w:rsidRPr="000108DC" w:rsidRDefault="00F844B2"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t>More than $1.2 million</w:t>
      </w:r>
      <w:r w:rsidR="000108DC" w:rsidRPr="000108DC">
        <w:rPr>
          <w:rFonts w:ascii="Times New Roman" w:hAnsi="Times New Roman"/>
          <w:sz w:val="24"/>
        </w:rPr>
        <w:t xml:space="preserve"> </w:t>
      </w:r>
      <w:r w:rsidR="00B07CDE">
        <w:rPr>
          <w:rFonts w:ascii="Times New Roman" w:hAnsi="Times New Roman"/>
          <w:sz w:val="24"/>
        </w:rPr>
        <w:t>was</w:t>
      </w:r>
      <w:r w:rsidR="000108DC" w:rsidRPr="000108DC">
        <w:rPr>
          <w:rFonts w:ascii="Times New Roman" w:hAnsi="Times New Roman"/>
          <w:sz w:val="24"/>
        </w:rPr>
        <w:t xml:space="preserve"> removed from the Utility for non-utility purposes at a time when the Utility has debt which exceeds its rate base and has had difficulty paying its bills, so much so that the Utility eventually defaulted on its loan from the </w:t>
      </w:r>
      <w:r>
        <w:rPr>
          <w:rFonts w:ascii="Times New Roman" w:hAnsi="Times New Roman"/>
          <w:sz w:val="24"/>
        </w:rPr>
        <w:t>DEP</w:t>
      </w:r>
      <w:r w:rsidR="000108DC" w:rsidRPr="000108DC">
        <w:rPr>
          <w:rFonts w:ascii="Times New Roman" w:hAnsi="Times New Roman"/>
          <w:sz w:val="24"/>
        </w:rPr>
        <w:t xml:space="preserve">. </w:t>
      </w:r>
      <w:r w:rsidR="00B07CDE">
        <w:rPr>
          <w:rFonts w:ascii="Times New Roman" w:hAnsi="Times New Roman"/>
          <w:sz w:val="24"/>
        </w:rPr>
        <w:t xml:space="preserve"> This default harmed the Utility.  Managerial decisions regarding the loan harmed the customers by adding more than $1.1 million in interest to the DEP loan.  </w:t>
      </w:r>
      <w:r w:rsidR="000108DC" w:rsidRPr="000108DC">
        <w:rPr>
          <w:rFonts w:ascii="Times New Roman" w:hAnsi="Times New Roman"/>
          <w:sz w:val="24"/>
        </w:rPr>
        <w:t xml:space="preserve">Citizens believe that </w:t>
      </w:r>
      <w:r w:rsidR="00B07CDE">
        <w:rPr>
          <w:rFonts w:ascii="Times New Roman" w:hAnsi="Times New Roman"/>
          <w:sz w:val="24"/>
        </w:rPr>
        <w:t xml:space="preserve">the advances made to </w:t>
      </w:r>
      <w:r w:rsidR="000108DC" w:rsidRPr="000108DC">
        <w:rPr>
          <w:rFonts w:ascii="Times New Roman" w:hAnsi="Times New Roman"/>
          <w:sz w:val="24"/>
        </w:rPr>
        <w:t xml:space="preserve">associated companies </w:t>
      </w:r>
      <w:r>
        <w:rPr>
          <w:rFonts w:ascii="Times New Roman" w:hAnsi="Times New Roman"/>
          <w:sz w:val="24"/>
        </w:rPr>
        <w:t>were</w:t>
      </w:r>
      <w:r w:rsidR="000108DC" w:rsidRPr="000108DC">
        <w:rPr>
          <w:rFonts w:ascii="Times New Roman" w:hAnsi="Times New Roman"/>
          <w:sz w:val="24"/>
        </w:rPr>
        <w:t xml:space="preserve"> made for the </w:t>
      </w:r>
      <w:r w:rsidR="00B00CC4">
        <w:rPr>
          <w:rFonts w:ascii="Times New Roman" w:hAnsi="Times New Roman"/>
          <w:sz w:val="24"/>
        </w:rPr>
        <w:t xml:space="preserve">benefit and </w:t>
      </w:r>
      <w:r w:rsidR="000108DC" w:rsidRPr="000108DC">
        <w:rPr>
          <w:rFonts w:ascii="Times New Roman" w:hAnsi="Times New Roman"/>
          <w:sz w:val="24"/>
        </w:rPr>
        <w:t xml:space="preserve">convenience of WMSI’s president, </w:t>
      </w:r>
      <w:r w:rsidR="00B00CC4">
        <w:rPr>
          <w:rFonts w:ascii="Times New Roman" w:hAnsi="Times New Roman"/>
          <w:sz w:val="24"/>
        </w:rPr>
        <w:t xml:space="preserve">in his personal capacity, </w:t>
      </w:r>
      <w:r w:rsidR="000108DC" w:rsidRPr="000108DC">
        <w:rPr>
          <w:rFonts w:ascii="Times New Roman" w:hAnsi="Times New Roman"/>
          <w:sz w:val="24"/>
        </w:rPr>
        <w:t xml:space="preserve">and </w:t>
      </w:r>
      <w:r>
        <w:rPr>
          <w:rFonts w:ascii="Times New Roman" w:hAnsi="Times New Roman"/>
          <w:sz w:val="24"/>
        </w:rPr>
        <w:t xml:space="preserve">do not benefit the Utility or its </w:t>
      </w:r>
      <w:r w:rsidR="000108DC" w:rsidRPr="000108DC">
        <w:rPr>
          <w:rFonts w:ascii="Times New Roman" w:hAnsi="Times New Roman"/>
          <w:sz w:val="24"/>
        </w:rPr>
        <w:t xml:space="preserve">customers. </w:t>
      </w:r>
      <w:r>
        <w:rPr>
          <w:rFonts w:ascii="Times New Roman" w:hAnsi="Times New Roman"/>
          <w:sz w:val="24"/>
        </w:rPr>
        <w:t xml:space="preserve"> </w:t>
      </w:r>
      <w:r w:rsidR="000108DC" w:rsidRPr="000108DC">
        <w:rPr>
          <w:rFonts w:ascii="Times New Roman" w:hAnsi="Times New Roman"/>
          <w:sz w:val="24"/>
        </w:rPr>
        <w:t xml:space="preserve">Moreover, it appears to Citizens that WMSI receives no interest for </w:t>
      </w:r>
      <w:r>
        <w:rPr>
          <w:rFonts w:ascii="Times New Roman" w:hAnsi="Times New Roman"/>
          <w:sz w:val="24"/>
        </w:rPr>
        <w:t>these so-called</w:t>
      </w:r>
      <w:r w:rsidR="000108DC" w:rsidRPr="000108DC">
        <w:rPr>
          <w:rFonts w:ascii="Times New Roman" w:hAnsi="Times New Roman"/>
          <w:sz w:val="24"/>
        </w:rPr>
        <w:t xml:space="preserve"> “investment</w:t>
      </w:r>
      <w:r>
        <w:rPr>
          <w:rFonts w:ascii="Times New Roman" w:hAnsi="Times New Roman"/>
          <w:sz w:val="24"/>
        </w:rPr>
        <w:t>s</w:t>
      </w:r>
      <w:r w:rsidR="000108DC" w:rsidRPr="000108DC">
        <w:rPr>
          <w:rFonts w:ascii="Times New Roman" w:hAnsi="Times New Roman"/>
          <w:sz w:val="24"/>
        </w:rPr>
        <w:t xml:space="preserve">” in the affiliated companies. </w:t>
      </w:r>
      <w:r>
        <w:rPr>
          <w:rFonts w:ascii="Times New Roman" w:hAnsi="Times New Roman"/>
          <w:sz w:val="24"/>
        </w:rPr>
        <w:t xml:space="preserve"> The</w:t>
      </w:r>
      <w:r w:rsidR="00B07CDE">
        <w:rPr>
          <w:rFonts w:ascii="Times New Roman" w:hAnsi="Times New Roman"/>
          <w:sz w:val="24"/>
        </w:rPr>
        <w:t xml:space="preserve"> frequency and amount of </w:t>
      </w:r>
      <w:r>
        <w:rPr>
          <w:rFonts w:ascii="Times New Roman" w:hAnsi="Times New Roman"/>
          <w:sz w:val="24"/>
        </w:rPr>
        <w:t xml:space="preserve">advances raise the question whether this Utility is being prudently managed, and if not, should the Commission enter a finding of managerial imprudence.  </w:t>
      </w:r>
      <w:r w:rsidR="00B07CDE">
        <w:rPr>
          <w:rFonts w:ascii="Times New Roman" w:hAnsi="Times New Roman"/>
          <w:sz w:val="24"/>
        </w:rPr>
        <w:t>The owner</w:t>
      </w:r>
      <w:r w:rsidR="000108DC" w:rsidRPr="000108DC">
        <w:rPr>
          <w:rFonts w:ascii="Times New Roman" w:hAnsi="Times New Roman"/>
          <w:sz w:val="24"/>
        </w:rPr>
        <w:t xml:space="preserve"> has attempted to divert attention from this poor use </w:t>
      </w:r>
      <w:r w:rsidR="00B07CDE">
        <w:rPr>
          <w:rFonts w:ascii="Times New Roman" w:hAnsi="Times New Roman"/>
          <w:sz w:val="24"/>
        </w:rPr>
        <w:t>or mismanagement of Utility f</w:t>
      </w:r>
      <w:r w:rsidR="000108DC" w:rsidRPr="000108DC">
        <w:rPr>
          <w:rFonts w:ascii="Times New Roman" w:hAnsi="Times New Roman"/>
          <w:sz w:val="24"/>
        </w:rPr>
        <w:t xml:space="preserve">unds by </w:t>
      </w:r>
      <w:r w:rsidR="00B07CDE">
        <w:rPr>
          <w:rFonts w:ascii="Times New Roman" w:hAnsi="Times New Roman"/>
          <w:sz w:val="24"/>
        </w:rPr>
        <w:t>transferring his ownership of a holding company which was a net investor in the Utility to the Utility itself.  This transfer of stock from one entity owned by the owner to another entity controlled by the owner does not erase the harmful effect of the advances</w:t>
      </w:r>
      <w:r w:rsidR="00E917C7">
        <w:rPr>
          <w:rFonts w:ascii="Times New Roman" w:hAnsi="Times New Roman"/>
          <w:sz w:val="24"/>
        </w:rPr>
        <w:t>.  Additionally</w:t>
      </w:r>
      <w:r w:rsidR="000108DC" w:rsidRPr="000108DC">
        <w:rPr>
          <w:rFonts w:ascii="Times New Roman" w:hAnsi="Times New Roman"/>
          <w:sz w:val="24"/>
        </w:rPr>
        <w:t xml:space="preserve">, the Utility has been unable to document that </w:t>
      </w:r>
      <w:r w:rsidR="00E917C7">
        <w:rPr>
          <w:rFonts w:ascii="Times New Roman" w:hAnsi="Times New Roman"/>
          <w:sz w:val="24"/>
        </w:rPr>
        <w:t>the Utility’s</w:t>
      </w:r>
      <w:r w:rsidR="000108DC" w:rsidRPr="000108DC">
        <w:rPr>
          <w:rFonts w:ascii="Times New Roman" w:hAnsi="Times New Roman"/>
          <w:sz w:val="24"/>
        </w:rPr>
        <w:t xml:space="preserve"> 100% ownership interest </w:t>
      </w:r>
      <w:r w:rsidR="00E917C7">
        <w:rPr>
          <w:rFonts w:ascii="Times New Roman" w:hAnsi="Times New Roman"/>
          <w:sz w:val="24"/>
        </w:rPr>
        <w:t xml:space="preserve">in </w:t>
      </w:r>
      <w:r w:rsidR="00E917C7" w:rsidRPr="000108DC">
        <w:rPr>
          <w:rFonts w:ascii="Times New Roman" w:hAnsi="Times New Roman"/>
          <w:sz w:val="24"/>
        </w:rPr>
        <w:t>Brown Management Group</w:t>
      </w:r>
      <w:r w:rsidR="00E917C7">
        <w:rPr>
          <w:rFonts w:ascii="Times New Roman" w:hAnsi="Times New Roman"/>
          <w:sz w:val="24"/>
        </w:rPr>
        <w:t xml:space="preserve">, Inc. </w:t>
      </w:r>
      <w:r w:rsidR="000108DC" w:rsidRPr="000108DC">
        <w:rPr>
          <w:rFonts w:ascii="Times New Roman" w:hAnsi="Times New Roman"/>
          <w:sz w:val="24"/>
        </w:rPr>
        <w:t>can truly be valued at $1.2 million</w:t>
      </w:r>
      <w:r w:rsidR="00E917C7">
        <w:rPr>
          <w:rFonts w:ascii="Times New Roman" w:hAnsi="Times New Roman"/>
          <w:sz w:val="24"/>
        </w:rPr>
        <w:t>.  The owner cannot demonstrate that this stock transfer fully repays what was advanced by the Utility to the owner and his associated companies.</w:t>
      </w:r>
      <w:r w:rsidR="000108DC" w:rsidRPr="000108DC">
        <w:rPr>
          <w:rFonts w:ascii="Times New Roman" w:hAnsi="Times New Roman"/>
          <w:sz w:val="24"/>
        </w:rPr>
        <w:t xml:space="preserve">  As demonstrated by the testimony of OPC witness Schultz, the adverse impact of these advances has demonstrably harmed both the Utility itself and its customers. Citizens are asking that the Commission take proactive measures to protect the Utility </w:t>
      </w:r>
      <w:r w:rsidR="000108DC" w:rsidRPr="00E917C7">
        <w:rPr>
          <w:rFonts w:ascii="Times New Roman" w:hAnsi="Times New Roman"/>
          <w:sz w:val="24"/>
          <w:u w:val="single"/>
        </w:rPr>
        <w:t>and</w:t>
      </w:r>
      <w:r w:rsidR="000108DC" w:rsidRPr="000108DC">
        <w:rPr>
          <w:rFonts w:ascii="Times New Roman" w:hAnsi="Times New Roman"/>
          <w:sz w:val="24"/>
        </w:rPr>
        <w:t xml:space="preserve"> </w:t>
      </w:r>
      <w:r w:rsidR="00E917C7">
        <w:rPr>
          <w:rFonts w:ascii="Times New Roman" w:hAnsi="Times New Roman"/>
          <w:sz w:val="24"/>
        </w:rPr>
        <w:t xml:space="preserve">its </w:t>
      </w:r>
      <w:r w:rsidR="000108DC" w:rsidRPr="000108DC">
        <w:rPr>
          <w:rFonts w:ascii="Times New Roman" w:hAnsi="Times New Roman"/>
          <w:sz w:val="24"/>
        </w:rPr>
        <w:t xml:space="preserve">customers </w:t>
      </w:r>
      <w:r>
        <w:rPr>
          <w:rFonts w:ascii="Times New Roman" w:hAnsi="Times New Roman"/>
          <w:sz w:val="24"/>
        </w:rPr>
        <w:t xml:space="preserve">from continued managerial imprudence in order to </w:t>
      </w:r>
      <w:r w:rsidR="000108DC" w:rsidRPr="000108DC">
        <w:rPr>
          <w:rFonts w:ascii="Times New Roman" w:hAnsi="Times New Roman"/>
          <w:sz w:val="24"/>
        </w:rPr>
        <w:t>ensure both the near term and long term viability of this water system.</w:t>
      </w:r>
    </w:p>
    <w:p w:rsidR="000108DC" w:rsidRPr="000108DC" w:rsidRDefault="000108DC"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E917C7" w:rsidRDefault="000108DC"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r>
      <w:r w:rsidR="00E917C7">
        <w:rPr>
          <w:rFonts w:ascii="Times New Roman" w:hAnsi="Times New Roman"/>
          <w:sz w:val="24"/>
        </w:rPr>
        <w:t xml:space="preserve">Citizens raised three other issues in its protest.  </w:t>
      </w:r>
      <w:r w:rsidRPr="000108DC">
        <w:rPr>
          <w:rFonts w:ascii="Times New Roman" w:hAnsi="Times New Roman"/>
          <w:sz w:val="24"/>
        </w:rPr>
        <w:t>Citizens’ testimony demonstrates the Commission’s apparent failure to carry forward the remaining amortization of a $</w:t>
      </w:r>
      <w:r w:rsidR="00E917C7">
        <w:rPr>
          <w:rFonts w:ascii="Times New Roman" w:hAnsi="Times New Roman"/>
          <w:sz w:val="24"/>
        </w:rPr>
        <w:t>242,040</w:t>
      </w:r>
      <w:r w:rsidRPr="000108DC">
        <w:rPr>
          <w:rFonts w:ascii="Times New Roman" w:hAnsi="Times New Roman"/>
          <w:sz w:val="24"/>
        </w:rPr>
        <w:t xml:space="preserve"> gain on sale that was recognized and approved for amortization in the last rate case. Carrying this amortization forward would result in </w:t>
      </w:r>
      <w:r w:rsidR="009F265C">
        <w:rPr>
          <w:rFonts w:ascii="Times New Roman" w:hAnsi="Times New Roman"/>
          <w:sz w:val="24"/>
        </w:rPr>
        <w:t xml:space="preserve">approximately a $51,000 </w:t>
      </w:r>
      <w:r w:rsidRPr="000108DC">
        <w:rPr>
          <w:rFonts w:ascii="Times New Roman" w:hAnsi="Times New Roman"/>
          <w:sz w:val="24"/>
        </w:rPr>
        <w:t xml:space="preserve">rate </w:t>
      </w:r>
      <w:r w:rsidRPr="00E917C7">
        <w:rPr>
          <w:rFonts w:ascii="Times New Roman" w:hAnsi="Times New Roman"/>
          <w:sz w:val="24"/>
          <w:u w:val="single"/>
        </w:rPr>
        <w:t>decrease</w:t>
      </w:r>
      <w:r w:rsidRPr="000108DC">
        <w:rPr>
          <w:rFonts w:ascii="Times New Roman" w:hAnsi="Times New Roman"/>
          <w:sz w:val="24"/>
        </w:rPr>
        <w:t xml:space="preserve"> for customers. Citizens further beli</w:t>
      </w:r>
      <w:r w:rsidR="00E917C7">
        <w:rPr>
          <w:rFonts w:ascii="Times New Roman" w:hAnsi="Times New Roman"/>
          <w:sz w:val="24"/>
        </w:rPr>
        <w:t>eves it is against public policy</w:t>
      </w:r>
      <w:r w:rsidRPr="000108DC">
        <w:rPr>
          <w:rFonts w:ascii="Times New Roman" w:hAnsi="Times New Roman"/>
          <w:sz w:val="24"/>
        </w:rPr>
        <w:t xml:space="preserve"> to allow the continued recovery of the rate case expense included in rates for the prior rate case after </w:t>
      </w:r>
      <w:r w:rsidR="00E917C7">
        <w:rPr>
          <w:rFonts w:ascii="Times New Roman" w:hAnsi="Times New Roman"/>
          <w:sz w:val="24"/>
        </w:rPr>
        <w:t xml:space="preserve">the Utility has </w:t>
      </w:r>
      <w:r w:rsidRPr="000108DC">
        <w:rPr>
          <w:rFonts w:ascii="Times New Roman" w:hAnsi="Times New Roman"/>
          <w:sz w:val="24"/>
        </w:rPr>
        <w:t xml:space="preserve">demonstrated </w:t>
      </w:r>
      <w:r w:rsidR="00E917C7">
        <w:rPr>
          <w:rFonts w:ascii="Times New Roman" w:hAnsi="Times New Roman"/>
          <w:sz w:val="24"/>
        </w:rPr>
        <w:t xml:space="preserve">its willingness </w:t>
      </w:r>
      <w:r w:rsidRPr="000108DC">
        <w:rPr>
          <w:rFonts w:ascii="Times New Roman" w:hAnsi="Times New Roman"/>
          <w:sz w:val="24"/>
        </w:rPr>
        <w:t>to stop payment for legal fees</w:t>
      </w:r>
      <w:r w:rsidR="00B00CC4">
        <w:rPr>
          <w:rFonts w:ascii="Times New Roman" w:hAnsi="Times New Roman"/>
          <w:sz w:val="24"/>
        </w:rPr>
        <w:t>, a substantial component of the past rate case expense,</w:t>
      </w:r>
      <w:r w:rsidR="00E917C7">
        <w:rPr>
          <w:rFonts w:ascii="Times New Roman" w:hAnsi="Times New Roman"/>
          <w:sz w:val="24"/>
        </w:rPr>
        <w:t xml:space="preserve"> in order to attempt to negotiate a lower legal bill</w:t>
      </w:r>
      <w:r w:rsidRPr="000108DC">
        <w:rPr>
          <w:rFonts w:ascii="Times New Roman" w:hAnsi="Times New Roman"/>
          <w:sz w:val="24"/>
        </w:rPr>
        <w:t xml:space="preserve">. </w:t>
      </w:r>
      <w:r w:rsidR="00E917C7">
        <w:rPr>
          <w:rFonts w:ascii="Times New Roman" w:hAnsi="Times New Roman"/>
          <w:sz w:val="24"/>
        </w:rPr>
        <w:t xml:space="preserve"> </w:t>
      </w:r>
      <w:r w:rsidRPr="000108DC">
        <w:rPr>
          <w:rFonts w:ascii="Times New Roman" w:hAnsi="Times New Roman"/>
          <w:sz w:val="24"/>
        </w:rPr>
        <w:t xml:space="preserve">Removing all or some of the prior rate case expense in rates would result in a meaningful rate </w:t>
      </w:r>
      <w:r w:rsidRPr="00E917C7">
        <w:rPr>
          <w:rFonts w:ascii="Times New Roman" w:hAnsi="Times New Roman"/>
          <w:sz w:val="24"/>
          <w:u w:val="single"/>
        </w:rPr>
        <w:t>decrease</w:t>
      </w:r>
      <w:r w:rsidRPr="000108DC">
        <w:rPr>
          <w:rFonts w:ascii="Times New Roman" w:hAnsi="Times New Roman"/>
          <w:sz w:val="24"/>
        </w:rPr>
        <w:t xml:space="preserve"> for customers.  Citizens </w:t>
      </w:r>
      <w:r w:rsidR="00B00CC4">
        <w:rPr>
          <w:rFonts w:ascii="Times New Roman" w:hAnsi="Times New Roman"/>
          <w:sz w:val="24"/>
        </w:rPr>
        <w:t xml:space="preserve">also </w:t>
      </w:r>
      <w:r w:rsidRPr="000108DC">
        <w:rPr>
          <w:rFonts w:ascii="Times New Roman" w:hAnsi="Times New Roman"/>
          <w:sz w:val="24"/>
        </w:rPr>
        <w:t xml:space="preserve">contest aspects of the increase </w:t>
      </w:r>
      <w:r w:rsidR="00B00CC4">
        <w:rPr>
          <w:rFonts w:ascii="Times New Roman" w:hAnsi="Times New Roman"/>
          <w:sz w:val="24"/>
        </w:rPr>
        <w:t xml:space="preserve">in </w:t>
      </w:r>
      <w:r w:rsidRPr="000108DC">
        <w:rPr>
          <w:rFonts w:ascii="Times New Roman" w:hAnsi="Times New Roman"/>
          <w:sz w:val="24"/>
        </w:rPr>
        <w:t>service availability charges and the failure to require that those charges be trued-up and held in escrow.  These charges should reflect what is actually placed in service and</w:t>
      </w:r>
      <w:r w:rsidR="00E917C7">
        <w:rPr>
          <w:rFonts w:ascii="Times New Roman" w:hAnsi="Times New Roman"/>
          <w:sz w:val="24"/>
        </w:rPr>
        <w:t xml:space="preserve"> should</w:t>
      </w:r>
      <w:r w:rsidRPr="000108DC">
        <w:rPr>
          <w:rFonts w:ascii="Times New Roman" w:hAnsi="Times New Roman"/>
          <w:sz w:val="24"/>
        </w:rPr>
        <w:t xml:space="preserve"> be held in escrow to be available for future capital improvements. </w:t>
      </w:r>
    </w:p>
    <w:p w:rsidR="00E917C7" w:rsidRDefault="00E917C7"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E917C7" w:rsidRDefault="00E917C7"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t xml:space="preserve">Last, </w:t>
      </w:r>
      <w:r w:rsidR="000108DC" w:rsidRPr="000108DC">
        <w:rPr>
          <w:rFonts w:ascii="Times New Roman" w:hAnsi="Times New Roman"/>
          <w:sz w:val="24"/>
        </w:rPr>
        <w:t>Citizens</w:t>
      </w:r>
      <w:r>
        <w:rPr>
          <w:rFonts w:ascii="Times New Roman" w:hAnsi="Times New Roman"/>
          <w:sz w:val="24"/>
        </w:rPr>
        <w:t xml:space="preserve"> are</w:t>
      </w:r>
      <w:r w:rsidR="000108DC" w:rsidRPr="000108DC">
        <w:rPr>
          <w:rFonts w:ascii="Times New Roman" w:hAnsi="Times New Roman"/>
          <w:sz w:val="24"/>
        </w:rPr>
        <w:t xml:space="preserve"> very concerned that the Utility is unreasonably driving up the rate case expense by being unreasonably litigious and raising eight additional issues in its cross protest, most of which ask the Commission to revisit its propose</w:t>
      </w:r>
      <w:r>
        <w:rPr>
          <w:rFonts w:ascii="Times New Roman" w:hAnsi="Times New Roman"/>
          <w:sz w:val="24"/>
        </w:rPr>
        <w:t>d</w:t>
      </w:r>
      <w:r w:rsidR="000108DC" w:rsidRPr="000108DC">
        <w:rPr>
          <w:rFonts w:ascii="Times New Roman" w:hAnsi="Times New Roman"/>
          <w:sz w:val="24"/>
        </w:rPr>
        <w:t xml:space="preserve"> agency action decision.  </w:t>
      </w:r>
      <w:r w:rsidR="00B00CC4">
        <w:rPr>
          <w:rFonts w:ascii="Times New Roman" w:hAnsi="Times New Roman"/>
          <w:sz w:val="24"/>
        </w:rPr>
        <w:t>Citizens do</w:t>
      </w:r>
      <w:r>
        <w:rPr>
          <w:rFonts w:ascii="Times New Roman" w:hAnsi="Times New Roman"/>
          <w:sz w:val="24"/>
        </w:rPr>
        <w:t xml:space="preserve"> not believe the Utility carried its burden of proof to secure an adjustment for any of its protested issues.  </w:t>
      </w:r>
    </w:p>
    <w:p w:rsidR="00E917C7" w:rsidRDefault="00E917C7"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0108DC" w:rsidRPr="000108DC" w:rsidRDefault="00E917C7"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Pr>
          <w:rFonts w:ascii="Times New Roman" w:hAnsi="Times New Roman"/>
          <w:sz w:val="24"/>
        </w:rPr>
        <w:tab/>
      </w:r>
      <w:r w:rsidR="000108DC" w:rsidRPr="000108DC">
        <w:rPr>
          <w:rFonts w:ascii="Times New Roman" w:hAnsi="Times New Roman"/>
          <w:sz w:val="24"/>
        </w:rPr>
        <w:t xml:space="preserve">Citizens’ positions on all the issues are set forth in more specificity below and are subject to modification based upon the evidence adduced at the January 16-17, 2013 evidentiary hearing.    </w:t>
      </w:r>
    </w:p>
    <w:p w:rsidR="000108DC" w:rsidRPr="000108DC" w:rsidRDefault="000108DC"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r w:rsidRPr="000108DC">
        <w:rPr>
          <w:rFonts w:ascii="Times New Roman" w:hAnsi="Times New Roman"/>
          <w:sz w:val="24"/>
        </w:rPr>
        <w:t xml:space="preserve"> </w:t>
      </w:r>
    </w:p>
    <w:p w:rsidR="000108DC" w:rsidRPr="000108DC" w:rsidRDefault="000108DC" w:rsidP="000108DC">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7971A3" w:rsidRPr="00D135DD" w:rsidRDefault="007971A3" w:rsidP="00D1340B">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z w:val="24"/>
        </w:rPr>
      </w:pPr>
    </w:p>
    <w:p w:rsidR="00AE2FBF" w:rsidRPr="00344D31" w:rsidRDefault="00AE2FBF" w:rsidP="00331BD4">
      <w:pPr>
        <w:tabs>
          <w:tab w:val="left" w:pos="720"/>
        </w:tabs>
        <w:ind w:left="4320" w:hanging="4320"/>
        <w:rPr>
          <w:rFonts w:ascii="Times New Roman" w:hAnsi="Times New Roman"/>
          <w:b/>
          <w:bCs/>
          <w:sz w:val="24"/>
        </w:rPr>
      </w:pPr>
      <w:r w:rsidRPr="00344D31">
        <w:rPr>
          <w:rFonts w:ascii="Times New Roman" w:hAnsi="Times New Roman"/>
          <w:b/>
          <w:bCs/>
          <w:sz w:val="24"/>
        </w:rPr>
        <w:t xml:space="preserve">4.  </w:t>
      </w:r>
      <w:r w:rsidR="00344D31" w:rsidRPr="00344D31">
        <w:rPr>
          <w:rFonts w:ascii="Times New Roman" w:hAnsi="Times New Roman"/>
          <w:b/>
          <w:bCs/>
          <w:sz w:val="24"/>
        </w:rPr>
        <w:tab/>
      </w:r>
      <w:r w:rsidR="002170E0">
        <w:rPr>
          <w:rFonts w:ascii="Times New Roman" w:hAnsi="Times New Roman"/>
          <w:b/>
          <w:bCs/>
          <w:sz w:val="24"/>
          <w:u w:val="single"/>
        </w:rPr>
        <w:t>ISSUES</w:t>
      </w:r>
    </w:p>
    <w:p w:rsidR="00D80701" w:rsidRPr="0094464D" w:rsidRDefault="00D80701" w:rsidP="00D80701">
      <w:pPr>
        <w:pStyle w:val="ListParagraph"/>
        <w:ind w:left="180"/>
        <w:jc w:val="both"/>
        <w:rPr>
          <w:b/>
          <w:bCs/>
          <w:u w:val="single"/>
        </w:rPr>
      </w:pPr>
    </w:p>
    <w:p w:rsidR="00D80701" w:rsidRDefault="00D80701" w:rsidP="00D80701">
      <w:pPr>
        <w:pStyle w:val="ListParagraph"/>
        <w:ind w:left="180"/>
        <w:jc w:val="both"/>
      </w:pPr>
    </w:p>
    <w:p w:rsidR="00FE1D8A" w:rsidRPr="00FE1D8A" w:rsidRDefault="00FE1D8A" w:rsidP="00FE1D8A">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 xml:space="preserve">Issue </w:t>
      </w:r>
      <w:fldSimple w:instr=" SEQ Issue \* MERGEFORMAT ">
        <w:r w:rsidR="00405D34" w:rsidRPr="00405D34">
          <w:rPr>
            <w:rFonts w:ascii="Times New Roman" w:hAnsi="Times New Roman"/>
            <w:b/>
            <w:noProof/>
            <w:sz w:val="24"/>
            <w:u w:val="single"/>
          </w:rPr>
          <w:t>1</w:t>
        </w:r>
      </w:fldSimple>
      <w:r w:rsidRPr="00FE1D8A">
        <w:rPr>
          <w:rFonts w:ascii="Times New Roman" w:hAnsi="Times New Roman"/>
          <w:sz w:val="24"/>
        </w:rPr>
        <w:t>:</w:t>
      </w:r>
      <w:r w:rsidRPr="00FE1D8A">
        <w:rPr>
          <w:rFonts w:ascii="Times New Roman" w:hAnsi="Times New Roman"/>
          <w:sz w:val="24"/>
        </w:rPr>
        <w:tab/>
      </w:r>
      <w:r w:rsidR="002531B7" w:rsidRPr="002531B7">
        <w:rPr>
          <w:rFonts w:ascii="Times New Roman" w:hAnsi="Times New Roman"/>
          <w:sz w:val="24"/>
        </w:rPr>
        <w:t>What is the appropriate working capital allowance?</w:t>
      </w:r>
    </w:p>
    <w:p w:rsidR="00FE1D8A" w:rsidRDefault="00FE1D8A" w:rsidP="00FE1D8A">
      <w:pPr>
        <w:widowControl/>
        <w:autoSpaceDE/>
        <w:autoSpaceDN/>
        <w:adjustRightInd/>
        <w:ind w:left="1440" w:hanging="1440"/>
        <w:outlineLvl w:val="0"/>
        <w:rPr>
          <w:rFonts w:ascii="Times New Roman" w:hAnsi="Times New Roman"/>
          <w:sz w:val="24"/>
        </w:rPr>
      </w:pPr>
    </w:p>
    <w:p w:rsidR="00FE1D8A" w:rsidRDefault="00FE1D8A" w:rsidP="006E3126">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6E3126">
        <w:rPr>
          <w:rFonts w:ascii="Times New Roman" w:hAnsi="Times New Roman"/>
          <w:sz w:val="24"/>
        </w:rPr>
        <w:t xml:space="preserve">Because the Utility is a Class A utility, the appropriate working capital allowance </w:t>
      </w:r>
      <w:r w:rsidR="007E527A">
        <w:rPr>
          <w:rFonts w:ascii="Times New Roman" w:hAnsi="Times New Roman"/>
          <w:sz w:val="24"/>
        </w:rPr>
        <w:t xml:space="preserve">should remain </w:t>
      </w:r>
      <w:r w:rsidR="006E3126">
        <w:rPr>
          <w:rFonts w:ascii="Times New Roman" w:hAnsi="Times New Roman"/>
          <w:sz w:val="24"/>
        </w:rPr>
        <w:t xml:space="preserve">what was approved and established by Proposed Agency Action </w:t>
      </w:r>
      <w:r w:rsidR="006E3126" w:rsidRPr="006E3126">
        <w:rPr>
          <w:rFonts w:ascii="Times New Roman" w:hAnsi="Times New Roman"/>
          <w:sz w:val="24"/>
        </w:rPr>
        <w:t>Order No. PSC-12-0435-PAA-WU</w:t>
      </w:r>
      <w:r w:rsidR="006E3126">
        <w:rPr>
          <w:rFonts w:ascii="Times New Roman" w:hAnsi="Times New Roman"/>
          <w:sz w:val="24"/>
        </w:rPr>
        <w:t xml:space="preserve">, </w:t>
      </w:r>
      <w:r w:rsidR="006E3126" w:rsidRPr="00A71493">
        <w:rPr>
          <w:rFonts w:ascii="Times New Roman" w:hAnsi="Times New Roman"/>
          <w:sz w:val="24"/>
        </w:rPr>
        <w:t>issued August 22, 2012</w:t>
      </w:r>
      <w:r w:rsidR="00A71493">
        <w:rPr>
          <w:rFonts w:ascii="Times New Roman" w:hAnsi="Times New Roman"/>
          <w:sz w:val="24"/>
        </w:rPr>
        <w:t xml:space="preserve"> (PAA Order)</w:t>
      </w:r>
      <w:r w:rsidR="006E3126">
        <w:rPr>
          <w:rFonts w:ascii="Times New Roman" w:hAnsi="Times New Roman"/>
          <w:sz w:val="24"/>
        </w:rPr>
        <w:t>.</w:t>
      </w:r>
      <w:r w:rsidR="007E527A">
        <w:rPr>
          <w:rFonts w:ascii="Times New Roman" w:hAnsi="Times New Roman"/>
          <w:sz w:val="24"/>
        </w:rPr>
        <w:t xml:space="preserve">  This issue was protested by the Utility and the Utility failed to carry its burden of proof</w:t>
      </w:r>
      <w:r w:rsidR="002A3A82">
        <w:rPr>
          <w:rFonts w:ascii="Times New Roman" w:hAnsi="Times New Roman"/>
          <w:sz w:val="24"/>
        </w:rPr>
        <w:t xml:space="preserve"> </w:t>
      </w:r>
      <w:r w:rsidR="002B325C">
        <w:rPr>
          <w:rFonts w:ascii="Times New Roman" w:hAnsi="Times New Roman"/>
          <w:sz w:val="24"/>
        </w:rPr>
        <w:t>to change</w:t>
      </w:r>
      <w:r w:rsidR="007E527A">
        <w:rPr>
          <w:rFonts w:ascii="Times New Roman" w:hAnsi="Times New Roman"/>
          <w:sz w:val="24"/>
        </w:rPr>
        <w:t xml:space="preserve"> </w:t>
      </w:r>
      <w:r w:rsidR="00E2573A">
        <w:rPr>
          <w:rFonts w:ascii="Times New Roman" w:hAnsi="Times New Roman"/>
          <w:sz w:val="24"/>
        </w:rPr>
        <w:t>what was</w:t>
      </w:r>
      <w:r w:rsidR="007E527A">
        <w:rPr>
          <w:rFonts w:ascii="Times New Roman" w:hAnsi="Times New Roman"/>
          <w:sz w:val="24"/>
        </w:rPr>
        <w:t xml:space="preserve"> approved by the PAA </w:t>
      </w:r>
      <w:r w:rsidR="007E527A" w:rsidRPr="006E3126">
        <w:rPr>
          <w:rFonts w:ascii="Times New Roman" w:hAnsi="Times New Roman"/>
          <w:sz w:val="24"/>
        </w:rPr>
        <w:t>Order</w:t>
      </w:r>
      <w:r w:rsidR="007E527A">
        <w:rPr>
          <w:rFonts w:ascii="Times New Roman" w:hAnsi="Times New Roman"/>
          <w:sz w:val="24"/>
        </w:rPr>
        <w:t xml:space="preserve">. </w:t>
      </w:r>
      <w:r w:rsidR="00E2573A">
        <w:rPr>
          <w:rFonts w:ascii="Times New Roman" w:hAnsi="Times New Roman"/>
          <w:sz w:val="24"/>
        </w:rPr>
        <w:t xml:space="preserve"> </w:t>
      </w:r>
      <w:r w:rsidR="007E527A">
        <w:rPr>
          <w:rFonts w:ascii="Times New Roman" w:hAnsi="Times New Roman"/>
          <w:sz w:val="24"/>
        </w:rPr>
        <w:t>Rate case expense for protesting and losing this issue is addressed under Issue 7.</w:t>
      </w:r>
      <w:r w:rsidR="006E3126">
        <w:rPr>
          <w:rFonts w:ascii="Times New Roman" w:hAnsi="Times New Roman"/>
          <w:sz w:val="24"/>
        </w:rPr>
        <w:t xml:space="preserve">  </w:t>
      </w:r>
      <w:r w:rsidR="00877CD7">
        <w:rPr>
          <w:rFonts w:ascii="Times New Roman" w:hAnsi="Times New Roman"/>
          <w:sz w:val="24"/>
        </w:rPr>
        <w:t>(Schultz)</w:t>
      </w:r>
    </w:p>
    <w:p w:rsid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ind w:left="1440" w:hanging="1440"/>
        <w:jc w:val="both"/>
        <w:rPr>
          <w:rFonts w:ascii="Times New Roman" w:hAnsi="Times New Roman"/>
          <w:sz w:val="24"/>
        </w:rPr>
      </w:pPr>
      <w:r w:rsidRPr="00FE1D8A">
        <w:rPr>
          <w:rFonts w:ascii="Times New Roman" w:hAnsi="Times New Roman"/>
          <w:b/>
          <w:sz w:val="24"/>
          <w:u w:val="single"/>
        </w:rPr>
        <w:t xml:space="preserve">Issue </w:t>
      </w:r>
      <w:fldSimple w:instr=" SEQ Issue \* MERGEFORMAT ">
        <w:r w:rsidR="00405D34" w:rsidRPr="00405D34">
          <w:rPr>
            <w:rFonts w:ascii="Times New Roman" w:hAnsi="Times New Roman"/>
            <w:b/>
            <w:noProof/>
            <w:sz w:val="24"/>
            <w:u w:val="single"/>
          </w:rPr>
          <w:t>2</w:t>
        </w:r>
      </w:fldSimple>
      <w:r w:rsidRPr="00FE1D8A">
        <w:rPr>
          <w:rFonts w:ascii="Times New Roman" w:hAnsi="Times New Roman"/>
          <w:sz w:val="24"/>
        </w:rPr>
        <w:t>:</w:t>
      </w:r>
      <w:r w:rsidRPr="00FE1D8A">
        <w:rPr>
          <w:rFonts w:ascii="Times New Roman" w:hAnsi="Times New Roman"/>
          <w:sz w:val="24"/>
        </w:rPr>
        <w:tab/>
      </w:r>
      <w:r w:rsidR="002531B7" w:rsidRPr="002531B7">
        <w:rPr>
          <w:rFonts w:ascii="Times New Roman" w:hAnsi="Times New Roman"/>
          <w:sz w:val="24"/>
        </w:rPr>
        <w:t>What is the appropriate rate base for the test year ended December 31, 2010?</w:t>
      </w:r>
    </w:p>
    <w:p w:rsidR="00FE1D8A" w:rsidRDefault="00FE1D8A" w:rsidP="00FE1D8A">
      <w:pPr>
        <w:widowControl/>
        <w:autoSpaceDE/>
        <w:autoSpaceDN/>
        <w:adjustRightInd/>
        <w:ind w:left="1440" w:hanging="1440"/>
        <w:outlineLvl w:val="0"/>
        <w:rPr>
          <w:rFonts w:ascii="Times New Roman" w:hAnsi="Times New Roman"/>
          <w:sz w:val="24"/>
        </w:rPr>
      </w:pPr>
    </w:p>
    <w:p w:rsidR="00070C88" w:rsidRDefault="00FE1D8A" w:rsidP="00346641">
      <w:pPr>
        <w:widowControl/>
        <w:autoSpaceDE/>
        <w:autoSpaceDN/>
        <w:adjustRightInd/>
        <w:ind w:left="1440" w:hanging="1440"/>
        <w:jc w:val="both"/>
        <w:outlineLvl w:val="0"/>
        <w:rPr>
          <w:rFonts w:ascii="Times New Roman" w:hAnsi="Times New Roman"/>
          <w:sz w:val="24"/>
        </w:rPr>
      </w:pPr>
      <w:r>
        <w:rPr>
          <w:rFonts w:ascii="Times New Roman" w:hAnsi="Times New Roman"/>
          <w:sz w:val="24"/>
        </w:rPr>
        <w:t>OPC:</w:t>
      </w:r>
      <w:r>
        <w:rPr>
          <w:rFonts w:ascii="Times New Roman" w:hAnsi="Times New Roman"/>
          <w:sz w:val="24"/>
        </w:rPr>
        <w:tab/>
      </w:r>
      <w:r w:rsidR="006E3126">
        <w:rPr>
          <w:rFonts w:ascii="Times New Roman" w:hAnsi="Times New Roman"/>
          <w:sz w:val="24"/>
        </w:rPr>
        <w:t xml:space="preserve">Fall-out from other issues.  </w:t>
      </w:r>
    </w:p>
    <w:p w:rsidR="00070C88" w:rsidRDefault="00070C88" w:rsidP="00070C88">
      <w:pPr>
        <w:widowControl/>
        <w:autoSpaceDE/>
        <w:autoSpaceDN/>
        <w:adjustRightInd/>
        <w:ind w:left="1440" w:hanging="1440"/>
        <w:outlineLvl w:val="0"/>
        <w:rPr>
          <w:rFonts w:ascii="Times New Roman" w:hAnsi="Times New Roman"/>
          <w:sz w:val="24"/>
        </w:rPr>
      </w:pPr>
    </w:p>
    <w:p w:rsidR="00070C88" w:rsidRPr="00FE1D8A" w:rsidRDefault="00070C88" w:rsidP="00070C88">
      <w:pPr>
        <w:widowControl/>
        <w:autoSpaceDE/>
        <w:autoSpaceDN/>
        <w:adjustRightInd/>
        <w:ind w:left="1440" w:hanging="1440"/>
        <w:outlineLvl w:val="0"/>
        <w:rPr>
          <w:rFonts w:ascii="Times New Roman" w:hAnsi="Times New Roman"/>
          <w:sz w:val="24"/>
        </w:rPr>
      </w:pPr>
    </w:p>
    <w:p w:rsidR="00FE1D8A" w:rsidRDefault="00FE1D8A" w:rsidP="00FE1D8A">
      <w:pPr>
        <w:widowControl/>
        <w:autoSpaceDE/>
        <w:autoSpaceDN/>
        <w:adjustRightInd/>
        <w:ind w:left="1440" w:hanging="1440"/>
        <w:outlineLvl w:val="0"/>
        <w:rPr>
          <w:rFonts w:ascii="Times New Roman" w:hAnsi="Times New Roman"/>
          <w:sz w:val="24"/>
        </w:rPr>
      </w:pPr>
    </w:p>
    <w:p w:rsidR="00FC2BD5" w:rsidRPr="00FC2BD5" w:rsidRDefault="00FC2BD5" w:rsidP="00FC2BD5">
      <w:pPr>
        <w:widowControl/>
        <w:autoSpaceDE/>
        <w:autoSpaceDN/>
        <w:adjustRightInd/>
        <w:jc w:val="both"/>
        <w:rPr>
          <w:rFonts w:ascii="Times New Roman" w:hAnsi="Times New Roman"/>
          <w:b/>
          <w:caps/>
          <w:sz w:val="24"/>
        </w:rPr>
      </w:pPr>
      <w:r w:rsidRPr="00FC2BD5">
        <w:rPr>
          <w:rFonts w:ascii="Times New Roman" w:hAnsi="Times New Roman"/>
          <w:b/>
          <w:caps/>
          <w:sz w:val="24"/>
          <w:u w:val="single"/>
        </w:rPr>
        <w:t>Cost of Capital</w:t>
      </w:r>
      <w:r w:rsidRPr="00FC2BD5">
        <w:rPr>
          <w:rFonts w:ascii="Times New Roman" w:hAnsi="Times New Roman"/>
          <w:b/>
          <w:caps/>
          <w:sz w:val="24"/>
        </w:rPr>
        <w:t>:</w:t>
      </w:r>
    </w:p>
    <w:p w:rsidR="00FC2BD5" w:rsidRDefault="00FC2BD5"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jc w:val="both"/>
        <w:outlineLvl w:val="0"/>
        <w:rPr>
          <w:rFonts w:ascii="Times New Roman" w:hAnsi="Times New Roman"/>
          <w:b/>
          <w:sz w:val="24"/>
        </w:rPr>
      </w:pPr>
      <w:r w:rsidRPr="00FE1D8A">
        <w:rPr>
          <w:rFonts w:ascii="Times New Roman" w:hAnsi="Times New Roman"/>
          <w:b/>
          <w:sz w:val="24"/>
          <w:u w:val="single"/>
        </w:rPr>
        <w:t xml:space="preserve">Issue </w:t>
      </w:r>
      <w:fldSimple w:instr=" SEQ Issue \* MERGEFORMAT ">
        <w:r w:rsidR="00405D34" w:rsidRPr="00405D34">
          <w:rPr>
            <w:rFonts w:ascii="Times New Roman" w:hAnsi="Times New Roman"/>
            <w:b/>
            <w:noProof/>
            <w:sz w:val="24"/>
            <w:u w:val="single"/>
          </w:rPr>
          <w:t>3</w:t>
        </w:r>
      </w:fldSimple>
      <w:r w:rsidRPr="00FE1D8A">
        <w:rPr>
          <w:rFonts w:ascii="Times New Roman" w:hAnsi="Times New Roman"/>
          <w:sz w:val="24"/>
        </w:rPr>
        <w:t>:</w:t>
      </w:r>
      <w:r w:rsidRPr="00FE1D8A">
        <w:rPr>
          <w:rFonts w:ascii="Times New Roman" w:hAnsi="Times New Roman"/>
          <w:sz w:val="24"/>
        </w:rPr>
        <w:tab/>
      </w:r>
      <w:r w:rsidR="00FC2BD5" w:rsidRPr="00FC2BD5">
        <w:rPr>
          <w:rFonts w:ascii="Times New Roman" w:hAnsi="Times New Roman"/>
          <w:sz w:val="24"/>
        </w:rPr>
        <w:t>What is the appropriate weighted average cost of capital including the proper components, amounts, and cost rates associated with the capital structure for the test year ended December 31, 2010?</w:t>
      </w:r>
      <w:r w:rsidRPr="00FE1D8A">
        <w:rPr>
          <w:rFonts w:ascii="Times New Roman" w:hAnsi="Times New Roman"/>
          <w:sz w:val="24"/>
        </w:rPr>
        <w:t xml:space="preserve"> </w:t>
      </w:r>
    </w:p>
    <w:p w:rsidR="00FE1D8A" w:rsidRDefault="00FE1D8A" w:rsidP="00FE1D8A">
      <w:pPr>
        <w:widowControl/>
        <w:autoSpaceDE/>
        <w:autoSpaceDN/>
        <w:adjustRightInd/>
        <w:ind w:left="1440" w:hanging="1440"/>
        <w:outlineLvl w:val="0"/>
        <w:rPr>
          <w:rFonts w:ascii="Times New Roman" w:hAnsi="Times New Roman"/>
          <w:sz w:val="24"/>
        </w:rPr>
      </w:pPr>
    </w:p>
    <w:p w:rsidR="00070C88" w:rsidRDefault="00FE1D8A" w:rsidP="00070C88">
      <w:pPr>
        <w:widowControl/>
        <w:autoSpaceDE/>
        <w:autoSpaceDN/>
        <w:adjustRightInd/>
        <w:ind w:left="1440" w:hanging="1440"/>
        <w:jc w:val="both"/>
        <w:outlineLvl w:val="0"/>
        <w:rPr>
          <w:rFonts w:ascii="Times New Roman" w:hAnsi="Times New Roman"/>
          <w:sz w:val="24"/>
        </w:rPr>
      </w:pPr>
      <w:r>
        <w:rPr>
          <w:rFonts w:ascii="Times New Roman" w:hAnsi="Times New Roman"/>
          <w:sz w:val="24"/>
        </w:rPr>
        <w:t>OPC:</w:t>
      </w:r>
      <w:r>
        <w:rPr>
          <w:rFonts w:ascii="Times New Roman" w:hAnsi="Times New Roman"/>
          <w:sz w:val="24"/>
        </w:rPr>
        <w:tab/>
      </w:r>
      <w:r w:rsidR="006E3126">
        <w:rPr>
          <w:rFonts w:ascii="Times New Roman" w:hAnsi="Times New Roman"/>
          <w:sz w:val="24"/>
        </w:rPr>
        <w:t xml:space="preserve">The </w:t>
      </w:r>
      <w:r w:rsidR="006E3126" w:rsidRPr="00FC2BD5">
        <w:rPr>
          <w:rFonts w:ascii="Times New Roman" w:hAnsi="Times New Roman"/>
          <w:sz w:val="24"/>
        </w:rPr>
        <w:t xml:space="preserve">appropriate weighted average cost of capital </w:t>
      </w:r>
      <w:r w:rsidR="007E527A">
        <w:rPr>
          <w:rFonts w:ascii="Times New Roman" w:hAnsi="Times New Roman"/>
          <w:sz w:val="24"/>
        </w:rPr>
        <w:t xml:space="preserve">should remain </w:t>
      </w:r>
      <w:r w:rsidR="006E3126">
        <w:rPr>
          <w:rFonts w:ascii="Times New Roman" w:hAnsi="Times New Roman"/>
          <w:sz w:val="24"/>
        </w:rPr>
        <w:t xml:space="preserve">what was approved and established by PAA </w:t>
      </w:r>
      <w:r w:rsidR="006E3126" w:rsidRPr="006E3126">
        <w:rPr>
          <w:rFonts w:ascii="Times New Roman" w:hAnsi="Times New Roman"/>
          <w:sz w:val="24"/>
        </w:rPr>
        <w:t>Order No. PSC-12-0435-PAA-WU</w:t>
      </w:r>
      <w:r w:rsidR="006E3126">
        <w:rPr>
          <w:rFonts w:ascii="Times New Roman" w:hAnsi="Times New Roman"/>
          <w:sz w:val="24"/>
        </w:rPr>
        <w:t>.</w:t>
      </w:r>
      <w:r w:rsidR="007E527A">
        <w:rPr>
          <w:rFonts w:ascii="Times New Roman" w:hAnsi="Times New Roman"/>
          <w:sz w:val="24"/>
        </w:rPr>
        <w:t xml:space="preserve">  This issue was protested by the Utility and the Utility failed to carry its burden of proof </w:t>
      </w:r>
      <w:r w:rsidR="002B325C">
        <w:rPr>
          <w:rFonts w:ascii="Times New Roman" w:hAnsi="Times New Roman"/>
          <w:sz w:val="24"/>
        </w:rPr>
        <w:t xml:space="preserve">to change </w:t>
      </w:r>
      <w:r w:rsidR="00E2573A">
        <w:rPr>
          <w:rFonts w:ascii="Times New Roman" w:hAnsi="Times New Roman"/>
          <w:sz w:val="24"/>
        </w:rPr>
        <w:t xml:space="preserve">what was approved </w:t>
      </w:r>
      <w:r w:rsidR="007E527A">
        <w:rPr>
          <w:rFonts w:ascii="Times New Roman" w:hAnsi="Times New Roman"/>
          <w:sz w:val="24"/>
        </w:rPr>
        <w:t xml:space="preserve">by the PAA </w:t>
      </w:r>
      <w:r w:rsidR="007E527A" w:rsidRPr="006E3126">
        <w:rPr>
          <w:rFonts w:ascii="Times New Roman" w:hAnsi="Times New Roman"/>
          <w:sz w:val="24"/>
        </w:rPr>
        <w:t>Order</w:t>
      </w:r>
      <w:r w:rsidR="007E527A">
        <w:rPr>
          <w:rFonts w:ascii="Times New Roman" w:hAnsi="Times New Roman"/>
          <w:sz w:val="24"/>
        </w:rPr>
        <w:t xml:space="preserve">. </w:t>
      </w:r>
      <w:r w:rsidR="00E2573A">
        <w:rPr>
          <w:rFonts w:ascii="Times New Roman" w:hAnsi="Times New Roman"/>
          <w:sz w:val="24"/>
        </w:rPr>
        <w:t xml:space="preserve"> </w:t>
      </w:r>
      <w:r w:rsidR="007E527A">
        <w:rPr>
          <w:rFonts w:ascii="Times New Roman" w:hAnsi="Times New Roman"/>
          <w:sz w:val="24"/>
        </w:rPr>
        <w:t>Rate case expense for protesting and losing this issue is addressed under Issue 7.  (Schultz)</w:t>
      </w:r>
    </w:p>
    <w:p w:rsidR="00070C88" w:rsidRDefault="00070C88" w:rsidP="00070C88">
      <w:pPr>
        <w:widowControl/>
        <w:autoSpaceDE/>
        <w:autoSpaceDN/>
        <w:adjustRightInd/>
        <w:ind w:left="1440" w:hanging="1440"/>
        <w:outlineLvl w:val="0"/>
        <w:rPr>
          <w:rFonts w:ascii="Times New Roman" w:hAnsi="Times New Roman"/>
          <w:sz w:val="24"/>
        </w:rPr>
      </w:pPr>
    </w:p>
    <w:p w:rsidR="00070C88" w:rsidRPr="00FE1D8A" w:rsidRDefault="00070C88" w:rsidP="00070C88">
      <w:pPr>
        <w:widowControl/>
        <w:autoSpaceDE/>
        <w:autoSpaceDN/>
        <w:adjustRightInd/>
        <w:ind w:left="1440" w:hanging="1440"/>
        <w:outlineLvl w:val="0"/>
        <w:rPr>
          <w:rFonts w:ascii="Times New Roman" w:hAnsi="Times New Roman"/>
          <w:sz w:val="24"/>
        </w:rPr>
      </w:pPr>
    </w:p>
    <w:p w:rsidR="00FE1D8A" w:rsidRDefault="00FE1D8A" w:rsidP="00FE1D8A">
      <w:pPr>
        <w:widowControl/>
        <w:autoSpaceDE/>
        <w:autoSpaceDN/>
        <w:adjustRightInd/>
        <w:ind w:left="1440" w:hanging="1440"/>
        <w:outlineLvl w:val="0"/>
        <w:rPr>
          <w:rFonts w:ascii="Times New Roman" w:hAnsi="Times New Roman"/>
          <w:sz w:val="24"/>
        </w:rPr>
      </w:pPr>
    </w:p>
    <w:p w:rsidR="00FC2BD5" w:rsidRPr="00FC2BD5" w:rsidRDefault="00FC2BD5" w:rsidP="00FC2BD5">
      <w:pPr>
        <w:widowControl/>
        <w:tabs>
          <w:tab w:val="left" w:pos="7920"/>
        </w:tabs>
        <w:autoSpaceDE/>
        <w:autoSpaceDN/>
        <w:adjustRightInd/>
        <w:ind w:right="540"/>
        <w:jc w:val="both"/>
        <w:rPr>
          <w:rFonts w:ascii="Times New Roman" w:hAnsi="Times New Roman"/>
          <w:b/>
          <w:caps/>
          <w:sz w:val="24"/>
        </w:rPr>
      </w:pPr>
      <w:r w:rsidRPr="00FC2BD5">
        <w:rPr>
          <w:rFonts w:ascii="Times New Roman" w:hAnsi="Times New Roman"/>
          <w:b/>
          <w:caps/>
          <w:sz w:val="24"/>
          <w:u w:val="single"/>
        </w:rPr>
        <w:t>Net Operating Income</w:t>
      </w:r>
      <w:r w:rsidRPr="00FC2BD5">
        <w:rPr>
          <w:rFonts w:ascii="Times New Roman" w:hAnsi="Times New Roman"/>
          <w:b/>
          <w:caps/>
          <w:sz w:val="24"/>
        </w:rPr>
        <w:t>:</w:t>
      </w:r>
    </w:p>
    <w:p w:rsidR="00FC2BD5" w:rsidRPr="00FE1D8A" w:rsidRDefault="00FC2BD5"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jc w:val="both"/>
        <w:outlineLvl w:val="0"/>
        <w:rPr>
          <w:rFonts w:ascii="Times New Roman" w:hAnsi="Times New Roman"/>
          <w:b/>
          <w:sz w:val="24"/>
        </w:rPr>
      </w:pPr>
      <w:r w:rsidRPr="00FE1D8A">
        <w:rPr>
          <w:rFonts w:ascii="Times New Roman" w:hAnsi="Times New Roman"/>
          <w:b/>
          <w:sz w:val="24"/>
          <w:u w:val="single"/>
        </w:rPr>
        <w:t xml:space="preserve">Issue </w:t>
      </w:r>
      <w:fldSimple w:instr=" SEQ Issue \* MERGEFORMAT ">
        <w:r w:rsidR="00405D34" w:rsidRPr="00405D34">
          <w:rPr>
            <w:rFonts w:ascii="Times New Roman" w:hAnsi="Times New Roman"/>
            <w:b/>
            <w:noProof/>
            <w:sz w:val="24"/>
            <w:u w:val="single"/>
          </w:rPr>
          <w:t>4</w:t>
        </w:r>
      </w:fldSimple>
      <w:r w:rsidRPr="00FE1D8A">
        <w:rPr>
          <w:rFonts w:ascii="Times New Roman" w:hAnsi="Times New Roman"/>
          <w:sz w:val="24"/>
        </w:rPr>
        <w:t>:</w:t>
      </w:r>
      <w:r w:rsidRPr="00FE1D8A">
        <w:rPr>
          <w:rFonts w:ascii="Times New Roman" w:hAnsi="Times New Roman"/>
          <w:sz w:val="24"/>
        </w:rPr>
        <w:tab/>
      </w:r>
      <w:r w:rsidR="00FC2BD5" w:rsidRPr="00FC2BD5">
        <w:rPr>
          <w:rFonts w:ascii="Times New Roman" w:hAnsi="Times New Roman"/>
          <w:sz w:val="24"/>
        </w:rPr>
        <w:t>Should any adjustments be made to contractual services – accounting expense?</w:t>
      </w:r>
      <w:r w:rsidRPr="00FE1D8A">
        <w:rPr>
          <w:rFonts w:ascii="Times New Roman" w:hAnsi="Times New Roman"/>
          <w:sz w:val="24"/>
        </w:rPr>
        <w:t xml:space="preserve"> </w:t>
      </w:r>
    </w:p>
    <w:p w:rsidR="00FE1D8A" w:rsidRDefault="00FE1D8A" w:rsidP="00FE1D8A">
      <w:pPr>
        <w:widowControl/>
        <w:autoSpaceDE/>
        <w:autoSpaceDN/>
        <w:adjustRightInd/>
        <w:ind w:left="1440" w:hanging="1440"/>
        <w:outlineLvl w:val="0"/>
        <w:rPr>
          <w:rFonts w:ascii="Times New Roman" w:hAnsi="Times New Roman"/>
          <w:sz w:val="24"/>
        </w:rPr>
      </w:pPr>
    </w:p>
    <w:p w:rsidR="00877CD7" w:rsidRDefault="00FE1D8A" w:rsidP="00877CD7">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4A7C41">
        <w:rPr>
          <w:rFonts w:ascii="Times New Roman" w:hAnsi="Times New Roman"/>
          <w:sz w:val="24"/>
        </w:rPr>
        <w:t xml:space="preserve">Yes. </w:t>
      </w:r>
      <w:r w:rsidR="00B34CF4">
        <w:rPr>
          <w:rFonts w:ascii="Times New Roman" w:hAnsi="Times New Roman"/>
          <w:sz w:val="24"/>
        </w:rPr>
        <w:t xml:space="preserve"> </w:t>
      </w:r>
      <w:r w:rsidR="004A7C41">
        <w:rPr>
          <w:rFonts w:ascii="Times New Roman" w:hAnsi="Times New Roman"/>
          <w:sz w:val="24"/>
        </w:rPr>
        <w:t xml:space="preserve">Contractual Services – Accounting expense </w:t>
      </w:r>
      <w:r w:rsidR="00627006">
        <w:rPr>
          <w:rFonts w:ascii="Times New Roman" w:hAnsi="Times New Roman"/>
          <w:sz w:val="24"/>
        </w:rPr>
        <w:t xml:space="preserve">requested in the Utility’s Minimum Filing Requirements (MFRs) </w:t>
      </w:r>
      <w:r w:rsidR="004A7C41">
        <w:rPr>
          <w:rFonts w:ascii="Times New Roman" w:hAnsi="Times New Roman"/>
          <w:sz w:val="24"/>
        </w:rPr>
        <w:t xml:space="preserve">should be reduced to $3,667 as established by PAA Order No. PSC-12-0435-PAA-WU. </w:t>
      </w:r>
      <w:r w:rsidR="00E2573A">
        <w:rPr>
          <w:rFonts w:ascii="Times New Roman" w:hAnsi="Times New Roman"/>
          <w:sz w:val="24"/>
        </w:rPr>
        <w:t xml:space="preserve"> </w:t>
      </w:r>
      <w:r w:rsidR="006E3126">
        <w:rPr>
          <w:rFonts w:ascii="Times New Roman" w:hAnsi="Times New Roman"/>
          <w:sz w:val="24"/>
        </w:rPr>
        <w:t>This issue was protested by the Utility</w:t>
      </w:r>
      <w:r w:rsidR="00E2573A">
        <w:rPr>
          <w:rFonts w:ascii="Times New Roman" w:hAnsi="Times New Roman"/>
          <w:sz w:val="24"/>
        </w:rPr>
        <w:t xml:space="preserve"> and t</w:t>
      </w:r>
      <w:r w:rsidR="006E3126">
        <w:rPr>
          <w:rFonts w:ascii="Times New Roman" w:hAnsi="Times New Roman"/>
          <w:sz w:val="24"/>
        </w:rPr>
        <w:t xml:space="preserve">he Utility failed to carry its burden of proof regarding any change to the </w:t>
      </w:r>
      <w:r w:rsidR="006E3126" w:rsidRPr="00FC2BD5">
        <w:rPr>
          <w:rFonts w:ascii="Times New Roman" w:hAnsi="Times New Roman"/>
          <w:sz w:val="24"/>
        </w:rPr>
        <w:t>expense</w:t>
      </w:r>
      <w:r w:rsidR="006E3126">
        <w:rPr>
          <w:rFonts w:ascii="Times New Roman" w:hAnsi="Times New Roman"/>
          <w:sz w:val="24"/>
        </w:rPr>
        <w:t xml:space="preserve"> approved by </w:t>
      </w:r>
      <w:r w:rsidR="004A7C41">
        <w:rPr>
          <w:rFonts w:ascii="Times New Roman" w:hAnsi="Times New Roman"/>
          <w:sz w:val="24"/>
        </w:rPr>
        <w:t xml:space="preserve">the </w:t>
      </w:r>
      <w:r w:rsidR="006E3126">
        <w:rPr>
          <w:rFonts w:ascii="Times New Roman" w:hAnsi="Times New Roman"/>
          <w:sz w:val="24"/>
        </w:rPr>
        <w:t xml:space="preserve">PAA </w:t>
      </w:r>
      <w:r w:rsidR="006E3126" w:rsidRPr="006E3126">
        <w:rPr>
          <w:rFonts w:ascii="Times New Roman" w:hAnsi="Times New Roman"/>
          <w:sz w:val="24"/>
        </w:rPr>
        <w:t>Order</w:t>
      </w:r>
      <w:r w:rsidR="006E3126">
        <w:rPr>
          <w:rFonts w:ascii="Times New Roman" w:hAnsi="Times New Roman"/>
          <w:sz w:val="24"/>
        </w:rPr>
        <w:t xml:space="preserve">.  </w:t>
      </w:r>
      <w:r w:rsidR="00BD0F00">
        <w:rPr>
          <w:rFonts w:ascii="Times New Roman" w:hAnsi="Times New Roman"/>
          <w:sz w:val="24"/>
        </w:rPr>
        <w:t xml:space="preserve">Rate case expense for protesting and losing this issue is addressed under Issue 7.  </w:t>
      </w:r>
      <w:r w:rsidR="00877CD7">
        <w:rPr>
          <w:rFonts w:ascii="Times New Roman" w:hAnsi="Times New Roman"/>
          <w:sz w:val="24"/>
        </w:rPr>
        <w:t xml:space="preserve">(Schultz)  </w:t>
      </w:r>
    </w:p>
    <w:p w:rsidR="003449AE" w:rsidRPr="003449AE" w:rsidRDefault="00877CD7" w:rsidP="00FC2BD5">
      <w:pPr>
        <w:ind w:left="1440" w:hanging="1440"/>
        <w:jc w:val="both"/>
        <w:rPr>
          <w:rFonts w:ascii="Times New Roman" w:hAnsi="Times New Roman"/>
          <w:sz w:val="24"/>
        </w:rPr>
      </w:pPr>
      <w:r>
        <w:rPr>
          <w:rFonts w:ascii="Times New Roman" w:hAnsi="Times New Roman"/>
          <w:sz w:val="24"/>
        </w:rPr>
        <w:t xml:space="preserve">  </w:t>
      </w:r>
    </w:p>
    <w:p w:rsidR="00FE1D8A" w:rsidRPr="003449AE" w:rsidRDefault="00FE1D8A" w:rsidP="003449AE">
      <w:pPr>
        <w:widowControl/>
        <w:autoSpaceDE/>
        <w:autoSpaceDN/>
        <w:adjustRightInd/>
        <w:spacing w:line="276" w:lineRule="auto"/>
        <w:ind w:left="1440" w:hanging="1440"/>
        <w:jc w:val="both"/>
        <w:outlineLvl w:val="0"/>
        <w:rPr>
          <w:rFonts w:ascii="Times New Roman" w:hAnsi="Times New Roman"/>
          <w:sz w:val="24"/>
        </w:rPr>
      </w:pPr>
    </w:p>
    <w:p w:rsid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outlineLvl w:val="0"/>
        <w:rPr>
          <w:rFonts w:ascii="Times New Roman" w:hAnsi="Times New Roman"/>
          <w:sz w:val="24"/>
        </w:rPr>
      </w:pPr>
    </w:p>
    <w:p w:rsidR="00FE1D8A" w:rsidRPr="00FE1D8A" w:rsidRDefault="00FE1D8A" w:rsidP="00FE1D8A">
      <w:pPr>
        <w:widowControl/>
        <w:autoSpaceDE/>
        <w:autoSpaceDN/>
        <w:adjustRightInd/>
        <w:ind w:left="1440" w:hanging="1440"/>
        <w:jc w:val="both"/>
        <w:outlineLvl w:val="0"/>
        <w:rPr>
          <w:rFonts w:ascii="Times New Roman" w:hAnsi="Times New Roman"/>
          <w:b/>
          <w:i/>
          <w:sz w:val="24"/>
        </w:rPr>
      </w:pPr>
      <w:r w:rsidRPr="00FE1D8A">
        <w:rPr>
          <w:rFonts w:ascii="Times New Roman" w:hAnsi="Times New Roman"/>
          <w:b/>
          <w:sz w:val="24"/>
          <w:u w:val="single"/>
        </w:rPr>
        <w:t xml:space="preserve">Issue </w:t>
      </w:r>
      <w:fldSimple w:instr=" SEQ Issue \* MERGEFORMAT ">
        <w:r w:rsidR="00405D34" w:rsidRPr="00405D34">
          <w:rPr>
            <w:rFonts w:ascii="Times New Roman" w:hAnsi="Times New Roman"/>
            <w:b/>
            <w:noProof/>
            <w:sz w:val="24"/>
            <w:u w:val="single"/>
          </w:rPr>
          <w:t>5</w:t>
        </w:r>
      </w:fldSimple>
      <w:r w:rsidRPr="00FE1D8A">
        <w:rPr>
          <w:rFonts w:ascii="Times New Roman" w:hAnsi="Times New Roman"/>
          <w:sz w:val="24"/>
        </w:rPr>
        <w:t>:</w:t>
      </w:r>
      <w:r w:rsidRPr="00FE1D8A">
        <w:rPr>
          <w:rFonts w:ascii="Times New Roman" w:hAnsi="Times New Roman"/>
          <w:sz w:val="24"/>
        </w:rPr>
        <w:tab/>
      </w:r>
      <w:r w:rsidR="00FC2BD5" w:rsidRPr="00FC2BD5">
        <w:rPr>
          <w:rFonts w:ascii="Times New Roman" w:hAnsi="Times New Roman"/>
          <w:sz w:val="24"/>
        </w:rPr>
        <w:t xml:space="preserve">Should any adjustments be made to transportation expense? </w:t>
      </w:r>
    </w:p>
    <w:p w:rsidR="00FE1D8A" w:rsidRDefault="00FE1D8A" w:rsidP="00FE1D8A">
      <w:pPr>
        <w:widowControl/>
        <w:autoSpaceDE/>
        <w:autoSpaceDN/>
        <w:adjustRightInd/>
        <w:ind w:left="1440" w:hanging="1440"/>
        <w:outlineLvl w:val="0"/>
        <w:rPr>
          <w:rFonts w:ascii="Times New Roman" w:hAnsi="Times New Roman"/>
          <w:sz w:val="24"/>
        </w:rPr>
      </w:pPr>
    </w:p>
    <w:p w:rsidR="00877CD7" w:rsidRDefault="00877CD7" w:rsidP="00877CD7">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4A7C41">
        <w:rPr>
          <w:rFonts w:ascii="Times New Roman" w:hAnsi="Times New Roman"/>
          <w:sz w:val="24"/>
        </w:rPr>
        <w:t xml:space="preserve">Yes. </w:t>
      </w:r>
      <w:r w:rsidR="00B00CC4">
        <w:rPr>
          <w:rFonts w:ascii="Times New Roman" w:hAnsi="Times New Roman"/>
          <w:sz w:val="24"/>
        </w:rPr>
        <w:t xml:space="preserve"> </w:t>
      </w:r>
      <w:r w:rsidR="004A7C41">
        <w:rPr>
          <w:rFonts w:ascii="Times New Roman" w:hAnsi="Times New Roman"/>
          <w:sz w:val="24"/>
        </w:rPr>
        <w:t xml:space="preserve">Transportation expense </w:t>
      </w:r>
      <w:r w:rsidR="00627006">
        <w:rPr>
          <w:rFonts w:ascii="Times New Roman" w:hAnsi="Times New Roman"/>
          <w:sz w:val="24"/>
        </w:rPr>
        <w:t xml:space="preserve">requested in the MFRs </w:t>
      </w:r>
      <w:r w:rsidR="004A7C41">
        <w:rPr>
          <w:rFonts w:ascii="Times New Roman" w:hAnsi="Times New Roman"/>
          <w:sz w:val="24"/>
        </w:rPr>
        <w:t xml:space="preserve">should be reduced to $31,721 as established by PAA Order No. PSC-12-0435-PAA-WU. </w:t>
      </w:r>
      <w:r w:rsidR="00B00CC4">
        <w:rPr>
          <w:rFonts w:ascii="Times New Roman" w:hAnsi="Times New Roman"/>
          <w:sz w:val="24"/>
        </w:rPr>
        <w:t xml:space="preserve"> </w:t>
      </w:r>
      <w:r>
        <w:rPr>
          <w:rFonts w:ascii="Times New Roman" w:hAnsi="Times New Roman"/>
          <w:sz w:val="24"/>
        </w:rPr>
        <w:t xml:space="preserve">This issue was protested by the </w:t>
      </w:r>
      <w:r w:rsidR="00E2573A">
        <w:rPr>
          <w:rFonts w:ascii="Times New Roman" w:hAnsi="Times New Roman"/>
          <w:sz w:val="24"/>
        </w:rPr>
        <w:t xml:space="preserve">Utility and the </w:t>
      </w:r>
      <w:r>
        <w:rPr>
          <w:rFonts w:ascii="Times New Roman" w:hAnsi="Times New Roman"/>
          <w:sz w:val="24"/>
        </w:rPr>
        <w:t>Utility failed to carry its burden of proof regarding any change to the transportation</w:t>
      </w:r>
      <w:r w:rsidRPr="00FC2BD5">
        <w:rPr>
          <w:rFonts w:ascii="Times New Roman" w:hAnsi="Times New Roman"/>
          <w:sz w:val="24"/>
        </w:rPr>
        <w:t xml:space="preserve"> expense</w:t>
      </w:r>
      <w:r>
        <w:rPr>
          <w:rFonts w:ascii="Times New Roman" w:hAnsi="Times New Roman"/>
          <w:sz w:val="24"/>
        </w:rPr>
        <w:t xml:space="preserve"> approved by </w:t>
      </w:r>
      <w:r w:rsidR="004A7C41">
        <w:rPr>
          <w:rFonts w:ascii="Times New Roman" w:hAnsi="Times New Roman"/>
          <w:sz w:val="24"/>
        </w:rPr>
        <w:t xml:space="preserve">the </w:t>
      </w:r>
      <w:r>
        <w:rPr>
          <w:rFonts w:ascii="Times New Roman" w:hAnsi="Times New Roman"/>
          <w:sz w:val="24"/>
        </w:rPr>
        <w:t xml:space="preserve">PAA </w:t>
      </w:r>
      <w:r w:rsidRPr="006E3126">
        <w:rPr>
          <w:rFonts w:ascii="Times New Roman" w:hAnsi="Times New Roman"/>
          <w:sz w:val="24"/>
        </w:rPr>
        <w:t>Order</w:t>
      </w:r>
      <w:r>
        <w:rPr>
          <w:rFonts w:ascii="Times New Roman" w:hAnsi="Times New Roman"/>
          <w:sz w:val="24"/>
        </w:rPr>
        <w:t xml:space="preserve">.  </w:t>
      </w:r>
      <w:r w:rsidR="00627006">
        <w:rPr>
          <w:rFonts w:ascii="Times New Roman" w:hAnsi="Times New Roman"/>
          <w:sz w:val="24"/>
        </w:rPr>
        <w:t xml:space="preserve">Rate case expense for protesting and losing this issue is addressed under Issue 7. </w:t>
      </w:r>
      <w:r w:rsidR="00046A76">
        <w:rPr>
          <w:rFonts w:ascii="Times New Roman" w:hAnsi="Times New Roman"/>
          <w:sz w:val="24"/>
        </w:rPr>
        <w:t xml:space="preserve"> </w:t>
      </w:r>
      <w:r>
        <w:rPr>
          <w:rFonts w:ascii="Times New Roman" w:hAnsi="Times New Roman"/>
          <w:sz w:val="24"/>
        </w:rPr>
        <w:t xml:space="preserve">(Schultz)  </w:t>
      </w:r>
    </w:p>
    <w:p w:rsidR="003002A5" w:rsidRDefault="003002A5" w:rsidP="00FE1D8A">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w:t>
      </w:r>
      <w:r w:rsidR="00DF3941">
        <w:rPr>
          <w:rFonts w:ascii="Times New Roman" w:hAnsi="Times New Roman"/>
          <w:b/>
          <w:sz w:val="24"/>
          <w:u w:val="single"/>
        </w:rPr>
        <w:t>e 6</w:t>
      </w:r>
      <w:r w:rsidRPr="00FE1D8A">
        <w:rPr>
          <w:rFonts w:ascii="Times New Roman" w:hAnsi="Times New Roman"/>
          <w:sz w:val="24"/>
        </w:rPr>
        <w:t>:</w:t>
      </w:r>
      <w:r w:rsidRPr="00FE1D8A">
        <w:rPr>
          <w:rFonts w:ascii="Times New Roman" w:hAnsi="Times New Roman"/>
          <w:sz w:val="24"/>
        </w:rPr>
        <w:tab/>
      </w:r>
      <w:r w:rsidR="00DF3941" w:rsidRPr="00DF3941">
        <w:rPr>
          <w:rFonts w:ascii="Times New Roman" w:hAnsi="Times New Roman"/>
          <w:sz w:val="24"/>
        </w:rPr>
        <w:t>Should an adjustment be made to rate case expense previously authorized by Order No. PSC-11-0010-SC-WU, currently being amortized in customer rates, and if so, in what amount?</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877CD7">
        <w:rPr>
          <w:rFonts w:ascii="Times New Roman" w:hAnsi="Times New Roman"/>
          <w:sz w:val="24"/>
        </w:rPr>
        <w:t xml:space="preserve">Yes.  </w:t>
      </w:r>
      <w:r w:rsidR="005A0933">
        <w:rPr>
          <w:rFonts w:ascii="Times New Roman" w:hAnsi="Times New Roman"/>
          <w:sz w:val="24"/>
        </w:rPr>
        <w:t xml:space="preserve">This </w:t>
      </w:r>
      <w:r w:rsidR="00B34CF4">
        <w:rPr>
          <w:rFonts w:ascii="Times New Roman" w:hAnsi="Times New Roman"/>
          <w:sz w:val="24"/>
        </w:rPr>
        <w:t xml:space="preserve">issue presents </w:t>
      </w:r>
      <w:r w:rsidR="005A0933">
        <w:rPr>
          <w:rFonts w:ascii="Times New Roman" w:hAnsi="Times New Roman"/>
          <w:sz w:val="24"/>
        </w:rPr>
        <w:t>a case of first impression</w:t>
      </w:r>
      <w:r w:rsidR="00B34CF4">
        <w:rPr>
          <w:rFonts w:ascii="Times New Roman" w:hAnsi="Times New Roman"/>
          <w:sz w:val="24"/>
        </w:rPr>
        <w:t>.</w:t>
      </w:r>
      <w:r w:rsidR="005A0933">
        <w:rPr>
          <w:rFonts w:ascii="Times New Roman" w:hAnsi="Times New Roman"/>
          <w:sz w:val="24"/>
        </w:rPr>
        <w:t xml:space="preserve">  To OPC’s knowledge, no other regulated utility has done what this Utility has done regarding previously approved rate case expense.  This </w:t>
      </w:r>
      <w:r w:rsidR="00877CD7">
        <w:rPr>
          <w:rFonts w:ascii="Times New Roman" w:hAnsi="Times New Roman"/>
          <w:sz w:val="24"/>
        </w:rPr>
        <w:t>Utility previously stopped payment to its prior law firm for legal services incurred in the last rate case</w:t>
      </w:r>
      <w:r w:rsidR="005A0933">
        <w:rPr>
          <w:rFonts w:ascii="Times New Roman" w:hAnsi="Times New Roman"/>
          <w:sz w:val="24"/>
        </w:rPr>
        <w:t xml:space="preserve">.  This </w:t>
      </w:r>
      <w:r w:rsidR="00877CD7">
        <w:rPr>
          <w:rFonts w:ascii="Times New Roman" w:hAnsi="Times New Roman"/>
          <w:sz w:val="24"/>
        </w:rPr>
        <w:t xml:space="preserve">Utility indicated in writing to the law firm that it disputed </w:t>
      </w:r>
      <w:r w:rsidR="005A0933">
        <w:rPr>
          <w:rFonts w:ascii="Times New Roman" w:hAnsi="Times New Roman"/>
          <w:sz w:val="24"/>
        </w:rPr>
        <w:t xml:space="preserve">its final bill </w:t>
      </w:r>
      <w:r w:rsidR="00877CD7">
        <w:rPr>
          <w:rFonts w:ascii="Times New Roman" w:hAnsi="Times New Roman"/>
          <w:sz w:val="24"/>
        </w:rPr>
        <w:t xml:space="preserve">contrary to statements </w:t>
      </w:r>
      <w:r w:rsidR="005A0933">
        <w:rPr>
          <w:rFonts w:ascii="Times New Roman" w:hAnsi="Times New Roman"/>
          <w:sz w:val="24"/>
        </w:rPr>
        <w:t xml:space="preserve">which </w:t>
      </w:r>
      <w:r w:rsidR="00877CD7">
        <w:rPr>
          <w:rFonts w:ascii="Times New Roman" w:hAnsi="Times New Roman"/>
          <w:sz w:val="24"/>
        </w:rPr>
        <w:t>the Utility made to the Commission that it did not dispute the amount owed</w:t>
      </w:r>
      <w:r w:rsidR="005A0933">
        <w:rPr>
          <w:rFonts w:ascii="Times New Roman" w:hAnsi="Times New Roman"/>
          <w:sz w:val="24"/>
        </w:rPr>
        <w:t xml:space="preserve">.  There is no written agreement or guarantee in writing </w:t>
      </w:r>
      <w:r w:rsidR="004A7C41">
        <w:rPr>
          <w:rFonts w:ascii="Times New Roman" w:hAnsi="Times New Roman"/>
          <w:sz w:val="24"/>
        </w:rPr>
        <w:t xml:space="preserve">(subsequent to the original representation agreement) </w:t>
      </w:r>
      <w:r w:rsidR="005A0933">
        <w:rPr>
          <w:rFonts w:ascii="Times New Roman" w:hAnsi="Times New Roman"/>
          <w:sz w:val="24"/>
        </w:rPr>
        <w:t xml:space="preserve">that the Utility will continue making payments to its prior law firm in the amount approved by </w:t>
      </w:r>
      <w:r w:rsidR="005A0933" w:rsidRPr="00DF3941">
        <w:rPr>
          <w:rFonts w:ascii="Times New Roman" w:hAnsi="Times New Roman"/>
          <w:sz w:val="24"/>
        </w:rPr>
        <w:t>Order No. PSC-11-0010-SC-WU</w:t>
      </w:r>
      <w:r w:rsidR="005A0933">
        <w:rPr>
          <w:rFonts w:ascii="Times New Roman" w:hAnsi="Times New Roman"/>
          <w:sz w:val="24"/>
        </w:rPr>
        <w:t xml:space="preserve"> after this contested proceeding concludes.  </w:t>
      </w:r>
      <w:r w:rsidR="00E917C7">
        <w:rPr>
          <w:rFonts w:ascii="Times New Roman" w:hAnsi="Times New Roman"/>
          <w:sz w:val="24"/>
        </w:rPr>
        <w:t xml:space="preserve">The stopping of payment and attempts to </w:t>
      </w:r>
      <w:r w:rsidR="00C54515">
        <w:rPr>
          <w:rFonts w:ascii="Times New Roman" w:hAnsi="Times New Roman"/>
          <w:sz w:val="24"/>
        </w:rPr>
        <w:t xml:space="preserve">negotiate and </w:t>
      </w:r>
      <w:r w:rsidR="00E917C7">
        <w:rPr>
          <w:rFonts w:ascii="Times New Roman" w:hAnsi="Times New Roman"/>
          <w:sz w:val="24"/>
        </w:rPr>
        <w:t xml:space="preserve">lower its legal bill all constitute a change in circumstances </w:t>
      </w:r>
      <w:r w:rsidR="00B34CF4">
        <w:rPr>
          <w:rFonts w:ascii="Times New Roman" w:hAnsi="Times New Roman"/>
          <w:sz w:val="24"/>
        </w:rPr>
        <w:t xml:space="preserve">that calls on the </w:t>
      </w:r>
      <w:r w:rsidR="00E917C7">
        <w:rPr>
          <w:rFonts w:ascii="Times New Roman" w:hAnsi="Times New Roman"/>
          <w:sz w:val="24"/>
        </w:rPr>
        <w:t xml:space="preserve">Commission to revisit the amount of rate case expense it previously approved.  </w:t>
      </w:r>
      <w:r w:rsidR="005A0933">
        <w:rPr>
          <w:rFonts w:ascii="Times New Roman" w:hAnsi="Times New Roman"/>
          <w:sz w:val="24"/>
        </w:rPr>
        <w:t>Further, as demonstrated by evidence presented for Issue 10, the Utility has a history of advancing utility money that should be used for utility purposes (such as paying rate case expense) for non-utility purposes.  For these reasons, the Commission should remove from rates all or a substantial portion of the legal fees previously approved by the Commission which to date remain unpaid.  Further the Commission should consider removing other previously approved rate case expense for other consultants which at the time of the contested hearing still remains outstanding.  (Vandiver)</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w:t>
      </w:r>
      <w:r w:rsidR="00DF3941">
        <w:rPr>
          <w:rFonts w:ascii="Times New Roman" w:hAnsi="Times New Roman"/>
          <w:b/>
          <w:sz w:val="24"/>
          <w:u w:val="single"/>
        </w:rPr>
        <w:t>e 7</w:t>
      </w:r>
      <w:r w:rsidRPr="00FE1D8A">
        <w:rPr>
          <w:rFonts w:ascii="Times New Roman" w:hAnsi="Times New Roman"/>
          <w:sz w:val="24"/>
        </w:rPr>
        <w:t>:</w:t>
      </w:r>
      <w:r w:rsidRPr="00FE1D8A">
        <w:rPr>
          <w:rFonts w:ascii="Times New Roman" w:hAnsi="Times New Roman"/>
          <w:sz w:val="24"/>
        </w:rPr>
        <w:tab/>
      </w:r>
      <w:r w:rsidR="00DF3941" w:rsidRPr="00DF3941">
        <w:rPr>
          <w:rFonts w:ascii="Times New Roman" w:hAnsi="Times New Roman"/>
          <w:sz w:val="24"/>
        </w:rPr>
        <w:t>What is the appropriate amount of additional rate case expense associated with the protest of Order No. PSC-12-0435-PAA-WU?</w:t>
      </w:r>
    </w:p>
    <w:p w:rsidR="00FC2BD5" w:rsidRDefault="00FC2BD5" w:rsidP="00FC2BD5">
      <w:pPr>
        <w:widowControl/>
        <w:autoSpaceDE/>
        <w:autoSpaceDN/>
        <w:adjustRightInd/>
        <w:ind w:left="1440" w:hanging="1440"/>
        <w:outlineLvl w:val="0"/>
        <w:rPr>
          <w:rFonts w:ascii="Times New Roman" w:hAnsi="Times New Roman"/>
          <w:sz w:val="24"/>
        </w:rPr>
      </w:pPr>
    </w:p>
    <w:p w:rsidR="00E4763B" w:rsidRDefault="00FC2BD5" w:rsidP="00F21FFD">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E4763B">
        <w:rPr>
          <w:rFonts w:ascii="Times New Roman" w:hAnsi="Times New Roman"/>
          <w:sz w:val="24"/>
        </w:rPr>
        <w:t xml:space="preserve">The Commission should review and </w:t>
      </w:r>
      <w:r w:rsidR="005A0933">
        <w:rPr>
          <w:rFonts w:ascii="Times New Roman" w:hAnsi="Times New Roman"/>
          <w:sz w:val="24"/>
        </w:rPr>
        <w:t>remov</w:t>
      </w:r>
      <w:r w:rsidR="00E4763B">
        <w:rPr>
          <w:rFonts w:ascii="Times New Roman" w:hAnsi="Times New Roman"/>
          <w:sz w:val="24"/>
        </w:rPr>
        <w:t>e the</w:t>
      </w:r>
      <w:r w:rsidR="005A0933">
        <w:rPr>
          <w:rFonts w:ascii="Times New Roman" w:hAnsi="Times New Roman"/>
          <w:sz w:val="24"/>
        </w:rPr>
        <w:t xml:space="preserve"> unreasonable</w:t>
      </w:r>
      <w:r w:rsidR="00E4763B">
        <w:rPr>
          <w:rFonts w:ascii="Times New Roman" w:hAnsi="Times New Roman"/>
          <w:sz w:val="24"/>
        </w:rPr>
        <w:t xml:space="preserve"> rate case expense incurred for the Utility’s motion to dismiss, the unreasonable rate case expense incurred for objections to OPC’s lawful discovery requests, the unreasonable rate case expense incurred for responses opposing OPC’s motions to compel lawful discovery responses, and remove rate case expense for other unsupported and/or otherwise unreasonable rate case expense.  After the unreasonable or unsupported rate case expense, the Commission should allow only 1/12 of the remaining rate case expense for each of the issues OPC protested and for each of the successfully protested Utility issues.  If the Utility fails to gain an adjustment for any of its protested issues or otherwise disturb the amount approved by PAA </w:t>
      </w:r>
      <w:r w:rsidR="00E4763B" w:rsidRPr="00DF3941">
        <w:rPr>
          <w:rFonts w:ascii="Times New Roman" w:hAnsi="Times New Roman"/>
          <w:sz w:val="24"/>
        </w:rPr>
        <w:t>Order No. PSC-12-0435-PAA-WU</w:t>
      </w:r>
      <w:r w:rsidR="00E4763B">
        <w:rPr>
          <w:rFonts w:ascii="Times New Roman" w:hAnsi="Times New Roman"/>
          <w:sz w:val="24"/>
        </w:rPr>
        <w:t xml:space="preserve">, the Commission should disallow rate case expense for each of those losing issues consistent with the Commission precedent established by </w:t>
      </w:r>
      <w:r w:rsidR="00E4763B" w:rsidRPr="00877CD7">
        <w:rPr>
          <w:rFonts w:ascii="Times New Roman" w:hAnsi="Times New Roman"/>
          <w:sz w:val="24"/>
        </w:rPr>
        <w:t xml:space="preserve">Order No. PSC-94-0738-FOF-WU, issued June 15, 1994, in Docket No. 900386-WU, </w:t>
      </w:r>
      <w:r w:rsidR="00E4763B" w:rsidRPr="00877CD7">
        <w:rPr>
          <w:rFonts w:ascii="Times New Roman" w:hAnsi="Times New Roman"/>
          <w:sz w:val="24"/>
          <w:u w:val="single"/>
        </w:rPr>
        <w:t>In re: Application for a rate increase in Marion County by Sunshine Utilities of Central Florida, Inc</w:t>
      </w:r>
      <w:r w:rsidR="00E4763B" w:rsidRPr="00877CD7">
        <w:rPr>
          <w:rFonts w:ascii="Times New Roman" w:hAnsi="Times New Roman"/>
          <w:sz w:val="24"/>
        </w:rPr>
        <w:t>.</w:t>
      </w:r>
      <w:r w:rsidR="00E4763B">
        <w:rPr>
          <w:rFonts w:ascii="Times New Roman" w:hAnsi="Times New Roman"/>
          <w:sz w:val="24"/>
        </w:rPr>
        <w:t xml:space="preserve">  As a matter of good regulatory policy, the Commission should not encourage a utility to protest a PAA order or cross protest, to </w:t>
      </w:r>
      <w:r w:rsidR="00627006">
        <w:rPr>
          <w:rFonts w:ascii="Times New Roman" w:hAnsi="Times New Roman"/>
          <w:sz w:val="24"/>
        </w:rPr>
        <w:t>up-</w:t>
      </w:r>
      <w:r w:rsidR="00E4763B">
        <w:rPr>
          <w:rFonts w:ascii="Times New Roman" w:hAnsi="Times New Roman"/>
          <w:sz w:val="24"/>
        </w:rPr>
        <w:t>the</w:t>
      </w:r>
      <w:r w:rsidR="00627006">
        <w:rPr>
          <w:rFonts w:ascii="Times New Roman" w:hAnsi="Times New Roman"/>
          <w:sz w:val="24"/>
        </w:rPr>
        <w:t>-</w:t>
      </w:r>
      <w:r w:rsidR="00E4763B">
        <w:rPr>
          <w:rFonts w:ascii="Times New Roman" w:hAnsi="Times New Roman"/>
          <w:sz w:val="24"/>
        </w:rPr>
        <w:t xml:space="preserve">ante </w:t>
      </w:r>
      <w:r w:rsidR="00627006">
        <w:rPr>
          <w:rFonts w:ascii="Times New Roman" w:hAnsi="Times New Roman"/>
          <w:sz w:val="24"/>
        </w:rPr>
        <w:t xml:space="preserve">with </w:t>
      </w:r>
      <w:r w:rsidR="00E4763B">
        <w:rPr>
          <w:rFonts w:ascii="Times New Roman" w:hAnsi="Times New Roman"/>
          <w:sz w:val="24"/>
        </w:rPr>
        <w:t xml:space="preserve">increased rate case expense, </w:t>
      </w:r>
      <w:r w:rsidR="004A7C41">
        <w:rPr>
          <w:rFonts w:ascii="Times New Roman" w:hAnsi="Times New Roman"/>
          <w:sz w:val="24"/>
        </w:rPr>
        <w:t xml:space="preserve">simply </w:t>
      </w:r>
      <w:r w:rsidR="00E4763B">
        <w:rPr>
          <w:rFonts w:ascii="Times New Roman" w:hAnsi="Times New Roman"/>
          <w:sz w:val="24"/>
        </w:rPr>
        <w:t>because anot</w:t>
      </w:r>
      <w:r w:rsidR="00B34CF4">
        <w:rPr>
          <w:rFonts w:ascii="Times New Roman" w:hAnsi="Times New Roman"/>
          <w:sz w:val="24"/>
        </w:rPr>
        <w:t>her party protested the PAA.</w:t>
      </w:r>
      <w:r w:rsidR="00E4763B">
        <w:rPr>
          <w:rFonts w:ascii="Times New Roman" w:hAnsi="Times New Roman"/>
          <w:sz w:val="24"/>
        </w:rPr>
        <w:t xml:space="preserve">  </w:t>
      </w:r>
      <w:r w:rsidR="00591708">
        <w:rPr>
          <w:rFonts w:ascii="Times New Roman" w:hAnsi="Times New Roman"/>
          <w:sz w:val="24"/>
        </w:rPr>
        <w:t xml:space="preserve">The Commission has discretion to determine </w:t>
      </w:r>
      <w:r w:rsidR="00627006">
        <w:rPr>
          <w:rFonts w:ascii="Times New Roman" w:hAnsi="Times New Roman"/>
          <w:sz w:val="24"/>
        </w:rPr>
        <w:t xml:space="preserve">whether </w:t>
      </w:r>
      <w:r w:rsidR="00591708">
        <w:rPr>
          <w:rFonts w:ascii="Times New Roman" w:hAnsi="Times New Roman"/>
          <w:sz w:val="24"/>
        </w:rPr>
        <w:t>it was reasonable for the Utility to cross protest the issues it protested</w:t>
      </w:r>
      <w:r w:rsidR="00627006">
        <w:rPr>
          <w:rFonts w:ascii="Times New Roman" w:hAnsi="Times New Roman"/>
          <w:sz w:val="24"/>
        </w:rPr>
        <w:t xml:space="preserve"> and lost</w:t>
      </w:r>
      <w:r w:rsidR="00591708">
        <w:rPr>
          <w:rFonts w:ascii="Times New Roman" w:hAnsi="Times New Roman"/>
          <w:sz w:val="24"/>
        </w:rPr>
        <w:t xml:space="preserve">.  </w:t>
      </w:r>
      <w:r w:rsidR="00F21FFD">
        <w:rPr>
          <w:rFonts w:ascii="Times New Roman" w:hAnsi="Times New Roman"/>
          <w:sz w:val="24"/>
        </w:rPr>
        <w:t xml:space="preserve">Further, </w:t>
      </w:r>
      <w:r w:rsidR="00627006">
        <w:rPr>
          <w:rFonts w:ascii="Times New Roman" w:hAnsi="Times New Roman"/>
          <w:sz w:val="24"/>
        </w:rPr>
        <w:t xml:space="preserve">for any additional rate case expense approved, </w:t>
      </w:r>
      <w:r w:rsidR="00F21FFD">
        <w:rPr>
          <w:rFonts w:ascii="Times New Roman" w:hAnsi="Times New Roman"/>
          <w:sz w:val="24"/>
        </w:rPr>
        <w:t xml:space="preserve">the Commission </w:t>
      </w:r>
      <w:r w:rsidR="00CF0932">
        <w:rPr>
          <w:rFonts w:ascii="Times New Roman" w:hAnsi="Times New Roman"/>
          <w:sz w:val="24"/>
        </w:rPr>
        <w:t xml:space="preserve">has the discretion to </w:t>
      </w:r>
      <w:r w:rsidR="00F21FFD">
        <w:rPr>
          <w:rFonts w:ascii="Times New Roman" w:hAnsi="Times New Roman"/>
          <w:sz w:val="24"/>
        </w:rPr>
        <w:t xml:space="preserve">require quarterly reports from the Utility which show payment is being made </w:t>
      </w:r>
      <w:r w:rsidR="00627006">
        <w:rPr>
          <w:rFonts w:ascii="Times New Roman" w:hAnsi="Times New Roman"/>
          <w:sz w:val="24"/>
        </w:rPr>
        <w:t>during the four-year amortization period</w:t>
      </w:r>
      <w:r w:rsidR="00B34CF4">
        <w:rPr>
          <w:rFonts w:ascii="Times New Roman" w:hAnsi="Times New Roman"/>
          <w:sz w:val="24"/>
        </w:rPr>
        <w:t xml:space="preserve">.  </w:t>
      </w:r>
      <w:r w:rsidR="00E4763B">
        <w:rPr>
          <w:rFonts w:ascii="Times New Roman" w:hAnsi="Times New Roman"/>
          <w:sz w:val="24"/>
        </w:rPr>
        <w:t>(Vandiver)</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w:t>
      </w:r>
      <w:r w:rsidR="00DF3941">
        <w:rPr>
          <w:rFonts w:ascii="Times New Roman" w:hAnsi="Times New Roman"/>
          <w:b/>
          <w:sz w:val="24"/>
          <w:u w:val="single"/>
        </w:rPr>
        <w:t>e 8</w:t>
      </w:r>
      <w:r w:rsidRPr="00FE1D8A">
        <w:rPr>
          <w:rFonts w:ascii="Times New Roman" w:hAnsi="Times New Roman"/>
          <w:sz w:val="24"/>
        </w:rPr>
        <w:t>:</w:t>
      </w:r>
      <w:r w:rsidRPr="00FE1D8A">
        <w:rPr>
          <w:rFonts w:ascii="Times New Roman" w:hAnsi="Times New Roman"/>
          <w:sz w:val="24"/>
        </w:rPr>
        <w:tab/>
      </w:r>
      <w:r w:rsidR="00DF3941" w:rsidRPr="00DF3941">
        <w:rPr>
          <w:rFonts w:ascii="Times New Roman" w:hAnsi="Times New Roman"/>
          <w:sz w:val="24"/>
        </w:rPr>
        <w:t>Should any adjustments be made to miscellaneous expense?</w:t>
      </w:r>
    </w:p>
    <w:p w:rsidR="00FC2BD5" w:rsidRDefault="00FC2BD5" w:rsidP="00FC2BD5">
      <w:pPr>
        <w:widowControl/>
        <w:autoSpaceDE/>
        <w:autoSpaceDN/>
        <w:adjustRightInd/>
        <w:ind w:left="1440" w:hanging="1440"/>
        <w:outlineLvl w:val="0"/>
        <w:rPr>
          <w:rFonts w:ascii="Times New Roman" w:hAnsi="Times New Roman"/>
          <w:sz w:val="24"/>
        </w:rPr>
      </w:pPr>
    </w:p>
    <w:p w:rsidR="008327B7" w:rsidRDefault="008327B7" w:rsidP="008327B7">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4A7C41">
        <w:rPr>
          <w:rFonts w:ascii="Times New Roman" w:hAnsi="Times New Roman"/>
          <w:sz w:val="24"/>
        </w:rPr>
        <w:t xml:space="preserve">Yes. </w:t>
      </w:r>
      <w:r w:rsidR="00B34CF4">
        <w:rPr>
          <w:rFonts w:ascii="Times New Roman" w:hAnsi="Times New Roman"/>
          <w:sz w:val="24"/>
        </w:rPr>
        <w:t xml:space="preserve"> </w:t>
      </w:r>
      <w:r w:rsidR="004A7C41">
        <w:rPr>
          <w:rFonts w:ascii="Times New Roman" w:hAnsi="Times New Roman"/>
          <w:sz w:val="24"/>
        </w:rPr>
        <w:t xml:space="preserve">Miscellaneous expense </w:t>
      </w:r>
      <w:r w:rsidR="00627006" w:rsidRPr="00627006">
        <w:rPr>
          <w:rFonts w:ascii="Times New Roman" w:hAnsi="Times New Roman"/>
          <w:sz w:val="24"/>
        </w:rPr>
        <w:t>requested in the MFRs</w:t>
      </w:r>
      <w:r w:rsidR="00627006">
        <w:rPr>
          <w:rFonts w:ascii="Times New Roman" w:hAnsi="Times New Roman"/>
          <w:sz w:val="24"/>
        </w:rPr>
        <w:t xml:space="preserve"> </w:t>
      </w:r>
      <w:r w:rsidR="004A7C41">
        <w:rPr>
          <w:rFonts w:ascii="Times New Roman" w:hAnsi="Times New Roman"/>
          <w:sz w:val="24"/>
        </w:rPr>
        <w:t xml:space="preserve">should be reduced to $72,698 as established by PAA Order No. PSC-12-0435-PAA-WU. </w:t>
      </w:r>
      <w:r w:rsidR="00B34CF4">
        <w:rPr>
          <w:rFonts w:ascii="Times New Roman" w:hAnsi="Times New Roman"/>
          <w:sz w:val="24"/>
        </w:rPr>
        <w:t xml:space="preserve"> </w:t>
      </w:r>
      <w:r>
        <w:rPr>
          <w:rFonts w:ascii="Times New Roman" w:hAnsi="Times New Roman"/>
          <w:sz w:val="24"/>
        </w:rPr>
        <w:t xml:space="preserve">This issue was protested by the Utility.  The Utility failed to carry its burden of proof regarding any change to the </w:t>
      </w:r>
      <w:r w:rsidRPr="00DF3941">
        <w:rPr>
          <w:rFonts w:ascii="Times New Roman" w:hAnsi="Times New Roman"/>
          <w:sz w:val="24"/>
        </w:rPr>
        <w:t xml:space="preserve">miscellaneous </w:t>
      </w:r>
      <w:r w:rsidRPr="00FC2BD5">
        <w:rPr>
          <w:rFonts w:ascii="Times New Roman" w:hAnsi="Times New Roman"/>
          <w:sz w:val="24"/>
        </w:rPr>
        <w:t>expense</w:t>
      </w:r>
      <w:r>
        <w:rPr>
          <w:rFonts w:ascii="Times New Roman" w:hAnsi="Times New Roman"/>
          <w:sz w:val="24"/>
        </w:rPr>
        <w:t xml:space="preserve"> approved by </w:t>
      </w:r>
      <w:r w:rsidR="004A7C41">
        <w:rPr>
          <w:rFonts w:ascii="Times New Roman" w:hAnsi="Times New Roman"/>
          <w:sz w:val="24"/>
        </w:rPr>
        <w:t xml:space="preserve">the </w:t>
      </w:r>
      <w:r>
        <w:rPr>
          <w:rFonts w:ascii="Times New Roman" w:hAnsi="Times New Roman"/>
          <w:sz w:val="24"/>
        </w:rPr>
        <w:t xml:space="preserve">PAA </w:t>
      </w:r>
      <w:r w:rsidRPr="006E3126">
        <w:rPr>
          <w:rFonts w:ascii="Times New Roman" w:hAnsi="Times New Roman"/>
          <w:sz w:val="24"/>
        </w:rPr>
        <w:t>Order</w:t>
      </w:r>
      <w:r>
        <w:rPr>
          <w:rFonts w:ascii="Times New Roman" w:hAnsi="Times New Roman"/>
          <w:sz w:val="24"/>
        </w:rPr>
        <w:t>.</w:t>
      </w:r>
      <w:r w:rsidR="00627006">
        <w:rPr>
          <w:rFonts w:ascii="Times New Roman" w:hAnsi="Times New Roman"/>
          <w:sz w:val="24"/>
        </w:rPr>
        <w:t xml:space="preserve">  </w:t>
      </w:r>
      <w:r w:rsidR="00627006" w:rsidRPr="00627006">
        <w:rPr>
          <w:rFonts w:ascii="Times New Roman" w:hAnsi="Times New Roman"/>
          <w:sz w:val="24"/>
        </w:rPr>
        <w:t>Rate case expense for protesting and losing this issue is addressed under Issue 7.</w:t>
      </w:r>
      <w:r w:rsidR="004A7C41">
        <w:rPr>
          <w:rFonts w:ascii="Times New Roman" w:hAnsi="Times New Roman"/>
          <w:sz w:val="24"/>
        </w:rPr>
        <w:t xml:space="preserve"> </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DF3941">
        <w:rPr>
          <w:rFonts w:ascii="Times New Roman" w:hAnsi="Times New Roman"/>
          <w:b/>
          <w:sz w:val="24"/>
          <w:u w:val="single"/>
        </w:rPr>
        <w:t xml:space="preserve"> 9</w:t>
      </w:r>
      <w:r w:rsidRPr="00FE1D8A">
        <w:rPr>
          <w:rFonts w:ascii="Times New Roman" w:hAnsi="Times New Roman"/>
          <w:sz w:val="24"/>
        </w:rPr>
        <w:t>:</w:t>
      </w:r>
      <w:r w:rsidRPr="00FE1D8A">
        <w:rPr>
          <w:rFonts w:ascii="Times New Roman" w:hAnsi="Times New Roman"/>
          <w:sz w:val="24"/>
        </w:rPr>
        <w:tab/>
      </w:r>
      <w:r w:rsidR="00DF3941" w:rsidRPr="00DF3941">
        <w:rPr>
          <w:rFonts w:ascii="Times New Roman" w:hAnsi="Times New Roman"/>
          <w:sz w:val="24"/>
        </w:rPr>
        <w:t>How should the net gain on sale of land and other assets be treated?</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E15628">
        <w:rPr>
          <w:rFonts w:ascii="Times New Roman" w:hAnsi="Times New Roman"/>
          <w:sz w:val="24"/>
        </w:rPr>
        <w:t xml:space="preserve">OPC has specifically raised the issue of net gain on sale of land and other assets as framed by Issue 9(a).  If Issue 9 is different and distinct from Issue 9(a), </w:t>
      </w:r>
      <w:r w:rsidR="008327B7">
        <w:rPr>
          <w:rFonts w:ascii="Times New Roman" w:hAnsi="Times New Roman"/>
          <w:sz w:val="24"/>
        </w:rPr>
        <w:t xml:space="preserve">OPC supports any additional </w:t>
      </w:r>
      <w:r w:rsidR="00E15628">
        <w:rPr>
          <w:rFonts w:ascii="Times New Roman" w:hAnsi="Times New Roman"/>
          <w:sz w:val="24"/>
        </w:rPr>
        <w:t xml:space="preserve">adjustments to </w:t>
      </w:r>
      <w:r w:rsidR="008327B7">
        <w:rPr>
          <w:rFonts w:ascii="Times New Roman" w:hAnsi="Times New Roman"/>
          <w:sz w:val="24"/>
        </w:rPr>
        <w:t xml:space="preserve">net gain on sale of land and other assets </w:t>
      </w:r>
      <w:r w:rsidR="00E15628">
        <w:rPr>
          <w:rFonts w:ascii="Times New Roman" w:hAnsi="Times New Roman"/>
          <w:sz w:val="24"/>
        </w:rPr>
        <w:t xml:space="preserve">which </w:t>
      </w:r>
      <w:r w:rsidR="008327B7">
        <w:rPr>
          <w:rFonts w:ascii="Times New Roman" w:hAnsi="Times New Roman"/>
          <w:sz w:val="24"/>
        </w:rPr>
        <w:t>the Commission staff recommends so long as it benefits the customers by reducing customer rates.</w:t>
      </w:r>
      <w:r w:rsidR="00E15628">
        <w:rPr>
          <w:rFonts w:ascii="Times New Roman" w:hAnsi="Times New Roman"/>
          <w:sz w:val="24"/>
        </w:rPr>
        <w:t xml:space="preserve">  </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 xml:space="preserve">Issue </w:t>
      </w:r>
      <w:r w:rsidR="00DF3941" w:rsidRPr="00DF3941">
        <w:rPr>
          <w:rFonts w:ascii="Times New Roman" w:hAnsi="Times New Roman"/>
          <w:b/>
          <w:sz w:val="24"/>
          <w:u w:val="single"/>
        </w:rPr>
        <w:t>9(a)</w:t>
      </w:r>
      <w:r w:rsidRPr="00FE1D8A">
        <w:rPr>
          <w:rFonts w:ascii="Times New Roman" w:hAnsi="Times New Roman"/>
          <w:sz w:val="24"/>
        </w:rPr>
        <w:t>:</w:t>
      </w:r>
      <w:r w:rsidRPr="00FE1D8A">
        <w:rPr>
          <w:rFonts w:ascii="Times New Roman" w:hAnsi="Times New Roman"/>
          <w:sz w:val="24"/>
        </w:rPr>
        <w:tab/>
      </w:r>
      <w:r w:rsidR="00DF3941" w:rsidRPr="00DF3941">
        <w:rPr>
          <w:rFonts w:ascii="Times New Roman" w:hAnsi="Times New Roman"/>
          <w:sz w:val="24"/>
        </w:rPr>
        <w:t>How should the $242,000 net gain on sale of land and other assets as determined by Order No. PSC-11-0010-SC-WU be treated in Docket No. 110200-WU?</w:t>
      </w:r>
      <w:r w:rsidR="00DF3941">
        <w:rPr>
          <w:rFonts w:ascii="Times New Roman" w:hAnsi="Times New Roman"/>
          <w:i/>
          <w:sz w:val="24"/>
        </w:rPr>
        <w:t xml:space="preserve"> </w:t>
      </w:r>
      <w:r w:rsidR="00DF3941" w:rsidRPr="00DF3941">
        <w:rPr>
          <w:rFonts w:ascii="Times New Roman" w:hAnsi="Times New Roman"/>
          <w:i/>
          <w:sz w:val="24"/>
        </w:rPr>
        <w:t>(Added by OPC to specifically address a discrete issue protested by OPC)</w:t>
      </w:r>
    </w:p>
    <w:p w:rsidR="00FC2BD5" w:rsidRDefault="00AD56A6" w:rsidP="00AD56A6">
      <w:pPr>
        <w:widowControl/>
        <w:tabs>
          <w:tab w:val="left" w:pos="5229"/>
        </w:tabs>
        <w:autoSpaceDE/>
        <w:autoSpaceDN/>
        <w:adjustRightInd/>
        <w:ind w:left="1440" w:hanging="1440"/>
        <w:outlineLvl w:val="0"/>
        <w:rPr>
          <w:rFonts w:ascii="Times New Roman" w:hAnsi="Times New Roman"/>
          <w:sz w:val="24"/>
        </w:rPr>
      </w:pPr>
      <w:r>
        <w:rPr>
          <w:rFonts w:ascii="Times New Roman" w:hAnsi="Times New Roman"/>
          <w:sz w:val="24"/>
        </w:rPr>
        <w:tab/>
      </w:r>
      <w:r>
        <w:rPr>
          <w:rFonts w:ascii="Times New Roman" w:hAnsi="Times New Roman"/>
          <w:sz w:val="24"/>
        </w:rPr>
        <w:tab/>
      </w:r>
    </w:p>
    <w:p w:rsidR="00FC2BD5" w:rsidRDefault="00FC2BD5" w:rsidP="00FC2BD5">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E15628" w:rsidRPr="009F265C">
        <w:rPr>
          <w:rFonts w:ascii="Times New Roman" w:hAnsi="Times New Roman"/>
          <w:sz w:val="24"/>
        </w:rPr>
        <w:t>The Commission should reinstate and continue the amortization of the $242,000 net gain on sale land and other assets as determined by Order No. PSC-11-0010-SC-WU</w:t>
      </w:r>
      <w:r w:rsidR="00AD56A6" w:rsidRPr="009F265C">
        <w:rPr>
          <w:rFonts w:ascii="Times New Roman" w:hAnsi="Times New Roman"/>
          <w:sz w:val="24"/>
        </w:rPr>
        <w:t xml:space="preserve"> </w:t>
      </w:r>
      <w:r w:rsidR="00AD56A6" w:rsidRPr="009F265C">
        <w:rPr>
          <w:rFonts w:ascii="Times New Roman" w:eastAsiaTheme="minorHAnsi" w:hAnsi="Times New Roman" w:cstheme="minorBidi"/>
          <w:sz w:val="24"/>
          <w:szCs w:val="22"/>
        </w:rPr>
        <w:t>to be amortized to the benefit of the ratepayers</w:t>
      </w:r>
      <w:r w:rsidR="00E15628" w:rsidRPr="009F265C">
        <w:rPr>
          <w:rFonts w:ascii="Times New Roman" w:hAnsi="Times New Roman"/>
          <w:sz w:val="24"/>
        </w:rPr>
        <w:t xml:space="preserve">.  The PAA Order apparently omitted carrying this previously determined gain on sale forward.  </w:t>
      </w:r>
      <w:r w:rsidR="00AD56A6" w:rsidRPr="009F265C">
        <w:rPr>
          <w:rFonts w:ascii="Times New Roman" w:eastAsiaTheme="minorHAnsi" w:hAnsi="Times New Roman" w:cstheme="minorBidi"/>
          <w:sz w:val="24"/>
          <w:szCs w:val="22"/>
        </w:rPr>
        <w:t xml:space="preserve">Since the amortization of the gain on sale approved in the last rate case did not start amortizing until after January 3, 2011 when that order was issued, there remains a little more than three years of amortization on that $242,000 gain of sale to be amortized to the benefit of the ratepayers.  </w:t>
      </w:r>
      <w:r w:rsidR="00E15628" w:rsidRPr="009F265C">
        <w:rPr>
          <w:rFonts w:ascii="Times New Roman" w:hAnsi="Times New Roman"/>
          <w:sz w:val="24"/>
        </w:rPr>
        <w:t xml:space="preserve">As shown in HWS-36, OPC calculates the remaining amount of this gain on sale to be amortized to be $153,292.  </w:t>
      </w:r>
      <w:r w:rsidR="00AD56A6" w:rsidRPr="009F265C">
        <w:rPr>
          <w:rFonts w:ascii="Times New Roman" w:eastAsiaTheme="minorHAnsi" w:hAnsi="Times New Roman" w:cstheme="minorBidi"/>
          <w:sz w:val="24"/>
          <w:szCs w:val="22"/>
        </w:rPr>
        <w:t xml:space="preserve">If amortized over a three-year period, it would result in approximately a $51,000 per year reduction in customer rates.  </w:t>
      </w:r>
      <w:r w:rsidR="00E15628" w:rsidRPr="009F265C">
        <w:rPr>
          <w:rFonts w:ascii="Times New Roman" w:hAnsi="Times New Roman"/>
          <w:sz w:val="24"/>
        </w:rPr>
        <w:t>(Schultz)</w:t>
      </w:r>
    </w:p>
    <w:p w:rsidR="00AD56A6" w:rsidRDefault="00AD56A6" w:rsidP="00FC2BD5">
      <w:pPr>
        <w:ind w:left="1440" w:hanging="1440"/>
        <w:jc w:val="both"/>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AD56A6" w:rsidRDefault="00AD56A6"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E15628">
        <w:rPr>
          <w:rFonts w:ascii="Times New Roman" w:hAnsi="Times New Roman"/>
          <w:b/>
          <w:sz w:val="24"/>
          <w:u w:val="single"/>
        </w:rPr>
        <w:t xml:space="preserve"> 10</w:t>
      </w:r>
      <w:r w:rsidRPr="00FE1D8A">
        <w:rPr>
          <w:rFonts w:ascii="Times New Roman" w:hAnsi="Times New Roman"/>
          <w:sz w:val="24"/>
        </w:rPr>
        <w:t>:</w:t>
      </w:r>
      <w:r w:rsidRPr="00FE1D8A">
        <w:rPr>
          <w:rFonts w:ascii="Times New Roman" w:hAnsi="Times New Roman"/>
          <w:sz w:val="24"/>
        </w:rPr>
        <w:tab/>
      </w:r>
      <w:r w:rsidR="009D2F6D" w:rsidRPr="009D2F6D">
        <w:rPr>
          <w:rFonts w:ascii="Times New Roman" w:hAnsi="Times New Roman"/>
          <w:sz w:val="24"/>
        </w:rPr>
        <w:t>Have the Utility’s cash advances to WMSI’s President and associated companies in the amount of $1.2 million, represented by Account 123, affected the Utility’s ability to meet its financial and operating responsibilities?  If so, what was the effect, and what action, if any, should the Commission take?</w:t>
      </w:r>
    </w:p>
    <w:p w:rsidR="00FC2BD5" w:rsidRDefault="00FC2BD5" w:rsidP="00FC2BD5">
      <w:pPr>
        <w:widowControl/>
        <w:autoSpaceDE/>
        <w:autoSpaceDN/>
        <w:adjustRightInd/>
        <w:ind w:left="1440" w:hanging="1440"/>
        <w:outlineLvl w:val="0"/>
        <w:rPr>
          <w:rFonts w:ascii="Times New Roman" w:hAnsi="Times New Roman"/>
          <w:sz w:val="24"/>
        </w:rPr>
      </w:pPr>
    </w:p>
    <w:p w:rsidR="006207F6" w:rsidRDefault="009D2F6D" w:rsidP="009D2F6D">
      <w:pPr>
        <w:widowControl/>
        <w:tabs>
          <w:tab w:val="left" w:pos="0"/>
        </w:tabs>
        <w:autoSpaceDE/>
        <w:autoSpaceDN/>
        <w:adjustRightInd/>
        <w:outlineLvl w:val="0"/>
        <w:rPr>
          <w:rFonts w:ascii="Times New Roman" w:hAnsi="Times New Roman"/>
          <w:i/>
          <w:sz w:val="24"/>
        </w:rPr>
      </w:pPr>
      <w:r w:rsidRPr="009D2F6D">
        <w:rPr>
          <w:rFonts w:ascii="Times New Roman" w:hAnsi="Times New Roman"/>
          <w:i/>
          <w:sz w:val="24"/>
        </w:rPr>
        <w:t>(</w:t>
      </w:r>
      <w:r w:rsidR="00E15628">
        <w:rPr>
          <w:rFonts w:ascii="Times New Roman" w:hAnsi="Times New Roman"/>
          <w:i/>
          <w:sz w:val="24"/>
        </w:rPr>
        <w:t>B</w:t>
      </w:r>
      <w:r w:rsidRPr="009D2F6D">
        <w:rPr>
          <w:rFonts w:ascii="Times New Roman" w:hAnsi="Times New Roman"/>
          <w:i/>
          <w:sz w:val="24"/>
        </w:rPr>
        <w:t xml:space="preserve">ased upon evidence </w:t>
      </w:r>
      <w:r w:rsidR="00246E75">
        <w:rPr>
          <w:rFonts w:ascii="Times New Roman" w:hAnsi="Times New Roman"/>
          <w:i/>
          <w:sz w:val="24"/>
        </w:rPr>
        <w:t>contained in the testimony and exhibits of</w:t>
      </w:r>
      <w:r w:rsidRPr="009D2F6D">
        <w:rPr>
          <w:rFonts w:ascii="Times New Roman" w:hAnsi="Times New Roman"/>
          <w:i/>
          <w:sz w:val="24"/>
        </w:rPr>
        <w:t xml:space="preserve"> OPC witness Schultz</w:t>
      </w:r>
      <w:r w:rsidR="00246E75">
        <w:rPr>
          <w:rFonts w:ascii="Times New Roman" w:hAnsi="Times New Roman"/>
          <w:i/>
          <w:sz w:val="24"/>
        </w:rPr>
        <w:t xml:space="preserve"> and Staff witness Dobiac</w:t>
      </w:r>
      <w:r w:rsidR="00E15628">
        <w:rPr>
          <w:rFonts w:ascii="Times New Roman" w:hAnsi="Times New Roman"/>
          <w:i/>
          <w:sz w:val="24"/>
        </w:rPr>
        <w:t xml:space="preserve">, </w:t>
      </w:r>
      <w:r w:rsidR="00E15628" w:rsidRPr="009D2F6D">
        <w:rPr>
          <w:rFonts w:ascii="Times New Roman" w:hAnsi="Times New Roman"/>
          <w:i/>
          <w:sz w:val="24"/>
        </w:rPr>
        <w:t>OPC suggests revising Issue 10</w:t>
      </w:r>
      <w:r w:rsidRPr="009D2F6D">
        <w:rPr>
          <w:rFonts w:ascii="Times New Roman" w:hAnsi="Times New Roman"/>
          <w:i/>
          <w:sz w:val="24"/>
        </w:rPr>
        <w:t xml:space="preserve">. </w:t>
      </w:r>
      <w:r w:rsidR="00246E75">
        <w:rPr>
          <w:rFonts w:ascii="Times New Roman" w:hAnsi="Times New Roman"/>
          <w:i/>
          <w:sz w:val="24"/>
        </w:rPr>
        <w:t xml:space="preserve">This is necessary </w:t>
      </w:r>
      <w:r w:rsidR="00246E75" w:rsidRPr="00246E75">
        <w:rPr>
          <w:rFonts w:ascii="Times New Roman" w:hAnsi="Times New Roman"/>
          <w:i/>
          <w:sz w:val="24"/>
        </w:rPr>
        <w:t xml:space="preserve">because the </w:t>
      </w:r>
      <w:r w:rsidR="00246E75">
        <w:rPr>
          <w:rFonts w:ascii="Times New Roman" w:hAnsi="Times New Roman"/>
          <w:i/>
          <w:sz w:val="24"/>
        </w:rPr>
        <w:t>adverse impact</w:t>
      </w:r>
      <w:r w:rsidR="00246E75" w:rsidRPr="00246E75">
        <w:rPr>
          <w:rFonts w:ascii="Times New Roman" w:hAnsi="Times New Roman"/>
          <w:i/>
          <w:sz w:val="24"/>
        </w:rPr>
        <w:t xml:space="preserve"> of advancing utility money for non-utility purposes occurred before, during, and after the test year</w:t>
      </w:r>
      <w:r w:rsidR="00246E75">
        <w:rPr>
          <w:rFonts w:ascii="Times New Roman" w:hAnsi="Times New Roman"/>
          <w:i/>
          <w:sz w:val="24"/>
        </w:rPr>
        <w:t xml:space="preserve"> and continued after the Utility ceased using Account 123 for recording these advances.</w:t>
      </w:r>
      <w:r w:rsidR="00246E75" w:rsidRPr="00246E75">
        <w:rPr>
          <w:rFonts w:ascii="Times New Roman" w:hAnsi="Times New Roman"/>
          <w:i/>
          <w:sz w:val="24"/>
        </w:rPr>
        <w:t xml:space="preserve"> </w:t>
      </w:r>
      <w:r w:rsidRPr="009D2F6D">
        <w:rPr>
          <w:rFonts w:ascii="Times New Roman" w:hAnsi="Times New Roman"/>
          <w:i/>
          <w:sz w:val="24"/>
        </w:rPr>
        <w:t xml:space="preserve"> </w:t>
      </w:r>
      <w:r w:rsidR="006207F6" w:rsidRPr="009D2F6D">
        <w:rPr>
          <w:rFonts w:ascii="Times New Roman" w:hAnsi="Times New Roman"/>
          <w:i/>
          <w:sz w:val="24"/>
        </w:rPr>
        <w:t>Below is</w:t>
      </w:r>
      <w:r w:rsidR="00246E75">
        <w:rPr>
          <w:rFonts w:ascii="Times New Roman" w:hAnsi="Times New Roman"/>
          <w:i/>
          <w:sz w:val="24"/>
        </w:rPr>
        <w:t xml:space="preserve"> revised</w:t>
      </w:r>
      <w:r w:rsidR="006207F6" w:rsidRPr="009D2F6D">
        <w:rPr>
          <w:rFonts w:ascii="Times New Roman" w:hAnsi="Times New Roman"/>
          <w:i/>
          <w:sz w:val="24"/>
        </w:rPr>
        <w:t xml:space="preserve"> language previously agreed to by </w:t>
      </w:r>
      <w:r w:rsidR="006207F6">
        <w:rPr>
          <w:rFonts w:ascii="Times New Roman" w:hAnsi="Times New Roman"/>
          <w:i/>
          <w:sz w:val="24"/>
        </w:rPr>
        <w:t>S</w:t>
      </w:r>
      <w:r w:rsidR="006207F6" w:rsidRPr="009D2F6D">
        <w:rPr>
          <w:rFonts w:ascii="Times New Roman" w:hAnsi="Times New Roman"/>
          <w:i/>
          <w:sz w:val="24"/>
        </w:rPr>
        <w:t>taff</w:t>
      </w:r>
      <w:r w:rsidR="00246E75">
        <w:rPr>
          <w:rFonts w:ascii="Times New Roman" w:hAnsi="Times New Roman"/>
          <w:i/>
          <w:sz w:val="24"/>
        </w:rPr>
        <w:t xml:space="preserve"> and OPC</w:t>
      </w:r>
      <w:r w:rsidR="006207F6" w:rsidRPr="009D2F6D">
        <w:rPr>
          <w:rFonts w:ascii="Times New Roman" w:hAnsi="Times New Roman"/>
          <w:i/>
          <w:sz w:val="24"/>
        </w:rPr>
        <w:t xml:space="preserve"> </w:t>
      </w:r>
      <w:r w:rsidR="00246E75">
        <w:rPr>
          <w:rFonts w:ascii="Times New Roman" w:hAnsi="Times New Roman"/>
          <w:i/>
          <w:sz w:val="24"/>
        </w:rPr>
        <w:t xml:space="preserve">for </w:t>
      </w:r>
      <w:r w:rsidR="006207F6" w:rsidRPr="009D2F6D">
        <w:rPr>
          <w:rFonts w:ascii="Times New Roman" w:hAnsi="Times New Roman"/>
          <w:i/>
          <w:sz w:val="24"/>
        </w:rPr>
        <w:t>this issue.)</w:t>
      </w:r>
      <w:r w:rsidR="00246E75">
        <w:rPr>
          <w:rFonts w:ascii="Times New Roman" w:hAnsi="Times New Roman"/>
          <w:i/>
          <w:sz w:val="24"/>
        </w:rPr>
        <w:t xml:space="preserve">  </w:t>
      </w:r>
    </w:p>
    <w:p w:rsidR="006207F6" w:rsidRDefault="006207F6" w:rsidP="009D2F6D">
      <w:pPr>
        <w:widowControl/>
        <w:tabs>
          <w:tab w:val="left" w:pos="0"/>
        </w:tabs>
        <w:autoSpaceDE/>
        <w:autoSpaceDN/>
        <w:adjustRightInd/>
        <w:outlineLvl w:val="0"/>
        <w:rPr>
          <w:rFonts w:ascii="Times New Roman" w:hAnsi="Times New Roman"/>
          <w:i/>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9D2F6D" w:rsidRPr="009D2F6D" w:rsidRDefault="00FC2BD5" w:rsidP="009D2F6D">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E15628">
        <w:rPr>
          <w:rFonts w:ascii="Times New Roman" w:hAnsi="Times New Roman"/>
          <w:b/>
          <w:sz w:val="24"/>
          <w:u w:val="single"/>
        </w:rPr>
        <w:t xml:space="preserve"> 1</w:t>
      </w:r>
      <w:r w:rsidR="00DF3941" w:rsidRPr="00DF3941">
        <w:rPr>
          <w:rFonts w:ascii="Times New Roman" w:hAnsi="Times New Roman"/>
          <w:b/>
          <w:sz w:val="24"/>
          <w:u w:val="single"/>
        </w:rPr>
        <w:t>0</w:t>
      </w:r>
      <w:r w:rsidR="009D2F6D">
        <w:rPr>
          <w:rFonts w:ascii="Times New Roman" w:hAnsi="Times New Roman"/>
          <w:b/>
          <w:sz w:val="24"/>
        </w:rPr>
        <w:t>:</w:t>
      </w:r>
      <w:r w:rsidR="009D2F6D">
        <w:rPr>
          <w:rFonts w:ascii="Times New Roman" w:hAnsi="Times New Roman"/>
          <w:b/>
          <w:sz w:val="24"/>
        </w:rPr>
        <w:tab/>
      </w:r>
      <w:r w:rsidR="009D2F6D" w:rsidRPr="009D2F6D">
        <w:rPr>
          <w:rFonts w:ascii="Times New Roman" w:hAnsi="Times New Roman"/>
          <w:sz w:val="24"/>
        </w:rPr>
        <w:t xml:space="preserve">Have the Utility’s advances to WMSI’s President and associated companies had any adverse impact on the Utility or its ratepayers, and if so, what action, if any, should the Commission take? </w:t>
      </w:r>
    </w:p>
    <w:p w:rsidR="009D2F6D" w:rsidRPr="009D2F6D" w:rsidRDefault="009D2F6D" w:rsidP="00FC2BD5">
      <w:pPr>
        <w:widowControl/>
        <w:autoSpaceDE/>
        <w:autoSpaceDN/>
        <w:adjustRightInd/>
        <w:ind w:left="1440" w:hanging="1440"/>
        <w:jc w:val="both"/>
        <w:outlineLvl w:val="0"/>
        <w:rPr>
          <w:rFonts w:ascii="Times New Roman" w:hAnsi="Times New Roman"/>
          <w:b/>
          <w:sz w:val="24"/>
        </w:rPr>
      </w:pPr>
    </w:p>
    <w:p w:rsidR="009D2F6D" w:rsidRDefault="009D2F6D" w:rsidP="00FC2BD5">
      <w:pPr>
        <w:widowControl/>
        <w:autoSpaceDE/>
        <w:autoSpaceDN/>
        <w:adjustRightInd/>
        <w:ind w:left="1440" w:hanging="1440"/>
        <w:jc w:val="both"/>
        <w:outlineLvl w:val="0"/>
        <w:rPr>
          <w:rFonts w:ascii="Times New Roman" w:hAnsi="Times New Roman"/>
          <w:b/>
          <w:sz w:val="24"/>
          <w:u w:val="single"/>
        </w:rPr>
      </w:pPr>
      <w:r>
        <w:rPr>
          <w:rFonts w:ascii="Times New Roman" w:hAnsi="Times New Roman"/>
          <w:sz w:val="24"/>
        </w:rPr>
        <w:t>OPC:</w:t>
      </w:r>
      <w:r>
        <w:rPr>
          <w:rFonts w:ascii="Times New Roman" w:hAnsi="Times New Roman"/>
          <w:sz w:val="24"/>
        </w:rPr>
        <w:tab/>
      </w:r>
      <w:r w:rsidR="00E15628">
        <w:rPr>
          <w:rFonts w:ascii="Times New Roman" w:hAnsi="Times New Roman"/>
          <w:sz w:val="24"/>
        </w:rPr>
        <w:t xml:space="preserve">Yes.  The Utility’s advances to the WMSI President and </w:t>
      </w:r>
      <w:r w:rsidR="00C54515">
        <w:rPr>
          <w:rFonts w:ascii="Times New Roman" w:hAnsi="Times New Roman"/>
          <w:sz w:val="24"/>
        </w:rPr>
        <w:t xml:space="preserve">his </w:t>
      </w:r>
      <w:r w:rsidR="00E15628">
        <w:rPr>
          <w:rFonts w:ascii="Times New Roman" w:hAnsi="Times New Roman"/>
          <w:sz w:val="24"/>
        </w:rPr>
        <w:t xml:space="preserve">associated companies </w:t>
      </w:r>
      <w:r w:rsidR="00C54515">
        <w:rPr>
          <w:rFonts w:ascii="Times New Roman" w:hAnsi="Times New Roman"/>
          <w:sz w:val="24"/>
        </w:rPr>
        <w:t>have</w:t>
      </w:r>
      <w:r w:rsidR="00E15628">
        <w:rPr>
          <w:rFonts w:ascii="Times New Roman" w:hAnsi="Times New Roman"/>
          <w:sz w:val="24"/>
        </w:rPr>
        <w:t xml:space="preserve"> adversely impacted the Utility and its ratepayers as demonstrated by the testimony and exhibits of OPC witness Schultz.  The advancing of utility money for those non-utility purposes has caused harm to the Utility</w:t>
      </w:r>
      <w:r w:rsidR="00C54515">
        <w:rPr>
          <w:rFonts w:ascii="Times New Roman" w:hAnsi="Times New Roman"/>
          <w:sz w:val="24"/>
        </w:rPr>
        <w:t>,</w:t>
      </w:r>
      <w:r w:rsidR="00E15628">
        <w:rPr>
          <w:rFonts w:ascii="Times New Roman" w:hAnsi="Times New Roman"/>
          <w:sz w:val="24"/>
        </w:rPr>
        <w:t xml:space="preserve"> in that the Utility </w:t>
      </w:r>
      <w:r w:rsidR="00C54515">
        <w:rPr>
          <w:rFonts w:ascii="Times New Roman" w:hAnsi="Times New Roman"/>
          <w:sz w:val="24"/>
        </w:rPr>
        <w:t>was compelled</w:t>
      </w:r>
      <w:r w:rsidR="00E15628">
        <w:rPr>
          <w:rFonts w:ascii="Times New Roman" w:hAnsi="Times New Roman"/>
          <w:sz w:val="24"/>
        </w:rPr>
        <w:t xml:space="preserve"> to renegotiate its Department of Environmental Protection (DEP) loan several times to miss </w:t>
      </w:r>
      <w:r w:rsidR="00C54515">
        <w:rPr>
          <w:rFonts w:ascii="Times New Roman" w:hAnsi="Times New Roman"/>
          <w:sz w:val="24"/>
        </w:rPr>
        <w:t xml:space="preserve">required </w:t>
      </w:r>
      <w:r w:rsidR="00E15628">
        <w:rPr>
          <w:rFonts w:ascii="Times New Roman" w:hAnsi="Times New Roman"/>
          <w:sz w:val="24"/>
        </w:rPr>
        <w:t>payments</w:t>
      </w:r>
      <w:r w:rsidR="00C54515">
        <w:rPr>
          <w:rFonts w:ascii="Times New Roman" w:hAnsi="Times New Roman"/>
          <w:sz w:val="24"/>
        </w:rPr>
        <w:t xml:space="preserve">.  Because of the advances to the President and his associated companies, the Utility </w:t>
      </w:r>
      <w:r w:rsidR="00E15628">
        <w:rPr>
          <w:rFonts w:ascii="Times New Roman" w:hAnsi="Times New Roman"/>
          <w:sz w:val="24"/>
        </w:rPr>
        <w:t xml:space="preserve">ultimately defaulted on its DEP loan </w:t>
      </w:r>
      <w:r w:rsidR="00C54515">
        <w:rPr>
          <w:rFonts w:ascii="Times New Roman" w:hAnsi="Times New Roman"/>
          <w:sz w:val="24"/>
        </w:rPr>
        <w:t xml:space="preserve">because it lacked the money to make </w:t>
      </w:r>
      <w:r w:rsidR="00E15628">
        <w:rPr>
          <w:rFonts w:ascii="Times New Roman" w:hAnsi="Times New Roman"/>
          <w:sz w:val="24"/>
        </w:rPr>
        <w:t xml:space="preserve">its May 2012 loan payment.  The advancing of utility money has caused the Utility to be more than 90 days past due on a number of accounts payable, including but not limited to, fees owed to its prior law firm.  This failure to pay its bills could harm its credit and/or its ability to secure the </w:t>
      </w:r>
      <w:r w:rsidR="00C54515">
        <w:rPr>
          <w:rFonts w:ascii="Times New Roman" w:hAnsi="Times New Roman"/>
          <w:sz w:val="24"/>
        </w:rPr>
        <w:t>services of these or other vendo</w:t>
      </w:r>
      <w:r w:rsidR="00E15628">
        <w:rPr>
          <w:rFonts w:ascii="Times New Roman" w:hAnsi="Times New Roman"/>
          <w:sz w:val="24"/>
        </w:rPr>
        <w:t>rs in the future.  The advancing of utility money has caused harm to the customers</w:t>
      </w:r>
      <w:r w:rsidR="00C54515">
        <w:rPr>
          <w:rFonts w:ascii="Times New Roman" w:hAnsi="Times New Roman"/>
          <w:sz w:val="24"/>
        </w:rPr>
        <w:t>,</w:t>
      </w:r>
      <w:r w:rsidR="00E15628">
        <w:rPr>
          <w:rFonts w:ascii="Times New Roman" w:hAnsi="Times New Roman"/>
          <w:sz w:val="24"/>
        </w:rPr>
        <w:t xml:space="preserve"> in that the renegotiation and subsequent amendments to the DEP loan added more than $1.1 million in interest to the DEP loan, which the customers will ultimately have to pay.  If the advancing of utility money for non-utility purposes is not halted, it could harm the day-to-day operation of this utility and ultimately the customers if the Utility through management decisions is unable to provide water service to the island.   </w:t>
      </w:r>
      <w:r w:rsidR="000E35C2">
        <w:rPr>
          <w:rFonts w:ascii="Times New Roman" w:hAnsi="Times New Roman"/>
          <w:sz w:val="24"/>
        </w:rPr>
        <w:t xml:space="preserve">Based on the evidence </w:t>
      </w:r>
      <w:r w:rsidR="00C54515">
        <w:rPr>
          <w:rFonts w:ascii="Times New Roman" w:hAnsi="Times New Roman"/>
          <w:sz w:val="24"/>
        </w:rPr>
        <w:t xml:space="preserve">that will be presented </w:t>
      </w:r>
      <w:r w:rsidR="000E35C2">
        <w:rPr>
          <w:rFonts w:ascii="Times New Roman" w:hAnsi="Times New Roman"/>
          <w:sz w:val="24"/>
        </w:rPr>
        <w:t>at hearing, t</w:t>
      </w:r>
      <w:r w:rsidR="00E15628">
        <w:rPr>
          <w:rFonts w:ascii="Times New Roman" w:hAnsi="Times New Roman"/>
          <w:sz w:val="24"/>
        </w:rPr>
        <w:t xml:space="preserve">he Commission should </w:t>
      </w:r>
      <w:r w:rsidR="000E35C2">
        <w:rPr>
          <w:rFonts w:ascii="Times New Roman" w:hAnsi="Times New Roman"/>
          <w:sz w:val="24"/>
        </w:rPr>
        <w:t>enter</w:t>
      </w:r>
      <w:r w:rsidR="00E15628">
        <w:rPr>
          <w:rFonts w:ascii="Times New Roman" w:hAnsi="Times New Roman"/>
          <w:sz w:val="24"/>
        </w:rPr>
        <w:t xml:space="preserve"> a finding that the actions of the Utility and its President </w:t>
      </w:r>
      <w:r w:rsidR="00C54515">
        <w:rPr>
          <w:rFonts w:ascii="Times New Roman" w:hAnsi="Times New Roman"/>
          <w:sz w:val="24"/>
        </w:rPr>
        <w:t>have</w:t>
      </w:r>
      <w:r w:rsidR="00E15628">
        <w:rPr>
          <w:rFonts w:ascii="Times New Roman" w:hAnsi="Times New Roman"/>
          <w:sz w:val="24"/>
        </w:rPr>
        <w:t xml:space="preserve"> harmed</w:t>
      </w:r>
      <w:r w:rsidR="00E15628" w:rsidRPr="009D2F6D">
        <w:rPr>
          <w:rFonts w:ascii="Times New Roman" w:hAnsi="Times New Roman"/>
          <w:sz w:val="24"/>
        </w:rPr>
        <w:t xml:space="preserve"> </w:t>
      </w:r>
      <w:r w:rsidR="000E35C2">
        <w:rPr>
          <w:rFonts w:ascii="Times New Roman" w:hAnsi="Times New Roman"/>
          <w:sz w:val="24"/>
        </w:rPr>
        <w:t xml:space="preserve">not only </w:t>
      </w:r>
      <w:r w:rsidR="00E15628" w:rsidRPr="009D2F6D">
        <w:rPr>
          <w:rFonts w:ascii="Times New Roman" w:hAnsi="Times New Roman"/>
          <w:sz w:val="24"/>
        </w:rPr>
        <w:t>the Utility’s ability to meet its financial and operating responsibilities</w:t>
      </w:r>
      <w:r w:rsidR="000E35C2">
        <w:rPr>
          <w:rFonts w:ascii="Times New Roman" w:hAnsi="Times New Roman"/>
          <w:sz w:val="24"/>
        </w:rPr>
        <w:t xml:space="preserve">, but also the customers as well.  The Commission should also enter a finding of </w:t>
      </w:r>
      <w:r w:rsidR="00E15628">
        <w:rPr>
          <w:rFonts w:ascii="Times New Roman" w:hAnsi="Times New Roman"/>
          <w:sz w:val="24"/>
        </w:rPr>
        <w:t>managerial imprudence</w:t>
      </w:r>
      <w:r w:rsidR="00C54515">
        <w:rPr>
          <w:rFonts w:ascii="Times New Roman" w:hAnsi="Times New Roman"/>
          <w:sz w:val="24"/>
        </w:rPr>
        <w:t xml:space="preserve"> or managerial negligence.  It </w:t>
      </w:r>
      <w:r w:rsidR="00E15628">
        <w:rPr>
          <w:rFonts w:ascii="Times New Roman" w:hAnsi="Times New Roman"/>
          <w:sz w:val="24"/>
        </w:rPr>
        <w:t xml:space="preserve">should institute a policy of required escrow accounts and strict oversight of the management of this utility in order to provide </w:t>
      </w:r>
      <w:r w:rsidR="00C54515">
        <w:rPr>
          <w:rFonts w:ascii="Times New Roman" w:hAnsi="Times New Roman"/>
          <w:sz w:val="24"/>
        </w:rPr>
        <w:t>assurances</w:t>
      </w:r>
      <w:r w:rsidR="00E15628">
        <w:rPr>
          <w:rFonts w:ascii="Times New Roman" w:hAnsi="Times New Roman"/>
          <w:sz w:val="24"/>
        </w:rPr>
        <w:t xml:space="preserve"> to </w:t>
      </w:r>
      <w:r w:rsidR="007E06F2">
        <w:rPr>
          <w:rFonts w:ascii="Times New Roman" w:hAnsi="Times New Roman"/>
          <w:sz w:val="24"/>
        </w:rPr>
        <w:t xml:space="preserve">current and future creditors </w:t>
      </w:r>
      <w:r w:rsidR="00E15628">
        <w:rPr>
          <w:rFonts w:ascii="Times New Roman" w:hAnsi="Times New Roman"/>
          <w:sz w:val="24"/>
        </w:rPr>
        <w:t>that they will be repaid.</w:t>
      </w:r>
      <w:r w:rsidR="007E06F2">
        <w:rPr>
          <w:rFonts w:ascii="Times New Roman" w:hAnsi="Times New Roman"/>
          <w:sz w:val="24"/>
        </w:rPr>
        <w:t xml:space="preserve">  To prevent further harm, t</w:t>
      </w:r>
      <w:r w:rsidR="00E15628">
        <w:rPr>
          <w:rFonts w:ascii="Times New Roman" w:hAnsi="Times New Roman"/>
          <w:sz w:val="24"/>
        </w:rPr>
        <w:t xml:space="preserve">he Commission should order the Utility to stop advancing any additional money to the WMSI President and associated companies.  </w:t>
      </w:r>
      <w:r w:rsidR="00F310FC">
        <w:rPr>
          <w:rFonts w:ascii="Times New Roman" w:hAnsi="Times New Roman"/>
          <w:sz w:val="24"/>
        </w:rPr>
        <w:t xml:space="preserve">The Commission should also establish a method for the </w:t>
      </w:r>
      <w:r w:rsidR="00E15628">
        <w:rPr>
          <w:rFonts w:ascii="Times New Roman" w:hAnsi="Times New Roman"/>
          <w:sz w:val="24"/>
        </w:rPr>
        <w:t xml:space="preserve">WMSI President and associated companies to repay the money </w:t>
      </w:r>
      <w:r w:rsidR="007E06F2">
        <w:rPr>
          <w:rFonts w:ascii="Times New Roman" w:hAnsi="Times New Roman"/>
          <w:sz w:val="24"/>
        </w:rPr>
        <w:t xml:space="preserve">previously </w:t>
      </w:r>
      <w:r w:rsidR="00E15628">
        <w:rPr>
          <w:rFonts w:ascii="Times New Roman" w:hAnsi="Times New Roman"/>
          <w:sz w:val="24"/>
        </w:rPr>
        <w:t xml:space="preserve">advanced to them.  In addition, </w:t>
      </w:r>
      <w:r w:rsidR="007E06F2">
        <w:rPr>
          <w:rFonts w:ascii="Times New Roman" w:hAnsi="Times New Roman"/>
          <w:sz w:val="24"/>
        </w:rPr>
        <w:t xml:space="preserve">the Commission should </w:t>
      </w:r>
      <w:r w:rsidR="00E15628">
        <w:rPr>
          <w:rFonts w:ascii="Times New Roman" w:hAnsi="Times New Roman"/>
          <w:sz w:val="24"/>
        </w:rPr>
        <w:t xml:space="preserve">order that the assets of Brown Management Group be retitled in the name of WMSI and remain retitled in the name of WMSI unless the Utility receives permission from the Commission to sell those assets.  In addition, </w:t>
      </w:r>
      <w:r w:rsidR="007E06F2">
        <w:rPr>
          <w:rFonts w:ascii="Times New Roman" w:hAnsi="Times New Roman"/>
          <w:sz w:val="24"/>
        </w:rPr>
        <w:t xml:space="preserve">the Commission should order that Brown Management Group </w:t>
      </w:r>
      <w:r w:rsidR="00E15628">
        <w:rPr>
          <w:rFonts w:ascii="Times New Roman" w:hAnsi="Times New Roman"/>
          <w:sz w:val="24"/>
        </w:rPr>
        <w:t>assets that do not relate to utility operations</w:t>
      </w:r>
      <w:r w:rsidR="007E06F2">
        <w:rPr>
          <w:rFonts w:ascii="Times New Roman" w:hAnsi="Times New Roman"/>
          <w:sz w:val="24"/>
        </w:rPr>
        <w:t>, and do not otherwise provide regular income to WMSI</w:t>
      </w:r>
      <w:r w:rsidR="00E15628">
        <w:rPr>
          <w:rFonts w:ascii="Times New Roman" w:hAnsi="Times New Roman"/>
          <w:sz w:val="24"/>
        </w:rPr>
        <w:t xml:space="preserve">, </w:t>
      </w:r>
      <w:r w:rsidR="007E06F2">
        <w:rPr>
          <w:rFonts w:ascii="Times New Roman" w:hAnsi="Times New Roman"/>
          <w:sz w:val="24"/>
        </w:rPr>
        <w:t>to b</w:t>
      </w:r>
      <w:r w:rsidR="00E15628">
        <w:rPr>
          <w:rFonts w:ascii="Times New Roman" w:hAnsi="Times New Roman"/>
          <w:sz w:val="24"/>
        </w:rPr>
        <w:t xml:space="preserve">e liquidated </w:t>
      </w:r>
      <w:r w:rsidR="00C54515">
        <w:rPr>
          <w:rFonts w:ascii="Times New Roman" w:hAnsi="Times New Roman"/>
          <w:sz w:val="24"/>
        </w:rPr>
        <w:t>(</w:t>
      </w:r>
      <w:r w:rsidR="00E15628">
        <w:rPr>
          <w:rFonts w:ascii="Times New Roman" w:hAnsi="Times New Roman"/>
          <w:sz w:val="24"/>
        </w:rPr>
        <w:t>but only if a reasonable price can be obtained in this current economy</w:t>
      </w:r>
      <w:r w:rsidR="00C54515">
        <w:rPr>
          <w:rFonts w:ascii="Times New Roman" w:hAnsi="Times New Roman"/>
          <w:sz w:val="24"/>
        </w:rPr>
        <w:t>)</w:t>
      </w:r>
      <w:r w:rsidR="00E15628">
        <w:rPr>
          <w:rFonts w:ascii="Times New Roman" w:hAnsi="Times New Roman"/>
          <w:sz w:val="24"/>
        </w:rPr>
        <w:t xml:space="preserve"> and the proceeds from those sales used to repay the advances first to WMSI’s President and, if any remains, to associated companies.  </w:t>
      </w:r>
      <w:r w:rsidR="007E06F2">
        <w:rPr>
          <w:rFonts w:ascii="Times New Roman" w:hAnsi="Times New Roman"/>
          <w:sz w:val="24"/>
        </w:rPr>
        <w:t>(Schultz)</w:t>
      </w:r>
    </w:p>
    <w:p w:rsidR="009D2F6D" w:rsidRDefault="009D2F6D" w:rsidP="00FC2BD5">
      <w:pPr>
        <w:widowControl/>
        <w:autoSpaceDE/>
        <w:autoSpaceDN/>
        <w:adjustRightInd/>
        <w:ind w:left="1440" w:hanging="1440"/>
        <w:jc w:val="both"/>
        <w:outlineLvl w:val="0"/>
        <w:rPr>
          <w:rFonts w:ascii="Times New Roman" w:hAnsi="Times New Roman"/>
          <w:b/>
          <w:sz w:val="24"/>
          <w:u w:val="single"/>
        </w:rPr>
      </w:pPr>
    </w:p>
    <w:p w:rsidR="009D2F6D" w:rsidRDefault="009D2F6D" w:rsidP="00FC2BD5">
      <w:pPr>
        <w:widowControl/>
        <w:autoSpaceDE/>
        <w:autoSpaceDN/>
        <w:adjustRightInd/>
        <w:ind w:left="1440" w:hanging="1440"/>
        <w:jc w:val="both"/>
        <w:outlineLvl w:val="0"/>
        <w:rPr>
          <w:rFonts w:ascii="Times New Roman" w:hAnsi="Times New Roman"/>
          <w:b/>
          <w:sz w:val="24"/>
          <w:u w:val="single"/>
        </w:rPr>
      </w:pPr>
    </w:p>
    <w:p w:rsidR="00FC2BD5" w:rsidRPr="00FE1D8A" w:rsidRDefault="009D2F6D" w:rsidP="00FC2BD5">
      <w:pPr>
        <w:widowControl/>
        <w:autoSpaceDE/>
        <w:autoSpaceDN/>
        <w:adjustRightInd/>
        <w:ind w:left="1440" w:hanging="1440"/>
        <w:jc w:val="both"/>
        <w:outlineLvl w:val="0"/>
        <w:rPr>
          <w:rFonts w:ascii="Times New Roman" w:hAnsi="Times New Roman"/>
          <w:sz w:val="24"/>
        </w:rPr>
      </w:pPr>
      <w:r>
        <w:rPr>
          <w:rFonts w:ascii="Times New Roman" w:hAnsi="Times New Roman"/>
          <w:b/>
          <w:sz w:val="24"/>
          <w:u w:val="single"/>
        </w:rPr>
        <w:t>Issue 10</w:t>
      </w:r>
      <w:r w:rsidR="00DF3941" w:rsidRPr="00DF3941">
        <w:rPr>
          <w:rFonts w:ascii="Times New Roman" w:hAnsi="Times New Roman"/>
          <w:b/>
          <w:sz w:val="24"/>
          <w:u w:val="single"/>
        </w:rPr>
        <w:t>(a)</w:t>
      </w:r>
      <w:r w:rsidR="00FC2BD5" w:rsidRPr="00FE1D8A">
        <w:rPr>
          <w:rFonts w:ascii="Times New Roman" w:hAnsi="Times New Roman"/>
          <w:sz w:val="24"/>
        </w:rPr>
        <w:t>:</w:t>
      </w:r>
      <w:r w:rsidR="00FC2BD5" w:rsidRPr="00FE1D8A">
        <w:rPr>
          <w:rFonts w:ascii="Times New Roman" w:hAnsi="Times New Roman"/>
          <w:sz w:val="24"/>
        </w:rPr>
        <w:tab/>
      </w:r>
      <w:r w:rsidRPr="009D2F6D">
        <w:rPr>
          <w:rFonts w:ascii="Times New Roman" w:hAnsi="Times New Roman"/>
          <w:sz w:val="24"/>
        </w:rPr>
        <w:t>Should any adjustment be made to the WMSI President’s salary?</w:t>
      </w:r>
    </w:p>
    <w:p w:rsidR="00FC2BD5" w:rsidRDefault="00FC2BD5" w:rsidP="00FC2BD5">
      <w:pPr>
        <w:widowControl/>
        <w:autoSpaceDE/>
        <w:autoSpaceDN/>
        <w:adjustRightInd/>
        <w:ind w:left="1440" w:hanging="1440"/>
        <w:outlineLvl w:val="0"/>
        <w:rPr>
          <w:rFonts w:ascii="Times New Roman" w:hAnsi="Times New Roman"/>
          <w:sz w:val="24"/>
        </w:rPr>
      </w:pPr>
    </w:p>
    <w:p w:rsidR="007E06F2" w:rsidRPr="009D2F6D" w:rsidRDefault="00FC2BD5" w:rsidP="007E06F2">
      <w:pPr>
        <w:widowControl/>
        <w:autoSpaceDE/>
        <w:autoSpaceDN/>
        <w:adjustRightInd/>
        <w:ind w:left="1440" w:hanging="1440"/>
        <w:jc w:val="both"/>
        <w:outlineLvl w:val="0"/>
        <w:rPr>
          <w:rFonts w:ascii="Times New Roman" w:hAnsi="Times New Roman"/>
          <w:sz w:val="24"/>
        </w:rPr>
      </w:pPr>
      <w:r>
        <w:rPr>
          <w:rFonts w:ascii="Times New Roman" w:hAnsi="Times New Roman"/>
          <w:sz w:val="24"/>
        </w:rPr>
        <w:t>OPC:</w:t>
      </w:r>
      <w:r>
        <w:rPr>
          <w:rFonts w:ascii="Times New Roman" w:hAnsi="Times New Roman"/>
          <w:sz w:val="24"/>
        </w:rPr>
        <w:tab/>
      </w:r>
      <w:r w:rsidR="007E06F2">
        <w:rPr>
          <w:rFonts w:ascii="Times New Roman" w:hAnsi="Times New Roman"/>
          <w:sz w:val="24"/>
        </w:rPr>
        <w:t xml:space="preserve">Because of the $1.2 million of Utility money advanced to the WMSI President and associated companies, WMSI had to renegotiate its DEP loan several times even though the Commission had approved rates </w:t>
      </w:r>
      <w:r w:rsidR="00B34CF4">
        <w:rPr>
          <w:rFonts w:ascii="Times New Roman" w:hAnsi="Times New Roman"/>
          <w:sz w:val="24"/>
        </w:rPr>
        <w:t xml:space="preserve">sufficient </w:t>
      </w:r>
      <w:r w:rsidR="007E06F2">
        <w:rPr>
          <w:rFonts w:ascii="Times New Roman" w:hAnsi="Times New Roman"/>
          <w:sz w:val="24"/>
        </w:rPr>
        <w:t>to allow the Utility to repay the DEP loan.  These imprudent renegotiations of the DEP loan directly added more than $1.1 million in additional interest which the customers will eventually have to pay.  Because the advancing of utility money for non-utility purposes was imprudent</w:t>
      </w:r>
      <w:r w:rsidR="00B34CF4">
        <w:rPr>
          <w:rFonts w:ascii="Times New Roman" w:hAnsi="Times New Roman"/>
          <w:sz w:val="24"/>
        </w:rPr>
        <w:t>, and because adding the</w:t>
      </w:r>
      <w:r w:rsidR="007E06F2">
        <w:rPr>
          <w:rFonts w:ascii="Times New Roman" w:hAnsi="Times New Roman"/>
          <w:sz w:val="24"/>
        </w:rPr>
        <w:t xml:space="preserve"> additional interest was not a prudent business decision, the Commission should further reduce the President’s salary in order to prevent the customers from having to pay for any of the imprudently added interest.  If necessary, the Commission </w:t>
      </w:r>
      <w:r w:rsidR="007E527A">
        <w:rPr>
          <w:rFonts w:ascii="Times New Roman" w:hAnsi="Times New Roman"/>
          <w:sz w:val="24"/>
        </w:rPr>
        <w:t xml:space="preserve">could </w:t>
      </w:r>
      <w:r w:rsidR="007E06F2">
        <w:rPr>
          <w:rFonts w:ascii="Times New Roman" w:hAnsi="Times New Roman"/>
          <w:sz w:val="24"/>
        </w:rPr>
        <w:t xml:space="preserve">look to reducing other O&amp;M areas to help offset the imprudently added interest.  </w:t>
      </w:r>
      <w:r w:rsidR="007E527A">
        <w:rPr>
          <w:rFonts w:ascii="Times New Roman" w:hAnsi="Times New Roman"/>
          <w:sz w:val="24"/>
        </w:rPr>
        <w:t>(Schultz)</w:t>
      </w:r>
    </w:p>
    <w:p w:rsidR="00FC2BD5" w:rsidRDefault="00FC2BD5" w:rsidP="00FC2BD5">
      <w:pPr>
        <w:ind w:left="1440" w:hanging="1440"/>
        <w:jc w:val="both"/>
        <w:rPr>
          <w:rFonts w:ascii="Calibri" w:hAnsi="Calibri"/>
          <w:sz w:val="22"/>
          <w:szCs w:val="22"/>
        </w:rPr>
      </w:pP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DF3941" w:rsidRDefault="00DF3941" w:rsidP="00FC2BD5">
      <w:pPr>
        <w:widowControl/>
        <w:autoSpaceDE/>
        <w:autoSpaceDN/>
        <w:adjustRightInd/>
        <w:ind w:left="1440" w:hanging="1440"/>
        <w:outlineLvl w:val="0"/>
        <w:rPr>
          <w:rFonts w:ascii="Times New Roman" w:hAnsi="Times New Roman"/>
          <w:b/>
          <w:sz w:val="24"/>
        </w:rPr>
      </w:pPr>
      <w:r>
        <w:rPr>
          <w:rFonts w:ascii="Times New Roman" w:hAnsi="Times New Roman"/>
          <w:b/>
          <w:sz w:val="24"/>
          <w:u w:val="single"/>
        </w:rPr>
        <w:t>REVENUE REQUIREMENT</w:t>
      </w:r>
      <w:r>
        <w:rPr>
          <w:rFonts w:ascii="Times New Roman" w:hAnsi="Times New Roman"/>
          <w:b/>
          <w:sz w:val="24"/>
        </w:rPr>
        <w:t>:</w:t>
      </w:r>
    </w:p>
    <w:p w:rsidR="00DF3941" w:rsidRPr="00DF3941" w:rsidRDefault="00DF3941" w:rsidP="00FC2BD5">
      <w:pPr>
        <w:widowControl/>
        <w:autoSpaceDE/>
        <w:autoSpaceDN/>
        <w:adjustRightInd/>
        <w:ind w:left="1440" w:hanging="1440"/>
        <w:outlineLvl w:val="0"/>
        <w:rPr>
          <w:rFonts w:ascii="Times New Roman" w:hAnsi="Times New Roman"/>
          <w:b/>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7E06F2">
        <w:rPr>
          <w:rFonts w:ascii="Times New Roman" w:hAnsi="Times New Roman"/>
          <w:b/>
          <w:sz w:val="24"/>
          <w:u w:val="single"/>
        </w:rPr>
        <w:t xml:space="preserve"> 11</w:t>
      </w:r>
      <w:r w:rsidRPr="00FE1D8A">
        <w:rPr>
          <w:rFonts w:ascii="Times New Roman" w:hAnsi="Times New Roman"/>
          <w:sz w:val="24"/>
        </w:rPr>
        <w:t>:</w:t>
      </w:r>
      <w:r w:rsidRPr="00FE1D8A">
        <w:rPr>
          <w:rFonts w:ascii="Times New Roman" w:hAnsi="Times New Roman"/>
          <w:sz w:val="24"/>
        </w:rPr>
        <w:tab/>
      </w:r>
      <w:r w:rsidR="009D2F6D" w:rsidRPr="009D2F6D">
        <w:rPr>
          <w:rFonts w:ascii="Times New Roman" w:hAnsi="Times New Roman"/>
          <w:sz w:val="24"/>
        </w:rPr>
        <w:t>What is the appropriate revenue requirement?</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F21FFD">
        <w:rPr>
          <w:rFonts w:ascii="Times New Roman" w:hAnsi="Times New Roman"/>
          <w:sz w:val="24"/>
        </w:rPr>
        <w:t>Fall-out from other issues.</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7E06F2">
        <w:rPr>
          <w:rFonts w:ascii="Times New Roman" w:hAnsi="Times New Roman"/>
          <w:b/>
          <w:sz w:val="24"/>
          <w:u w:val="single"/>
        </w:rPr>
        <w:t xml:space="preserve"> 12</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Is a repression adjustment appropriate in this case, and, if so, what is the appropriate adjustment to make for this Utility?</w:t>
      </w:r>
    </w:p>
    <w:p w:rsidR="00FC2BD5" w:rsidRDefault="00FC2BD5" w:rsidP="00FC2BD5">
      <w:pPr>
        <w:widowControl/>
        <w:autoSpaceDE/>
        <w:autoSpaceDN/>
        <w:adjustRightInd/>
        <w:ind w:left="1440" w:hanging="1440"/>
        <w:outlineLvl w:val="0"/>
        <w:rPr>
          <w:rFonts w:ascii="Times New Roman" w:hAnsi="Times New Roman"/>
          <w:sz w:val="24"/>
        </w:rPr>
      </w:pPr>
    </w:p>
    <w:p w:rsidR="00F21FFD" w:rsidRDefault="00FC2BD5" w:rsidP="00F21FFD">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F21FFD">
        <w:rPr>
          <w:rFonts w:ascii="Times New Roman" w:hAnsi="Times New Roman"/>
          <w:sz w:val="24"/>
        </w:rPr>
        <w:t>Fall-out from other issues.</w:t>
      </w:r>
    </w:p>
    <w:p w:rsidR="00FC2BD5" w:rsidRDefault="00FC2BD5" w:rsidP="00FC2BD5">
      <w:pPr>
        <w:ind w:left="1440" w:hanging="1440"/>
        <w:jc w:val="both"/>
        <w:rPr>
          <w:rFonts w:ascii="Calibri" w:hAnsi="Calibri"/>
          <w:sz w:val="22"/>
          <w:szCs w:val="22"/>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7E06F2">
        <w:rPr>
          <w:rFonts w:ascii="Times New Roman" w:hAnsi="Times New Roman"/>
          <w:b/>
          <w:sz w:val="24"/>
          <w:u w:val="single"/>
        </w:rPr>
        <w:t xml:space="preserve"> 1</w:t>
      </w:r>
      <w:r w:rsidR="00DF3941" w:rsidRPr="00DF3941">
        <w:rPr>
          <w:rFonts w:ascii="Times New Roman" w:hAnsi="Times New Roman"/>
          <w:b/>
          <w:sz w:val="24"/>
          <w:u w:val="single"/>
        </w:rPr>
        <w:t>3</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What are the appropriate water rates for the Utility?</w:t>
      </w:r>
    </w:p>
    <w:p w:rsidR="00FC2BD5" w:rsidRDefault="00FC2BD5" w:rsidP="00FC2BD5">
      <w:pPr>
        <w:widowControl/>
        <w:autoSpaceDE/>
        <w:autoSpaceDN/>
        <w:adjustRightInd/>
        <w:ind w:left="1440" w:hanging="1440"/>
        <w:outlineLvl w:val="0"/>
        <w:rPr>
          <w:rFonts w:ascii="Times New Roman" w:hAnsi="Times New Roman"/>
          <w:sz w:val="24"/>
        </w:rPr>
      </w:pPr>
    </w:p>
    <w:p w:rsidR="00F21FFD" w:rsidRDefault="00FC2BD5" w:rsidP="00F21FFD">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F21FFD">
        <w:rPr>
          <w:rFonts w:ascii="Times New Roman" w:hAnsi="Times New Roman"/>
          <w:sz w:val="24"/>
        </w:rPr>
        <w:t>Fall-out from other issues.</w:t>
      </w:r>
    </w:p>
    <w:p w:rsidR="00FC2BD5" w:rsidRDefault="00FC2BD5" w:rsidP="00FC2BD5">
      <w:pPr>
        <w:ind w:left="1440" w:hanging="1440"/>
        <w:jc w:val="both"/>
        <w:rPr>
          <w:rFonts w:ascii="Calibri" w:hAnsi="Calibri"/>
          <w:sz w:val="22"/>
          <w:szCs w:val="22"/>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405D34" w:rsidRDefault="00405D34" w:rsidP="00FC2BD5">
      <w:pPr>
        <w:widowControl/>
        <w:autoSpaceDE/>
        <w:autoSpaceDN/>
        <w:adjustRightInd/>
        <w:ind w:left="1440" w:hanging="1440"/>
        <w:outlineLvl w:val="0"/>
        <w:rPr>
          <w:rFonts w:ascii="Times New Roman" w:hAnsi="Times New Roman"/>
          <w:sz w:val="24"/>
        </w:rPr>
      </w:pPr>
    </w:p>
    <w:p w:rsidR="00405D34" w:rsidRPr="00FE1D8A" w:rsidRDefault="00405D34" w:rsidP="00FC2BD5">
      <w:pPr>
        <w:widowControl/>
        <w:autoSpaceDE/>
        <w:autoSpaceDN/>
        <w:adjustRightInd/>
        <w:ind w:left="1440" w:hanging="1440"/>
        <w:outlineLvl w:val="0"/>
        <w:rPr>
          <w:rFonts w:ascii="Times New Roman" w:hAnsi="Times New Roman"/>
          <w:sz w:val="24"/>
        </w:rPr>
      </w:pPr>
    </w:p>
    <w:p w:rsidR="00DA70B6" w:rsidRPr="00DA70B6" w:rsidRDefault="00FC2BD5" w:rsidP="00DA70B6">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 xml:space="preserve">Issue </w:t>
      </w:r>
      <w:r w:rsidR="00AD546F" w:rsidRPr="00AD546F">
        <w:rPr>
          <w:rFonts w:ascii="Times New Roman" w:hAnsi="Times New Roman"/>
          <w:b/>
          <w:sz w:val="24"/>
          <w:u w:val="single"/>
        </w:rPr>
        <w:t>1</w:t>
      </w:r>
      <w:r w:rsidRPr="00FC2BD5">
        <w:rPr>
          <w:rFonts w:ascii="Times New Roman" w:hAnsi="Times New Roman"/>
          <w:b/>
          <w:sz w:val="24"/>
          <w:u w:val="single"/>
        </w:rPr>
        <w:t>4</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Should the Utility be authorized to revise certain service availability charges, and, if so, what are the appropriate charges?</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21FFD">
      <w:pPr>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r>
      <w:r w:rsidR="00483E32">
        <w:rPr>
          <w:rFonts w:ascii="Times New Roman" w:hAnsi="Times New Roman"/>
          <w:sz w:val="24"/>
        </w:rPr>
        <w:t>The increased service availability charges requested by the MFRs should not be approved</w:t>
      </w:r>
      <w:r w:rsidR="00B34CF4">
        <w:rPr>
          <w:rFonts w:ascii="Times New Roman" w:hAnsi="Times New Roman"/>
          <w:sz w:val="24"/>
        </w:rPr>
        <w:t>,</w:t>
      </w:r>
      <w:r w:rsidR="000E5FA1">
        <w:rPr>
          <w:rFonts w:ascii="Times New Roman" w:hAnsi="Times New Roman"/>
          <w:sz w:val="24"/>
        </w:rPr>
        <w:t xml:space="preserve"> and any rate case expense associated with the Utility’s protest of this issue should be disallowed as discussed in Issue 7</w:t>
      </w:r>
      <w:r w:rsidR="00483E32">
        <w:rPr>
          <w:rFonts w:ascii="Times New Roman" w:hAnsi="Times New Roman"/>
          <w:sz w:val="24"/>
        </w:rPr>
        <w:t xml:space="preserve">.  The increased charges established by the PAA Order are based on future pro forma plant yet to be trued-up and adhere to the Commission’s methodology for calculating these charges.  If the Commission maintains the PAA Order </w:t>
      </w:r>
      <w:r w:rsidR="00B34CF4">
        <w:rPr>
          <w:rFonts w:ascii="Times New Roman" w:hAnsi="Times New Roman"/>
          <w:sz w:val="24"/>
        </w:rPr>
        <w:t>a</w:t>
      </w:r>
      <w:r w:rsidR="00483E32">
        <w:rPr>
          <w:rFonts w:ascii="Times New Roman" w:hAnsi="Times New Roman"/>
          <w:sz w:val="24"/>
        </w:rPr>
        <w:t xml:space="preserve">pproved service availability charges, the Commission should order that the service availability charges be </w:t>
      </w:r>
      <w:r w:rsidR="000E5FA1">
        <w:rPr>
          <w:rFonts w:ascii="Times New Roman" w:hAnsi="Times New Roman"/>
          <w:sz w:val="24"/>
        </w:rPr>
        <w:t xml:space="preserve">subject to a true-up after the pro forma plant is completed.  In addition, the service availability charge should be </w:t>
      </w:r>
      <w:r w:rsidR="00483E32">
        <w:rPr>
          <w:rFonts w:ascii="Times New Roman" w:hAnsi="Times New Roman"/>
          <w:sz w:val="24"/>
        </w:rPr>
        <w:t xml:space="preserve">escrowed along with the pro forma increase in rates in order to assure that service availability charges will be available for future capital improvements. </w:t>
      </w:r>
      <w:r w:rsidR="00046A76">
        <w:rPr>
          <w:rFonts w:ascii="Times New Roman" w:hAnsi="Times New Roman"/>
          <w:sz w:val="24"/>
        </w:rPr>
        <w:t xml:space="preserve"> </w:t>
      </w:r>
      <w:r w:rsidR="00F21FFD">
        <w:rPr>
          <w:rFonts w:ascii="Times New Roman" w:hAnsi="Times New Roman"/>
          <w:sz w:val="24"/>
        </w:rPr>
        <w:t>(Vandiver)</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DA70B6" w:rsidRPr="00DA70B6" w:rsidRDefault="00DA70B6" w:rsidP="00DA70B6">
      <w:pPr>
        <w:widowControl/>
        <w:tabs>
          <w:tab w:val="left" w:pos="7920"/>
        </w:tabs>
        <w:autoSpaceDE/>
        <w:autoSpaceDN/>
        <w:adjustRightInd/>
        <w:ind w:right="540"/>
        <w:jc w:val="both"/>
        <w:rPr>
          <w:rFonts w:ascii="Times New Roman" w:hAnsi="Times New Roman"/>
          <w:b/>
          <w:sz w:val="24"/>
        </w:rPr>
      </w:pPr>
      <w:r w:rsidRPr="00DA70B6">
        <w:rPr>
          <w:rFonts w:ascii="Times New Roman" w:hAnsi="Times New Roman"/>
          <w:b/>
          <w:caps/>
          <w:sz w:val="24"/>
          <w:u w:val="single"/>
        </w:rPr>
        <w:t>Other</w:t>
      </w:r>
      <w:r w:rsidRPr="00DA70B6">
        <w:rPr>
          <w:rFonts w:ascii="Times New Roman" w:hAnsi="Times New Roman"/>
          <w:b/>
          <w:sz w:val="24"/>
        </w:rPr>
        <w:t>:</w:t>
      </w:r>
    </w:p>
    <w:p w:rsidR="00DA70B6" w:rsidRPr="00FE1D8A" w:rsidRDefault="00DA70B6"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 xml:space="preserve">Issue </w:t>
      </w:r>
      <w:r w:rsidR="00FF7A7D">
        <w:rPr>
          <w:rFonts w:ascii="Times New Roman" w:hAnsi="Times New Roman"/>
          <w:b/>
          <w:sz w:val="24"/>
          <w:u w:val="single"/>
        </w:rPr>
        <w:t>1</w:t>
      </w:r>
      <w:r w:rsidRPr="00FC2BD5">
        <w:rPr>
          <w:rFonts w:ascii="Times New Roman" w:hAnsi="Times New Roman"/>
          <w:b/>
          <w:sz w:val="24"/>
          <w:u w:val="single"/>
        </w:rPr>
        <w:t>5</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In determining whether any portion of the interim increase granted should be refunded, how should the refund be calculated, and what is the amount of the refund, if any?</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F21FFD">
        <w:rPr>
          <w:rFonts w:ascii="Times New Roman" w:hAnsi="Times New Roman"/>
          <w:sz w:val="24"/>
        </w:rPr>
        <w:t>If OPC succeeds on all the issues it protested, a refund of the interim increase might be required.  If required, the amount should be calculated according to standard Commission practice for calculating refunds.</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405D34">
      <w:pPr>
        <w:widowControl/>
        <w:autoSpaceDE/>
        <w:autoSpaceDN/>
        <w:adjustRightInd/>
        <w:outlineLvl w:val="0"/>
        <w:rPr>
          <w:rFonts w:ascii="Times New Roman" w:hAnsi="Times New Roman"/>
          <w:sz w:val="24"/>
        </w:rPr>
      </w:pPr>
    </w:p>
    <w:p w:rsidR="00405D34" w:rsidRPr="00FE1D8A" w:rsidRDefault="00405D34" w:rsidP="00405D34">
      <w:pPr>
        <w:widowControl/>
        <w:autoSpaceDE/>
        <w:autoSpaceDN/>
        <w:adjustRightInd/>
        <w:outlineLvl w:val="0"/>
        <w:rPr>
          <w:rFonts w:ascii="Times New Roman" w:hAnsi="Times New Roman"/>
          <w:sz w:val="24"/>
        </w:rPr>
      </w:pPr>
    </w:p>
    <w:p w:rsidR="00FC2BD5" w:rsidRPr="00FE1D8A" w:rsidRDefault="00FC2BD5" w:rsidP="00C165DB">
      <w:pPr>
        <w:widowControl/>
        <w:autoSpaceDE/>
        <w:autoSpaceDN/>
        <w:adjustRightInd/>
        <w:ind w:left="1440" w:hanging="1440"/>
        <w:outlineLvl w:val="0"/>
        <w:rPr>
          <w:rFonts w:ascii="Times New Roman" w:hAnsi="Times New Roman"/>
          <w:sz w:val="24"/>
        </w:rPr>
      </w:pPr>
      <w:r w:rsidRPr="00FE1D8A">
        <w:rPr>
          <w:rFonts w:ascii="Times New Roman" w:hAnsi="Times New Roman"/>
          <w:b/>
          <w:sz w:val="24"/>
          <w:u w:val="single"/>
        </w:rPr>
        <w:t xml:space="preserve">Issue </w:t>
      </w:r>
      <w:r w:rsidR="00FF7A7D" w:rsidRPr="00FF7A7D">
        <w:rPr>
          <w:rFonts w:ascii="Times New Roman" w:hAnsi="Times New Roman"/>
          <w:b/>
          <w:sz w:val="24"/>
          <w:u w:val="single"/>
        </w:rPr>
        <w:t>1</w:t>
      </w:r>
      <w:r w:rsidRPr="00FC2BD5">
        <w:rPr>
          <w:rFonts w:ascii="Times New Roman" w:hAnsi="Times New Roman"/>
          <w:b/>
          <w:sz w:val="24"/>
          <w:u w:val="single"/>
        </w:rPr>
        <w:t>6</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In determining whether any portion of the implemented PAA rates should</w:t>
      </w:r>
      <w:r w:rsidR="00C165DB">
        <w:rPr>
          <w:rFonts w:ascii="Times New Roman" w:hAnsi="Times New Roman"/>
          <w:sz w:val="24"/>
        </w:rPr>
        <w:t xml:space="preserve"> </w:t>
      </w:r>
      <w:r w:rsidR="00DA70B6" w:rsidRPr="00DA70B6">
        <w:rPr>
          <w:rFonts w:ascii="Times New Roman" w:hAnsi="Times New Roman"/>
          <w:sz w:val="24"/>
        </w:rPr>
        <w:t>be refunded, how should the refund be calculated, and what is the amount of the refund, if any?</w:t>
      </w:r>
    </w:p>
    <w:p w:rsidR="00FC2BD5" w:rsidRDefault="00FC2BD5" w:rsidP="00FC2BD5">
      <w:pPr>
        <w:widowControl/>
        <w:autoSpaceDE/>
        <w:autoSpaceDN/>
        <w:adjustRightInd/>
        <w:ind w:left="1440" w:hanging="1440"/>
        <w:outlineLvl w:val="0"/>
        <w:rPr>
          <w:rFonts w:ascii="Times New Roman" w:hAnsi="Times New Roman"/>
          <w:sz w:val="24"/>
        </w:rPr>
      </w:pPr>
    </w:p>
    <w:p w:rsidR="00F21FFD" w:rsidRDefault="00F21FFD" w:rsidP="00F21FFD">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t xml:space="preserve">If OPC succeeds on all the issues it protested, a refund of a portion the </w:t>
      </w:r>
      <w:r w:rsidRPr="00DA70B6">
        <w:rPr>
          <w:rFonts w:ascii="Times New Roman" w:hAnsi="Times New Roman"/>
          <w:sz w:val="24"/>
        </w:rPr>
        <w:t xml:space="preserve">implemented PAA rates </w:t>
      </w:r>
      <w:r>
        <w:rPr>
          <w:rFonts w:ascii="Times New Roman" w:hAnsi="Times New Roman"/>
          <w:sz w:val="24"/>
        </w:rPr>
        <w:t>might be required.  If required, the amount should be calculated according to standard Commission practice for calculating refunds.</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 xml:space="preserve">Issue </w:t>
      </w:r>
      <w:r w:rsidR="00FF7A7D" w:rsidRPr="00FF7A7D">
        <w:rPr>
          <w:rFonts w:ascii="Times New Roman" w:hAnsi="Times New Roman"/>
          <w:b/>
          <w:sz w:val="24"/>
          <w:u w:val="single"/>
        </w:rPr>
        <w:t>1</w:t>
      </w:r>
      <w:r w:rsidRPr="00FC2BD5">
        <w:rPr>
          <w:rFonts w:ascii="Times New Roman" w:hAnsi="Times New Roman"/>
          <w:b/>
          <w:sz w:val="24"/>
          <w:u w:val="single"/>
        </w:rPr>
        <w:t>7</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What is the appropriate amount by which rates should be reduced four years after the established effective date to reflect the removal of the amortized rate case expense as required by Section 367.0816, F.S.?</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490E36">
        <w:rPr>
          <w:rFonts w:ascii="Times New Roman" w:hAnsi="Times New Roman"/>
          <w:sz w:val="24"/>
        </w:rPr>
        <w:t>Fall-out of rates approved by the Commission in Issue 7.</w:t>
      </w:r>
      <w:r w:rsidR="00F21FFD">
        <w:rPr>
          <w:rFonts w:ascii="Times New Roman" w:hAnsi="Times New Roman"/>
          <w:sz w:val="24"/>
        </w:rPr>
        <w:t xml:space="preserve">  </w:t>
      </w:r>
    </w:p>
    <w:p w:rsidR="00FC2BD5" w:rsidRDefault="00FC2BD5" w:rsidP="00FC2BD5">
      <w:pPr>
        <w:widowControl/>
        <w:autoSpaceDE/>
        <w:autoSpaceDN/>
        <w:adjustRightInd/>
        <w:ind w:left="1440" w:hanging="1440"/>
        <w:jc w:val="both"/>
        <w:outlineLvl w:val="0"/>
        <w:rPr>
          <w:rFonts w:ascii="Times New Roman" w:hAnsi="Times New Roman"/>
          <w:sz w:val="24"/>
        </w:rPr>
      </w:pPr>
    </w:p>
    <w:p w:rsidR="00FC2BD5" w:rsidRDefault="00FC2BD5" w:rsidP="00FC2BD5">
      <w:pPr>
        <w:widowControl/>
        <w:autoSpaceDE/>
        <w:autoSpaceDN/>
        <w:adjustRightInd/>
        <w:ind w:left="1440" w:hanging="1440"/>
        <w:outlineLvl w:val="0"/>
        <w:rPr>
          <w:rFonts w:ascii="Times New Roman" w:hAnsi="Times New Roman"/>
          <w:sz w:val="24"/>
        </w:rPr>
      </w:pPr>
    </w:p>
    <w:p w:rsidR="00FC2BD5" w:rsidRPr="00FE1D8A" w:rsidRDefault="00FC2BD5" w:rsidP="00FC2BD5">
      <w:pPr>
        <w:widowControl/>
        <w:autoSpaceDE/>
        <w:autoSpaceDN/>
        <w:adjustRightInd/>
        <w:ind w:left="1440" w:hanging="1440"/>
        <w:outlineLvl w:val="0"/>
        <w:rPr>
          <w:rFonts w:ascii="Times New Roman" w:hAnsi="Times New Roman"/>
          <w:sz w:val="24"/>
        </w:rPr>
      </w:pPr>
    </w:p>
    <w:p w:rsidR="00405D34" w:rsidRDefault="00405D34" w:rsidP="00FC2BD5">
      <w:pPr>
        <w:widowControl/>
        <w:autoSpaceDE/>
        <w:autoSpaceDN/>
        <w:adjustRightInd/>
        <w:ind w:left="1440" w:hanging="1440"/>
        <w:jc w:val="both"/>
        <w:outlineLvl w:val="0"/>
        <w:rPr>
          <w:rFonts w:ascii="Times New Roman" w:hAnsi="Times New Roman"/>
          <w:b/>
          <w:sz w:val="24"/>
          <w:u w:val="single"/>
        </w:rPr>
      </w:pPr>
    </w:p>
    <w:p w:rsidR="00405D34" w:rsidRDefault="00405D34" w:rsidP="00FC2BD5">
      <w:pPr>
        <w:widowControl/>
        <w:autoSpaceDE/>
        <w:autoSpaceDN/>
        <w:adjustRightInd/>
        <w:ind w:left="1440" w:hanging="1440"/>
        <w:jc w:val="both"/>
        <w:outlineLvl w:val="0"/>
        <w:rPr>
          <w:rFonts w:ascii="Times New Roman" w:hAnsi="Times New Roman"/>
          <w:b/>
          <w:sz w:val="24"/>
          <w:u w:val="single"/>
        </w:rPr>
      </w:pPr>
    </w:p>
    <w:p w:rsidR="00FC2BD5" w:rsidRPr="00FE1D8A" w:rsidRDefault="00FC2BD5" w:rsidP="00FC2BD5">
      <w:pPr>
        <w:widowControl/>
        <w:autoSpaceDE/>
        <w:autoSpaceDN/>
        <w:adjustRightInd/>
        <w:ind w:left="1440" w:hanging="1440"/>
        <w:jc w:val="both"/>
        <w:outlineLvl w:val="0"/>
        <w:rPr>
          <w:rFonts w:ascii="Times New Roman" w:hAnsi="Times New Roman"/>
          <w:sz w:val="24"/>
        </w:rPr>
      </w:pPr>
      <w:r w:rsidRPr="00FE1D8A">
        <w:rPr>
          <w:rFonts w:ascii="Times New Roman" w:hAnsi="Times New Roman"/>
          <w:b/>
          <w:sz w:val="24"/>
          <w:u w:val="single"/>
        </w:rPr>
        <w:t>Issue</w:t>
      </w:r>
      <w:r w:rsidR="00FF7A7D">
        <w:rPr>
          <w:rFonts w:ascii="Times New Roman" w:hAnsi="Times New Roman"/>
          <w:b/>
          <w:sz w:val="24"/>
          <w:u w:val="single"/>
        </w:rPr>
        <w:t xml:space="preserve"> 1</w:t>
      </w:r>
      <w:r w:rsidRPr="00FC2BD5">
        <w:rPr>
          <w:rFonts w:ascii="Times New Roman" w:hAnsi="Times New Roman"/>
          <w:b/>
          <w:sz w:val="24"/>
          <w:u w:val="single"/>
        </w:rPr>
        <w:t>8</w:t>
      </w:r>
      <w:r w:rsidRPr="00FE1D8A">
        <w:rPr>
          <w:rFonts w:ascii="Times New Roman" w:hAnsi="Times New Roman"/>
          <w:sz w:val="24"/>
        </w:rPr>
        <w:t>:</w:t>
      </w:r>
      <w:r w:rsidRPr="00FE1D8A">
        <w:rPr>
          <w:rFonts w:ascii="Times New Roman" w:hAnsi="Times New Roman"/>
          <w:sz w:val="24"/>
        </w:rPr>
        <w:tab/>
      </w:r>
      <w:r w:rsidR="00DA70B6" w:rsidRPr="00DA70B6">
        <w:rPr>
          <w:rFonts w:ascii="Times New Roman" w:hAnsi="Times New Roman"/>
          <w:sz w:val="24"/>
        </w:rPr>
        <w:t>Should this docket be closed?</w:t>
      </w:r>
    </w:p>
    <w:p w:rsidR="00FC2BD5" w:rsidRDefault="00FC2BD5" w:rsidP="00FC2BD5">
      <w:pPr>
        <w:widowControl/>
        <w:autoSpaceDE/>
        <w:autoSpaceDN/>
        <w:adjustRightInd/>
        <w:ind w:left="1440" w:hanging="1440"/>
        <w:outlineLvl w:val="0"/>
        <w:rPr>
          <w:rFonts w:ascii="Times New Roman" w:hAnsi="Times New Roman"/>
          <w:sz w:val="24"/>
        </w:rPr>
      </w:pPr>
    </w:p>
    <w:p w:rsidR="00FC2BD5" w:rsidRDefault="00FC2BD5" w:rsidP="00FC2BD5">
      <w:pPr>
        <w:ind w:left="1440" w:hanging="1440"/>
        <w:jc w:val="both"/>
        <w:rPr>
          <w:rFonts w:ascii="Calibri" w:hAnsi="Calibri"/>
          <w:sz w:val="22"/>
          <w:szCs w:val="22"/>
        </w:rPr>
      </w:pPr>
      <w:r>
        <w:rPr>
          <w:rFonts w:ascii="Times New Roman" w:hAnsi="Times New Roman"/>
          <w:sz w:val="24"/>
        </w:rPr>
        <w:t>OPC:</w:t>
      </w:r>
      <w:r>
        <w:rPr>
          <w:rFonts w:ascii="Times New Roman" w:hAnsi="Times New Roman"/>
          <w:sz w:val="24"/>
        </w:rPr>
        <w:tab/>
      </w:r>
      <w:r w:rsidR="00490E36">
        <w:rPr>
          <w:rFonts w:ascii="Times New Roman" w:hAnsi="Times New Roman"/>
          <w:sz w:val="24"/>
        </w:rPr>
        <w:t>No.  It should be held open.</w:t>
      </w:r>
    </w:p>
    <w:p w:rsidR="00FC2BD5" w:rsidRDefault="00FC2BD5" w:rsidP="00FC2BD5">
      <w:pPr>
        <w:widowControl/>
        <w:autoSpaceDE/>
        <w:autoSpaceDN/>
        <w:adjustRightInd/>
        <w:ind w:left="1440" w:hanging="1440"/>
        <w:jc w:val="both"/>
        <w:outlineLvl w:val="0"/>
        <w:rPr>
          <w:rFonts w:ascii="Times New Roman" w:hAnsi="Times New Roman"/>
          <w:sz w:val="24"/>
        </w:rPr>
      </w:pPr>
    </w:p>
    <w:p w:rsidR="00C54515" w:rsidRDefault="00C54515" w:rsidP="00FC2BD5">
      <w:pPr>
        <w:widowControl/>
        <w:autoSpaceDE/>
        <w:autoSpaceDN/>
        <w:adjustRightInd/>
        <w:ind w:left="1440" w:hanging="1440"/>
        <w:outlineLvl w:val="0"/>
        <w:rPr>
          <w:rFonts w:ascii="Times New Roman" w:hAnsi="Times New Roman"/>
          <w:sz w:val="24"/>
        </w:rPr>
      </w:pPr>
    </w:p>
    <w:p w:rsidR="00FC2BD5" w:rsidRDefault="00FC2BD5" w:rsidP="00901F52">
      <w:pPr>
        <w:widowControl/>
        <w:autoSpaceDE/>
        <w:autoSpaceDN/>
        <w:adjustRightInd/>
        <w:ind w:left="1440" w:hanging="1440"/>
        <w:outlineLvl w:val="0"/>
        <w:rPr>
          <w:rFonts w:ascii="Times New Roman" w:hAnsi="Times New Roman"/>
          <w:sz w:val="24"/>
        </w:rPr>
      </w:pPr>
    </w:p>
    <w:p w:rsidR="00107D7C" w:rsidRPr="00C1443D" w:rsidRDefault="00107D7C" w:rsidP="00107D7C">
      <w:pPr>
        <w:spacing w:line="276" w:lineRule="auto"/>
        <w:jc w:val="both"/>
        <w:rPr>
          <w:rFonts w:ascii="Times New Roman" w:hAnsi="Times New Roman"/>
          <w:b/>
          <w:sz w:val="24"/>
          <w:u w:val="single"/>
        </w:rPr>
      </w:pPr>
      <w:r w:rsidRPr="00C1443D">
        <w:rPr>
          <w:rFonts w:ascii="Times New Roman" w:hAnsi="Times New Roman"/>
          <w:b/>
          <w:sz w:val="24"/>
        </w:rPr>
        <w:t xml:space="preserve">5.  </w:t>
      </w:r>
      <w:r w:rsidR="00344D31" w:rsidRPr="00C1443D">
        <w:rPr>
          <w:rFonts w:ascii="Times New Roman" w:hAnsi="Times New Roman"/>
          <w:b/>
          <w:sz w:val="24"/>
        </w:rPr>
        <w:tab/>
      </w:r>
      <w:r w:rsidRPr="00C1443D">
        <w:rPr>
          <w:rFonts w:ascii="Times New Roman" w:hAnsi="Times New Roman"/>
          <w:b/>
          <w:sz w:val="24"/>
          <w:u w:val="single"/>
        </w:rPr>
        <w:t>STIPULATED ISSUES:</w:t>
      </w:r>
    </w:p>
    <w:p w:rsidR="00107D7C" w:rsidRPr="00C1443D" w:rsidRDefault="00107D7C" w:rsidP="00107D7C">
      <w:pPr>
        <w:spacing w:line="276" w:lineRule="auto"/>
        <w:jc w:val="both"/>
        <w:rPr>
          <w:rFonts w:ascii="Times New Roman" w:hAnsi="Times New Roman"/>
          <w:sz w:val="24"/>
          <w:u w:val="single"/>
        </w:rPr>
      </w:pPr>
    </w:p>
    <w:p w:rsidR="00107D7C" w:rsidRPr="00C1443D" w:rsidRDefault="00344D31" w:rsidP="00107D7C">
      <w:pPr>
        <w:spacing w:line="276" w:lineRule="auto"/>
        <w:jc w:val="both"/>
        <w:rPr>
          <w:rFonts w:ascii="Times New Roman" w:hAnsi="Times New Roman"/>
          <w:sz w:val="24"/>
        </w:rPr>
      </w:pPr>
      <w:r w:rsidRPr="00C1443D">
        <w:rPr>
          <w:rFonts w:ascii="Times New Roman" w:hAnsi="Times New Roman"/>
          <w:sz w:val="24"/>
        </w:rPr>
        <w:tab/>
        <w:t>None at this time.</w:t>
      </w:r>
    </w:p>
    <w:p w:rsidR="00695C44" w:rsidRDefault="00695C44" w:rsidP="00107D7C">
      <w:pPr>
        <w:spacing w:line="276" w:lineRule="auto"/>
        <w:ind w:left="720" w:hanging="720"/>
        <w:jc w:val="both"/>
        <w:rPr>
          <w:rFonts w:ascii="Times New Roman" w:hAnsi="Times New Roman"/>
          <w:b/>
          <w:sz w:val="24"/>
        </w:rPr>
      </w:pPr>
    </w:p>
    <w:p w:rsidR="00695C44" w:rsidRDefault="00695C44" w:rsidP="00107D7C">
      <w:pPr>
        <w:spacing w:line="276" w:lineRule="auto"/>
        <w:ind w:left="720" w:hanging="720"/>
        <w:jc w:val="both"/>
        <w:rPr>
          <w:rFonts w:ascii="Times New Roman" w:hAnsi="Times New Roman"/>
          <w:b/>
          <w:sz w:val="24"/>
        </w:rPr>
      </w:pPr>
    </w:p>
    <w:p w:rsidR="00107D7C" w:rsidRPr="00C1443D" w:rsidRDefault="00107D7C" w:rsidP="00107D7C">
      <w:pPr>
        <w:spacing w:line="276" w:lineRule="auto"/>
        <w:ind w:left="720" w:hanging="720"/>
        <w:jc w:val="both"/>
        <w:rPr>
          <w:rFonts w:ascii="Times New Roman" w:hAnsi="Times New Roman"/>
          <w:b/>
          <w:sz w:val="24"/>
        </w:rPr>
      </w:pPr>
      <w:r w:rsidRPr="00C1443D">
        <w:rPr>
          <w:rFonts w:ascii="Times New Roman" w:hAnsi="Times New Roman"/>
          <w:b/>
          <w:sz w:val="24"/>
        </w:rPr>
        <w:t xml:space="preserve">6.  </w:t>
      </w:r>
      <w:r w:rsidR="00344D31" w:rsidRPr="00C1443D">
        <w:rPr>
          <w:rFonts w:ascii="Times New Roman" w:hAnsi="Times New Roman"/>
          <w:b/>
          <w:sz w:val="24"/>
        </w:rPr>
        <w:tab/>
      </w:r>
      <w:r w:rsidRPr="00C1443D">
        <w:rPr>
          <w:rFonts w:ascii="Times New Roman" w:hAnsi="Times New Roman"/>
          <w:b/>
          <w:sz w:val="24"/>
          <w:u w:val="single"/>
        </w:rPr>
        <w:t>PENDING MOTIONS</w:t>
      </w:r>
      <w:r w:rsidRPr="00C1443D">
        <w:rPr>
          <w:rFonts w:ascii="Times New Roman" w:hAnsi="Times New Roman"/>
          <w:b/>
          <w:sz w:val="24"/>
        </w:rPr>
        <w:t xml:space="preserve">:  </w:t>
      </w:r>
    </w:p>
    <w:p w:rsidR="00107D7C" w:rsidRPr="00C1443D" w:rsidRDefault="00344D31" w:rsidP="00107D7C">
      <w:pPr>
        <w:spacing w:line="276" w:lineRule="auto"/>
        <w:ind w:left="720" w:hanging="720"/>
        <w:jc w:val="both"/>
        <w:rPr>
          <w:rFonts w:ascii="Times New Roman" w:hAnsi="Times New Roman"/>
          <w:sz w:val="24"/>
        </w:rPr>
      </w:pPr>
      <w:r w:rsidRPr="00C1443D">
        <w:rPr>
          <w:rFonts w:ascii="Times New Roman" w:hAnsi="Times New Roman"/>
          <w:sz w:val="24"/>
        </w:rPr>
        <w:tab/>
      </w:r>
    </w:p>
    <w:p w:rsidR="00C5389A" w:rsidRPr="00C5389A" w:rsidRDefault="00344D31" w:rsidP="00C5389A">
      <w:pPr>
        <w:spacing w:line="276" w:lineRule="auto"/>
        <w:ind w:left="720" w:hanging="720"/>
        <w:jc w:val="both"/>
        <w:rPr>
          <w:rFonts w:ascii="Times New Roman" w:hAnsi="Times New Roman"/>
          <w:sz w:val="24"/>
        </w:rPr>
      </w:pPr>
      <w:r w:rsidRPr="00C1443D">
        <w:rPr>
          <w:rFonts w:ascii="Times New Roman" w:hAnsi="Times New Roman"/>
          <w:sz w:val="24"/>
        </w:rPr>
        <w:tab/>
      </w:r>
      <w:r w:rsidR="007E06F2">
        <w:rPr>
          <w:rFonts w:ascii="Times New Roman" w:hAnsi="Times New Roman"/>
          <w:sz w:val="24"/>
        </w:rPr>
        <w:t xml:space="preserve">WMSI’s </w:t>
      </w:r>
      <w:r w:rsidR="00C45215" w:rsidRPr="00C45215">
        <w:rPr>
          <w:rFonts w:ascii="Times New Roman" w:hAnsi="Times New Roman"/>
          <w:sz w:val="24"/>
        </w:rPr>
        <w:t>Motion for temporary protective o</w:t>
      </w:r>
      <w:r w:rsidR="00C45215">
        <w:rPr>
          <w:rFonts w:ascii="Times New Roman" w:hAnsi="Times New Roman"/>
          <w:sz w:val="24"/>
        </w:rPr>
        <w:t xml:space="preserve">rder </w:t>
      </w:r>
      <w:r w:rsidR="00C45215" w:rsidRPr="00C45215">
        <w:rPr>
          <w:rFonts w:ascii="Times New Roman" w:hAnsi="Times New Roman"/>
          <w:sz w:val="24"/>
        </w:rPr>
        <w:t xml:space="preserve">with regard to documents submitted in connection with OPC's </w:t>
      </w:r>
      <w:r w:rsidR="00627006">
        <w:rPr>
          <w:rFonts w:ascii="Times New Roman" w:hAnsi="Times New Roman"/>
          <w:sz w:val="24"/>
        </w:rPr>
        <w:t>First Request for Production of Documents</w:t>
      </w:r>
      <w:r w:rsidR="00C45215" w:rsidRPr="00C45215">
        <w:rPr>
          <w:rFonts w:ascii="Times New Roman" w:hAnsi="Times New Roman"/>
          <w:sz w:val="24"/>
        </w:rPr>
        <w:t xml:space="preserve"> </w:t>
      </w:r>
      <w:r w:rsidR="00C45215">
        <w:rPr>
          <w:rFonts w:ascii="Times New Roman" w:hAnsi="Times New Roman"/>
          <w:sz w:val="24"/>
        </w:rPr>
        <w:t>dated October 25, 2012</w:t>
      </w:r>
      <w:r w:rsidR="00046A76">
        <w:rPr>
          <w:rFonts w:ascii="Times New Roman" w:hAnsi="Times New Roman"/>
          <w:sz w:val="24"/>
        </w:rPr>
        <w:t xml:space="preserve"> is pending. </w:t>
      </w:r>
      <w:r w:rsidR="00C45215">
        <w:rPr>
          <w:rFonts w:ascii="Times New Roman" w:hAnsi="Times New Roman"/>
          <w:sz w:val="24"/>
        </w:rPr>
        <w:t xml:space="preserve"> </w:t>
      </w:r>
      <w:r w:rsidR="00046A76">
        <w:rPr>
          <w:rFonts w:ascii="Times New Roman" w:hAnsi="Times New Roman"/>
          <w:sz w:val="24"/>
        </w:rPr>
        <w:t xml:space="preserve">In </w:t>
      </w:r>
      <w:r w:rsidR="007E06F2">
        <w:rPr>
          <w:rFonts w:ascii="Times New Roman" w:hAnsi="Times New Roman"/>
          <w:sz w:val="24"/>
        </w:rPr>
        <w:t xml:space="preserve">OPC’s </w:t>
      </w:r>
      <w:r w:rsidR="00C45215" w:rsidRPr="00C45215">
        <w:rPr>
          <w:rFonts w:ascii="Times New Roman" w:hAnsi="Times New Roman"/>
          <w:sz w:val="24"/>
        </w:rPr>
        <w:t xml:space="preserve">Response </w:t>
      </w:r>
      <w:r w:rsidR="00046A76">
        <w:rPr>
          <w:rFonts w:ascii="Times New Roman" w:hAnsi="Times New Roman"/>
          <w:sz w:val="24"/>
        </w:rPr>
        <w:t xml:space="preserve">to </w:t>
      </w:r>
      <w:r w:rsidR="00C45215" w:rsidRPr="00C45215">
        <w:rPr>
          <w:rFonts w:ascii="Times New Roman" w:hAnsi="Times New Roman"/>
          <w:sz w:val="24"/>
        </w:rPr>
        <w:t>WMSI's motion for temporary protective order</w:t>
      </w:r>
      <w:r w:rsidR="00C45215">
        <w:rPr>
          <w:rFonts w:ascii="Times New Roman" w:hAnsi="Times New Roman"/>
          <w:sz w:val="24"/>
        </w:rPr>
        <w:t xml:space="preserve"> dated November 1, 2012</w:t>
      </w:r>
      <w:r w:rsidR="00046A76">
        <w:rPr>
          <w:rFonts w:ascii="Times New Roman" w:hAnsi="Times New Roman"/>
          <w:sz w:val="24"/>
        </w:rPr>
        <w:t>, OPC expressed its position that WMSI had not justified treating the documents that are the subject of this motion as confidential</w:t>
      </w:r>
      <w:r w:rsidR="007E06F2">
        <w:rPr>
          <w:rFonts w:ascii="Times New Roman" w:hAnsi="Times New Roman"/>
          <w:sz w:val="24"/>
        </w:rPr>
        <w:t>.</w:t>
      </w:r>
      <w:r w:rsidR="00C5389A">
        <w:rPr>
          <w:rFonts w:ascii="Times New Roman" w:hAnsi="Times New Roman"/>
          <w:sz w:val="24"/>
        </w:rPr>
        <w:t xml:space="preserve">  OPC notes that the testimony and exhibits of OPC witness Schultz has referenced the content of the </w:t>
      </w:r>
      <w:r w:rsidR="00C5389A" w:rsidRPr="00C5389A">
        <w:rPr>
          <w:rFonts w:ascii="Times New Roman" w:hAnsi="Times New Roman"/>
          <w:sz w:val="24"/>
        </w:rPr>
        <w:t xml:space="preserve">following discovery responses which are currently subject to the </w:t>
      </w:r>
      <w:r w:rsidR="00C5389A">
        <w:rPr>
          <w:rFonts w:ascii="Times New Roman" w:hAnsi="Times New Roman"/>
          <w:sz w:val="24"/>
        </w:rPr>
        <w:t>U</w:t>
      </w:r>
      <w:r w:rsidR="00C5389A" w:rsidRPr="00C5389A">
        <w:rPr>
          <w:rFonts w:ascii="Times New Roman" w:hAnsi="Times New Roman"/>
          <w:sz w:val="24"/>
        </w:rPr>
        <w:t>tility’s October 25, 2012, motion for temporary protective order:</w:t>
      </w:r>
    </w:p>
    <w:p w:rsidR="00C5389A" w:rsidRPr="00C5389A" w:rsidRDefault="00C5389A" w:rsidP="00C5389A">
      <w:pPr>
        <w:spacing w:line="276" w:lineRule="auto"/>
        <w:ind w:left="720" w:hanging="720"/>
        <w:jc w:val="both"/>
        <w:rPr>
          <w:rFonts w:ascii="Times New Roman" w:hAnsi="Times New Roman"/>
          <w:sz w:val="24"/>
        </w:rPr>
      </w:pPr>
    </w:p>
    <w:p w:rsidR="00C5389A" w:rsidRPr="00C5389A" w:rsidRDefault="00C5389A" w:rsidP="00C5389A">
      <w:pPr>
        <w:spacing w:line="276" w:lineRule="auto"/>
        <w:ind w:left="720" w:firstLine="720"/>
        <w:jc w:val="both"/>
        <w:rPr>
          <w:rFonts w:ascii="Times New Roman" w:hAnsi="Times New Roman"/>
          <w:sz w:val="24"/>
        </w:rPr>
      </w:pPr>
      <w:r w:rsidRPr="00C5389A">
        <w:rPr>
          <w:rFonts w:ascii="Times New Roman" w:hAnsi="Times New Roman"/>
          <w:sz w:val="24"/>
        </w:rPr>
        <w:t>Utility’s response to OPC’s First Request for Production of Documents No. 2</w:t>
      </w:r>
    </w:p>
    <w:p w:rsidR="00C5389A" w:rsidRPr="00C5389A" w:rsidRDefault="00C5389A" w:rsidP="00C5389A">
      <w:pPr>
        <w:spacing w:line="276" w:lineRule="auto"/>
        <w:ind w:left="720" w:firstLine="720"/>
        <w:jc w:val="both"/>
        <w:rPr>
          <w:rFonts w:ascii="Times New Roman" w:hAnsi="Times New Roman"/>
          <w:sz w:val="24"/>
        </w:rPr>
      </w:pPr>
      <w:r w:rsidRPr="00C5389A">
        <w:rPr>
          <w:rFonts w:ascii="Times New Roman" w:hAnsi="Times New Roman"/>
          <w:sz w:val="24"/>
        </w:rPr>
        <w:t>Utility’s response to OPC’s First Request for Production of Documents No. 4</w:t>
      </w:r>
    </w:p>
    <w:p w:rsidR="00344D31" w:rsidRDefault="00C5389A" w:rsidP="00C5389A">
      <w:pPr>
        <w:spacing w:line="276" w:lineRule="auto"/>
        <w:ind w:left="720" w:firstLine="720"/>
        <w:jc w:val="both"/>
        <w:rPr>
          <w:rFonts w:ascii="Times New Roman" w:hAnsi="Times New Roman"/>
          <w:sz w:val="24"/>
        </w:rPr>
      </w:pPr>
      <w:r w:rsidRPr="00C5389A">
        <w:rPr>
          <w:rFonts w:ascii="Times New Roman" w:hAnsi="Times New Roman"/>
          <w:sz w:val="24"/>
        </w:rPr>
        <w:t>Utility’s response to OPC’s First Request for Production of Documents No. 14</w:t>
      </w:r>
    </w:p>
    <w:p w:rsidR="00490E36" w:rsidRDefault="00490E36" w:rsidP="00107D7C">
      <w:pPr>
        <w:spacing w:line="276" w:lineRule="auto"/>
        <w:ind w:left="720" w:hanging="720"/>
        <w:jc w:val="both"/>
        <w:rPr>
          <w:rFonts w:ascii="Times New Roman" w:hAnsi="Times New Roman"/>
          <w:sz w:val="24"/>
        </w:rPr>
      </w:pPr>
    </w:p>
    <w:p w:rsidR="00A24184" w:rsidRDefault="00675D32" w:rsidP="00C5389A">
      <w:pPr>
        <w:spacing w:line="276" w:lineRule="auto"/>
        <w:ind w:left="720"/>
        <w:jc w:val="both"/>
        <w:rPr>
          <w:rFonts w:ascii="Times New Roman" w:hAnsi="Times New Roman"/>
          <w:sz w:val="24"/>
        </w:rPr>
      </w:pPr>
      <w:r>
        <w:rPr>
          <w:rFonts w:ascii="Times New Roman" w:hAnsi="Times New Roman"/>
          <w:sz w:val="24"/>
        </w:rPr>
        <w:t xml:space="preserve">At the time this prehearing statement was filed, it is unknown whether the Utility would request confidential treatment for these responses.  </w:t>
      </w:r>
      <w:r w:rsidR="00A24184" w:rsidRPr="00A24184">
        <w:rPr>
          <w:rFonts w:ascii="Times New Roman" w:hAnsi="Times New Roman"/>
          <w:sz w:val="24"/>
        </w:rPr>
        <w:t>If the Commission has not ruled on whether</w:t>
      </w:r>
      <w:r w:rsidR="00C5389A">
        <w:rPr>
          <w:rFonts w:ascii="Times New Roman" w:hAnsi="Times New Roman"/>
          <w:sz w:val="24"/>
        </w:rPr>
        <w:t xml:space="preserve"> the Utility’s responses to OPC’s First Request for Production of Documents Nos. 2, 4, and 14 are confidential, OPC will make the appropriate motion at the appropriate time</w:t>
      </w:r>
      <w:r w:rsidR="00A24184" w:rsidRPr="00A24184">
        <w:rPr>
          <w:rFonts w:ascii="Times New Roman" w:hAnsi="Times New Roman"/>
          <w:sz w:val="24"/>
        </w:rPr>
        <w:t xml:space="preserve">.  </w:t>
      </w:r>
    </w:p>
    <w:p w:rsidR="009A046B" w:rsidRDefault="00490E36" w:rsidP="00107D7C">
      <w:pPr>
        <w:spacing w:line="276" w:lineRule="auto"/>
        <w:ind w:left="720" w:hanging="720"/>
        <w:jc w:val="both"/>
        <w:rPr>
          <w:rFonts w:ascii="Times New Roman" w:hAnsi="Times New Roman"/>
          <w:sz w:val="24"/>
        </w:rPr>
      </w:pPr>
      <w:r>
        <w:rPr>
          <w:rFonts w:ascii="Times New Roman" w:hAnsi="Times New Roman"/>
          <w:sz w:val="24"/>
        </w:rPr>
        <w:tab/>
      </w:r>
    </w:p>
    <w:p w:rsidR="00490E36" w:rsidRPr="00C1443D" w:rsidRDefault="00490E36" w:rsidP="009A046B">
      <w:pPr>
        <w:spacing w:line="276" w:lineRule="auto"/>
        <w:ind w:left="720"/>
        <w:jc w:val="both"/>
        <w:rPr>
          <w:rFonts w:ascii="Times New Roman" w:hAnsi="Times New Roman"/>
          <w:sz w:val="24"/>
        </w:rPr>
      </w:pPr>
      <w:r>
        <w:rPr>
          <w:rFonts w:ascii="Times New Roman" w:hAnsi="Times New Roman"/>
          <w:sz w:val="24"/>
        </w:rPr>
        <w:t>No other pending motions at this time.</w:t>
      </w:r>
    </w:p>
    <w:p w:rsidR="00516CB4" w:rsidRPr="00C1443D" w:rsidRDefault="00516CB4" w:rsidP="00107D7C">
      <w:pPr>
        <w:spacing w:line="276" w:lineRule="auto"/>
        <w:jc w:val="both"/>
        <w:rPr>
          <w:rFonts w:ascii="Times New Roman" w:hAnsi="Times New Roman"/>
          <w:sz w:val="24"/>
        </w:rPr>
      </w:pPr>
    </w:p>
    <w:p w:rsidR="00E53420" w:rsidRPr="00C1443D" w:rsidRDefault="00E53420" w:rsidP="00107D7C">
      <w:pPr>
        <w:spacing w:line="276" w:lineRule="auto"/>
        <w:jc w:val="both"/>
        <w:rPr>
          <w:rFonts w:ascii="Times New Roman" w:hAnsi="Times New Roman"/>
          <w:sz w:val="24"/>
        </w:rPr>
      </w:pPr>
    </w:p>
    <w:p w:rsidR="00107D7C" w:rsidRPr="00C1443D" w:rsidRDefault="00107D7C" w:rsidP="00107D7C">
      <w:pPr>
        <w:spacing w:line="276" w:lineRule="auto"/>
        <w:jc w:val="both"/>
        <w:rPr>
          <w:rFonts w:ascii="Times New Roman" w:hAnsi="Times New Roman"/>
          <w:b/>
          <w:sz w:val="24"/>
          <w:u w:val="single"/>
        </w:rPr>
      </w:pPr>
      <w:r w:rsidRPr="00C1443D">
        <w:rPr>
          <w:rFonts w:ascii="Times New Roman" w:hAnsi="Times New Roman"/>
          <w:b/>
          <w:sz w:val="24"/>
        </w:rPr>
        <w:t xml:space="preserve">7.  </w:t>
      </w:r>
      <w:r w:rsidR="00344D31" w:rsidRPr="00C1443D">
        <w:rPr>
          <w:rFonts w:ascii="Times New Roman" w:hAnsi="Times New Roman"/>
          <w:b/>
          <w:sz w:val="24"/>
        </w:rPr>
        <w:tab/>
      </w:r>
      <w:r w:rsidRPr="00C1443D">
        <w:rPr>
          <w:rFonts w:ascii="Times New Roman" w:hAnsi="Times New Roman"/>
          <w:b/>
          <w:sz w:val="24"/>
          <w:u w:val="single"/>
        </w:rPr>
        <w:t xml:space="preserve">STATEMENT OF PARTY’S PENDING REQUESTS OR CLAIMS FOR </w:t>
      </w:r>
    </w:p>
    <w:p w:rsidR="00107D7C" w:rsidRPr="00C1443D" w:rsidRDefault="00107D7C" w:rsidP="00344D31">
      <w:pPr>
        <w:spacing w:line="276" w:lineRule="auto"/>
        <w:ind w:left="720" w:hanging="720"/>
        <w:jc w:val="both"/>
        <w:rPr>
          <w:rFonts w:ascii="Times New Roman" w:hAnsi="Times New Roman"/>
          <w:b/>
          <w:sz w:val="24"/>
          <w:u w:val="single"/>
        </w:rPr>
      </w:pPr>
      <w:r w:rsidRPr="00C1443D">
        <w:rPr>
          <w:rFonts w:ascii="Times New Roman" w:hAnsi="Times New Roman"/>
          <w:b/>
          <w:sz w:val="24"/>
        </w:rPr>
        <w:t xml:space="preserve">    </w:t>
      </w:r>
      <w:r w:rsidR="00344D31" w:rsidRPr="00C1443D">
        <w:rPr>
          <w:rFonts w:ascii="Times New Roman" w:hAnsi="Times New Roman"/>
          <w:b/>
          <w:sz w:val="24"/>
        </w:rPr>
        <w:tab/>
      </w:r>
      <w:r w:rsidRPr="00C1443D">
        <w:rPr>
          <w:rFonts w:ascii="Times New Roman" w:hAnsi="Times New Roman"/>
          <w:b/>
          <w:sz w:val="24"/>
          <w:u w:val="single"/>
        </w:rPr>
        <w:t>CONFIDENTIALITY:</w:t>
      </w:r>
    </w:p>
    <w:p w:rsidR="00107D7C" w:rsidRPr="00C1443D" w:rsidRDefault="00107D7C" w:rsidP="00107D7C">
      <w:pPr>
        <w:spacing w:line="276" w:lineRule="auto"/>
        <w:jc w:val="both"/>
        <w:rPr>
          <w:rFonts w:ascii="Times New Roman" w:hAnsi="Times New Roman"/>
          <w:sz w:val="24"/>
          <w:u w:val="single"/>
        </w:rPr>
      </w:pPr>
    </w:p>
    <w:p w:rsidR="00107D7C" w:rsidRPr="00C1443D" w:rsidRDefault="00107D7C" w:rsidP="00107D7C">
      <w:pPr>
        <w:spacing w:line="276" w:lineRule="auto"/>
        <w:ind w:left="720"/>
        <w:jc w:val="both"/>
        <w:rPr>
          <w:rFonts w:ascii="Times New Roman" w:hAnsi="Times New Roman"/>
          <w:sz w:val="24"/>
        </w:rPr>
      </w:pPr>
      <w:r w:rsidRPr="00C1443D">
        <w:rPr>
          <w:rFonts w:ascii="Times New Roman" w:hAnsi="Times New Roman"/>
          <w:sz w:val="24"/>
        </w:rPr>
        <w:t>None.</w:t>
      </w:r>
    </w:p>
    <w:p w:rsidR="00D5389A" w:rsidRPr="00C1443D" w:rsidRDefault="00D5389A" w:rsidP="00107D7C">
      <w:pPr>
        <w:spacing w:line="276" w:lineRule="auto"/>
        <w:ind w:left="720"/>
        <w:jc w:val="both"/>
        <w:rPr>
          <w:rFonts w:ascii="Times New Roman" w:hAnsi="Times New Roman"/>
          <w:sz w:val="24"/>
        </w:rPr>
      </w:pPr>
    </w:p>
    <w:p w:rsidR="00E53420" w:rsidRDefault="00E53420" w:rsidP="00107D7C">
      <w:pPr>
        <w:spacing w:line="276" w:lineRule="auto"/>
        <w:ind w:left="720"/>
        <w:jc w:val="both"/>
        <w:rPr>
          <w:rFonts w:ascii="Times New Roman" w:hAnsi="Times New Roman"/>
          <w:sz w:val="24"/>
        </w:rPr>
      </w:pPr>
    </w:p>
    <w:p w:rsidR="00405D34" w:rsidRPr="00C1443D" w:rsidRDefault="00405D34" w:rsidP="00107D7C">
      <w:pPr>
        <w:spacing w:line="276" w:lineRule="auto"/>
        <w:ind w:left="720"/>
        <w:jc w:val="both"/>
        <w:rPr>
          <w:rFonts w:ascii="Times New Roman" w:hAnsi="Times New Roman"/>
          <w:sz w:val="24"/>
        </w:rPr>
      </w:pPr>
    </w:p>
    <w:p w:rsidR="00107D7C" w:rsidRPr="00C1443D" w:rsidRDefault="00107D7C" w:rsidP="00107D7C">
      <w:pPr>
        <w:spacing w:line="276" w:lineRule="auto"/>
        <w:jc w:val="both"/>
        <w:rPr>
          <w:rFonts w:ascii="Times New Roman" w:hAnsi="Times New Roman"/>
          <w:b/>
          <w:sz w:val="24"/>
        </w:rPr>
      </w:pPr>
      <w:r w:rsidRPr="00C1443D">
        <w:rPr>
          <w:rFonts w:ascii="Times New Roman" w:hAnsi="Times New Roman"/>
          <w:b/>
          <w:sz w:val="24"/>
        </w:rPr>
        <w:t xml:space="preserve">8.  </w:t>
      </w:r>
      <w:r w:rsidR="00344D31" w:rsidRPr="00C1443D">
        <w:rPr>
          <w:rFonts w:ascii="Times New Roman" w:hAnsi="Times New Roman"/>
          <w:b/>
          <w:sz w:val="24"/>
        </w:rPr>
        <w:tab/>
      </w:r>
      <w:r w:rsidRPr="00C1443D">
        <w:rPr>
          <w:rFonts w:ascii="Times New Roman" w:hAnsi="Times New Roman"/>
          <w:b/>
          <w:sz w:val="24"/>
          <w:u w:val="single"/>
        </w:rPr>
        <w:t>OBJECTIONS TO QUALIFICATION OF WITNESSES AS AN EXPERT</w:t>
      </w:r>
      <w:r w:rsidRPr="00C1443D">
        <w:rPr>
          <w:rFonts w:ascii="Times New Roman" w:hAnsi="Times New Roman"/>
          <w:b/>
          <w:sz w:val="24"/>
        </w:rPr>
        <w:t>:</w:t>
      </w:r>
    </w:p>
    <w:p w:rsidR="00107D7C" w:rsidRPr="00C1443D" w:rsidRDefault="00107D7C" w:rsidP="00107D7C">
      <w:pPr>
        <w:spacing w:line="276" w:lineRule="auto"/>
        <w:jc w:val="both"/>
        <w:rPr>
          <w:rFonts w:ascii="Times New Roman" w:hAnsi="Times New Roman"/>
          <w:sz w:val="24"/>
        </w:rPr>
      </w:pPr>
    </w:p>
    <w:p w:rsidR="00107D7C" w:rsidRPr="00C1443D" w:rsidRDefault="00107D7C" w:rsidP="00107D7C">
      <w:pPr>
        <w:spacing w:line="276" w:lineRule="auto"/>
        <w:jc w:val="both"/>
        <w:rPr>
          <w:rFonts w:ascii="Times New Roman" w:hAnsi="Times New Roman"/>
          <w:sz w:val="24"/>
        </w:rPr>
      </w:pPr>
      <w:r w:rsidRPr="00C1443D">
        <w:rPr>
          <w:rFonts w:ascii="Times New Roman" w:hAnsi="Times New Roman"/>
          <w:sz w:val="24"/>
        </w:rPr>
        <w:tab/>
        <w:t>None at this time.</w:t>
      </w:r>
    </w:p>
    <w:p w:rsidR="00107D7C" w:rsidRPr="00C1443D" w:rsidRDefault="00107D7C" w:rsidP="00107D7C">
      <w:pPr>
        <w:spacing w:line="276" w:lineRule="auto"/>
        <w:jc w:val="both"/>
        <w:rPr>
          <w:rFonts w:ascii="Times New Roman" w:hAnsi="Times New Roman"/>
          <w:sz w:val="24"/>
        </w:rPr>
      </w:pPr>
    </w:p>
    <w:p w:rsidR="000364C6" w:rsidRDefault="000364C6" w:rsidP="00107D7C">
      <w:pPr>
        <w:spacing w:line="276" w:lineRule="auto"/>
        <w:jc w:val="both"/>
        <w:rPr>
          <w:rFonts w:ascii="Times New Roman" w:hAnsi="Times New Roman"/>
          <w:sz w:val="24"/>
        </w:rPr>
      </w:pPr>
    </w:p>
    <w:p w:rsidR="00107D7C" w:rsidRPr="00C1443D" w:rsidRDefault="00107D7C" w:rsidP="00107D7C">
      <w:pPr>
        <w:spacing w:line="276" w:lineRule="auto"/>
        <w:ind w:left="720" w:hanging="720"/>
        <w:jc w:val="both"/>
        <w:rPr>
          <w:rFonts w:ascii="Times New Roman" w:hAnsi="Times New Roman"/>
          <w:b/>
          <w:sz w:val="24"/>
        </w:rPr>
      </w:pPr>
      <w:r w:rsidRPr="00C1443D">
        <w:rPr>
          <w:rFonts w:ascii="Times New Roman" w:hAnsi="Times New Roman"/>
          <w:b/>
          <w:sz w:val="24"/>
        </w:rPr>
        <w:t xml:space="preserve">9.  </w:t>
      </w:r>
      <w:r w:rsidR="00344D31" w:rsidRPr="00C1443D">
        <w:rPr>
          <w:rFonts w:ascii="Times New Roman" w:hAnsi="Times New Roman"/>
          <w:b/>
          <w:sz w:val="24"/>
        </w:rPr>
        <w:tab/>
      </w:r>
      <w:r w:rsidRPr="00C1443D">
        <w:rPr>
          <w:rFonts w:ascii="Times New Roman" w:hAnsi="Times New Roman"/>
          <w:b/>
          <w:sz w:val="24"/>
          <w:u w:val="single"/>
        </w:rPr>
        <w:t>STATEMENT OF COMPLIANCE WITH ORDER ESTABLISHING PROCEDURE</w:t>
      </w:r>
      <w:r w:rsidRPr="00C1443D">
        <w:rPr>
          <w:rFonts w:ascii="Times New Roman" w:hAnsi="Times New Roman"/>
          <w:b/>
          <w:sz w:val="24"/>
        </w:rPr>
        <w:t xml:space="preserve">:  </w:t>
      </w:r>
    </w:p>
    <w:p w:rsidR="00107D7C" w:rsidRPr="00C1443D" w:rsidRDefault="00107D7C" w:rsidP="00107D7C">
      <w:pPr>
        <w:spacing w:line="276" w:lineRule="auto"/>
        <w:jc w:val="both"/>
        <w:rPr>
          <w:rFonts w:ascii="Times New Roman" w:hAnsi="Times New Roman"/>
          <w:sz w:val="24"/>
        </w:rPr>
      </w:pPr>
    </w:p>
    <w:p w:rsidR="00107D7C" w:rsidRPr="00B823E9" w:rsidRDefault="00107D7C" w:rsidP="00107D7C">
      <w:pPr>
        <w:pStyle w:val="BodyTextIndent2"/>
        <w:rPr>
          <w:b/>
        </w:rPr>
      </w:pPr>
      <w:r w:rsidRPr="00C1443D">
        <w:t xml:space="preserve">There are no requirements of Order </w:t>
      </w:r>
      <w:r w:rsidR="00DA70B6">
        <w:t>No. PSC-12-0526-PCO-WU</w:t>
      </w:r>
      <w:r w:rsidR="004B67AC">
        <w:t xml:space="preserve"> </w:t>
      </w:r>
      <w:r w:rsidRPr="00C1443D">
        <w:t>with which the Office of Public Counsel cannot comply.</w:t>
      </w:r>
    </w:p>
    <w:p w:rsidR="00107D7C" w:rsidRDefault="00107D7C"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107D7C" w:rsidRPr="00B823E9" w:rsidRDefault="00344D31"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sidR="00107D7C" w:rsidRPr="00B823E9">
        <w:rPr>
          <w:rFonts w:ascii="Times New Roman" w:hAnsi="Times New Roman"/>
          <w:sz w:val="24"/>
        </w:rPr>
        <w:t xml:space="preserve">Dated this </w:t>
      </w:r>
      <w:r w:rsidR="00DA70B6">
        <w:rPr>
          <w:rFonts w:ascii="Times New Roman" w:hAnsi="Times New Roman"/>
          <w:sz w:val="24"/>
        </w:rPr>
        <w:t>17</w:t>
      </w:r>
      <w:r w:rsidR="00107D7C" w:rsidRPr="00A97F64">
        <w:rPr>
          <w:rFonts w:ascii="Times New Roman" w:hAnsi="Times New Roman"/>
          <w:sz w:val="24"/>
          <w:vertAlign w:val="superscript"/>
        </w:rPr>
        <w:t>th</w:t>
      </w:r>
      <w:r w:rsidR="00107D7C">
        <w:rPr>
          <w:rFonts w:ascii="Times New Roman" w:hAnsi="Times New Roman"/>
          <w:sz w:val="24"/>
        </w:rPr>
        <w:t xml:space="preserve"> </w:t>
      </w:r>
      <w:r w:rsidR="00107D7C" w:rsidRPr="00B823E9">
        <w:rPr>
          <w:rFonts w:ascii="Times New Roman" w:hAnsi="Times New Roman"/>
          <w:sz w:val="24"/>
        </w:rPr>
        <w:t>day of</w:t>
      </w:r>
      <w:r w:rsidR="00D306FE">
        <w:rPr>
          <w:rFonts w:ascii="Times New Roman" w:hAnsi="Times New Roman"/>
          <w:sz w:val="24"/>
        </w:rPr>
        <w:t xml:space="preserve"> </w:t>
      </w:r>
      <w:r w:rsidR="00DA70B6">
        <w:rPr>
          <w:rFonts w:ascii="Times New Roman" w:hAnsi="Times New Roman"/>
          <w:sz w:val="24"/>
        </w:rPr>
        <w:t>Dec</w:t>
      </w:r>
      <w:r w:rsidR="00D306FE">
        <w:rPr>
          <w:rFonts w:ascii="Times New Roman" w:hAnsi="Times New Roman"/>
          <w:sz w:val="24"/>
        </w:rPr>
        <w:t>ember</w:t>
      </w:r>
      <w:r w:rsidR="00901F52">
        <w:rPr>
          <w:rFonts w:ascii="Times New Roman" w:hAnsi="Times New Roman"/>
          <w:sz w:val="24"/>
        </w:rPr>
        <w:t>, 2012</w:t>
      </w:r>
    </w:p>
    <w:p w:rsidR="00577715" w:rsidRPr="00B823E9" w:rsidRDefault="00577715" w:rsidP="00B823E9">
      <w:pPr>
        <w:spacing w:line="276" w:lineRule="auto"/>
        <w:jc w:val="both"/>
        <w:rPr>
          <w:rFonts w:ascii="Times New Roman" w:hAnsi="Times New Roman"/>
          <w:sz w:val="24"/>
        </w:rPr>
      </w:pPr>
    </w:p>
    <w:p w:rsidR="00344D31" w:rsidRPr="00B823E9" w:rsidRDefault="00344D31" w:rsidP="00344D31">
      <w:pPr>
        <w:widowControl/>
        <w:tabs>
          <w:tab w:val="left" w:pos="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E9">
        <w:rPr>
          <w:rFonts w:ascii="Times New Roman" w:hAnsi="Times New Roman"/>
          <w:sz w:val="24"/>
        </w:rPr>
        <w:t>J.R. Kelly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73E87" w:rsidRDefault="00344D31"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E9">
        <w:rPr>
          <w:rFonts w:ascii="Times New Roman" w:hAnsi="Times New Roman"/>
          <w:sz w:val="24"/>
        </w:rPr>
        <w:t>Public Counsel</w:t>
      </w:r>
    </w:p>
    <w:p w:rsidR="00FF7A7D" w:rsidRDefault="00FF7A7D"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FF7A7D" w:rsidRDefault="00FF7A7D"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44D31" w:rsidRPr="00B20299"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20299">
        <w:rPr>
          <w:rFonts w:ascii="Times New Roman" w:hAnsi="Times New Roman"/>
          <w:sz w:val="24"/>
          <w:u w:val="single"/>
        </w:rPr>
        <w:t>s/ Erik L. Sayler</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00DA70B6">
        <w:rPr>
          <w:rFonts w:ascii="Times New Roman" w:hAnsi="Times New Roman"/>
          <w:sz w:val="24"/>
        </w:rPr>
        <w:t>Erik L. Sayler</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Associate Public Counsel</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Office of Public Counsel</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c/o The Florida Legislature</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44D31">
        <w:rPr>
          <w:rFonts w:ascii="Times New Roman" w:hAnsi="Times New Roman"/>
          <w:sz w:val="24"/>
        </w:rPr>
        <w:t>111 West Madison Street, Room 812</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44D31">
        <w:rPr>
          <w:rFonts w:ascii="Times New Roman" w:hAnsi="Times New Roman"/>
          <w:sz w:val="24"/>
        </w:rPr>
        <w:t>Tallahassee, FL 32399-1400</w:t>
      </w:r>
    </w:p>
    <w:p w:rsidR="00925622" w:rsidRPr="00607833" w:rsidRDefault="00DA70B6" w:rsidP="00925622">
      <w:pPr>
        <w:tabs>
          <w:tab w:val="left" w:pos="0"/>
        </w:tabs>
        <w:jc w:val="center"/>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344D31" w:rsidRPr="00344D31">
        <w:rPr>
          <w:rFonts w:ascii="Times New Roman" w:hAnsi="Times New Roman"/>
          <w:sz w:val="24"/>
        </w:rPr>
        <w:t>(850) 488-9330</w:t>
      </w:r>
      <w:r w:rsidR="00344D31">
        <w:rPr>
          <w:rFonts w:ascii="Times New Roman" w:hAnsi="Times New Roman"/>
          <w:b/>
          <w:sz w:val="24"/>
          <w:u w:val="single"/>
        </w:rPr>
        <w:br w:type="page"/>
      </w:r>
      <w:r w:rsidR="00925622" w:rsidRPr="00607833">
        <w:rPr>
          <w:rFonts w:ascii="Times New Roman" w:hAnsi="Times New Roman"/>
          <w:sz w:val="24"/>
          <w:u w:val="single"/>
        </w:rPr>
        <w:t>CERTIFICATE OF SERVICE</w:t>
      </w:r>
    </w:p>
    <w:p w:rsidR="00925622" w:rsidRPr="00607833" w:rsidRDefault="00925622" w:rsidP="00925622">
      <w:pPr>
        <w:tabs>
          <w:tab w:val="left" w:pos="0"/>
        </w:tabs>
        <w:spacing w:line="360" w:lineRule="auto"/>
        <w:rPr>
          <w:rFonts w:ascii="Times New Roman" w:hAnsi="Times New Roman"/>
          <w:sz w:val="24"/>
        </w:rPr>
      </w:pPr>
      <w:r w:rsidRPr="00607833">
        <w:rPr>
          <w:rFonts w:ascii="Times New Roman" w:hAnsi="Times New Roman"/>
          <w:sz w:val="24"/>
        </w:rPr>
        <w:tab/>
      </w:r>
    </w:p>
    <w:p w:rsidR="00925622" w:rsidRPr="00607833" w:rsidRDefault="00925622" w:rsidP="00925622">
      <w:pPr>
        <w:spacing w:line="480" w:lineRule="auto"/>
        <w:rPr>
          <w:rFonts w:ascii="Times New Roman" w:hAnsi="Times New Roman"/>
          <w:sz w:val="24"/>
        </w:rPr>
      </w:pPr>
      <w:r w:rsidRPr="00607833">
        <w:rPr>
          <w:rFonts w:ascii="Times New Roman" w:hAnsi="Times New Roman"/>
          <w:sz w:val="24"/>
        </w:rPr>
        <w:tab/>
        <w:t xml:space="preserve">I HEREBY CERTIFY that a copy of the foregoing </w:t>
      </w:r>
      <w:r w:rsidR="00086BE0" w:rsidRPr="00086BE0">
        <w:rPr>
          <w:rFonts w:ascii="Times New Roman" w:hAnsi="Times New Roman"/>
          <w:b/>
          <w:bCs/>
          <w:sz w:val="24"/>
          <w:u w:val="single"/>
        </w:rPr>
        <w:t xml:space="preserve"> </w:t>
      </w:r>
      <w:r w:rsidR="00086BE0" w:rsidRPr="007B6954">
        <w:rPr>
          <w:rFonts w:ascii="Times New Roman" w:hAnsi="Times New Roman"/>
          <w:b/>
          <w:bCs/>
          <w:sz w:val="24"/>
          <w:u w:val="single"/>
        </w:rPr>
        <w:t>PREHEARING STATEMENT OF THE OFFICE OF PUBLIC COUNSEL</w:t>
      </w:r>
      <w:r w:rsidR="00086BE0">
        <w:rPr>
          <w:rFonts w:ascii="Times New Roman" w:hAnsi="Times New Roman"/>
          <w:sz w:val="24"/>
        </w:rPr>
        <w:t xml:space="preserve"> has</w:t>
      </w:r>
      <w:r w:rsidRPr="00607833">
        <w:rPr>
          <w:rFonts w:ascii="Times New Roman" w:hAnsi="Times New Roman"/>
          <w:sz w:val="24"/>
        </w:rPr>
        <w:t xml:space="preserve"> been furnished by electronic mail and/or U.S. Mail to the following parties</w:t>
      </w:r>
      <w:r w:rsidR="00086BE0">
        <w:rPr>
          <w:rFonts w:ascii="Times New Roman" w:hAnsi="Times New Roman"/>
          <w:sz w:val="24"/>
        </w:rPr>
        <w:t xml:space="preserve"> on this 17</w:t>
      </w:r>
      <w:r w:rsidRPr="00607833">
        <w:rPr>
          <w:rFonts w:ascii="Times New Roman" w:hAnsi="Times New Roman"/>
          <w:sz w:val="24"/>
        </w:rPr>
        <w:t>th day of December, 2012, to the following:</w:t>
      </w:r>
    </w:p>
    <w:p w:rsidR="00925622" w:rsidRPr="00607833" w:rsidRDefault="00925622" w:rsidP="00925622">
      <w:pPr>
        <w:rPr>
          <w:rFonts w:ascii="Times New Roman" w:hAnsi="Times New Roman"/>
          <w:sz w:val="24"/>
        </w:rPr>
      </w:pPr>
    </w:p>
    <w:p w:rsidR="00925622" w:rsidRPr="00607833" w:rsidRDefault="00C54515" w:rsidP="00925622">
      <w:pPr>
        <w:rPr>
          <w:rFonts w:ascii="Times New Roman" w:hAnsi="Times New Roman"/>
          <w:sz w:val="24"/>
        </w:rPr>
      </w:pPr>
      <w:r w:rsidRPr="00607833">
        <w:rPr>
          <w:rFonts w:ascii="Times New Roman" w:hAnsi="Times New Roman"/>
          <w:sz w:val="24"/>
        </w:rPr>
        <w:t>Martha Barrera</w:t>
      </w:r>
      <w:r w:rsidR="00925622" w:rsidRPr="00607833">
        <w:rPr>
          <w:rFonts w:ascii="Times New Roman" w:hAnsi="Times New Roman"/>
          <w:sz w:val="24"/>
        </w:rPr>
        <w:tab/>
      </w:r>
      <w:r w:rsidR="00925622" w:rsidRPr="00607833">
        <w:rPr>
          <w:rFonts w:ascii="Times New Roman" w:hAnsi="Times New Roman"/>
          <w:sz w:val="24"/>
        </w:rPr>
        <w:tab/>
      </w:r>
      <w:r w:rsidR="00925622" w:rsidRPr="00607833">
        <w:rPr>
          <w:rFonts w:ascii="Times New Roman" w:hAnsi="Times New Roman"/>
          <w:sz w:val="24"/>
        </w:rPr>
        <w:tab/>
      </w:r>
      <w:r w:rsidR="00925622" w:rsidRPr="00607833">
        <w:rPr>
          <w:rFonts w:ascii="Times New Roman" w:hAnsi="Times New Roman"/>
          <w:sz w:val="24"/>
        </w:rPr>
        <w:tab/>
      </w:r>
      <w:r w:rsidR="00925622" w:rsidRPr="00607833">
        <w:rPr>
          <w:rFonts w:ascii="Times New Roman" w:hAnsi="Times New Roman"/>
          <w:sz w:val="24"/>
        </w:rPr>
        <w:tab/>
        <w:t>Mr. Gene D. Brown</w:t>
      </w:r>
    </w:p>
    <w:p w:rsidR="00925622" w:rsidRPr="00607833" w:rsidRDefault="00C54515" w:rsidP="00925622">
      <w:pPr>
        <w:rPr>
          <w:rFonts w:ascii="Times New Roman" w:hAnsi="Times New Roman"/>
          <w:sz w:val="24"/>
        </w:rPr>
      </w:pPr>
      <w:r w:rsidRPr="00607833">
        <w:rPr>
          <w:rFonts w:ascii="Times New Roman" w:hAnsi="Times New Roman"/>
          <w:sz w:val="24"/>
        </w:rPr>
        <w:t>Michael Lawson</w:t>
      </w:r>
      <w:r w:rsidR="00925622" w:rsidRPr="00607833">
        <w:rPr>
          <w:rFonts w:ascii="Times New Roman" w:hAnsi="Times New Roman"/>
          <w:sz w:val="24"/>
        </w:rPr>
        <w:tab/>
      </w:r>
      <w:r w:rsidR="00925622" w:rsidRPr="00607833">
        <w:rPr>
          <w:rFonts w:ascii="Times New Roman" w:hAnsi="Times New Roman"/>
          <w:sz w:val="24"/>
        </w:rPr>
        <w:tab/>
      </w:r>
      <w:r w:rsidR="00925622" w:rsidRPr="00607833">
        <w:rPr>
          <w:rFonts w:ascii="Times New Roman" w:hAnsi="Times New Roman"/>
          <w:sz w:val="24"/>
        </w:rPr>
        <w:tab/>
      </w:r>
      <w:r w:rsidR="00925622" w:rsidRPr="00607833">
        <w:rPr>
          <w:rFonts w:ascii="Times New Roman" w:hAnsi="Times New Roman"/>
          <w:sz w:val="24"/>
        </w:rPr>
        <w:tab/>
      </w:r>
      <w:r w:rsidR="00925622" w:rsidRPr="00607833">
        <w:rPr>
          <w:rFonts w:ascii="Times New Roman" w:hAnsi="Times New Roman"/>
          <w:sz w:val="24"/>
        </w:rPr>
        <w:tab/>
        <w:t>Water Management Services, Inc.</w:t>
      </w:r>
    </w:p>
    <w:p w:rsidR="00925622" w:rsidRPr="00607833" w:rsidRDefault="00925622" w:rsidP="00925622">
      <w:pPr>
        <w:rPr>
          <w:rFonts w:ascii="Times New Roman" w:hAnsi="Times New Roman"/>
          <w:sz w:val="24"/>
        </w:rPr>
      </w:pPr>
      <w:r w:rsidRPr="00607833">
        <w:rPr>
          <w:rFonts w:ascii="Times New Roman" w:hAnsi="Times New Roman"/>
          <w:sz w:val="24"/>
        </w:rPr>
        <w:t>Office of General Counsel</w:t>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t xml:space="preserve">250 John Knox Road, #4 </w:t>
      </w:r>
    </w:p>
    <w:p w:rsidR="00925622" w:rsidRPr="00607833" w:rsidRDefault="00925622" w:rsidP="00925622">
      <w:pPr>
        <w:rPr>
          <w:rFonts w:ascii="Times New Roman" w:hAnsi="Times New Roman"/>
          <w:sz w:val="24"/>
        </w:rPr>
      </w:pPr>
      <w:r w:rsidRPr="00607833">
        <w:rPr>
          <w:rFonts w:ascii="Times New Roman" w:hAnsi="Times New Roman"/>
          <w:sz w:val="24"/>
        </w:rPr>
        <w:t>Florida Public Service Commission</w:t>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t>Tallahassee, FL 32303-4234</w:t>
      </w:r>
    </w:p>
    <w:p w:rsidR="00925622" w:rsidRPr="00607833" w:rsidRDefault="00925622" w:rsidP="00925622">
      <w:pPr>
        <w:rPr>
          <w:rFonts w:ascii="Times New Roman" w:hAnsi="Times New Roman"/>
          <w:sz w:val="24"/>
        </w:rPr>
      </w:pPr>
      <w:r w:rsidRPr="00607833">
        <w:rPr>
          <w:rFonts w:ascii="Times New Roman" w:hAnsi="Times New Roman"/>
          <w:sz w:val="24"/>
        </w:rPr>
        <w:t xml:space="preserve">2540 Shumard Oak Blvd.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25622" w:rsidRDefault="00925622" w:rsidP="00925622">
      <w:pPr>
        <w:rPr>
          <w:rFonts w:ascii="Times New Roman" w:hAnsi="Times New Roman"/>
          <w:sz w:val="24"/>
        </w:rPr>
      </w:pPr>
      <w:smartTag w:uri="urn:schemas-microsoft-com:office:smarttags" w:element="City">
        <w:r w:rsidRPr="00607833">
          <w:rPr>
            <w:rFonts w:ascii="Times New Roman" w:hAnsi="Times New Roman"/>
            <w:sz w:val="24"/>
          </w:rPr>
          <w:t>Tallahassee</w:t>
        </w:r>
      </w:smartTag>
      <w:r w:rsidRPr="00607833">
        <w:rPr>
          <w:rFonts w:ascii="Times New Roman" w:hAnsi="Times New Roman"/>
          <w:sz w:val="24"/>
        </w:rPr>
        <w:t xml:space="preserve">, </w:t>
      </w:r>
      <w:smartTag w:uri="urn:schemas-microsoft-com:office:smarttags" w:element="State">
        <w:r w:rsidRPr="00607833">
          <w:rPr>
            <w:rFonts w:ascii="Times New Roman" w:hAnsi="Times New Roman"/>
            <w:sz w:val="24"/>
          </w:rPr>
          <w:t>FL</w:t>
        </w:r>
      </w:smartTag>
      <w:r w:rsidRPr="00607833">
        <w:rPr>
          <w:rFonts w:ascii="Times New Roman" w:hAnsi="Times New Roman"/>
          <w:sz w:val="24"/>
        </w:rPr>
        <w:t xml:space="preserve"> 32399-0850</w:t>
      </w:r>
    </w:p>
    <w:p w:rsidR="00925622" w:rsidRDefault="00925622" w:rsidP="00925622">
      <w:pPr>
        <w:rPr>
          <w:rFonts w:ascii="Times New Roman" w:hAnsi="Times New Roman"/>
          <w:sz w:val="24"/>
        </w:rPr>
      </w:pPr>
    </w:p>
    <w:p w:rsidR="00925622" w:rsidRPr="00607833" w:rsidRDefault="00925622" w:rsidP="00925622">
      <w:pPr>
        <w:rPr>
          <w:rFonts w:ascii="Times New Roman" w:hAnsi="Times New Roman"/>
          <w:sz w:val="24"/>
        </w:rPr>
      </w:pPr>
    </w:p>
    <w:p w:rsidR="00925622" w:rsidRPr="00607833" w:rsidRDefault="00925622" w:rsidP="00925622">
      <w:pPr>
        <w:rPr>
          <w:rFonts w:ascii="Times New Roman" w:hAnsi="Times New Roman"/>
          <w:sz w:val="24"/>
        </w:rPr>
      </w:pPr>
      <w:r w:rsidRPr="00607833">
        <w:rPr>
          <w:rFonts w:ascii="Times New Roman" w:hAnsi="Times New Roman"/>
          <w:sz w:val="24"/>
        </w:rPr>
        <w:t>Martin S. Friedman, Esq.</w:t>
      </w:r>
    </w:p>
    <w:p w:rsidR="00925622" w:rsidRPr="00607833" w:rsidRDefault="00925622" w:rsidP="00925622">
      <w:pPr>
        <w:rPr>
          <w:rFonts w:ascii="Times New Roman" w:hAnsi="Times New Roman"/>
          <w:sz w:val="24"/>
        </w:rPr>
      </w:pPr>
      <w:r w:rsidRPr="00607833">
        <w:rPr>
          <w:rFonts w:ascii="Times New Roman" w:hAnsi="Times New Roman"/>
          <w:sz w:val="24"/>
        </w:rPr>
        <w:t>Sundstrom, Friedman &amp; Fumero, LLP</w:t>
      </w:r>
    </w:p>
    <w:p w:rsidR="00925622" w:rsidRPr="00607833" w:rsidRDefault="00925622" w:rsidP="00925622">
      <w:pPr>
        <w:rPr>
          <w:rFonts w:ascii="Times New Roman" w:hAnsi="Times New Roman"/>
          <w:sz w:val="24"/>
        </w:rPr>
      </w:pPr>
      <w:r w:rsidRPr="00607833">
        <w:rPr>
          <w:rFonts w:ascii="Times New Roman" w:hAnsi="Times New Roman"/>
          <w:sz w:val="24"/>
        </w:rPr>
        <w:t>766 North Sun Drive</w:t>
      </w:r>
    </w:p>
    <w:p w:rsidR="00925622" w:rsidRPr="00607833" w:rsidRDefault="00925622" w:rsidP="00925622">
      <w:pPr>
        <w:rPr>
          <w:rFonts w:ascii="Times New Roman" w:hAnsi="Times New Roman"/>
          <w:sz w:val="24"/>
        </w:rPr>
      </w:pPr>
      <w:r w:rsidRPr="00607833">
        <w:rPr>
          <w:rFonts w:ascii="Times New Roman" w:hAnsi="Times New Roman"/>
          <w:sz w:val="24"/>
        </w:rPr>
        <w:t>Suite 4030</w:t>
      </w:r>
    </w:p>
    <w:p w:rsidR="00925622" w:rsidRPr="00607833" w:rsidRDefault="00925622" w:rsidP="00925622">
      <w:pPr>
        <w:rPr>
          <w:rFonts w:ascii="Times New Roman" w:hAnsi="Times New Roman"/>
          <w:sz w:val="24"/>
        </w:rPr>
      </w:pPr>
      <w:r w:rsidRPr="00607833">
        <w:rPr>
          <w:rFonts w:ascii="Times New Roman" w:hAnsi="Times New Roman"/>
          <w:sz w:val="24"/>
        </w:rPr>
        <w:t>Lake Mary, FL 32746</w:t>
      </w:r>
    </w:p>
    <w:p w:rsidR="00925622" w:rsidRPr="00607833" w:rsidRDefault="00925622" w:rsidP="00925622">
      <w:pPr>
        <w:rPr>
          <w:rFonts w:ascii="Times New Roman" w:hAnsi="Times New Roman"/>
          <w:sz w:val="24"/>
        </w:rPr>
      </w:pPr>
    </w:p>
    <w:p w:rsidR="00925622" w:rsidRDefault="00925622" w:rsidP="00925622">
      <w:pPr>
        <w:rPr>
          <w:rFonts w:ascii="Times New Roman" w:hAnsi="Times New Roman"/>
          <w:sz w:val="24"/>
        </w:rPr>
      </w:pPr>
    </w:p>
    <w:p w:rsidR="00925622" w:rsidRDefault="00925622" w:rsidP="00925622">
      <w:pPr>
        <w:rPr>
          <w:rFonts w:ascii="Times New Roman" w:hAnsi="Times New Roman"/>
          <w:sz w:val="24"/>
        </w:rPr>
      </w:pPr>
    </w:p>
    <w:p w:rsidR="00925622" w:rsidRDefault="00925622" w:rsidP="00925622">
      <w:pPr>
        <w:rPr>
          <w:rFonts w:ascii="Times New Roman" w:hAnsi="Times New Roman"/>
          <w:sz w:val="24"/>
        </w:rPr>
      </w:pPr>
    </w:p>
    <w:p w:rsidR="00925622" w:rsidRDefault="00925622" w:rsidP="00925622">
      <w:pPr>
        <w:rPr>
          <w:rFonts w:ascii="Times New Roman" w:hAnsi="Times New Roman"/>
          <w:sz w:val="24"/>
        </w:rPr>
      </w:pPr>
    </w:p>
    <w:p w:rsidR="00925622" w:rsidRPr="00607833" w:rsidRDefault="00925622" w:rsidP="00925622">
      <w:pPr>
        <w:rPr>
          <w:rFonts w:ascii="Times New Roman" w:hAnsi="Times New Roman"/>
          <w:sz w:val="24"/>
        </w:rPr>
      </w:pPr>
    </w:p>
    <w:p w:rsidR="00925622" w:rsidRPr="001851EA" w:rsidRDefault="00925622" w:rsidP="00925622">
      <w:pPr>
        <w:rPr>
          <w:rFonts w:ascii="Times New Roman" w:hAnsi="Times New Roman"/>
          <w:color w:val="000000" w:themeColor="text1"/>
          <w:sz w:val="24"/>
          <w:u w:val="single"/>
        </w:rPr>
      </w:pPr>
      <w:r w:rsidRPr="00607833">
        <w:rPr>
          <w:rFonts w:ascii="Times New Roman" w:hAnsi="Times New Roman"/>
          <w:color w:val="330099"/>
          <w:sz w:val="24"/>
        </w:rPr>
        <w:tab/>
      </w:r>
      <w:r w:rsidRPr="00607833">
        <w:rPr>
          <w:rFonts w:ascii="Times New Roman" w:hAnsi="Times New Roman"/>
          <w:color w:val="330099"/>
          <w:sz w:val="24"/>
        </w:rPr>
        <w:tab/>
      </w:r>
      <w:r w:rsidRPr="00607833">
        <w:rPr>
          <w:rFonts w:ascii="Times New Roman" w:hAnsi="Times New Roman"/>
          <w:color w:val="330099"/>
          <w:sz w:val="24"/>
        </w:rPr>
        <w:tab/>
      </w:r>
      <w:r w:rsidRPr="00607833">
        <w:rPr>
          <w:rFonts w:ascii="Times New Roman" w:hAnsi="Times New Roman"/>
          <w:color w:val="330099"/>
          <w:sz w:val="24"/>
        </w:rPr>
        <w:tab/>
      </w:r>
      <w:r w:rsidRPr="00607833">
        <w:rPr>
          <w:rFonts w:ascii="Times New Roman" w:hAnsi="Times New Roman"/>
          <w:color w:val="330099"/>
          <w:sz w:val="24"/>
        </w:rPr>
        <w:tab/>
        <w:t xml:space="preserve">   </w:t>
      </w:r>
      <w:r w:rsidRPr="00607833">
        <w:rPr>
          <w:rFonts w:ascii="Times New Roman" w:hAnsi="Times New Roman"/>
          <w:color w:val="330099"/>
          <w:sz w:val="24"/>
        </w:rPr>
        <w:tab/>
      </w:r>
      <w:r w:rsidRPr="00607833">
        <w:rPr>
          <w:rFonts w:ascii="Times New Roman" w:hAnsi="Times New Roman"/>
          <w:color w:val="330099"/>
          <w:sz w:val="24"/>
        </w:rPr>
        <w:tab/>
      </w:r>
      <w:r w:rsidR="00B20299" w:rsidRPr="001851EA">
        <w:rPr>
          <w:rFonts w:ascii="Times New Roman" w:hAnsi="Times New Roman"/>
          <w:color w:val="000000" w:themeColor="text1"/>
          <w:sz w:val="24"/>
          <w:u w:val="single"/>
        </w:rPr>
        <w:t>s/ Erik L. Sayler</w:t>
      </w:r>
    </w:p>
    <w:p w:rsidR="00925622" w:rsidRPr="00607833" w:rsidRDefault="00925622" w:rsidP="00925622">
      <w:pPr>
        <w:rPr>
          <w:rFonts w:ascii="Times New Roman" w:hAnsi="Times New Roman"/>
          <w:sz w:val="24"/>
        </w:rPr>
      </w:pP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t xml:space="preserve">Erik L. Sayler </w:t>
      </w:r>
    </w:p>
    <w:p w:rsidR="00925622" w:rsidRPr="00607833" w:rsidRDefault="00925622" w:rsidP="00925622">
      <w:pPr>
        <w:rPr>
          <w:rFonts w:ascii="Times New Roman" w:hAnsi="Times New Roman"/>
          <w:sz w:val="24"/>
        </w:rPr>
      </w:pP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p>
    <w:p w:rsidR="00925622" w:rsidRPr="00607833" w:rsidRDefault="00925622" w:rsidP="00925622">
      <w:pPr>
        <w:spacing w:line="510" w:lineRule="atLeast"/>
        <w:ind w:left="720" w:right="600" w:hanging="720"/>
        <w:jc w:val="both"/>
        <w:rPr>
          <w:rFonts w:ascii="Times New Roman" w:hAnsi="Times New Roman"/>
          <w:sz w:val="24"/>
        </w:rPr>
      </w:pP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sz w:val="24"/>
        </w:rPr>
        <w:tab/>
      </w:r>
      <w:r w:rsidRPr="00607833">
        <w:rPr>
          <w:rFonts w:ascii="Times New Roman" w:hAnsi="Times New Roman"/>
          <w:color w:val="330099"/>
          <w:sz w:val="24"/>
        </w:rPr>
        <w:br/>
      </w:r>
    </w:p>
    <w:p w:rsidR="00925622" w:rsidRDefault="00925622" w:rsidP="00925622">
      <w:pPr>
        <w:spacing w:line="480" w:lineRule="auto"/>
        <w:ind w:left="720" w:hanging="720"/>
        <w:rPr>
          <w:rFonts w:ascii="Times New Roman" w:hAnsi="Times New Roman"/>
          <w:sz w:val="24"/>
        </w:rPr>
      </w:pPr>
    </w:p>
    <w:p w:rsid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u w:val="single"/>
        </w:rPr>
      </w:pPr>
    </w:p>
    <w:sectPr w:rsidR="00344D31" w:rsidSect="00344D31">
      <w:footerReference w:type="default" r:id="rId8"/>
      <w:type w:val="continuous"/>
      <w:pgSz w:w="12240" w:h="15840"/>
      <w:pgMar w:top="111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99" w:rsidRDefault="00B20299" w:rsidP="00BD11E8">
      <w:pPr>
        <w:outlineLvl w:val="0"/>
        <w:rPr>
          <w:rFonts w:ascii="Cambria" w:hAnsi="Cambria"/>
        </w:rPr>
      </w:pPr>
      <w:r>
        <w:rPr>
          <w:rFonts w:ascii="Cambria" w:hAnsi="Cambria"/>
        </w:rPr>
        <w:separator/>
      </w:r>
    </w:p>
  </w:endnote>
  <w:endnote w:type="continuationSeparator" w:id="0">
    <w:p w:rsidR="00B20299" w:rsidRDefault="00B20299" w:rsidP="00BD11E8">
      <w:pPr>
        <w:outlineLvl w:val="0"/>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99" w:rsidRPr="007A0368" w:rsidRDefault="00B20299">
    <w:pPr>
      <w:pStyle w:val="Footer"/>
      <w:jc w:val="center"/>
      <w:rPr>
        <w:rFonts w:ascii="Times New Roman" w:hAnsi="Times New Roman"/>
        <w:szCs w:val="20"/>
      </w:rPr>
    </w:pPr>
    <w:r w:rsidRPr="007A0368">
      <w:rPr>
        <w:rFonts w:ascii="Times New Roman" w:hAnsi="Times New Roman"/>
        <w:szCs w:val="20"/>
      </w:rPr>
      <w:fldChar w:fldCharType="begin"/>
    </w:r>
    <w:r w:rsidRPr="007A0368">
      <w:rPr>
        <w:rFonts w:ascii="Times New Roman" w:hAnsi="Times New Roman"/>
        <w:szCs w:val="20"/>
      </w:rPr>
      <w:instrText xml:space="preserve"> PAGE   \* MERGEFORMAT </w:instrText>
    </w:r>
    <w:r w:rsidRPr="007A0368">
      <w:rPr>
        <w:rFonts w:ascii="Times New Roman" w:hAnsi="Times New Roman"/>
        <w:szCs w:val="20"/>
      </w:rPr>
      <w:fldChar w:fldCharType="separate"/>
    </w:r>
    <w:r w:rsidR="001851EA">
      <w:rPr>
        <w:rFonts w:ascii="Times New Roman" w:hAnsi="Times New Roman"/>
        <w:noProof/>
        <w:szCs w:val="20"/>
      </w:rPr>
      <w:t>13</w:t>
    </w:r>
    <w:r w:rsidRPr="007A0368">
      <w:rPr>
        <w:rFonts w:ascii="Times New Roman" w:hAnsi="Times New Roman"/>
        <w:szCs w:val="20"/>
      </w:rPr>
      <w:fldChar w:fldCharType="end"/>
    </w:r>
  </w:p>
  <w:p w:rsidR="00B20299" w:rsidRDefault="00B20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99" w:rsidRDefault="00B20299" w:rsidP="00BD11E8">
      <w:pPr>
        <w:outlineLvl w:val="0"/>
        <w:rPr>
          <w:rFonts w:ascii="Cambria" w:hAnsi="Cambria"/>
        </w:rPr>
      </w:pPr>
      <w:r>
        <w:rPr>
          <w:rFonts w:ascii="Cambria" w:hAnsi="Cambria"/>
        </w:rPr>
        <w:separator/>
      </w:r>
    </w:p>
  </w:footnote>
  <w:footnote w:type="continuationSeparator" w:id="0">
    <w:p w:rsidR="00B20299" w:rsidRDefault="00B20299" w:rsidP="00BD11E8">
      <w:pPr>
        <w:outlineLvl w:val="0"/>
        <w:rPr>
          <w:rFonts w:ascii="Cambria" w:hAnsi="Cambria"/>
        </w:rPr>
      </w:pPr>
      <w:r>
        <w:rPr>
          <w:rFonts w:ascii="Cambria" w:hAnsi="Cambri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C82"/>
    <w:multiLevelType w:val="hybridMultilevel"/>
    <w:tmpl w:val="A8EA8BF6"/>
    <w:lvl w:ilvl="0" w:tplc="F7CC11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A5671D"/>
    <w:multiLevelType w:val="hybridMultilevel"/>
    <w:tmpl w:val="25CA25DC"/>
    <w:lvl w:ilvl="0" w:tplc="0740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F66D7D"/>
    <w:multiLevelType w:val="hybridMultilevel"/>
    <w:tmpl w:val="6CE866CA"/>
    <w:lvl w:ilvl="0" w:tplc="78223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54DB0"/>
    <w:multiLevelType w:val="hybridMultilevel"/>
    <w:tmpl w:val="28A6D456"/>
    <w:lvl w:ilvl="0" w:tplc="4CA862A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464196F"/>
    <w:multiLevelType w:val="hybridMultilevel"/>
    <w:tmpl w:val="15E2BDD6"/>
    <w:lvl w:ilvl="0" w:tplc="24EE0640">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36A047E3"/>
    <w:multiLevelType w:val="hybridMultilevel"/>
    <w:tmpl w:val="8D9281A2"/>
    <w:lvl w:ilvl="0" w:tplc="4D66949C">
      <w:start w:val="2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C664766"/>
    <w:multiLevelType w:val="hybridMultilevel"/>
    <w:tmpl w:val="15C68CFA"/>
    <w:lvl w:ilvl="0" w:tplc="B29EF148">
      <w:start w:val="2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366BDB"/>
    <w:multiLevelType w:val="hybridMultilevel"/>
    <w:tmpl w:val="9F702AD6"/>
    <w:lvl w:ilvl="0" w:tplc="B32C4326">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2F5739D"/>
    <w:multiLevelType w:val="hybridMultilevel"/>
    <w:tmpl w:val="BE5ED3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534B3"/>
    <w:multiLevelType w:val="hybridMultilevel"/>
    <w:tmpl w:val="FEEADB8C"/>
    <w:lvl w:ilvl="0" w:tplc="7A300F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9E7588"/>
    <w:multiLevelType w:val="hybridMultilevel"/>
    <w:tmpl w:val="8CDA25C0"/>
    <w:lvl w:ilvl="0" w:tplc="E52AF8EE">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74831"/>
    <w:multiLevelType w:val="hybridMultilevel"/>
    <w:tmpl w:val="CEBCA5E4"/>
    <w:lvl w:ilvl="0" w:tplc="3700866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5340D9"/>
    <w:multiLevelType w:val="hybridMultilevel"/>
    <w:tmpl w:val="E85E0892"/>
    <w:lvl w:ilvl="0" w:tplc="6038C17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A985C51"/>
    <w:multiLevelType w:val="hybridMultilevel"/>
    <w:tmpl w:val="EC7850BE"/>
    <w:lvl w:ilvl="0" w:tplc="14E63F46">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CD13640"/>
    <w:multiLevelType w:val="hybridMultilevel"/>
    <w:tmpl w:val="C7ACBE22"/>
    <w:lvl w:ilvl="0" w:tplc="77E046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8"/>
  </w:num>
  <w:num w:numId="4">
    <w:abstractNumId w:val="0"/>
  </w:num>
  <w:num w:numId="5">
    <w:abstractNumId w:val="14"/>
  </w:num>
  <w:num w:numId="6">
    <w:abstractNumId w:val="10"/>
  </w:num>
  <w:num w:numId="7">
    <w:abstractNumId w:val="4"/>
  </w:num>
  <w:num w:numId="8">
    <w:abstractNumId w:val="12"/>
  </w:num>
  <w:num w:numId="9">
    <w:abstractNumId w:val="5"/>
  </w:num>
  <w:num w:numId="10">
    <w:abstractNumId w:val="7"/>
  </w:num>
  <w:num w:numId="11">
    <w:abstractNumId w:val="1"/>
  </w:num>
  <w:num w:numId="12">
    <w:abstractNumId w:val="13"/>
  </w:num>
  <w:num w:numId="13">
    <w:abstractNumId w:val="6"/>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D6AC7"/>
    <w:rsid w:val="0000340A"/>
    <w:rsid w:val="000108DC"/>
    <w:rsid w:val="0001182D"/>
    <w:rsid w:val="00013DE9"/>
    <w:rsid w:val="00017949"/>
    <w:rsid w:val="00020BBE"/>
    <w:rsid w:val="000218B6"/>
    <w:rsid w:val="00021FB3"/>
    <w:rsid w:val="00024528"/>
    <w:rsid w:val="00025087"/>
    <w:rsid w:val="00025275"/>
    <w:rsid w:val="000259C9"/>
    <w:rsid w:val="00031B77"/>
    <w:rsid w:val="000364C6"/>
    <w:rsid w:val="00036CBF"/>
    <w:rsid w:val="0004037B"/>
    <w:rsid w:val="00040409"/>
    <w:rsid w:val="000418CC"/>
    <w:rsid w:val="00042617"/>
    <w:rsid w:val="000465B0"/>
    <w:rsid w:val="00046A76"/>
    <w:rsid w:val="000515A1"/>
    <w:rsid w:val="000524AE"/>
    <w:rsid w:val="000527FF"/>
    <w:rsid w:val="00052F4F"/>
    <w:rsid w:val="00053B4E"/>
    <w:rsid w:val="000542DC"/>
    <w:rsid w:val="000547FD"/>
    <w:rsid w:val="0005606E"/>
    <w:rsid w:val="00056AAD"/>
    <w:rsid w:val="00062FFD"/>
    <w:rsid w:val="00063470"/>
    <w:rsid w:val="000706CC"/>
    <w:rsid w:val="00070C88"/>
    <w:rsid w:val="00073E87"/>
    <w:rsid w:val="0007519B"/>
    <w:rsid w:val="00075B55"/>
    <w:rsid w:val="00082841"/>
    <w:rsid w:val="0008544A"/>
    <w:rsid w:val="0008594C"/>
    <w:rsid w:val="00086BE0"/>
    <w:rsid w:val="000922F0"/>
    <w:rsid w:val="00095D9D"/>
    <w:rsid w:val="000979F1"/>
    <w:rsid w:val="000A37C2"/>
    <w:rsid w:val="000A3A8C"/>
    <w:rsid w:val="000A3FD1"/>
    <w:rsid w:val="000A59C4"/>
    <w:rsid w:val="000B149F"/>
    <w:rsid w:val="000B4E14"/>
    <w:rsid w:val="000B5852"/>
    <w:rsid w:val="000C334E"/>
    <w:rsid w:val="000C3612"/>
    <w:rsid w:val="000C5E0E"/>
    <w:rsid w:val="000C5E68"/>
    <w:rsid w:val="000D092A"/>
    <w:rsid w:val="000D1A04"/>
    <w:rsid w:val="000D7324"/>
    <w:rsid w:val="000E0D5D"/>
    <w:rsid w:val="000E35C2"/>
    <w:rsid w:val="000E5FA1"/>
    <w:rsid w:val="000E7EB5"/>
    <w:rsid w:val="000F38C7"/>
    <w:rsid w:val="00107D7C"/>
    <w:rsid w:val="0011229E"/>
    <w:rsid w:val="00131131"/>
    <w:rsid w:val="001331EE"/>
    <w:rsid w:val="00135D63"/>
    <w:rsid w:val="00136AF7"/>
    <w:rsid w:val="00136E55"/>
    <w:rsid w:val="00137989"/>
    <w:rsid w:val="0014145D"/>
    <w:rsid w:val="001416FC"/>
    <w:rsid w:val="00145D37"/>
    <w:rsid w:val="001461F0"/>
    <w:rsid w:val="00146A5F"/>
    <w:rsid w:val="00150F22"/>
    <w:rsid w:val="001536A6"/>
    <w:rsid w:val="00153E2F"/>
    <w:rsid w:val="001543A3"/>
    <w:rsid w:val="00163AAE"/>
    <w:rsid w:val="0017106B"/>
    <w:rsid w:val="00172B32"/>
    <w:rsid w:val="001747F7"/>
    <w:rsid w:val="001851EA"/>
    <w:rsid w:val="00185F62"/>
    <w:rsid w:val="00190BE9"/>
    <w:rsid w:val="001B33EB"/>
    <w:rsid w:val="001B4A07"/>
    <w:rsid w:val="001B565A"/>
    <w:rsid w:val="001D3AE6"/>
    <w:rsid w:val="001E0C78"/>
    <w:rsid w:val="001F1075"/>
    <w:rsid w:val="001F20F4"/>
    <w:rsid w:val="001F7595"/>
    <w:rsid w:val="0020153F"/>
    <w:rsid w:val="00203F61"/>
    <w:rsid w:val="00206EE5"/>
    <w:rsid w:val="00210D91"/>
    <w:rsid w:val="00212A75"/>
    <w:rsid w:val="002136D2"/>
    <w:rsid w:val="00216CE7"/>
    <w:rsid w:val="00216DEE"/>
    <w:rsid w:val="002170E0"/>
    <w:rsid w:val="00227723"/>
    <w:rsid w:val="00232530"/>
    <w:rsid w:val="00233CFA"/>
    <w:rsid w:val="002377EA"/>
    <w:rsid w:val="0024207C"/>
    <w:rsid w:val="00242696"/>
    <w:rsid w:val="00246E75"/>
    <w:rsid w:val="002531B7"/>
    <w:rsid w:val="002541B7"/>
    <w:rsid w:val="00254648"/>
    <w:rsid w:val="002568E1"/>
    <w:rsid w:val="00274190"/>
    <w:rsid w:val="002753A9"/>
    <w:rsid w:val="002756FB"/>
    <w:rsid w:val="00275B80"/>
    <w:rsid w:val="00280796"/>
    <w:rsid w:val="0028532F"/>
    <w:rsid w:val="00285E69"/>
    <w:rsid w:val="00287685"/>
    <w:rsid w:val="00287F46"/>
    <w:rsid w:val="00293B82"/>
    <w:rsid w:val="002A3A21"/>
    <w:rsid w:val="002A3A82"/>
    <w:rsid w:val="002A3EA0"/>
    <w:rsid w:val="002A58F6"/>
    <w:rsid w:val="002B273E"/>
    <w:rsid w:val="002B325C"/>
    <w:rsid w:val="002C11AD"/>
    <w:rsid w:val="002C1405"/>
    <w:rsid w:val="002D0AF5"/>
    <w:rsid w:val="002E374B"/>
    <w:rsid w:val="002E6609"/>
    <w:rsid w:val="002F01F7"/>
    <w:rsid w:val="002F2B13"/>
    <w:rsid w:val="002F40D3"/>
    <w:rsid w:val="003002A5"/>
    <w:rsid w:val="00301ABD"/>
    <w:rsid w:val="00306D80"/>
    <w:rsid w:val="0031418D"/>
    <w:rsid w:val="0032333A"/>
    <w:rsid w:val="00323B27"/>
    <w:rsid w:val="00324373"/>
    <w:rsid w:val="00327762"/>
    <w:rsid w:val="00330A49"/>
    <w:rsid w:val="00331BD4"/>
    <w:rsid w:val="00334817"/>
    <w:rsid w:val="00336B35"/>
    <w:rsid w:val="00337351"/>
    <w:rsid w:val="00341A9D"/>
    <w:rsid w:val="003429DF"/>
    <w:rsid w:val="003449AE"/>
    <w:rsid w:val="00344D31"/>
    <w:rsid w:val="00346641"/>
    <w:rsid w:val="00356CFD"/>
    <w:rsid w:val="0036295D"/>
    <w:rsid w:val="00373581"/>
    <w:rsid w:val="00373623"/>
    <w:rsid w:val="00375563"/>
    <w:rsid w:val="003826E0"/>
    <w:rsid w:val="00383B98"/>
    <w:rsid w:val="00383C21"/>
    <w:rsid w:val="003849A7"/>
    <w:rsid w:val="0038507A"/>
    <w:rsid w:val="003852BF"/>
    <w:rsid w:val="00395163"/>
    <w:rsid w:val="003952FD"/>
    <w:rsid w:val="00395A1E"/>
    <w:rsid w:val="003A05BB"/>
    <w:rsid w:val="003A20B5"/>
    <w:rsid w:val="003A3268"/>
    <w:rsid w:val="003A3964"/>
    <w:rsid w:val="003A4D65"/>
    <w:rsid w:val="003A61A0"/>
    <w:rsid w:val="003B02AA"/>
    <w:rsid w:val="003B20A1"/>
    <w:rsid w:val="003B464D"/>
    <w:rsid w:val="003C0830"/>
    <w:rsid w:val="003C17BF"/>
    <w:rsid w:val="003C2E60"/>
    <w:rsid w:val="003C694E"/>
    <w:rsid w:val="003D05FB"/>
    <w:rsid w:val="003D4169"/>
    <w:rsid w:val="003D6AC7"/>
    <w:rsid w:val="003D762A"/>
    <w:rsid w:val="003D7879"/>
    <w:rsid w:val="003E0DA0"/>
    <w:rsid w:val="003F3271"/>
    <w:rsid w:val="00405D34"/>
    <w:rsid w:val="00407F1D"/>
    <w:rsid w:val="0041046F"/>
    <w:rsid w:val="004125C7"/>
    <w:rsid w:val="0042138B"/>
    <w:rsid w:val="004260B4"/>
    <w:rsid w:val="004261B3"/>
    <w:rsid w:val="00431DD2"/>
    <w:rsid w:val="00433334"/>
    <w:rsid w:val="00434AD5"/>
    <w:rsid w:val="00440004"/>
    <w:rsid w:val="004442AC"/>
    <w:rsid w:val="004450FA"/>
    <w:rsid w:val="004471A5"/>
    <w:rsid w:val="00453D22"/>
    <w:rsid w:val="004564EC"/>
    <w:rsid w:val="00460037"/>
    <w:rsid w:val="00464136"/>
    <w:rsid w:val="00471DC5"/>
    <w:rsid w:val="00475DBF"/>
    <w:rsid w:val="00481C7C"/>
    <w:rsid w:val="00483E32"/>
    <w:rsid w:val="00490E36"/>
    <w:rsid w:val="00493DA6"/>
    <w:rsid w:val="004A0495"/>
    <w:rsid w:val="004A08CF"/>
    <w:rsid w:val="004A14A1"/>
    <w:rsid w:val="004A1668"/>
    <w:rsid w:val="004A4594"/>
    <w:rsid w:val="004A5C62"/>
    <w:rsid w:val="004A7BFA"/>
    <w:rsid w:val="004A7C41"/>
    <w:rsid w:val="004B0BAD"/>
    <w:rsid w:val="004B557A"/>
    <w:rsid w:val="004B67AC"/>
    <w:rsid w:val="004C053D"/>
    <w:rsid w:val="004C4B58"/>
    <w:rsid w:val="004C7BE0"/>
    <w:rsid w:val="004D3462"/>
    <w:rsid w:val="004E1137"/>
    <w:rsid w:val="004E1B64"/>
    <w:rsid w:val="004E423C"/>
    <w:rsid w:val="004E5FDE"/>
    <w:rsid w:val="004F0A30"/>
    <w:rsid w:val="004F11C3"/>
    <w:rsid w:val="004F3269"/>
    <w:rsid w:val="00502C3E"/>
    <w:rsid w:val="005055BB"/>
    <w:rsid w:val="0050605B"/>
    <w:rsid w:val="00507FE6"/>
    <w:rsid w:val="00516CB4"/>
    <w:rsid w:val="00521AB4"/>
    <w:rsid w:val="00522382"/>
    <w:rsid w:val="0052781F"/>
    <w:rsid w:val="00530354"/>
    <w:rsid w:val="00535951"/>
    <w:rsid w:val="00536A8A"/>
    <w:rsid w:val="00541DD1"/>
    <w:rsid w:val="0054609B"/>
    <w:rsid w:val="0055624B"/>
    <w:rsid w:val="005576B0"/>
    <w:rsid w:val="00557E22"/>
    <w:rsid w:val="0056392B"/>
    <w:rsid w:val="00567174"/>
    <w:rsid w:val="00567A15"/>
    <w:rsid w:val="00571733"/>
    <w:rsid w:val="00573476"/>
    <w:rsid w:val="0057500E"/>
    <w:rsid w:val="00576931"/>
    <w:rsid w:val="00577715"/>
    <w:rsid w:val="0059063C"/>
    <w:rsid w:val="00591708"/>
    <w:rsid w:val="005A0933"/>
    <w:rsid w:val="005A0C6D"/>
    <w:rsid w:val="005A18B2"/>
    <w:rsid w:val="005A2D5E"/>
    <w:rsid w:val="005A4EE3"/>
    <w:rsid w:val="005B3D07"/>
    <w:rsid w:val="005B3FC5"/>
    <w:rsid w:val="005D2A5C"/>
    <w:rsid w:val="005D5CC3"/>
    <w:rsid w:val="005D67AE"/>
    <w:rsid w:val="005E2927"/>
    <w:rsid w:val="005E5EF8"/>
    <w:rsid w:val="0060621C"/>
    <w:rsid w:val="00610547"/>
    <w:rsid w:val="006131DA"/>
    <w:rsid w:val="0061323D"/>
    <w:rsid w:val="006149F0"/>
    <w:rsid w:val="006207F6"/>
    <w:rsid w:val="00620F76"/>
    <w:rsid w:val="00623224"/>
    <w:rsid w:val="00623CCE"/>
    <w:rsid w:val="0062594D"/>
    <w:rsid w:val="00627006"/>
    <w:rsid w:val="006346AF"/>
    <w:rsid w:val="00634A1A"/>
    <w:rsid w:val="006356D8"/>
    <w:rsid w:val="00636151"/>
    <w:rsid w:val="00636EB8"/>
    <w:rsid w:val="0064086A"/>
    <w:rsid w:val="006415B4"/>
    <w:rsid w:val="00646BAD"/>
    <w:rsid w:val="006500C4"/>
    <w:rsid w:val="00650CDC"/>
    <w:rsid w:val="0065462B"/>
    <w:rsid w:val="0065565D"/>
    <w:rsid w:val="006566A0"/>
    <w:rsid w:val="00660D71"/>
    <w:rsid w:val="00662DA8"/>
    <w:rsid w:val="00670197"/>
    <w:rsid w:val="00672484"/>
    <w:rsid w:val="00675D32"/>
    <w:rsid w:val="0067789F"/>
    <w:rsid w:val="0068343A"/>
    <w:rsid w:val="006843BD"/>
    <w:rsid w:val="006852A5"/>
    <w:rsid w:val="006902CB"/>
    <w:rsid w:val="00691140"/>
    <w:rsid w:val="00694E84"/>
    <w:rsid w:val="00695C44"/>
    <w:rsid w:val="00697FF7"/>
    <w:rsid w:val="006A632A"/>
    <w:rsid w:val="006A71A2"/>
    <w:rsid w:val="006B1559"/>
    <w:rsid w:val="006B1F88"/>
    <w:rsid w:val="006B3254"/>
    <w:rsid w:val="006C4567"/>
    <w:rsid w:val="006C7F6A"/>
    <w:rsid w:val="006D20DA"/>
    <w:rsid w:val="006D2D65"/>
    <w:rsid w:val="006E13D0"/>
    <w:rsid w:val="006E3126"/>
    <w:rsid w:val="006E59FD"/>
    <w:rsid w:val="006E779D"/>
    <w:rsid w:val="006F1DCB"/>
    <w:rsid w:val="006F6252"/>
    <w:rsid w:val="00701FBA"/>
    <w:rsid w:val="007022F8"/>
    <w:rsid w:val="00702AB6"/>
    <w:rsid w:val="00706184"/>
    <w:rsid w:val="00707A8B"/>
    <w:rsid w:val="00715C0C"/>
    <w:rsid w:val="00721823"/>
    <w:rsid w:val="00725A4A"/>
    <w:rsid w:val="00732FCC"/>
    <w:rsid w:val="00735761"/>
    <w:rsid w:val="007377B9"/>
    <w:rsid w:val="00744D7A"/>
    <w:rsid w:val="00745F97"/>
    <w:rsid w:val="00750DBC"/>
    <w:rsid w:val="00755D39"/>
    <w:rsid w:val="0076785F"/>
    <w:rsid w:val="007738C7"/>
    <w:rsid w:val="00777C04"/>
    <w:rsid w:val="00785351"/>
    <w:rsid w:val="00787617"/>
    <w:rsid w:val="00790DA5"/>
    <w:rsid w:val="00792E4E"/>
    <w:rsid w:val="007945BF"/>
    <w:rsid w:val="00795975"/>
    <w:rsid w:val="00795B8D"/>
    <w:rsid w:val="007971A3"/>
    <w:rsid w:val="007A0368"/>
    <w:rsid w:val="007A096E"/>
    <w:rsid w:val="007A0E63"/>
    <w:rsid w:val="007A2FA1"/>
    <w:rsid w:val="007B221B"/>
    <w:rsid w:val="007B2294"/>
    <w:rsid w:val="007B41B9"/>
    <w:rsid w:val="007B6954"/>
    <w:rsid w:val="007C2054"/>
    <w:rsid w:val="007D02A9"/>
    <w:rsid w:val="007D0352"/>
    <w:rsid w:val="007D3083"/>
    <w:rsid w:val="007E06F2"/>
    <w:rsid w:val="007E1B10"/>
    <w:rsid w:val="007E527A"/>
    <w:rsid w:val="007F147B"/>
    <w:rsid w:val="007F1733"/>
    <w:rsid w:val="007F5D0A"/>
    <w:rsid w:val="00800ACF"/>
    <w:rsid w:val="008012FF"/>
    <w:rsid w:val="00804C89"/>
    <w:rsid w:val="00806CCC"/>
    <w:rsid w:val="00812D9C"/>
    <w:rsid w:val="008147BE"/>
    <w:rsid w:val="0082107E"/>
    <w:rsid w:val="0082225B"/>
    <w:rsid w:val="00823CF4"/>
    <w:rsid w:val="00825C25"/>
    <w:rsid w:val="00830EA0"/>
    <w:rsid w:val="008327B7"/>
    <w:rsid w:val="008330BC"/>
    <w:rsid w:val="008350E3"/>
    <w:rsid w:val="00835270"/>
    <w:rsid w:val="00837337"/>
    <w:rsid w:val="00837753"/>
    <w:rsid w:val="00844ED3"/>
    <w:rsid w:val="008519D9"/>
    <w:rsid w:val="0085240E"/>
    <w:rsid w:val="00864F13"/>
    <w:rsid w:val="0087160C"/>
    <w:rsid w:val="00873120"/>
    <w:rsid w:val="00873B00"/>
    <w:rsid w:val="00873B04"/>
    <w:rsid w:val="00877CD7"/>
    <w:rsid w:val="008844EA"/>
    <w:rsid w:val="00886FCA"/>
    <w:rsid w:val="00893BC5"/>
    <w:rsid w:val="00895824"/>
    <w:rsid w:val="008A03B1"/>
    <w:rsid w:val="008A535C"/>
    <w:rsid w:val="008A6E56"/>
    <w:rsid w:val="008B6B3A"/>
    <w:rsid w:val="008C04AA"/>
    <w:rsid w:val="008C16E3"/>
    <w:rsid w:val="008D1540"/>
    <w:rsid w:val="008D63C5"/>
    <w:rsid w:val="008E0311"/>
    <w:rsid w:val="008E399D"/>
    <w:rsid w:val="008E73ED"/>
    <w:rsid w:val="008E7FB2"/>
    <w:rsid w:val="008F7CA6"/>
    <w:rsid w:val="009019B9"/>
    <w:rsid w:val="00901F52"/>
    <w:rsid w:val="00902952"/>
    <w:rsid w:val="00903A48"/>
    <w:rsid w:val="0090712C"/>
    <w:rsid w:val="00916E61"/>
    <w:rsid w:val="00920109"/>
    <w:rsid w:val="00920A06"/>
    <w:rsid w:val="00925622"/>
    <w:rsid w:val="009273C5"/>
    <w:rsid w:val="00936458"/>
    <w:rsid w:val="009416F8"/>
    <w:rsid w:val="00947DE6"/>
    <w:rsid w:val="00951645"/>
    <w:rsid w:val="00953201"/>
    <w:rsid w:val="00957C3C"/>
    <w:rsid w:val="009608C8"/>
    <w:rsid w:val="00961F1E"/>
    <w:rsid w:val="009649D8"/>
    <w:rsid w:val="00964C49"/>
    <w:rsid w:val="00970685"/>
    <w:rsid w:val="009738F6"/>
    <w:rsid w:val="00975C4A"/>
    <w:rsid w:val="0098120A"/>
    <w:rsid w:val="00984D7F"/>
    <w:rsid w:val="00990411"/>
    <w:rsid w:val="0099208B"/>
    <w:rsid w:val="0099222F"/>
    <w:rsid w:val="00993D81"/>
    <w:rsid w:val="00995AF9"/>
    <w:rsid w:val="009A046B"/>
    <w:rsid w:val="009A29D3"/>
    <w:rsid w:val="009A2F5E"/>
    <w:rsid w:val="009A3931"/>
    <w:rsid w:val="009A541D"/>
    <w:rsid w:val="009A64C7"/>
    <w:rsid w:val="009A7022"/>
    <w:rsid w:val="009A73C5"/>
    <w:rsid w:val="009A7B34"/>
    <w:rsid w:val="009A7E7E"/>
    <w:rsid w:val="009C1164"/>
    <w:rsid w:val="009C4C89"/>
    <w:rsid w:val="009D2F6D"/>
    <w:rsid w:val="009D47BA"/>
    <w:rsid w:val="009D4C86"/>
    <w:rsid w:val="009D4F05"/>
    <w:rsid w:val="009D7510"/>
    <w:rsid w:val="009F1A14"/>
    <w:rsid w:val="009F265C"/>
    <w:rsid w:val="009F71CA"/>
    <w:rsid w:val="00A00AED"/>
    <w:rsid w:val="00A00BDD"/>
    <w:rsid w:val="00A027E8"/>
    <w:rsid w:val="00A04EDD"/>
    <w:rsid w:val="00A06A77"/>
    <w:rsid w:val="00A1044A"/>
    <w:rsid w:val="00A11DB3"/>
    <w:rsid w:val="00A124B3"/>
    <w:rsid w:val="00A15A2E"/>
    <w:rsid w:val="00A1785C"/>
    <w:rsid w:val="00A17FEF"/>
    <w:rsid w:val="00A218AF"/>
    <w:rsid w:val="00A24184"/>
    <w:rsid w:val="00A25231"/>
    <w:rsid w:val="00A26810"/>
    <w:rsid w:val="00A35450"/>
    <w:rsid w:val="00A3692F"/>
    <w:rsid w:val="00A40BE9"/>
    <w:rsid w:val="00A426D0"/>
    <w:rsid w:val="00A4302D"/>
    <w:rsid w:val="00A508DD"/>
    <w:rsid w:val="00A50C33"/>
    <w:rsid w:val="00A52F41"/>
    <w:rsid w:val="00A55CFB"/>
    <w:rsid w:val="00A61128"/>
    <w:rsid w:val="00A62B44"/>
    <w:rsid w:val="00A635ED"/>
    <w:rsid w:val="00A66DEF"/>
    <w:rsid w:val="00A71493"/>
    <w:rsid w:val="00A73229"/>
    <w:rsid w:val="00A80E1C"/>
    <w:rsid w:val="00A844C9"/>
    <w:rsid w:val="00A90640"/>
    <w:rsid w:val="00A91D32"/>
    <w:rsid w:val="00A96AB5"/>
    <w:rsid w:val="00A97F64"/>
    <w:rsid w:val="00AA3A84"/>
    <w:rsid w:val="00AA3F16"/>
    <w:rsid w:val="00AB54F8"/>
    <w:rsid w:val="00AB5B50"/>
    <w:rsid w:val="00AB6B7E"/>
    <w:rsid w:val="00AB6FA4"/>
    <w:rsid w:val="00AC01EA"/>
    <w:rsid w:val="00AC45AD"/>
    <w:rsid w:val="00AC4EC3"/>
    <w:rsid w:val="00AC6207"/>
    <w:rsid w:val="00AD546F"/>
    <w:rsid w:val="00AD56A6"/>
    <w:rsid w:val="00AE2FBF"/>
    <w:rsid w:val="00AE6128"/>
    <w:rsid w:val="00AF0F80"/>
    <w:rsid w:val="00AF5C6D"/>
    <w:rsid w:val="00AF6136"/>
    <w:rsid w:val="00AF7156"/>
    <w:rsid w:val="00B00CC4"/>
    <w:rsid w:val="00B02076"/>
    <w:rsid w:val="00B02D3D"/>
    <w:rsid w:val="00B04258"/>
    <w:rsid w:val="00B07A3E"/>
    <w:rsid w:val="00B07CDE"/>
    <w:rsid w:val="00B13C96"/>
    <w:rsid w:val="00B143A1"/>
    <w:rsid w:val="00B166A8"/>
    <w:rsid w:val="00B20299"/>
    <w:rsid w:val="00B20753"/>
    <w:rsid w:val="00B2105B"/>
    <w:rsid w:val="00B21699"/>
    <w:rsid w:val="00B25908"/>
    <w:rsid w:val="00B26582"/>
    <w:rsid w:val="00B27926"/>
    <w:rsid w:val="00B34CF4"/>
    <w:rsid w:val="00B421CD"/>
    <w:rsid w:val="00B51B4A"/>
    <w:rsid w:val="00B52458"/>
    <w:rsid w:val="00B52529"/>
    <w:rsid w:val="00B551E7"/>
    <w:rsid w:val="00B55C5D"/>
    <w:rsid w:val="00B57842"/>
    <w:rsid w:val="00B620BB"/>
    <w:rsid w:val="00B65D32"/>
    <w:rsid w:val="00B73F9A"/>
    <w:rsid w:val="00B817AF"/>
    <w:rsid w:val="00B823E9"/>
    <w:rsid w:val="00B83945"/>
    <w:rsid w:val="00B83E43"/>
    <w:rsid w:val="00B85C0E"/>
    <w:rsid w:val="00B933F3"/>
    <w:rsid w:val="00B93E3F"/>
    <w:rsid w:val="00B958F1"/>
    <w:rsid w:val="00B977E9"/>
    <w:rsid w:val="00BA5999"/>
    <w:rsid w:val="00BA653B"/>
    <w:rsid w:val="00BB0749"/>
    <w:rsid w:val="00BB13D3"/>
    <w:rsid w:val="00BB22AC"/>
    <w:rsid w:val="00BC091C"/>
    <w:rsid w:val="00BC2D9E"/>
    <w:rsid w:val="00BC35D1"/>
    <w:rsid w:val="00BC3CAC"/>
    <w:rsid w:val="00BC42D9"/>
    <w:rsid w:val="00BC7C7A"/>
    <w:rsid w:val="00BD0C1B"/>
    <w:rsid w:val="00BD0F00"/>
    <w:rsid w:val="00BD118B"/>
    <w:rsid w:val="00BD11E8"/>
    <w:rsid w:val="00BD6053"/>
    <w:rsid w:val="00BF02ED"/>
    <w:rsid w:val="00BF4F82"/>
    <w:rsid w:val="00BF53F4"/>
    <w:rsid w:val="00BF6369"/>
    <w:rsid w:val="00BF6E0E"/>
    <w:rsid w:val="00C0027C"/>
    <w:rsid w:val="00C02F39"/>
    <w:rsid w:val="00C055CC"/>
    <w:rsid w:val="00C062B9"/>
    <w:rsid w:val="00C075D0"/>
    <w:rsid w:val="00C10A48"/>
    <w:rsid w:val="00C1443D"/>
    <w:rsid w:val="00C14767"/>
    <w:rsid w:val="00C165DB"/>
    <w:rsid w:val="00C201CD"/>
    <w:rsid w:val="00C21149"/>
    <w:rsid w:val="00C2235F"/>
    <w:rsid w:val="00C22464"/>
    <w:rsid w:val="00C2307C"/>
    <w:rsid w:val="00C250E5"/>
    <w:rsid w:val="00C254CE"/>
    <w:rsid w:val="00C26186"/>
    <w:rsid w:val="00C26875"/>
    <w:rsid w:val="00C300FD"/>
    <w:rsid w:val="00C3078C"/>
    <w:rsid w:val="00C36E5C"/>
    <w:rsid w:val="00C36EA0"/>
    <w:rsid w:val="00C3750D"/>
    <w:rsid w:val="00C37FD2"/>
    <w:rsid w:val="00C41BDD"/>
    <w:rsid w:val="00C43644"/>
    <w:rsid w:val="00C45215"/>
    <w:rsid w:val="00C45C55"/>
    <w:rsid w:val="00C464B2"/>
    <w:rsid w:val="00C4652C"/>
    <w:rsid w:val="00C509B1"/>
    <w:rsid w:val="00C537C9"/>
    <w:rsid w:val="00C5389A"/>
    <w:rsid w:val="00C54515"/>
    <w:rsid w:val="00C56604"/>
    <w:rsid w:val="00C56CE5"/>
    <w:rsid w:val="00C60D43"/>
    <w:rsid w:val="00C61032"/>
    <w:rsid w:val="00C67A66"/>
    <w:rsid w:val="00C7035B"/>
    <w:rsid w:val="00C711C8"/>
    <w:rsid w:val="00C73A27"/>
    <w:rsid w:val="00C76985"/>
    <w:rsid w:val="00C80D8F"/>
    <w:rsid w:val="00C90BE9"/>
    <w:rsid w:val="00C936EA"/>
    <w:rsid w:val="00C93BEE"/>
    <w:rsid w:val="00C96C4B"/>
    <w:rsid w:val="00CA1D81"/>
    <w:rsid w:val="00CB1694"/>
    <w:rsid w:val="00CB2FF9"/>
    <w:rsid w:val="00CB5294"/>
    <w:rsid w:val="00CB5B99"/>
    <w:rsid w:val="00CB6C81"/>
    <w:rsid w:val="00CC0C2F"/>
    <w:rsid w:val="00CC163C"/>
    <w:rsid w:val="00CC1F45"/>
    <w:rsid w:val="00CC244C"/>
    <w:rsid w:val="00CD0D60"/>
    <w:rsid w:val="00CE017C"/>
    <w:rsid w:val="00CF0932"/>
    <w:rsid w:val="00CF7DB7"/>
    <w:rsid w:val="00D01EE1"/>
    <w:rsid w:val="00D05F08"/>
    <w:rsid w:val="00D060F6"/>
    <w:rsid w:val="00D13402"/>
    <w:rsid w:val="00D1340B"/>
    <w:rsid w:val="00D135DD"/>
    <w:rsid w:val="00D148DF"/>
    <w:rsid w:val="00D17703"/>
    <w:rsid w:val="00D27212"/>
    <w:rsid w:val="00D306FE"/>
    <w:rsid w:val="00D30F44"/>
    <w:rsid w:val="00D33ACE"/>
    <w:rsid w:val="00D34EAF"/>
    <w:rsid w:val="00D3575D"/>
    <w:rsid w:val="00D40B4F"/>
    <w:rsid w:val="00D412DD"/>
    <w:rsid w:val="00D424EE"/>
    <w:rsid w:val="00D43795"/>
    <w:rsid w:val="00D45376"/>
    <w:rsid w:val="00D46563"/>
    <w:rsid w:val="00D47284"/>
    <w:rsid w:val="00D4766F"/>
    <w:rsid w:val="00D52003"/>
    <w:rsid w:val="00D5389A"/>
    <w:rsid w:val="00D57CDE"/>
    <w:rsid w:val="00D57EB1"/>
    <w:rsid w:val="00D67DA1"/>
    <w:rsid w:val="00D73416"/>
    <w:rsid w:val="00D73577"/>
    <w:rsid w:val="00D73C49"/>
    <w:rsid w:val="00D7430E"/>
    <w:rsid w:val="00D75911"/>
    <w:rsid w:val="00D80701"/>
    <w:rsid w:val="00D86223"/>
    <w:rsid w:val="00D94424"/>
    <w:rsid w:val="00DA497F"/>
    <w:rsid w:val="00DA4A46"/>
    <w:rsid w:val="00DA6C40"/>
    <w:rsid w:val="00DA70B6"/>
    <w:rsid w:val="00DA7E74"/>
    <w:rsid w:val="00DB0D63"/>
    <w:rsid w:val="00DB2A46"/>
    <w:rsid w:val="00DB587D"/>
    <w:rsid w:val="00DB6CF2"/>
    <w:rsid w:val="00DC01FD"/>
    <w:rsid w:val="00DC2D8E"/>
    <w:rsid w:val="00DC4189"/>
    <w:rsid w:val="00DC58AE"/>
    <w:rsid w:val="00DC6925"/>
    <w:rsid w:val="00DD4EA9"/>
    <w:rsid w:val="00DF1238"/>
    <w:rsid w:val="00DF2C8B"/>
    <w:rsid w:val="00DF385D"/>
    <w:rsid w:val="00DF3941"/>
    <w:rsid w:val="00DF4CB7"/>
    <w:rsid w:val="00DF54AD"/>
    <w:rsid w:val="00E005FB"/>
    <w:rsid w:val="00E0391C"/>
    <w:rsid w:val="00E047CF"/>
    <w:rsid w:val="00E06974"/>
    <w:rsid w:val="00E14BC4"/>
    <w:rsid w:val="00E15628"/>
    <w:rsid w:val="00E20493"/>
    <w:rsid w:val="00E209E1"/>
    <w:rsid w:val="00E21BB8"/>
    <w:rsid w:val="00E24388"/>
    <w:rsid w:val="00E2573A"/>
    <w:rsid w:val="00E37D52"/>
    <w:rsid w:val="00E41537"/>
    <w:rsid w:val="00E447D8"/>
    <w:rsid w:val="00E4763B"/>
    <w:rsid w:val="00E50074"/>
    <w:rsid w:val="00E53420"/>
    <w:rsid w:val="00E571A9"/>
    <w:rsid w:val="00E610EF"/>
    <w:rsid w:val="00E67B21"/>
    <w:rsid w:val="00E70079"/>
    <w:rsid w:val="00E7188C"/>
    <w:rsid w:val="00E74385"/>
    <w:rsid w:val="00E856C8"/>
    <w:rsid w:val="00E86F99"/>
    <w:rsid w:val="00E917C7"/>
    <w:rsid w:val="00E93017"/>
    <w:rsid w:val="00EA1F2B"/>
    <w:rsid w:val="00EB2A24"/>
    <w:rsid w:val="00EC0E3E"/>
    <w:rsid w:val="00EC21EA"/>
    <w:rsid w:val="00EC3028"/>
    <w:rsid w:val="00EC3D3B"/>
    <w:rsid w:val="00EC6159"/>
    <w:rsid w:val="00EC685C"/>
    <w:rsid w:val="00ED08FE"/>
    <w:rsid w:val="00ED12FE"/>
    <w:rsid w:val="00ED49FA"/>
    <w:rsid w:val="00ED7D4C"/>
    <w:rsid w:val="00EE3212"/>
    <w:rsid w:val="00EE55DE"/>
    <w:rsid w:val="00EE5694"/>
    <w:rsid w:val="00EF04D2"/>
    <w:rsid w:val="00EF0E5B"/>
    <w:rsid w:val="00EF7206"/>
    <w:rsid w:val="00EF7C46"/>
    <w:rsid w:val="00F007C8"/>
    <w:rsid w:val="00F00AAF"/>
    <w:rsid w:val="00F01CDD"/>
    <w:rsid w:val="00F04962"/>
    <w:rsid w:val="00F10D7D"/>
    <w:rsid w:val="00F144EF"/>
    <w:rsid w:val="00F1515E"/>
    <w:rsid w:val="00F20819"/>
    <w:rsid w:val="00F21FFD"/>
    <w:rsid w:val="00F22AF2"/>
    <w:rsid w:val="00F24FC7"/>
    <w:rsid w:val="00F310FC"/>
    <w:rsid w:val="00F32C19"/>
    <w:rsid w:val="00F4668A"/>
    <w:rsid w:val="00F4706A"/>
    <w:rsid w:val="00F47601"/>
    <w:rsid w:val="00F53A8C"/>
    <w:rsid w:val="00F60916"/>
    <w:rsid w:val="00F6133D"/>
    <w:rsid w:val="00F6537B"/>
    <w:rsid w:val="00F74AAF"/>
    <w:rsid w:val="00F81629"/>
    <w:rsid w:val="00F844B2"/>
    <w:rsid w:val="00FA00B2"/>
    <w:rsid w:val="00FA0A1C"/>
    <w:rsid w:val="00FA34B5"/>
    <w:rsid w:val="00FB30FB"/>
    <w:rsid w:val="00FB3734"/>
    <w:rsid w:val="00FB6FFB"/>
    <w:rsid w:val="00FB7E73"/>
    <w:rsid w:val="00FC2BD5"/>
    <w:rsid w:val="00FC3009"/>
    <w:rsid w:val="00FC39E0"/>
    <w:rsid w:val="00FC3FCB"/>
    <w:rsid w:val="00FC5E91"/>
    <w:rsid w:val="00FC69D8"/>
    <w:rsid w:val="00FD1575"/>
    <w:rsid w:val="00FD160C"/>
    <w:rsid w:val="00FD3C39"/>
    <w:rsid w:val="00FD4FA3"/>
    <w:rsid w:val="00FD555D"/>
    <w:rsid w:val="00FD60C6"/>
    <w:rsid w:val="00FD7362"/>
    <w:rsid w:val="00FD7739"/>
    <w:rsid w:val="00FE0E04"/>
    <w:rsid w:val="00FE1009"/>
    <w:rsid w:val="00FE1D8A"/>
    <w:rsid w:val="00FE333F"/>
    <w:rsid w:val="00FE3C6A"/>
    <w:rsid w:val="00FE49AD"/>
    <w:rsid w:val="00FE4F96"/>
    <w:rsid w:val="00FE5947"/>
    <w:rsid w:val="00FE7751"/>
    <w:rsid w:val="00FF2A98"/>
    <w:rsid w:val="00FF64E5"/>
    <w:rsid w:val="00FF6B0C"/>
    <w:rsid w:val="00FF7A7D"/>
    <w:rsid w:val="00FF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C7"/>
    <w:pPr>
      <w:widowControl w:val="0"/>
      <w:autoSpaceDE w:val="0"/>
      <w:autoSpaceDN w:val="0"/>
      <w:adjustRightInd w:val="0"/>
    </w:pPr>
    <w:rPr>
      <w:rFonts w:ascii="Arial" w:eastAsia="Times New Roman" w:hAnsi="Arial"/>
      <w:szCs w:val="24"/>
    </w:rPr>
  </w:style>
  <w:style w:type="paragraph" w:styleId="Heading1">
    <w:name w:val="heading 1"/>
    <w:basedOn w:val="Normal"/>
    <w:next w:val="Normal"/>
    <w:link w:val="Heading1Char"/>
    <w:uiPriority w:val="9"/>
    <w:qFormat/>
    <w:rsid w:val="004B0B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D6AC7"/>
    <w:pPr>
      <w:keepNext/>
      <w:outlineLvl w:val="1"/>
    </w:pPr>
  </w:style>
  <w:style w:type="paragraph" w:styleId="Heading3">
    <w:name w:val="heading 3"/>
    <w:basedOn w:val="Normal"/>
    <w:next w:val="Normal"/>
    <w:link w:val="Heading3Char"/>
    <w:qFormat/>
    <w:rsid w:val="003D6AC7"/>
    <w:pPr>
      <w:keepNext/>
      <w:tabs>
        <w:tab w:val="left" w:pos="720"/>
        <w:tab w:val="left" w:pos="3600"/>
        <w:tab w:val="left" w:pos="3690"/>
        <w:tab w:val="center" w:pos="4680"/>
        <w:tab w:val="left" w:pos="5760"/>
      </w:tabs>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C7"/>
    <w:rPr>
      <w:rFonts w:ascii="Arial" w:eastAsia="Times New Roman" w:hAnsi="Arial" w:cs="Times New Roman"/>
      <w:sz w:val="20"/>
    </w:rPr>
  </w:style>
  <w:style w:type="character" w:customStyle="1" w:styleId="Heading3Char">
    <w:name w:val="Heading 3 Char"/>
    <w:basedOn w:val="DefaultParagraphFont"/>
    <w:link w:val="Heading3"/>
    <w:rsid w:val="003D6AC7"/>
    <w:rPr>
      <w:rFonts w:ascii="Arial" w:eastAsia="Times New Roman" w:hAnsi="Arial" w:cs="Times New Roman"/>
      <w:sz w:val="28"/>
      <w:szCs w:val="28"/>
    </w:rPr>
  </w:style>
  <w:style w:type="paragraph" w:styleId="Footer">
    <w:name w:val="footer"/>
    <w:basedOn w:val="Normal"/>
    <w:link w:val="FooterChar"/>
    <w:unhideWhenUsed/>
    <w:rsid w:val="003D6AC7"/>
    <w:pPr>
      <w:tabs>
        <w:tab w:val="center" w:pos="4680"/>
        <w:tab w:val="right" w:pos="9360"/>
      </w:tabs>
    </w:pPr>
  </w:style>
  <w:style w:type="character" w:customStyle="1" w:styleId="FooterChar">
    <w:name w:val="Footer Char"/>
    <w:basedOn w:val="DefaultParagraphFont"/>
    <w:link w:val="Footer"/>
    <w:uiPriority w:val="99"/>
    <w:rsid w:val="003D6AC7"/>
    <w:rPr>
      <w:rFonts w:ascii="Arial" w:eastAsia="Times New Roman" w:hAnsi="Arial" w:cs="Times New Roman"/>
      <w:sz w:val="20"/>
    </w:rPr>
  </w:style>
  <w:style w:type="paragraph" w:customStyle="1" w:styleId="OrderBody">
    <w:name w:val="Order Body"/>
    <w:basedOn w:val="Normal"/>
    <w:link w:val="OrderBodyChar"/>
    <w:rsid w:val="00AF6136"/>
    <w:pPr>
      <w:widowControl/>
      <w:autoSpaceDE/>
      <w:autoSpaceDN/>
      <w:adjustRightInd/>
      <w:jc w:val="both"/>
    </w:pPr>
    <w:rPr>
      <w:rFonts w:ascii="Times New Roman" w:hAnsi="Times New Roman"/>
      <w:sz w:val="24"/>
    </w:rPr>
  </w:style>
  <w:style w:type="character" w:customStyle="1" w:styleId="OrderBodyChar">
    <w:name w:val="Order Body Char"/>
    <w:basedOn w:val="DefaultParagraphFont"/>
    <w:link w:val="OrderBody"/>
    <w:rsid w:val="00AF6136"/>
    <w:rPr>
      <w:rFonts w:eastAsia="Times New Roman"/>
      <w:sz w:val="24"/>
      <w:szCs w:val="24"/>
    </w:rPr>
  </w:style>
  <w:style w:type="character" w:styleId="PageNumber">
    <w:name w:val="page number"/>
    <w:basedOn w:val="DefaultParagraphFont"/>
    <w:rsid w:val="00755D39"/>
  </w:style>
  <w:style w:type="paragraph" w:styleId="Header">
    <w:name w:val="header"/>
    <w:basedOn w:val="Normal"/>
    <w:link w:val="HeaderChar"/>
    <w:unhideWhenUsed/>
    <w:rsid w:val="00FC39E0"/>
    <w:pPr>
      <w:tabs>
        <w:tab w:val="center" w:pos="4680"/>
        <w:tab w:val="right" w:pos="9360"/>
      </w:tabs>
    </w:pPr>
  </w:style>
  <w:style w:type="character" w:customStyle="1" w:styleId="HeaderChar">
    <w:name w:val="Header Char"/>
    <w:basedOn w:val="DefaultParagraphFont"/>
    <w:link w:val="Header"/>
    <w:uiPriority w:val="99"/>
    <w:semiHidden/>
    <w:rsid w:val="00FC39E0"/>
    <w:rPr>
      <w:rFonts w:ascii="Arial" w:eastAsia="Times New Roman" w:hAnsi="Arial"/>
      <w:szCs w:val="24"/>
    </w:rPr>
  </w:style>
  <w:style w:type="paragraph" w:styleId="BodyTextIndent2">
    <w:name w:val="Body Text Indent 2"/>
    <w:basedOn w:val="Normal"/>
    <w:link w:val="BodyTextIndent2Char"/>
    <w:rsid w:val="00B52458"/>
    <w:pPr>
      <w:spacing w:line="360" w:lineRule="auto"/>
      <w:ind w:left="720"/>
      <w:jc w:val="both"/>
    </w:pPr>
    <w:rPr>
      <w:rFonts w:ascii="Times New Roman" w:hAnsi="Times New Roman"/>
      <w:sz w:val="24"/>
    </w:rPr>
  </w:style>
  <w:style w:type="character" w:customStyle="1" w:styleId="BodyTextIndent2Char">
    <w:name w:val="Body Text Indent 2 Char"/>
    <w:basedOn w:val="DefaultParagraphFont"/>
    <w:link w:val="BodyTextIndent2"/>
    <w:rsid w:val="00B52458"/>
    <w:rPr>
      <w:rFonts w:eastAsia="Times New Roman"/>
      <w:sz w:val="24"/>
      <w:szCs w:val="24"/>
    </w:rPr>
  </w:style>
  <w:style w:type="paragraph" w:styleId="ListParagraph">
    <w:name w:val="List Paragraph"/>
    <w:basedOn w:val="Normal"/>
    <w:qFormat/>
    <w:rsid w:val="004B0BAD"/>
    <w:pPr>
      <w:widowControl/>
      <w:autoSpaceDE/>
      <w:autoSpaceDN/>
      <w:adjustRightInd/>
      <w:ind w:left="720"/>
    </w:pPr>
    <w:rPr>
      <w:rFonts w:ascii="Times New Roman" w:hAnsi="Times New Roman"/>
      <w:sz w:val="24"/>
    </w:rPr>
  </w:style>
  <w:style w:type="paragraph" w:styleId="BodyText">
    <w:name w:val="Body Text"/>
    <w:aliases w:val="s1"/>
    <w:basedOn w:val="Normal"/>
    <w:link w:val="BodyTextChar"/>
    <w:unhideWhenUsed/>
    <w:rsid w:val="004B0BAD"/>
    <w:pPr>
      <w:spacing w:after="120"/>
    </w:pPr>
  </w:style>
  <w:style w:type="character" w:customStyle="1" w:styleId="BodyTextChar">
    <w:name w:val="Body Text Char"/>
    <w:aliases w:val="s1 Char"/>
    <w:basedOn w:val="DefaultParagraphFont"/>
    <w:link w:val="BodyText"/>
    <w:rsid w:val="004B0BAD"/>
    <w:rPr>
      <w:rFonts w:ascii="Arial" w:eastAsia="Times New Roman" w:hAnsi="Arial"/>
      <w:szCs w:val="24"/>
    </w:rPr>
  </w:style>
  <w:style w:type="paragraph" w:customStyle="1" w:styleId="IssueHeading">
    <w:name w:val="Issue Heading"/>
    <w:basedOn w:val="Heading1"/>
    <w:next w:val="BodyText"/>
    <w:link w:val="IssueHeadingChar"/>
    <w:rsid w:val="004B0BAD"/>
    <w:pPr>
      <w:keepNext w:val="0"/>
      <w:widowControl/>
      <w:autoSpaceDE/>
      <w:autoSpaceDN/>
      <w:adjustRightInd/>
      <w:spacing w:before="0" w:after="240"/>
      <w:jc w:val="both"/>
    </w:pPr>
    <w:rPr>
      <w:rFonts w:ascii="Times New Roman" w:hAnsi="Times New Roman" w:cs="Arial"/>
      <w:b w:val="0"/>
      <w:sz w:val="24"/>
    </w:rPr>
  </w:style>
  <w:style w:type="character" w:customStyle="1" w:styleId="IssueHeadingChar">
    <w:name w:val="Issue Heading Char"/>
    <w:basedOn w:val="DefaultParagraphFont"/>
    <w:link w:val="IssueHeading"/>
    <w:rsid w:val="004B0BAD"/>
    <w:rPr>
      <w:rFonts w:eastAsia="Times New Roman" w:cs="Arial"/>
      <w:bCs/>
      <w:kern w:val="32"/>
      <w:sz w:val="24"/>
      <w:szCs w:val="32"/>
    </w:rPr>
  </w:style>
  <w:style w:type="character" w:customStyle="1" w:styleId="Heading1Char">
    <w:name w:val="Heading 1 Char"/>
    <w:basedOn w:val="DefaultParagraphFont"/>
    <w:link w:val="Heading1"/>
    <w:uiPriority w:val="9"/>
    <w:rsid w:val="004B0BAD"/>
    <w:rPr>
      <w:rFonts w:ascii="Cambria" w:eastAsia="Times New Roman" w:hAnsi="Cambria" w:cs="Times New Roman"/>
      <w:b/>
      <w:bCs/>
      <w:kern w:val="32"/>
      <w:sz w:val="32"/>
      <w:szCs w:val="32"/>
    </w:rPr>
  </w:style>
  <w:style w:type="paragraph" w:styleId="BalloonText">
    <w:name w:val="Balloon Text"/>
    <w:basedOn w:val="Normal"/>
    <w:link w:val="BalloonTextChar"/>
    <w:semiHidden/>
    <w:unhideWhenUsed/>
    <w:rsid w:val="006A632A"/>
    <w:rPr>
      <w:rFonts w:ascii="Tahoma" w:hAnsi="Tahoma" w:cs="Tahoma"/>
      <w:sz w:val="16"/>
      <w:szCs w:val="16"/>
    </w:rPr>
  </w:style>
  <w:style w:type="character" w:customStyle="1" w:styleId="BalloonTextChar">
    <w:name w:val="Balloon Text Char"/>
    <w:basedOn w:val="DefaultParagraphFont"/>
    <w:link w:val="BalloonText"/>
    <w:uiPriority w:val="99"/>
    <w:semiHidden/>
    <w:rsid w:val="006A63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3462"/>
    <w:rPr>
      <w:sz w:val="16"/>
      <w:szCs w:val="16"/>
    </w:rPr>
  </w:style>
  <w:style w:type="paragraph" w:styleId="CommentText">
    <w:name w:val="annotation text"/>
    <w:basedOn w:val="Normal"/>
    <w:link w:val="CommentTextChar"/>
    <w:uiPriority w:val="99"/>
    <w:semiHidden/>
    <w:unhideWhenUsed/>
    <w:rsid w:val="004D3462"/>
    <w:rPr>
      <w:szCs w:val="20"/>
    </w:rPr>
  </w:style>
  <w:style w:type="character" w:customStyle="1" w:styleId="CommentTextChar">
    <w:name w:val="Comment Text Char"/>
    <w:basedOn w:val="DefaultParagraphFont"/>
    <w:link w:val="CommentText"/>
    <w:uiPriority w:val="99"/>
    <w:semiHidden/>
    <w:rsid w:val="004D3462"/>
    <w:rPr>
      <w:rFonts w:ascii="Arial" w:eastAsia="Times New Roman" w:hAnsi="Arial"/>
    </w:rPr>
  </w:style>
  <w:style w:type="paragraph" w:styleId="FootnoteText">
    <w:name w:val="footnote text"/>
    <w:basedOn w:val="Normal"/>
    <w:link w:val="FootnoteTextChar"/>
    <w:uiPriority w:val="99"/>
    <w:semiHidden/>
    <w:unhideWhenUsed/>
    <w:rsid w:val="004D3462"/>
    <w:rPr>
      <w:szCs w:val="20"/>
    </w:rPr>
  </w:style>
  <w:style w:type="character" w:customStyle="1" w:styleId="FootnoteTextChar">
    <w:name w:val="Footnote Text Char"/>
    <w:basedOn w:val="DefaultParagraphFont"/>
    <w:link w:val="FootnoteText"/>
    <w:uiPriority w:val="99"/>
    <w:semiHidden/>
    <w:rsid w:val="004D3462"/>
    <w:rPr>
      <w:rFonts w:ascii="Arial" w:eastAsia="Times New Roman" w:hAnsi="Arial"/>
    </w:rPr>
  </w:style>
  <w:style w:type="character" w:styleId="FootnoteReference">
    <w:name w:val="footnote reference"/>
    <w:basedOn w:val="DefaultParagraphFont"/>
    <w:unhideWhenUsed/>
    <w:rsid w:val="004D3462"/>
    <w:rPr>
      <w:vertAlign w:val="superscript"/>
    </w:rPr>
  </w:style>
  <w:style w:type="table" w:styleId="TableGrid">
    <w:name w:val="Table Grid"/>
    <w:basedOn w:val="TableNormal"/>
    <w:uiPriority w:val="59"/>
    <w:rsid w:val="00D80701"/>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link w:val="TITLEChar"/>
    <w:qFormat/>
    <w:rsid w:val="00275B80"/>
    <w:pPr>
      <w:widowControl/>
      <w:autoSpaceDE/>
      <w:autoSpaceDN/>
      <w:adjustRightInd/>
      <w:spacing w:after="200"/>
      <w:contextualSpacing/>
      <w:jc w:val="center"/>
      <w:outlineLvl w:val="0"/>
    </w:pPr>
    <w:rPr>
      <w:rFonts w:ascii="Times New Roman" w:eastAsia="Calibri" w:hAnsi="Times New Roman"/>
      <w:bCs/>
      <w:sz w:val="24"/>
    </w:rPr>
  </w:style>
  <w:style w:type="character" w:customStyle="1" w:styleId="TITLEChar">
    <w:name w:val="TITLE Char"/>
    <w:basedOn w:val="DefaultParagraphFont"/>
    <w:link w:val="Title1"/>
    <w:rsid w:val="00275B80"/>
    <w:rPr>
      <w:bCs/>
      <w:sz w:val="24"/>
      <w:szCs w:val="24"/>
    </w:rPr>
  </w:style>
  <w:style w:type="paragraph" w:styleId="CommentSubject">
    <w:name w:val="annotation subject"/>
    <w:basedOn w:val="CommentText"/>
    <w:next w:val="CommentText"/>
    <w:link w:val="CommentSubjectChar"/>
    <w:uiPriority w:val="99"/>
    <w:semiHidden/>
    <w:unhideWhenUsed/>
    <w:rsid w:val="00522382"/>
    <w:rPr>
      <w:b/>
      <w:bCs/>
    </w:rPr>
  </w:style>
  <w:style w:type="character" w:customStyle="1" w:styleId="CommentSubjectChar">
    <w:name w:val="Comment Subject Char"/>
    <w:basedOn w:val="CommentTextChar"/>
    <w:link w:val="CommentSubject"/>
    <w:uiPriority w:val="99"/>
    <w:semiHidden/>
    <w:rsid w:val="00522382"/>
    <w:rPr>
      <w:b/>
      <w:bCs/>
    </w:rPr>
  </w:style>
  <w:style w:type="paragraph" w:styleId="Revision">
    <w:name w:val="Revision"/>
    <w:hidden/>
    <w:uiPriority w:val="99"/>
    <w:semiHidden/>
    <w:rsid w:val="000D1A04"/>
    <w:rPr>
      <w:rFonts w:ascii="Arial" w:eastAsia="Times New Roman" w:hAnsi="Arial"/>
      <w:szCs w:val="24"/>
    </w:rPr>
  </w:style>
  <w:style w:type="table" w:customStyle="1" w:styleId="TableGrid1">
    <w:name w:val="Table Grid1"/>
    <w:basedOn w:val="TableNormal"/>
    <w:next w:val="TableGrid"/>
    <w:uiPriority w:val="59"/>
    <w:rsid w:val="00D412DD"/>
    <w:rPr>
      <w:rFonts w:eastAsia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2692">
      <w:bodyDiv w:val="1"/>
      <w:marLeft w:val="0"/>
      <w:marRight w:val="0"/>
      <w:marTop w:val="0"/>
      <w:marBottom w:val="0"/>
      <w:divBdr>
        <w:top w:val="none" w:sz="0" w:space="0" w:color="auto"/>
        <w:left w:val="none" w:sz="0" w:space="0" w:color="auto"/>
        <w:bottom w:val="none" w:sz="0" w:space="0" w:color="auto"/>
        <w:right w:val="none" w:sz="0" w:space="0" w:color="auto"/>
      </w:divBdr>
    </w:div>
    <w:div w:id="38017031">
      <w:bodyDiv w:val="1"/>
      <w:marLeft w:val="0"/>
      <w:marRight w:val="0"/>
      <w:marTop w:val="0"/>
      <w:marBottom w:val="0"/>
      <w:divBdr>
        <w:top w:val="none" w:sz="0" w:space="0" w:color="auto"/>
        <w:left w:val="none" w:sz="0" w:space="0" w:color="auto"/>
        <w:bottom w:val="none" w:sz="0" w:space="0" w:color="auto"/>
        <w:right w:val="none" w:sz="0" w:space="0" w:color="auto"/>
      </w:divBdr>
    </w:div>
    <w:div w:id="100608558">
      <w:bodyDiv w:val="1"/>
      <w:marLeft w:val="0"/>
      <w:marRight w:val="0"/>
      <w:marTop w:val="0"/>
      <w:marBottom w:val="0"/>
      <w:divBdr>
        <w:top w:val="none" w:sz="0" w:space="0" w:color="auto"/>
        <w:left w:val="none" w:sz="0" w:space="0" w:color="auto"/>
        <w:bottom w:val="none" w:sz="0" w:space="0" w:color="auto"/>
        <w:right w:val="none" w:sz="0" w:space="0" w:color="auto"/>
      </w:divBdr>
    </w:div>
    <w:div w:id="111169153">
      <w:bodyDiv w:val="1"/>
      <w:marLeft w:val="0"/>
      <w:marRight w:val="0"/>
      <w:marTop w:val="0"/>
      <w:marBottom w:val="0"/>
      <w:divBdr>
        <w:top w:val="none" w:sz="0" w:space="0" w:color="auto"/>
        <w:left w:val="none" w:sz="0" w:space="0" w:color="auto"/>
        <w:bottom w:val="none" w:sz="0" w:space="0" w:color="auto"/>
        <w:right w:val="none" w:sz="0" w:space="0" w:color="auto"/>
      </w:divBdr>
    </w:div>
    <w:div w:id="564875163">
      <w:bodyDiv w:val="1"/>
      <w:marLeft w:val="0"/>
      <w:marRight w:val="0"/>
      <w:marTop w:val="0"/>
      <w:marBottom w:val="0"/>
      <w:divBdr>
        <w:top w:val="none" w:sz="0" w:space="0" w:color="auto"/>
        <w:left w:val="none" w:sz="0" w:space="0" w:color="auto"/>
        <w:bottom w:val="none" w:sz="0" w:space="0" w:color="auto"/>
        <w:right w:val="none" w:sz="0" w:space="0" w:color="auto"/>
      </w:divBdr>
    </w:div>
    <w:div w:id="604924360">
      <w:bodyDiv w:val="1"/>
      <w:marLeft w:val="0"/>
      <w:marRight w:val="0"/>
      <w:marTop w:val="0"/>
      <w:marBottom w:val="0"/>
      <w:divBdr>
        <w:top w:val="none" w:sz="0" w:space="0" w:color="auto"/>
        <w:left w:val="none" w:sz="0" w:space="0" w:color="auto"/>
        <w:bottom w:val="none" w:sz="0" w:space="0" w:color="auto"/>
        <w:right w:val="none" w:sz="0" w:space="0" w:color="auto"/>
      </w:divBdr>
    </w:div>
    <w:div w:id="662781574">
      <w:bodyDiv w:val="1"/>
      <w:marLeft w:val="0"/>
      <w:marRight w:val="0"/>
      <w:marTop w:val="0"/>
      <w:marBottom w:val="0"/>
      <w:divBdr>
        <w:top w:val="none" w:sz="0" w:space="0" w:color="auto"/>
        <w:left w:val="none" w:sz="0" w:space="0" w:color="auto"/>
        <w:bottom w:val="none" w:sz="0" w:space="0" w:color="auto"/>
        <w:right w:val="none" w:sz="0" w:space="0" w:color="auto"/>
      </w:divBdr>
    </w:div>
    <w:div w:id="688801137">
      <w:bodyDiv w:val="1"/>
      <w:marLeft w:val="0"/>
      <w:marRight w:val="0"/>
      <w:marTop w:val="0"/>
      <w:marBottom w:val="0"/>
      <w:divBdr>
        <w:top w:val="none" w:sz="0" w:space="0" w:color="auto"/>
        <w:left w:val="none" w:sz="0" w:space="0" w:color="auto"/>
        <w:bottom w:val="none" w:sz="0" w:space="0" w:color="auto"/>
        <w:right w:val="none" w:sz="0" w:space="0" w:color="auto"/>
      </w:divBdr>
    </w:div>
    <w:div w:id="725110077">
      <w:bodyDiv w:val="1"/>
      <w:marLeft w:val="0"/>
      <w:marRight w:val="0"/>
      <w:marTop w:val="0"/>
      <w:marBottom w:val="0"/>
      <w:divBdr>
        <w:top w:val="none" w:sz="0" w:space="0" w:color="auto"/>
        <w:left w:val="none" w:sz="0" w:space="0" w:color="auto"/>
        <w:bottom w:val="none" w:sz="0" w:space="0" w:color="auto"/>
        <w:right w:val="none" w:sz="0" w:space="0" w:color="auto"/>
      </w:divBdr>
    </w:div>
    <w:div w:id="898710084">
      <w:bodyDiv w:val="1"/>
      <w:marLeft w:val="0"/>
      <w:marRight w:val="0"/>
      <w:marTop w:val="0"/>
      <w:marBottom w:val="0"/>
      <w:divBdr>
        <w:top w:val="none" w:sz="0" w:space="0" w:color="auto"/>
        <w:left w:val="none" w:sz="0" w:space="0" w:color="auto"/>
        <w:bottom w:val="none" w:sz="0" w:space="0" w:color="auto"/>
        <w:right w:val="none" w:sz="0" w:space="0" w:color="auto"/>
      </w:divBdr>
    </w:div>
    <w:div w:id="903680339">
      <w:bodyDiv w:val="1"/>
      <w:marLeft w:val="0"/>
      <w:marRight w:val="0"/>
      <w:marTop w:val="0"/>
      <w:marBottom w:val="0"/>
      <w:divBdr>
        <w:top w:val="none" w:sz="0" w:space="0" w:color="auto"/>
        <w:left w:val="none" w:sz="0" w:space="0" w:color="auto"/>
        <w:bottom w:val="none" w:sz="0" w:space="0" w:color="auto"/>
        <w:right w:val="none" w:sz="0" w:space="0" w:color="auto"/>
      </w:divBdr>
    </w:div>
    <w:div w:id="939609564">
      <w:bodyDiv w:val="1"/>
      <w:marLeft w:val="0"/>
      <w:marRight w:val="0"/>
      <w:marTop w:val="0"/>
      <w:marBottom w:val="0"/>
      <w:divBdr>
        <w:top w:val="none" w:sz="0" w:space="0" w:color="auto"/>
        <w:left w:val="none" w:sz="0" w:space="0" w:color="auto"/>
        <w:bottom w:val="none" w:sz="0" w:space="0" w:color="auto"/>
        <w:right w:val="none" w:sz="0" w:space="0" w:color="auto"/>
      </w:divBdr>
    </w:div>
    <w:div w:id="996767157">
      <w:bodyDiv w:val="1"/>
      <w:marLeft w:val="0"/>
      <w:marRight w:val="0"/>
      <w:marTop w:val="0"/>
      <w:marBottom w:val="0"/>
      <w:divBdr>
        <w:top w:val="none" w:sz="0" w:space="0" w:color="auto"/>
        <w:left w:val="none" w:sz="0" w:space="0" w:color="auto"/>
        <w:bottom w:val="none" w:sz="0" w:space="0" w:color="auto"/>
        <w:right w:val="none" w:sz="0" w:space="0" w:color="auto"/>
      </w:divBdr>
    </w:div>
    <w:div w:id="1014502446">
      <w:bodyDiv w:val="1"/>
      <w:marLeft w:val="0"/>
      <w:marRight w:val="0"/>
      <w:marTop w:val="0"/>
      <w:marBottom w:val="0"/>
      <w:divBdr>
        <w:top w:val="none" w:sz="0" w:space="0" w:color="auto"/>
        <w:left w:val="none" w:sz="0" w:space="0" w:color="auto"/>
        <w:bottom w:val="none" w:sz="0" w:space="0" w:color="auto"/>
        <w:right w:val="none" w:sz="0" w:space="0" w:color="auto"/>
      </w:divBdr>
    </w:div>
    <w:div w:id="1030885778">
      <w:bodyDiv w:val="1"/>
      <w:marLeft w:val="0"/>
      <w:marRight w:val="0"/>
      <w:marTop w:val="0"/>
      <w:marBottom w:val="0"/>
      <w:divBdr>
        <w:top w:val="none" w:sz="0" w:space="0" w:color="auto"/>
        <w:left w:val="none" w:sz="0" w:space="0" w:color="auto"/>
        <w:bottom w:val="none" w:sz="0" w:space="0" w:color="auto"/>
        <w:right w:val="none" w:sz="0" w:space="0" w:color="auto"/>
      </w:divBdr>
    </w:div>
    <w:div w:id="1138061917">
      <w:bodyDiv w:val="1"/>
      <w:marLeft w:val="0"/>
      <w:marRight w:val="0"/>
      <w:marTop w:val="0"/>
      <w:marBottom w:val="0"/>
      <w:divBdr>
        <w:top w:val="none" w:sz="0" w:space="0" w:color="auto"/>
        <w:left w:val="none" w:sz="0" w:space="0" w:color="auto"/>
        <w:bottom w:val="none" w:sz="0" w:space="0" w:color="auto"/>
        <w:right w:val="none" w:sz="0" w:space="0" w:color="auto"/>
      </w:divBdr>
    </w:div>
    <w:div w:id="1165629099">
      <w:bodyDiv w:val="1"/>
      <w:marLeft w:val="0"/>
      <w:marRight w:val="0"/>
      <w:marTop w:val="0"/>
      <w:marBottom w:val="0"/>
      <w:divBdr>
        <w:top w:val="none" w:sz="0" w:space="0" w:color="auto"/>
        <w:left w:val="none" w:sz="0" w:space="0" w:color="auto"/>
        <w:bottom w:val="none" w:sz="0" w:space="0" w:color="auto"/>
        <w:right w:val="none" w:sz="0" w:space="0" w:color="auto"/>
      </w:divBdr>
    </w:div>
    <w:div w:id="1172767812">
      <w:bodyDiv w:val="1"/>
      <w:marLeft w:val="0"/>
      <w:marRight w:val="0"/>
      <w:marTop w:val="0"/>
      <w:marBottom w:val="0"/>
      <w:divBdr>
        <w:top w:val="none" w:sz="0" w:space="0" w:color="auto"/>
        <w:left w:val="none" w:sz="0" w:space="0" w:color="auto"/>
        <w:bottom w:val="none" w:sz="0" w:space="0" w:color="auto"/>
        <w:right w:val="none" w:sz="0" w:space="0" w:color="auto"/>
      </w:divBdr>
    </w:div>
    <w:div w:id="1198007966">
      <w:bodyDiv w:val="1"/>
      <w:marLeft w:val="0"/>
      <w:marRight w:val="0"/>
      <w:marTop w:val="0"/>
      <w:marBottom w:val="0"/>
      <w:divBdr>
        <w:top w:val="none" w:sz="0" w:space="0" w:color="auto"/>
        <w:left w:val="none" w:sz="0" w:space="0" w:color="auto"/>
        <w:bottom w:val="none" w:sz="0" w:space="0" w:color="auto"/>
        <w:right w:val="none" w:sz="0" w:space="0" w:color="auto"/>
      </w:divBdr>
    </w:div>
    <w:div w:id="1223324104">
      <w:bodyDiv w:val="1"/>
      <w:marLeft w:val="0"/>
      <w:marRight w:val="0"/>
      <w:marTop w:val="0"/>
      <w:marBottom w:val="0"/>
      <w:divBdr>
        <w:top w:val="none" w:sz="0" w:space="0" w:color="auto"/>
        <w:left w:val="none" w:sz="0" w:space="0" w:color="auto"/>
        <w:bottom w:val="none" w:sz="0" w:space="0" w:color="auto"/>
        <w:right w:val="none" w:sz="0" w:space="0" w:color="auto"/>
      </w:divBdr>
    </w:div>
    <w:div w:id="1446339717">
      <w:bodyDiv w:val="1"/>
      <w:marLeft w:val="0"/>
      <w:marRight w:val="0"/>
      <w:marTop w:val="0"/>
      <w:marBottom w:val="0"/>
      <w:divBdr>
        <w:top w:val="none" w:sz="0" w:space="0" w:color="auto"/>
        <w:left w:val="none" w:sz="0" w:space="0" w:color="auto"/>
        <w:bottom w:val="none" w:sz="0" w:space="0" w:color="auto"/>
        <w:right w:val="none" w:sz="0" w:space="0" w:color="auto"/>
      </w:divBdr>
    </w:div>
    <w:div w:id="1448887847">
      <w:bodyDiv w:val="1"/>
      <w:marLeft w:val="0"/>
      <w:marRight w:val="0"/>
      <w:marTop w:val="0"/>
      <w:marBottom w:val="0"/>
      <w:divBdr>
        <w:top w:val="none" w:sz="0" w:space="0" w:color="auto"/>
        <w:left w:val="none" w:sz="0" w:space="0" w:color="auto"/>
        <w:bottom w:val="none" w:sz="0" w:space="0" w:color="auto"/>
        <w:right w:val="none" w:sz="0" w:space="0" w:color="auto"/>
      </w:divBdr>
    </w:div>
    <w:div w:id="1483428541">
      <w:bodyDiv w:val="1"/>
      <w:marLeft w:val="0"/>
      <w:marRight w:val="0"/>
      <w:marTop w:val="0"/>
      <w:marBottom w:val="0"/>
      <w:divBdr>
        <w:top w:val="none" w:sz="0" w:space="0" w:color="auto"/>
        <w:left w:val="none" w:sz="0" w:space="0" w:color="auto"/>
        <w:bottom w:val="none" w:sz="0" w:space="0" w:color="auto"/>
        <w:right w:val="none" w:sz="0" w:space="0" w:color="auto"/>
      </w:divBdr>
    </w:div>
    <w:div w:id="1522552073">
      <w:bodyDiv w:val="1"/>
      <w:marLeft w:val="0"/>
      <w:marRight w:val="0"/>
      <w:marTop w:val="0"/>
      <w:marBottom w:val="0"/>
      <w:divBdr>
        <w:top w:val="none" w:sz="0" w:space="0" w:color="auto"/>
        <w:left w:val="none" w:sz="0" w:space="0" w:color="auto"/>
        <w:bottom w:val="none" w:sz="0" w:space="0" w:color="auto"/>
        <w:right w:val="none" w:sz="0" w:space="0" w:color="auto"/>
      </w:divBdr>
    </w:div>
    <w:div w:id="1557660200">
      <w:bodyDiv w:val="1"/>
      <w:marLeft w:val="0"/>
      <w:marRight w:val="0"/>
      <w:marTop w:val="0"/>
      <w:marBottom w:val="0"/>
      <w:divBdr>
        <w:top w:val="none" w:sz="0" w:space="0" w:color="auto"/>
        <w:left w:val="none" w:sz="0" w:space="0" w:color="auto"/>
        <w:bottom w:val="none" w:sz="0" w:space="0" w:color="auto"/>
        <w:right w:val="none" w:sz="0" w:space="0" w:color="auto"/>
      </w:divBdr>
    </w:div>
    <w:div w:id="1659117082">
      <w:bodyDiv w:val="1"/>
      <w:marLeft w:val="0"/>
      <w:marRight w:val="0"/>
      <w:marTop w:val="0"/>
      <w:marBottom w:val="0"/>
      <w:divBdr>
        <w:top w:val="none" w:sz="0" w:space="0" w:color="auto"/>
        <w:left w:val="none" w:sz="0" w:space="0" w:color="auto"/>
        <w:bottom w:val="none" w:sz="0" w:space="0" w:color="auto"/>
        <w:right w:val="none" w:sz="0" w:space="0" w:color="auto"/>
      </w:divBdr>
    </w:div>
    <w:div w:id="1660813531">
      <w:bodyDiv w:val="1"/>
      <w:marLeft w:val="0"/>
      <w:marRight w:val="0"/>
      <w:marTop w:val="0"/>
      <w:marBottom w:val="0"/>
      <w:divBdr>
        <w:top w:val="none" w:sz="0" w:space="0" w:color="auto"/>
        <w:left w:val="none" w:sz="0" w:space="0" w:color="auto"/>
        <w:bottom w:val="none" w:sz="0" w:space="0" w:color="auto"/>
        <w:right w:val="none" w:sz="0" w:space="0" w:color="auto"/>
      </w:divBdr>
    </w:div>
    <w:div w:id="1672290511">
      <w:bodyDiv w:val="1"/>
      <w:marLeft w:val="0"/>
      <w:marRight w:val="0"/>
      <w:marTop w:val="0"/>
      <w:marBottom w:val="0"/>
      <w:divBdr>
        <w:top w:val="none" w:sz="0" w:space="0" w:color="auto"/>
        <w:left w:val="none" w:sz="0" w:space="0" w:color="auto"/>
        <w:bottom w:val="none" w:sz="0" w:space="0" w:color="auto"/>
        <w:right w:val="none" w:sz="0" w:space="0" w:color="auto"/>
      </w:divBdr>
    </w:div>
    <w:div w:id="1686907003">
      <w:bodyDiv w:val="1"/>
      <w:marLeft w:val="0"/>
      <w:marRight w:val="0"/>
      <w:marTop w:val="0"/>
      <w:marBottom w:val="0"/>
      <w:divBdr>
        <w:top w:val="none" w:sz="0" w:space="0" w:color="auto"/>
        <w:left w:val="none" w:sz="0" w:space="0" w:color="auto"/>
        <w:bottom w:val="none" w:sz="0" w:space="0" w:color="auto"/>
        <w:right w:val="none" w:sz="0" w:space="0" w:color="auto"/>
      </w:divBdr>
    </w:div>
    <w:div w:id="1708524702">
      <w:bodyDiv w:val="1"/>
      <w:marLeft w:val="0"/>
      <w:marRight w:val="0"/>
      <w:marTop w:val="0"/>
      <w:marBottom w:val="0"/>
      <w:divBdr>
        <w:top w:val="none" w:sz="0" w:space="0" w:color="auto"/>
        <w:left w:val="none" w:sz="0" w:space="0" w:color="auto"/>
        <w:bottom w:val="none" w:sz="0" w:space="0" w:color="auto"/>
        <w:right w:val="none" w:sz="0" w:space="0" w:color="auto"/>
      </w:divBdr>
    </w:div>
    <w:div w:id="1810197877">
      <w:bodyDiv w:val="1"/>
      <w:marLeft w:val="0"/>
      <w:marRight w:val="0"/>
      <w:marTop w:val="0"/>
      <w:marBottom w:val="0"/>
      <w:divBdr>
        <w:top w:val="none" w:sz="0" w:space="0" w:color="auto"/>
        <w:left w:val="none" w:sz="0" w:space="0" w:color="auto"/>
        <w:bottom w:val="none" w:sz="0" w:space="0" w:color="auto"/>
        <w:right w:val="none" w:sz="0" w:space="0" w:color="auto"/>
      </w:divBdr>
    </w:div>
    <w:div w:id="1820073474">
      <w:bodyDiv w:val="1"/>
      <w:marLeft w:val="0"/>
      <w:marRight w:val="0"/>
      <w:marTop w:val="0"/>
      <w:marBottom w:val="0"/>
      <w:divBdr>
        <w:top w:val="none" w:sz="0" w:space="0" w:color="auto"/>
        <w:left w:val="none" w:sz="0" w:space="0" w:color="auto"/>
        <w:bottom w:val="none" w:sz="0" w:space="0" w:color="auto"/>
        <w:right w:val="none" w:sz="0" w:space="0" w:color="auto"/>
      </w:divBdr>
    </w:div>
    <w:div w:id="1838350996">
      <w:bodyDiv w:val="1"/>
      <w:marLeft w:val="0"/>
      <w:marRight w:val="0"/>
      <w:marTop w:val="0"/>
      <w:marBottom w:val="0"/>
      <w:divBdr>
        <w:top w:val="none" w:sz="0" w:space="0" w:color="auto"/>
        <w:left w:val="none" w:sz="0" w:space="0" w:color="auto"/>
        <w:bottom w:val="none" w:sz="0" w:space="0" w:color="auto"/>
        <w:right w:val="none" w:sz="0" w:space="0" w:color="auto"/>
      </w:divBdr>
    </w:div>
    <w:div w:id="1839618685">
      <w:bodyDiv w:val="1"/>
      <w:marLeft w:val="0"/>
      <w:marRight w:val="0"/>
      <w:marTop w:val="0"/>
      <w:marBottom w:val="0"/>
      <w:divBdr>
        <w:top w:val="none" w:sz="0" w:space="0" w:color="auto"/>
        <w:left w:val="none" w:sz="0" w:space="0" w:color="auto"/>
        <w:bottom w:val="none" w:sz="0" w:space="0" w:color="auto"/>
        <w:right w:val="none" w:sz="0" w:space="0" w:color="auto"/>
      </w:divBdr>
    </w:div>
    <w:div w:id="1962611272">
      <w:bodyDiv w:val="1"/>
      <w:marLeft w:val="0"/>
      <w:marRight w:val="0"/>
      <w:marTop w:val="0"/>
      <w:marBottom w:val="0"/>
      <w:divBdr>
        <w:top w:val="none" w:sz="0" w:space="0" w:color="auto"/>
        <w:left w:val="none" w:sz="0" w:space="0" w:color="auto"/>
        <w:bottom w:val="none" w:sz="0" w:space="0" w:color="auto"/>
        <w:right w:val="none" w:sz="0" w:space="0" w:color="auto"/>
      </w:divBdr>
    </w:div>
    <w:div w:id="1990933798">
      <w:bodyDiv w:val="1"/>
      <w:marLeft w:val="0"/>
      <w:marRight w:val="0"/>
      <w:marTop w:val="0"/>
      <w:marBottom w:val="0"/>
      <w:divBdr>
        <w:top w:val="none" w:sz="0" w:space="0" w:color="auto"/>
        <w:left w:val="none" w:sz="0" w:space="0" w:color="auto"/>
        <w:bottom w:val="none" w:sz="0" w:space="0" w:color="auto"/>
        <w:right w:val="none" w:sz="0" w:space="0" w:color="auto"/>
      </w:divBdr>
    </w:div>
    <w:div w:id="2017882614">
      <w:bodyDiv w:val="1"/>
      <w:marLeft w:val="0"/>
      <w:marRight w:val="0"/>
      <w:marTop w:val="0"/>
      <w:marBottom w:val="0"/>
      <w:divBdr>
        <w:top w:val="none" w:sz="0" w:space="0" w:color="auto"/>
        <w:left w:val="none" w:sz="0" w:space="0" w:color="auto"/>
        <w:bottom w:val="none" w:sz="0" w:space="0" w:color="auto"/>
        <w:right w:val="none" w:sz="0" w:space="0" w:color="auto"/>
      </w:divBdr>
    </w:div>
    <w:div w:id="20762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96EB-1721-4FDF-AEEA-E628689B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2012-12-17T14:40:00Z</dcterms:created>
  <dcterms:modified xsi:type="dcterms:W3CDTF">2012-12-17T14:42:00Z</dcterms:modified>
</cp:coreProperties>
</file>