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D64135">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D64135" w:rsidRDefault="007C0528">
            <w:pPr>
              <w:pStyle w:val="MastHeadState"/>
            </w:pPr>
            <w:bookmarkStart w:id="0" w:name="_GoBack"/>
            <w:bookmarkEnd w:id="0"/>
            <w:r w:rsidRPr="00D64135">
              <w:t>State of Florida</w:t>
            </w:r>
          </w:p>
          <w:p w:rsidR="007C0528" w:rsidRPr="00D64135" w:rsidRDefault="00732A9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1in">
                  <v:imagedata r:id="rId9" o:title="pscSEAL"/>
                </v:shape>
              </w:pict>
            </w:r>
          </w:p>
          <w:p w:rsidR="007C0528" w:rsidRPr="00D64135" w:rsidRDefault="007C0528"/>
        </w:tc>
        <w:tc>
          <w:tcPr>
            <w:tcW w:w="7273" w:type="dxa"/>
            <w:gridSpan w:val="2"/>
            <w:tcBorders>
              <w:top w:val="nil"/>
              <w:left w:val="nil"/>
              <w:bottom w:val="single" w:sz="24" w:space="0" w:color="auto"/>
              <w:right w:val="nil"/>
            </w:tcBorders>
            <w:shd w:val="clear" w:color="auto" w:fill="auto"/>
            <w:vAlign w:val="bottom"/>
          </w:tcPr>
          <w:p w:rsidR="007C0528" w:rsidRPr="00D64135" w:rsidRDefault="007C0528">
            <w:pPr>
              <w:pStyle w:val="MastHeadPSC"/>
            </w:pPr>
            <w:r w:rsidRPr="00D64135">
              <w:t>Public Service Commission</w:t>
            </w:r>
          </w:p>
          <w:p w:rsidR="007C0528" w:rsidRPr="00D64135" w:rsidRDefault="007C0528">
            <w:pPr>
              <w:pStyle w:val="MastHeadAddress"/>
            </w:pPr>
            <w:r w:rsidRPr="00D64135">
              <w:t>Capital Circle Office Center ● 2540 Shumard Oak Boulevard</w:t>
            </w:r>
            <w:r w:rsidRPr="00D64135">
              <w:br/>
              <w:t>Tallahassee, Florida 32399-0850</w:t>
            </w:r>
          </w:p>
          <w:p w:rsidR="007C0528" w:rsidRPr="00D64135" w:rsidRDefault="007C0528">
            <w:pPr>
              <w:pStyle w:val="MastHeadMemorandum"/>
            </w:pPr>
            <w:r w:rsidRPr="00D64135">
              <w:t>-M-E-M-O-R-A-N-D-U-M-</w:t>
            </w:r>
          </w:p>
          <w:p w:rsidR="007C0528" w:rsidRPr="00D64135" w:rsidRDefault="007C0528">
            <w:pPr>
              <w:pStyle w:val="MemoHeading"/>
            </w:pPr>
          </w:p>
        </w:tc>
      </w:tr>
      <w:tr w:rsidR="007C0528" w:rsidRPr="00D64135">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D64135" w:rsidRDefault="007C0528">
            <w:pPr>
              <w:pStyle w:val="MemoHeading"/>
              <w:rPr>
                <w:b/>
              </w:rPr>
            </w:pPr>
            <w:r w:rsidRPr="00D64135">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D64135" w:rsidRDefault="00534F4B">
            <w:pPr>
              <w:pStyle w:val="MemoHeading"/>
            </w:pPr>
            <w:bookmarkStart w:id="1" w:name="FilingDate"/>
            <w:r w:rsidRPr="00D64135">
              <w:t>March 28, 2013</w:t>
            </w:r>
            <w:bookmarkEnd w:id="1"/>
          </w:p>
        </w:tc>
      </w:tr>
      <w:tr w:rsidR="007C0528" w:rsidRPr="00D64135">
        <w:tc>
          <w:tcPr>
            <w:tcW w:w="1254" w:type="dxa"/>
            <w:tcBorders>
              <w:top w:val="nil"/>
              <w:left w:val="nil"/>
              <w:bottom w:val="nil"/>
              <w:right w:val="nil"/>
            </w:tcBorders>
            <w:shd w:val="clear" w:color="auto" w:fill="auto"/>
            <w:tcMar>
              <w:top w:w="288" w:type="dxa"/>
              <w:bottom w:w="0" w:type="dxa"/>
              <w:right w:w="0" w:type="dxa"/>
            </w:tcMar>
          </w:tcPr>
          <w:p w:rsidR="007C0528" w:rsidRPr="00D64135" w:rsidRDefault="007C0528">
            <w:pPr>
              <w:pStyle w:val="MemoHeading"/>
              <w:rPr>
                <w:b/>
              </w:rPr>
            </w:pPr>
            <w:r w:rsidRPr="00D64135">
              <w:rPr>
                <w:b/>
              </w:rPr>
              <w:t>TO:</w:t>
            </w:r>
          </w:p>
        </w:tc>
        <w:tc>
          <w:tcPr>
            <w:tcW w:w="8221" w:type="dxa"/>
            <w:gridSpan w:val="3"/>
            <w:tcBorders>
              <w:top w:val="nil"/>
              <w:left w:val="nil"/>
              <w:bottom w:val="nil"/>
              <w:right w:val="nil"/>
            </w:tcBorders>
            <w:shd w:val="clear" w:color="auto" w:fill="auto"/>
            <w:tcMar>
              <w:top w:w="288" w:type="dxa"/>
              <w:bottom w:w="0" w:type="dxa"/>
            </w:tcMar>
          </w:tcPr>
          <w:p w:rsidR="007C0528" w:rsidRPr="00D64135" w:rsidRDefault="007C0528">
            <w:pPr>
              <w:pStyle w:val="MemoHeading"/>
            </w:pPr>
            <w:r w:rsidRPr="00D64135">
              <w:t>Office of Commission Clerk (Cole)</w:t>
            </w:r>
          </w:p>
        </w:tc>
      </w:tr>
      <w:tr w:rsidR="007C0528" w:rsidRPr="00D64135">
        <w:tc>
          <w:tcPr>
            <w:tcW w:w="1254" w:type="dxa"/>
            <w:tcBorders>
              <w:top w:val="nil"/>
              <w:left w:val="nil"/>
              <w:bottom w:val="nil"/>
              <w:right w:val="nil"/>
            </w:tcBorders>
            <w:shd w:val="clear" w:color="auto" w:fill="auto"/>
            <w:tcMar>
              <w:top w:w="288" w:type="dxa"/>
              <w:right w:w="0" w:type="dxa"/>
            </w:tcMar>
          </w:tcPr>
          <w:p w:rsidR="007C0528" w:rsidRPr="00D64135" w:rsidRDefault="007C0528">
            <w:pPr>
              <w:pStyle w:val="MemoHeading"/>
              <w:rPr>
                <w:b/>
              </w:rPr>
            </w:pPr>
            <w:r w:rsidRPr="00D64135">
              <w:rPr>
                <w:b/>
              </w:rPr>
              <w:t>FROM:</w:t>
            </w:r>
          </w:p>
        </w:tc>
        <w:tc>
          <w:tcPr>
            <w:tcW w:w="8221" w:type="dxa"/>
            <w:gridSpan w:val="3"/>
            <w:tcBorders>
              <w:top w:val="nil"/>
              <w:left w:val="nil"/>
              <w:bottom w:val="nil"/>
              <w:right w:val="nil"/>
            </w:tcBorders>
            <w:shd w:val="clear" w:color="auto" w:fill="auto"/>
            <w:tcMar>
              <w:top w:w="288" w:type="dxa"/>
              <w:bottom w:w="0" w:type="dxa"/>
            </w:tcMar>
          </w:tcPr>
          <w:p w:rsidR="00534F4B" w:rsidRPr="00D64135" w:rsidRDefault="00534F4B">
            <w:pPr>
              <w:pStyle w:val="MemoHeading"/>
            </w:pPr>
            <w:bookmarkStart w:id="2" w:name="From"/>
            <w:r w:rsidRPr="00D64135">
              <w:t>Division of Engineering (Ellis, Lee)</w:t>
            </w:r>
          </w:p>
          <w:p w:rsidR="00534F4B" w:rsidRPr="00D64135" w:rsidRDefault="00534F4B">
            <w:pPr>
              <w:pStyle w:val="MemoHeading"/>
            </w:pPr>
            <w:r w:rsidRPr="00D64135">
              <w:t>Division of Economics (Ollila)</w:t>
            </w:r>
          </w:p>
          <w:p w:rsidR="007C0528" w:rsidRPr="00D64135" w:rsidRDefault="00534F4B">
            <w:pPr>
              <w:pStyle w:val="MemoHeading"/>
            </w:pPr>
            <w:r w:rsidRPr="00D64135">
              <w:t>Office of the General Counsel (Murphy)</w:t>
            </w:r>
            <w:bookmarkEnd w:id="2"/>
          </w:p>
        </w:tc>
      </w:tr>
      <w:tr w:rsidR="007C0528" w:rsidRPr="00D64135">
        <w:tc>
          <w:tcPr>
            <w:tcW w:w="1254" w:type="dxa"/>
            <w:tcBorders>
              <w:top w:val="nil"/>
              <w:left w:val="nil"/>
              <w:bottom w:val="nil"/>
              <w:right w:val="nil"/>
            </w:tcBorders>
            <w:shd w:val="clear" w:color="auto" w:fill="auto"/>
            <w:tcMar>
              <w:top w:w="288" w:type="dxa"/>
              <w:right w:w="0" w:type="dxa"/>
            </w:tcMar>
          </w:tcPr>
          <w:p w:rsidR="007C0528" w:rsidRPr="00D64135" w:rsidRDefault="007C0528">
            <w:pPr>
              <w:pStyle w:val="MemoHeading"/>
              <w:rPr>
                <w:b/>
              </w:rPr>
            </w:pPr>
            <w:r w:rsidRPr="00D64135">
              <w:rPr>
                <w:b/>
              </w:rPr>
              <w:t>RE:</w:t>
            </w:r>
          </w:p>
        </w:tc>
        <w:tc>
          <w:tcPr>
            <w:tcW w:w="8221" w:type="dxa"/>
            <w:gridSpan w:val="3"/>
            <w:tcBorders>
              <w:top w:val="nil"/>
              <w:left w:val="nil"/>
              <w:bottom w:val="nil"/>
              <w:right w:val="nil"/>
            </w:tcBorders>
            <w:shd w:val="clear" w:color="auto" w:fill="auto"/>
            <w:tcMar>
              <w:top w:w="288" w:type="dxa"/>
            </w:tcMar>
          </w:tcPr>
          <w:p w:rsidR="007C0528" w:rsidRPr="00D64135" w:rsidRDefault="00534F4B">
            <w:pPr>
              <w:pStyle w:val="MemoHeadingRe"/>
            </w:pPr>
            <w:bookmarkStart w:id="3" w:name="Re"/>
            <w:r w:rsidRPr="00D64135">
              <w:t>Docket No. 120314-EQ – Petition for approval of negotiated renewable energy contracts with U.S. EcoGen Okeechobee, LLC, U.S. EcoGen Clay, LLC, and U.S. EcoGen Martin, LLC, by Florida Power &amp; Light Company.</w:t>
            </w:r>
            <w:bookmarkEnd w:id="3"/>
          </w:p>
        </w:tc>
      </w:tr>
      <w:tr w:rsidR="007C0528" w:rsidRPr="00D64135">
        <w:tc>
          <w:tcPr>
            <w:tcW w:w="1254" w:type="dxa"/>
            <w:tcBorders>
              <w:top w:val="nil"/>
              <w:left w:val="nil"/>
              <w:bottom w:val="nil"/>
              <w:right w:val="nil"/>
            </w:tcBorders>
            <w:shd w:val="clear" w:color="auto" w:fill="auto"/>
            <w:tcMar>
              <w:top w:w="288" w:type="dxa"/>
              <w:bottom w:w="0" w:type="dxa"/>
              <w:right w:w="0" w:type="dxa"/>
            </w:tcMar>
          </w:tcPr>
          <w:p w:rsidR="007C0528" w:rsidRPr="00D64135" w:rsidRDefault="007C0528">
            <w:pPr>
              <w:pStyle w:val="MemoHeading"/>
              <w:rPr>
                <w:b/>
              </w:rPr>
            </w:pPr>
            <w:r w:rsidRPr="00D64135">
              <w:rPr>
                <w:b/>
              </w:rPr>
              <w:t>AGENDA:</w:t>
            </w:r>
          </w:p>
        </w:tc>
        <w:tc>
          <w:tcPr>
            <w:tcW w:w="8221" w:type="dxa"/>
            <w:gridSpan w:val="3"/>
            <w:tcBorders>
              <w:top w:val="nil"/>
              <w:left w:val="nil"/>
              <w:bottom w:val="nil"/>
              <w:right w:val="nil"/>
            </w:tcBorders>
            <w:shd w:val="clear" w:color="auto" w:fill="auto"/>
            <w:tcMar>
              <w:top w:w="288" w:type="dxa"/>
            </w:tcMar>
          </w:tcPr>
          <w:p w:rsidR="007C0528" w:rsidRPr="00D64135" w:rsidRDefault="00534F4B">
            <w:pPr>
              <w:pStyle w:val="MemoHeading"/>
            </w:pPr>
            <w:bookmarkStart w:id="4" w:name="AgendaDate"/>
            <w:r w:rsidRPr="00D64135">
              <w:t>04/09/13</w:t>
            </w:r>
            <w:bookmarkEnd w:id="4"/>
            <w:r w:rsidR="007C0528" w:rsidRPr="00D64135">
              <w:t xml:space="preserve"> – </w:t>
            </w:r>
            <w:bookmarkStart w:id="5" w:name="PermittedStatus"/>
            <w:r w:rsidRPr="00D64135">
              <w:t>Regular Agenda – Proposed Agency Action – Interested Persons May Participate</w:t>
            </w:r>
            <w:bookmarkEnd w:id="5"/>
          </w:p>
        </w:tc>
      </w:tr>
      <w:tr w:rsidR="007C0528" w:rsidRPr="00D64135">
        <w:tc>
          <w:tcPr>
            <w:tcW w:w="3690" w:type="dxa"/>
            <w:gridSpan w:val="3"/>
            <w:tcBorders>
              <w:top w:val="nil"/>
              <w:left w:val="nil"/>
              <w:bottom w:val="nil"/>
              <w:right w:val="nil"/>
            </w:tcBorders>
            <w:shd w:val="clear" w:color="auto" w:fill="auto"/>
            <w:tcMar>
              <w:top w:w="288" w:type="dxa"/>
              <w:bottom w:w="0" w:type="dxa"/>
              <w:right w:w="0" w:type="dxa"/>
            </w:tcMar>
          </w:tcPr>
          <w:p w:rsidR="007C0528" w:rsidRPr="00D64135" w:rsidRDefault="007C0528">
            <w:pPr>
              <w:pStyle w:val="MemoHeading"/>
              <w:rPr>
                <w:b/>
              </w:rPr>
            </w:pPr>
            <w:r w:rsidRPr="00D64135">
              <w:rPr>
                <w:b/>
              </w:rPr>
              <w:t>COMMISSIONERS ASSIGNED:</w:t>
            </w:r>
          </w:p>
        </w:tc>
        <w:tc>
          <w:tcPr>
            <w:tcW w:w="5785" w:type="dxa"/>
            <w:tcBorders>
              <w:top w:val="nil"/>
              <w:left w:val="nil"/>
              <w:bottom w:val="nil"/>
              <w:right w:val="nil"/>
            </w:tcBorders>
            <w:shd w:val="clear" w:color="auto" w:fill="auto"/>
          </w:tcPr>
          <w:p w:rsidR="007C0528" w:rsidRPr="00D64135" w:rsidRDefault="00534F4B">
            <w:pPr>
              <w:pStyle w:val="MemoHeading"/>
            </w:pPr>
            <w:bookmarkStart w:id="6" w:name="CommissionersAssigned"/>
            <w:r w:rsidRPr="00D64135">
              <w:t>All Commissioners</w:t>
            </w:r>
            <w:bookmarkEnd w:id="6"/>
          </w:p>
        </w:tc>
      </w:tr>
      <w:tr w:rsidR="007C0528" w:rsidRPr="00D64135">
        <w:tc>
          <w:tcPr>
            <w:tcW w:w="3690" w:type="dxa"/>
            <w:gridSpan w:val="3"/>
            <w:tcBorders>
              <w:top w:val="nil"/>
              <w:left w:val="nil"/>
              <w:bottom w:val="nil"/>
              <w:right w:val="nil"/>
            </w:tcBorders>
            <w:shd w:val="clear" w:color="auto" w:fill="auto"/>
            <w:tcMar>
              <w:top w:w="288" w:type="dxa"/>
              <w:bottom w:w="0" w:type="dxa"/>
              <w:right w:w="0" w:type="dxa"/>
            </w:tcMar>
          </w:tcPr>
          <w:p w:rsidR="007C0528" w:rsidRPr="00D64135" w:rsidRDefault="007C0528">
            <w:pPr>
              <w:pStyle w:val="MemoHeading"/>
              <w:rPr>
                <w:b/>
              </w:rPr>
            </w:pPr>
            <w:r w:rsidRPr="00D64135">
              <w:rPr>
                <w:b/>
              </w:rPr>
              <w:t>PREHEARING OFFICER:</w:t>
            </w:r>
          </w:p>
        </w:tc>
        <w:tc>
          <w:tcPr>
            <w:tcW w:w="5785" w:type="dxa"/>
            <w:tcBorders>
              <w:top w:val="nil"/>
              <w:left w:val="nil"/>
              <w:bottom w:val="nil"/>
              <w:right w:val="nil"/>
            </w:tcBorders>
            <w:shd w:val="clear" w:color="auto" w:fill="auto"/>
          </w:tcPr>
          <w:p w:rsidR="007C0528" w:rsidRPr="00D64135" w:rsidRDefault="00534F4B">
            <w:pPr>
              <w:pStyle w:val="MemoHeading"/>
            </w:pPr>
            <w:bookmarkStart w:id="7" w:name="PrehearingOfficer"/>
            <w:r w:rsidRPr="00D64135">
              <w:t>Edgar</w:t>
            </w:r>
            <w:bookmarkEnd w:id="7"/>
          </w:p>
        </w:tc>
      </w:tr>
      <w:tr w:rsidR="007C0528" w:rsidRPr="00D64135">
        <w:tc>
          <w:tcPr>
            <w:tcW w:w="3690" w:type="dxa"/>
            <w:gridSpan w:val="3"/>
            <w:tcBorders>
              <w:top w:val="nil"/>
              <w:left w:val="nil"/>
              <w:bottom w:val="nil"/>
              <w:right w:val="nil"/>
            </w:tcBorders>
            <w:shd w:val="clear" w:color="auto" w:fill="auto"/>
            <w:tcMar>
              <w:top w:w="288" w:type="dxa"/>
              <w:bottom w:w="0" w:type="dxa"/>
              <w:right w:w="0" w:type="dxa"/>
            </w:tcMar>
          </w:tcPr>
          <w:p w:rsidR="007C0528" w:rsidRPr="00D64135" w:rsidRDefault="007C0528">
            <w:pPr>
              <w:pStyle w:val="MemoHeading"/>
              <w:rPr>
                <w:b/>
              </w:rPr>
            </w:pPr>
            <w:bookmarkStart w:id="8" w:name="CriticalDatesLabel"/>
            <w:r w:rsidRPr="00D64135">
              <w:rPr>
                <w:b/>
              </w:rPr>
              <w:t>CRITICAL DATES:</w:t>
            </w:r>
            <w:bookmarkEnd w:id="8"/>
          </w:p>
        </w:tc>
        <w:tc>
          <w:tcPr>
            <w:tcW w:w="5785" w:type="dxa"/>
            <w:tcBorders>
              <w:top w:val="nil"/>
              <w:left w:val="nil"/>
              <w:bottom w:val="nil"/>
              <w:right w:val="nil"/>
            </w:tcBorders>
            <w:shd w:val="clear" w:color="auto" w:fill="auto"/>
          </w:tcPr>
          <w:p w:rsidR="007C0528" w:rsidRPr="00D64135" w:rsidRDefault="00534F4B">
            <w:pPr>
              <w:pStyle w:val="MemoHeading"/>
            </w:pPr>
            <w:bookmarkStart w:id="9" w:name="CriticalDates"/>
            <w:r w:rsidRPr="00D64135">
              <w:t>None</w:t>
            </w:r>
            <w:bookmarkEnd w:id="9"/>
          </w:p>
        </w:tc>
      </w:tr>
      <w:tr w:rsidR="007C0528" w:rsidRPr="00D64135">
        <w:tc>
          <w:tcPr>
            <w:tcW w:w="3690" w:type="dxa"/>
            <w:gridSpan w:val="3"/>
            <w:tcBorders>
              <w:top w:val="nil"/>
              <w:left w:val="nil"/>
              <w:bottom w:val="nil"/>
              <w:right w:val="nil"/>
            </w:tcBorders>
            <w:shd w:val="clear" w:color="auto" w:fill="auto"/>
            <w:tcMar>
              <w:top w:w="288" w:type="dxa"/>
              <w:right w:w="0" w:type="dxa"/>
            </w:tcMar>
          </w:tcPr>
          <w:p w:rsidR="007C0528" w:rsidRPr="00D64135" w:rsidRDefault="007C0528">
            <w:pPr>
              <w:pStyle w:val="MemoHeading"/>
              <w:rPr>
                <w:b/>
              </w:rPr>
            </w:pPr>
            <w:r w:rsidRPr="00D64135">
              <w:rPr>
                <w:b/>
              </w:rPr>
              <w:t>SPECIAL INSTRUCTIONS:</w:t>
            </w:r>
          </w:p>
        </w:tc>
        <w:tc>
          <w:tcPr>
            <w:tcW w:w="5785" w:type="dxa"/>
            <w:tcBorders>
              <w:top w:val="nil"/>
              <w:left w:val="nil"/>
              <w:bottom w:val="nil"/>
              <w:right w:val="nil"/>
            </w:tcBorders>
            <w:shd w:val="clear" w:color="auto" w:fill="auto"/>
          </w:tcPr>
          <w:p w:rsidR="007C0528" w:rsidRPr="00D64135" w:rsidRDefault="00534F4B">
            <w:pPr>
              <w:pStyle w:val="MemoHeading"/>
            </w:pPr>
            <w:bookmarkStart w:id="10" w:name="SpecialInstructions"/>
            <w:r w:rsidRPr="00D64135">
              <w:t>None</w:t>
            </w:r>
            <w:bookmarkEnd w:id="10"/>
          </w:p>
        </w:tc>
      </w:tr>
      <w:tr w:rsidR="007C0528" w:rsidRPr="00D64135">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D64135" w:rsidRDefault="007C0528">
            <w:pPr>
              <w:pStyle w:val="MemoHeading"/>
              <w:rPr>
                <w:b/>
              </w:rPr>
            </w:pPr>
            <w:r w:rsidRPr="00D64135">
              <w:rPr>
                <w:b/>
              </w:rPr>
              <w:t>FILE NAME AND LOCATION:</w:t>
            </w:r>
          </w:p>
        </w:tc>
        <w:tc>
          <w:tcPr>
            <w:tcW w:w="5785" w:type="dxa"/>
            <w:tcBorders>
              <w:top w:val="nil"/>
              <w:left w:val="nil"/>
              <w:bottom w:val="single" w:sz="24" w:space="0" w:color="auto"/>
              <w:right w:val="nil"/>
            </w:tcBorders>
            <w:shd w:val="clear" w:color="auto" w:fill="auto"/>
          </w:tcPr>
          <w:p w:rsidR="007C0528" w:rsidRPr="00D64135" w:rsidRDefault="00534F4B">
            <w:pPr>
              <w:pStyle w:val="MemoHeading"/>
            </w:pPr>
            <w:bookmarkStart w:id="11" w:name="Filename"/>
            <w:r w:rsidRPr="00D64135">
              <w:t>S:\PSC\ENG\WP\120314.RCM.DOC</w:t>
            </w:r>
            <w:bookmarkEnd w:id="11"/>
          </w:p>
        </w:tc>
      </w:tr>
    </w:tbl>
    <w:p w:rsidR="007C0528" w:rsidRPr="00D64135" w:rsidRDefault="007C0528">
      <w:pPr>
        <w:pStyle w:val="BodyText"/>
      </w:pPr>
    </w:p>
    <w:p w:rsidR="007C0528" w:rsidRPr="00D64135" w:rsidRDefault="007C0528">
      <w:pPr>
        <w:pStyle w:val="RecommendationMajorSectionHeading"/>
      </w:pPr>
      <w:bookmarkStart w:id="12" w:name="RecToC"/>
      <w:bookmarkEnd w:id="12"/>
      <w:r w:rsidRPr="00D64135">
        <w:rPr>
          <w:u w:val="none"/>
        </w:rPr>
        <w:t xml:space="preserve"> </w:t>
      </w:r>
      <w:bookmarkStart w:id="13" w:name="CaseBackground"/>
      <w:r w:rsidRPr="00D64135">
        <w:t>Case Background</w:t>
      </w:r>
      <w:r w:rsidRPr="00D64135">
        <w:fldChar w:fldCharType="begin"/>
      </w:r>
      <w:r w:rsidRPr="00D64135">
        <w:instrText xml:space="preserve"> TC  "</w:instrText>
      </w:r>
      <w:r w:rsidRPr="00D64135">
        <w:tab/>
      </w:r>
      <w:bookmarkStart w:id="14" w:name="_Toc94516455"/>
      <w:r w:rsidRPr="00D64135">
        <w:instrText>Case Background</w:instrText>
      </w:r>
      <w:bookmarkEnd w:id="14"/>
      <w:r w:rsidRPr="00D64135">
        <w:instrText xml:space="preserve">" \l 1 </w:instrText>
      </w:r>
      <w:r w:rsidRPr="00D64135">
        <w:fldChar w:fldCharType="end"/>
      </w:r>
    </w:p>
    <w:p w:rsidR="007C0528" w:rsidRPr="00D64135" w:rsidRDefault="003523B5">
      <w:pPr>
        <w:pStyle w:val="BodyText"/>
      </w:pPr>
      <w:r w:rsidRPr="00D64135">
        <w:t>On December 18, 2012, Florida Power &amp; Light Company (FPL) filed a petition requesting approval of three negotiated contracts for the purchase of firm capacity and energy (</w:t>
      </w:r>
      <w:r w:rsidR="00303832" w:rsidRPr="00D64135">
        <w:t xml:space="preserve">collectively, the </w:t>
      </w:r>
      <w:r w:rsidR="0064486E" w:rsidRPr="00D64135">
        <w:t>C</w:t>
      </w:r>
      <w:r w:rsidR="009049C3" w:rsidRPr="00D64135">
        <w:t>ontracts</w:t>
      </w:r>
      <w:r w:rsidRPr="00D64135">
        <w:t>) between three subsidiaries of U.S. EcoGen, LLC</w:t>
      </w:r>
      <w:r w:rsidR="00F82251" w:rsidRPr="00D64135">
        <w:t xml:space="preserve"> (US EcoGen)</w:t>
      </w:r>
      <w:r w:rsidRPr="00D64135">
        <w:t xml:space="preserve"> and FPL.  The subsidiaries are U.S. EcoGen Okeechobee, LLC, U.S. EcoGen Clay, LLC, and U.S. EcoGen Martin, LLC.  The </w:t>
      </w:r>
      <w:r w:rsidR="006345FF" w:rsidRPr="00D64135">
        <w:t>C</w:t>
      </w:r>
      <w:r w:rsidRPr="00D64135">
        <w:t>ontracts are based upon each subsidiary constructing, owning, and operating a biomass electric generating facility (</w:t>
      </w:r>
      <w:r w:rsidR="00303832" w:rsidRPr="00D64135">
        <w:t xml:space="preserve">collectively, the </w:t>
      </w:r>
      <w:r w:rsidR="00125FBB" w:rsidRPr="00D64135">
        <w:t xml:space="preserve">US EcoGen </w:t>
      </w:r>
      <w:r w:rsidRPr="00D64135">
        <w:t>Facilit</w:t>
      </w:r>
      <w:r w:rsidR="00303832" w:rsidRPr="00D64135">
        <w:t>ies)</w:t>
      </w:r>
      <w:r w:rsidRPr="00D64135">
        <w:t xml:space="preserve"> with an in-service date by </w:t>
      </w:r>
      <w:r w:rsidR="00B56B47" w:rsidRPr="00D64135">
        <w:t>June</w:t>
      </w:r>
      <w:r w:rsidRPr="00D64135">
        <w:t xml:space="preserve"> 1, 2019, in Okeechobee, Clay, and Martin counties, respectively.  </w:t>
      </w:r>
      <w:r w:rsidR="00125FBB" w:rsidRPr="00D64135">
        <w:t xml:space="preserve">The </w:t>
      </w:r>
      <w:r w:rsidR="00907BDC" w:rsidRPr="00D64135">
        <w:lastRenderedPageBreak/>
        <w:t>Contracts</w:t>
      </w:r>
      <w:r w:rsidR="00125FBB" w:rsidRPr="00D64135">
        <w:t xml:space="preserve"> propose</w:t>
      </w:r>
      <w:r w:rsidR="00E2483F" w:rsidRPr="00D64135">
        <w:t xml:space="preserve"> to</w:t>
      </w:r>
      <w:r w:rsidRPr="00D64135">
        <w:t xml:space="preserve"> </w:t>
      </w:r>
      <w:r w:rsidR="00E2483F" w:rsidRPr="00D64135">
        <w:t>sell</w:t>
      </w:r>
      <w:r w:rsidRPr="00D64135">
        <w:t xml:space="preserve"> 60 megawatts (MW) of firm capacity and associated energy from each</w:t>
      </w:r>
      <w:r w:rsidR="00E2483F" w:rsidRPr="00D64135">
        <w:t xml:space="preserve"> US EcoGen</w:t>
      </w:r>
      <w:r w:rsidRPr="00D64135">
        <w:t xml:space="preserve"> </w:t>
      </w:r>
      <w:r w:rsidR="00E2483F" w:rsidRPr="00D64135">
        <w:t>F</w:t>
      </w:r>
      <w:r w:rsidRPr="00D64135">
        <w:t>acility for a tota</w:t>
      </w:r>
      <w:r w:rsidR="009A0CAA" w:rsidRPr="00D64135">
        <w:t>l contract term of 30</w:t>
      </w:r>
      <w:r w:rsidR="00024013" w:rsidRPr="00D64135">
        <w:t xml:space="preserve"> </w:t>
      </w:r>
      <w:r w:rsidR="009A0CAA" w:rsidRPr="00D64135">
        <w:t>years</w:t>
      </w:r>
      <w:r w:rsidRPr="00D64135">
        <w:t>.</w:t>
      </w:r>
    </w:p>
    <w:p w:rsidR="003523B5" w:rsidRPr="00D64135" w:rsidRDefault="0063679D">
      <w:pPr>
        <w:pStyle w:val="BodyText"/>
      </w:pPr>
      <w:r w:rsidRPr="00D64135">
        <w:t xml:space="preserve">The </w:t>
      </w:r>
      <w:r w:rsidR="009D434C" w:rsidRPr="00D64135">
        <w:t xml:space="preserve">three US </w:t>
      </w:r>
      <w:r w:rsidRPr="00D64135">
        <w:t>EcoGen Facilities w</w:t>
      </w:r>
      <w:r w:rsidR="00B05078" w:rsidRPr="00D64135">
        <w:t>ould</w:t>
      </w:r>
      <w:r w:rsidR="009D434C" w:rsidRPr="00D64135">
        <w:t xml:space="preserve"> each</w:t>
      </w:r>
      <w:r w:rsidRPr="00D64135">
        <w:t xml:space="preserve"> use a bubbling bed fluidized boiler with biomass fuel.  Fuel procurement is based on a closed loop biomass system, with dedicated energy crops grown on farmland owned or leased by each U</w:t>
      </w:r>
      <w:r w:rsidR="00534D93" w:rsidRPr="00D64135">
        <w:t>.</w:t>
      </w:r>
      <w:r w:rsidRPr="00D64135">
        <w:t>S</w:t>
      </w:r>
      <w:r w:rsidR="00534D93" w:rsidRPr="00D64135">
        <w:t>.</w:t>
      </w:r>
      <w:r w:rsidRPr="00D64135">
        <w:t xml:space="preserve"> EcoGen subsidiary.  Eucalyptus is anticipated to be the primary energy crop.  The </w:t>
      </w:r>
      <w:r w:rsidR="00F82251" w:rsidRPr="00D64135">
        <w:t xml:space="preserve">US EcoGen </w:t>
      </w:r>
      <w:r w:rsidRPr="00D64135">
        <w:t xml:space="preserve">Facilities are planned to run at a capacity factor of 90 percent, resulting in </w:t>
      </w:r>
      <w:r w:rsidR="007144E8" w:rsidRPr="00D64135">
        <w:t>473,040</w:t>
      </w:r>
      <w:r w:rsidRPr="00D64135">
        <w:t xml:space="preserve"> Megawatt-hours (MWh) </w:t>
      </w:r>
      <w:r w:rsidR="007144E8" w:rsidRPr="00D64135">
        <w:t xml:space="preserve">of </w:t>
      </w:r>
      <w:r w:rsidR="00A42221" w:rsidRPr="00D64135">
        <w:t xml:space="preserve">annual </w:t>
      </w:r>
      <w:r w:rsidR="007144E8" w:rsidRPr="00D64135">
        <w:t>production each, or 1,419,120</w:t>
      </w:r>
      <w:r w:rsidRPr="00D64135">
        <w:t xml:space="preserve"> MWh </w:t>
      </w:r>
      <w:r w:rsidR="00232CC8" w:rsidRPr="00D64135">
        <w:t>collectively</w:t>
      </w:r>
      <w:r w:rsidRPr="00D64135">
        <w:t>.  FPL and US</w:t>
      </w:r>
      <w:r w:rsidR="00890644" w:rsidRPr="00D64135">
        <w:t xml:space="preserve"> EcoGen estimate</w:t>
      </w:r>
      <w:r w:rsidRPr="00D64135">
        <w:t xml:space="preserve"> that</w:t>
      </w:r>
      <w:r w:rsidR="00890644" w:rsidRPr="00D64135">
        <w:t xml:space="preserve"> each US EcoGen Facility </w:t>
      </w:r>
      <w:r w:rsidR="00A21573" w:rsidRPr="00D64135">
        <w:t xml:space="preserve">would </w:t>
      </w:r>
      <w:r w:rsidR="00890644" w:rsidRPr="00D64135">
        <w:t>ge</w:t>
      </w:r>
      <w:r w:rsidR="00A21573" w:rsidRPr="00D64135">
        <w:t>nerate</w:t>
      </w:r>
      <w:r w:rsidR="00232CC8" w:rsidRPr="00D64135">
        <w:t xml:space="preserve"> </w:t>
      </w:r>
      <w:r w:rsidR="00890644" w:rsidRPr="00D64135">
        <w:t>141</w:t>
      </w:r>
      <w:r w:rsidR="00232CC8" w:rsidRPr="00D64135">
        <w:t xml:space="preserve"> direct and indirect</w:t>
      </w:r>
      <w:r w:rsidR="00890644" w:rsidRPr="00D64135">
        <w:t xml:space="preserve"> jobs</w:t>
      </w:r>
      <w:r w:rsidRPr="00D64135">
        <w:t xml:space="preserve"> from the operation of the</w:t>
      </w:r>
      <w:r w:rsidR="00E16193" w:rsidRPr="00D64135">
        <w:t xml:space="preserve"> Facilities and associated fuel procurement.</w:t>
      </w:r>
    </w:p>
    <w:p w:rsidR="003523B5" w:rsidRPr="00D64135" w:rsidRDefault="003523B5" w:rsidP="003523B5">
      <w:pPr>
        <w:pStyle w:val="BodyText"/>
      </w:pPr>
      <w:r w:rsidRPr="00D64135">
        <w:t>On February 8, 2013, the Florida Industrial Power Users Group (FIPUG) filed a petition to intervene in the docket.</w:t>
      </w:r>
      <w:r w:rsidR="007144E8" w:rsidRPr="00D64135">
        <w:t xml:space="preserve">  The Commission granted intervention to FIPUG on February 27, 2013</w:t>
      </w:r>
      <w:r w:rsidR="00187084" w:rsidRPr="00D64135">
        <w:t>.</w:t>
      </w:r>
      <w:r w:rsidR="007144E8" w:rsidRPr="00D64135">
        <w:rPr>
          <w:rStyle w:val="FootnoteReference"/>
        </w:rPr>
        <w:footnoteReference w:id="1"/>
      </w:r>
    </w:p>
    <w:p w:rsidR="003523B5" w:rsidRPr="00D64135" w:rsidRDefault="003523B5" w:rsidP="003523B5">
      <w:pPr>
        <w:pStyle w:val="BodyText"/>
      </w:pPr>
      <w:r w:rsidRPr="00D64135">
        <w:t>The Commission has jurisdiction over this matter pursuant to Sections 366.051, 366.91, and 366.92, Florida Statutes (F.S.).</w:t>
      </w:r>
    </w:p>
    <w:p w:rsidR="003523B5" w:rsidRPr="00D64135" w:rsidRDefault="003523B5">
      <w:pPr>
        <w:pStyle w:val="BodyText"/>
      </w:pPr>
    </w:p>
    <w:p w:rsidR="007C0528" w:rsidRPr="00D64135" w:rsidRDefault="007C0528">
      <w:pPr>
        <w:pStyle w:val="RecommendationMajorSectionHeading"/>
      </w:pPr>
      <w:r w:rsidRPr="00D64135">
        <w:br w:type="page"/>
      </w:r>
      <w:bookmarkStart w:id="15" w:name="DiscussionOfIssues"/>
      <w:bookmarkEnd w:id="13"/>
      <w:r w:rsidRPr="00D64135">
        <w:lastRenderedPageBreak/>
        <w:t>Discussion of Issues</w:t>
      </w:r>
    </w:p>
    <w:bookmarkEnd w:id="15"/>
    <w:p w:rsidR="00534F4B" w:rsidRPr="00D64135" w:rsidRDefault="00534F4B">
      <w:pPr>
        <w:pStyle w:val="IssueHeading"/>
        <w:rPr>
          <w:vanish/>
          <w:specVanish/>
        </w:rPr>
      </w:pPr>
      <w:r w:rsidRPr="00D64135">
        <w:rPr>
          <w:b/>
          <w:u w:val="single"/>
        </w:rPr>
        <w:t xml:space="preserve">Issue </w:t>
      </w:r>
      <w:r w:rsidRPr="00D64135">
        <w:rPr>
          <w:b/>
          <w:u w:val="single"/>
        </w:rPr>
        <w:fldChar w:fldCharType="begin"/>
      </w:r>
      <w:r w:rsidRPr="00D64135">
        <w:rPr>
          <w:b/>
          <w:u w:val="single"/>
        </w:rPr>
        <w:instrText xml:space="preserve"> SEQ Issue \* MERGEFORMAT </w:instrText>
      </w:r>
      <w:r w:rsidRPr="00D64135">
        <w:rPr>
          <w:b/>
          <w:u w:val="single"/>
        </w:rPr>
        <w:fldChar w:fldCharType="separate"/>
      </w:r>
      <w:r w:rsidR="000E3E38">
        <w:rPr>
          <w:b/>
          <w:noProof/>
          <w:u w:val="single"/>
        </w:rPr>
        <w:t>1</w:t>
      </w:r>
      <w:r w:rsidRPr="00D64135">
        <w:rPr>
          <w:b/>
          <w:u w:val="single"/>
        </w:rPr>
        <w:fldChar w:fldCharType="end"/>
      </w:r>
      <w:r w:rsidRPr="00D64135">
        <w:t>:</w:t>
      </w:r>
      <w:r w:rsidRPr="00D64135">
        <w:fldChar w:fldCharType="begin"/>
      </w:r>
      <w:r w:rsidRPr="00D64135">
        <w:instrText xml:space="preserve"> TC "</w:instrText>
      </w:r>
      <w:r w:rsidRPr="00D64135">
        <w:fldChar w:fldCharType="begin"/>
      </w:r>
      <w:r w:rsidRPr="00D64135">
        <w:instrText xml:space="preserve"> SEQ issue \c </w:instrText>
      </w:r>
      <w:r w:rsidRPr="00D64135">
        <w:fldChar w:fldCharType="separate"/>
      </w:r>
      <w:r w:rsidR="000E3E38">
        <w:rPr>
          <w:noProof/>
        </w:rPr>
        <w:instrText>1</w:instrText>
      </w:r>
      <w:r w:rsidRPr="00D64135">
        <w:fldChar w:fldCharType="end"/>
      </w:r>
      <w:r w:rsidRPr="00D64135">
        <w:tab/>
        <w:instrText xml:space="preserve">" \l 1 </w:instrText>
      </w:r>
      <w:r w:rsidRPr="00D64135">
        <w:fldChar w:fldCharType="end"/>
      </w:r>
      <w:r w:rsidRPr="00D64135">
        <w:t> </w:t>
      </w:r>
    </w:p>
    <w:p w:rsidR="00534F4B" w:rsidRPr="00D64135" w:rsidRDefault="00534F4B">
      <w:pPr>
        <w:pStyle w:val="BodyText"/>
      </w:pPr>
      <w:r w:rsidRPr="00D64135">
        <w:t> </w:t>
      </w:r>
      <w:r w:rsidR="003523B5" w:rsidRPr="00D64135">
        <w:t xml:space="preserve">Should the Commission approve for cost recovery the negotiated purchased power agreements between </w:t>
      </w:r>
      <w:r w:rsidR="004202CC" w:rsidRPr="00D64135">
        <w:t xml:space="preserve">the </w:t>
      </w:r>
      <w:r w:rsidR="003523B5" w:rsidRPr="00D64135">
        <w:t xml:space="preserve">US EcoGen </w:t>
      </w:r>
      <w:r w:rsidR="004202CC" w:rsidRPr="00D64135">
        <w:t>Facilities</w:t>
      </w:r>
      <w:r w:rsidR="003523B5" w:rsidRPr="00D64135">
        <w:t xml:space="preserve"> and F</w:t>
      </w:r>
      <w:r w:rsidR="00C41CBA" w:rsidRPr="00D64135">
        <w:t>PL</w:t>
      </w:r>
      <w:r w:rsidR="003523B5" w:rsidRPr="00D64135">
        <w:t>?</w:t>
      </w:r>
    </w:p>
    <w:p w:rsidR="00534F4B" w:rsidRPr="00D64135" w:rsidRDefault="00534F4B">
      <w:pPr>
        <w:pStyle w:val="IssueSubsectionHeading"/>
        <w:rPr>
          <w:vanish/>
          <w:specVanish/>
        </w:rPr>
      </w:pPr>
      <w:r w:rsidRPr="00D64135">
        <w:rPr>
          <w:b/>
          <w:u w:val="single"/>
        </w:rPr>
        <w:t>Recommendation</w:t>
      </w:r>
      <w:r w:rsidRPr="00D64135">
        <w:t>: </w:t>
      </w:r>
    </w:p>
    <w:p w:rsidR="00534F4B" w:rsidRPr="00D64135" w:rsidRDefault="00534F4B">
      <w:pPr>
        <w:pStyle w:val="BodyText"/>
      </w:pPr>
      <w:r w:rsidRPr="00D64135">
        <w:t> </w:t>
      </w:r>
      <w:r w:rsidR="001A4E4A" w:rsidRPr="00D64135">
        <w:t xml:space="preserve">Yes.  The </w:t>
      </w:r>
      <w:r w:rsidR="00907BDC" w:rsidRPr="00D64135">
        <w:t>Contracts</w:t>
      </w:r>
      <w:r w:rsidR="001A4E4A" w:rsidRPr="00D64135">
        <w:t xml:space="preserve"> between </w:t>
      </w:r>
      <w:r w:rsidR="00E83DFC" w:rsidRPr="00D64135">
        <w:t>the US EcoGen Facilities</w:t>
      </w:r>
      <w:r w:rsidR="00E2587C" w:rsidRPr="00D64135">
        <w:t xml:space="preserve"> and FPL</w:t>
      </w:r>
      <w:r w:rsidR="001A4E4A" w:rsidRPr="00D64135">
        <w:t xml:space="preserve"> provide for renewable generation that meets all requirements of the Commission’s Rules.  The </w:t>
      </w:r>
      <w:r w:rsidR="00907BDC" w:rsidRPr="00D64135">
        <w:t>Contracts</w:t>
      </w:r>
      <w:r w:rsidR="001A4E4A" w:rsidRPr="00D64135">
        <w:t xml:space="preserve"> are estimated to produce a savings of $89.4 million</w:t>
      </w:r>
      <w:r w:rsidR="00F308E7" w:rsidRPr="00D64135">
        <w:t xml:space="preserve"> in net present value</w:t>
      </w:r>
      <w:r w:rsidR="001A4E4A" w:rsidRPr="00D64135">
        <w:t xml:space="preserve"> over the term of the </w:t>
      </w:r>
      <w:r w:rsidR="00907BDC" w:rsidRPr="00D64135">
        <w:t>Contracts</w:t>
      </w:r>
      <w:r w:rsidR="001A4E4A" w:rsidRPr="00D64135">
        <w:t>.  The</w:t>
      </w:r>
      <w:r w:rsidR="00F308E7" w:rsidRPr="00D64135">
        <w:t xml:space="preserve"> </w:t>
      </w:r>
      <w:r w:rsidR="00907BDC" w:rsidRPr="00D64135">
        <w:t>Contracts</w:t>
      </w:r>
      <w:r w:rsidR="00F308E7" w:rsidRPr="00D64135">
        <w:t xml:space="preserve"> include adequate security for early capacity payments and performance guarantees</w:t>
      </w:r>
      <w:r w:rsidR="001A4E4A" w:rsidRPr="00D64135">
        <w:t xml:space="preserve"> </w:t>
      </w:r>
      <w:r w:rsidR="00F308E7" w:rsidRPr="00D64135">
        <w:t>to</w:t>
      </w:r>
      <w:r w:rsidR="001A4E4A" w:rsidRPr="00D64135">
        <w:t xml:space="preserve"> protect ratepayers in the event of a default.</w:t>
      </w:r>
      <w:r w:rsidRPr="00D64135">
        <w:t xml:space="preserve">  (Ellis, Lee, Ollila)</w:t>
      </w:r>
    </w:p>
    <w:p w:rsidR="00534F4B" w:rsidRPr="00D64135" w:rsidRDefault="00534F4B">
      <w:pPr>
        <w:pStyle w:val="IssueSubsectionHeading"/>
        <w:rPr>
          <w:vanish/>
          <w:specVanish/>
        </w:rPr>
      </w:pPr>
      <w:r w:rsidRPr="00D64135">
        <w:rPr>
          <w:b/>
          <w:u w:val="single"/>
        </w:rPr>
        <w:t>Staff Analysis</w:t>
      </w:r>
      <w:r w:rsidRPr="00D64135">
        <w:t>: </w:t>
      </w:r>
    </w:p>
    <w:p w:rsidR="00606AC5" w:rsidRPr="00D64135" w:rsidRDefault="00534F4B" w:rsidP="0003143E">
      <w:pPr>
        <w:pStyle w:val="BodyText"/>
      </w:pPr>
      <w:r w:rsidRPr="00D64135">
        <w:t> </w:t>
      </w:r>
      <w:r w:rsidR="0003143E" w:rsidRPr="00D64135">
        <w:t>US EcoGen proposes to sell a total of 180 MW of firm capacity and energy from three subsidiaries; U</w:t>
      </w:r>
      <w:r w:rsidR="007D7B24">
        <w:t>.</w:t>
      </w:r>
      <w:r w:rsidR="0003143E" w:rsidRPr="00D64135">
        <w:t>S</w:t>
      </w:r>
      <w:r w:rsidR="007D7B24">
        <w:t>.</w:t>
      </w:r>
      <w:r w:rsidR="0003143E" w:rsidRPr="00D64135">
        <w:t xml:space="preserve"> EcoGen Okeechobee</w:t>
      </w:r>
      <w:r w:rsidR="007D7B24">
        <w:t>,</w:t>
      </w:r>
      <w:r w:rsidR="00471E03">
        <w:t xml:space="preserve"> LLC</w:t>
      </w:r>
      <w:r w:rsidR="0003143E" w:rsidRPr="00D64135">
        <w:t>, U</w:t>
      </w:r>
      <w:r w:rsidR="007D7B24">
        <w:t>.</w:t>
      </w:r>
      <w:r w:rsidR="0003143E" w:rsidRPr="00D64135">
        <w:t>S</w:t>
      </w:r>
      <w:r w:rsidR="007D7B24">
        <w:t>.</w:t>
      </w:r>
      <w:r w:rsidR="0003143E" w:rsidRPr="00D64135">
        <w:t xml:space="preserve"> EcoGen Clay</w:t>
      </w:r>
      <w:r w:rsidR="007D7B24">
        <w:t>,</w:t>
      </w:r>
      <w:r w:rsidR="00471E03">
        <w:t xml:space="preserve"> LLC</w:t>
      </w:r>
      <w:r w:rsidR="0003143E" w:rsidRPr="00D64135">
        <w:t>, and U</w:t>
      </w:r>
      <w:r w:rsidR="007D7B24">
        <w:t>.</w:t>
      </w:r>
      <w:r w:rsidR="0003143E" w:rsidRPr="00D64135">
        <w:t>S</w:t>
      </w:r>
      <w:r w:rsidR="007D7B24">
        <w:t>.</w:t>
      </w:r>
      <w:r w:rsidR="0003143E" w:rsidRPr="00D64135">
        <w:t xml:space="preserve"> EcoGen Martin</w:t>
      </w:r>
      <w:r w:rsidR="007D7B24">
        <w:t>,</w:t>
      </w:r>
      <w:r w:rsidR="00471E03">
        <w:t xml:space="preserve"> LLC</w:t>
      </w:r>
      <w:r w:rsidR="0003143E" w:rsidRPr="00D64135">
        <w:t xml:space="preserve">.  </w:t>
      </w:r>
      <w:r w:rsidR="004A4EB2" w:rsidRPr="00D64135">
        <w:t>Under the Contracts, the US EcoGen Facilities would begin</w:t>
      </w:r>
      <w:r w:rsidR="0003143E" w:rsidRPr="00D64135">
        <w:t xml:space="preserve"> delivery of non-firm energy in 2019, with firm capacity and energy delivered beginning in 2021 through 2049, for a total term of 30 years.  </w:t>
      </w:r>
      <w:r w:rsidR="00606AC5" w:rsidRPr="00D64135">
        <w:t xml:space="preserve">Rule 25-17.0832(3), Florida Administrative Code (F.A.C.), </w:t>
      </w:r>
      <w:r w:rsidR="00FB74F4" w:rsidRPr="00D64135">
        <w:t>provides</w:t>
      </w:r>
      <w:r w:rsidR="00606AC5" w:rsidRPr="00D64135">
        <w:t xml:space="preserve"> that in reviewing negotiated firm capacity and energy contracts for the purpose of cost recovery, the Commission shall consider factors relating to the contract that would impact the utility’s general body of retail and wholesale customers, including: need for power, the cost-effectiveness of the contract, security provisions for early payments, and performance guarantees associated with the </w:t>
      </w:r>
      <w:r w:rsidR="00D4682E" w:rsidRPr="00D64135">
        <w:t>renewable f</w:t>
      </w:r>
      <w:r w:rsidR="00606AC5" w:rsidRPr="00D64135">
        <w:t>acilit</w:t>
      </w:r>
      <w:r w:rsidR="00D4682E" w:rsidRPr="00D64135">
        <w:t>ies</w:t>
      </w:r>
      <w:r w:rsidR="00606AC5" w:rsidRPr="00D64135">
        <w:t>.  These factors are evaluated below.</w:t>
      </w:r>
    </w:p>
    <w:p w:rsidR="00805DCD" w:rsidRPr="00D64135" w:rsidRDefault="00805DCD" w:rsidP="00AB5953">
      <w:pPr>
        <w:pStyle w:val="BodyText"/>
        <w:keepNext/>
        <w:ind w:firstLine="0"/>
        <w:rPr>
          <w:b/>
        </w:rPr>
      </w:pPr>
      <w:r w:rsidRPr="00D64135">
        <w:rPr>
          <w:b/>
        </w:rPr>
        <w:t>Need for Power</w:t>
      </w:r>
    </w:p>
    <w:p w:rsidR="00807EF6" w:rsidRPr="00D64135" w:rsidRDefault="000B3BCB" w:rsidP="00807EF6">
      <w:pPr>
        <w:pStyle w:val="BodyText"/>
      </w:pPr>
      <w:r w:rsidRPr="00D64135">
        <w:t xml:space="preserve">FPL maintains a planning reserve margin of 20 percent pursuant to a stipulation </w:t>
      </w:r>
      <w:r w:rsidR="006345FF" w:rsidRPr="00D64135">
        <w:t>approved by the</w:t>
      </w:r>
      <w:r w:rsidRPr="00D64135">
        <w:t xml:space="preserve"> Commission.</w:t>
      </w:r>
      <w:r w:rsidRPr="00D64135">
        <w:rPr>
          <w:rStyle w:val="FootnoteReference"/>
        </w:rPr>
        <w:footnoteReference w:id="2"/>
      </w:r>
      <w:r w:rsidRPr="00D64135">
        <w:t xml:space="preserve">  </w:t>
      </w:r>
      <w:r w:rsidR="00A82452" w:rsidRPr="00D64135">
        <w:t xml:space="preserve">FPL’s next major generating additions are the Cape Canaveral </w:t>
      </w:r>
      <w:r w:rsidR="00AC7DEE" w:rsidRPr="00D64135">
        <w:t>M</w:t>
      </w:r>
      <w:r w:rsidR="00A82452" w:rsidRPr="00D64135">
        <w:t xml:space="preserve">odernization (1,210 MW) in 2013, the Riviera Modernization (1,212 MW) in 2014, </w:t>
      </w:r>
      <w:r w:rsidR="00AC7DEE" w:rsidRPr="00D64135">
        <w:t xml:space="preserve">and </w:t>
      </w:r>
      <w:r w:rsidR="00A82452" w:rsidRPr="00D64135">
        <w:t>the Port Everglades Modernization (1,277 MW) in 2016, followed by Turkey Point Units 6 and 7 (</w:t>
      </w:r>
      <w:r w:rsidR="006345FF" w:rsidRPr="00D64135">
        <w:t>1,100 MW each) in 2022 and 2023.</w:t>
      </w:r>
    </w:p>
    <w:p w:rsidR="00D4682E" w:rsidRPr="00D64135" w:rsidRDefault="00A82452" w:rsidP="00807EF6">
      <w:pPr>
        <w:pStyle w:val="BodyText"/>
      </w:pPr>
      <w:r w:rsidRPr="00D64135">
        <w:t xml:space="preserve">In order to maintain a </w:t>
      </w:r>
      <w:r w:rsidR="006345FF" w:rsidRPr="00D64135">
        <w:t>20 percen</w:t>
      </w:r>
      <w:r w:rsidR="004A4EB2" w:rsidRPr="00D64135">
        <w:t>t reserve margin, FPL identifies</w:t>
      </w:r>
      <w:r w:rsidR="006345FF" w:rsidRPr="00D64135">
        <w:t xml:space="preserve"> in its</w:t>
      </w:r>
      <w:r w:rsidRPr="00D64135">
        <w:t xml:space="preserve"> 2012 T</w:t>
      </w:r>
      <w:r w:rsidR="004A3DEB" w:rsidRPr="00D64135">
        <w:t>en-Year Site Plan (TYSP)</w:t>
      </w:r>
      <w:r w:rsidRPr="00D64135">
        <w:t xml:space="preserve"> a resource need </w:t>
      </w:r>
      <w:r w:rsidR="00AC7DEE" w:rsidRPr="00D64135">
        <w:t xml:space="preserve">of 250 MW </w:t>
      </w:r>
      <w:r w:rsidRPr="00D64135">
        <w:t xml:space="preserve">in 2021.  </w:t>
      </w:r>
      <w:r w:rsidR="006345FF" w:rsidRPr="00D64135">
        <w:t>FPL</w:t>
      </w:r>
      <w:r w:rsidR="00086E54" w:rsidRPr="00D64135">
        <w:t xml:space="preserve"> satisfied the planning reserve margin requirement by including </w:t>
      </w:r>
      <w:r w:rsidR="006345FF" w:rsidRPr="00D64135">
        <w:t xml:space="preserve">in the 2012 TYSP </w:t>
      </w:r>
      <w:r w:rsidR="00086E54" w:rsidRPr="00D64135">
        <w:t>the planning assumption that FPL w</w:t>
      </w:r>
      <w:r w:rsidR="00B05078" w:rsidRPr="00D64135">
        <w:t>ou</w:t>
      </w:r>
      <w:r w:rsidR="00086E54" w:rsidRPr="00D64135">
        <w:t>l</w:t>
      </w:r>
      <w:r w:rsidR="00B05078" w:rsidRPr="00D64135">
        <w:t>d</w:t>
      </w:r>
      <w:r w:rsidR="00086E54" w:rsidRPr="00D64135">
        <w:t xml:space="preserve"> enter into a one year term Purchased Power Agreement (PPA) for 250 MW in 2021.</w:t>
      </w:r>
      <w:r w:rsidR="00F347A2" w:rsidRPr="00D64135">
        <w:t xml:space="preserve">  </w:t>
      </w:r>
      <w:r w:rsidR="0099097E" w:rsidRPr="00D64135">
        <w:t>This PPA was also the basis of FPL’s 2012 standard offer contract</w:t>
      </w:r>
      <w:r w:rsidR="00D4682E" w:rsidRPr="00D64135">
        <w:t>.</w:t>
      </w:r>
      <w:r w:rsidR="00D4682E" w:rsidRPr="00D64135">
        <w:rPr>
          <w:rStyle w:val="FootnoteReference"/>
        </w:rPr>
        <w:footnoteReference w:id="3"/>
      </w:r>
      <w:r w:rsidR="00D4682E" w:rsidRPr="00D64135">
        <w:t xml:space="preserve">  </w:t>
      </w:r>
      <w:r w:rsidR="003F29F2" w:rsidRPr="00D64135">
        <w:t>At this time, FPL has not signed any</w:t>
      </w:r>
      <w:r w:rsidR="00F347A2" w:rsidRPr="00D64135">
        <w:t xml:space="preserve"> </w:t>
      </w:r>
      <w:r w:rsidR="001405C6" w:rsidRPr="00D64135">
        <w:t>standard offer contracts</w:t>
      </w:r>
      <w:r w:rsidR="00F347A2" w:rsidRPr="00D64135">
        <w:t xml:space="preserve"> </w:t>
      </w:r>
      <w:r w:rsidR="0099097E" w:rsidRPr="00D64135">
        <w:t>for the 2021 time period.</w:t>
      </w:r>
    </w:p>
    <w:p w:rsidR="003523B5" w:rsidRPr="00D64135" w:rsidRDefault="0087187F" w:rsidP="001405C6">
      <w:pPr>
        <w:pStyle w:val="BodyText"/>
      </w:pPr>
      <w:r w:rsidRPr="00D64135">
        <w:t xml:space="preserve">FPL currently projects that renewable generation will only account for 1.37 percent of net energy for load by 2021.  With the energy </w:t>
      </w:r>
      <w:r w:rsidR="001405C6" w:rsidRPr="00D64135">
        <w:t>from the</w:t>
      </w:r>
      <w:r w:rsidRPr="00D64135">
        <w:t xml:space="preserve"> US EcoGen Facilities, the renewable</w:t>
      </w:r>
      <w:r w:rsidR="001405C6" w:rsidRPr="00D64135">
        <w:t xml:space="preserve"> energy provided</w:t>
      </w:r>
      <w:r w:rsidRPr="00D64135">
        <w:t xml:space="preserve"> would increase to 2.43 percent of net energy for load by 2021, or a 77.4 percent increase.</w:t>
      </w:r>
      <w:r w:rsidR="0096003B" w:rsidRPr="00D64135">
        <w:t xml:space="preserve">  </w:t>
      </w:r>
      <w:r w:rsidR="001405C6" w:rsidRPr="00D64135">
        <w:t xml:space="preserve">Because of the size of FPL’s system, the proposed </w:t>
      </w:r>
      <w:r w:rsidR="00907BDC" w:rsidRPr="00D64135">
        <w:t>Contracts</w:t>
      </w:r>
      <w:r w:rsidR="001405C6" w:rsidRPr="00D64135">
        <w:t xml:space="preserve"> provide a small reliability benefit over the term of firm capacity delivery.  However, a</w:t>
      </w:r>
      <w:r w:rsidR="0096003B" w:rsidRPr="00D64135">
        <w:t xml:space="preserve">long with other potential purchased power contracts from renewable facilities, the </w:t>
      </w:r>
      <w:r w:rsidR="00907BDC" w:rsidRPr="00D64135">
        <w:t>Contracts</w:t>
      </w:r>
      <w:r w:rsidR="0096003B" w:rsidRPr="00D64135">
        <w:t xml:space="preserve"> may help to defer the construction of future utility f</w:t>
      </w:r>
      <w:r w:rsidR="00494103" w:rsidRPr="00D64135">
        <w:t xml:space="preserve">ossil-fueled generation units.  </w:t>
      </w:r>
      <w:r w:rsidR="003523B5" w:rsidRPr="00D64135">
        <w:t xml:space="preserve">It has been the Commission’s policy to approve cost-effective contracts that use renewable resources as the primary fuel.  </w:t>
      </w:r>
      <w:r w:rsidR="006345FF" w:rsidRPr="00D64135">
        <w:t xml:space="preserve">Pursuant to </w:t>
      </w:r>
      <w:r w:rsidR="003523B5" w:rsidRPr="00D64135">
        <w:t xml:space="preserve">Rule 25-17.001(5)(d), F.A.C., </w:t>
      </w:r>
      <w:r w:rsidR="006345FF" w:rsidRPr="00D64135">
        <w:t>electric utilities must:</w:t>
      </w:r>
    </w:p>
    <w:p w:rsidR="003523B5" w:rsidRPr="00D64135" w:rsidRDefault="003523B5" w:rsidP="003523B5">
      <w:pPr>
        <w:pStyle w:val="BodyText"/>
        <w:ind w:left="720" w:right="720" w:firstLine="0"/>
      </w:pPr>
      <w:r w:rsidRPr="00D64135">
        <w:rPr>
          <w:noProof/>
          <w:color w:val="000000"/>
        </w:rPr>
        <w:t>Aggressively integrate nontraditional sources of power generation including cogenerators with high thermal efficiency and small power producers using renewable fuels into the various utility service areas near utility load centers to the extent cost effective and reliable.</w:t>
      </w:r>
    </w:p>
    <w:p w:rsidR="003523B5" w:rsidRPr="00D64135" w:rsidRDefault="00FB74F4" w:rsidP="003523B5">
      <w:pPr>
        <w:pStyle w:val="BodyText"/>
        <w:ind w:firstLine="0"/>
      </w:pPr>
      <w:r w:rsidRPr="00D64135">
        <w:t xml:space="preserve">The </w:t>
      </w:r>
      <w:r w:rsidR="0020346A" w:rsidRPr="00D64135">
        <w:t>firm capacity</w:t>
      </w:r>
      <w:r w:rsidR="004A4EB2" w:rsidRPr="00D64135">
        <w:t xml:space="preserve"> to be</w:t>
      </w:r>
      <w:r w:rsidR="0020346A" w:rsidRPr="00D64135">
        <w:t xml:space="preserve"> delivered</w:t>
      </w:r>
      <w:r w:rsidR="004A4EB2" w:rsidRPr="00D64135">
        <w:t xml:space="preserve"> under the terms of the</w:t>
      </w:r>
      <w:r w:rsidR="0020346A" w:rsidRPr="00D64135">
        <w:t xml:space="preserve"> </w:t>
      </w:r>
      <w:r w:rsidR="00907BDC" w:rsidRPr="00D64135">
        <w:t>Contracts</w:t>
      </w:r>
      <w:r w:rsidRPr="00D64135">
        <w:t xml:space="preserve"> </w:t>
      </w:r>
      <w:r w:rsidR="0020346A" w:rsidRPr="00D64135">
        <w:t xml:space="preserve">and its potential to defer or delay a portion of FPL’s next generating unit </w:t>
      </w:r>
      <w:r w:rsidRPr="00D64135">
        <w:t>satisfies Rule 25-17.0832(3)(a), F.A.C.,</w:t>
      </w:r>
      <w:r w:rsidR="0020346A" w:rsidRPr="00D64135">
        <w:t xml:space="preserve"> which addresses the need for capacity by the purchasing utility and the state as a whole</w:t>
      </w:r>
      <w:r w:rsidRPr="00D64135">
        <w:t xml:space="preserve">.  </w:t>
      </w:r>
      <w:r w:rsidR="003523B5" w:rsidRPr="00D64135">
        <w:t xml:space="preserve">Therefore, staff </w:t>
      </w:r>
      <w:r w:rsidR="00406526" w:rsidRPr="00D64135">
        <w:t>recommend</w:t>
      </w:r>
      <w:r w:rsidR="003523B5" w:rsidRPr="00D64135">
        <w:t>s</w:t>
      </w:r>
      <w:r w:rsidR="00406526" w:rsidRPr="00D64135">
        <w:t xml:space="preserve"> that</w:t>
      </w:r>
      <w:r w:rsidR="003523B5" w:rsidRPr="00D64135">
        <w:t xml:space="preserve"> </w:t>
      </w:r>
      <w:r w:rsidR="00860DA1" w:rsidRPr="00D64135">
        <w:t xml:space="preserve">approval of </w:t>
      </w:r>
      <w:r w:rsidR="003523B5" w:rsidRPr="00D64135">
        <w:t xml:space="preserve">the proposed </w:t>
      </w:r>
      <w:r w:rsidR="00907BDC" w:rsidRPr="00D64135">
        <w:t>Contracts</w:t>
      </w:r>
      <w:r w:rsidR="003523B5" w:rsidRPr="00D64135">
        <w:t xml:space="preserve"> w</w:t>
      </w:r>
      <w:r w:rsidR="00B05078" w:rsidRPr="00D64135">
        <w:t>ould</w:t>
      </w:r>
      <w:r w:rsidR="003523B5" w:rsidRPr="00D64135">
        <w:t xml:space="preserve"> enhance FPL’s system reliability, encourage the use of renewable fuels in Florida, and promote fuel diversity for FPL’s ratepayers.</w:t>
      </w:r>
    </w:p>
    <w:p w:rsidR="00805DCD" w:rsidRPr="00D64135" w:rsidRDefault="00805DCD" w:rsidP="00AB5953">
      <w:pPr>
        <w:pStyle w:val="BodyText"/>
        <w:keepNext/>
        <w:ind w:firstLine="0"/>
        <w:rPr>
          <w:b/>
        </w:rPr>
      </w:pPr>
      <w:r w:rsidRPr="00D64135">
        <w:rPr>
          <w:b/>
        </w:rPr>
        <w:t>Cost Effectiveness</w:t>
      </w:r>
    </w:p>
    <w:p w:rsidR="00F84D12" w:rsidRPr="00D64135" w:rsidRDefault="009C5B5C" w:rsidP="00E52F59">
      <w:pPr>
        <w:pStyle w:val="BodyText"/>
      </w:pPr>
      <w:r w:rsidRPr="00D64135">
        <w:t xml:space="preserve">Rule 25-17.0832(3)(b), F.A.C., </w:t>
      </w:r>
      <w:r w:rsidR="00FC3AB8" w:rsidRPr="00D64135">
        <w:t>provides</w:t>
      </w:r>
      <w:r w:rsidRPr="00D64135">
        <w:t xml:space="preserve"> in part that consideration should be given as to whether the cumulative present worth of payments to a qualifying facility are no greater than the cumulative present worth of the purchasing utility's avoided cost of capacity and </w:t>
      </w:r>
      <w:r w:rsidR="00FD06EE" w:rsidRPr="00D64135">
        <w:t>energy.</w:t>
      </w:r>
      <w:r w:rsidR="00E52F59" w:rsidRPr="00D64135">
        <w:t xml:space="preserve">  </w:t>
      </w:r>
      <w:r w:rsidR="00590CFA" w:rsidRPr="00D64135">
        <w:t xml:space="preserve">FPL provided a cumulative present </w:t>
      </w:r>
      <w:r w:rsidR="005A3D8A" w:rsidRPr="00D64135">
        <w:t>value</w:t>
      </w:r>
      <w:r w:rsidR="00590CFA" w:rsidRPr="00D64135">
        <w:t xml:space="preserve"> revenue requirement</w:t>
      </w:r>
      <w:r w:rsidR="005A3D8A" w:rsidRPr="00D64135">
        <w:t xml:space="preserve"> (CPVRR)</w:t>
      </w:r>
      <w:r w:rsidR="00590CFA" w:rsidRPr="00D64135">
        <w:t xml:space="preserve"> of its system with and without the </w:t>
      </w:r>
      <w:r w:rsidR="00D328AD" w:rsidRPr="00D64135">
        <w:t>US EcoGen Facilities</w:t>
      </w:r>
      <w:r w:rsidR="00590CFA" w:rsidRPr="00D64135">
        <w:t>.  FPL’s analysis suggests a net present value</w:t>
      </w:r>
      <w:r w:rsidR="00C54ECE" w:rsidRPr="00D64135">
        <w:t xml:space="preserve"> (NPV)</w:t>
      </w:r>
      <w:r w:rsidR="00590CFA" w:rsidRPr="00D64135">
        <w:t xml:space="preserve"> savings of $159.1 million </w:t>
      </w:r>
      <w:r w:rsidR="005A4B9F" w:rsidRPr="00D64135">
        <w:t>using</w:t>
      </w:r>
      <w:r w:rsidR="005A3D8A" w:rsidRPr="00D64135">
        <w:t xml:space="preserve"> </w:t>
      </w:r>
      <w:r w:rsidR="005A4B9F" w:rsidRPr="00D64135">
        <w:t>the</w:t>
      </w:r>
      <w:r w:rsidR="005A3D8A" w:rsidRPr="00D64135">
        <w:t xml:space="preserve"> baseline fuel forecast,</w:t>
      </w:r>
      <w:r w:rsidR="005A4B9F" w:rsidRPr="00D64135">
        <w:t xml:space="preserve"> with</w:t>
      </w:r>
      <w:r w:rsidR="005A3D8A" w:rsidRPr="00D64135">
        <w:t xml:space="preserve"> net savings projected to begin in 2034.</w:t>
      </w:r>
      <w:r w:rsidR="00DF6B4E" w:rsidRPr="00D64135">
        <w:t xml:space="preserve">  A substantial portion of savings associated with this analysis are based on deferr</w:t>
      </w:r>
      <w:r w:rsidR="009A741D" w:rsidRPr="00D64135">
        <w:t>al of</w:t>
      </w:r>
      <w:r w:rsidR="00DF6B4E" w:rsidRPr="00D64135">
        <w:t xml:space="preserve"> generation</w:t>
      </w:r>
      <w:r w:rsidR="00560044" w:rsidRPr="00D64135">
        <w:t xml:space="preserve"> </w:t>
      </w:r>
      <w:r w:rsidR="00DF6B4E" w:rsidRPr="00D64135">
        <w:t xml:space="preserve">assets beginning in 2034 and </w:t>
      </w:r>
      <w:r w:rsidR="00560044" w:rsidRPr="00D64135">
        <w:t>high emissions costs.</w:t>
      </w:r>
    </w:p>
    <w:p w:rsidR="009A741D" w:rsidRPr="00D64135" w:rsidRDefault="00FD06EE" w:rsidP="00F84D12">
      <w:pPr>
        <w:pStyle w:val="BodyText"/>
      </w:pPr>
      <w:r w:rsidRPr="00D64135">
        <w:t xml:space="preserve">While </w:t>
      </w:r>
      <w:r w:rsidR="00E52F59" w:rsidRPr="00D64135">
        <w:t>a system level</w:t>
      </w:r>
      <w:r w:rsidRPr="00D64135">
        <w:t xml:space="preserve"> CPVRR </w:t>
      </w:r>
      <w:r w:rsidR="00E52F59" w:rsidRPr="00D64135">
        <w:t>is</w:t>
      </w:r>
      <w:r w:rsidRPr="00D64135">
        <w:t xml:space="preserve"> a valid form of</w:t>
      </w:r>
      <w:r w:rsidR="00F84D12" w:rsidRPr="00D64135">
        <w:t xml:space="preserve"> cost-effectiveness</w:t>
      </w:r>
      <w:r w:rsidRPr="00D64135">
        <w:t xml:space="preserve"> analysis, a value-of-deferral analysis based on the utility’s next avoidable unit allows for a better comparison </w:t>
      </w:r>
      <w:r w:rsidR="00E52F59" w:rsidRPr="00D64135">
        <w:t>for smaller</w:t>
      </w:r>
      <w:r w:rsidRPr="00D64135">
        <w:t xml:space="preserve"> resource options.</w:t>
      </w:r>
      <w:r w:rsidR="0075410C" w:rsidRPr="00D64135">
        <w:t xml:space="preserve">  The next avoidable unit is usually identified in the company’s TYSP and the standard offer contract, both of which are filed annually.</w:t>
      </w:r>
      <w:r w:rsidR="00F5781D" w:rsidRPr="00D64135">
        <w:t xml:space="preserve">  </w:t>
      </w:r>
      <w:r w:rsidR="00AC7DEE" w:rsidRPr="00D64135">
        <w:t>In this instance, t</w:t>
      </w:r>
      <w:r w:rsidR="00F5781D" w:rsidRPr="00D64135">
        <w:t xml:space="preserve">he 2012 standard offer is not comparable to the </w:t>
      </w:r>
      <w:r w:rsidR="00907BDC" w:rsidRPr="00D64135">
        <w:t>Contracts</w:t>
      </w:r>
      <w:r w:rsidR="00F5781D" w:rsidRPr="00D64135">
        <w:t>, as the US EcoGen Facilities would be providing over 28 years of firm capacity to FPL, versus a single year from the PPA.  A comparison of the payments to the US EcoGen Facilities and the 2012 standard offer show a net present value cost of $</w:t>
      </w:r>
      <w:r w:rsidR="00663916" w:rsidRPr="00D64135">
        <w:t>12.4</w:t>
      </w:r>
      <w:r w:rsidR="00F5781D" w:rsidRPr="00D64135">
        <w:t xml:space="preserve"> million.</w:t>
      </w:r>
    </w:p>
    <w:p w:rsidR="00EE3DD5" w:rsidRPr="00D64135" w:rsidRDefault="00086E54" w:rsidP="009F651E">
      <w:pPr>
        <w:pStyle w:val="BodyText"/>
      </w:pPr>
      <w:r w:rsidRPr="00D64135">
        <w:t>FPL’s 2012 TYSP contains no avoidable generating units during the ten-year planning horiz</w:t>
      </w:r>
      <w:r w:rsidR="007D22D4" w:rsidRPr="00D64135">
        <w:t>on</w:t>
      </w:r>
      <w:r w:rsidR="00062914" w:rsidRPr="00D64135">
        <w:t xml:space="preserve">.  </w:t>
      </w:r>
      <w:r w:rsidR="00EE3DD5" w:rsidRPr="00D64135">
        <w:t>FPL’s next generating unit additions</w:t>
      </w:r>
      <w:r w:rsidR="00F5781D" w:rsidRPr="00D64135">
        <w:t xml:space="preserve"> outside the TYSP</w:t>
      </w:r>
      <w:r w:rsidR="00EE3DD5" w:rsidRPr="00D64135">
        <w:t>, Turkey Point 6 and 7 in 2022 and 2023, have received a determination of need</w:t>
      </w:r>
      <w:r w:rsidR="0017659A" w:rsidRPr="00D64135">
        <w:t>.</w:t>
      </w:r>
      <w:r w:rsidR="009F7D68" w:rsidRPr="00D64135">
        <w:rPr>
          <w:rStyle w:val="FootnoteReference"/>
        </w:rPr>
        <w:footnoteReference w:id="4"/>
      </w:r>
      <w:r w:rsidR="00EE3DD5" w:rsidRPr="00D64135">
        <w:t xml:space="preserve"> </w:t>
      </w:r>
      <w:r w:rsidR="0017659A" w:rsidRPr="00D64135">
        <w:t xml:space="preserve">As such, these units are </w:t>
      </w:r>
      <w:r w:rsidR="00EE3DD5" w:rsidRPr="00D64135">
        <w:t>not</w:t>
      </w:r>
      <w:r w:rsidR="0017659A" w:rsidRPr="00D64135">
        <w:t xml:space="preserve"> considered</w:t>
      </w:r>
      <w:r w:rsidR="00EE3DD5" w:rsidRPr="00D64135">
        <w:t xml:space="preserve"> </w:t>
      </w:r>
      <w:r w:rsidR="0017659A" w:rsidRPr="00D64135">
        <w:t>avoidable</w:t>
      </w:r>
      <w:r w:rsidR="00EE3DD5" w:rsidRPr="00D64135">
        <w:t>.</w:t>
      </w:r>
      <w:r w:rsidR="001E77F3" w:rsidRPr="00D64135">
        <w:t xml:space="preserve">  </w:t>
      </w:r>
      <w:r w:rsidR="00B85D65" w:rsidRPr="00D64135">
        <w:t xml:space="preserve">Consistent with the Commission’s Order approving the 2012 standard offer contract, </w:t>
      </w:r>
      <w:r w:rsidR="001E77F3" w:rsidRPr="00D64135">
        <w:t xml:space="preserve">FPL </w:t>
      </w:r>
      <w:r w:rsidR="00EE3DD5" w:rsidRPr="00D64135">
        <w:t>identifies its next</w:t>
      </w:r>
      <w:r w:rsidR="001E77F3" w:rsidRPr="00D64135">
        <w:t xml:space="preserve"> avoidable generating unit as a greenfield natural gas-fired combined cycle with an in-service date in 2025</w:t>
      </w:r>
      <w:r w:rsidR="00F06E85" w:rsidRPr="00D64135">
        <w:t>.</w:t>
      </w:r>
      <w:r w:rsidR="00446E8D" w:rsidRPr="00D64135">
        <w:rPr>
          <w:rStyle w:val="FootnoteReference"/>
        </w:rPr>
        <w:footnoteReference w:id="5"/>
      </w:r>
    </w:p>
    <w:p w:rsidR="00770413" w:rsidRPr="00D64135" w:rsidRDefault="00770413" w:rsidP="00770413">
      <w:pPr>
        <w:pStyle w:val="BodyText"/>
      </w:pPr>
      <w:r w:rsidRPr="00D64135">
        <w:t xml:space="preserve">The Commission has recognized that a company’s next avoided unit may fall outside the ten-year planning horizon, and a list of recent avoided units outside of the TYSP planning horizon approved for use in a company’s standard offer is provided in Table </w:t>
      </w:r>
      <w:r w:rsidR="007B7F33" w:rsidRPr="00D64135">
        <w:t>1</w:t>
      </w:r>
      <w:r w:rsidRPr="00D64135">
        <w:t xml:space="preserve"> below.</w:t>
      </w:r>
    </w:p>
    <w:p w:rsidR="00770413" w:rsidRPr="00D64135" w:rsidRDefault="00770413" w:rsidP="00770413">
      <w:pPr>
        <w:pStyle w:val="Caption"/>
        <w:keepNext/>
        <w:spacing w:before="480"/>
        <w:jc w:val="center"/>
      </w:pPr>
      <w:r w:rsidRPr="00D64135">
        <w:t xml:space="preserve">Table </w:t>
      </w:r>
      <w:r w:rsidR="00732A95">
        <w:fldChar w:fldCharType="begin"/>
      </w:r>
      <w:r w:rsidR="00732A95">
        <w:instrText xml:space="preserve"> SEQ Table \* ARABIC </w:instrText>
      </w:r>
      <w:r w:rsidR="00732A95">
        <w:fldChar w:fldCharType="separate"/>
      </w:r>
      <w:r w:rsidR="000E3E38">
        <w:rPr>
          <w:noProof/>
        </w:rPr>
        <w:t>1</w:t>
      </w:r>
      <w:r w:rsidR="00732A95">
        <w:rPr>
          <w:noProof/>
        </w:rPr>
        <w:fldChar w:fldCharType="end"/>
      </w:r>
      <w:r w:rsidRPr="00D64135">
        <w:t xml:space="preserve"> – Standards Offers with Avoided Units Outside of Ten-Year Planning Horizon</w:t>
      </w:r>
    </w:p>
    <w:tbl>
      <w:tblPr>
        <w:tblStyle w:val="TableGrid"/>
        <w:tblW w:w="9162" w:type="dxa"/>
        <w:jc w:val="center"/>
        <w:tblLook w:val="04A0" w:firstRow="1" w:lastRow="0" w:firstColumn="1" w:lastColumn="0" w:noHBand="0" w:noVBand="1"/>
      </w:tblPr>
      <w:tblGrid>
        <w:gridCol w:w="1125"/>
        <w:gridCol w:w="2144"/>
        <w:gridCol w:w="2505"/>
        <w:gridCol w:w="1216"/>
        <w:gridCol w:w="2172"/>
      </w:tblGrid>
      <w:tr w:rsidR="00770413" w:rsidRPr="00D64135" w:rsidTr="00024013">
        <w:trPr>
          <w:trHeight w:val="288"/>
          <w:jc w:val="center"/>
        </w:trPr>
        <w:tc>
          <w:tcPr>
            <w:tcW w:w="1125" w:type="dxa"/>
            <w:shd w:val="clear" w:color="auto" w:fill="FFCC99"/>
          </w:tcPr>
          <w:p w:rsidR="00770413" w:rsidRPr="00D64135" w:rsidRDefault="00770413" w:rsidP="0092746B">
            <w:pPr>
              <w:pStyle w:val="BodyText"/>
              <w:keepNext/>
              <w:spacing w:after="0"/>
              <w:ind w:firstLine="0"/>
              <w:jc w:val="center"/>
              <w:rPr>
                <w:b/>
                <w:sz w:val="20"/>
                <w:szCs w:val="20"/>
              </w:rPr>
            </w:pPr>
            <w:r w:rsidRPr="00D64135">
              <w:rPr>
                <w:b/>
                <w:sz w:val="20"/>
                <w:szCs w:val="20"/>
              </w:rPr>
              <w:t>Standard</w:t>
            </w:r>
          </w:p>
          <w:p w:rsidR="00770413" w:rsidRPr="00D64135" w:rsidRDefault="00770413" w:rsidP="0092746B">
            <w:pPr>
              <w:pStyle w:val="BodyText"/>
              <w:keepNext/>
              <w:spacing w:after="0"/>
              <w:ind w:firstLine="0"/>
              <w:jc w:val="center"/>
              <w:rPr>
                <w:b/>
                <w:sz w:val="20"/>
                <w:szCs w:val="20"/>
              </w:rPr>
            </w:pPr>
            <w:r w:rsidRPr="00D64135">
              <w:rPr>
                <w:b/>
                <w:sz w:val="20"/>
                <w:szCs w:val="20"/>
              </w:rPr>
              <w:t>Offer</w:t>
            </w:r>
          </w:p>
          <w:p w:rsidR="00770413" w:rsidRPr="00D64135" w:rsidRDefault="00770413" w:rsidP="0092746B">
            <w:pPr>
              <w:pStyle w:val="BodyText"/>
              <w:keepNext/>
              <w:spacing w:after="0"/>
              <w:ind w:firstLine="0"/>
              <w:jc w:val="center"/>
              <w:rPr>
                <w:b/>
                <w:sz w:val="20"/>
                <w:szCs w:val="20"/>
              </w:rPr>
            </w:pPr>
            <w:r w:rsidRPr="00D64135">
              <w:rPr>
                <w:b/>
                <w:sz w:val="20"/>
                <w:szCs w:val="20"/>
              </w:rPr>
              <w:t>Year</w:t>
            </w:r>
          </w:p>
        </w:tc>
        <w:tc>
          <w:tcPr>
            <w:tcW w:w="2144" w:type="dxa"/>
            <w:shd w:val="clear" w:color="auto" w:fill="FFCC99"/>
            <w:vAlign w:val="center"/>
          </w:tcPr>
          <w:p w:rsidR="00770413" w:rsidRPr="00D64135" w:rsidRDefault="00770413" w:rsidP="0092746B">
            <w:pPr>
              <w:pStyle w:val="BodyText"/>
              <w:keepNext/>
              <w:spacing w:after="0"/>
              <w:ind w:firstLine="0"/>
              <w:jc w:val="center"/>
              <w:rPr>
                <w:b/>
                <w:sz w:val="20"/>
                <w:szCs w:val="20"/>
              </w:rPr>
            </w:pPr>
            <w:r w:rsidRPr="00D64135">
              <w:rPr>
                <w:b/>
                <w:sz w:val="20"/>
                <w:szCs w:val="20"/>
              </w:rPr>
              <w:t>Utility</w:t>
            </w:r>
          </w:p>
        </w:tc>
        <w:tc>
          <w:tcPr>
            <w:tcW w:w="2505" w:type="dxa"/>
            <w:shd w:val="clear" w:color="auto" w:fill="FFCC99"/>
            <w:vAlign w:val="center"/>
          </w:tcPr>
          <w:p w:rsidR="00770413" w:rsidRPr="00D64135" w:rsidRDefault="00770413" w:rsidP="0092746B">
            <w:pPr>
              <w:pStyle w:val="BodyText"/>
              <w:keepNext/>
              <w:spacing w:after="0"/>
              <w:ind w:firstLine="0"/>
              <w:jc w:val="center"/>
              <w:rPr>
                <w:b/>
                <w:sz w:val="20"/>
                <w:szCs w:val="20"/>
              </w:rPr>
            </w:pPr>
            <w:r w:rsidRPr="00D64135">
              <w:rPr>
                <w:b/>
                <w:sz w:val="20"/>
                <w:szCs w:val="20"/>
              </w:rPr>
              <w:t>Avoided Unit</w:t>
            </w:r>
          </w:p>
        </w:tc>
        <w:tc>
          <w:tcPr>
            <w:tcW w:w="1216" w:type="dxa"/>
            <w:shd w:val="clear" w:color="auto" w:fill="FFCC99"/>
            <w:vAlign w:val="center"/>
          </w:tcPr>
          <w:p w:rsidR="00770413" w:rsidRPr="00D64135" w:rsidRDefault="00770413" w:rsidP="0092746B">
            <w:pPr>
              <w:pStyle w:val="BodyText"/>
              <w:keepNext/>
              <w:spacing w:after="0"/>
              <w:ind w:firstLine="0"/>
              <w:jc w:val="center"/>
              <w:rPr>
                <w:b/>
                <w:sz w:val="20"/>
                <w:szCs w:val="20"/>
              </w:rPr>
            </w:pPr>
            <w:r w:rsidRPr="00D64135">
              <w:rPr>
                <w:b/>
                <w:sz w:val="20"/>
                <w:szCs w:val="20"/>
              </w:rPr>
              <w:t>TYSP</w:t>
            </w:r>
          </w:p>
          <w:p w:rsidR="00770413" w:rsidRPr="00D64135" w:rsidRDefault="00770413" w:rsidP="0092746B">
            <w:pPr>
              <w:pStyle w:val="BodyText"/>
              <w:keepNext/>
              <w:spacing w:after="0"/>
              <w:ind w:firstLine="0"/>
              <w:jc w:val="center"/>
              <w:rPr>
                <w:b/>
                <w:sz w:val="20"/>
                <w:szCs w:val="20"/>
              </w:rPr>
            </w:pPr>
            <w:r w:rsidRPr="00D64135">
              <w:rPr>
                <w:b/>
                <w:sz w:val="20"/>
                <w:szCs w:val="20"/>
              </w:rPr>
              <w:t>Planning</w:t>
            </w:r>
          </w:p>
          <w:p w:rsidR="00770413" w:rsidRPr="00D64135" w:rsidRDefault="00770413" w:rsidP="0092746B">
            <w:pPr>
              <w:pStyle w:val="BodyText"/>
              <w:keepNext/>
              <w:spacing w:after="0"/>
              <w:ind w:firstLine="0"/>
              <w:jc w:val="center"/>
              <w:rPr>
                <w:b/>
                <w:sz w:val="20"/>
                <w:szCs w:val="20"/>
              </w:rPr>
            </w:pPr>
            <w:r w:rsidRPr="00D64135">
              <w:rPr>
                <w:b/>
                <w:sz w:val="20"/>
                <w:szCs w:val="20"/>
              </w:rPr>
              <w:t>Horizon</w:t>
            </w:r>
          </w:p>
        </w:tc>
        <w:tc>
          <w:tcPr>
            <w:tcW w:w="2172" w:type="dxa"/>
            <w:shd w:val="clear" w:color="auto" w:fill="FFCC99"/>
            <w:vAlign w:val="center"/>
          </w:tcPr>
          <w:p w:rsidR="00770413" w:rsidRPr="00D64135" w:rsidRDefault="00770413" w:rsidP="0092746B">
            <w:pPr>
              <w:pStyle w:val="BodyText"/>
              <w:keepNext/>
              <w:spacing w:after="0"/>
              <w:ind w:firstLine="0"/>
              <w:jc w:val="center"/>
              <w:rPr>
                <w:b/>
                <w:sz w:val="20"/>
                <w:szCs w:val="20"/>
              </w:rPr>
            </w:pPr>
            <w:r w:rsidRPr="00D64135">
              <w:rPr>
                <w:b/>
                <w:sz w:val="20"/>
                <w:szCs w:val="20"/>
              </w:rPr>
              <w:t>Commission Order</w:t>
            </w:r>
          </w:p>
        </w:tc>
      </w:tr>
      <w:tr w:rsidR="00770413" w:rsidRPr="00D64135" w:rsidTr="00024013">
        <w:trPr>
          <w:trHeight w:val="288"/>
          <w:jc w:val="center"/>
        </w:trPr>
        <w:tc>
          <w:tcPr>
            <w:tcW w:w="112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2012</w:t>
            </w:r>
          </w:p>
        </w:tc>
        <w:tc>
          <w:tcPr>
            <w:tcW w:w="2144"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Gulf Power Company</w:t>
            </w:r>
          </w:p>
        </w:tc>
        <w:tc>
          <w:tcPr>
            <w:tcW w:w="250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2022 Combustion Turbine</w:t>
            </w:r>
          </w:p>
        </w:tc>
        <w:tc>
          <w:tcPr>
            <w:tcW w:w="1216"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2012–2021</w:t>
            </w:r>
          </w:p>
        </w:tc>
        <w:tc>
          <w:tcPr>
            <w:tcW w:w="2172" w:type="dxa"/>
            <w:vAlign w:val="center"/>
          </w:tcPr>
          <w:p w:rsidR="00770413" w:rsidRPr="00D64135" w:rsidRDefault="00770413" w:rsidP="00024013">
            <w:pPr>
              <w:pStyle w:val="BodyText"/>
              <w:keepNext/>
              <w:spacing w:after="0"/>
              <w:ind w:firstLine="0"/>
              <w:jc w:val="left"/>
              <w:rPr>
                <w:sz w:val="20"/>
                <w:szCs w:val="20"/>
              </w:rPr>
            </w:pPr>
            <w:r w:rsidRPr="00D64135">
              <w:rPr>
                <w:color w:val="000000"/>
                <w:sz w:val="20"/>
                <w:szCs w:val="20"/>
              </w:rPr>
              <w:t>PSC-12-0332-TRF-EQ</w:t>
            </w:r>
          </w:p>
        </w:tc>
      </w:tr>
      <w:tr w:rsidR="00770413" w:rsidRPr="00D64135" w:rsidTr="00024013">
        <w:trPr>
          <w:trHeight w:val="288"/>
          <w:jc w:val="center"/>
        </w:trPr>
        <w:tc>
          <w:tcPr>
            <w:tcW w:w="112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2011</w:t>
            </w:r>
          </w:p>
        </w:tc>
        <w:tc>
          <w:tcPr>
            <w:tcW w:w="2144"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Gulf Power Company</w:t>
            </w:r>
          </w:p>
        </w:tc>
        <w:tc>
          <w:tcPr>
            <w:tcW w:w="250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2022 Combustion Turbine</w:t>
            </w:r>
          </w:p>
        </w:tc>
        <w:tc>
          <w:tcPr>
            <w:tcW w:w="1216"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2011–2020</w:t>
            </w:r>
          </w:p>
        </w:tc>
        <w:tc>
          <w:tcPr>
            <w:tcW w:w="2172" w:type="dxa"/>
            <w:vAlign w:val="center"/>
          </w:tcPr>
          <w:p w:rsidR="00770413" w:rsidRPr="00D64135" w:rsidRDefault="00770413" w:rsidP="00024013">
            <w:pPr>
              <w:pStyle w:val="BodyText"/>
              <w:keepNext/>
              <w:spacing w:after="0"/>
              <w:ind w:firstLine="0"/>
              <w:jc w:val="left"/>
              <w:rPr>
                <w:sz w:val="20"/>
                <w:szCs w:val="20"/>
              </w:rPr>
            </w:pPr>
            <w:r w:rsidRPr="00D64135">
              <w:rPr>
                <w:color w:val="000000"/>
                <w:sz w:val="20"/>
                <w:szCs w:val="20"/>
              </w:rPr>
              <w:t>PSC-11-0288-TRF-EQ</w:t>
            </w:r>
          </w:p>
        </w:tc>
      </w:tr>
      <w:tr w:rsidR="00770413" w:rsidRPr="00D64135" w:rsidTr="00024013">
        <w:trPr>
          <w:trHeight w:val="288"/>
          <w:jc w:val="center"/>
        </w:trPr>
        <w:tc>
          <w:tcPr>
            <w:tcW w:w="112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2010</w:t>
            </w:r>
          </w:p>
        </w:tc>
        <w:tc>
          <w:tcPr>
            <w:tcW w:w="2144"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Florida Power &amp; Light</w:t>
            </w:r>
          </w:p>
        </w:tc>
        <w:tc>
          <w:tcPr>
            <w:tcW w:w="250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2025 Combined Cycle</w:t>
            </w:r>
          </w:p>
        </w:tc>
        <w:tc>
          <w:tcPr>
            <w:tcW w:w="1216"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2010–2019</w:t>
            </w:r>
          </w:p>
        </w:tc>
        <w:tc>
          <w:tcPr>
            <w:tcW w:w="2172"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PSC-10-0463-TRF-EI</w:t>
            </w:r>
          </w:p>
        </w:tc>
      </w:tr>
      <w:tr w:rsidR="00770413" w:rsidRPr="00D64135" w:rsidTr="00024013">
        <w:trPr>
          <w:trHeight w:val="288"/>
          <w:jc w:val="center"/>
        </w:trPr>
        <w:tc>
          <w:tcPr>
            <w:tcW w:w="112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2010</w:t>
            </w:r>
          </w:p>
        </w:tc>
        <w:tc>
          <w:tcPr>
            <w:tcW w:w="2144"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Gulf Power Company</w:t>
            </w:r>
          </w:p>
        </w:tc>
        <w:tc>
          <w:tcPr>
            <w:tcW w:w="2505"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2020 Combustion Turbines</w:t>
            </w:r>
          </w:p>
        </w:tc>
        <w:tc>
          <w:tcPr>
            <w:tcW w:w="1216"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2010–2019</w:t>
            </w:r>
          </w:p>
        </w:tc>
        <w:tc>
          <w:tcPr>
            <w:tcW w:w="2172" w:type="dxa"/>
            <w:vAlign w:val="center"/>
          </w:tcPr>
          <w:p w:rsidR="00770413" w:rsidRPr="00D64135" w:rsidRDefault="00770413" w:rsidP="00024013">
            <w:pPr>
              <w:pStyle w:val="BodyText"/>
              <w:keepNext/>
              <w:spacing w:after="0"/>
              <w:ind w:firstLine="0"/>
              <w:jc w:val="left"/>
              <w:rPr>
                <w:sz w:val="20"/>
                <w:szCs w:val="20"/>
              </w:rPr>
            </w:pPr>
            <w:r w:rsidRPr="00D64135">
              <w:rPr>
                <w:sz w:val="20"/>
                <w:szCs w:val="20"/>
              </w:rPr>
              <w:t>PSC-10-0466-TRF-EQ</w:t>
            </w:r>
          </w:p>
        </w:tc>
      </w:tr>
      <w:tr w:rsidR="00770413" w:rsidRPr="00D64135" w:rsidTr="00024013">
        <w:trPr>
          <w:trHeight w:val="288"/>
          <w:jc w:val="center"/>
        </w:trPr>
        <w:tc>
          <w:tcPr>
            <w:tcW w:w="1125" w:type="dxa"/>
            <w:vAlign w:val="center"/>
          </w:tcPr>
          <w:p w:rsidR="00770413" w:rsidRPr="00D64135" w:rsidRDefault="00770413" w:rsidP="00024013">
            <w:pPr>
              <w:pStyle w:val="BodyText"/>
              <w:spacing w:after="0"/>
              <w:ind w:firstLine="0"/>
              <w:jc w:val="left"/>
              <w:rPr>
                <w:sz w:val="20"/>
                <w:szCs w:val="20"/>
              </w:rPr>
            </w:pPr>
            <w:r w:rsidRPr="00D64135">
              <w:rPr>
                <w:sz w:val="20"/>
                <w:szCs w:val="20"/>
              </w:rPr>
              <w:t>2009</w:t>
            </w:r>
          </w:p>
        </w:tc>
        <w:tc>
          <w:tcPr>
            <w:tcW w:w="2144" w:type="dxa"/>
            <w:vAlign w:val="center"/>
          </w:tcPr>
          <w:p w:rsidR="00770413" w:rsidRPr="00D64135" w:rsidRDefault="00770413" w:rsidP="00024013">
            <w:pPr>
              <w:pStyle w:val="BodyText"/>
              <w:spacing w:after="0"/>
              <w:ind w:firstLine="0"/>
              <w:jc w:val="left"/>
              <w:rPr>
                <w:sz w:val="20"/>
                <w:szCs w:val="20"/>
              </w:rPr>
            </w:pPr>
            <w:r w:rsidRPr="00D64135">
              <w:rPr>
                <w:sz w:val="20"/>
                <w:szCs w:val="20"/>
              </w:rPr>
              <w:t>Florida Power &amp; Light</w:t>
            </w:r>
          </w:p>
        </w:tc>
        <w:tc>
          <w:tcPr>
            <w:tcW w:w="2505" w:type="dxa"/>
            <w:vAlign w:val="center"/>
          </w:tcPr>
          <w:p w:rsidR="00770413" w:rsidRPr="00D64135" w:rsidRDefault="00770413" w:rsidP="00024013">
            <w:pPr>
              <w:pStyle w:val="BodyText"/>
              <w:spacing w:after="0"/>
              <w:ind w:firstLine="0"/>
              <w:jc w:val="left"/>
              <w:rPr>
                <w:sz w:val="20"/>
                <w:szCs w:val="20"/>
              </w:rPr>
            </w:pPr>
            <w:r w:rsidRPr="00D64135">
              <w:rPr>
                <w:sz w:val="20"/>
                <w:szCs w:val="20"/>
              </w:rPr>
              <w:t>2021 Combined Cycle</w:t>
            </w:r>
          </w:p>
        </w:tc>
        <w:tc>
          <w:tcPr>
            <w:tcW w:w="1216" w:type="dxa"/>
            <w:vAlign w:val="center"/>
          </w:tcPr>
          <w:p w:rsidR="00770413" w:rsidRPr="00D64135" w:rsidRDefault="00770413" w:rsidP="00024013">
            <w:pPr>
              <w:pStyle w:val="BodyText"/>
              <w:spacing w:after="0"/>
              <w:ind w:firstLine="0"/>
              <w:jc w:val="left"/>
              <w:rPr>
                <w:sz w:val="20"/>
                <w:szCs w:val="20"/>
              </w:rPr>
            </w:pPr>
            <w:r w:rsidRPr="00D64135">
              <w:rPr>
                <w:sz w:val="20"/>
                <w:szCs w:val="20"/>
              </w:rPr>
              <w:t>2009–2018</w:t>
            </w:r>
          </w:p>
        </w:tc>
        <w:tc>
          <w:tcPr>
            <w:tcW w:w="2172" w:type="dxa"/>
            <w:vAlign w:val="center"/>
          </w:tcPr>
          <w:p w:rsidR="00770413" w:rsidRPr="00D64135" w:rsidRDefault="00770413" w:rsidP="00024013">
            <w:pPr>
              <w:pStyle w:val="BodyText"/>
              <w:spacing w:after="0"/>
              <w:ind w:firstLine="0"/>
              <w:jc w:val="left"/>
              <w:rPr>
                <w:sz w:val="20"/>
                <w:szCs w:val="20"/>
              </w:rPr>
            </w:pPr>
            <w:r w:rsidRPr="00D64135">
              <w:rPr>
                <w:sz w:val="20"/>
                <w:szCs w:val="20"/>
              </w:rPr>
              <w:t>PSC-09-0634-TRF-EQ</w:t>
            </w:r>
          </w:p>
        </w:tc>
      </w:tr>
    </w:tbl>
    <w:p w:rsidR="00770413" w:rsidRPr="00D64135" w:rsidRDefault="00770413" w:rsidP="00187084">
      <w:pPr>
        <w:pStyle w:val="BodyText"/>
        <w:spacing w:after="0"/>
        <w:rPr>
          <w:sz w:val="23"/>
          <w:szCs w:val="23"/>
        </w:rPr>
      </w:pPr>
    </w:p>
    <w:p w:rsidR="00DA3FCE" w:rsidRPr="00D64135" w:rsidRDefault="00770413" w:rsidP="00187084">
      <w:pPr>
        <w:pStyle w:val="BodyText"/>
        <w:spacing w:after="0"/>
      </w:pPr>
      <w:r w:rsidRPr="00D64135">
        <w:t xml:space="preserve">Payments under the </w:t>
      </w:r>
      <w:r w:rsidR="00907BDC" w:rsidRPr="00D64135">
        <w:t>Contracts</w:t>
      </w:r>
      <w:r w:rsidRPr="00D64135">
        <w:t xml:space="preserve"> are broken up into three categories: Capacity, Energy, and Energy Performance Bonus.  The specific values of each payment type are based on formulas including confidential components.  Capacity payments would begin in 2021 after an initial two year commissioning period, and be based on a formula requiring a 90 percent capacity factor for a full payment.  Energy payments are based on two indexes and are paid based on MWh-delivered for the entire 30 year term of the contract.  The relevant indexes are the consumer price index and the reported gas price for Florida Gas Transmission Zone</w:t>
      </w:r>
      <w:r w:rsidRPr="00D64135">
        <w:rPr>
          <w:color w:val="FF0000"/>
        </w:rPr>
        <w:t xml:space="preserve"> </w:t>
      </w:r>
      <w:r w:rsidRPr="00D64135">
        <w:t>3.  By using indexed energy prices rather than a fixed price, US EcoGen Facilities share some risk of fuel price fluctuations along with FPL’s ratepayers.  This risk sharing is preferable to fully fixed energy prices wh</w:t>
      </w:r>
      <w:r w:rsidR="000B442B" w:rsidRPr="00D64135">
        <w:t>ich cause ratepayers alone to be</w:t>
      </w:r>
      <w:r w:rsidRPr="00D64135">
        <w:t xml:space="preserve"> subject to changes in fuel markets.  Energy payments are increased during the initial two year commissioning period by an amount referred to as Energy Performance Bonus payments, based on MWh-delivered.</w:t>
      </w:r>
    </w:p>
    <w:p w:rsidR="00187084" w:rsidRPr="00D64135" w:rsidRDefault="00187084" w:rsidP="00187084">
      <w:pPr>
        <w:pStyle w:val="BodyText"/>
        <w:spacing w:after="0"/>
      </w:pPr>
    </w:p>
    <w:p w:rsidR="008172A4" w:rsidRPr="00D64135" w:rsidRDefault="008172A4" w:rsidP="001055EA">
      <w:pPr>
        <w:pStyle w:val="BodyText"/>
      </w:pPr>
      <w:r w:rsidRPr="00D64135">
        <w:t xml:space="preserve">Staff requested </w:t>
      </w:r>
      <w:r w:rsidR="000B442B" w:rsidRPr="00D64135">
        <w:t>that</w:t>
      </w:r>
      <w:r w:rsidRPr="00D64135">
        <w:t xml:space="preserve"> FPL</w:t>
      </w:r>
      <w:r w:rsidR="000B442B" w:rsidRPr="00D64135">
        <w:t xml:space="preserve"> provide</w:t>
      </w:r>
      <w:r w:rsidRPr="00D64135">
        <w:t xml:space="preserve"> a comparison of the estimated payments in the </w:t>
      </w:r>
      <w:r w:rsidR="00907BDC" w:rsidRPr="00D64135">
        <w:t>Contracts</w:t>
      </w:r>
      <w:r w:rsidRPr="00D64135">
        <w:t xml:space="preserve"> to </w:t>
      </w:r>
      <w:r w:rsidR="00504323" w:rsidRPr="00D64135">
        <w:t xml:space="preserve">the </w:t>
      </w:r>
      <w:r w:rsidRPr="00D64135">
        <w:t xml:space="preserve">2025 combined cycle, including fuel forecast sensitivities to estimate the range </w:t>
      </w:r>
      <w:r w:rsidR="009A741D" w:rsidRPr="00D64135">
        <w:t>of potential benefits or costs.</w:t>
      </w:r>
      <w:r w:rsidRPr="00D64135">
        <w:t xml:space="preserve"> </w:t>
      </w:r>
      <w:r w:rsidR="009A741D" w:rsidRPr="00D64135">
        <w:t xml:space="preserve"> </w:t>
      </w:r>
      <w:r w:rsidRPr="00D64135">
        <w:t xml:space="preserve">When compared to the 2025 combined cycle, the </w:t>
      </w:r>
      <w:r w:rsidR="00907BDC" w:rsidRPr="00D64135">
        <w:t>Contracts</w:t>
      </w:r>
      <w:r w:rsidRPr="00D64135">
        <w:t xml:space="preserve"> show an estimated </w:t>
      </w:r>
      <w:r w:rsidR="00FD06EE" w:rsidRPr="00D64135">
        <w:t>NPV</w:t>
      </w:r>
      <w:r w:rsidR="00DF6B4E" w:rsidRPr="00D64135">
        <w:t xml:space="preserve"> savings</w:t>
      </w:r>
      <w:r w:rsidRPr="00D64135">
        <w:t xml:space="preserve"> of $89.</w:t>
      </w:r>
      <w:r w:rsidR="004F1EE1" w:rsidRPr="00D64135">
        <w:t>4</w:t>
      </w:r>
      <w:r w:rsidRPr="00D64135">
        <w:t xml:space="preserve"> million in the baseline</w:t>
      </w:r>
      <w:r w:rsidR="00DF6B4E" w:rsidRPr="00D64135">
        <w:t xml:space="preserve"> fuel</w:t>
      </w:r>
      <w:r w:rsidRPr="00D64135">
        <w:t xml:space="preserve"> scenario</w:t>
      </w:r>
      <w:r w:rsidR="00DF6B4E" w:rsidRPr="00D64135">
        <w:t>, with net savings projected to begin in 2032.</w:t>
      </w:r>
      <w:r w:rsidR="00385D0C" w:rsidRPr="00D64135">
        <w:t xml:space="preserve">  </w:t>
      </w:r>
      <w:r w:rsidR="00BF1272" w:rsidRPr="00D64135">
        <w:t xml:space="preserve">The results of the fuel sensitivities are listed below in Table </w:t>
      </w:r>
      <w:r w:rsidR="007B7F33" w:rsidRPr="00D64135">
        <w:t>2</w:t>
      </w:r>
      <w:r w:rsidR="00BF1272" w:rsidRPr="00D64135">
        <w:t>.</w:t>
      </w:r>
    </w:p>
    <w:p w:rsidR="00BF1272" w:rsidRPr="00D64135" w:rsidRDefault="00BF1272" w:rsidP="00BF1272">
      <w:pPr>
        <w:pStyle w:val="Caption"/>
        <w:keepNext/>
        <w:spacing w:before="480"/>
        <w:jc w:val="center"/>
      </w:pPr>
      <w:r w:rsidRPr="00D64135">
        <w:t xml:space="preserve">Table </w:t>
      </w:r>
      <w:r w:rsidR="00732A95">
        <w:fldChar w:fldCharType="begin"/>
      </w:r>
      <w:r w:rsidR="00732A95">
        <w:instrText xml:space="preserve"> SEQ Table \* ARABIC </w:instrText>
      </w:r>
      <w:r w:rsidR="00732A95">
        <w:fldChar w:fldCharType="separate"/>
      </w:r>
      <w:r w:rsidR="000E3E38">
        <w:rPr>
          <w:noProof/>
        </w:rPr>
        <w:t>2</w:t>
      </w:r>
      <w:r w:rsidR="00732A95">
        <w:rPr>
          <w:noProof/>
        </w:rPr>
        <w:fldChar w:fldCharType="end"/>
      </w:r>
      <w:r w:rsidRPr="00D64135">
        <w:t xml:space="preserve"> </w:t>
      </w:r>
      <w:r w:rsidR="00770413" w:rsidRPr="00D64135">
        <w:t>–</w:t>
      </w:r>
      <w:r w:rsidRPr="00D64135">
        <w:t xml:space="preserve"> </w:t>
      </w:r>
      <w:r w:rsidR="00EC63DF" w:rsidRPr="00D64135">
        <w:t>Cost Effectiveness Analysis</w:t>
      </w:r>
      <w:r w:rsidRPr="00D64135">
        <w:t xml:space="preserve"> </w:t>
      </w:r>
      <w:r w:rsidR="00D9001F" w:rsidRPr="00D64135">
        <w:t xml:space="preserve">of the US EcoGen Facilities </w:t>
      </w:r>
      <w:r w:rsidRPr="00D64135">
        <w:t>(2012</w:t>
      </w:r>
      <w:r w:rsidR="00770413" w:rsidRPr="00D64135">
        <w:t>$</w:t>
      </w:r>
      <w:r w:rsidRPr="00D64135">
        <w:t>)</w:t>
      </w:r>
    </w:p>
    <w:tbl>
      <w:tblPr>
        <w:tblStyle w:val="TableMasthead"/>
        <w:tblW w:w="0" w:type="auto"/>
        <w:jc w:val="center"/>
        <w:tblLook w:val="04A0" w:firstRow="1" w:lastRow="0" w:firstColumn="1" w:lastColumn="0" w:noHBand="0" w:noVBand="1"/>
      </w:tblPr>
      <w:tblGrid>
        <w:gridCol w:w="2933"/>
        <w:gridCol w:w="1123"/>
        <w:gridCol w:w="1079"/>
        <w:gridCol w:w="1232"/>
      </w:tblGrid>
      <w:tr w:rsidR="00BF1272" w:rsidRPr="00D64135" w:rsidTr="00024013">
        <w:trPr>
          <w:trHeight w:val="288"/>
          <w:jc w:val="center"/>
        </w:trPr>
        <w:tc>
          <w:tcPr>
            <w:tcW w:w="2933" w:type="dxa"/>
            <w:shd w:val="clear" w:color="auto" w:fill="FFCC99"/>
            <w:vAlign w:val="center"/>
          </w:tcPr>
          <w:p w:rsidR="00BF1272" w:rsidRPr="00D64135" w:rsidRDefault="00BF1272" w:rsidP="00AB5953">
            <w:pPr>
              <w:pStyle w:val="BodyText"/>
              <w:keepNext/>
              <w:spacing w:after="0"/>
              <w:ind w:firstLine="0"/>
              <w:jc w:val="left"/>
              <w:rPr>
                <w:b/>
                <w:sz w:val="20"/>
                <w:szCs w:val="20"/>
              </w:rPr>
            </w:pPr>
            <w:r w:rsidRPr="00D64135">
              <w:rPr>
                <w:b/>
                <w:sz w:val="20"/>
                <w:szCs w:val="20"/>
              </w:rPr>
              <w:t>Fuel Forecast</w:t>
            </w:r>
            <w:r w:rsidR="006446E7" w:rsidRPr="00D64135">
              <w:rPr>
                <w:b/>
                <w:sz w:val="20"/>
                <w:szCs w:val="20"/>
              </w:rPr>
              <w:t xml:space="preserve"> Scenario</w:t>
            </w:r>
          </w:p>
        </w:tc>
        <w:tc>
          <w:tcPr>
            <w:tcW w:w="1123" w:type="dxa"/>
            <w:shd w:val="clear" w:color="auto" w:fill="FFCC99"/>
            <w:vAlign w:val="center"/>
          </w:tcPr>
          <w:p w:rsidR="00BF1272" w:rsidRPr="00D64135" w:rsidRDefault="00BF1272" w:rsidP="00AB5953">
            <w:pPr>
              <w:pStyle w:val="BodyText"/>
              <w:keepNext/>
              <w:spacing w:after="0"/>
              <w:ind w:firstLine="0"/>
              <w:jc w:val="left"/>
              <w:rPr>
                <w:b/>
                <w:sz w:val="20"/>
                <w:szCs w:val="20"/>
              </w:rPr>
            </w:pPr>
            <w:r w:rsidRPr="00D64135">
              <w:rPr>
                <w:b/>
                <w:sz w:val="20"/>
                <w:szCs w:val="20"/>
              </w:rPr>
              <w:t>Baseline</w:t>
            </w:r>
          </w:p>
        </w:tc>
        <w:tc>
          <w:tcPr>
            <w:tcW w:w="1079" w:type="dxa"/>
            <w:shd w:val="clear" w:color="auto" w:fill="FFCC99"/>
            <w:vAlign w:val="center"/>
          </w:tcPr>
          <w:p w:rsidR="00BF1272" w:rsidRPr="00D64135" w:rsidRDefault="00BF1272" w:rsidP="00AB5953">
            <w:pPr>
              <w:pStyle w:val="BodyText"/>
              <w:keepNext/>
              <w:spacing w:after="0"/>
              <w:ind w:firstLine="0"/>
              <w:jc w:val="left"/>
              <w:rPr>
                <w:b/>
                <w:sz w:val="20"/>
                <w:szCs w:val="20"/>
              </w:rPr>
            </w:pPr>
            <w:r w:rsidRPr="00D64135">
              <w:rPr>
                <w:b/>
                <w:sz w:val="20"/>
                <w:szCs w:val="20"/>
              </w:rPr>
              <w:t>High</w:t>
            </w:r>
          </w:p>
        </w:tc>
        <w:tc>
          <w:tcPr>
            <w:tcW w:w="1232" w:type="dxa"/>
            <w:shd w:val="clear" w:color="auto" w:fill="FFCC99"/>
            <w:vAlign w:val="center"/>
          </w:tcPr>
          <w:p w:rsidR="00BF1272" w:rsidRPr="00D64135" w:rsidRDefault="00BF1272" w:rsidP="00AB5953">
            <w:pPr>
              <w:pStyle w:val="BodyText"/>
              <w:keepNext/>
              <w:spacing w:after="0"/>
              <w:ind w:firstLine="0"/>
              <w:jc w:val="left"/>
              <w:rPr>
                <w:b/>
                <w:sz w:val="20"/>
                <w:szCs w:val="20"/>
              </w:rPr>
            </w:pPr>
            <w:r w:rsidRPr="00D64135">
              <w:rPr>
                <w:b/>
                <w:sz w:val="20"/>
                <w:szCs w:val="20"/>
              </w:rPr>
              <w:t>Low</w:t>
            </w:r>
          </w:p>
        </w:tc>
      </w:tr>
      <w:tr w:rsidR="00BF1272" w:rsidRPr="00D64135" w:rsidTr="00024013">
        <w:trPr>
          <w:trHeight w:val="288"/>
          <w:jc w:val="center"/>
        </w:trPr>
        <w:tc>
          <w:tcPr>
            <w:tcW w:w="2933" w:type="dxa"/>
            <w:shd w:val="clear" w:color="auto" w:fill="FFCC99"/>
            <w:vAlign w:val="center"/>
          </w:tcPr>
          <w:p w:rsidR="00BF1272" w:rsidRPr="00D64135" w:rsidRDefault="00770413" w:rsidP="00024013">
            <w:pPr>
              <w:pStyle w:val="BodyText"/>
              <w:spacing w:after="0"/>
              <w:ind w:firstLine="0"/>
              <w:jc w:val="left"/>
              <w:rPr>
                <w:b/>
                <w:sz w:val="20"/>
                <w:szCs w:val="20"/>
              </w:rPr>
            </w:pPr>
            <w:r w:rsidRPr="00D64135">
              <w:rPr>
                <w:b/>
                <w:sz w:val="20"/>
                <w:szCs w:val="20"/>
              </w:rPr>
              <w:t>Estimated NPV Savings ($000)</w:t>
            </w:r>
          </w:p>
        </w:tc>
        <w:tc>
          <w:tcPr>
            <w:tcW w:w="1123" w:type="dxa"/>
            <w:vAlign w:val="center"/>
          </w:tcPr>
          <w:p w:rsidR="00BF1272" w:rsidRPr="00D64135" w:rsidRDefault="00BF1272" w:rsidP="00024013">
            <w:pPr>
              <w:pStyle w:val="BodyText"/>
              <w:spacing w:after="0"/>
              <w:ind w:firstLine="0"/>
              <w:jc w:val="left"/>
              <w:rPr>
                <w:sz w:val="20"/>
                <w:szCs w:val="20"/>
              </w:rPr>
            </w:pPr>
            <w:r w:rsidRPr="00D64135">
              <w:rPr>
                <w:sz w:val="20"/>
                <w:szCs w:val="20"/>
              </w:rPr>
              <w:t>$89,451</w:t>
            </w:r>
          </w:p>
        </w:tc>
        <w:tc>
          <w:tcPr>
            <w:tcW w:w="1079" w:type="dxa"/>
            <w:vAlign w:val="center"/>
          </w:tcPr>
          <w:p w:rsidR="00BF1272" w:rsidRPr="00D64135" w:rsidRDefault="00BF1272" w:rsidP="00024013">
            <w:pPr>
              <w:pStyle w:val="BodyText"/>
              <w:spacing w:after="0"/>
              <w:ind w:firstLine="0"/>
              <w:jc w:val="left"/>
              <w:rPr>
                <w:sz w:val="20"/>
                <w:szCs w:val="20"/>
              </w:rPr>
            </w:pPr>
            <w:r w:rsidRPr="00D64135">
              <w:rPr>
                <w:sz w:val="20"/>
                <w:szCs w:val="20"/>
              </w:rPr>
              <w:t>$236,771</w:t>
            </w:r>
          </w:p>
        </w:tc>
        <w:tc>
          <w:tcPr>
            <w:tcW w:w="1232" w:type="dxa"/>
            <w:vAlign w:val="center"/>
          </w:tcPr>
          <w:p w:rsidR="00BF1272" w:rsidRPr="00D64135" w:rsidRDefault="00BF1272" w:rsidP="00024013">
            <w:pPr>
              <w:pStyle w:val="BodyText"/>
              <w:spacing w:after="0"/>
              <w:ind w:firstLine="0"/>
              <w:jc w:val="left"/>
              <w:rPr>
                <w:color w:val="FF0000"/>
                <w:sz w:val="20"/>
                <w:szCs w:val="20"/>
              </w:rPr>
            </w:pPr>
            <w:r w:rsidRPr="00D64135">
              <w:rPr>
                <w:color w:val="FF0000"/>
                <w:sz w:val="20"/>
                <w:szCs w:val="20"/>
              </w:rPr>
              <w:t>($60,240)</w:t>
            </w:r>
          </w:p>
        </w:tc>
      </w:tr>
    </w:tbl>
    <w:p w:rsidR="00770413" w:rsidRPr="00D64135" w:rsidRDefault="00770413" w:rsidP="00024013">
      <w:pPr>
        <w:pStyle w:val="BodyText"/>
        <w:spacing w:after="0"/>
        <w:ind w:firstLine="0"/>
      </w:pPr>
    </w:p>
    <w:p w:rsidR="003E45CC" w:rsidRPr="00D64135" w:rsidRDefault="00DA3FCE" w:rsidP="00024013">
      <w:pPr>
        <w:pStyle w:val="BodyText"/>
        <w:spacing w:after="0"/>
      </w:pPr>
      <w:r w:rsidRPr="00D64135">
        <w:t xml:space="preserve">Staff would note that the high and low fuel forecasts were not independently developed using specific economic conditions, but rather </w:t>
      </w:r>
      <w:r w:rsidR="000B442B" w:rsidRPr="00D64135">
        <w:t>were based</w:t>
      </w:r>
      <w:r w:rsidRPr="00D64135">
        <w:t xml:space="preserve"> upon a flat 15 percent increase or decrease in fuel prices over the full term of the contract.  </w:t>
      </w:r>
      <w:r w:rsidR="00CD5C21" w:rsidRPr="00D64135">
        <w:t xml:space="preserve">Overall, staff </w:t>
      </w:r>
      <w:r w:rsidR="00406526" w:rsidRPr="00D64135">
        <w:t>recommend</w:t>
      </w:r>
      <w:r w:rsidR="00CD5C21" w:rsidRPr="00D64135">
        <w:t xml:space="preserve">s that the </w:t>
      </w:r>
      <w:r w:rsidR="00907BDC" w:rsidRPr="00D64135">
        <w:t>Contracts</w:t>
      </w:r>
      <w:r w:rsidR="00232CC8" w:rsidRPr="00D64135">
        <w:t xml:space="preserve"> are cost-effective</w:t>
      </w:r>
      <w:r w:rsidR="00B56B47" w:rsidRPr="00D64135">
        <w:t xml:space="preserve"> as required by Rule 25-17.0832(b), F.A.C.</w:t>
      </w:r>
      <w:r w:rsidR="00232CC8" w:rsidRPr="00D64135">
        <w:t>, and could result</w:t>
      </w:r>
      <w:r w:rsidR="00CD5C21" w:rsidRPr="00D64135">
        <w:t xml:space="preserve"> in a </w:t>
      </w:r>
      <w:r w:rsidR="004F1EE1" w:rsidRPr="00D64135">
        <w:t>NPV savings of</w:t>
      </w:r>
      <w:r w:rsidR="00CD5C21" w:rsidRPr="00D64135">
        <w:t xml:space="preserve"> $</w:t>
      </w:r>
      <w:r w:rsidR="00D8610D" w:rsidRPr="00D64135">
        <w:t>89.4 million to FPL’s ratepayers over the 30</w:t>
      </w:r>
      <w:r w:rsidR="00024013" w:rsidRPr="00D64135">
        <w:t>-</w:t>
      </w:r>
      <w:r w:rsidR="00D8610D" w:rsidRPr="00D64135">
        <w:t>year period</w:t>
      </w:r>
      <w:r w:rsidR="00FD2052" w:rsidRPr="00D64135">
        <w:t xml:space="preserve"> when compared to the 2025 combined cycle</w:t>
      </w:r>
      <w:r w:rsidR="00797664" w:rsidRPr="00D64135">
        <w:t xml:space="preserve"> avoided unit</w:t>
      </w:r>
      <w:r w:rsidR="00CD5C21" w:rsidRPr="00D64135">
        <w:t>.</w:t>
      </w:r>
    </w:p>
    <w:p w:rsidR="00024013" w:rsidRPr="00D64135" w:rsidRDefault="00024013" w:rsidP="00024013">
      <w:pPr>
        <w:pStyle w:val="BodyText"/>
        <w:spacing w:after="0"/>
      </w:pPr>
    </w:p>
    <w:p w:rsidR="00805DCD" w:rsidRPr="00D64135" w:rsidRDefault="00805DCD" w:rsidP="00AB5953">
      <w:pPr>
        <w:pStyle w:val="BodyText"/>
        <w:keepNext/>
        <w:ind w:firstLine="0"/>
        <w:rPr>
          <w:b/>
        </w:rPr>
      </w:pPr>
      <w:r w:rsidRPr="00D64135">
        <w:rPr>
          <w:b/>
        </w:rPr>
        <w:t>Security for Early Capacity Payments</w:t>
      </w:r>
    </w:p>
    <w:p w:rsidR="00262CC3" w:rsidRPr="00D64135" w:rsidRDefault="004A3DEB" w:rsidP="004A3DEB">
      <w:pPr>
        <w:pStyle w:val="BodyText"/>
      </w:pPr>
      <w:r w:rsidRPr="00D64135">
        <w:rPr>
          <w:shd w:val="clear" w:color="auto" w:fill="FFFFFF" w:themeFill="background1"/>
        </w:rPr>
        <w:t>In cases when a renewable provider receives capacity payments prior to the in-service date of the avoided unit, Rule 25-17.0832(3)(c), F.A.C., requires the Commission to consider whether sufficient security is provided for these payments, and allows the use of forecasted data for this purpose.</w:t>
      </w:r>
      <w:r w:rsidR="00262CC3" w:rsidRPr="00D64135">
        <w:t xml:space="preserve">  These early capacity payments incur an early cost to ratepayers that </w:t>
      </w:r>
      <w:r w:rsidR="00797664" w:rsidRPr="00D64135">
        <w:t>are</w:t>
      </w:r>
      <w:r w:rsidR="00262CC3" w:rsidRPr="00D64135">
        <w:t xml:space="preserve"> gradually recovered over the term of the contract with lower payments in outer years and may require several years to realize savings.  Security is designed to ensure repayment of early costs that are incurred but may not be fully recovered as a result of a default du</w:t>
      </w:r>
      <w:r w:rsidRPr="00D64135">
        <w:t>ring the term of the contract.</w:t>
      </w:r>
    </w:p>
    <w:p w:rsidR="00247F7D" w:rsidRPr="00D64135" w:rsidRDefault="00247F7D" w:rsidP="00EA4EA3">
      <w:pPr>
        <w:pStyle w:val="BodyText"/>
      </w:pPr>
      <w:r w:rsidRPr="00D64135">
        <w:t xml:space="preserve">The </w:t>
      </w:r>
      <w:r w:rsidR="00907BDC" w:rsidRPr="00D64135">
        <w:t>Contracts</w:t>
      </w:r>
      <w:r w:rsidRPr="00D64135">
        <w:t xml:space="preserve"> establish a </w:t>
      </w:r>
      <w:r w:rsidR="00AA0A2E">
        <w:t>p</w:t>
      </w:r>
      <w:r w:rsidRPr="00D64135">
        <w:t xml:space="preserve">ayment </w:t>
      </w:r>
      <w:r w:rsidR="00AA0A2E">
        <w:t>s</w:t>
      </w:r>
      <w:r w:rsidRPr="00D64135">
        <w:t xml:space="preserve">ecurity that is meant to address early payments to the </w:t>
      </w:r>
      <w:r w:rsidR="008422BF" w:rsidRPr="00D64135">
        <w:t xml:space="preserve">US EcoGen </w:t>
      </w:r>
      <w:r w:rsidRPr="00D64135">
        <w:t xml:space="preserve">Facilities, which is to be held as collateral with either cash or a letter of credit.  The </w:t>
      </w:r>
      <w:r w:rsidR="00AA0A2E">
        <w:t>p</w:t>
      </w:r>
      <w:r w:rsidRPr="00D64135">
        <w:t xml:space="preserve">ayment </w:t>
      </w:r>
      <w:r w:rsidR="00AA0A2E">
        <w:t>s</w:t>
      </w:r>
      <w:r w:rsidRPr="00D64135">
        <w:t>ecurity is</w:t>
      </w:r>
      <w:r w:rsidR="004D16C1" w:rsidRPr="00D64135">
        <w:t xml:space="preserve"> to be</w:t>
      </w:r>
      <w:r w:rsidRPr="00D64135">
        <w:t xml:space="preserve"> updated annually, and reflects the forecasted value of </w:t>
      </w:r>
      <w:r w:rsidR="00527D19" w:rsidRPr="00D64135">
        <w:t xml:space="preserve">early </w:t>
      </w:r>
      <w:r w:rsidRPr="00D64135">
        <w:t xml:space="preserve">payments to the </w:t>
      </w:r>
      <w:r w:rsidR="00527D19" w:rsidRPr="00D64135">
        <w:t xml:space="preserve">US EcoGen </w:t>
      </w:r>
      <w:r w:rsidRPr="00D64135">
        <w:t>Facilities that are in excess of the cumula</w:t>
      </w:r>
      <w:r w:rsidR="00797664" w:rsidRPr="00D64135">
        <w:t>tive avoided cost of the 2025 combined cycle</w:t>
      </w:r>
      <w:r w:rsidRPr="00D64135">
        <w:t xml:space="preserve"> avoided unit, including a confidential modifier.  </w:t>
      </w:r>
      <w:r w:rsidR="00527D19" w:rsidRPr="00D64135">
        <w:t>Based on the negotiated contract’s fo</w:t>
      </w:r>
      <w:r w:rsidR="006579C0">
        <w:t>rmula, the amount required for p</w:t>
      </w:r>
      <w:r w:rsidR="00527D19" w:rsidRPr="00D64135">
        <w:t xml:space="preserve">ayment </w:t>
      </w:r>
      <w:r w:rsidR="006579C0">
        <w:t>s</w:t>
      </w:r>
      <w:r w:rsidR="00527D19" w:rsidRPr="00D64135">
        <w:t>ecurity w</w:t>
      </w:r>
      <w:r w:rsidR="00B05078" w:rsidRPr="00D64135">
        <w:t>ould</w:t>
      </w:r>
      <w:r w:rsidR="00527D19" w:rsidRPr="00D64135">
        <w:t xml:space="preserve"> increase until the avoided unit’s 2025 in-service date, at which time </w:t>
      </w:r>
      <w:r w:rsidR="004D16C1" w:rsidRPr="00D64135">
        <w:t xml:space="preserve">the </w:t>
      </w:r>
      <w:r w:rsidR="006579C0">
        <w:t>p</w:t>
      </w:r>
      <w:r w:rsidR="004D16C1" w:rsidRPr="00D64135">
        <w:t xml:space="preserve">ayment </w:t>
      </w:r>
      <w:r w:rsidR="00471E03">
        <w:t>s</w:t>
      </w:r>
      <w:r w:rsidR="00471E03" w:rsidRPr="00D64135">
        <w:t>ecurity</w:t>
      </w:r>
      <w:r w:rsidR="00527D19" w:rsidRPr="00D64135">
        <w:t xml:space="preserve"> w</w:t>
      </w:r>
      <w:r w:rsidR="00B05078" w:rsidRPr="00D64135">
        <w:t>ould</w:t>
      </w:r>
      <w:r w:rsidR="00527D19" w:rsidRPr="00D64135">
        <w:t xml:space="preserve"> decrease annually until it reaches a value of zero. </w:t>
      </w:r>
      <w:r w:rsidR="00024013" w:rsidRPr="00D64135">
        <w:t xml:space="preserve"> </w:t>
      </w:r>
      <w:r w:rsidRPr="00D64135">
        <w:t xml:space="preserve">In the event of a default by any of the three US EcoGen subsidiaries, FPL would be able to draw upon the </w:t>
      </w:r>
      <w:r w:rsidR="006579C0">
        <w:t>p</w:t>
      </w:r>
      <w:r w:rsidRPr="00D64135">
        <w:t xml:space="preserve">ayment </w:t>
      </w:r>
      <w:r w:rsidR="006579C0">
        <w:t>s</w:t>
      </w:r>
      <w:r w:rsidRPr="00D64135">
        <w:t>ecurity to make ratepayers whole</w:t>
      </w:r>
      <w:r w:rsidR="001D686F" w:rsidRPr="00D64135">
        <w:t xml:space="preserve"> for any early payments.  Staff </w:t>
      </w:r>
      <w:r w:rsidR="00406526" w:rsidRPr="00D64135">
        <w:t>recommend</w:t>
      </w:r>
      <w:r w:rsidR="001D686F" w:rsidRPr="00D64135">
        <w:t xml:space="preserve">s that the provisions of the </w:t>
      </w:r>
      <w:r w:rsidR="00907BDC" w:rsidRPr="00D64135">
        <w:t>Contracts</w:t>
      </w:r>
      <w:r w:rsidR="001D686F" w:rsidRPr="00D64135">
        <w:t xml:space="preserve"> adequately provide security for early payments made to the </w:t>
      </w:r>
      <w:r w:rsidR="00890644" w:rsidRPr="00D64135">
        <w:t xml:space="preserve">US EcoGen </w:t>
      </w:r>
      <w:r w:rsidR="001D686F" w:rsidRPr="00D64135">
        <w:t>Facilities in accord</w:t>
      </w:r>
      <w:r w:rsidR="009F2BB2" w:rsidRPr="00D64135">
        <w:t>ance with the Commission’s Rule 25-17.0832(3)(c), F.A.C</w:t>
      </w:r>
      <w:r w:rsidR="001D686F" w:rsidRPr="00D64135">
        <w:t>.</w:t>
      </w:r>
    </w:p>
    <w:p w:rsidR="00805DCD" w:rsidRPr="00D64135" w:rsidRDefault="00805DCD" w:rsidP="00AB5953">
      <w:pPr>
        <w:pStyle w:val="BodyText"/>
        <w:keepNext/>
        <w:ind w:firstLine="0"/>
        <w:rPr>
          <w:b/>
        </w:rPr>
      </w:pPr>
      <w:r w:rsidRPr="00D64135">
        <w:rPr>
          <w:b/>
        </w:rPr>
        <w:t>Performance Guarantees</w:t>
      </w:r>
    </w:p>
    <w:p w:rsidR="00F73B36" w:rsidRPr="00D64135" w:rsidRDefault="00262CC3" w:rsidP="00DB3DA7">
      <w:pPr>
        <w:pStyle w:val="BodyText"/>
      </w:pPr>
      <w:r w:rsidRPr="00D64135">
        <w:t xml:space="preserve">Performance guarantees, </w:t>
      </w:r>
      <w:r w:rsidR="00AA0A2E">
        <w:t xml:space="preserve">such as those </w:t>
      </w:r>
      <w:r w:rsidRPr="00D64135">
        <w:t xml:space="preserve">included in these </w:t>
      </w:r>
      <w:r w:rsidR="00907BDC" w:rsidRPr="00D64135">
        <w:t>Contracts</w:t>
      </w:r>
      <w:r w:rsidRPr="00D64135">
        <w:t xml:space="preserve">, detail how </w:t>
      </w:r>
      <w:r w:rsidR="00AA0A2E">
        <w:t>a</w:t>
      </w:r>
      <w:r w:rsidRPr="00D64135">
        <w:t xml:space="preserve"> </w:t>
      </w:r>
      <w:r w:rsidR="00890644" w:rsidRPr="00D64135">
        <w:t>renewable facilit</w:t>
      </w:r>
      <w:r w:rsidR="00AA0A2E">
        <w:t>y</w:t>
      </w:r>
      <w:r w:rsidRPr="00D64135">
        <w:t xml:space="preserve"> </w:t>
      </w:r>
      <w:r w:rsidR="00AA0A2E">
        <w:t>is</w:t>
      </w:r>
      <w:r w:rsidRPr="00D64135">
        <w:t xml:space="preserve"> to operate and require</w:t>
      </w:r>
      <w:r w:rsidR="00AA0A2E">
        <w:t>s</w:t>
      </w:r>
      <w:r w:rsidRPr="00D64135">
        <w:t xml:space="preserve"> financial penalties or other remedies should it fail to do so within </w:t>
      </w:r>
      <w:r w:rsidR="00AA0A2E">
        <w:t>a</w:t>
      </w:r>
      <w:r w:rsidRPr="00D64135">
        <w:t xml:space="preserve"> co</w:t>
      </w:r>
      <w:r w:rsidR="001F2BEC" w:rsidRPr="00D64135">
        <w:t>ntract’s terms and conditions.</w:t>
      </w:r>
      <w:r w:rsidR="00E52F59" w:rsidRPr="00D64135">
        <w:t xml:space="preserve">  </w:t>
      </w:r>
      <w:r w:rsidR="00DA7D64" w:rsidRPr="00D64135">
        <w:t>Rule 25-17.0832(3)(d), F.A.C., requires the Commission to consider whether the utility’s ratepayers will be protected by the contract’s terms.</w:t>
      </w:r>
      <w:r w:rsidR="00DB3DA7" w:rsidRPr="00D64135">
        <w:t xml:space="preserve">  </w:t>
      </w:r>
      <w:r w:rsidR="00516E49" w:rsidRPr="00D64135">
        <w:t xml:space="preserve">The </w:t>
      </w:r>
      <w:r w:rsidR="00907BDC" w:rsidRPr="00D64135">
        <w:t>Contracts</w:t>
      </w:r>
      <w:r w:rsidR="00516E49" w:rsidRPr="00D64135">
        <w:t xml:space="preserve"> include multiple terms and conditions that protect the ratepayers in the event of a default of the contract.  </w:t>
      </w:r>
      <w:r w:rsidR="00F73B36" w:rsidRPr="00D64135">
        <w:t xml:space="preserve">Each US EcoGen </w:t>
      </w:r>
      <w:r w:rsidR="00890644" w:rsidRPr="00D64135">
        <w:t>Facility</w:t>
      </w:r>
      <w:r w:rsidR="00F73B36" w:rsidRPr="00D64135">
        <w:t xml:space="preserve"> is required to maintain </w:t>
      </w:r>
      <w:r w:rsidR="00AA0A2E">
        <w:t>p</w:t>
      </w:r>
      <w:r w:rsidR="00F73B36" w:rsidRPr="00D64135">
        <w:t xml:space="preserve">erformance </w:t>
      </w:r>
      <w:r w:rsidR="00AA0A2E">
        <w:t>s</w:t>
      </w:r>
      <w:r w:rsidR="00F73B36" w:rsidRPr="00D64135">
        <w:t>ecurity, with a confidential amount of collateral based upon the creditworthiness of the</w:t>
      </w:r>
      <w:r w:rsidR="008422BF" w:rsidRPr="00D64135">
        <w:t xml:space="preserve"> US EcoGen</w:t>
      </w:r>
      <w:r w:rsidR="00F73B36" w:rsidRPr="00D64135">
        <w:t xml:space="preserve"> Facilities and the period of the contract.  The </w:t>
      </w:r>
      <w:r w:rsidR="006579C0">
        <w:t>p</w:t>
      </w:r>
      <w:r w:rsidR="00F73B36" w:rsidRPr="00D64135">
        <w:t xml:space="preserve">erformance </w:t>
      </w:r>
      <w:r w:rsidR="006579C0">
        <w:t>s</w:t>
      </w:r>
      <w:r w:rsidR="00F73B36" w:rsidRPr="00D64135">
        <w:t>ecurity can be drawn upon in the event of a default to recover from any damages that may occur to FPL ratepayers by non-performance under the contract.</w:t>
      </w:r>
    </w:p>
    <w:p w:rsidR="00516E49" w:rsidRPr="00D64135" w:rsidRDefault="00541224" w:rsidP="00E52F59">
      <w:pPr>
        <w:pStyle w:val="BodyText"/>
      </w:pPr>
      <w:r w:rsidRPr="00D64135">
        <w:t xml:space="preserve">The </w:t>
      </w:r>
      <w:r w:rsidR="008422BF" w:rsidRPr="00D64135">
        <w:t xml:space="preserve">US EcoGen </w:t>
      </w:r>
      <w:r w:rsidRPr="00D64135">
        <w:t xml:space="preserve">Facilities are required to operate on a must-run basis and </w:t>
      </w:r>
      <w:r w:rsidR="00516E49" w:rsidRPr="00D64135">
        <w:t>capacity payments are based on a sliding formula</w:t>
      </w:r>
      <w:r w:rsidR="00F73B36" w:rsidRPr="00D64135">
        <w:t xml:space="preserve"> after the initial two</w:t>
      </w:r>
      <w:r w:rsidR="00024013" w:rsidRPr="00D64135">
        <w:t>-</w:t>
      </w:r>
      <w:r w:rsidR="00F73B36" w:rsidRPr="00D64135">
        <w:t>year commissioning period</w:t>
      </w:r>
      <w:r w:rsidRPr="00D64135">
        <w:t>.  I</w:t>
      </w:r>
      <w:r w:rsidR="00516E49" w:rsidRPr="00D64135">
        <w:t xml:space="preserve">f the </w:t>
      </w:r>
      <w:r w:rsidR="008422BF" w:rsidRPr="00D64135">
        <w:t xml:space="preserve">US EcoGen </w:t>
      </w:r>
      <w:r w:rsidR="00516E49" w:rsidRPr="00D64135">
        <w:t>Facilities maintain an average capacity factor of 90 percent</w:t>
      </w:r>
      <w:r w:rsidRPr="00D64135">
        <w:t>, a full payment is provided, with</w:t>
      </w:r>
      <w:r w:rsidR="00516E49" w:rsidRPr="00D64135">
        <w:t xml:space="preserve"> reduced payments until an average capacity factor o</w:t>
      </w:r>
      <w:r w:rsidRPr="00D64135">
        <w:t>f 70 percent, at which time no capacity payment is provided and may constitute an event of default.</w:t>
      </w:r>
      <w:r w:rsidR="00F73B36" w:rsidRPr="00D64135">
        <w:t xml:space="preserve">  Other terms and conditions include milestones associated with permitting</w:t>
      </w:r>
      <w:r w:rsidR="00410025" w:rsidRPr="00D64135">
        <w:t xml:space="preserve"> and</w:t>
      </w:r>
      <w:r w:rsidR="00F73B36" w:rsidRPr="00D64135">
        <w:t xml:space="preserve"> construction</w:t>
      </w:r>
      <w:r w:rsidR="00410025" w:rsidRPr="00D64135">
        <w:t xml:space="preserve"> of each facility, and requirements for</w:t>
      </w:r>
      <w:r w:rsidR="00F73B36" w:rsidRPr="00D64135">
        <w:t xml:space="preserve"> </w:t>
      </w:r>
      <w:r w:rsidR="00410025" w:rsidRPr="00D64135">
        <w:t xml:space="preserve">the </w:t>
      </w:r>
      <w:r w:rsidR="00F73B36" w:rsidRPr="00D64135">
        <w:t xml:space="preserve">operation of </w:t>
      </w:r>
      <w:r w:rsidR="00410025" w:rsidRPr="00D64135">
        <w:t>each facility,</w:t>
      </w:r>
      <w:r w:rsidR="00F73B36" w:rsidRPr="00D64135">
        <w:t xml:space="preserve"> </w:t>
      </w:r>
      <w:r w:rsidR="00797664" w:rsidRPr="00D64135">
        <w:t>such as</w:t>
      </w:r>
      <w:r w:rsidR="00F73B36" w:rsidRPr="00D64135">
        <w:t xml:space="preserve"> maintain</w:t>
      </w:r>
      <w:r w:rsidR="00797664" w:rsidRPr="00D64135">
        <w:t>ing</w:t>
      </w:r>
      <w:r w:rsidR="00F73B36" w:rsidRPr="00D64135">
        <w:t xml:space="preserve"> a </w:t>
      </w:r>
      <w:r w:rsidR="002840C2" w:rsidRPr="00D64135">
        <w:t>specified minimum</w:t>
      </w:r>
      <w:r w:rsidR="00F73B36" w:rsidRPr="00D64135">
        <w:t xml:space="preserve"> quantity of fuel on-site.</w:t>
      </w:r>
      <w:r w:rsidR="00E52F59" w:rsidRPr="00D64135">
        <w:t xml:space="preserve">  </w:t>
      </w:r>
      <w:r w:rsidR="00516E49" w:rsidRPr="00D64135">
        <w:t xml:space="preserve">Staff has reviewed the performance guarantees contained in each contract and </w:t>
      </w:r>
      <w:r w:rsidR="002840C2" w:rsidRPr="00D64135">
        <w:t>recommends that they are</w:t>
      </w:r>
      <w:r w:rsidR="00516E49" w:rsidRPr="00D64135">
        <w:t xml:space="preserve"> adeq</w:t>
      </w:r>
      <w:r w:rsidR="00BE118A" w:rsidRPr="00D64135">
        <w:t>uate</w:t>
      </w:r>
      <w:r w:rsidR="00B56B47" w:rsidRPr="00D64135">
        <w:t xml:space="preserve"> to protect the ratepayers, as required by Rule 25-17.0832(d), F.A.C</w:t>
      </w:r>
      <w:r w:rsidR="00BE118A" w:rsidRPr="00D64135">
        <w:t>.</w:t>
      </w:r>
    </w:p>
    <w:p w:rsidR="00805DCD" w:rsidRPr="00D64135" w:rsidRDefault="00805DCD" w:rsidP="00AB5953">
      <w:pPr>
        <w:pStyle w:val="BodyText"/>
        <w:keepNext/>
        <w:ind w:firstLine="0"/>
        <w:rPr>
          <w:b/>
        </w:rPr>
      </w:pPr>
      <w:r w:rsidRPr="00D64135">
        <w:rPr>
          <w:b/>
        </w:rPr>
        <w:t>Conclusion</w:t>
      </w:r>
    </w:p>
    <w:p w:rsidR="00BE118A" w:rsidRPr="00D64135" w:rsidRDefault="00BE118A">
      <w:pPr>
        <w:pStyle w:val="BodyText"/>
      </w:pPr>
      <w:r w:rsidRPr="00D64135">
        <w:t xml:space="preserve">The negotiated purchased power </w:t>
      </w:r>
      <w:r w:rsidR="00AA0A2E">
        <w:t>C</w:t>
      </w:r>
      <w:r w:rsidRPr="00D64135">
        <w:t xml:space="preserve">ontracts between US EcoGen </w:t>
      </w:r>
      <w:r w:rsidR="008422BF" w:rsidRPr="00D64135">
        <w:t>Facilities</w:t>
      </w:r>
      <w:r w:rsidRPr="00D64135">
        <w:t xml:space="preserve"> and FPL meet all the requirements of the Commission’s Rules governing renewable energy.  The </w:t>
      </w:r>
      <w:r w:rsidR="00907BDC" w:rsidRPr="00D64135">
        <w:t>Contracts</w:t>
      </w:r>
      <w:r w:rsidRPr="00D64135">
        <w:t xml:space="preserve"> provide for r</w:t>
      </w:r>
      <w:r w:rsidR="009049C3" w:rsidRPr="00D64135">
        <w:t xml:space="preserve">enewable capacity and energy to FPL’s system, increasing fuel diversity.  The </w:t>
      </w:r>
      <w:r w:rsidR="00907BDC" w:rsidRPr="00D64135">
        <w:t>Contracts</w:t>
      </w:r>
      <w:r w:rsidR="009049C3" w:rsidRPr="00D64135">
        <w:t xml:space="preserve"> are cost-effective when compared to FPL’s next avoidable fossil fueled generating unit, and are projected to create a net</w:t>
      </w:r>
      <w:r w:rsidR="00E52F59" w:rsidRPr="00D64135">
        <w:t xml:space="preserve"> present value</w:t>
      </w:r>
      <w:r w:rsidR="009049C3" w:rsidRPr="00D64135">
        <w:t xml:space="preserve"> savings of $89.4 million.  In the event of a default, early payments to the</w:t>
      </w:r>
      <w:r w:rsidR="008422BF" w:rsidRPr="00D64135">
        <w:t xml:space="preserve"> US EcoGen</w:t>
      </w:r>
      <w:r w:rsidR="009049C3" w:rsidRPr="00D64135">
        <w:t xml:space="preserve"> Facilities are covered under the contract’s payment security terms.  </w:t>
      </w:r>
      <w:r w:rsidR="002840C2" w:rsidRPr="00D64135">
        <w:t>T</w:t>
      </w:r>
      <w:r w:rsidR="009049C3" w:rsidRPr="00D64135">
        <w:t xml:space="preserve">he terms and conditions of the </w:t>
      </w:r>
      <w:r w:rsidR="00907BDC" w:rsidRPr="00D64135">
        <w:t>Contracts</w:t>
      </w:r>
      <w:r w:rsidR="009049C3" w:rsidRPr="00D64135">
        <w:t xml:space="preserve"> provide protection and performance security for ratepayers in the event the </w:t>
      </w:r>
      <w:r w:rsidR="008422BF" w:rsidRPr="00D64135">
        <w:t xml:space="preserve">US EcoGen </w:t>
      </w:r>
      <w:r w:rsidR="009049C3" w:rsidRPr="00D64135">
        <w:t>Facilities fail to deliver firm capacity as specified.</w:t>
      </w:r>
      <w:r w:rsidR="00B92A46" w:rsidRPr="00D64135">
        <w:t xml:space="preserve">  Therefore, staff recommen</w:t>
      </w:r>
      <w:r w:rsidR="00E52F59" w:rsidRPr="00D64135">
        <w:t xml:space="preserve">ds that the Commission approve, for cost recovery, </w:t>
      </w:r>
      <w:r w:rsidR="00B92A46" w:rsidRPr="00D64135">
        <w:t xml:space="preserve">the </w:t>
      </w:r>
      <w:r w:rsidR="00907BDC" w:rsidRPr="00D64135">
        <w:t>Contracts</w:t>
      </w:r>
      <w:r w:rsidR="00B92A46" w:rsidRPr="00D64135">
        <w:t xml:space="preserve"> between</w:t>
      </w:r>
      <w:r w:rsidR="00E52F59" w:rsidRPr="00D64135">
        <w:t xml:space="preserve"> the</w:t>
      </w:r>
      <w:r w:rsidR="00B92A46" w:rsidRPr="00D64135">
        <w:t xml:space="preserve"> US EcoGen </w:t>
      </w:r>
      <w:r w:rsidR="008422BF" w:rsidRPr="00D64135">
        <w:t>Facilities</w:t>
      </w:r>
      <w:r w:rsidR="00B92A46" w:rsidRPr="00D64135">
        <w:t xml:space="preserve"> and FPL.</w:t>
      </w:r>
    </w:p>
    <w:p w:rsidR="00534F4B" w:rsidRPr="00D64135" w:rsidRDefault="00534F4B" w:rsidP="00BE118A">
      <w:pPr>
        <w:pStyle w:val="IssueHeading"/>
        <w:rPr>
          <w:vanish/>
          <w:specVanish/>
        </w:rPr>
      </w:pPr>
      <w:r w:rsidRPr="00D64135">
        <w:br w:type="page"/>
      </w:r>
      <w:r w:rsidRPr="00D64135">
        <w:rPr>
          <w:b/>
          <w:u w:val="single"/>
        </w:rPr>
        <w:t xml:space="preserve">Issue </w:t>
      </w:r>
      <w:r w:rsidRPr="00D64135">
        <w:rPr>
          <w:b/>
          <w:u w:val="single"/>
        </w:rPr>
        <w:fldChar w:fldCharType="begin"/>
      </w:r>
      <w:r w:rsidRPr="00D64135">
        <w:rPr>
          <w:b/>
          <w:u w:val="single"/>
        </w:rPr>
        <w:instrText xml:space="preserve"> SEQ Issue \* MERGEFORMAT </w:instrText>
      </w:r>
      <w:r w:rsidRPr="00D64135">
        <w:rPr>
          <w:b/>
          <w:u w:val="single"/>
        </w:rPr>
        <w:fldChar w:fldCharType="separate"/>
      </w:r>
      <w:r w:rsidR="000E3E38">
        <w:rPr>
          <w:b/>
          <w:noProof/>
          <w:u w:val="single"/>
        </w:rPr>
        <w:t>2</w:t>
      </w:r>
      <w:r w:rsidRPr="00D64135">
        <w:rPr>
          <w:b/>
          <w:u w:val="single"/>
        </w:rPr>
        <w:fldChar w:fldCharType="end"/>
      </w:r>
      <w:r w:rsidRPr="00D64135">
        <w:t>:</w:t>
      </w:r>
      <w:r w:rsidRPr="00D64135">
        <w:fldChar w:fldCharType="begin"/>
      </w:r>
      <w:r w:rsidRPr="00D64135">
        <w:instrText xml:space="preserve"> TC "</w:instrText>
      </w:r>
      <w:r w:rsidRPr="00D64135">
        <w:fldChar w:fldCharType="begin"/>
      </w:r>
      <w:r w:rsidRPr="00D64135">
        <w:instrText xml:space="preserve"> SEQ issue \c </w:instrText>
      </w:r>
      <w:r w:rsidRPr="00D64135">
        <w:fldChar w:fldCharType="separate"/>
      </w:r>
      <w:r w:rsidR="000E3E38">
        <w:rPr>
          <w:noProof/>
        </w:rPr>
        <w:instrText>2</w:instrText>
      </w:r>
      <w:r w:rsidRPr="00D64135">
        <w:fldChar w:fldCharType="end"/>
      </w:r>
      <w:r w:rsidRPr="00D64135">
        <w:tab/>
        <w:instrText xml:space="preserve"> (Murphy)" \l 1 </w:instrText>
      </w:r>
      <w:r w:rsidRPr="00D64135">
        <w:fldChar w:fldCharType="end"/>
      </w:r>
      <w:r w:rsidRPr="00D64135">
        <w:t> </w:t>
      </w:r>
    </w:p>
    <w:p w:rsidR="00534F4B" w:rsidRPr="00D64135" w:rsidRDefault="00534F4B">
      <w:pPr>
        <w:pStyle w:val="BodyText"/>
      </w:pPr>
      <w:r w:rsidRPr="00D64135">
        <w:t> Should this docket be closed?</w:t>
      </w:r>
    </w:p>
    <w:p w:rsidR="00534F4B" w:rsidRPr="00D64135" w:rsidRDefault="00534F4B">
      <w:pPr>
        <w:pStyle w:val="IssueSubsectionHeading"/>
        <w:rPr>
          <w:vanish/>
          <w:specVanish/>
        </w:rPr>
      </w:pPr>
      <w:r w:rsidRPr="00D64135">
        <w:rPr>
          <w:b/>
          <w:u w:val="single"/>
        </w:rPr>
        <w:t>Recommendation</w:t>
      </w:r>
      <w:r w:rsidRPr="00D64135">
        <w:t>: </w:t>
      </w:r>
    </w:p>
    <w:p w:rsidR="00534F4B" w:rsidRPr="00D64135" w:rsidRDefault="00534F4B">
      <w:pPr>
        <w:pStyle w:val="BodyText"/>
      </w:pPr>
      <w:r w:rsidRPr="00D64135">
        <w:t> </w:t>
      </w:r>
      <w:bookmarkStart w:id="16" w:name="IssueRecommendation"/>
      <w:r w:rsidR="00606AC5" w:rsidRPr="00D64135">
        <w:t>Yes.  This docket should be closed upon issuance of a Consummating Order unless a person whose substantial interests are affected by the Commission’s decision files a protest within 21 days of the issuance of the proposed agency action.</w:t>
      </w:r>
      <w:bookmarkEnd w:id="16"/>
      <w:r w:rsidRPr="00D64135">
        <w:t xml:space="preserve">  (Murphy)</w:t>
      </w:r>
    </w:p>
    <w:p w:rsidR="00534F4B" w:rsidRPr="00D64135" w:rsidRDefault="00534F4B">
      <w:pPr>
        <w:pStyle w:val="IssueSubsectionHeading"/>
        <w:rPr>
          <w:vanish/>
          <w:specVanish/>
        </w:rPr>
      </w:pPr>
      <w:r w:rsidRPr="00D64135">
        <w:rPr>
          <w:b/>
          <w:u w:val="single"/>
        </w:rPr>
        <w:t>Staff Analysis</w:t>
      </w:r>
      <w:r w:rsidRPr="00D64135">
        <w:t>: </w:t>
      </w:r>
    </w:p>
    <w:p w:rsidR="00534F4B" w:rsidRDefault="00534F4B">
      <w:pPr>
        <w:pStyle w:val="BodyText"/>
      </w:pPr>
      <w:r w:rsidRPr="00D64135">
        <w:t> </w:t>
      </w:r>
      <w:r w:rsidR="00606AC5" w:rsidRPr="00D64135">
        <w:t>This docket should be closed upon issuance of a Consummating Order unless a person whose substantial interests are affected by the Commission’s decision files a protest within 21 days of the issuance of the proposed agency action.</w:t>
      </w:r>
    </w:p>
    <w:p w:rsidR="007C0528" w:rsidRDefault="007C0528">
      <w:pPr>
        <w:pStyle w:val="BodyText"/>
      </w:pPr>
    </w:p>
    <w:sectPr w:rsidR="007C052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F4B" w:rsidRDefault="00534F4B">
      <w:r>
        <w:separator/>
      </w:r>
    </w:p>
  </w:endnote>
  <w:endnote w:type="continuationSeparator" w:id="0">
    <w:p w:rsidR="00534F4B" w:rsidRDefault="0053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28" w:rsidRDefault="007C052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F4930">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F4B" w:rsidRDefault="00534F4B">
      <w:r>
        <w:separator/>
      </w:r>
    </w:p>
  </w:footnote>
  <w:footnote w:type="continuationSeparator" w:id="0">
    <w:p w:rsidR="00534F4B" w:rsidRDefault="00534F4B">
      <w:r>
        <w:continuationSeparator/>
      </w:r>
    </w:p>
  </w:footnote>
  <w:footnote w:id="1">
    <w:p w:rsidR="007144E8" w:rsidRDefault="007144E8">
      <w:pPr>
        <w:pStyle w:val="FootnoteText"/>
      </w:pPr>
      <w:r>
        <w:rPr>
          <w:rStyle w:val="FootnoteReference"/>
        </w:rPr>
        <w:footnoteRef/>
      </w:r>
      <w:r>
        <w:t xml:space="preserve"> </w:t>
      </w:r>
      <w:r w:rsidRPr="007144E8">
        <w:rPr>
          <w:u w:val="single"/>
        </w:rPr>
        <w:t>See</w:t>
      </w:r>
      <w:r>
        <w:t xml:space="preserve"> Order No. PSC 13-0103-PCO-EQ, issued February 27, 2013, in Docket No. 120314-EQ – </w:t>
      </w:r>
      <w:r w:rsidRPr="007144E8">
        <w:rPr>
          <w:u w:val="single"/>
        </w:rPr>
        <w:t xml:space="preserve">In re: </w:t>
      </w:r>
      <w:r w:rsidRPr="007144E8">
        <w:rPr>
          <w:bCs/>
          <w:u w:val="single"/>
        </w:rPr>
        <w:t>Petition for approval of negotiated renewable energy contracts with U.S. EcoGen Okeechobee, LLC, U.S. EcoGen Clay, LLC, and U.S. EcoGen Martin, LLC, by Florida Power &amp; Light Company</w:t>
      </w:r>
      <w:r w:rsidRPr="00187084">
        <w:rPr>
          <w:bCs/>
        </w:rPr>
        <w:t>.</w:t>
      </w:r>
    </w:p>
  </w:footnote>
  <w:footnote w:id="2">
    <w:p w:rsidR="000B3BCB" w:rsidRDefault="000B3BCB" w:rsidP="000B3BCB">
      <w:pPr>
        <w:pStyle w:val="FootnoteText"/>
      </w:pPr>
      <w:r>
        <w:rPr>
          <w:rStyle w:val="FootnoteReference"/>
        </w:rPr>
        <w:footnoteRef/>
      </w:r>
      <w:r>
        <w:t xml:space="preserve"> </w:t>
      </w:r>
      <w:r w:rsidRPr="00696863">
        <w:rPr>
          <w:u w:val="single"/>
        </w:rPr>
        <w:t>See</w:t>
      </w:r>
      <w:r>
        <w:t xml:space="preserve"> Order No. PSC-99-2507-S-EU, issued December 22, 1999, in Docket No. 981890-EU - </w:t>
      </w:r>
      <w:r w:rsidRPr="00A66DE5">
        <w:rPr>
          <w:u w:val="single"/>
        </w:rPr>
        <w:t>In re: Generic investigation into the aggregate electric utility reserve margins planned for Peninsular Florida</w:t>
      </w:r>
      <w:r w:rsidRPr="00187084">
        <w:t>.</w:t>
      </w:r>
    </w:p>
  </w:footnote>
  <w:footnote w:id="3">
    <w:p w:rsidR="00D4682E" w:rsidRPr="00910F6E" w:rsidRDefault="00D4682E" w:rsidP="00D4682E">
      <w:pPr>
        <w:pStyle w:val="Default"/>
        <w:rPr>
          <w:sz w:val="20"/>
          <w:szCs w:val="20"/>
        </w:rPr>
      </w:pPr>
      <w:r w:rsidRPr="00910F6E">
        <w:rPr>
          <w:rStyle w:val="FootnoteReference"/>
          <w:sz w:val="20"/>
          <w:szCs w:val="20"/>
        </w:rPr>
        <w:footnoteRef/>
      </w:r>
      <w:r w:rsidRPr="00910F6E">
        <w:rPr>
          <w:sz w:val="20"/>
          <w:szCs w:val="20"/>
        </w:rPr>
        <w:t xml:space="preserve"> </w:t>
      </w:r>
      <w:r w:rsidRPr="00AF3B7F">
        <w:rPr>
          <w:sz w:val="20"/>
          <w:szCs w:val="20"/>
          <w:u w:val="single"/>
        </w:rPr>
        <w:t>See</w:t>
      </w:r>
      <w:r w:rsidRPr="00910F6E">
        <w:rPr>
          <w:sz w:val="20"/>
          <w:szCs w:val="20"/>
        </w:rPr>
        <w:t xml:space="preserve"> Order No. PSC-12-0336-TRF-EQ, issued June 27, 2012, in Docket No. 120072-EQ, </w:t>
      </w:r>
      <w:r w:rsidRPr="00910F6E">
        <w:rPr>
          <w:sz w:val="20"/>
          <w:szCs w:val="20"/>
          <w:u w:val="single"/>
        </w:rPr>
        <w:t xml:space="preserve">In re: </w:t>
      </w:r>
      <w:r w:rsidRPr="00910F6E">
        <w:rPr>
          <w:bCs/>
          <w:sz w:val="20"/>
          <w:szCs w:val="20"/>
          <w:u w:val="single"/>
        </w:rPr>
        <w:t>Petition for approval of renewable energy tariff and standard offer contract, by Florida Power &amp; Light Company</w:t>
      </w:r>
      <w:r w:rsidRPr="00187084">
        <w:rPr>
          <w:bCs/>
          <w:sz w:val="20"/>
          <w:szCs w:val="20"/>
        </w:rPr>
        <w:t>.</w:t>
      </w:r>
      <w:r w:rsidRPr="00187084">
        <w:rPr>
          <w:sz w:val="20"/>
          <w:szCs w:val="20"/>
        </w:rPr>
        <w:t xml:space="preserve"> </w:t>
      </w:r>
      <w:r w:rsidRPr="00910F6E">
        <w:rPr>
          <w:sz w:val="20"/>
          <w:szCs w:val="20"/>
        </w:rPr>
        <w:t xml:space="preserve"> </w:t>
      </w:r>
    </w:p>
  </w:footnote>
  <w:footnote w:id="4">
    <w:p w:rsidR="009F7D68" w:rsidRDefault="009F7D68" w:rsidP="009F7D68">
      <w:pPr>
        <w:pStyle w:val="FootnoteText"/>
      </w:pPr>
      <w:r>
        <w:rPr>
          <w:rStyle w:val="FootnoteReference"/>
        </w:rPr>
        <w:footnoteRef/>
      </w:r>
      <w:r>
        <w:t xml:space="preserve"> </w:t>
      </w:r>
      <w:r w:rsidRPr="001E77F3">
        <w:rPr>
          <w:u w:val="single"/>
        </w:rPr>
        <w:t>See</w:t>
      </w:r>
      <w:r>
        <w:t xml:space="preserve"> Order No. PSC-08-0237-FOF-EI, issued April 11, 2008, in Docket No. 070650-EI - </w:t>
      </w:r>
      <w:r w:rsidRPr="001E77F3">
        <w:rPr>
          <w:u w:val="single"/>
        </w:rPr>
        <w:t>In re: Petition to determine need for Turkey Point Nuclear Units 6 and 7 electrical power plant, by Florida Power &amp; Light Company</w:t>
      </w:r>
      <w:r>
        <w:t>.</w:t>
      </w:r>
    </w:p>
  </w:footnote>
  <w:footnote w:id="5">
    <w:p w:rsidR="00446E8D" w:rsidRDefault="00446E8D">
      <w:pPr>
        <w:pStyle w:val="FootnoteText"/>
      </w:pPr>
      <w:r>
        <w:rPr>
          <w:rStyle w:val="FootnoteReference"/>
        </w:rPr>
        <w:footnoteRef/>
      </w:r>
      <w:r>
        <w:t xml:space="preserve"> </w:t>
      </w:r>
      <w:r w:rsidR="0017659A" w:rsidRPr="00AF3B7F">
        <w:rPr>
          <w:u w:val="single"/>
        </w:rPr>
        <w:t>See</w:t>
      </w:r>
      <w:r w:rsidR="0017659A" w:rsidRPr="00910F6E">
        <w:t xml:space="preserve"> Order No. PSC-12-0336-TRF-EQ</w:t>
      </w:r>
      <w:r w:rsidR="00F06E85">
        <w:t>,</w:t>
      </w:r>
      <w:r w:rsidR="0017659A" w:rsidRPr="00910F6E">
        <w:t xml:space="preserve"> issued June 27, 2012, in Docket No. 120072-EQ, </w:t>
      </w:r>
      <w:r w:rsidR="0017659A" w:rsidRPr="00910F6E">
        <w:rPr>
          <w:u w:val="single"/>
        </w:rPr>
        <w:t xml:space="preserve">In re: </w:t>
      </w:r>
      <w:r w:rsidR="0017659A" w:rsidRPr="00910F6E">
        <w:rPr>
          <w:bCs/>
          <w:u w:val="single"/>
        </w:rPr>
        <w:t>Petition for approval of renewable energy tariff and standard offer contract, by Florida Power &amp; Light Company</w:t>
      </w:r>
      <w:r w:rsidR="00453A7F" w:rsidRPr="00453A7F">
        <w:rPr>
          <w:bCs/>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28" w:rsidRDefault="00534F4B">
    <w:pPr>
      <w:pStyle w:val="Header"/>
    </w:pPr>
    <w:bookmarkStart w:id="17" w:name="DocketLabel"/>
    <w:r>
      <w:t>Docket No.</w:t>
    </w:r>
    <w:bookmarkEnd w:id="17"/>
    <w:r w:rsidR="007C0528">
      <w:t xml:space="preserve"> </w:t>
    </w:r>
    <w:bookmarkStart w:id="18" w:name="DocketList"/>
    <w:r>
      <w:t>120314-EQ</w:t>
    </w:r>
    <w:bookmarkEnd w:id="18"/>
  </w:p>
  <w:p w:rsidR="007C0528" w:rsidRDefault="007C0528">
    <w:pPr>
      <w:pStyle w:val="Header"/>
    </w:pPr>
    <w:r>
      <w:t xml:space="preserve">Date: </w:t>
    </w:r>
    <w:r w:rsidR="00187084">
      <w:t xml:space="preserve"> </w:t>
    </w:r>
    <w:r w:rsidR="00732A95">
      <w:fldChar w:fldCharType="begin"/>
    </w:r>
    <w:r w:rsidR="00732A95">
      <w:instrText xml:space="preserve"> REF FilingDate </w:instrText>
    </w:r>
    <w:r w:rsidR="00732A95">
      <w:fldChar w:fldCharType="separate"/>
    </w:r>
    <w:r w:rsidR="000E3E38" w:rsidRPr="00D64135">
      <w:t>March 28, 2013</w:t>
    </w:r>
    <w:r w:rsidR="00732A9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57"/>
  <w:noPunctuationKerning/>
  <w:characterSpacingControl w:val="doNotCompress"/>
  <w:hdrShapeDefaults>
    <o:shapedefaults v:ext="edit" spidmax="108545"/>
  </w:hdrShapeDefaults>
  <w:footnotePr>
    <w:footnote w:id="-1"/>
    <w:footnote w:id="0"/>
  </w:footnotePr>
  <w:endnotePr>
    <w:endnote w:id="-1"/>
    <w:endnote w:id="0"/>
  </w:endnotePr>
  <w:compat>
    <w:doNotExpandShiftReturn/>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umberOfIssues" w:val="0"/>
    <w:docVar w:name="StaffInToC" w:val="True"/>
  </w:docVars>
  <w:rsids>
    <w:rsidRoot w:val="00534F4B"/>
    <w:rsid w:val="00024013"/>
    <w:rsid w:val="0003143E"/>
    <w:rsid w:val="00035917"/>
    <w:rsid w:val="00035E20"/>
    <w:rsid w:val="00062914"/>
    <w:rsid w:val="00086E54"/>
    <w:rsid w:val="000870A0"/>
    <w:rsid w:val="00095A4E"/>
    <w:rsid w:val="000A0608"/>
    <w:rsid w:val="000B0B5D"/>
    <w:rsid w:val="000B3BCB"/>
    <w:rsid w:val="000B442B"/>
    <w:rsid w:val="000B6BAB"/>
    <w:rsid w:val="000C2DCB"/>
    <w:rsid w:val="000C42D7"/>
    <w:rsid w:val="000C4B73"/>
    <w:rsid w:val="000E3E38"/>
    <w:rsid w:val="001055EA"/>
    <w:rsid w:val="00123123"/>
    <w:rsid w:val="001236F4"/>
    <w:rsid w:val="00125FBB"/>
    <w:rsid w:val="00137651"/>
    <w:rsid w:val="001405C6"/>
    <w:rsid w:val="001444C8"/>
    <w:rsid w:val="00146ABF"/>
    <w:rsid w:val="0017659A"/>
    <w:rsid w:val="00187084"/>
    <w:rsid w:val="00196B86"/>
    <w:rsid w:val="001A3871"/>
    <w:rsid w:val="001A4E4A"/>
    <w:rsid w:val="001A5AFB"/>
    <w:rsid w:val="001A60D3"/>
    <w:rsid w:val="001B43B4"/>
    <w:rsid w:val="001B51C5"/>
    <w:rsid w:val="001C19C6"/>
    <w:rsid w:val="001C609A"/>
    <w:rsid w:val="001D686F"/>
    <w:rsid w:val="001E0833"/>
    <w:rsid w:val="001E77F3"/>
    <w:rsid w:val="001F2BEC"/>
    <w:rsid w:val="0020346A"/>
    <w:rsid w:val="00205DC2"/>
    <w:rsid w:val="0021405D"/>
    <w:rsid w:val="00215E39"/>
    <w:rsid w:val="00232CC8"/>
    <w:rsid w:val="00236D76"/>
    <w:rsid w:val="00247F7D"/>
    <w:rsid w:val="00262CC3"/>
    <w:rsid w:val="002670B1"/>
    <w:rsid w:val="002840C2"/>
    <w:rsid w:val="00296E86"/>
    <w:rsid w:val="00297EAB"/>
    <w:rsid w:val="002A55C2"/>
    <w:rsid w:val="002B12A0"/>
    <w:rsid w:val="002B2485"/>
    <w:rsid w:val="002B2B42"/>
    <w:rsid w:val="002B6335"/>
    <w:rsid w:val="002C252E"/>
    <w:rsid w:val="002C62DC"/>
    <w:rsid w:val="002C6D51"/>
    <w:rsid w:val="002E3224"/>
    <w:rsid w:val="002F3E6D"/>
    <w:rsid w:val="002F4930"/>
    <w:rsid w:val="002F7FE3"/>
    <w:rsid w:val="00300E54"/>
    <w:rsid w:val="00303832"/>
    <w:rsid w:val="00306737"/>
    <w:rsid w:val="003112D3"/>
    <w:rsid w:val="00321A3D"/>
    <w:rsid w:val="003523B5"/>
    <w:rsid w:val="00377C0B"/>
    <w:rsid w:val="00385D0C"/>
    <w:rsid w:val="0039328A"/>
    <w:rsid w:val="003A3223"/>
    <w:rsid w:val="003B4E65"/>
    <w:rsid w:val="003B6B4B"/>
    <w:rsid w:val="003D4F28"/>
    <w:rsid w:val="003E45CC"/>
    <w:rsid w:val="003E5E4D"/>
    <w:rsid w:val="003F29F2"/>
    <w:rsid w:val="00405D59"/>
    <w:rsid w:val="00406526"/>
    <w:rsid w:val="00407FE6"/>
    <w:rsid w:val="00410025"/>
    <w:rsid w:val="004202CC"/>
    <w:rsid w:val="00432521"/>
    <w:rsid w:val="00446E8D"/>
    <w:rsid w:val="004470CC"/>
    <w:rsid w:val="00453A7F"/>
    <w:rsid w:val="00471E03"/>
    <w:rsid w:val="00473C5A"/>
    <w:rsid w:val="00494103"/>
    <w:rsid w:val="004A25A4"/>
    <w:rsid w:val="004A3DEB"/>
    <w:rsid w:val="004A4EB2"/>
    <w:rsid w:val="004C764E"/>
    <w:rsid w:val="004D16C1"/>
    <w:rsid w:val="004D68C8"/>
    <w:rsid w:val="004E11F9"/>
    <w:rsid w:val="004E3CC9"/>
    <w:rsid w:val="004E7932"/>
    <w:rsid w:val="004F1EE1"/>
    <w:rsid w:val="004F3762"/>
    <w:rsid w:val="004F421E"/>
    <w:rsid w:val="004F6EDA"/>
    <w:rsid w:val="005007B4"/>
    <w:rsid w:val="00504323"/>
    <w:rsid w:val="00504337"/>
    <w:rsid w:val="00511399"/>
    <w:rsid w:val="00516E49"/>
    <w:rsid w:val="00526847"/>
    <w:rsid w:val="00527D19"/>
    <w:rsid w:val="00534D93"/>
    <w:rsid w:val="00534F4B"/>
    <w:rsid w:val="00541224"/>
    <w:rsid w:val="00552F77"/>
    <w:rsid w:val="00560044"/>
    <w:rsid w:val="005607B0"/>
    <w:rsid w:val="00566C21"/>
    <w:rsid w:val="0058188F"/>
    <w:rsid w:val="00590CFA"/>
    <w:rsid w:val="00594B2A"/>
    <w:rsid w:val="00596106"/>
    <w:rsid w:val="005A2FFA"/>
    <w:rsid w:val="005A3D8A"/>
    <w:rsid w:val="005A4B9F"/>
    <w:rsid w:val="005B0EAC"/>
    <w:rsid w:val="005B62C1"/>
    <w:rsid w:val="005B68AE"/>
    <w:rsid w:val="005D3CF6"/>
    <w:rsid w:val="005E3A31"/>
    <w:rsid w:val="005F62E1"/>
    <w:rsid w:val="00604EB4"/>
    <w:rsid w:val="00606AC5"/>
    <w:rsid w:val="00615D32"/>
    <w:rsid w:val="00617F03"/>
    <w:rsid w:val="006345FF"/>
    <w:rsid w:val="0063679D"/>
    <w:rsid w:val="006446E7"/>
    <w:rsid w:val="0064486E"/>
    <w:rsid w:val="00656621"/>
    <w:rsid w:val="00656F33"/>
    <w:rsid w:val="006579C0"/>
    <w:rsid w:val="00657F9E"/>
    <w:rsid w:val="0066201B"/>
    <w:rsid w:val="00663916"/>
    <w:rsid w:val="006714C5"/>
    <w:rsid w:val="0067561F"/>
    <w:rsid w:val="006847F3"/>
    <w:rsid w:val="00686D8E"/>
    <w:rsid w:val="006953F7"/>
    <w:rsid w:val="006A0DDB"/>
    <w:rsid w:val="006B2748"/>
    <w:rsid w:val="006B7419"/>
    <w:rsid w:val="006C4469"/>
    <w:rsid w:val="006D3070"/>
    <w:rsid w:val="006D708F"/>
    <w:rsid w:val="006F0359"/>
    <w:rsid w:val="006F326C"/>
    <w:rsid w:val="007034C6"/>
    <w:rsid w:val="007111C6"/>
    <w:rsid w:val="007144E8"/>
    <w:rsid w:val="00717D85"/>
    <w:rsid w:val="00731DE7"/>
    <w:rsid w:val="00732A95"/>
    <w:rsid w:val="00737FCB"/>
    <w:rsid w:val="0074019A"/>
    <w:rsid w:val="0074062C"/>
    <w:rsid w:val="007523C4"/>
    <w:rsid w:val="0075410C"/>
    <w:rsid w:val="00770413"/>
    <w:rsid w:val="00774117"/>
    <w:rsid w:val="007822D1"/>
    <w:rsid w:val="0079537E"/>
    <w:rsid w:val="007966F9"/>
    <w:rsid w:val="00797664"/>
    <w:rsid w:val="007A4888"/>
    <w:rsid w:val="007B7F33"/>
    <w:rsid w:val="007C0528"/>
    <w:rsid w:val="007D22D4"/>
    <w:rsid w:val="007D7B24"/>
    <w:rsid w:val="007F1D25"/>
    <w:rsid w:val="007F4725"/>
    <w:rsid w:val="00805DCD"/>
    <w:rsid w:val="00806701"/>
    <w:rsid w:val="00807EF6"/>
    <w:rsid w:val="008129F6"/>
    <w:rsid w:val="00814767"/>
    <w:rsid w:val="008172A4"/>
    <w:rsid w:val="008422BF"/>
    <w:rsid w:val="008448CE"/>
    <w:rsid w:val="00844FC5"/>
    <w:rsid w:val="00851D89"/>
    <w:rsid w:val="00860DA1"/>
    <w:rsid w:val="008672F1"/>
    <w:rsid w:val="008675DC"/>
    <w:rsid w:val="0087187F"/>
    <w:rsid w:val="008724AD"/>
    <w:rsid w:val="00881190"/>
    <w:rsid w:val="00885F57"/>
    <w:rsid w:val="008865D3"/>
    <w:rsid w:val="00886BCE"/>
    <w:rsid w:val="00890644"/>
    <w:rsid w:val="00892108"/>
    <w:rsid w:val="008A7996"/>
    <w:rsid w:val="008B72AB"/>
    <w:rsid w:val="00901A35"/>
    <w:rsid w:val="009049C3"/>
    <w:rsid w:val="00907BDC"/>
    <w:rsid w:val="00910F6E"/>
    <w:rsid w:val="00936946"/>
    <w:rsid w:val="0096003B"/>
    <w:rsid w:val="0096393E"/>
    <w:rsid w:val="009642FC"/>
    <w:rsid w:val="009773B2"/>
    <w:rsid w:val="009840D6"/>
    <w:rsid w:val="0099097E"/>
    <w:rsid w:val="00991208"/>
    <w:rsid w:val="009A0CAA"/>
    <w:rsid w:val="009A6963"/>
    <w:rsid w:val="009A741D"/>
    <w:rsid w:val="009B46E6"/>
    <w:rsid w:val="009C5B5C"/>
    <w:rsid w:val="009D2221"/>
    <w:rsid w:val="009D434C"/>
    <w:rsid w:val="009E3F24"/>
    <w:rsid w:val="009F2BB2"/>
    <w:rsid w:val="009F651E"/>
    <w:rsid w:val="009F7D68"/>
    <w:rsid w:val="00A14F2A"/>
    <w:rsid w:val="00A21573"/>
    <w:rsid w:val="00A30009"/>
    <w:rsid w:val="00A320DF"/>
    <w:rsid w:val="00A42221"/>
    <w:rsid w:val="00A47C51"/>
    <w:rsid w:val="00A5239C"/>
    <w:rsid w:val="00A82452"/>
    <w:rsid w:val="00A94BA3"/>
    <w:rsid w:val="00AA0A2E"/>
    <w:rsid w:val="00AB5953"/>
    <w:rsid w:val="00AB7683"/>
    <w:rsid w:val="00AC68FD"/>
    <w:rsid w:val="00AC7DEE"/>
    <w:rsid w:val="00AF3B7F"/>
    <w:rsid w:val="00B05078"/>
    <w:rsid w:val="00B05447"/>
    <w:rsid w:val="00B210B4"/>
    <w:rsid w:val="00B24B63"/>
    <w:rsid w:val="00B30EDA"/>
    <w:rsid w:val="00B33930"/>
    <w:rsid w:val="00B3633F"/>
    <w:rsid w:val="00B54F07"/>
    <w:rsid w:val="00B56B47"/>
    <w:rsid w:val="00B84BE8"/>
    <w:rsid w:val="00B85D65"/>
    <w:rsid w:val="00B8679E"/>
    <w:rsid w:val="00B92A46"/>
    <w:rsid w:val="00BC0EC1"/>
    <w:rsid w:val="00BC4583"/>
    <w:rsid w:val="00BE118A"/>
    <w:rsid w:val="00BF1272"/>
    <w:rsid w:val="00C16BD3"/>
    <w:rsid w:val="00C307B3"/>
    <w:rsid w:val="00C34E8C"/>
    <w:rsid w:val="00C36602"/>
    <w:rsid w:val="00C41CBA"/>
    <w:rsid w:val="00C54ECE"/>
    <w:rsid w:val="00C60B74"/>
    <w:rsid w:val="00C612DE"/>
    <w:rsid w:val="00C71AD4"/>
    <w:rsid w:val="00C80B9C"/>
    <w:rsid w:val="00CA3819"/>
    <w:rsid w:val="00CA3992"/>
    <w:rsid w:val="00CB0E5F"/>
    <w:rsid w:val="00CD5C21"/>
    <w:rsid w:val="00CE6061"/>
    <w:rsid w:val="00D005F8"/>
    <w:rsid w:val="00D328AD"/>
    <w:rsid w:val="00D37FE4"/>
    <w:rsid w:val="00D4682E"/>
    <w:rsid w:val="00D503E0"/>
    <w:rsid w:val="00D64135"/>
    <w:rsid w:val="00D81BCF"/>
    <w:rsid w:val="00D8288F"/>
    <w:rsid w:val="00D8610D"/>
    <w:rsid w:val="00D9001F"/>
    <w:rsid w:val="00D90DE0"/>
    <w:rsid w:val="00DA299B"/>
    <w:rsid w:val="00DA3FCE"/>
    <w:rsid w:val="00DA56DF"/>
    <w:rsid w:val="00DA7D64"/>
    <w:rsid w:val="00DB3DA7"/>
    <w:rsid w:val="00DC6943"/>
    <w:rsid w:val="00DD235E"/>
    <w:rsid w:val="00DE246B"/>
    <w:rsid w:val="00DE50A5"/>
    <w:rsid w:val="00DF6B4E"/>
    <w:rsid w:val="00E15130"/>
    <w:rsid w:val="00E15CE9"/>
    <w:rsid w:val="00E16193"/>
    <w:rsid w:val="00E2483F"/>
    <w:rsid w:val="00E2587C"/>
    <w:rsid w:val="00E27229"/>
    <w:rsid w:val="00E466A0"/>
    <w:rsid w:val="00E510A6"/>
    <w:rsid w:val="00E52F59"/>
    <w:rsid w:val="00E676AE"/>
    <w:rsid w:val="00E760D9"/>
    <w:rsid w:val="00E83DFC"/>
    <w:rsid w:val="00E916D7"/>
    <w:rsid w:val="00E95BB6"/>
    <w:rsid w:val="00E9743A"/>
    <w:rsid w:val="00EA0A42"/>
    <w:rsid w:val="00EA1DF8"/>
    <w:rsid w:val="00EA4EA3"/>
    <w:rsid w:val="00EC63DF"/>
    <w:rsid w:val="00EE0B06"/>
    <w:rsid w:val="00EE3DD5"/>
    <w:rsid w:val="00EE5B26"/>
    <w:rsid w:val="00F00B4B"/>
    <w:rsid w:val="00F06E85"/>
    <w:rsid w:val="00F23194"/>
    <w:rsid w:val="00F259CF"/>
    <w:rsid w:val="00F308E7"/>
    <w:rsid w:val="00F32F6C"/>
    <w:rsid w:val="00F334AC"/>
    <w:rsid w:val="00F347A2"/>
    <w:rsid w:val="00F35E68"/>
    <w:rsid w:val="00F5781D"/>
    <w:rsid w:val="00F646C4"/>
    <w:rsid w:val="00F73B36"/>
    <w:rsid w:val="00F81712"/>
    <w:rsid w:val="00F82251"/>
    <w:rsid w:val="00F84D12"/>
    <w:rsid w:val="00F85635"/>
    <w:rsid w:val="00F9734C"/>
    <w:rsid w:val="00FB0F2D"/>
    <w:rsid w:val="00FB74F4"/>
    <w:rsid w:val="00FC3AB8"/>
    <w:rsid w:val="00FD06EE"/>
    <w:rsid w:val="00FD114F"/>
    <w:rsid w:val="00FD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930"/>
    <w:rPr>
      <w:sz w:val="24"/>
      <w:szCs w:val="24"/>
    </w:rPr>
  </w:style>
  <w:style w:type="paragraph" w:styleId="Heading1">
    <w:name w:val="heading 1"/>
    <w:basedOn w:val="Normal"/>
    <w:next w:val="BodyText"/>
    <w:link w:val="Heading1Char"/>
    <w:qFormat/>
    <w:rsid w:val="002F4930"/>
    <w:pPr>
      <w:keepNext/>
      <w:spacing w:after="240"/>
      <w:jc w:val="both"/>
      <w:outlineLvl w:val="0"/>
    </w:pPr>
    <w:rPr>
      <w:rFonts w:cs="Arial"/>
      <w:bCs/>
      <w:kern w:val="32"/>
      <w:szCs w:val="32"/>
    </w:rPr>
  </w:style>
  <w:style w:type="paragraph" w:styleId="Heading2">
    <w:name w:val="heading 2"/>
    <w:basedOn w:val="Normal"/>
    <w:next w:val="BodyText"/>
    <w:link w:val="Heading2Char"/>
    <w:qFormat/>
    <w:rsid w:val="002F4930"/>
    <w:pPr>
      <w:keepNext/>
      <w:spacing w:after="240"/>
      <w:jc w:val="both"/>
      <w:outlineLvl w:val="1"/>
    </w:pPr>
    <w:rPr>
      <w:rFonts w:cs="Arial"/>
      <w:bCs/>
      <w:iCs/>
      <w:szCs w:val="28"/>
    </w:rPr>
  </w:style>
  <w:style w:type="paragraph" w:styleId="Heading3">
    <w:name w:val="heading 3"/>
    <w:basedOn w:val="BodyText"/>
    <w:next w:val="BodyText"/>
    <w:qFormat/>
    <w:rsid w:val="002F4930"/>
    <w:pPr>
      <w:outlineLvl w:val="2"/>
    </w:pPr>
  </w:style>
  <w:style w:type="paragraph" w:styleId="Heading4">
    <w:name w:val="heading 4"/>
    <w:basedOn w:val="Normal"/>
    <w:next w:val="Normal"/>
    <w:qFormat/>
    <w:rsid w:val="002F4930"/>
    <w:pPr>
      <w:keepNext/>
      <w:spacing w:before="240" w:after="60"/>
      <w:outlineLvl w:val="3"/>
    </w:pPr>
    <w:rPr>
      <w:b/>
      <w:bCs/>
      <w:sz w:val="28"/>
      <w:szCs w:val="28"/>
    </w:rPr>
  </w:style>
  <w:style w:type="paragraph" w:styleId="Heading5">
    <w:name w:val="heading 5"/>
    <w:basedOn w:val="Normal"/>
    <w:next w:val="Normal"/>
    <w:qFormat/>
    <w:rsid w:val="002F4930"/>
    <w:pPr>
      <w:spacing w:before="240" w:after="60"/>
      <w:outlineLvl w:val="4"/>
    </w:pPr>
    <w:rPr>
      <w:b/>
      <w:bCs/>
      <w:i/>
      <w:iCs/>
      <w:sz w:val="26"/>
      <w:szCs w:val="26"/>
    </w:rPr>
  </w:style>
  <w:style w:type="paragraph" w:styleId="Heading6">
    <w:name w:val="heading 6"/>
    <w:basedOn w:val="Normal"/>
    <w:next w:val="Normal"/>
    <w:qFormat/>
    <w:rsid w:val="002F4930"/>
    <w:pPr>
      <w:spacing w:before="240" w:after="60"/>
      <w:outlineLvl w:val="5"/>
    </w:pPr>
    <w:rPr>
      <w:b/>
      <w:bCs/>
      <w:sz w:val="22"/>
      <w:szCs w:val="22"/>
    </w:rPr>
  </w:style>
  <w:style w:type="paragraph" w:styleId="Heading7">
    <w:name w:val="heading 7"/>
    <w:basedOn w:val="Normal"/>
    <w:next w:val="Normal"/>
    <w:qFormat/>
    <w:rsid w:val="002F4930"/>
    <w:pPr>
      <w:spacing w:before="240" w:after="60"/>
      <w:outlineLvl w:val="6"/>
    </w:pPr>
  </w:style>
  <w:style w:type="paragraph" w:styleId="Heading8">
    <w:name w:val="heading 8"/>
    <w:basedOn w:val="Normal"/>
    <w:next w:val="Normal"/>
    <w:qFormat/>
    <w:rsid w:val="002F4930"/>
    <w:pPr>
      <w:spacing w:before="240" w:after="60"/>
      <w:outlineLvl w:val="7"/>
    </w:pPr>
    <w:rPr>
      <w:i/>
      <w:iCs/>
    </w:rPr>
  </w:style>
  <w:style w:type="paragraph" w:styleId="Heading9">
    <w:name w:val="heading 9"/>
    <w:basedOn w:val="Normal"/>
    <w:next w:val="Normal"/>
    <w:qFormat/>
    <w:rsid w:val="002F4930"/>
    <w:pPr>
      <w:spacing w:before="240" w:after="60"/>
      <w:outlineLvl w:val="8"/>
    </w:pPr>
    <w:rPr>
      <w:rFonts w:ascii="Arial" w:hAnsi="Arial" w:cs="Arial"/>
      <w:sz w:val="22"/>
      <w:szCs w:val="22"/>
    </w:rPr>
  </w:style>
  <w:style w:type="character" w:default="1" w:styleId="DefaultParagraphFont">
    <w:name w:val="Default Paragraph Font"/>
    <w:semiHidden/>
    <w:rsid w:val="002F49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2F4930"/>
  </w:style>
  <w:style w:type="paragraph" w:styleId="BodyText">
    <w:name w:val="Body Text"/>
    <w:basedOn w:val="Normal"/>
    <w:link w:val="BodyTextChar"/>
    <w:rsid w:val="002F4930"/>
    <w:pPr>
      <w:spacing w:after="240"/>
      <w:ind w:firstLine="720"/>
      <w:jc w:val="both"/>
    </w:pPr>
  </w:style>
  <w:style w:type="character" w:customStyle="1" w:styleId="BodyTextChar">
    <w:name w:val="Body Text Char"/>
    <w:link w:val="BodyText"/>
    <w:rsid w:val="002F4930"/>
    <w:rPr>
      <w:sz w:val="24"/>
      <w:szCs w:val="24"/>
    </w:rPr>
  </w:style>
  <w:style w:type="character" w:customStyle="1" w:styleId="Heading1Char">
    <w:name w:val="Heading 1 Char"/>
    <w:link w:val="Heading1"/>
    <w:rsid w:val="002F4930"/>
    <w:rPr>
      <w:rFonts w:cs="Arial"/>
      <w:bCs/>
      <w:kern w:val="32"/>
      <w:sz w:val="24"/>
      <w:szCs w:val="32"/>
    </w:rPr>
  </w:style>
  <w:style w:type="character" w:customStyle="1" w:styleId="Heading2Char">
    <w:name w:val="Heading 2 Char"/>
    <w:link w:val="Heading2"/>
    <w:rsid w:val="002F4930"/>
    <w:rPr>
      <w:rFonts w:cs="Arial"/>
      <w:bCs/>
      <w:iCs/>
      <w:sz w:val="24"/>
      <w:szCs w:val="28"/>
    </w:rPr>
  </w:style>
  <w:style w:type="paragraph" w:styleId="Header">
    <w:name w:val="header"/>
    <w:basedOn w:val="Normal"/>
    <w:rsid w:val="002F4930"/>
    <w:pPr>
      <w:tabs>
        <w:tab w:val="center" w:pos="4320"/>
        <w:tab w:val="right" w:pos="8640"/>
      </w:tabs>
      <w:jc w:val="both"/>
    </w:pPr>
  </w:style>
  <w:style w:type="paragraph" w:styleId="Footer">
    <w:name w:val="footer"/>
    <w:basedOn w:val="Normal"/>
    <w:rsid w:val="002F4930"/>
    <w:pPr>
      <w:tabs>
        <w:tab w:val="center" w:pos="4320"/>
        <w:tab w:val="right" w:pos="8640"/>
      </w:tabs>
    </w:pPr>
  </w:style>
  <w:style w:type="paragraph" w:customStyle="1" w:styleId="MemoAddresses">
    <w:name w:val="Memo Addresses"/>
    <w:basedOn w:val="Normal"/>
    <w:next w:val="Normal"/>
    <w:rsid w:val="002F4930"/>
    <w:pPr>
      <w:spacing w:before="120"/>
      <w:ind w:left="1008" w:hanging="1008"/>
      <w:jc w:val="both"/>
    </w:pPr>
  </w:style>
  <w:style w:type="paragraph" w:customStyle="1" w:styleId="MastHeadPSC">
    <w:name w:val="MastHead PSC"/>
    <w:basedOn w:val="Normal"/>
    <w:next w:val="Normal"/>
    <w:rsid w:val="002F4930"/>
    <w:pPr>
      <w:jc w:val="center"/>
    </w:pPr>
    <w:rPr>
      <w:rFonts w:ascii="WeddingText BT" w:hAnsi="WeddingText BT"/>
      <w:b/>
      <w:sz w:val="48"/>
      <w:szCs w:val="48"/>
    </w:rPr>
  </w:style>
  <w:style w:type="paragraph" w:customStyle="1" w:styleId="MastHeadMemorandum">
    <w:name w:val="MastHead Memorandum"/>
    <w:basedOn w:val="Normal"/>
    <w:next w:val="Normal"/>
    <w:rsid w:val="002F4930"/>
    <w:pPr>
      <w:jc w:val="center"/>
    </w:pPr>
    <w:rPr>
      <w:b/>
      <w:sz w:val="28"/>
      <w:szCs w:val="28"/>
    </w:rPr>
  </w:style>
  <w:style w:type="paragraph" w:customStyle="1" w:styleId="MastHeadAddress">
    <w:name w:val="MastHead Address"/>
    <w:basedOn w:val="Normal"/>
    <w:next w:val="Normal"/>
    <w:rsid w:val="002F4930"/>
    <w:pPr>
      <w:spacing w:after="200"/>
      <w:jc w:val="center"/>
    </w:pPr>
    <w:rPr>
      <w:b/>
      <w:smallCaps/>
      <w:sz w:val="20"/>
      <w:szCs w:val="20"/>
    </w:rPr>
  </w:style>
  <w:style w:type="paragraph" w:customStyle="1" w:styleId="MastHeadState">
    <w:name w:val="MastHead State"/>
    <w:basedOn w:val="Normal"/>
    <w:next w:val="Normal"/>
    <w:rsid w:val="002F4930"/>
    <w:pPr>
      <w:jc w:val="center"/>
    </w:pPr>
    <w:rPr>
      <w:b/>
      <w:sz w:val="28"/>
      <w:szCs w:val="28"/>
    </w:rPr>
  </w:style>
  <w:style w:type="table" w:styleId="TableGrid">
    <w:name w:val="Table Grid"/>
    <w:basedOn w:val="TableNormal"/>
    <w:rsid w:val="002F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moHeading">
    <w:name w:val="Memo Heading"/>
    <w:basedOn w:val="Normal"/>
    <w:next w:val="Normal"/>
    <w:rsid w:val="002F4930"/>
    <w:pPr>
      <w:jc w:val="both"/>
    </w:pPr>
  </w:style>
  <w:style w:type="paragraph" w:customStyle="1" w:styleId="BlockText5">
    <w:name w:val="Block Text .5&quot;"/>
    <w:basedOn w:val="Normal"/>
    <w:rsid w:val="002F4930"/>
    <w:pPr>
      <w:spacing w:after="120"/>
      <w:ind w:left="720" w:right="720"/>
    </w:pPr>
  </w:style>
  <w:style w:type="paragraph" w:customStyle="1" w:styleId="BlockText1">
    <w:name w:val="Block Text 1&quot;"/>
    <w:basedOn w:val="Normal"/>
    <w:rsid w:val="002F4930"/>
    <w:pPr>
      <w:spacing w:after="120"/>
      <w:ind w:left="1440" w:right="1440"/>
    </w:pPr>
  </w:style>
  <w:style w:type="paragraph" w:customStyle="1" w:styleId="BlockText15">
    <w:name w:val="Block Text 1.5&quot;"/>
    <w:basedOn w:val="Normal"/>
    <w:rsid w:val="002F4930"/>
    <w:pPr>
      <w:spacing w:after="120"/>
      <w:ind w:left="2160" w:right="2160"/>
    </w:pPr>
  </w:style>
  <w:style w:type="paragraph" w:customStyle="1" w:styleId="IssueHeading">
    <w:name w:val="Issue Heading"/>
    <w:basedOn w:val="Heading1"/>
    <w:next w:val="BodyText"/>
    <w:link w:val="IssueHeadingChar"/>
    <w:rsid w:val="002F4930"/>
    <w:pPr>
      <w:keepNext w:val="0"/>
    </w:pPr>
  </w:style>
  <w:style w:type="character" w:customStyle="1" w:styleId="IssueHeadingChar">
    <w:name w:val="Issue Heading Char"/>
    <w:basedOn w:val="Heading1Char"/>
    <w:link w:val="IssueHeading"/>
    <w:rsid w:val="002F4930"/>
    <w:rPr>
      <w:rFonts w:cs="Arial"/>
      <w:bCs/>
      <w:kern w:val="32"/>
      <w:sz w:val="24"/>
      <w:szCs w:val="32"/>
    </w:rPr>
  </w:style>
  <w:style w:type="paragraph" w:customStyle="1" w:styleId="MemoHeadingRe">
    <w:name w:val="Memo Heading Re"/>
    <w:basedOn w:val="MemoHeading"/>
    <w:rsid w:val="002F4930"/>
    <w:pPr>
      <w:tabs>
        <w:tab w:val="left" w:pos="2520"/>
        <w:tab w:val="left" w:pos="2736"/>
      </w:tabs>
    </w:pPr>
  </w:style>
  <w:style w:type="paragraph" w:styleId="TOC1">
    <w:name w:val="toc 1"/>
    <w:basedOn w:val="Normal"/>
    <w:next w:val="Normal"/>
    <w:rsid w:val="002F4930"/>
    <w:pPr>
      <w:tabs>
        <w:tab w:val="left" w:pos="864"/>
        <w:tab w:val="right" w:leader="dot" w:pos="9360"/>
      </w:tabs>
      <w:ind w:left="864" w:right="360" w:hanging="864"/>
    </w:pPr>
  </w:style>
  <w:style w:type="character" w:styleId="Hyperlink">
    <w:name w:val="Hyperlink"/>
    <w:rsid w:val="002F4930"/>
    <w:rPr>
      <w:color w:val="0000FF"/>
      <w:u w:val="single"/>
    </w:rPr>
  </w:style>
  <w:style w:type="paragraph" w:customStyle="1" w:styleId="RecommendationMajorSectionHeading">
    <w:name w:val="Recommendation Major Section Heading"/>
    <w:basedOn w:val="Heading1"/>
    <w:next w:val="BodyText"/>
    <w:rsid w:val="002F4930"/>
    <w:pPr>
      <w:jc w:val="center"/>
    </w:pPr>
    <w:rPr>
      <w:b/>
      <w:u w:val="single"/>
    </w:rPr>
  </w:style>
  <w:style w:type="paragraph" w:customStyle="1" w:styleId="IssueSubsectionHeading">
    <w:name w:val="Issue Subsection Heading"/>
    <w:basedOn w:val="Heading2"/>
    <w:next w:val="BodyText"/>
    <w:link w:val="IssueSubsectionHeadingChar"/>
    <w:rsid w:val="002F4930"/>
    <w:pPr>
      <w:keepNext w:val="0"/>
    </w:pPr>
  </w:style>
  <w:style w:type="character" w:customStyle="1" w:styleId="IssueSubsectionHeadingChar">
    <w:name w:val="Issue Subsection Heading Char"/>
    <w:basedOn w:val="Heading2Char"/>
    <w:link w:val="IssueSubsectionHeading"/>
    <w:rsid w:val="002F4930"/>
    <w:rPr>
      <w:rFonts w:cs="Arial"/>
      <w:bCs/>
      <w:iCs/>
      <w:sz w:val="24"/>
      <w:szCs w:val="28"/>
    </w:rPr>
  </w:style>
  <w:style w:type="paragraph" w:customStyle="1" w:styleId="RecommendationHeading">
    <w:name w:val="Recommendation Heading"/>
    <w:basedOn w:val="Heading1"/>
    <w:next w:val="BodyText"/>
    <w:rsid w:val="002F4930"/>
    <w:pPr>
      <w:keepNext w:val="0"/>
      <w:jc w:val="center"/>
    </w:pPr>
    <w:rPr>
      <w:b/>
      <w:u w:val="single"/>
    </w:rPr>
  </w:style>
  <w:style w:type="paragraph" w:customStyle="1" w:styleId="DiscussionofIssues">
    <w:name w:val="Discussion of Issues"/>
    <w:basedOn w:val="RecommendationMajorSectionHeading"/>
    <w:next w:val="BodyText"/>
    <w:rsid w:val="002F4930"/>
    <w:pPr>
      <w:spacing w:after="0"/>
    </w:pPr>
  </w:style>
  <w:style w:type="character" w:styleId="PageNumber">
    <w:name w:val="page number"/>
    <w:basedOn w:val="DefaultParagraphFont"/>
    <w:rsid w:val="002F4930"/>
  </w:style>
  <w:style w:type="paragraph" w:customStyle="1" w:styleId="TOCColumnHeadings">
    <w:name w:val="TOC Column Headings"/>
    <w:basedOn w:val="Normal"/>
    <w:rsid w:val="002F4930"/>
    <w:pPr>
      <w:tabs>
        <w:tab w:val="left" w:pos="864"/>
        <w:tab w:val="right" w:pos="9360"/>
      </w:tabs>
    </w:pPr>
    <w:rPr>
      <w:u w:val="words"/>
    </w:rPr>
  </w:style>
  <w:style w:type="table" w:customStyle="1" w:styleId="TableMasthead">
    <w:name w:val="Table Masthead"/>
    <w:basedOn w:val="TableGrid"/>
    <w:rsid w:val="002F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BoldUnderline">
    <w:name w:val="Style Heading 1 + Bold Underline"/>
    <w:basedOn w:val="Heading1"/>
    <w:link w:val="StyleHeading1BoldUnderlineChar"/>
    <w:rsid w:val="002F4930"/>
    <w:pPr>
      <w:keepNext w:val="0"/>
      <w:spacing w:before="240"/>
    </w:pPr>
    <w:rPr>
      <w:b/>
      <w:u w:val="single"/>
    </w:rPr>
  </w:style>
  <w:style w:type="character" w:customStyle="1" w:styleId="StyleHeading1BoldUnderlineChar">
    <w:name w:val="Style Heading 1 + Bold Underline Char"/>
    <w:link w:val="StyleHeading1BoldUnderline"/>
    <w:rsid w:val="002F4930"/>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F4930"/>
    <w:pPr>
      <w:jc w:val="left"/>
    </w:pPr>
  </w:style>
  <w:style w:type="paragraph" w:styleId="FootnoteText">
    <w:name w:val="footnote text"/>
    <w:basedOn w:val="Normal"/>
    <w:rsid w:val="002F4930"/>
    <w:pPr>
      <w:jc w:val="both"/>
    </w:pPr>
    <w:rPr>
      <w:sz w:val="20"/>
      <w:szCs w:val="20"/>
    </w:rPr>
  </w:style>
  <w:style w:type="paragraph" w:styleId="TOC3">
    <w:name w:val="toc 3"/>
    <w:basedOn w:val="TOC2"/>
    <w:next w:val="Normal"/>
    <w:rsid w:val="002F4930"/>
    <w:pPr>
      <w:tabs>
        <w:tab w:val="clear" w:pos="1152"/>
        <w:tab w:val="left" w:pos="1584"/>
      </w:tabs>
      <w:ind w:left="1584" w:hanging="432"/>
    </w:pPr>
  </w:style>
  <w:style w:type="paragraph" w:styleId="TOC2">
    <w:name w:val="toc 2"/>
    <w:basedOn w:val="TOC1"/>
    <w:next w:val="Normal"/>
    <w:rsid w:val="002F4930"/>
    <w:pPr>
      <w:tabs>
        <w:tab w:val="clear" w:pos="864"/>
        <w:tab w:val="left" w:pos="1152"/>
      </w:tabs>
      <w:ind w:left="1152" w:hanging="288"/>
    </w:pPr>
  </w:style>
  <w:style w:type="paragraph" w:styleId="DocumentMap">
    <w:name w:val="Document Map"/>
    <w:basedOn w:val="Normal"/>
    <w:semiHidden/>
    <w:rsid w:val="002F4930"/>
    <w:pPr>
      <w:shd w:val="clear" w:color="auto" w:fill="000080"/>
    </w:pPr>
    <w:rPr>
      <w:rFonts w:ascii="Tahoma" w:hAnsi="Tahoma" w:cs="Tahoma"/>
    </w:rPr>
  </w:style>
  <w:style w:type="paragraph" w:styleId="BalloonText">
    <w:name w:val="Balloon Text"/>
    <w:basedOn w:val="Normal"/>
    <w:semiHidden/>
    <w:rsid w:val="002F4930"/>
    <w:rPr>
      <w:rFonts w:ascii="Tahoma" w:hAnsi="Tahoma" w:cs="Tahoma"/>
      <w:sz w:val="16"/>
      <w:szCs w:val="16"/>
    </w:rPr>
  </w:style>
  <w:style w:type="paragraph" w:styleId="BlockText">
    <w:name w:val="Block Text"/>
    <w:basedOn w:val="Normal"/>
    <w:rsid w:val="002F4930"/>
    <w:pPr>
      <w:spacing w:after="120"/>
      <w:ind w:left="1440" w:right="1440"/>
    </w:pPr>
  </w:style>
  <w:style w:type="paragraph" w:styleId="BodyText2">
    <w:name w:val="Body Text 2"/>
    <w:basedOn w:val="Normal"/>
    <w:rsid w:val="002F4930"/>
    <w:pPr>
      <w:spacing w:after="120" w:line="480" w:lineRule="auto"/>
    </w:pPr>
  </w:style>
  <w:style w:type="paragraph" w:styleId="BodyText3">
    <w:name w:val="Body Text 3"/>
    <w:basedOn w:val="Normal"/>
    <w:rsid w:val="002F4930"/>
    <w:pPr>
      <w:spacing w:after="120"/>
    </w:pPr>
    <w:rPr>
      <w:sz w:val="16"/>
      <w:szCs w:val="16"/>
    </w:rPr>
  </w:style>
  <w:style w:type="paragraph" w:styleId="BodyTextFirstIndent">
    <w:name w:val="Body Text First Indent"/>
    <w:basedOn w:val="BodyText"/>
    <w:rsid w:val="002F4930"/>
    <w:pPr>
      <w:spacing w:after="120"/>
      <w:ind w:firstLine="210"/>
      <w:jc w:val="left"/>
    </w:pPr>
  </w:style>
  <w:style w:type="paragraph" w:styleId="BodyTextIndent">
    <w:name w:val="Body Text Indent"/>
    <w:basedOn w:val="Normal"/>
    <w:rsid w:val="002F4930"/>
    <w:pPr>
      <w:spacing w:after="120"/>
      <w:ind w:left="360"/>
    </w:pPr>
  </w:style>
  <w:style w:type="paragraph" w:styleId="BodyTextFirstIndent2">
    <w:name w:val="Body Text First Indent 2"/>
    <w:basedOn w:val="BodyTextIndent"/>
    <w:rsid w:val="002F4930"/>
    <w:pPr>
      <w:ind w:firstLine="210"/>
    </w:pPr>
  </w:style>
  <w:style w:type="paragraph" w:styleId="BodyTextIndent2">
    <w:name w:val="Body Text Indent 2"/>
    <w:basedOn w:val="Normal"/>
    <w:rsid w:val="002F4930"/>
    <w:pPr>
      <w:spacing w:after="120" w:line="480" w:lineRule="auto"/>
      <w:ind w:left="360"/>
    </w:pPr>
  </w:style>
  <w:style w:type="paragraph" w:styleId="BodyTextIndent3">
    <w:name w:val="Body Text Indent 3"/>
    <w:basedOn w:val="Normal"/>
    <w:rsid w:val="002F4930"/>
    <w:pPr>
      <w:spacing w:after="120"/>
      <w:ind w:left="360"/>
    </w:pPr>
    <w:rPr>
      <w:sz w:val="16"/>
      <w:szCs w:val="16"/>
    </w:rPr>
  </w:style>
  <w:style w:type="paragraph" w:styleId="Caption">
    <w:name w:val="caption"/>
    <w:basedOn w:val="Normal"/>
    <w:next w:val="Normal"/>
    <w:qFormat/>
    <w:rsid w:val="002F4930"/>
    <w:pPr>
      <w:spacing w:before="120" w:after="120"/>
    </w:pPr>
    <w:rPr>
      <w:b/>
      <w:bCs/>
      <w:sz w:val="20"/>
      <w:szCs w:val="20"/>
    </w:rPr>
  </w:style>
  <w:style w:type="paragraph" w:styleId="Closing">
    <w:name w:val="Closing"/>
    <w:basedOn w:val="Normal"/>
    <w:rsid w:val="002F4930"/>
    <w:pPr>
      <w:ind w:left="4320"/>
    </w:pPr>
  </w:style>
  <w:style w:type="paragraph" w:styleId="CommentText">
    <w:name w:val="annotation text"/>
    <w:basedOn w:val="Normal"/>
    <w:semiHidden/>
    <w:rsid w:val="002F4930"/>
    <w:rPr>
      <w:sz w:val="20"/>
      <w:szCs w:val="20"/>
    </w:rPr>
  </w:style>
  <w:style w:type="paragraph" w:styleId="CommentSubject">
    <w:name w:val="annotation subject"/>
    <w:basedOn w:val="CommentText"/>
    <w:next w:val="CommentText"/>
    <w:semiHidden/>
    <w:rsid w:val="002F4930"/>
    <w:rPr>
      <w:b/>
      <w:bCs/>
    </w:rPr>
  </w:style>
  <w:style w:type="paragraph" w:styleId="Date">
    <w:name w:val="Date"/>
    <w:basedOn w:val="Normal"/>
    <w:next w:val="Normal"/>
    <w:rsid w:val="002F4930"/>
  </w:style>
  <w:style w:type="paragraph" w:styleId="E-mailSignature">
    <w:name w:val="E-mail Signature"/>
    <w:basedOn w:val="Normal"/>
    <w:rsid w:val="002F4930"/>
  </w:style>
  <w:style w:type="paragraph" w:styleId="EndnoteText">
    <w:name w:val="endnote text"/>
    <w:basedOn w:val="Normal"/>
    <w:semiHidden/>
    <w:rsid w:val="002F4930"/>
    <w:rPr>
      <w:sz w:val="20"/>
      <w:szCs w:val="20"/>
    </w:rPr>
  </w:style>
  <w:style w:type="paragraph" w:styleId="EnvelopeAddress">
    <w:name w:val="envelope address"/>
    <w:basedOn w:val="Normal"/>
    <w:rsid w:val="002F49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F4930"/>
    <w:rPr>
      <w:rFonts w:ascii="Arial" w:hAnsi="Arial" w:cs="Arial"/>
      <w:sz w:val="20"/>
      <w:szCs w:val="20"/>
    </w:rPr>
  </w:style>
  <w:style w:type="paragraph" w:styleId="HTMLAddress">
    <w:name w:val="HTML Address"/>
    <w:basedOn w:val="Normal"/>
    <w:rsid w:val="002F4930"/>
    <w:rPr>
      <w:i/>
      <w:iCs/>
    </w:rPr>
  </w:style>
  <w:style w:type="paragraph" w:styleId="HTMLPreformatted">
    <w:name w:val="HTML Preformatted"/>
    <w:basedOn w:val="Normal"/>
    <w:rsid w:val="002F4930"/>
    <w:rPr>
      <w:rFonts w:ascii="Courier New" w:hAnsi="Courier New" w:cs="Courier New"/>
      <w:sz w:val="20"/>
      <w:szCs w:val="20"/>
    </w:rPr>
  </w:style>
  <w:style w:type="paragraph" w:styleId="Index1">
    <w:name w:val="index 1"/>
    <w:basedOn w:val="Normal"/>
    <w:next w:val="Normal"/>
    <w:autoRedefine/>
    <w:semiHidden/>
    <w:rsid w:val="002F4930"/>
    <w:pPr>
      <w:ind w:left="240" w:hanging="240"/>
    </w:pPr>
  </w:style>
  <w:style w:type="paragraph" w:styleId="Index2">
    <w:name w:val="index 2"/>
    <w:basedOn w:val="Normal"/>
    <w:next w:val="Normal"/>
    <w:autoRedefine/>
    <w:semiHidden/>
    <w:rsid w:val="002F4930"/>
    <w:pPr>
      <w:ind w:left="480" w:hanging="240"/>
    </w:pPr>
  </w:style>
  <w:style w:type="paragraph" w:styleId="Index3">
    <w:name w:val="index 3"/>
    <w:basedOn w:val="Normal"/>
    <w:next w:val="Normal"/>
    <w:autoRedefine/>
    <w:semiHidden/>
    <w:rsid w:val="002F4930"/>
    <w:pPr>
      <w:ind w:left="720" w:hanging="240"/>
    </w:pPr>
  </w:style>
  <w:style w:type="paragraph" w:styleId="Index4">
    <w:name w:val="index 4"/>
    <w:basedOn w:val="Normal"/>
    <w:next w:val="Normal"/>
    <w:autoRedefine/>
    <w:semiHidden/>
    <w:rsid w:val="002F4930"/>
    <w:pPr>
      <w:ind w:left="960" w:hanging="240"/>
    </w:pPr>
  </w:style>
  <w:style w:type="paragraph" w:styleId="Index5">
    <w:name w:val="index 5"/>
    <w:basedOn w:val="Normal"/>
    <w:next w:val="Normal"/>
    <w:autoRedefine/>
    <w:semiHidden/>
    <w:rsid w:val="002F4930"/>
    <w:pPr>
      <w:ind w:left="1200" w:hanging="240"/>
    </w:pPr>
  </w:style>
  <w:style w:type="paragraph" w:styleId="Index6">
    <w:name w:val="index 6"/>
    <w:basedOn w:val="Normal"/>
    <w:next w:val="Normal"/>
    <w:autoRedefine/>
    <w:semiHidden/>
    <w:rsid w:val="002F4930"/>
    <w:pPr>
      <w:ind w:left="1440" w:hanging="240"/>
    </w:pPr>
  </w:style>
  <w:style w:type="paragraph" w:styleId="Index7">
    <w:name w:val="index 7"/>
    <w:basedOn w:val="Normal"/>
    <w:next w:val="Normal"/>
    <w:autoRedefine/>
    <w:semiHidden/>
    <w:rsid w:val="002F4930"/>
    <w:pPr>
      <w:ind w:left="1680" w:hanging="240"/>
    </w:pPr>
  </w:style>
  <w:style w:type="paragraph" w:styleId="Index8">
    <w:name w:val="index 8"/>
    <w:basedOn w:val="Normal"/>
    <w:next w:val="Normal"/>
    <w:autoRedefine/>
    <w:semiHidden/>
    <w:rsid w:val="002F4930"/>
    <w:pPr>
      <w:ind w:left="1920" w:hanging="240"/>
    </w:pPr>
  </w:style>
  <w:style w:type="paragraph" w:styleId="Index9">
    <w:name w:val="index 9"/>
    <w:basedOn w:val="Normal"/>
    <w:next w:val="Normal"/>
    <w:autoRedefine/>
    <w:semiHidden/>
    <w:rsid w:val="002F4930"/>
    <w:pPr>
      <w:ind w:left="2160" w:hanging="240"/>
    </w:pPr>
  </w:style>
  <w:style w:type="paragraph" w:styleId="IndexHeading">
    <w:name w:val="index heading"/>
    <w:basedOn w:val="Normal"/>
    <w:next w:val="Index1"/>
    <w:semiHidden/>
    <w:rsid w:val="002F4930"/>
    <w:rPr>
      <w:rFonts w:ascii="Arial" w:hAnsi="Arial" w:cs="Arial"/>
      <w:b/>
      <w:bCs/>
    </w:rPr>
  </w:style>
  <w:style w:type="paragraph" w:styleId="List">
    <w:name w:val="List"/>
    <w:basedOn w:val="Normal"/>
    <w:rsid w:val="002F4930"/>
    <w:pPr>
      <w:ind w:left="360" w:hanging="360"/>
    </w:pPr>
  </w:style>
  <w:style w:type="paragraph" w:styleId="List2">
    <w:name w:val="List 2"/>
    <w:basedOn w:val="Normal"/>
    <w:rsid w:val="002F4930"/>
    <w:pPr>
      <w:ind w:left="720" w:hanging="360"/>
    </w:pPr>
  </w:style>
  <w:style w:type="paragraph" w:styleId="List3">
    <w:name w:val="List 3"/>
    <w:basedOn w:val="Normal"/>
    <w:rsid w:val="002F4930"/>
    <w:pPr>
      <w:ind w:left="1080" w:hanging="360"/>
    </w:pPr>
  </w:style>
  <w:style w:type="paragraph" w:styleId="List4">
    <w:name w:val="List 4"/>
    <w:basedOn w:val="Normal"/>
    <w:rsid w:val="002F4930"/>
    <w:pPr>
      <w:ind w:left="1440" w:hanging="360"/>
    </w:pPr>
  </w:style>
  <w:style w:type="paragraph" w:styleId="List5">
    <w:name w:val="List 5"/>
    <w:basedOn w:val="Normal"/>
    <w:rsid w:val="002F4930"/>
    <w:pPr>
      <w:ind w:left="1800" w:hanging="360"/>
    </w:pPr>
  </w:style>
  <w:style w:type="paragraph" w:styleId="ListBullet">
    <w:name w:val="List Bullet"/>
    <w:basedOn w:val="Normal"/>
    <w:autoRedefine/>
    <w:rsid w:val="002F4930"/>
    <w:pPr>
      <w:tabs>
        <w:tab w:val="num" w:pos="360"/>
      </w:tabs>
      <w:ind w:left="360" w:hanging="360"/>
    </w:pPr>
  </w:style>
  <w:style w:type="paragraph" w:styleId="ListBullet2">
    <w:name w:val="List Bullet 2"/>
    <w:basedOn w:val="Normal"/>
    <w:autoRedefine/>
    <w:rsid w:val="002F4930"/>
    <w:pPr>
      <w:tabs>
        <w:tab w:val="num" w:pos="720"/>
      </w:tabs>
      <w:ind w:left="720" w:hanging="360"/>
    </w:pPr>
  </w:style>
  <w:style w:type="paragraph" w:styleId="ListBullet3">
    <w:name w:val="List Bullet 3"/>
    <w:basedOn w:val="Normal"/>
    <w:autoRedefine/>
    <w:rsid w:val="002F4930"/>
    <w:pPr>
      <w:tabs>
        <w:tab w:val="num" w:pos="1080"/>
      </w:tabs>
      <w:ind w:left="1080" w:hanging="360"/>
    </w:pPr>
  </w:style>
  <w:style w:type="paragraph" w:styleId="ListBullet4">
    <w:name w:val="List Bullet 4"/>
    <w:basedOn w:val="Normal"/>
    <w:autoRedefine/>
    <w:rsid w:val="002F4930"/>
    <w:pPr>
      <w:tabs>
        <w:tab w:val="num" w:pos="1440"/>
      </w:tabs>
      <w:ind w:left="1440" w:hanging="360"/>
    </w:pPr>
  </w:style>
  <w:style w:type="paragraph" w:styleId="ListBullet5">
    <w:name w:val="List Bullet 5"/>
    <w:basedOn w:val="Normal"/>
    <w:autoRedefine/>
    <w:rsid w:val="002F4930"/>
    <w:pPr>
      <w:tabs>
        <w:tab w:val="num" w:pos="1800"/>
      </w:tabs>
      <w:ind w:left="1800" w:hanging="360"/>
    </w:pPr>
  </w:style>
  <w:style w:type="paragraph" w:styleId="ListContinue">
    <w:name w:val="List Continue"/>
    <w:basedOn w:val="Normal"/>
    <w:rsid w:val="002F4930"/>
    <w:pPr>
      <w:spacing w:after="120"/>
      <w:ind w:left="360"/>
    </w:pPr>
  </w:style>
  <w:style w:type="paragraph" w:styleId="ListContinue2">
    <w:name w:val="List Continue 2"/>
    <w:basedOn w:val="Normal"/>
    <w:rsid w:val="002F4930"/>
    <w:pPr>
      <w:spacing w:after="120"/>
      <w:ind w:left="720"/>
    </w:pPr>
  </w:style>
  <w:style w:type="paragraph" w:styleId="ListContinue3">
    <w:name w:val="List Continue 3"/>
    <w:basedOn w:val="Normal"/>
    <w:rsid w:val="002F4930"/>
    <w:pPr>
      <w:spacing w:after="120"/>
      <w:ind w:left="1080"/>
    </w:pPr>
  </w:style>
  <w:style w:type="paragraph" w:styleId="ListContinue4">
    <w:name w:val="List Continue 4"/>
    <w:basedOn w:val="Normal"/>
    <w:rsid w:val="002F4930"/>
    <w:pPr>
      <w:spacing w:after="120"/>
      <w:ind w:left="1440"/>
    </w:pPr>
  </w:style>
  <w:style w:type="paragraph" w:styleId="ListContinue5">
    <w:name w:val="List Continue 5"/>
    <w:basedOn w:val="Normal"/>
    <w:rsid w:val="002F4930"/>
    <w:pPr>
      <w:spacing w:after="120"/>
      <w:ind w:left="1800"/>
    </w:pPr>
  </w:style>
  <w:style w:type="paragraph" w:styleId="ListNumber">
    <w:name w:val="List Number"/>
    <w:basedOn w:val="Normal"/>
    <w:rsid w:val="002F4930"/>
    <w:pPr>
      <w:tabs>
        <w:tab w:val="num" w:pos="360"/>
      </w:tabs>
      <w:ind w:left="360" w:hanging="360"/>
    </w:pPr>
  </w:style>
  <w:style w:type="paragraph" w:styleId="ListNumber2">
    <w:name w:val="List Number 2"/>
    <w:basedOn w:val="Normal"/>
    <w:rsid w:val="002F4930"/>
    <w:pPr>
      <w:tabs>
        <w:tab w:val="num" w:pos="720"/>
      </w:tabs>
      <w:ind w:left="720" w:hanging="360"/>
    </w:pPr>
  </w:style>
  <w:style w:type="paragraph" w:styleId="ListNumber3">
    <w:name w:val="List Number 3"/>
    <w:basedOn w:val="Normal"/>
    <w:rsid w:val="002F4930"/>
    <w:pPr>
      <w:tabs>
        <w:tab w:val="num" w:pos="1080"/>
      </w:tabs>
      <w:ind w:left="1080" w:hanging="360"/>
    </w:pPr>
  </w:style>
  <w:style w:type="paragraph" w:styleId="ListNumber4">
    <w:name w:val="List Number 4"/>
    <w:basedOn w:val="Normal"/>
    <w:rsid w:val="002F4930"/>
    <w:pPr>
      <w:tabs>
        <w:tab w:val="num" w:pos="1440"/>
      </w:tabs>
      <w:ind w:left="1440" w:hanging="360"/>
    </w:pPr>
  </w:style>
  <w:style w:type="paragraph" w:styleId="ListNumber5">
    <w:name w:val="List Number 5"/>
    <w:basedOn w:val="Normal"/>
    <w:rsid w:val="002F4930"/>
    <w:pPr>
      <w:tabs>
        <w:tab w:val="num" w:pos="1800"/>
      </w:tabs>
      <w:ind w:left="1800" w:hanging="360"/>
    </w:pPr>
  </w:style>
  <w:style w:type="paragraph" w:styleId="MacroText">
    <w:name w:val="macro"/>
    <w:semiHidden/>
    <w:rsid w:val="002F4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F49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2F4930"/>
  </w:style>
  <w:style w:type="paragraph" w:styleId="NormalIndent">
    <w:name w:val="Normal Indent"/>
    <w:basedOn w:val="Normal"/>
    <w:rsid w:val="002F4930"/>
    <w:pPr>
      <w:ind w:left="720"/>
    </w:pPr>
  </w:style>
  <w:style w:type="paragraph" w:styleId="NoteHeading">
    <w:name w:val="Note Heading"/>
    <w:basedOn w:val="Normal"/>
    <w:next w:val="Normal"/>
    <w:rsid w:val="002F4930"/>
  </w:style>
  <w:style w:type="paragraph" w:styleId="PlainText">
    <w:name w:val="Plain Text"/>
    <w:basedOn w:val="Normal"/>
    <w:rsid w:val="002F4930"/>
    <w:rPr>
      <w:rFonts w:ascii="Courier New" w:hAnsi="Courier New" w:cs="Courier New"/>
      <w:sz w:val="20"/>
      <w:szCs w:val="20"/>
    </w:rPr>
  </w:style>
  <w:style w:type="paragraph" w:styleId="Salutation">
    <w:name w:val="Salutation"/>
    <w:basedOn w:val="Normal"/>
    <w:next w:val="Normal"/>
    <w:rsid w:val="002F4930"/>
  </w:style>
  <w:style w:type="paragraph" w:styleId="Signature">
    <w:name w:val="Signature"/>
    <w:basedOn w:val="Normal"/>
    <w:rsid w:val="002F4930"/>
    <w:pPr>
      <w:ind w:left="4320"/>
    </w:pPr>
  </w:style>
  <w:style w:type="paragraph" w:styleId="Subtitle">
    <w:name w:val="Subtitle"/>
    <w:basedOn w:val="Normal"/>
    <w:qFormat/>
    <w:rsid w:val="002F4930"/>
    <w:pPr>
      <w:spacing w:after="60"/>
      <w:jc w:val="center"/>
      <w:outlineLvl w:val="1"/>
    </w:pPr>
    <w:rPr>
      <w:rFonts w:ascii="Arial" w:hAnsi="Arial" w:cs="Arial"/>
    </w:rPr>
  </w:style>
  <w:style w:type="paragraph" w:styleId="TableofAuthorities">
    <w:name w:val="table of authorities"/>
    <w:basedOn w:val="Normal"/>
    <w:next w:val="Normal"/>
    <w:semiHidden/>
    <w:rsid w:val="002F4930"/>
    <w:pPr>
      <w:ind w:left="240" w:hanging="240"/>
    </w:pPr>
  </w:style>
  <w:style w:type="paragraph" w:styleId="TableofFigures">
    <w:name w:val="table of figures"/>
    <w:basedOn w:val="Normal"/>
    <w:next w:val="Normal"/>
    <w:semiHidden/>
    <w:rsid w:val="002F4930"/>
    <w:pPr>
      <w:ind w:left="480" w:hanging="480"/>
    </w:pPr>
  </w:style>
  <w:style w:type="paragraph" w:styleId="Title">
    <w:name w:val="Title"/>
    <w:basedOn w:val="Normal"/>
    <w:qFormat/>
    <w:rsid w:val="002F49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F4930"/>
    <w:pPr>
      <w:spacing w:before="120"/>
    </w:pPr>
    <w:rPr>
      <w:rFonts w:ascii="Arial" w:hAnsi="Arial" w:cs="Arial"/>
      <w:b/>
      <w:bCs/>
    </w:rPr>
  </w:style>
  <w:style w:type="paragraph" w:styleId="TOC4">
    <w:name w:val="toc 4"/>
    <w:basedOn w:val="Normal"/>
    <w:next w:val="Normal"/>
    <w:autoRedefine/>
    <w:semiHidden/>
    <w:rsid w:val="002F4930"/>
    <w:pPr>
      <w:ind w:left="720"/>
    </w:pPr>
  </w:style>
  <w:style w:type="paragraph" w:styleId="TOC5">
    <w:name w:val="toc 5"/>
    <w:basedOn w:val="Normal"/>
    <w:next w:val="Normal"/>
    <w:autoRedefine/>
    <w:semiHidden/>
    <w:rsid w:val="002F4930"/>
    <w:pPr>
      <w:ind w:left="960"/>
    </w:pPr>
  </w:style>
  <w:style w:type="paragraph" w:styleId="TOC6">
    <w:name w:val="toc 6"/>
    <w:basedOn w:val="Normal"/>
    <w:next w:val="Normal"/>
    <w:autoRedefine/>
    <w:semiHidden/>
    <w:rsid w:val="002F4930"/>
    <w:pPr>
      <w:ind w:left="1200"/>
    </w:pPr>
  </w:style>
  <w:style w:type="paragraph" w:styleId="TOC9">
    <w:name w:val="toc 9"/>
    <w:basedOn w:val="TOC1"/>
    <w:next w:val="Normal"/>
    <w:autoRedefine/>
    <w:rsid w:val="002F4930"/>
    <w:pPr>
      <w:ind w:left="1728"/>
    </w:pPr>
    <w:rPr>
      <w:u w:val="single"/>
    </w:rPr>
  </w:style>
  <w:style w:type="character" w:styleId="FootnoteReference">
    <w:name w:val="footnote reference"/>
    <w:basedOn w:val="DefaultParagraphFont"/>
    <w:rsid w:val="003523B5"/>
    <w:rPr>
      <w:vertAlign w:val="superscript"/>
    </w:rPr>
  </w:style>
  <w:style w:type="paragraph" w:customStyle="1" w:styleId="Default">
    <w:name w:val="Default"/>
    <w:rsid w:val="009C5B5C"/>
    <w:pPr>
      <w:autoSpaceDE w:val="0"/>
      <w:autoSpaceDN w:val="0"/>
      <w:adjustRightInd w:val="0"/>
    </w:pPr>
    <w:rPr>
      <w:color w:val="000000"/>
      <w:sz w:val="24"/>
      <w:szCs w:val="24"/>
    </w:rPr>
  </w:style>
  <w:style w:type="character" w:styleId="EndnoteReference">
    <w:name w:val="endnote reference"/>
    <w:basedOn w:val="DefaultParagraphFont"/>
    <w:rsid w:val="007144E8"/>
    <w:rPr>
      <w:vertAlign w:val="superscript"/>
    </w:rPr>
  </w:style>
  <w:style w:type="paragraph" w:customStyle="1" w:styleId="CM23">
    <w:name w:val="CM23"/>
    <w:basedOn w:val="Default"/>
    <w:next w:val="Default"/>
    <w:uiPriority w:val="99"/>
    <w:rsid w:val="00E916D7"/>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422">
      <w:bodyDiv w:val="1"/>
      <w:marLeft w:val="0"/>
      <w:marRight w:val="0"/>
      <w:marTop w:val="0"/>
      <w:marBottom w:val="0"/>
      <w:divBdr>
        <w:top w:val="none" w:sz="0" w:space="0" w:color="auto"/>
        <w:left w:val="none" w:sz="0" w:space="0" w:color="auto"/>
        <w:bottom w:val="none" w:sz="0" w:space="0" w:color="auto"/>
        <w:right w:val="none" w:sz="0" w:space="0" w:color="auto"/>
      </w:divBdr>
    </w:div>
    <w:div w:id="351877195">
      <w:bodyDiv w:val="1"/>
      <w:marLeft w:val="0"/>
      <w:marRight w:val="0"/>
      <w:marTop w:val="0"/>
      <w:marBottom w:val="0"/>
      <w:divBdr>
        <w:top w:val="none" w:sz="0" w:space="0" w:color="auto"/>
        <w:left w:val="none" w:sz="0" w:space="0" w:color="auto"/>
        <w:bottom w:val="none" w:sz="0" w:space="0" w:color="auto"/>
        <w:right w:val="none" w:sz="0" w:space="0" w:color="auto"/>
      </w:divBdr>
    </w:div>
    <w:div w:id="356470734">
      <w:bodyDiv w:val="1"/>
      <w:marLeft w:val="0"/>
      <w:marRight w:val="0"/>
      <w:marTop w:val="0"/>
      <w:marBottom w:val="0"/>
      <w:divBdr>
        <w:top w:val="none" w:sz="0" w:space="0" w:color="auto"/>
        <w:left w:val="none" w:sz="0" w:space="0" w:color="auto"/>
        <w:bottom w:val="none" w:sz="0" w:space="0" w:color="auto"/>
        <w:right w:val="none" w:sz="0" w:space="0" w:color="auto"/>
      </w:divBdr>
    </w:div>
    <w:div w:id="20678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76CE-4FCE-48F5-8D2C-9C51613E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Jacqueline Caci</cp:lastModifiedBy>
  <cp:revision>2</cp:revision>
  <cp:lastPrinted>2013-03-27T19:57:00Z</cp:lastPrinted>
  <dcterms:created xsi:type="dcterms:W3CDTF">2013-03-28T12:17:00Z</dcterms:created>
  <dcterms:modified xsi:type="dcterms:W3CDTF">2013-03-28T12:17:00Z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120314-EQ</vt:lpwstr>
  </property>
  <property fmtid="{D5CDD505-2E9C-101B-9397-08002B2CF9AE}" pid="3" name="MasterDocument">
    <vt:bool>false</vt:bool>
  </property>
</Properties>
</file>