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r>
              <w:t>State of Florida</w:t>
            </w:r>
          </w:p>
          <w:p w:rsidR="007C0528" w:rsidRDefault="003A0BF1">
            <w:pPr>
              <w:jc w:val="center"/>
            </w:pPr>
            <w:r>
              <w:rPr>
                <w:noProof/>
              </w:rPr>
              <w:drawing>
                <wp:inline distT="0" distB="0" distL="0" distR="0" wp14:anchorId="533190CA" wp14:editId="2F8C6F39">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pPr>
              <w:pStyle w:val="MemoHeading"/>
              <w:rPr>
                <w:b/>
              </w:rPr>
            </w:pPr>
            <w:r>
              <w:rPr>
                <w:b/>
              </w:rP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96491">
            <w:pPr>
              <w:pStyle w:val="MemoHeading"/>
            </w:pPr>
            <w:bookmarkStart w:id="0" w:name="FilingDate"/>
            <w:r>
              <w:t>June 4, 2015</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pPr>
              <w:pStyle w:val="MemoHeading"/>
              <w:rPr>
                <w:b/>
              </w:rPr>
            </w:pPr>
            <w:r>
              <w:rPr>
                <w:b/>
              </w:rPr>
              <w:t>FROM:</w:t>
            </w:r>
          </w:p>
        </w:tc>
        <w:tc>
          <w:tcPr>
            <w:tcW w:w="8221" w:type="dxa"/>
            <w:gridSpan w:val="3"/>
            <w:tcBorders>
              <w:top w:val="nil"/>
              <w:left w:val="nil"/>
              <w:bottom w:val="nil"/>
              <w:right w:val="nil"/>
            </w:tcBorders>
            <w:shd w:val="clear" w:color="auto" w:fill="auto"/>
            <w:tcMar>
              <w:top w:w="288" w:type="dxa"/>
              <w:bottom w:w="0" w:type="dxa"/>
            </w:tcMar>
          </w:tcPr>
          <w:p w:rsidR="00D96491" w:rsidRDefault="00D96491">
            <w:pPr>
              <w:pStyle w:val="MemoHeading"/>
            </w:pPr>
            <w:bookmarkStart w:id="1" w:name="From"/>
            <w:r>
              <w:t>Division of Economics (Ollila)</w:t>
            </w:r>
          </w:p>
          <w:p w:rsidR="007C0528" w:rsidRDefault="00D96491">
            <w:pPr>
              <w:pStyle w:val="MemoHeading"/>
            </w:pPr>
            <w:r>
              <w:t>Office of the General Counsel (Brownless)</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pPr>
              <w:pStyle w:val="MemoHeading"/>
              <w:rPr>
                <w:b/>
              </w:rPr>
            </w:pPr>
            <w:r>
              <w:rPr>
                <w:b/>
              </w:rPr>
              <w:t>RE:</w:t>
            </w:r>
          </w:p>
        </w:tc>
        <w:tc>
          <w:tcPr>
            <w:tcW w:w="8221" w:type="dxa"/>
            <w:gridSpan w:val="3"/>
            <w:tcBorders>
              <w:top w:val="nil"/>
              <w:left w:val="nil"/>
              <w:bottom w:val="nil"/>
              <w:right w:val="nil"/>
            </w:tcBorders>
            <w:shd w:val="clear" w:color="auto" w:fill="auto"/>
            <w:tcMar>
              <w:top w:w="288" w:type="dxa"/>
            </w:tcMar>
          </w:tcPr>
          <w:p w:rsidR="007C0528" w:rsidRDefault="00D96491">
            <w:pPr>
              <w:pStyle w:val="MemoHeadingRe"/>
            </w:pPr>
            <w:bookmarkStart w:id="2" w:name="Re"/>
            <w:r>
              <w:t>Docket No. 150103-EI – Petition for approval of revised underground residential distribution tariff, by Tampa Electric Company.</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AGENDA:</w:t>
            </w:r>
          </w:p>
        </w:tc>
        <w:tc>
          <w:tcPr>
            <w:tcW w:w="8221" w:type="dxa"/>
            <w:gridSpan w:val="3"/>
            <w:tcBorders>
              <w:top w:val="nil"/>
              <w:left w:val="nil"/>
              <w:bottom w:val="nil"/>
              <w:right w:val="nil"/>
            </w:tcBorders>
            <w:shd w:val="clear" w:color="auto" w:fill="auto"/>
            <w:tcMar>
              <w:top w:w="288" w:type="dxa"/>
            </w:tcMar>
          </w:tcPr>
          <w:p w:rsidR="007C0528" w:rsidRDefault="00D96491">
            <w:pPr>
              <w:pStyle w:val="MemoHeading"/>
            </w:pPr>
            <w:bookmarkStart w:id="3" w:name="AgendaDate"/>
            <w:r>
              <w:t>06/18/15</w:t>
            </w:r>
            <w:bookmarkEnd w:id="3"/>
            <w:r w:rsidR="007C0528">
              <w:t xml:space="preserve"> – </w:t>
            </w:r>
            <w:bookmarkStart w:id="4" w:name="PermittedStatus"/>
            <w:r>
              <w:t>Regular Agenda – Tariff Filing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COMMISSIONERS ASSIGNED:</w:t>
            </w:r>
          </w:p>
        </w:tc>
        <w:tc>
          <w:tcPr>
            <w:tcW w:w="5785" w:type="dxa"/>
            <w:tcBorders>
              <w:top w:val="nil"/>
              <w:left w:val="nil"/>
              <w:bottom w:val="nil"/>
              <w:right w:val="nil"/>
            </w:tcBorders>
            <w:shd w:val="clear" w:color="auto" w:fill="auto"/>
          </w:tcPr>
          <w:p w:rsidR="007C0528" w:rsidRDefault="00D96491">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PREHEARING OFFICER:</w:t>
            </w:r>
          </w:p>
        </w:tc>
        <w:tc>
          <w:tcPr>
            <w:tcW w:w="5785" w:type="dxa"/>
            <w:tcBorders>
              <w:top w:val="nil"/>
              <w:left w:val="nil"/>
              <w:bottom w:val="nil"/>
              <w:right w:val="nil"/>
            </w:tcBorders>
            <w:shd w:val="clear" w:color="auto" w:fill="auto"/>
          </w:tcPr>
          <w:p w:rsidR="007C0528" w:rsidRDefault="00D96491">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bookmarkStart w:id="7" w:name="CriticalDatesLabel"/>
            <w:r>
              <w:rPr>
                <w:b/>
              </w:rPr>
              <w:t>CRITICAL DATES:</w:t>
            </w:r>
            <w:bookmarkEnd w:id="7"/>
          </w:p>
        </w:tc>
        <w:tc>
          <w:tcPr>
            <w:tcW w:w="5785" w:type="dxa"/>
            <w:tcBorders>
              <w:top w:val="nil"/>
              <w:left w:val="nil"/>
              <w:bottom w:val="nil"/>
              <w:right w:val="nil"/>
            </w:tcBorders>
            <w:shd w:val="clear" w:color="auto" w:fill="auto"/>
          </w:tcPr>
          <w:p w:rsidR="007C0528" w:rsidRDefault="006E3871" w:rsidP="006E3871">
            <w:pPr>
              <w:pStyle w:val="MemoHeading"/>
            </w:pPr>
            <w:bookmarkStart w:id="8" w:name="CriticalDates"/>
            <w:r>
              <w:t>60-Day Suspension Date Waived by the Company Until the 6/18/15 Agenda Conference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pPr>
              <w:pStyle w:val="MemoHeading"/>
              <w:rPr>
                <w:b/>
              </w:rPr>
            </w:pPr>
            <w:r>
              <w:rPr>
                <w:b/>
              </w:rP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96491">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rPr>
          <w:u w:val="none"/>
        </w:rP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D96491" w:rsidRDefault="00A74858" w:rsidP="00A24EC5">
      <w:pPr>
        <w:pStyle w:val="BodyText"/>
      </w:pPr>
      <w:r>
        <w:t>On April 1, 2015, Tamp</w:t>
      </w:r>
      <w:r w:rsidR="00D96491">
        <w:t xml:space="preserve">a Electric Company (TECO) </w:t>
      </w:r>
      <w:r>
        <w:t xml:space="preserve">filed a petition for approval of </w:t>
      </w:r>
      <w:r w:rsidR="000234EF">
        <w:t xml:space="preserve">its </w:t>
      </w:r>
      <w:r>
        <w:t xml:space="preserve">revised underground </w:t>
      </w:r>
      <w:r w:rsidR="00AE657B">
        <w:t xml:space="preserve">residential </w:t>
      </w:r>
      <w:r>
        <w:t>distribution (</w:t>
      </w:r>
      <w:r w:rsidR="00D96491">
        <w:t>URD</w:t>
      </w:r>
      <w:r>
        <w:t xml:space="preserve">) tariff.  </w:t>
      </w:r>
      <w:r w:rsidR="00860023">
        <w:t xml:space="preserve">These tariffs reflect the additional costs the customer must pay for initial service above the standard overhead service.  </w:t>
      </w:r>
      <w:r w:rsidR="006E3871">
        <w:t xml:space="preserve">The proposed tariffs are shown in Attachment 1.  </w:t>
      </w:r>
      <w:r>
        <w:t>TECO’s current</w:t>
      </w:r>
      <w:r w:rsidR="00D96491">
        <w:t xml:space="preserve"> charges were approved in Order No. PSC-12-0499-TR</w:t>
      </w:r>
      <w:r>
        <w:t>F</w:t>
      </w:r>
      <w:r w:rsidR="00D96491">
        <w:t>-EI</w:t>
      </w:r>
      <w:r w:rsidR="00A24EC5">
        <w:t xml:space="preserve"> (2012 Order)</w:t>
      </w:r>
      <w:r w:rsidR="00D96491">
        <w:t>.</w:t>
      </w:r>
      <w:r w:rsidR="00D96491">
        <w:rPr>
          <w:rStyle w:val="FootnoteReference"/>
        </w:rPr>
        <w:footnoteReference w:id="1"/>
      </w:r>
      <w:r w:rsidR="00447DC2">
        <w:t xml:space="preserve"> </w:t>
      </w:r>
      <w:r w:rsidR="00025D66">
        <w:t>Staff issued one data request to TECO.</w:t>
      </w:r>
      <w:r w:rsidR="00447DC2">
        <w:t xml:space="preserve"> </w:t>
      </w:r>
      <w:r w:rsidR="00D96491">
        <w:t xml:space="preserve">The Commission has jurisdiction over this matter pursuant to Sections 366.03, </w:t>
      </w:r>
      <w:r>
        <w:t xml:space="preserve">366.04, </w:t>
      </w:r>
      <w:r w:rsidR="00D96491">
        <w:t>366.05, and 366.06, Florida Statutes.</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D96491" w:rsidRDefault="00D96491">
      <w:pPr>
        <w:pStyle w:val="IssueHeading"/>
        <w:rPr>
          <w:vanish/>
          <w:specVanish/>
        </w:rPr>
      </w:pPr>
      <w:r>
        <w:rPr>
          <w:b/>
          <w:u w:val="single"/>
        </w:rPr>
        <w:t xml:space="preserve">Issue </w:t>
      </w:r>
      <w:r>
        <w:rPr>
          <w:b/>
          <w:u w:val="single"/>
        </w:rPr>
        <w:fldChar w:fldCharType="begin"/>
      </w:r>
      <w:r>
        <w:rPr>
          <w:b/>
          <w:u w:val="single"/>
        </w:rPr>
        <w:instrText xml:space="preserve"> SEQ Issue \* MERGEFORMAT </w:instrText>
      </w:r>
      <w:r>
        <w:rPr>
          <w:b/>
          <w:u w:val="single"/>
        </w:rPr>
        <w:fldChar w:fldCharType="separate"/>
      </w:r>
      <w:r w:rsidR="001D0F43">
        <w:rPr>
          <w:b/>
          <w:noProof/>
          <w:u w:val="single"/>
        </w:rPr>
        <w:t>1</w:t>
      </w:r>
      <w:r>
        <w:rPr>
          <w:b/>
          <w:u w:val="single"/>
        </w:rPr>
        <w:fldChar w:fldCharType="end"/>
      </w:r>
      <w:r>
        <w:t>:</w:t>
      </w:r>
      <w:r>
        <w:fldChar w:fldCharType="begin"/>
      </w:r>
      <w:r>
        <w:instrText xml:space="preserve"> TC "</w:instrText>
      </w:r>
      <w:r>
        <w:fldChar w:fldCharType="begin"/>
      </w:r>
      <w:r>
        <w:instrText xml:space="preserve"> SEQ issue \c </w:instrText>
      </w:r>
      <w:r>
        <w:fldChar w:fldCharType="separate"/>
      </w:r>
      <w:r w:rsidR="001D0F43">
        <w:rPr>
          <w:noProof/>
        </w:rPr>
        <w:instrText>1</w:instrText>
      </w:r>
      <w:r>
        <w:fldChar w:fldCharType="end"/>
      </w:r>
      <w:r>
        <w:tab/>
        <w:instrText xml:space="preserve"> (Ollila)" \l 1 </w:instrText>
      </w:r>
      <w:r>
        <w:fldChar w:fldCharType="end"/>
      </w:r>
      <w:r>
        <w:t> </w:t>
      </w:r>
    </w:p>
    <w:p w:rsidR="00D96491" w:rsidRDefault="00D96491">
      <w:pPr>
        <w:pStyle w:val="BodyText"/>
      </w:pPr>
      <w:r>
        <w:t xml:space="preserve"> Should the Commission approve TECO's </w:t>
      </w:r>
      <w:r w:rsidR="00A74858">
        <w:t xml:space="preserve">proposed </w:t>
      </w:r>
      <w:r>
        <w:t>URD tariffs and associated charges?</w:t>
      </w:r>
    </w:p>
    <w:p w:rsidR="00D96491" w:rsidRDefault="00D96491">
      <w:pPr>
        <w:pStyle w:val="IssueSubsectionHeading"/>
        <w:rPr>
          <w:vanish/>
          <w:specVanish/>
        </w:rPr>
      </w:pPr>
      <w:r>
        <w:rPr>
          <w:b/>
          <w:u w:val="single"/>
        </w:rPr>
        <w:t>Recommendation</w:t>
      </w:r>
      <w:r>
        <w:t>: </w:t>
      </w:r>
    </w:p>
    <w:p w:rsidR="00D96491" w:rsidRDefault="00D96491">
      <w:pPr>
        <w:pStyle w:val="BodyText"/>
      </w:pPr>
      <w:r>
        <w:t> </w:t>
      </w:r>
      <w:r w:rsidR="003A0BF1">
        <w:t xml:space="preserve">Yes, the </w:t>
      </w:r>
      <w:r w:rsidR="00A74858">
        <w:t>Commission should approve TECO’s p</w:t>
      </w:r>
      <w:r w:rsidR="003A0BF1">
        <w:t>roposed URD tariffs and associated charges</w:t>
      </w:r>
      <w:r w:rsidR="006E3871">
        <w:t xml:space="preserve"> effective June 18, 2015. </w:t>
      </w:r>
      <w:r>
        <w:t xml:space="preserve"> (Ollila)</w:t>
      </w:r>
    </w:p>
    <w:p w:rsidR="00D96491" w:rsidRDefault="00D96491">
      <w:pPr>
        <w:pStyle w:val="IssueSubsectionHeading"/>
        <w:rPr>
          <w:vanish/>
          <w:specVanish/>
        </w:rPr>
      </w:pPr>
      <w:r>
        <w:rPr>
          <w:b/>
          <w:u w:val="single"/>
        </w:rPr>
        <w:t>Staff Analysis</w:t>
      </w:r>
      <w:r>
        <w:t>: </w:t>
      </w:r>
    </w:p>
    <w:p w:rsidR="00C91877" w:rsidRDefault="00D96491" w:rsidP="00C91877">
      <w:pPr>
        <w:pStyle w:val="BodyText"/>
      </w:pPr>
      <w:r>
        <w:t> </w:t>
      </w:r>
      <w:r w:rsidR="00C91877">
        <w:t>Rule 25-6.078, Florida Administrative Code (F.A.C.), de</w:t>
      </w:r>
      <w:r w:rsidR="00A74858">
        <w:t>fines</w:t>
      </w:r>
      <w:r w:rsidR="00C91877">
        <w:t xml:space="preserve"> investor-owned utilities’ (IOU) responsibilities for filing updated URD tariffs.</w:t>
      </w:r>
      <w:r w:rsidR="00447DC2">
        <w:t xml:space="preserve"> </w:t>
      </w:r>
      <w:r w:rsidR="00B9493E">
        <w:t xml:space="preserve"> </w:t>
      </w:r>
      <w:r w:rsidR="00A74858">
        <w:t>IOUs are required to file supporting data and analyses for URD tariffs at least once every three years.</w:t>
      </w:r>
      <w:r w:rsidR="00447DC2">
        <w:t xml:space="preserve"> </w:t>
      </w:r>
      <w:r w:rsidR="00B9493E">
        <w:t xml:space="preserve"> </w:t>
      </w:r>
      <w:r w:rsidR="00C91877">
        <w:t xml:space="preserve">The URD tariffs provide standard charges for underground service in new residential subdivisions and represent the additional costs the utility incurs to provide underground service in place of </w:t>
      </w:r>
      <w:r w:rsidR="00860023">
        <w:t xml:space="preserve">standard </w:t>
      </w:r>
      <w:r w:rsidR="00C91877">
        <w:t>overhead service.</w:t>
      </w:r>
      <w:r w:rsidR="00B9493E">
        <w:t xml:space="preserve"> </w:t>
      </w:r>
      <w:r w:rsidR="00447DC2">
        <w:t xml:space="preserve"> </w:t>
      </w:r>
      <w:r w:rsidR="00A74858">
        <w:t>The cost of standard overhead construction is recovered through base rates from all ratepayers.</w:t>
      </w:r>
      <w:r w:rsidR="00B9493E">
        <w:t xml:space="preserve"> </w:t>
      </w:r>
      <w:r w:rsidR="00447DC2">
        <w:t xml:space="preserve"> </w:t>
      </w:r>
      <w:r w:rsidR="00A74858">
        <w:t>In lieu of overhead construction, customers have the option of requesting underground facilities.</w:t>
      </w:r>
      <w:r w:rsidR="00B9493E">
        <w:t xml:space="preserve"> </w:t>
      </w:r>
      <w:r w:rsidR="00447DC2">
        <w:t xml:space="preserve"> </w:t>
      </w:r>
      <w:r w:rsidR="00A74858">
        <w:t>Cost</w:t>
      </w:r>
      <w:r w:rsidR="0093056A">
        <w:t>s</w:t>
      </w:r>
      <w:r w:rsidR="00A74858">
        <w:t xml:space="preserve"> for underground construction have historically been higher than for standard overhead construction and the additional cost is paid by the customers as contribution</w:t>
      </w:r>
      <w:r w:rsidR="00447DC2">
        <w:t xml:space="preserve">-in-aid-of construction (CIAC). </w:t>
      </w:r>
      <w:r w:rsidR="00B9493E">
        <w:t xml:space="preserve"> </w:t>
      </w:r>
      <w:r w:rsidR="00A74858">
        <w:t>Typically the URD customer is the developer of the subdivision.</w:t>
      </w:r>
    </w:p>
    <w:p w:rsidR="00E266E5" w:rsidRDefault="003A0BF1" w:rsidP="00B9163B">
      <w:pPr>
        <w:pStyle w:val="BodyText"/>
      </w:pPr>
      <w:r>
        <w:t xml:space="preserve">TECO’s URD charges are based on two standard model subdivisions: (1) a 210-lot low density </w:t>
      </w:r>
      <w:r w:rsidR="008B1A03">
        <w:t xml:space="preserve">(LD) </w:t>
      </w:r>
      <w:r>
        <w:t>subdivision</w:t>
      </w:r>
      <w:r w:rsidR="002D3293">
        <w:t>,</w:t>
      </w:r>
      <w:r>
        <w:t xml:space="preserve"> and (2) a 176-lot high density </w:t>
      </w:r>
      <w:r w:rsidR="008B1A03">
        <w:t xml:space="preserve">(HD) </w:t>
      </w:r>
      <w:r>
        <w:t>subdivision.</w:t>
      </w:r>
      <w:r w:rsidR="00624B29">
        <w:t xml:space="preserve"> </w:t>
      </w:r>
      <w:r w:rsidR="00B9493E">
        <w:t xml:space="preserve"> </w:t>
      </w:r>
      <w:r>
        <w:t xml:space="preserve">While actual construction may differ, the model subdivisions are designed to reflect </w:t>
      </w:r>
      <w:r w:rsidR="00695070">
        <w:t>average subdivisions</w:t>
      </w:r>
      <w:r>
        <w:t>.</w:t>
      </w:r>
      <w:r w:rsidR="00B9493E">
        <w:t xml:space="preserve"> </w:t>
      </w:r>
      <w:r w:rsidR="00624B29">
        <w:t xml:space="preserve"> </w:t>
      </w:r>
      <w:r>
        <w:t xml:space="preserve">The </w:t>
      </w:r>
      <w:r w:rsidR="000234EF">
        <w:t xml:space="preserve">design of the </w:t>
      </w:r>
      <w:r w:rsidR="008B1A03">
        <w:t>HD</w:t>
      </w:r>
      <w:r>
        <w:t xml:space="preserve"> subdivision is the same as in 2012; however, </w:t>
      </w:r>
      <w:r w:rsidR="007E68DA">
        <w:t xml:space="preserve">TECO stated that it made modifications to </w:t>
      </w:r>
      <w:r>
        <w:t xml:space="preserve">the </w:t>
      </w:r>
      <w:r w:rsidR="008B1A03">
        <w:t>LD</w:t>
      </w:r>
      <w:r w:rsidR="000234EF">
        <w:t xml:space="preserve"> </w:t>
      </w:r>
      <w:r>
        <w:t xml:space="preserve">subdivision </w:t>
      </w:r>
      <w:r w:rsidR="000234EF">
        <w:t xml:space="preserve">design </w:t>
      </w:r>
      <w:r w:rsidR="007E68DA">
        <w:t xml:space="preserve">to increase </w:t>
      </w:r>
      <w:r w:rsidR="00E266E5">
        <w:t>reliability</w:t>
      </w:r>
      <w:r w:rsidR="007E68DA">
        <w:t xml:space="preserve">.   Specifically, TECO added </w:t>
      </w:r>
      <w:r w:rsidR="00365C5D">
        <w:t>transformers</w:t>
      </w:r>
      <w:r w:rsidR="007E68DA">
        <w:t xml:space="preserve"> and adjusted the length of primary cable and service laterals</w:t>
      </w:r>
      <w:r w:rsidR="008B1A03">
        <w:t>.</w:t>
      </w:r>
      <w:r w:rsidR="00B9163B">
        <w:t xml:space="preserve"> </w:t>
      </w:r>
    </w:p>
    <w:p w:rsidR="00B9163B" w:rsidRDefault="008B1A03" w:rsidP="00B9163B">
      <w:pPr>
        <w:pStyle w:val="BodyText"/>
      </w:pPr>
      <w:r w:rsidRPr="00A24EC5">
        <w:t>Table 1-1</w:t>
      </w:r>
      <w:r>
        <w:t xml:space="preserve"> </w:t>
      </w:r>
      <w:r w:rsidR="005D5DDC">
        <w:t>displays</w:t>
      </w:r>
      <w:r>
        <w:t xml:space="preserve"> the current</w:t>
      </w:r>
      <w:r w:rsidR="00D60F9D">
        <w:t>ly approved</w:t>
      </w:r>
      <w:r>
        <w:t xml:space="preserve"> and proposed </w:t>
      </w:r>
      <w:r w:rsidR="00A24EC5">
        <w:t xml:space="preserve">URD </w:t>
      </w:r>
      <w:r w:rsidR="00D60F9D">
        <w:t xml:space="preserve">differentials </w:t>
      </w:r>
      <w:r>
        <w:t>for the LD and HD subdivisions</w:t>
      </w:r>
      <w:r w:rsidR="00421EBB">
        <w:t xml:space="preserve">.  </w:t>
      </w:r>
      <w:r w:rsidR="00331EE5">
        <w:t xml:space="preserve">The charges shown are per-lot charges.  </w:t>
      </w:r>
    </w:p>
    <w:p w:rsidR="00A24EC5" w:rsidRPr="007A59A4" w:rsidRDefault="00A24EC5" w:rsidP="00A24EC5">
      <w:pPr>
        <w:pStyle w:val="BodyText"/>
        <w:spacing w:after="0"/>
        <w:jc w:val="center"/>
        <w:rPr>
          <w:b/>
        </w:rPr>
      </w:pPr>
      <w:r w:rsidRPr="007A59A4">
        <w:rPr>
          <w:b/>
        </w:rPr>
        <w:t>Table 1-1</w:t>
      </w:r>
    </w:p>
    <w:p w:rsidR="00A24EC5" w:rsidRPr="007A59A4" w:rsidRDefault="00694256" w:rsidP="00A24EC5">
      <w:pPr>
        <w:pStyle w:val="BodyText"/>
        <w:spacing w:after="0"/>
        <w:jc w:val="center"/>
        <w:rPr>
          <w:b/>
        </w:rPr>
      </w:pPr>
      <w:r w:rsidRPr="007A59A4">
        <w:rPr>
          <w:b/>
        </w:rPr>
        <w:t xml:space="preserve">Comparison of </w:t>
      </w:r>
      <w:r w:rsidR="00575ECA">
        <w:rPr>
          <w:b/>
        </w:rPr>
        <w:t xml:space="preserve">URD </w:t>
      </w:r>
      <w:r w:rsidRPr="007A59A4">
        <w:rPr>
          <w:b/>
        </w:rPr>
        <w:t>Differential Per Lot</w:t>
      </w:r>
    </w:p>
    <w:tbl>
      <w:tblPr>
        <w:tblStyle w:val="TableGrid"/>
        <w:tblW w:w="0" w:type="auto"/>
        <w:tblLook w:val="04A0" w:firstRow="1" w:lastRow="0" w:firstColumn="1" w:lastColumn="0" w:noHBand="0" w:noVBand="1"/>
      </w:tblPr>
      <w:tblGrid>
        <w:gridCol w:w="2538"/>
        <w:gridCol w:w="3330"/>
        <w:gridCol w:w="3600"/>
      </w:tblGrid>
      <w:tr w:rsidR="00694256" w:rsidTr="00DC7089">
        <w:trPr>
          <w:trHeight w:val="432"/>
        </w:trPr>
        <w:tc>
          <w:tcPr>
            <w:tcW w:w="2538" w:type="dxa"/>
            <w:vAlign w:val="center"/>
          </w:tcPr>
          <w:p w:rsidR="00694256" w:rsidRPr="00694256" w:rsidRDefault="00694256" w:rsidP="00A24EC5">
            <w:pPr>
              <w:pStyle w:val="BodyText"/>
              <w:spacing w:after="0"/>
              <w:ind w:firstLine="0"/>
              <w:jc w:val="center"/>
            </w:pPr>
          </w:p>
        </w:tc>
        <w:tc>
          <w:tcPr>
            <w:tcW w:w="3330" w:type="dxa"/>
            <w:vAlign w:val="center"/>
          </w:tcPr>
          <w:p w:rsidR="00694256" w:rsidRPr="00575ECA" w:rsidRDefault="00281B46" w:rsidP="00281B46">
            <w:pPr>
              <w:pStyle w:val="BodyText"/>
              <w:spacing w:after="0"/>
              <w:ind w:firstLine="0"/>
              <w:jc w:val="center"/>
              <w:rPr>
                <w:b/>
              </w:rPr>
            </w:pPr>
            <w:r>
              <w:rPr>
                <w:b/>
              </w:rPr>
              <w:t>Current</w:t>
            </w:r>
            <w:r w:rsidR="00694256" w:rsidRPr="00575ECA">
              <w:rPr>
                <w:b/>
              </w:rPr>
              <w:t xml:space="preserve"> Differential Per Lot</w:t>
            </w:r>
          </w:p>
        </w:tc>
        <w:tc>
          <w:tcPr>
            <w:tcW w:w="3600" w:type="dxa"/>
            <w:vAlign w:val="center"/>
          </w:tcPr>
          <w:p w:rsidR="00694256" w:rsidRPr="00575ECA" w:rsidRDefault="00281B46" w:rsidP="00575ECA">
            <w:pPr>
              <w:pStyle w:val="BodyText"/>
              <w:spacing w:after="0"/>
              <w:ind w:firstLine="0"/>
              <w:jc w:val="center"/>
              <w:rPr>
                <w:b/>
              </w:rPr>
            </w:pPr>
            <w:r>
              <w:rPr>
                <w:b/>
              </w:rPr>
              <w:t>Proposed</w:t>
            </w:r>
            <w:r w:rsidR="00694256" w:rsidRPr="00575ECA">
              <w:rPr>
                <w:b/>
              </w:rPr>
              <w:t xml:space="preserve"> Differential Per Lot</w:t>
            </w:r>
          </w:p>
        </w:tc>
      </w:tr>
      <w:tr w:rsidR="00694256" w:rsidTr="00DC7089">
        <w:trPr>
          <w:trHeight w:val="432"/>
        </w:trPr>
        <w:tc>
          <w:tcPr>
            <w:tcW w:w="2538" w:type="dxa"/>
            <w:vAlign w:val="center"/>
          </w:tcPr>
          <w:p w:rsidR="00694256" w:rsidRDefault="00694256" w:rsidP="00A24EC5">
            <w:pPr>
              <w:pStyle w:val="BodyText"/>
              <w:spacing w:after="0"/>
              <w:ind w:firstLine="0"/>
            </w:pPr>
            <w:r>
              <w:t>210-Lot Low Density</w:t>
            </w:r>
          </w:p>
        </w:tc>
        <w:tc>
          <w:tcPr>
            <w:tcW w:w="3330" w:type="dxa"/>
            <w:vAlign w:val="center"/>
          </w:tcPr>
          <w:p w:rsidR="00694256" w:rsidRDefault="00694256" w:rsidP="00694256">
            <w:pPr>
              <w:pStyle w:val="BodyText"/>
              <w:spacing w:after="0"/>
              <w:ind w:firstLine="0"/>
              <w:jc w:val="center"/>
            </w:pPr>
            <w:r>
              <w:t>$440</w:t>
            </w:r>
            <w:r w:rsidR="00990238">
              <w:t>.31</w:t>
            </w:r>
          </w:p>
        </w:tc>
        <w:tc>
          <w:tcPr>
            <w:tcW w:w="3600" w:type="dxa"/>
            <w:vAlign w:val="center"/>
          </w:tcPr>
          <w:p w:rsidR="00694256" w:rsidRDefault="00694256" w:rsidP="00990238">
            <w:pPr>
              <w:pStyle w:val="BodyText"/>
              <w:spacing w:after="0"/>
              <w:ind w:firstLine="0"/>
              <w:jc w:val="center"/>
            </w:pPr>
            <w:r>
              <w:t>$37</w:t>
            </w:r>
            <w:r w:rsidR="00990238">
              <w:t>3.86</w:t>
            </w:r>
            <w:r w:rsidR="002C4B8F">
              <w:rPr>
                <w:rStyle w:val="FootnoteReference"/>
              </w:rPr>
              <w:footnoteReference w:id="2"/>
            </w:r>
          </w:p>
        </w:tc>
      </w:tr>
      <w:tr w:rsidR="00694256" w:rsidTr="00DC7089">
        <w:trPr>
          <w:trHeight w:val="432"/>
        </w:trPr>
        <w:tc>
          <w:tcPr>
            <w:tcW w:w="2538" w:type="dxa"/>
            <w:vAlign w:val="center"/>
          </w:tcPr>
          <w:p w:rsidR="00694256" w:rsidRDefault="00694256" w:rsidP="00A24EC5">
            <w:pPr>
              <w:pStyle w:val="BodyText"/>
              <w:spacing w:after="0"/>
              <w:ind w:firstLine="0"/>
            </w:pPr>
            <w:r>
              <w:t>176-Lot High Density</w:t>
            </w:r>
          </w:p>
        </w:tc>
        <w:tc>
          <w:tcPr>
            <w:tcW w:w="3330" w:type="dxa"/>
            <w:vAlign w:val="center"/>
          </w:tcPr>
          <w:p w:rsidR="00694256" w:rsidRDefault="00990238" w:rsidP="00694256">
            <w:pPr>
              <w:pStyle w:val="BodyText"/>
              <w:spacing w:after="0"/>
              <w:ind w:firstLine="0"/>
              <w:jc w:val="center"/>
            </w:pPr>
            <w:r>
              <w:t>$103.95</w:t>
            </w:r>
          </w:p>
        </w:tc>
        <w:tc>
          <w:tcPr>
            <w:tcW w:w="3600" w:type="dxa"/>
            <w:vAlign w:val="center"/>
          </w:tcPr>
          <w:p w:rsidR="00694256" w:rsidRDefault="00694256" w:rsidP="00990238">
            <w:pPr>
              <w:pStyle w:val="BodyText"/>
              <w:spacing w:after="0"/>
              <w:ind w:firstLine="0"/>
              <w:jc w:val="center"/>
            </w:pPr>
            <w:r>
              <w:t>$4</w:t>
            </w:r>
            <w:r w:rsidR="00990238">
              <w:t>7.64</w:t>
            </w:r>
          </w:p>
        </w:tc>
      </w:tr>
    </w:tbl>
    <w:p w:rsidR="006A7051" w:rsidRDefault="00A24EC5" w:rsidP="006A7051">
      <w:pPr>
        <w:pStyle w:val="BodyText"/>
        <w:ind w:firstLine="0"/>
      </w:pPr>
      <w:r>
        <w:t xml:space="preserve"> </w:t>
      </w:r>
    </w:p>
    <w:p w:rsidR="00331EE5" w:rsidRDefault="00331EE5" w:rsidP="00331EE5">
      <w:pPr>
        <w:pStyle w:val="BodyText"/>
      </w:pPr>
      <w:r w:rsidRPr="00393978">
        <w:t xml:space="preserve">As shown in the table above, the differentials per-lot have decreased for both subdivisions.  </w:t>
      </w:r>
      <w:r w:rsidRPr="008A4F56">
        <w:t>The calculation of TECO’s proposed URD charges are based on 1) updated labor and material costs</w:t>
      </w:r>
      <w:r w:rsidR="00990238">
        <w:t>,</w:t>
      </w:r>
      <w:r w:rsidRPr="008A4F56">
        <w:t xml:space="preserve"> and 2) calculation of operational costs.</w:t>
      </w:r>
      <w:r>
        <w:t xml:space="preserve"> </w:t>
      </w:r>
    </w:p>
    <w:p w:rsidR="00DB4391" w:rsidRDefault="00D60F9D" w:rsidP="006A7051">
      <w:pPr>
        <w:pStyle w:val="BodyText"/>
      </w:pPr>
      <w:r w:rsidRPr="00D60F9D">
        <w:rPr>
          <w:u w:val="single"/>
        </w:rPr>
        <w:t>Updated labor and material costs</w:t>
      </w:r>
      <w:r>
        <w:t xml:space="preserve">.  </w:t>
      </w:r>
      <w:r w:rsidR="00601A69">
        <w:t>The installation costs of both underground and overhead facilities include the material and labor costs to provide primary, secondary, and service distribution lines as well as transformers.</w:t>
      </w:r>
      <w:r w:rsidR="00624B29">
        <w:t xml:space="preserve"> </w:t>
      </w:r>
      <w:r w:rsidR="00601A69">
        <w:t xml:space="preserve">The costs of poles are specific to overhead service while the costs of trenching and backfilling are </w:t>
      </w:r>
      <w:r w:rsidR="00BA1BE5">
        <w:t>specific to underground service.</w:t>
      </w:r>
      <w:r w:rsidR="00952E15">
        <w:t xml:space="preserve">  </w:t>
      </w:r>
      <w:r w:rsidR="00331EE5">
        <w:t xml:space="preserve">The </w:t>
      </w:r>
      <w:r w:rsidR="00331EE5">
        <w:lastRenderedPageBreak/>
        <w:t xml:space="preserve">current URD charges are based on 2012 labor and material costs, and the proposed charges are based on 2015 costs.  </w:t>
      </w:r>
      <w:r w:rsidR="00601A69">
        <w:t xml:space="preserve">Table 1-2 </w:t>
      </w:r>
      <w:r w:rsidR="007701A9">
        <w:t>compares</w:t>
      </w:r>
      <w:r w:rsidR="00601A69">
        <w:t xml:space="preserve"> the</w:t>
      </w:r>
      <w:r w:rsidR="007701A9">
        <w:t xml:space="preserve"> per-lot</w:t>
      </w:r>
      <w:r w:rsidR="00601A69">
        <w:t xml:space="preserve"> </w:t>
      </w:r>
      <w:r w:rsidR="00BC4367">
        <w:t>2012</w:t>
      </w:r>
      <w:r w:rsidR="00601A69">
        <w:t xml:space="preserve"> and </w:t>
      </w:r>
      <w:r w:rsidR="00BC4367">
        <w:t>2015</w:t>
      </w:r>
      <w:r w:rsidR="00601A69">
        <w:t xml:space="preserve"> </w:t>
      </w:r>
      <w:r w:rsidR="000B2FB6">
        <w:t xml:space="preserve">underground and overhead </w:t>
      </w:r>
      <w:r w:rsidR="00601A69">
        <w:t>labor and material costs</w:t>
      </w:r>
      <w:r w:rsidR="007701A9">
        <w:t xml:space="preserve"> for the two </w:t>
      </w:r>
      <w:r w:rsidR="00D34058">
        <w:t>subdivisions</w:t>
      </w:r>
      <w:r w:rsidR="00DB4391">
        <w:t>.</w:t>
      </w:r>
    </w:p>
    <w:p w:rsidR="00533010" w:rsidRPr="007A59A4" w:rsidRDefault="00533010" w:rsidP="00DB6E33">
      <w:pPr>
        <w:pStyle w:val="BodyText"/>
        <w:spacing w:after="0"/>
        <w:ind w:firstLine="0"/>
        <w:jc w:val="center"/>
        <w:rPr>
          <w:b/>
        </w:rPr>
      </w:pPr>
      <w:r w:rsidRPr="007A59A4">
        <w:rPr>
          <w:b/>
        </w:rPr>
        <w:t>Table 1-2</w:t>
      </w:r>
    </w:p>
    <w:p w:rsidR="00533010" w:rsidRPr="007A59A4" w:rsidRDefault="00533010" w:rsidP="00DB6E33">
      <w:pPr>
        <w:pStyle w:val="BodyText"/>
        <w:spacing w:after="0"/>
        <w:ind w:firstLine="0"/>
        <w:jc w:val="center"/>
        <w:rPr>
          <w:b/>
        </w:rPr>
      </w:pPr>
      <w:r w:rsidRPr="007A59A4">
        <w:rPr>
          <w:b/>
        </w:rPr>
        <w:t>Labor and Material Costs</w:t>
      </w:r>
      <w:r w:rsidR="00575ECA">
        <w:rPr>
          <w:b/>
        </w:rPr>
        <w:t xml:space="preserve"> per Lot</w:t>
      </w:r>
      <w:r w:rsidR="00990238">
        <w:rPr>
          <w:b/>
        </w:rPr>
        <w:t>*</w:t>
      </w:r>
    </w:p>
    <w:tbl>
      <w:tblPr>
        <w:tblStyle w:val="TableGrid"/>
        <w:tblW w:w="0" w:type="auto"/>
        <w:tblLook w:val="04A0" w:firstRow="1" w:lastRow="0" w:firstColumn="1" w:lastColumn="0" w:noHBand="0" w:noVBand="1"/>
      </w:tblPr>
      <w:tblGrid>
        <w:gridCol w:w="3618"/>
        <w:gridCol w:w="1866"/>
        <w:gridCol w:w="1923"/>
        <w:gridCol w:w="2169"/>
      </w:tblGrid>
      <w:tr w:rsidR="007A59A4" w:rsidRPr="007A59A4" w:rsidTr="00ED76C8">
        <w:trPr>
          <w:trHeight w:val="432"/>
        </w:trPr>
        <w:tc>
          <w:tcPr>
            <w:tcW w:w="3618" w:type="dxa"/>
            <w:vAlign w:val="center"/>
          </w:tcPr>
          <w:p w:rsidR="007A59A4" w:rsidRPr="007A59A4" w:rsidRDefault="007A59A4" w:rsidP="007A59A4">
            <w:pPr>
              <w:pStyle w:val="BodyText"/>
              <w:spacing w:after="0" w:line="276" w:lineRule="auto"/>
              <w:ind w:firstLine="0"/>
              <w:jc w:val="center"/>
            </w:pPr>
          </w:p>
        </w:tc>
        <w:tc>
          <w:tcPr>
            <w:tcW w:w="1866" w:type="dxa"/>
            <w:vAlign w:val="center"/>
          </w:tcPr>
          <w:p w:rsidR="007A59A4" w:rsidRPr="007A59A4" w:rsidRDefault="00281B46" w:rsidP="007A59A4">
            <w:pPr>
              <w:pStyle w:val="BodyText"/>
              <w:spacing w:after="0" w:line="276" w:lineRule="auto"/>
              <w:ind w:firstLine="0"/>
              <w:jc w:val="center"/>
              <w:rPr>
                <w:b/>
              </w:rPr>
            </w:pPr>
            <w:r>
              <w:rPr>
                <w:b/>
              </w:rPr>
              <w:t>2012</w:t>
            </w:r>
            <w:r w:rsidR="007A59A4" w:rsidRPr="007A59A4">
              <w:rPr>
                <w:b/>
              </w:rPr>
              <w:t xml:space="preserve"> Costs</w:t>
            </w:r>
          </w:p>
        </w:tc>
        <w:tc>
          <w:tcPr>
            <w:tcW w:w="1923" w:type="dxa"/>
            <w:vAlign w:val="center"/>
          </w:tcPr>
          <w:p w:rsidR="007A59A4" w:rsidRPr="007A59A4" w:rsidRDefault="00281B46" w:rsidP="007A59A4">
            <w:pPr>
              <w:pStyle w:val="BodyText"/>
              <w:spacing w:after="0" w:line="276" w:lineRule="auto"/>
              <w:ind w:firstLine="0"/>
              <w:jc w:val="center"/>
              <w:rPr>
                <w:b/>
              </w:rPr>
            </w:pPr>
            <w:r>
              <w:rPr>
                <w:b/>
              </w:rPr>
              <w:t>2015</w:t>
            </w:r>
            <w:r w:rsidR="007A59A4" w:rsidRPr="007A59A4">
              <w:rPr>
                <w:b/>
              </w:rPr>
              <w:t xml:space="preserve"> Costs</w:t>
            </w:r>
          </w:p>
        </w:tc>
        <w:tc>
          <w:tcPr>
            <w:tcW w:w="2169" w:type="dxa"/>
            <w:vAlign w:val="center"/>
          </w:tcPr>
          <w:p w:rsidR="007A59A4" w:rsidRPr="007A59A4" w:rsidRDefault="007A59A4" w:rsidP="007A59A4">
            <w:pPr>
              <w:pStyle w:val="BodyText"/>
              <w:spacing w:after="0" w:line="276" w:lineRule="auto"/>
              <w:ind w:firstLine="0"/>
              <w:jc w:val="center"/>
              <w:rPr>
                <w:b/>
              </w:rPr>
            </w:pPr>
            <w:r w:rsidRPr="007A59A4">
              <w:rPr>
                <w:b/>
              </w:rPr>
              <w:t>Difference</w:t>
            </w:r>
          </w:p>
        </w:tc>
      </w:tr>
      <w:tr w:rsidR="007A59A4" w:rsidTr="00264B80">
        <w:trPr>
          <w:trHeight w:val="432"/>
        </w:trPr>
        <w:tc>
          <w:tcPr>
            <w:tcW w:w="9576" w:type="dxa"/>
            <w:gridSpan w:val="4"/>
            <w:vAlign w:val="center"/>
          </w:tcPr>
          <w:p w:rsidR="007A59A4" w:rsidRPr="007A59A4" w:rsidRDefault="007A59A4" w:rsidP="007A59A4">
            <w:pPr>
              <w:pStyle w:val="BodyText"/>
              <w:spacing w:after="0" w:line="276" w:lineRule="auto"/>
              <w:ind w:firstLine="0"/>
              <w:jc w:val="left"/>
              <w:rPr>
                <w:b/>
              </w:rPr>
            </w:pPr>
            <w:r w:rsidRPr="007A59A4">
              <w:rPr>
                <w:b/>
              </w:rPr>
              <w:t>Low Density</w:t>
            </w:r>
          </w:p>
        </w:tc>
      </w:tr>
      <w:tr w:rsidR="007A59A4" w:rsidTr="00ED76C8">
        <w:trPr>
          <w:trHeight w:val="432"/>
        </w:trPr>
        <w:tc>
          <w:tcPr>
            <w:tcW w:w="3618" w:type="dxa"/>
            <w:vAlign w:val="center"/>
          </w:tcPr>
          <w:p w:rsidR="007A59A4" w:rsidRDefault="007A59A4" w:rsidP="00ED76C8">
            <w:pPr>
              <w:pStyle w:val="BodyText"/>
              <w:spacing w:after="0" w:line="276" w:lineRule="auto"/>
              <w:ind w:firstLine="0"/>
            </w:pPr>
            <w:r>
              <w:t>Underground</w:t>
            </w:r>
            <w:r w:rsidR="00ED76C8">
              <w:t xml:space="preserve"> </w:t>
            </w:r>
            <w:r>
              <w:t>labor/material costs</w:t>
            </w:r>
          </w:p>
        </w:tc>
        <w:tc>
          <w:tcPr>
            <w:tcW w:w="1866" w:type="dxa"/>
            <w:vAlign w:val="center"/>
          </w:tcPr>
          <w:p w:rsidR="007A59A4" w:rsidRDefault="00272BD9" w:rsidP="009870E4">
            <w:pPr>
              <w:pStyle w:val="BodyText"/>
              <w:spacing w:after="0" w:line="276" w:lineRule="auto"/>
              <w:ind w:firstLine="0"/>
              <w:jc w:val="center"/>
            </w:pPr>
            <w:r>
              <w:t>$2,049</w:t>
            </w:r>
          </w:p>
        </w:tc>
        <w:tc>
          <w:tcPr>
            <w:tcW w:w="1923" w:type="dxa"/>
            <w:vAlign w:val="center"/>
          </w:tcPr>
          <w:p w:rsidR="007A59A4" w:rsidRDefault="00DB1A88" w:rsidP="009870E4">
            <w:pPr>
              <w:pStyle w:val="BodyText"/>
              <w:spacing w:after="0" w:line="276" w:lineRule="auto"/>
              <w:ind w:firstLine="0"/>
              <w:jc w:val="center"/>
            </w:pPr>
            <w:r>
              <w:t>$2,127</w:t>
            </w:r>
          </w:p>
        </w:tc>
        <w:tc>
          <w:tcPr>
            <w:tcW w:w="2169" w:type="dxa"/>
            <w:vAlign w:val="center"/>
          </w:tcPr>
          <w:p w:rsidR="007A59A4" w:rsidRDefault="00281B46" w:rsidP="005868E3">
            <w:pPr>
              <w:pStyle w:val="BodyText"/>
              <w:spacing w:after="0" w:line="276" w:lineRule="auto"/>
              <w:ind w:firstLine="0"/>
              <w:jc w:val="center"/>
            </w:pPr>
            <w:r>
              <w:t>$78</w:t>
            </w:r>
          </w:p>
        </w:tc>
      </w:tr>
      <w:tr w:rsidR="007A59A4" w:rsidTr="00ED76C8">
        <w:trPr>
          <w:trHeight w:val="432"/>
        </w:trPr>
        <w:tc>
          <w:tcPr>
            <w:tcW w:w="3618" w:type="dxa"/>
            <w:vAlign w:val="center"/>
          </w:tcPr>
          <w:p w:rsidR="007A59A4" w:rsidRDefault="007A59A4" w:rsidP="007A59A4">
            <w:pPr>
              <w:pStyle w:val="BodyText"/>
              <w:spacing w:after="0" w:line="276" w:lineRule="auto"/>
              <w:ind w:firstLine="0"/>
            </w:pPr>
            <w:r>
              <w:t xml:space="preserve">Overhead labor/material costs </w:t>
            </w:r>
          </w:p>
        </w:tc>
        <w:tc>
          <w:tcPr>
            <w:tcW w:w="1866" w:type="dxa"/>
            <w:vAlign w:val="center"/>
          </w:tcPr>
          <w:p w:rsidR="007A59A4" w:rsidRDefault="00272BD9" w:rsidP="009870E4">
            <w:pPr>
              <w:pStyle w:val="BodyText"/>
              <w:spacing w:after="0" w:line="276" w:lineRule="auto"/>
              <w:ind w:firstLine="0"/>
              <w:jc w:val="center"/>
            </w:pPr>
            <w:r>
              <w:t>$1,205</w:t>
            </w:r>
          </w:p>
        </w:tc>
        <w:tc>
          <w:tcPr>
            <w:tcW w:w="1923" w:type="dxa"/>
            <w:vAlign w:val="center"/>
          </w:tcPr>
          <w:p w:rsidR="007A59A4" w:rsidRDefault="00DB1A88" w:rsidP="009870E4">
            <w:pPr>
              <w:pStyle w:val="BodyText"/>
              <w:spacing w:after="0" w:line="276" w:lineRule="auto"/>
              <w:ind w:firstLine="0"/>
              <w:jc w:val="center"/>
            </w:pPr>
            <w:r>
              <w:t>$1,269</w:t>
            </w:r>
          </w:p>
        </w:tc>
        <w:tc>
          <w:tcPr>
            <w:tcW w:w="2169" w:type="dxa"/>
            <w:vAlign w:val="center"/>
          </w:tcPr>
          <w:p w:rsidR="007A59A4" w:rsidRDefault="00281B46" w:rsidP="005868E3">
            <w:pPr>
              <w:pStyle w:val="BodyText"/>
              <w:spacing w:after="0" w:line="276" w:lineRule="auto"/>
              <w:ind w:firstLine="0"/>
              <w:jc w:val="center"/>
            </w:pPr>
            <w:r>
              <w:t>$64</w:t>
            </w:r>
          </w:p>
        </w:tc>
      </w:tr>
      <w:tr w:rsidR="00264B80" w:rsidTr="00ED76C8">
        <w:trPr>
          <w:trHeight w:val="432"/>
        </w:trPr>
        <w:tc>
          <w:tcPr>
            <w:tcW w:w="3618" w:type="dxa"/>
            <w:vAlign w:val="center"/>
          </w:tcPr>
          <w:p w:rsidR="00264B80" w:rsidRPr="007A59A4" w:rsidRDefault="00264B80" w:rsidP="00264B80">
            <w:pPr>
              <w:pStyle w:val="BodyText"/>
              <w:spacing w:after="0" w:line="276" w:lineRule="auto"/>
              <w:ind w:firstLine="0"/>
              <w:jc w:val="left"/>
            </w:pPr>
            <w:r w:rsidRPr="007A59A4">
              <w:t>Per lot differential</w:t>
            </w:r>
          </w:p>
        </w:tc>
        <w:tc>
          <w:tcPr>
            <w:tcW w:w="1866" w:type="dxa"/>
            <w:vAlign w:val="center"/>
          </w:tcPr>
          <w:p w:rsidR="00264B80" w:rsidRPr="007A59A4" w:rsidRDefault="00264B80" w:rsidP="00264B80">
            <w:pPr>
              <w:pStyle w:val="BodyText"/>
              <w:spacing w:after="0" w:line="276" w:lineRule="auto"/>
              <w:ind w:firstLine="0"/>
              <w:jc w:val="center"/>
            </w:pPr>
            <w:r>
              <w:t>$844</w:t>
            </w:r>
          </w:p>
        </w:tc>
        <w:tc>
          <w:tcPr>
            <w:tcW w:w="1923" w:type="dxa"/>
            <w:vAlign w:val="center"/>
          </w:tcPr>
          <w:p w:rsidR="00264B80" w:rsidRPr="007A59A4" w:rsidRDefault="00264B80" w:rsidP="00264B80">
            <w:pPr>
              <w:pStyle w:val="BodyText"/>
              <w:spacing w:after="0" w:line="276" w:lineRule="auto"/>
              <w:ind w:firstLine="0"/>
              <w:jc w:val="center"/>
            </w:pPr>
            <w:r>
              <w:t>$858</w:t>
            </w:r>
          </w:p>
        </w:tc>
        <w:tc>
          <w:tcPr>
            <w:tcW w:w="2169" w:type="dxa"/>
            <w:vAlign w:val="center"/>
          </w:tcPr>
          <w:p w:rsidR="00264B80" w:rsidRPr="007A59A4" w:rsidRDefault="00264B80" w:rsidP="005868E3">
            <w:pPr>
              <w:pStyle w:val="BodyText"/>
              <w:spacing w:after="0" w:line="276" w:lineRule="auto"/>
              <w:ind w:firstLine="0"/>
              <w:jc w:val="center"/>
            </w:pPr>
            <w:r>
              <w:t>$14</w:t>
            </w:r>
          </w:p>
        </w:tc>
      </w:tr>
      <w:tr w:rsidR="007A59A4" w:rsidTr="00264B80">
        <w:trPr>
          <w:trHeight w:val="432"/>
        </w:trPr>
        <w:tc>
          <w:tcPr>
            <w:tcW w:w="9576" w:type="dxa"/>
            <w:gridSpan w:val="4"/>
            <w:vAlign w:val="center"/>
          </w:tcPr>
          <w:p w:rsidR="007A59A4" w:rsidRPr="007A59A4" w:rsidRDefault="007A59A4" w:rsidP="00575ECA">
            <w:pPr>
              <w:pStyle w:val="BodyText"/>
              <w:spacing w:after="0" w:line="276" w:lineRule="auto"/>
              <w:ind w:firstLine="0"/>
              <w:jc w:val="left"/>
              <w:rPr>
                <w:b/>
              </w:rPr>
            </w:pPr>
            <w:r w:rsidRPr="007A59A4">
              <w:rPr>
                <w:b/>
              </w:rPr>
              <w:t>High Density</w:t>
            </w:r>
          </w:p>
        </w:tc>
      </w:tr>
      <w:tr w:rsidR="007A59A4" w:rsidTr="00ED76C8">
        <w:trPr>
          <w:trHeight w:val="432"/>
        </w:trPr>
        <w:tc>
          <w:tcPr>
            <w:tcW w:w="3618" w:type="dxa"/>
            <w:vAlign w:val="center"/>
          </w:tcPr>
          <w:p w:rsidR="007A59A4" w:rsidRDefault="007A59A4" w:rsidP="00575ECA">
            <w:pPr>
              <w:pStyle w:val="BodyText"/>
              <w:spacing w:after="0" w:line="276" w:lineRule="auto"/>
              <w:ind w:firstLine="0"/>
              <w:jc w:val="left"/>
            </w:pPr>
            <w:r>
              <w:t>Underground labor/material costs</w:t>
            </w:r>
          </w:p>
        </w:tc>
        <w:tc>
          <w:tcPr>
            <w:tcW w:w="1866" w:type="dxa"/>
            <w:vAlign w:val="center"/>
          </w:tcPr>
          <w:p w:rsidR="007A59A4" w:rsidRPr="00DB1A88" w:rsidRDefault="00272BD9" w:rsidP="00DB1A88">
            <w:pPr>
              <w:pStyle w:val="BodyText"/>
              <w:spacing w:after="0" w:line="276" w:lineRule="auto"/>
              <w:ind w:firstLine="0"/>
              <w:jc w:val="center"/>
            </w:pPr>
            <w:r w:rsidRPr="00DB1A88">
              <w:t>$1,619</w:t>
            </w:r>
          </w:p>
        </w:tc>
        <w:tc>
          <w:tcPr>
            <w:tcW w:w="1923" w:type="dxa"/>
            <w:vAlign w:val="center"/>
          </w:tcPr>
          <w:p w:rsidR="007A59A4" w:rsidRPr="00DB1A88" w:rsidRDefault="00DB1A88" w:rsidP="00DB1A88">
            <w:pPr>
              <w:pStyle w:val="BodyText"/>
              <w:spacing w:after="0" w:line="276" w:lineRule="auto"/>
              <w:ind w:firstLine="0"/>
              <w:jc w:val="center"/>
            </w:pPr>
            <w:r w:rsidRPr="00DB1A88">
              <w:t>$1,638</w:t>
            </w:r>
          </w:p>
        </w:tc>
        <w:tc>
          <w:tcPr>
            <w:tcW w:w="2169" w:type="dxa"/>
            <w:vAlign w:val="center"/>
          </w:tcPr>
          <w:p w:rsidR="007A59A4" w:rsidRPr="00DB1A88" w:rsidRDefault="00281B46" w:rsidP="005868E3">
            <w:pPr>
              <w:pStyle w:val="BodyText"/>
              <w:spacing w:after="0" w:line="276" w:lineRule="auto"/>
              <w:ind w:firstLine="0"/>
              <w:jc w:val="center"/>
            </w:pPr>
            <w:r>
              <w:t>$19</w:t>
            </w:r>
          </w:p>
        </w:tc>
      </w:tr>
      <w:tr w:rsidR="007A59A4" w:rsidTr="00ED76C8">
        <w:trPr>
          <w:trHeight w:val="432"/>
        </w:trPr>
        <w:tc>
          <w:tcPr>
            <w:tcW w:w="3618" w:type="dxa"/>
            <w:vAlign w:val="center"/>
          </w:tcPr>
          <w:p w:rsidR="007A59A4" w:rsidRDefault="007A59A4" w:rsidP="00575ECA">
            <w:pPr>
              <w:pStyle w:val="BodyText"/>
              <w:spacing w:after="0" w:line="276" w:lineRule="auto"/>
              <w:ind w:firstLine="0"/>
              <w:jc w:val="left"/>
            </w:pPr>
            <w:r>
              <w:t>Overhead labor/material costs</w:t>
            </w:r>
          </w:p>
        </w:tc>
        <w:tc>
          <w:tcPr>
            <w:tcW w:w="1866" w:type="dxa"/>
            <w:vAlign w:val="center"/>
          </w:tcPr>
          <w:p w:rsidR="007A59A4" w:rsidRPr="00DB1A88" w:rsidRDefault="00DB1A88" w:rsidP="00DB1A88">
            <w:pPr>
              <w:pStyle w:val="BodyText"/>
              <w:spacing w:after="0" w:line="276" w:lineRule="auto"/>
              <w:ind w:firstLine="0"/>
              <w:jc w:val="center"/>
            </w:pPr>
            <w:r w:rsidRPr="00DB1A88">
              <w:t>$947</w:t>
            </w:r>
          </w:p>
        </w:tc>
        <w:tc>
          <w:tcPr>
            <w:tcW w:w="1923" w:type="dxa"/>
            <w:vAlign w:val="center"/>
          </w:tcPr>
          <w:p w:rsidR="007A59A4" w:rsidRPr="00DB1A88" w:rsidRDefault="00DB1A88" w:rsidP="00DB1A88">
            <w:pPr>
              <w:pStyle w:val="BodyText"/>
              <w:spacing w:after="0" w:line="276" w:lineRule="auto"/>
              <w:ind w:firstLine="0"/>
              <w:jc w:val="center"/>
            </w:pPr>
            <w:r w:rsidRPr="00DB1A88">
              <w:t>$979</w:t>
            </w:r>
          </w:p>
        </w:tc>
        <w:tc>
          <w:tcPr>
            <w:tcW w:w="2169" w:type="dxa"/>
            <w:vAlign w:val="center"/>
          </w:tcPr>
          <w:p w:rsidR="007A59A4" w:rsidRPr="00DB1A88" w:rsidRDefault="00281B46" w:rsidP="005868E3">
            <w:pPr>
              <w:pStyle w:val="BodyText"/>
              <w:spacing w:after="0" w:line="276" w:lineRule="auto"/>
              <w:ind w:firstLine="0"/>
              <w:jc w:val="center"/>
            </w:pPr>
            <w:r>
              <w:t>$32</w:t>
            </w:r>
          </w:p>
        </w:tc>
      </w:tr>
      <w:tr w:rsidR="00264B80" w:rsidTr="00ED76C8">
        <w:trPr>
          <w:trHeight w:val="432"/>
        </w:trPr>
        <w:tc>
          <w:tcPr>
            <w:tcW w:w="3618" w:type="dxa"/>
            <w:vAlign w:val="center"/>
          </w:tcPr>
          <w:p w:rsidR="00264B80" w:rsidRPr="00DB1A88" w:rsidRDefault="00264B80" w:rsidP="00860023">
            <w:pPr>
              <w:pStyle w:val="BodyText"/>
              <w:spacing w:after="0" w:line="276" w:lineRule="auto"/>
              <w:ind w:firstLine="0"/>
              <w:jc w:val="left"/>
            </w:pPr>
            <w:r w:rsidRPr="007A59A4">
              <w:t>Per lot differential</w:t>
            </w:r>
          </w:p>
        </w:tc>
        <w:tc>
          <w:tcPr>
            <w:tcW w:w="1866" w:type="dxa"/>
            <w:vAlign w:val="center"/>
          </w:tcPr>
          <w:p w:rsidR="00264B80" w:rsidRPr="00DB1A88" w:rsidRDefault="00264B80" w:rsidP="00264B80">
            <w:pPr>
              <w:pStyle w:val="BodyText"/>
              <w:spacing w:after="0" w:line="276" w:lineRule="auto"/>
              <w:ind w:firstLine="0"/>
              <w:jc w:val="center"/>
            </w:pPr>
            <w:r>
              <w:t>$672</w:t>
            </w:r>
          </w:p>
        </w:tc>
        <w:tc>
          <w:tcPr>
            <w:tcW w:w="1923" w:type="dxa"/>
            <w:vAlign w:val="center"/>
          </w:tcPr>
          <w:p w:rsidR="00264B80" w:rsidRPr="00DB1A88" w:rsidRDefault="00264B80" w:rsidP="00264B80">
            <w:pPr>
              <w:pStyle w:val="BodyText"/>
              <w:spacing w:after="0" w:line="276" w:lineRule="auto"/>
              <w:ind w:firstLine="0"/>
              <w:jc w:val="center"/>
            </w:pPr>
            <w:r>
              <w:t>$659</w:t>
            </w:r>
          </w:p>
        </w:tc>
        <w:tc>
          <w:tcPr>
            <w:tcW w:w="2169" w:type="dxa"/>
            <w:vAlign w:val="center"/>
          </w:tcPr>
          <w:p w:rsidR="00264B80" w:rsidRPr="00DB1A88" w:rsidRDefault="00264B80" w:rsidP="00CC09DD">
            <w:pPr>
              <w:pStyle w:val="BodyText"/>
              <w:spacing w:after="0" w:line="276" w:lineRule="auto"/>
              <w:ind w:firstLine="0"/>
              <w:jc w:val="center"/>
            </w:pPr>
            <w:r>
              <w:t>-$1</w:t>
            </w:r>
            <w:r w:rsidR="00CC09DD">
              <w:t>2</w:t>
            </w:r>
          </w:p>
        </w:tc>
      </w:tr>
    </w:tbl>
    <w:p w:rsidR="00333599" w:rsidRPr="00D422E0" w:rsidRDefault="00990238" w:rsidP="00990238">
      <w:pPr>
        <w:spacing w:after="240"/>
        <w:jc w:val="both"/>
        <w:rPr>
          <w:sz w:val="20"/>
          <w:szCs w:val="20"/>
        </w:rPr>
      </w:pPr>
      <w:r w:rsidRPr="00D422E0">
        <w:rPr>
          <w:sz w:val="20"/>
          <w:szCs w:val="20"/>
        </w:rPr>
        <w:t>*Numbers are rounded to whole dollars.</w:t>
      </w:r>
    </w:p>
    <w:p w:rsidR="00746FD5" w:rsidRPr="00E266E5" w:rsidRDefault="00746FD5" w:rsidP="000C19DE">
      <w:pPr>
        <w:spacing w:after="240"/>
        <w:ind w:firstLine="720"/>
        <w:jc w:val="both"/>
      </w:pPr>
      <w:r w:rsidRPr="00E266E5">
        <w:t>As indicated in the table above, the changes in total labor and material cost differentials are minimal</w:t>
      </w:r>
      <w:r w:rsidR="00711B47" w:rsidRPr="00E266E5">
        <w:t xml:space="preserve"> for the two model subdivi</w:t>
      </w:r>
      <w:r w:rsidR="00E266E5" w:rsidRPr="00E266E5">
        <w:t>si</w:t>
      </w:r>
      <w:r w:rsidR="00711B47" w:rsidRPr="00E266E5">
        <w:t>ons</w:t>
      </w:r>
      <w:r w:rsidRPr="00E266E5">
        <w:t xml:space="preserve">.  </w:t>
      </w:r>
      <w:r w:rsidR="00FD4931" w:rsidRPr="00E266E5">
        <w:t xml:space="preserve">Documentation provided by TECO indicates some labor and material costs such as for secondary lines and transformers increased, while other costs  decreased, resulting in a minimal net-effect. </w:t>
      </w:r>
    </w:p>
    <w:p w:rsidR="00D34058" w:rsidRDefault="00D60F9D" w:rsidP="000C19DE">
      <w:pPr>
        <w:spacing w:after="240"/>
        <w:ind w:firstLine="720"/>
        <w:jc w:val="both"/>
      </w:pPr>
      <w:r w:rsidRPr="00D60F9D">
        <w:rPr>
          <w:u w:val="single"/>
        </w:rPr>
        <w:t>Calculation of operational costs</w:t>
      </w:r>
      <w:r>
        <w:t xml:space="preserve">.  </w:t>
      </w:r>
      <w:r w:rsidR="000C19DE">
        <w:t>Rule 25-6.078(4), F.A.C., provides that the differences in Net Present Value (NPV) of operational costs between overhead and underground systems, including average historical storm restoration costs over the life of the facilities, be included in the URD charge.  Operational costs include operations and maintenance (O&amp;M) costs and capital costs.  The inclusion of the operational cost</w:t>
      </w:r>
      <w:r w:rsidR="00990238">
        <w:t>s are</w:t>
      </w:r>
      <w:r w:rsidR="000C19DE">
        <w:t xml:space="preserve"> intended to capture longer term costs and benefits of undergrounding.  </w:t>
      </w:r>
      <w:r w:rsidR="00D34058">
        <w:t xml:space="preserve">TECO used its actual historical O&amp;M and capital expenses for the period 2012 through 2014 to calculate </w:t>
      </w:r>
      <w:r w:rsidR="00CC09DD">
        <w:t xml:space="preserve">the </w:t>
      </w:r>
      <w:r w:rsidR="00D34058">
        <w:t xml:space="preserve">operational difference for overhead and underground facilities. </w:t>
      </w:r>
    </w:p>
    <w:p w:rsidR="000C19DE" w:rsidRDefault="000C19DE" w:rsidP="000C19DE">
      <w:pPr>
        <w:spacing w:after="240"/>
        <w:ind w:firstLine="720"/>
        <w:jc w:val="both"/>
      </w:pPr>
      <w:r>
        <w:t xml:space="preserve">Table 1-3 </w:t>
      </w:r>
      <w:r w:rsidR="005D5DDC">
        <w:t xml:space="preserve">below </w:t>
      </w:r>
      <w:r>
        <w:t>compares the 2012 and 2015 NPV calculations of operational cost differentials between overhead and underground systems on a per-lot basis</w:t>
      </w:r>
      <w:r w:rsidR="002A0F97">
        <w:t>.</w:t>
      </w:r>
    </w:p>
    <w:p w:rsidR="00E266E5" w:rsidRDefault="00E266E5" w:rsidP="000C19DE">
      <w:pPr>
        <w:spacing w:after="240"/>
        <w:ind w:firstLine="720"/>
        <w:jc w:val="both"/>
      </w:pPr>
    </w:p>
    <w:p w:rsidR="00E266E5" w:rsidRDefault="00E266E5" w:rsidP="000C19DE">
      <w:pPr>
        <w:spacing w:after="240"/>
        <w:ind w:firstLine="720"/>
        <w:jc w:val="both"/>
      </w:pPr>
    </w:p>
    <w:p w:rsidR="000C4BE0" w:rsidRDefault="000C4BE0" w:rsidP="000C19DE">
      <w:pPr>
        <w:spacing w:after="240"/>
        <w:ind w:firstLine="720"/>
        <w:jc w:val="both"/>
      </w:pPr>
    </w:p>
    <w:p w:rsidR="00DC6E9A" w:rsidRDefault="00DC6E9A" w:rsidP="000C19DE">
      <w:pPr>
        <w:spacing w:after="240"/>
        <w:ind w:firstLine="720"/>
        <w:jc w:val="both"/>
      </w:pPr>
    </w:p>
    <w:p w:rsidR="00E26A76" w:rsidRPr="00DC7089" w:rsidRDefault="00E26A76" w:rsidP="00E26A76">
      <w:pPr>
        <w:pStyle w:val="BodyText"/>
        <w:spacing w:after="0"/>
        <w:ind w:firstLine="0"/>
        <w:jc w:val="center"/>
        <w:rPr>
          <w:b/>
        </w:rPr>
      </w:pPr>
      <w:r w:rsidRPr="00DC7089">
        <w:rPr>
          <w:b/>
        </w:rPr>
        <w:lastRenderedPageBreak/>
        <w:t>Table 1-3</w:t>
      </w:r>
    </w:p>
    <w:p w:rsidR="00E26A76" w:rsidRPr="00DC7089" w:rsidRDefault="00E26A76" w:rsidP="00E26A76">
      <w:pPr>
        <w:pStyle w:val="BodyText"/>
        <w:spacing w:after="0"/>
        <w:ind w:firstLine="0"/>
        <w:jc w:val="center"/>
        <w:rPr>
          <w:b/>
        </w:rPr>
      </w:pPr>
      <w:r w:rsidRPr="00DC7089">
        <w:rPr>
          <w:b/>
        </w:rPr>
        <w:t>NPV of Operational Costs</w:t>
      </w:r>
      <w:r w:rsidR="00DC7089">
        <w:rPr>
          <w:b/>
        </w:rPr>
        <w:t xml:space="preserve"> </w:t>
      </w:r>
      <w:r w:rsidR="00DB4391">
        <w:rPr>
          <w:b/>
        </w:rPr>
        <w:t xml:space="preserve">Differential </w:t>
      </w:r>
      <w:r w:rsidR="00DC7089">
        <w:rPr>
          <w:b/>
        </w:rPr>
        <w:t>per Lot</w:t>
      </w:r>
      <w:r w:rsidR="00990238">
        <w:rPr>
          <w:b/>
        </w:rPr>
        <w:t>*</w:t>
      </w:r>
    </w:p>
    <w:tbl>
      <w:tblPr>
        <w:tblStyle w:val="TableGrid"/>
        <w:tblW w:w="0" w:type="auto"/>
        <w:tblLook w:val="04A0" w:firstRow="1" w:lastRow="0" w:firstColumn="1" w:lastColumn="0" w:noHBand="0" w:noVBand="1"/>
      </w:tblPr>
      <w:tblGrid>
        <w:gridCol w:w="2338"/>
        <w:gridCol w:w="2232"/>
        <w:gridCol w:w="2343"/>
        <w:gridCol w:w="2556"/>
      </w:tblGrid>
      <w:tr w:rsidR="00913DB2" w:rsidRPr="007A59A4" w:rsidTr="00E81D69">
        <w:trPr>
          <w:trHeight w:val="432"/>
        </w:trPr>
        <w:tc>
          <w:tcPr>
            <w:tcW w:w="0" w:type="auto"/>
            <w:vAlign w:val="center"/>
          </w:tcPr>
          <w:p w:rsidR="00913DB2" w:rsidRPr="007A59A4" w:rsidRDefault="00913DB2" w:rsidP="00E81D69">
            <w:pPr>
              <w:pStyle w:val="BodyText"/>
              <w:spacing w:after="0" w:line="276" w:lineRule="auto"/>
              <w:ind w:firstLine="0"/>
              <w:jc w:val="center"/>
            </w:pPr>
          </w:p>
        </w:tc>
        <w:tc>
          <w:tcPr>
            <w:tcW w:w="1886" w:type="dxa"/>
            <w:vAlign w:val="center"/>
          </w:tcPr>
          <w:p w:rsidR="00913DB2" w:rsidRPr="007A59A4" w:rsidRDefault="00281B46" w:rsidP="000C19DE">
            <w:pPr>
              <w:pStyle w:val="BodyText"/>
              <w:spacing w:after="0" w:line="276" w:lineRule="auto"/>
              <w:ind w:firstLine="0"/>
              <w:jc w:val="center"/>
              <w:rPr>
                <w:b/>
              </w:rPr>
            </w:pPr>
            <w:r>
              <w:rPr>
                <w:b/>
              </w:rPr>
              <w:t>2012</w:t>
            </w:r>
            <w:r w:rsidR="00913DB2" w:rsidRPr="007A59A4">
              <w:rPr>
                <w:b/>
              </w:rPr>
              <w:t xml:space="preserve"> C</w:t>
            </w:r>
            <w:r w:rsidR="000C19DE">
              <w:rPr>
                <w:b/>
              </w:rPr>
              <w:t>alculation</w:t>
            </w:r>
          </w:p>
        </w:tc>
        <w:tc>
          <w:tcPr>
            <w:tcW w:w="1980" w:type="dxa"/>
            <w:vAlign w:val="center"/>
          </w:tcPr>
          <w:p w:rsidR="00913DB2" w:rsidRPr="007A59A4" w:rsidRDefault="000C19DE" w:rsidP="00E81D69">
            <w:pPr>
              <w:pStyle w:val="BodyText"/>
              <w:spacing w:after="0" w:line="276" w:lineRule="auto"/>
              <w:ind w:firstLine="0"/>
              <w:jc w:val="center"/>
              <w:rPr>
                <w:b/>
              </w:rPr>
            </w:pPr>
            <w:r>
              <w:rPr>
                <w:b/>
              </w:rPr>
              <w:t>2015 Calculation</w:t>
            </w:r>
          </w:p>
        </w:tc>
        <w:tc>
          <w:tcPr>
            <w:tcW w:w="2160" w:type="dxa"/>
            <w:vAlign w:val="center"/>
          </w:tcPr>
          <w:p w:rsidR="00913DB2" w:rsidRPr="007A59A4" w:rsidRDefault="00913DB2" w:rsidP="00E81D69">
            <w:pPr>
              <w:pStyle w:val="BodyText"/>
              <w:spacing w:after="0" w:line="276" w:lineRule="auto"/>
              <w:ind w:firstLine="0"/>
              <w:jc w:val="center"/>
              <w:rPr>
                <w:b/>
              </w:rPr>
            </w:pPr>
            <w:r w:rsidRPr="007A59A4">
              <w:rPr>
                <w:b/>
              </w:rPr>
              <w:t>Difference</w:t>
            </w:r>
          </w:p>
        </w:tc>
      </w:tr>
      <w:tr w:rsidR="00913DB2" w:rsidTr="00E81D69">
        <w:trPr>
          <w:trHeight w:val="432"/>
        </w:trPr>
        <w:tc>
          <w:tcPr>
            <w:tcW w:w="9468" w:type="dxa"/>
            <w:gridSpan w:val="4"/>
            <w:vAlign w:val="center"/>
          </w:tcPr>
          <w:p w:rsidR="00913DB2" w:rsidRPr="007A59A4" w:rsidRDefault="00913DB2" w:rsidP="00E81D69">
            <w:pPr>
              <w:pStyle w:val="BodyText"/>
              <w:spacing w:after="0" w:line="276" w:lineRule="auto"/>
              <w:ind w:firstLine="0"/>
              <w:jc w:val="left"/>
              <w:rPr>
                <w:b/>
              </w:rPr>
            </w:pPr>
            <w:r w:rsidRPr="007A59A4">
              <w:rPr>
                <w:b/>
              </w:rPr>
              <w:t>Low Density</w:t>
            </w:r>
          </w:p>
        </w:tc>
      </w:tr>
      <w:tr w:rsidR="00913DB2" w:rsidTr="00E81D69">
        <w:trPr>
          <w:trHeight w:val="432"/>
        </w:trPr>
        <w:tc>
          <w:tcPr>
            <w:tcW w:w="0" w:type="auto"/>
            <w:vAlign w:val="center"/>
          </w:tcPr>
          <w:p w:rsidR="00913DB2" w:rsidRDefault="00913DB2" w:rsidP="00913DB2">
            <w:pPr>
              <w:pStyle w:val="BodyText"/>
              <w:spacing w:after="0" w:line="276" w:lineRule="auto"/>
              <w:ind w:firstLine="0"/>
            </w:pPr>
            <w:r>
              <w:t>Underground</w:t>
            </w:r>
          </w:p>
        </w:tc>
        <w:tc>
          <w:tcPr>
            <w:tcW w:w="1886" w:type="dxa"/>
            <w:vAlign w:val="center"/>
          </w:tcPr>
          <w:p w:rsidR="00913DB2" w:rsidRDefault="002C300B" w:rsidP="00E81D69">
            <w:pPr>
              <w:pStyle w:val="BodyText"/>
              <w:spacing w:after="0" w:line="276" w:lineRule="auto"/>
              <w:ind w:firstLine="0"/>
              <w:jc w:val="center"/>
            </w:pPr>
            <w:r>
              <w:t>$988</w:t>
            </w:r>
          </w:p>
        </w:tc>
        <w:tc>
          <w:tcPr>
            <w:tcW w:w="1980" w:type="dxa"/>
            <w:vAlign w:val="center"/>
          </w:tcPr>
          <w:p w:rsidR="00913DB2" w:rsidRDefault="00913DB2" w:rsidP="00E81D69">
            <w:pPr>
              <w:pStyle w:val="BodyText"/>
              <w:spacing w:after="0" w:line="276" w:lineRule="auto"/>
              <w:ind w:firstLine="0"/>
              <w:jc w:val="center"/>
            </w:pPr>
            <w:r>
              <w:t>$906</w:t>
            </w:r>
          </w:p>
        </w:tc>
        <w:tc>
          <w:tcPr>
            <w:tcW w:w="2160" w:type="dxa"/>
            <w:vAlign w:val="center"/>
          </w:tcPr>
          <w:p w:rsidR="00913DB2" w:rsidRDefault="002C300B" w:rsidP="00E81D69">
            <w:pPr>
              <w:pStyle w:val="BodyText"/>
              <w:spacing w:after="0" w:line="276" w:lineRule="auto"/>
              <w:ind w:firstLine="0"/>
              <w:jc w:val="center"/>
            </w:pPr>
            <w:r>
              <w:t>-$82</w:t>
            </w:r>
          </w:p>
        </w:tc>
      </w:tr>
      <w:tr w:rsidR="00913DB2" w:rsidTr="00E81D69">
        <w:trPr>
          <w:trHeight w:val="432"/>
        </w:trPr>
        <w:tc>
          <w:tcPr>
            <w:tcW w:w="0" w:type="auto"/>
            <w:vAlign w:val="center"/>
          </w:tcPr>
          <w:p w:rsidR="00913DB2" w:rsidRDefault="00913DB2" w:rsidP="00913DB2">
            <w:pPr>
              <w:pStyle w:val="BodyText"/>
              <w:spacing w:after="0" w:line="276" w:lineRule="auto"/>
              <w:ind w:firstLine="0"/>
            </w:pPr>
            <w:r>
              <w:t xml:space="preserve">Overhead </w:t>
            </w:r>
          </w:p>
        </w:tc>
        <w:tc>
          <w:tcPr>
            <w:tcW w:w="1886" w:type="dxa"/>
            <w:vAlign w:val="center"/>
          </w:tcPr>
          <w:p w:rsidR="00913DB2" w:rsidRDefault="002C300B" w:rsidP="00E81D69">
            <w:pPr>
              <w:pStyle w:val="BodyText"/>
              <w:spacing w:after="0" w:line="276" w:lineRule="auto"/>
              <w:ind w:firstLine="0"/>
              <w:jc w:val="center"/>
            </w:pPr>
            <w:r>
              <w:t>$1,392</w:t>
            </w:r>
          </w:p>
        </w:tc>
        <w:tc>
          <w:tcPr>
            <w:tcW w:w="1980" w:type="dxa"/>
            <w:vAlign w:val="center"/>
          </w:tcPr>
          <w:p w:rsidR="00913DB2" w:rsidRDefault="00913DB2" w:rsidP="00E81D69">
            <w:pPr>
              <w:pStyle w:val="BodyText"/>
              <w:spacing w:after="0" w:line="276" w:lineRule="auto"/>
              <w:ind w:firstLine="0"/>
              <w:jc w:val="center"/>
            </w:pPr>
            <w:r>
              <w:t>$1,390</w:t>
            </w:r>
          </w:p>
        </w:tc>
        <w:tc>
          <w:tcPr>
            <w:tcW w:w="2160" w:type="dxa"/>
            <w:vAlign w:val="center"/>
          </w:tcPr>
          <w:p w:rsidR="00913DB2" w:rsidRDefault="002C300B" w:rsidP="00E81D69">
            <w:pPr>
              <w:pStyle w:val="BodyText"/>
              <w:spacing w:after="0" w:line="276" w:lineRule="auto"/>
              <w:ind w:firstLine="0"/>
              <w:jc w:val="center"/>
            </w:pPr>
            <w:r>
              <w:t>-$2</w:t>
            </w:r>
          </w:p>
        </w:tc>
      </w:tr>
      <w:tr w:rsidR="00913DB2" w:rsidTr="00E81D69">
        <w:trPr>
          <w:trHeight w:val="432"/>
        </w:trPr>
        <w:tc>
          <w:tcPr>
            <w:tcW w:w="0" w:type="auto"/>
            <w:vAlign w:val="center"/>
          </w:tcPr>
          <w:p w:rsidR="00913DB2" w:rsidRPr="007A59A4" w:rsidRDefault="00913DB2" w:rsidP="00E81D69">
            <w:pPr>
              <w:pStyle w:val="BodyText"/>
              <w:spacing w:after="0" w:line="276" w:lineRule="auto"/>
              <w:ind w:firstLine="0"/>
            </w:pPr>
            <w:r w:rsidRPr="007A59A4">
              <w:t>Per lot differential</w:t>
            </w:r>
          </w:p>
        </w:tc>
        <w:tc>
          <w:tcPr>
            <w:tcW w:w="1886" w:type="dxa"/>
            <w:vAlign w:val="center"/>
          </w:tcPr>
          <w:p w:rsidR="00913DB2" w:rsidRPr="007A59A4" w:rsidRDefault="002C300B" w:rsidP="00E81D69">
            <w:pPr>
              <w:pStyle w:val="BodyText"/>
              <w:spacing w:after="0" w:line="276" w:lineRule="auto"/>
              <w:ind w:firstLine="0"/>
              <w:jc w:val="center"/>
            </w:pPr>
            <w:r>
              <w:t>-$404</w:t>
            </w:r>
          </w:p>
        </w:tc>
        <w:tc>
          <w:tcPr>
            <w:tcW w:w="1980" w:type="dxa"/>
            <w:vAlign w:val="center"/>
          </w:tcPr>
          <w:p w:rsidR="00913DB2" w:rsidRPr="007A59A4" w:rsidRDefault="00913DB2" w:rsidP="00E81D69">
            <w:pPr>
              <w:pStyle w:val="BodyText"/>
              <w:spacing w:after="0" w:line="276" w:lineRule="auto"/>
              <w:ind w:firstLine="0"/>
              <w:jc w:val="center"/>
            </w:pPr>
            <w:r>
              <w:t>-$484</w:t>
            </w:r>
          </w:p>
        </w:tc>
        <w:tc>
          <w:tcPr>
            <w:tcW w:w="2160" w:type="dxa"/>
            <w:vAlign w:val="center"/>
          </w:tcPr>
          <w:p w:rsidR="00913DB2" w:rsidRPr="007A59A4" w:rsidRDefault="005868E3" w:rsidP="00E81D69">
            <w:pPr>
              <w:pStyle w:val="BodyText"/>
              <w:spacing w:after="0" w:line="276" w:lineRule="auto"/>
              <w:ind w:firstLine="0"/>
              <w:jc w:val="center"/>
            </w:pPr>
            <w:r>
              <w:t>-</w:t>
            </w:r>
            <w:r w:rsidR="002C300B">
              <w:t>$80</w:t>
            </w:r>
          </w:p>
        </w:tc>
      </w:tr>
      <w:tr w:rsidR="00913DB2" w:rsidTr="00E81D69">
        <w:trPr>
          <w:trHeight w:val="432"/>
        </w:trPr>
        <w:tc>
          <w:tcPr>
            <w:tcW w:w="9468" w:type="dxa"/>
            <w:gridSpan w:val="4"/>
            <w:vAlign w:val="center"/>
          </w:tcPr>
          <w:p w:rsidR="00913DB2" w:rsidRPr="007A59A4" w:rsidRDefault="00913DB2" w:rsidP="00E81D69">
            <w:pPr>
              <w:pStyle w:val="BodyText"/>
              <w:spacing w:after="0" w:line="276" w:lineRule="auto"/>
              <w:ind w:firstLine="0"/>
              <w:jc w:val="left"/>
              <w:rPr>
                <w:b/>
              </w:rPr>
            </w:pPr>
            <w:r w:rsidRPr="007A59A4">
              <w:rPr>
                <w:b/>
              </w:rPr>
              <w:t>High Density</w:t>
            </w:r>
          </w:p>
        </w:tc>
      </w:tr>
      <w:tr w:rsidR="00913DB2" w:rsidTr="00E81D69">
        <w:trPr>
          <w:trHeight w:val="432"/>
        </w:trPr>
        <w:tc>
          <w:tcPr>
            <w:tcW w:w="0" w:type="auto"/>
            <w:vAlign w:val="center"/>
          </w:tcPr>
          <w:p w:rsidR="00913DB2" w:rsidRDefault="00913DB2" w:rsidP="00692E65">
            <w:pPr>
              <w:pStyle w:val="BodyText"/>
              <w:spacing w:after="0" w:line="276" w:lineRule="auto"/>
              <w:ind w:firstLine="0"/>
              <w:jc w:val="left"/>
            </w:pPr>
            <w:r>
              <w:t>Underground</w:t>
            </w:r>
          </w:p>
        </w:tc>
        <w:tc>
          <w:tcPr>
            <w:tcW w:w="1886" w:type="dxa"/>
            <w:vAlign w:val="center"/>
          </w:tcPr>
          <w:p w:rsidR="00913DB2" w:rsidRPr="00DB1A88" w:rsidRDefault="002C300B" w:rsidP="00CC09DD">
            <w:pPr>
              <w:pStyle w:val="BodyText"/>
              <w:spacing w:after="0" w:line="276" w:lineRule="auto"/>
              <w:ind w:firstLine="0"/>
              <w:jc w:val="center"/>
            </w:pPr>
            <w:r>
              <w:t>$48</w:t>
            </w:r>
            <w:r w:rsidR="00CC09DD">
              <w:t>3</w:t>
            </w:r>
          </w:p>
        </w:tc>
        <w:tc>
          <w:tcPr>
            <w:tcW w:w="1980" w:type="dxa"/>
            <w:vAlign w:val="center"/>
          </w:tcPr>
          <w:p w:rsidR="00913DB2" w:rsidRPr="00DB1A88" w:rsidRDefault="00913DB2" w:rsidP="00E81D69">
            <w:pPr>
              <w:pStyle w:val="BodyText"/>
              <w:spacing w:after="0" w:line="276" w:lineRule="auto"/>
              <w:ind w:firstLine="0"/>
              <w:jc w:val="center"/>
            </w:pPr>
            <w:r>
              <w:t>$432</w:t>
            </w:r>
          </w:p>
        </w:tc>
        <w:tc>
          <w:tcPr>
            <w:tcW w:w="2160" w:type="dxa"/>
            <w:vAlign w:val="center"/>
          </w:tcPr>
          <w:p w:rsidR="00913DB2" w:rsidRPr="00DB1A88" w:rsidRDefault="002C300B" w:rsidP="00322420">
            <w:pPr>
              <w:pStyle w:val="BodyText"/>
              <w:spacing w:after="0" w:line="276" w:lineRule="auto"/>
              <w:ind w:firstLine="0"/>
              <w:jc w:val="center"/>
            </w:pPr>
            <w:r>
              <w:t>-$5</w:t>
            </w:r>
            <w:r w:rsidR="00322420">
              <w:t>2</w:t>
            </w:r>
          </w:p>
        </w:tc>
      </w:tr>
      <w:tr w:rsidR="00913DB2" w:rsidTr="00E81D69">
        <w:trPr>
          <w:trHeight w:val="432"/>
        </w:trPr>
        <w:tc>
          <w:tcPr>
            <w:tcW w:w="0" w:type="auto"/>
            <w:vAlign w:val="center"/>
          </w:tcPr>
          <w:p w:rsidR="00913DB2" w:rsidRDefault="00913DB2" w:rsidP="00692E65">
            <w:pPr>
              <w:pStyle w:val="BodyText"/>
              <w:spacing w:after="0" w:line="276" w:lineRule="auto"/>
              <w:ind w:firstLine="0"/>
              <w:jc w:val="left"/>
            </w:pPr>
            <w:r>
              <w:t>Overhead</w:t>
            </w:r>
          </w:p>
        </w:tc>
        <w:tc>
          <w:tcPr>
            <w:tcW w:w="1886" w:type="dxa"/>
            <w:vAlign w:val="center"/>
          </w:tcPr>
          <w:p w:rsidR="00913DB2" w:rsidRPr="00DB1A88" w:rsidRDefault="002C300B" w:rsidP="00E81D69">
            <w:pPr>
              <w:pStyle w:val="BodyText"/>
              <w:spacing w:after="0" w:line="276" w:lineRule="auto"/>
              <w:ind w:firstLine="0"/>
              <w:jc w:val="center"/>
            </w:pPr>
            <w:r>
              <w:t>$1,051</w:t>
            </w:r>
          </w:p>
        </w:tc>
        <w:tc>
          <w:tcPr>
            <w:tcW w:w="1980" w:type="dxa"/>
            <w:vAlign w:val="center"/>
          </w:tcPr>
          <w:p w:rsidR="00913DB2" w:rsidRPr="00DB1A88" w:rsidRDefault="00913DB2" w:rsidP="00E81D69">
            <w:pPr>
              <w:pStyle w:val="BodyText"/>
              <w:spacing w:after="0" w:line="276" w:lineRule="auto"/>
              <w:ind w:firstLine="0"/>
              <w:jc w:val="center"/>
            </w:pPr>
            <w:r>
              <w:t>$1,044</w:t>
            </w:r>
          </w:p>
        </w:tc>
        <w:tc>
          <w:tcPr>
            <w:tcW w:w="2160" w:type="dxa"/>
            <w:vAlign w:val="center"/>
          </w:tcPr>
          <w:p w:rsidR="00913DB2" w:rsidRPr="00DB1A88" w:rsidRDefault="002C300B" w:rsidP="00E81D69">
            <w:pPr>
              <w:pStyle w:val="BodyText"/>
              <w:spacing w:after="0" w:line="276" w:lineRule="auto"/>
              <w:ind w:firstLine="0"/>
              <w:jc w:val="center"/>
            </w:pPr>
            <w:r>
              <w:t>-$7</w:t>
            </w:r>
          </w:p>
        </w:tc>
      </w:tr>
      <w:tr w:rsidR="00913DB2" w:rsidTr="00E81D69">
        <w:trPr>
          <w:trHeight w:val="432"/>
        </w:trPr>
        <w:tc>
          <w:tcPr>
            <w:tcW w:w="0" w:type="auto"/>
            <w:vAlign w:val="center"/>
          </w:tcPr>
          <w:p w:rsidR="00913DB2" w:rsidRPr="007A59A4" w:rsidRDefault="00913DB2" w:rsidP="00E81D69">
            <w:pPr>
              <w:pStyle w:val="BodyText"/>
              <w:spacing w:after="0" w:line="276" w:lineRule="auto"/>
              <w:ind w:firstLine="0"/>
              <w:jc w:val="left"/>
            </w:pPr>
            <w:r w:rsidRPr="007A59A4">
              <w:t>Per lot differential</w:t>
            </w:r>
          </w:p>
        </w:tc>
        <w:tc>
          <w:tcPr>
            <w:tcW w:w="1886" w:type="dxa"/>
            <w:vAlign w:val="center"/>
          </w:tcPr>
          <w:p w:rsidR="00913DB2" w:rsidRPr="00DB1A88" w:rsidRDefault="002C300B" w:rsidP="00CC09DD">
            <w:pPr>
              <w:pStyle w:val="BodyText"/>
              <w:spacing w:after="0" w:line="276" w:lineRule="auto"/>
              <w:ind w:firstLine="0"/>
              <w:jc w:val="center"/>
            </w:pPr>
            <w:r>
              <w:t>-$56</w:t>
            </w:r>
            <w:r w:rsidR="00CC09DD">
              <w:t>8</w:t>
            </w:r>
          </w:p>
        </w:tc>
        <w:tc>
          <w:tcPr>
            <w:tcW w:w="1980" w:type="dxa"/>
            <w:vAlign w:val="center"/>
          </w:tcPr>
          <w:p w:rsidR="00913DB2" w:rsidRPr="00DB1A88" w:rsidRDefault="00913DB2" w:rsidP="00E81D69">
            <w:pPr>
              <w:pStyle w:val="BodyText"/>
              <w:spacing w:after="0" w:line="276" w:lineRule="auto"/>
              <w:ind w:firstLine="0"/>
              <w:jc w:val="center"/>
            </w:pPr>
            <w:r>
              <w:t>-$612</w:t>
            </w:r>
          </w:p>
        </w:tc>
        <w:tc>
          <w:tcPr>
            <w:tcW w:w="2160" w:type="dxa"/>
            <w:vAlign w:val="center"/>
          </w:tcPr>
          <w:p w:rsidR="00913DB2" w:rsidRPr="00DB1A88" w:rsidRDefault="002C300B" w:rsidP="00CC09DD">
            <w:pPr>
              <w:pStyle w:val="BodyText"/>
              <w:spacing w:after="0" w:line="276" w:lineRule="auto"/>
              <w:ind w:firstLine="0"/>
              <w:jc w:val="center"/>
            </w:pPr>
            <w:r>
              <w:t>-$4</w:t>
            </w:r>
            <w:r w:rsidR="00CC09DD">
              <w:t>4</w:t>
            </w:r>
          </w:p>
        </w:tc>
      </w:tr>
    </w:tbl>
    <w:p w:rsidR="00EF46C6" w:rsidRPr="00D422E0" w:rsidRDefault="00990238" w:rsidP="00A24EC5">
      <w:pPr>
        <w:pStyle w:val="BodyText"/>
        <w:ind w:firstLine="0"/>
        <w:rPr>
          <w:sz w:val="20"/>
          <w:szCs w:val="20"/>
        </w:rPr>
      </w:pPr>
      <w:r w:rsidRPr="00D422E0">
        <w:rPr>
          <w:sz w:val="20"/>
          <w:szCs w:val="20"/>
        </w:rPr>
        <w:t>*Numbers are rounded to whole dollars.</w:t>
      </w:r>
      <w:r w:rsidR="00034D58" w:rsidRPr="00D422E0">
        <w:rPr>
          <w:sz w:val="20"/>
          <w:szCs w:val="20"/>
        </w:rPr>
        <w:tab/>
      </w:r>
    </w:p>
    <w:p w:rsidR="0013485F" w:rsidRDefault="0013485F" w:rsidP="00E266E5">
      <w:pPr>
        <w:pStyle w:val="BodyText"/>
      </w:pPr>
      <w:r>
        <w:t xml:space="preserve">TECO used the same methodology as approved in </w:t>
      </w:r>
      <w:r w:rsidRPr="00871648">
        <w:t>Order No</w:t>
      </w:r>
      <w:r w:rsidR="00860023">
        <w:t>.</w:t>
      </w:r>
      <w:r w:rsidR="00871648" w:rsidRPr="00871648">
        <w:t xml:space="preserve"> PSC-09-0784-TRF-EI</w:t>
      </w:r>
      <w:r>
        <w:t xml:space="preserve"> for calculating the NPV of operational costs.</w:t>
      </w:r>
      <w:r w:rsidR="00860023">
        <w:rPr>
          <w:rStyle w:val="FootnoteReference"/>
        </w:rPr>
        <w:footnoteReference w:id="3"/>
      </w:r>
      <w:r w:rsidR="00860023">
        <w:t xml:space="preserve">  </w:t>
      </w:r>
      <w:r w:rsidR="00F43096">
        <w:t>TECO’s NPV calculation used a 35-year life of the facilities and a 7.29 percent discount rate.  Staff notes that operational costs may vary among IOUs as result of differences in size of service territory, miles of coastline, regions subject to extreme winds, age of the distribution system</w:t>
      </w:r>
      <w:r w:rsidR="007C087C">
        <w:t>,</w:t>
      </w:r>
      <w:r w:rsidR="00F43096">
        <w:t xml:space="preserve"> or construction standards.  </w:t>
      </w:r>
    </w:p>
    <w:p w:rsidR="005756CA" w:rsidRDefault="00F43096" w:rsidP="00E266E5">
      <w:pPr>
        <w:pStyle w:val="BodyText"/>
      </w:pPr>
      <w:r w:rsidRPr="00E266E5">
        <w:rPr>
          <w:u w:val="single"/>
        </w:rPr>
        <w:t>Conclusion</w:t>
      </w:r>
      <w:r w:rsidRPr="00E266E5">
        <w:t xml:space="preserve">.  </w:t>
      </w:r>
      <w:r w:rsidR="00367D3D">
        <w:t xml:space="preserve">In summary, for LD subdivision lots, the </w:t>
      </w:r>
      <w:r w:rsidR="005756CA">
        <w:t xml:space="preserve">proposed </w:t>
      </w:r>
      <w:r w:rsidR="00367D3D">
        <w:t xml:space="preserve">labor and material differential </w:t>
      </w:r>
      <w:r w:rsidR="005756CA">
        <w:t>is</w:t>
      </w:r>
      <w:r w:rsidR="00367D3D">
        <w:t xml:space="preserve"> a $14 increase </w:t>
      </w:r>
      <w:r w:rsidR="005756CA">
        <w:t>from current</w:t>
      </w:r>
      <w:r w:rsidR="00367D3D">
        <w:t xml:space="preserve"> costs</w:t>
      </w:r>
      <w:r w:rsidR="005756CA">
        <w:t>.  T</w:t>
      </w:r>
      <w:r w:rsidR="00367D3D">
        <w:t>he operational cost</w:t>
      </w:r>
      <w:r w:rsidR="00860023">
        <w:t xml:space="preserve"> savings</w:t>
      </w:r>
      <w:r w:rsidR="00367D3D">
        <w:t xml:space="preserve"> not only offset the $14 increase, but serve to reduce the proposed differential </w:t>
      </w:r>
      <w:r w:rsidR="005756CA">
        <w:t xml:space="preserve">an additional </w:t>
      </w:r>
      <w:r w:rsidR="00367D3D">
        <w:t>$66 from the current differential.</w:t>
      </w:r>
      <w:r w:rsidR="005756CA">
        <w:t xml:space="preserve">  For the HD subdivision lots, the proposed labor and material differential is a $1</w:t>
      </w:r>
      <w:r w:rsidR="00CC09DD">
        <w:t>2</w:t>
      </w:r>
      <w:r w:rsidR="005756CA">
        <w:t xml:space="preserve"> decrease from the current differential.  The operational cost</w:t>
      </w:r>
      <w:r w:rsidR="00860023">
        <w:t xml:space="preserve"> savings add</w:t>
      </w:r>
      <w:r w:rsidR="005756CA">
        <w:t xml:space="preserve"> an additional decrease of $4</w:t>
      </w:r>
      <w:r w:rsidR="00CC09DD">
        <w:t>4</w:t>
      </w:r>
      <w:r w:rsidR="005756CA">
        <w:t xml:space="preserve"> from the current differential, for a total decrease of $5</w:t>
      </w:r>
      <w:r w:rsidR="00CC09DD">
        <w:t>6</w:t>
      </w:r>
      <w:r w:rsidR="005756CA">
        <w:t xml:space="preserve"> from the current differential.</w:t>
      </w:r>
    </w:p>
    <w:p w:rsidR="00913DB2" w:rsidRDefault="00034D58" w:rsidP="005756CA">
      <w:pPr>
        <w:pStyle w:val="BodyText"/>
      </w:pPr>
      <w:r>
        <w:t xml:space="preserve">Staff has reviewed TECO’s proposed URD charges and associated tariffs, its accompanying work papers, and data request response.  Staff believes the proposed URD </w:t>
      </w:r>
      <w:r w:rsidR="007701A9">
        <w:t xml:space="preserve">tariffs and associated </w:t>
      </w:r>
      <w:r>
        <w:t>charges are reasonable and recommends approval</w:t>
      </w:r>
      <w:r w:rsidR="006E3871">
        <w:t>, effective June 18, 2015</w:t>
      </w:r>
      <w:r>
        <w:t>.</w:t>
      </w:r>
    </w:p>
    <w:p w:rsidR="00601A69" w:rsidRDefault="00601A69" w:rsidP="00A24EC5">
      <w:pPr>
        <w:pStyle w:val="BodyText"/>
        <w:ind w:firstLine="0"/>
      </w:pPr>
    </w:p>
    <w:p w:rsidR="003A0BF1" w:rsidRDefault="003A0BF1" w:rsidP="00A24EC5">
      <w:pPr>
        <w:pStyle w:val="IssueHeading"/>
        <w:rPr>
          <w:vanish/>
          <w:specVanish/>
        </w:rPr>
      </w:pPr>
      <w:r>
        <w:br w:type="page"/>
      </w:r>
      <w:r>
        <w:rPr>
          <w:b/>
          <w:u w:val="single"/>
        </w:rPr>
        <w:lastRenderedPageBreak/>
        <w:t xml:space="preserve">Issue </w:t>
      </w:r>
      <w:r>
        <w:rPr>
          <w:b/>
          <w:u w:val="single"/>
        </w:rPr>
        <w:fldChar w:fldCharType="begin"/>
      </w:r>
      <w:r>
        <w:rPr>
          <w:b/>
          <w:u w:val="single"/>
        </w:rPr>
        <w:instrText xml:space="preserve"> SEQ Issue \* MERGEFORMAT </w:instrText>
      </w:r>
      <w:r>
        <w:rPr>
          <w:b/>
          <w:u w:val="single"/>
        </w:rPr>
        <w:fldChar w:fldCharType="separate"/>
      </w:r>
      <w:r w:rsidR="001D0F43">
        <w:rPr>
          <w:b/>
          <w:noProof/>
          <w:u w:val="single"/>
        </w:rPr>
        <w:t>2</w:t>
      </w:r>
      <w:r>
        <w:rPr>
          <w:b/>
          <w:u w:val="single"/>
        </w:rPr>
        <w:fldChar w:fldCharType="end"/>
      </w:r>
      <w:r>
        <w:t>:</w:t>
      </w:r>
      <w:r>
        <w:fldChar w:fldCharType="begin"/>
      </w:r>
      <w:r>
        <w:instrText xml:space="preserve"> TC "</w:instrText>
      </w:r>
      <w:r>
        <w:fldChar w:fldCharType="begin"/>
      </w:r>
      <w:r>
        <w:instrText xml:space="preserve"> SEQ issue \c </w:instrText>
      </w:r>
      <w:r>
        <w:fldChar w:fldCharType="separate"/>
      </w:r>
      <w:r w:rsidR="001D0F43">
        <w:rPr>
          <w:noProof/>
        </w:rPr>
        <w:instrText>2</w:instrText>
      </w:r>
      <w:r>
        <w:fldChar w:fldCharType="end"/>
      </w:r>
      <w:r>
        <w:tab/>
        <w:instrText xml:space="preserve"> (Brownless)" \l 1 </w:instrText>
      </w:r>
      <w:r>
        <w:fldChar w:fldCharType="end"/>
      </w:r>
      <w:r>
        <w:t> </w:t>
      </w:r>
    </w:p>
    <w:p w:rsidR="003A0BF1" w:rsidRDefault="003A0BF1">
      <w:pPr>
        <w:pStyle w:val="BodyText"/>
      </w:pPr>
      <w:r>
        <w:t> Should this docket be closed?</w:t>
      </w:r>
    </w:p>
    <w:p w:rsidR="003A0BF1" w:rsidRDefault="003A0BF1">
      <w:pPr>
        <w:pStyle w:val="IssueSubsectionHeading"/>
        <w:rPr>
          <w:vanish/>
          <w:specVanish/>
        </w:rPr>
      </w:pPr>
      <w:r>
        <w:rPr>
          <w:b/>
          <w:u w:val="single"/>
        </w:rPr>
        <w:t>Recommendation</w:t>
      </w:r>
      <w:r>
        <w:t>: </w:t>
      </w:r>
    </w:p>
    <w:p w:rsidR="003A0BF1" w:rsidRDefault="003A0BF1">
      <w:pPr>
        <w:pStyle w:val="BodyText"/>
      </w:pPr>
      <w:r>
        <w:t> </w:t>
      </w:r>
      <w:r w:rsidR="002D5604">
        <w:t>No</w:t>
      </w:r>
      <w:bookmarkStart w:id="16" w:name="_GoBack"/>
      <w:bookmarkEnd w:id="16"/>
      <w:r>
        <w:t>.</w:t>
      </w:r>
      <w:r w:rsidR="00624B29">
        <w:t xml:space="preserve"> </w:t>
      </w:r>
      <w:r>
        <w:t>If a protest is filed within 21 days of the issuance of the order, this tariff should remain in effect, with any revenues held subject to refund, pending resolution of the protest. If no timely protest is filed, this docket should be closed upon the issuance of a consummating order.  (Brownless)</w:t>
      </w:r>
    </w:p>
    <w:p w:rsidR="003A0BF1" w:rsidRDefault="003A0BF1">
      <w:pPr>
        <w:pStyle w:val="IssueSubsectionHeading"/>
        <w:rPr>
          <w:vanish/>
          <w:specVanish/>
        </w:rPr>
      </w:pPr>
      <w:r>
        <w:rPr>
          <w:b/>
          <w:u w:val="single"/>
        </w:rPr>
        <w:t>Staff Analysis</w:t>
      </w:r>
      <w:r>
        <w:t>: </w:t>
      </w:r>
    </w:p>
    <w:p w:rsidR="003A0BF1" w:rsidRDefault="003A0BF1">
      <w:pPr>
        <w:pStyle w:val="BodyText"/>
      </w:pPr>
      <w:r>
        <w:t> If a protest is filed within 21 days of the issuance of the order, this tariff should remain in effect, with any revenues held subject to refund, pending resolution of the protest. If no timely protest is filed, this docket should be closed upon the issuance of a consummating order.</w:t>
      </w:r>
    </w:p>
    <w:p w:rsidR="001C38D4" w:rsidRDefault="001C38D4">
      <w:pPr>
        <w:sectPr w:rsidR="001C38D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706985" w:rsidRDefault="00706985"/>
    <w:p w:rsidR="000255A9" w:rsidRDefault="00706985">
      <w:pPr>
        <w:pStyle w:val="BodyText"/>
      </w:pPr>
      <w:r>
        <w:rPr>
          <w:noProof/>
        </w:rPr>
        <w:drawing>
          <wp:inline distT="0" distB="0" distL="0" distR="0" wp14:anchorId="4E47242E" wp14:editId="1A43DE2B">
            <wp:extent cx="5019675" cy="7096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019675" cy="7096125"/>
                    </a:xfrm>
                    <a:prstGeom prst="rect">
                      <a:avLst/>
                    </a:prstGeom>
                  </pic:spPr>
                </pic:pic>
              </a:graphicData>
            </a:graphic>
          </wp:inline>
        </w:drawing>
      </w:r>
    </w:p>
    <w:p w:rsidR="0017273C" w:rsidRDefault="0017273C" w:rsidP="000255A9">
      <w:pPr>
        <w:sectPr w:rsidR="0017273C" w:rsidSect="0068481F">
          <w:headerReference w:type="default" r:id="rId16"/>
          <w:pgSz w:w="12240" w:h="15840" w:code="1"/>
          <w:pgMar w:top="1584" w:right="1440" w:bottom="1440" w:left="1440" w:header="720" w:footer="720" w:gutter="0"/>
          <w:cols w:space="720"/>
          <w:formProt w:val="0"/>
          <w:docGrid w:linePitch="360"/>
        </w:sectPr>
      </w:pPr>
    </w:p>
    <w:p w:rsidR="00E266E5" w:rsidRDefault="00E266E5" w:rsidP="000255A9"/>
    <w:p w:rsidR="000255A9" w:rsidRDefault="000255A9" w:rsidP="000255A9"/>
    <w:p w:rsidR="000255A9" w:rsidRDefault="000255A9">
      <w:pPr>
        <w:pStyle w:val="BodyText"/>
      </w:pPr>
    </w:p>
    <w:p w:rsidR="000255A9" w:rsidRDefault="000255A9">
      <w:pPr>
        <w:pStyle w:val="BodyText"/>
      </w:pPr>
      <w:r>
        <w:rPr>
          <w:noProof/>
        </w:rPr>
        <w:drawing>
          <wp:inline distT="0" distB="0" distL="0" distR="0" wp14:anchorId="0D457F17" wp14:editId="3E2952A6">
            <wp:extent cx="5105400" cy="7067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105400" cy="7067550"/>
                    </a:xfrm>
                    <a:prstGeom prst="rect">
                      <a:avLst/>
                    </a:prstGeom>
                  </pic:spPr>
                </pic:pic>
              </a:graphicData>
            </a:graphic>
          </wp:inline>
        </w:drawing>
      </w:r>
    </w:p>
    <w:p w:rsidR="0017273C" w:rsidRDefault="0017273C" w:rsidP="000255A9">
      <w:pPr>
        <w:sectPr w:rsidR="0017273C" w:rsidSect="0068481F">
          <w:headerReference w:type="default" r:id="rId18"/>
          <w:pgSz w:w="12240" w:h="15840" w:code="1"/>
          <w:pgMar w:top="1584" w:right="1440" w:bottom="1440" w:left="1440" w:header="720" w:footer="720" w:gutter="0"/>
          <w:cols w:space="720"/>
          <w:formProt w:val="0"/>
          <w:docGrid w:linePitch="360"/>
        </w:sectPr>
      </w:pPr>
    </w:p>
    <w:p w:rsidR="000255A9" w:rsidRDefault="000255A9" w:rsidP="000255A9"/>
    <w:p w:rsidR="007C0528" w:rsidRDefault="000255A9">
      <w:pPr>
        <w:pStyle w:val="BodyText"/>
      </w:pPr>
      <w:r>
        <w:rPr>
          <w:noProof/>
        </w:rPr>
        <w:drawing>
          <wp:inline distT="0" distB="0" distL="0" distR="0" wp14:anchorId="2BD20EF2" wp14:editId="349429A4">
            <wp:extent cx="5067300" cy="7096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067300" cy="7096125"/>
                    </a:xfrm>
                    <a:prstGeom prst="rect">
                      <a:avLst/>
                    </a:prstGeom>
                  </pic:spPr>
                </pic:pic>
              </a:graphicData>
            </a:graphic>
          </wp:inline>
        </w:drawing>
      </w:r>
    </w:p>
    <w:sectPr w:rsidR="007C0528" w:rsidSect="0068481F">
      <w:headerReference w:type="default" r:id="rId2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761" w:rsidRDefault="00E81761">
      <w:r>
        <w:separator/>
      </w:r>
    </w:p>
  </w:endnote>
  <w:endnote w:type="continuationSeparator" w:id="0">
    <w:p w:rsidR="00E81761" w:rsidRDefault="00E8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eddingText BT">
    <w:panose1 w:val="03040702040608040804"/>
    <w:charset w:val="00"/>
    <w:family w:val="script"/>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8D" w:rsidRDefault="005F468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D5604">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8D" w:rsidRDefault="005F4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761" w:rsidRDefault="00E81761">
      <w:r>
        <w:separator/>
      </w:r>
    </w:p>
  </w:footnote>
  <w:footnote w:type="continuationSeparator" w:id="0">
    <w:p w:rsidR="00E81761" w:rsidRDefault="00E81761">
      <w:r>
        <w:continuationSeparator/>
      </w:r>
    </w:p>
  </w:footnote>
  <w:footnote w:id="1">
    <w:p w:rsidR="00D96491" w:rsidRDefault="00D96491">
      <w:pPr>
        <w:pStyle w:val="FootnoteText"/>
      </w:pPr>
      <w:r>
        <w:rPr>
          <w:rStyle w:val="FootnoteReference"/>
        </w:rPr>
        <w:footnoteRef/>
      </w:r>
      <w:r w:rsidR="007C6078">
        <w:t xml:space="preserve"> </w:t>
      </w:r>
      <w:r>
        <w:t xml:space="preserve">Order No. PSC-12-0499-TRF-EI, issued September 27, 2012, in Docket No. </w:t>
      </w:r>
      <w:r w:rsidR="00D34058">
        <w:t>120073</w:t>
      </w:r>
      <w:r>
        <w:t xml:space="preserve">-EI, </w:t>
      </w:r>
      <w:r w:rsidRPr="007E4E0B">
        <w:rPr>
          <w:u w:val="single"/>
        </w:rPr>
        <w:t>In re: Petition for approval of revised tariffs for underground residential distribution and contribution-in-aid-construction, by Tampa Electric Company</w:t>
      </w:r>
      <w:r>
        <w:t>.</w:t>
      </w:r>
    </w:p>
  </w:footnote>
  <w:footnote w:id="2">
    <w:p w:rsidR="002C4B8F" w:rsidRDefault="002C4B8F">
      <w:pPr>
        <w:pStyle w:val="FootnoteText"/>
      </w:pPr>
      <w:r>
        <w:rPr>
          <w:rStyle w:val="FootnoteReference"/>
        </w:rPr>
        <w:footnoteRef/>
      </w:r>
      <w:r>
        <w:t xml:space="preserve"> $374 is calculated as follows: $858 (Table </w:t>
      </w:r>
      <w:r w:rsidR="00B9493E">
        <w:t>1-</w:t>
      </w:r>
      <w:r>
        <w:t xml:space="preserve">2) </w:t>
      </w:r>
      <w:r w:rsidR="00692E65">
        <w:t>+</w:t>
      </w:r>
      <w:r>
        <w:t xml:space="preserve"> </w:t>
      </w:r>
      <w:r w:rsidR="00475F53">
        <w:t>(</w:t>
      </w:r>
      <w:r>
        <w:t>$484</w:t>
      </w:r>
      <w:r w:rsidR="00475F53">
        <w:t>)</w:t>
      </w:r>
      <w:r>
        <w:t xml:space="preserve"> (Table </w:t>
      </w:r>
      <w:r w:rsidR="00B9493E">
        <w:t>1-</w:t>
      </w:r>
      <w:r>
        <w:t>3) = $374.</w:t>
      </w:r>
    </w:p>
  </w:footnote>
  <w:footnote w:id="3">
    <w:p w:rsidR="00860023" w:rsidRDefault="00860023" w:rsidP="00860023">
      <w:pPr>
        <w:pStyle w:val="FootnoteText"/>
      </w:pPr>
      <w:r>
        <w:rPr>
          <w:rStyle w:val="FootnoteReference"/>
        </w:rPr>
        <w:footnoteRef/>
      </w:r>
      <w:r>
        <w:t xml:space="preserve"> Order No. PSC-09-0784-TRF-EI, issued November 19, 2009, in Docket No. 090164-EI, </w:t>
      </w:r>
      <w:r w:rsidRPr="00871648">
        <w:rPr>
          <w:u w:val="single"/>
        </w:rPr>
        <w:t>In re: Petition for approval of revised tariff sheets for underground residential distribution service, by Tampa Electric Company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8D" w:rsidRDefault="00D96491" w:rsidP="00220732">
    <w:pPr>
      <w:pStyle w:val="Header"/>
      <w:tabs>
        <w:tab w:val="clear" w:pos="4320"/>
        <w:tab w:val="clear" w:pos="8640"/>
        <w:tab w:val="right" w:pos="9360"/>
      </w:tabs>
    </w:pPr>
    <w:bookmarkStart w:id="13" w:name="DocketLabel"/>
    <w:r>
      <w:t>Docket No.</w:t>
    </w:r>
    <w:bookmarkEnd w:id="13"/>
    <w:r w:rsidR="005F468D">
      <w:t xml:space="preserve"> </w:t>
    </w:r>
    <w:bookmarkStart w:id="14" w:name="DocketList"/>
    <w:r>
      <w:t>150103-EI</w:t>
    </w:r>
    <w:bookmarkEnd w:id="14"/>
  </w:p>
  <w:p w:rsidR="005F468D" w:rsidRDefault="005F468D">
    <w:pPr>
      <w:pStyle w:val="Header"/>
    </w:pPr>
    <w:r>
      <w:t xml:space="preserve">Date: </w:t>
    </w:r>
    <w:r w:rsidR="002D5604">
      <w:fldChar w:fldCharType="begin"/>
    </w:r>
    <w:r w:rsidR="002D5604">
      <w:instrText xml:space="preserve"> REF FilingDate </w:instrText>
    </w:r>
    <w:r w:rsidR="002D5604">
      <w:fldChar w:fldCharType="separate"/>
    </w:r>
    <w:r w:rsidR="001D0F43">
      <w:t>June 4, 2015</w:t>
    </w:r>
    <w:r w:rsidR="002D5604">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8D" w:rsidRDefault="005F468D" w:rsidP="00220732">
    <w:pPr>
      <w:pStyle w:val="Header"/>
      <w:tabs>
        <w:tab w:val="clear" w:pos="4320"/>
        <w:tab w:val="clear" w:pos="8640"/>
        <w:tab w:val="right" w:pos="9360"/>
      </w:tabs>
    </w:pPr>
    <w:r>
      <w:fldChar w:fldCharType="begin"/>
    </w:r>
    <w:r>
      <w:instrText xml:space="preserve"> REF DocketLabel</w:instrText>
    </w:r>
    <w:r>
      <w:fldChar w:fldCharType="separate"/>
    </w:r>
    <w:r w:rsidR="001D0F43">
      <w:t>Docket No.</w:t>
    </w:r>
    <w:r>
      <w:fldChar w:fldCharType="end"/>
    </w:r>
    <w:r>
      <w:t xml:space="preserve"> </w:t>
    </w:r>
    <w:r>
      <w:fldChar w:fldCharType="begin"/>
    </w:r>
    <w:r>
      <w:instrText xml:space="preserve"> REF DocketList</w:instrText>
    </w:r>
    <w:r>
      <w:fldChar w:fldCharType="separate"/>
    </w:r>
    <w:r w:rsidR="001D0F43">
      <w:t>150103-EI</w:t>
    </w:r>
    <w:r>
      <w:fldChar w:fldCharType="end"/>
    </w:r>
    <w:r>
      <w:tab/>
      <w:t xml:space="preserve">Issue </w:t>
    </w:r>
    <w:r w:rsidR="002D5604">
      <w:fldChar w:fldCharType="begin"/>
    </w:r>
    <w:r w:rsidR="002D5604">
      <w:instrText xml:space="preserve"> Seq Issue \c \* Arabic </w:instrText>
    </w:r>
    <w:r w:rsidR="002D5604">
      <w:fldChar w:fldCharType="separate"/>
    </w:r>
    <w:r w:rsidR="002D5604">
      <w:rPr>
        <w:noProof/>
      </w:rPr>
      <w:t>2</w:t>
    </w:r>
    <w:r w:rsidR="002D5604">
      <w:rPr>
        <w:noProof/>
      </w:rPr>
      <w:fldChar w:fldCharType="end"/>
    </w:r>
  </w:p>
  <w:p w:rsidR="005F468D" w:rsidRDefault="005F468D">
    <w:pPr>
      <w:pStyle w:val="Header"/>
    </w:pPr>
    <w:r>
      <w:t xml:space="preserve">Date: </w:t>
    </w:r>
    <w:r w:rsidR="002D5604">
      <w:fldChar w:fldCharType="begin"/>
    </w:r>
    <w:r w:rsidR="002D5604">
      <w:instrText xml:space="preserve"> REF FilingDate </w:instrText>
    </w:r>
    <w:r w:rsidR="002D5604">
      <w:fldChar w:fldCharType="separate"/>
    </w:r>
    <w:r w:rsidR="001D0F43">
      <w:t>June 4, 2015</w:t>
    </w:r>
    <w:r w:rsidR="002D560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8D" w:rsidRDefault="005F468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8D4" w:rsidRDefault="001C38D4" w:rsidP="001C38D4">
    <w:pPr>
      <w:pStyle w:val="Header"/>
      <w:tabs>
        <w:tab w:val="clear" w:pos="4320"/>
        <w:tab w:val="clear" w:pos="8640"/>
        <w:tab w:val="right" w:pos="9360"/>
      </w:tabs>
    </w:pPr>
    <w:r>
      <w:fldChar w:fldCharType="begin"/>
    </w:r>
    <w:r>
      <w:instrText xml:space="preserve"> REF DocketLabel</w:instrText>
    </w:r>
    <w:r>
      <w:fldChar w:fldCharType="separate"/>
    </w:r>
    <w:r w:rsidR="001D0F43">
      <w:t>Docket No.</w:t>
    </w:r>
    <w:r>
      <w:fldChar w:fldCharType="end"/>
    </w:r>
    <w:r>
      <w:t xml:space="preserve"> </w:t>
    </w:r>
    <w:r>
      <w:fldChar w:fldCharType="begin"/>
    </w:r>
    <w:r>
      <w:instrText xml:space="preserve"> REF DocketList</w:instrText>
    </w:r>
    <w:r>
      <w:fldChar w:fldCharType="separate"/>
    </w:r>
    <w:r w:rsidR="001D0F43">
      <w:t>150103-EI</w:t>
    </w:r>
    <w:r>
      <w:fldChar w:fldCharType="end"/>
    </w:r>
    <w:r>
      <w:tab/>
      <w:t>Attachment 1</w:t>
    </w:r>
  </w:p>
  <w:p w:rsidR="001C38D4" w:rsidRDefault="001C38D4" w:rsidP="001C38D4">
    <w:pPr>
      <w:pStyle w:val="Header"/>
      <w:tabs>
        <w:tab w:val="clear" w:pos="4320"/>
        <w:tab w:val="clear" w:pos="8640"/>
        <w:tab w:val="right" w:pos="9360"/>
      </w:tabs>
    </w:pPr>
    <w:r>
      <w:t xml:space="preserve">Date: </w:t>
    </w:r>
    <w:r w:rsidR="002D5604">
      <w:fldChar w:fldCharType="begin"/>
    </w:r>
    <w:r w:rsidR="002D5604">
      <w:instrText xml:space="preserve"> REF FilingDate  \* MERGEFORMAT </w:instrText>
    </w:r>
    <w:r w:rsidR="002D5604">
      <w:fldChar w:fldCharType="separate"/>
    </w:r>
    <w:r w:rsidR="001D0F43">
      <w:t>June 4, 2015</w:t>
    </w:r>
    <w:r w:rsidR="002D5604">
      <w:fldChar w:fldCharType="end"/>
    </w:r>
    <w:r>
      <w:tab/>
      <w:t>Page 1 of 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3C" w:rsidRDefault="0017273C" w:rsidP="001C38D4">
    <w:pPr>
      <w:pStyle w:val="Header"/>
      <w:tabs>
        <w:tab w:val="clear" w:pos="4320"/>
        <w:tab w:val="clear" w:pos="8640"/>
        <w:tab w:val="right" w:pos="9360"/>
      </w:tabs>
    </w:pPr>
    <w:r>
      <w:fldChar w:fldCharType="begin"/>
    </w:r>
    <w:r>
      <w:instrText xml:space="preserve"> REF DocketLabel</w:instrText>
    </w:r>
    <w:r>
      <w:fldChar w:fldCharType="separate"/>
    </w:r>
    <w:r w:rsidR="001D0F43">
      <w:t>Docket No.</w:t>
    </w:r>
    <w:r>
      <w:fldChar w:fldCharType="end"/>
    </w:r>
    <w:r>
      <w:t xml:space="preserve"> </w:t>
    </w:r>
    <w:r>
      <w:fldChar w:fldCharType="begin"/>
    </w:r>
    <w:r>
      <w:instrText xml:space="preserve"> REF DocketList</w:instrText>
    </w:r>
    <w:r>
      <w:fldChar w:fldCharType="separate"/>
    </w:r>
    <w:r w:rsidR="001D0F43">
      <w:t>150103-EI</w:t>
    </w:r>
    <w:r>
      <w:fldChar w:fldCharType="end"/>
    </w:r>
    <w:r>
      <w:tab/>
      <w:t>Attachment 1</w:t>
    </w:r>
  </w:p>
  <w:p w:rsidR="0017273C" w:rsidRDefault="0017273C" w:rsidP="001C38D4">
    <w:pPr>
      <w:pStyle w:val="Header"/>
      <w:tabs>
        <w:tab w:val="clear" w:pos="4320"/>
        <w:tab w:val="clear" w:pos="8640"/>
        <w:tab w:val="right" w:pos="9360"/>
      </w:tabs>
    </w:pPr>
    <w:r>
      <w:t xml:space="preserve">Date: </w:t>
    </w:r>
    <w:r w:rsidR="002D5604">
      <w:fldChar w:fldCharType="begin"/>
    </w:r>
    <w:r w:rsidR="002D5604">
      <w:instrText xml:space="preserve"> REF FilingDate  \* MERGEFORMAT </w:instrText>
    </w:r>
    <w:r w:rsidR="002D5604">
      <w:fldChar w:fldCharType="separate"/>
    </w:r>
    <w:r w:rsidR="001D0F43">
      <w:t>June 4, 2015</w:t>
    </w:r>
    <w:r w:rsidR="002D5604">
      <w:fldChar w:fldCharType="end"/>
    </w:r>
    <w:r>
      <w:tab/>
      <w:t xml:space="preserve">Page </w:t>
    </w:r>
    <w:r w:rsidR="00E266E5">
      <w:t>2</w:t>
    </w:r>
    <w:r>
      <w:t xml:space="preserve"> of 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6E5" w:rsidRDefault="00E266E5" w:rsidP="001C38D4">
    <w:pPr>
      <w:pStyle w:val="Header"/>
      <w:tabs>
        <w:tab w:val="clear" w:pos="4320"/>
        <w:tab w:val="clear" w:pos="8640"/>
        <w:tab w:val="right" w:pos="9360"/>
      </w:tabs>
    </w:pPr>
    <w:r>
      <w:fldChar w:fldCharType="begin"/>
    </w:r>
    <w:r>
      <w:instrText xml:space="preserve"> REF DocketLabel</w:instrText>
    </w:r>
    <w:r>
      <w:fldChar w:fldCharType="separate"/>
    </w:r>
    <w:r w:rsidR="001D0F43">
      <w:t>Docket No.</w:t>
    </w:r>
    <w:r>
      <w:fldChar w:fldCharType="end"/>
    </w:r>
    <w:r>
      <w:t xml:space="preserve"> </w:t>
    </w:r>
    <w:r>
      <w:fldChar w:fldCharType="begin"/>
    </w:r>
    <w:r>
      <w:instrText xml:space="preserve"> REF DocketList</w:instrText>
    </w:r>
    <w:r>
      <w:fldChar w:fldCharType="separate"/>
    </w:r>
    <w:r w:rsidR="001D0F43">
      <w:t>150103-EI</w:t>
    </w:r>
    <w:r>
      <w:fldChar w:fldCharType="end"/>
    </w:r>
    <w:r>
      <w:tab/>
      <w:t>Attachment 1</w:t>
    </w:r>
  </w:p>
  <w:p w:rsidR="00E266E5" w:rsidRDefault="00E266E5" w:rsidP="001C38D4">
    <w:pPr>
      <w:pStyle w:val="Header"/>
      <w:tabs>
        <w:tab w:val="clear" w:pos="4320"/>
        <w:tab w:val="clear" w:pos="8640"/>
        <w:tab w:val="right" w:pos="9360"/>
      </w:tabs>
    </w:pPr>
    <w:r>
      <w:t xml:space="preserve">Date: </w:t>
    </w:r>
    <w:r w:rsidR="002D5604">
      <w:fldChar w:fldCharType="begin"/>
    </w:r>
    <w:r w:rsidR="002D5604">
      <w:instrText xml:space="preserve"> REF FilingDate  \* MERGEFORMAT </w:instrText>
    </w:r>
    <w:r w:rsidR="002D5604">
      <w:fldChar w:fldCharType="separate"/>
    </w:r>
    <w:r w:rsidR="001D0F43">
      <w:t>June 4, 2015</w:t>
    </w:r>
    <w:r w:rsidR="002D5604">
      <w:fldChar w:fldCharType="end"/>
    </w:r>
    <w:r>
      <w:tab/>
      <w:t>Page 3 of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588C2DBD"/>
    <w:multiLevelType w:val="hybridMultilevel"/>
    <w:tmpl w:val="4F967DA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57"/>
  <w:noPunctuationKerning/>
  <w:characterSpacingControl w:val="doNotCompress"/>
  <w:hdrShapeDefaults>
    <o:shapedefaults v:ext="edit" spidmax="3686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berOfIssues" w:val="0"/>
    <w:docVar w:name="StaffInToC" w:val="True"/>
  </w:docVars>
  <w:rsids>
    <w:rsidRoot w:val="00D96491"/>
    <w:rsid w:val="000234EF"/>
    <w:rsid w:val="000255A9"/>
    <w:rsid w:val="00025D66"/>
    <w:rsid w:val="00034D58"/>
    <w:rsid w:val="000477BC"/>
    <w:rsid w:val="00070DCB"/>
    <w:rsid w:val="00076879"/>
    <w:rsid w:val="000A4070"/>
    <w:rsid w:val="000B2FB6"/>
    <w:rsid w:val="000C09CB"/>
    <w:rsid w:val="000C19DE"/>
    <w:rsid w:val="000C4BE0"/>
    <w:rsid w:val="000D22C2"/>
    <w:rsid w:val="000D379A"/>
    <w:rsid w:val="000D4319"/>
    <w:rsid w:val="00112971"/>
    <w:rsid w:val="00117C8C"/>
    <w:rsid w:val="001307AF"/>
    <w:rsid w:val="0013485F"/>
    <w:rsid w:val="0015600C"/>
    <w:rsid w:val="0017273C"/>
    <w:rsid w:val="00191E1F"/>
    <w:rsid w:val="001A4ADA"/>
    <w:rsid w:val="001B45F4"/>
    <w:rsid w:val="001B4FEE"/>
    <w:rsid w:val="001B51C5"/>
    <w:rsid w:val="001C38D4"/>
    <w:rsid w:val="001C52B5"/>
    <w:rsid w:val="001D0D3E"/>
    <w:rsid w:val="001D0F43"/>
    <w:rsid w:val="001E68C4"/>
    <w:rsid w:val="00200B81"/>
    <w:rsid w:val="002044E6"/>
    <w:rsid w:val="00204883"/>
    <w:rsid w:val="00205C82"/>
    <w:rsid w:val="00205DC2"/>
    <w:rsid w:val="00220732"/>
    <w:rsid w:val="00225C3F"/>
    <w:rsid w:val="00240BF0"/>
    <w:rsid w:val="00264B80"/>
    <w:rsid w:val="00272BD9"/>
    <w:rsid w:val="00281B46"/>
    <w:rsid w:val="00292D82"/>
    <w:rsid w:val="002963CB"/>
    <w:rsid w:val="002A0F97"/>
    <w:rsid w:val="002B50FD"/>
    <w:rsid w:val="002C300B"/>
    <w:rsid w:val="002C4B8F"/>
    <w:rsid w:val="002C7342"/>
    <w:rsid w:val="002D226D"/>
    <w:rsid w:val="002D3293"/>
    <w:rsid w:val="002D5604"/>
    <w:rsid w:val="002F2D2A"/>
    <w:rsid w:val="003037E1"/>
    <w:rsid w:val="003103EC"/>
    <w:rsid w:val="003144EF"/>
    <w:rsid w:val="00322420"/>
    <w:rsid w:val="00322F74"/>
    <w:rsid w:val="00331EE5"/>
    <w:rsid w:val="00333599"/>
    <w:rsid w:val="00340073"/>
    <w:rsid w:val="00342101"/>
    <w:rsid w:val="0035565D"/>
    <w:rsid w:val="00365C5D"/>
    <w:rsid w:val="00367D3D"/>
    <w:rsid w:val="00373180"/>
    <w:rsid w:val="00393978"/>
    <w:rsid w:val="003A0BF1"/>
    <w:rsid w:val="003B2510"/>
    <w:rsid w:val="003C0B43"/>
    <w:rsid w:val="003C2CC4"/>
    <w:rsid w:val="003D746E"/>
    <w:rsid w:val="003E0EFC"/>
    <w:rsid w:val="003E4A2B"/>
    <w:rsid w:val="003E76C2"/>
    <w:rsid w:val="003F7FDD"/>
    <w:rsid w:val="00412DAE"/>
    <w:rsid w:val="00421EBB"/>
    <w:rsid w:val="00447DC2"/>
    <w:rsid w:val="00467FBE"/>
    <w:rsid w:val="00475F53"/>
    <w:rsid w:val="00494A6A"/>
    <w:rsid w:val="004C2FF2"/>
    <w:rsid w:val="004C4390"/>
    <w:rsid w:val="004C4AF7"/>
    <w:rsid w:val="004D2881"/>
    <w:rsid w:val="00513AC9"/>
    <w:rsid w:val="00533010"/>
    <w:rsid w:val="005614BD"/>
    <w:rsid w:val="0057154F"/>
    <w:rsid w:val="00572099"/>
    <w:rsid w:val="005756CA"/>
    <w:rsid w:val="00575ECA"/>
    <w:rsid w:val="005868E3"/>
    <w:rsid w:val="00597730"/>
    <w:rsid w:val="005A1924"/>
    <w:rsid w:val="005A4AA2"/>
    <w:rsid w:val="005D2B92"/>
    <w:rsid w:val="005D2E7D"/>
    <w:rsid w:val="005D561B"/>
    <w:rsid w:val="005D5DDC"/>
    <w:rsid w:val="005F468D"/>
    <w:rsid w:val="005F5592"/>
    <w:rsid w:val="00601A69"/>
    <w:rsid w:val="00615423"/>
    <w:rsid w:val="006165B2"/>
    <w:rsid w:val="00624B29"/>
    <w:rsid w:val="00625D97"/>
    <w:rsid w:val="00625F1C"/>
    <w:rsid w:val="00630AA9"/>
    <w:rsid w:val="00630CEB"/>
    <w:rsid w:val="00667036"/>
    <w:rsid w:val="00676F78"/>
    <w:rsid w:val="0068481F"/>
    <w:rsid w:val="00692E65"/>
    <w:rsid w:val="00694256"/>
    <w:rsid w:val="00695070"/>
    <w:rsid w:val="00696F5D"/>
    <w:rsid w:val="00697C09"/>
    <w:rsid w:val="006A2C53"/>
    <w:rsid w:val="006A7051"/>
    <w:rsid w:val="006E3871"/>
    <w:rsid w:val="00705B04"/>
    <w:rsid w:val="00706985"/>
    <w:rsid w:val="00711B47"/>
    <w:rsid w:val="007331ED"/>
    <w:rsid w:val="007349DC"/>
    <w:rsid w:val="0074365E"/>
    <w:rsid w:val="00746FD5"/>
    <w:rsid w:val="007515FD"/>
    <w:rsid w:val="00764DE7"/>
    <w:rsid w:val="007701A9"/>
    <w:rsid w:val="00780C09"/>
    <w:rsid w:val="00780DDF"/>
    <w:rsid w:val="00787DBC"/>
    <w:rsid w:val="007A04A1"/>
    <w:rsid w:val="007A1840"/>
    <w:rsid w:val="007A59A4"/>
    <w:rsid w:val="007C0528"/>
    <w:rsid w:val="007C087C"/>
    <w:rsid w:val="007C3D38"/>
    <w:rsid w:val="007C6078"/>
    <w:rsid w:val="007E0CE7"/>
    <w:rsid w:val="007E4E0B"/>
    <w:rsid w:val="007E68DA"/>
    <w:rsid w:val="00816624"/>
    <w:rsid w:val="00822562"/>
    <w:rsid w:val="00823663"/>
    <w:rsid w:val="00832DDC"/>
    <w:rsid w:val="00843246"/>
    <w:rsid w:val="00850BAC"/>
    <w:rsid w:val="00854A3E"/>
    <w:rsid w:val="00855D08"/>
    <w:rsid w:val="00860023"/>
    <w:rsid w:val="00871648"/>
    <w:rsid w:val="0088233B"/>
    <w:rsid w:val="008A4F56"/>
    <w:rsid w:val="008B1A03"/>
    <w:rsid w:val="008B3ED4"/>
    <w:rsid w:val="008B62AE"/>
    <w:rsid w:val="008E0709"/>
    <w:rsid w:val="008E50B7"/>
    <w:rsid w:val="008F47EA"/>
    <w:rsid w:val="008F7736"/>
    <w:rsid w:val="00901086"/>
    <w:rsid w:val="00901C8A"/>
    <w:rsid w:val="00905886"/>
    <w:rsid w:val="00913DB2"/>
    <w:rsid w:val="009145D6"/>
    <w:rsid w:val="00922002"/>
    <w:rsid w:val="0093056A"/>
    <w:rsid w:val="0093658B"/>
    <w:rsid w:val="00945BD6"/>
    <w:rsid w:val="00951C45"/>
    <w:rsid w:val="00952E15"/>
    <w:rsid w:val="00964812"/>
    <w:rsid w:val="00971207"/>
    <w:rsid w:val="009863B0"/>
    <w:rsid w:val="009870E4"/>
    <w:rsid w:val="00990238"/>
    <w:rsid w:val="0099673A"/>
    <w:rsid w:val="009A7C96"/>
    <w:rsid w:val="009B5723"/>
    <w:rsid w:val="009C4C56"/>
    <w:rsid w:val="009D46E5"/>
    <w:rsid w:val="009D568A"/>
    <w:rsid w:val="009F04EC"/>
    <w:rsid w:val="00A019B9"/>
    <w:rsid w:val="00A12508"/>
    <w:rsid w:val="00A175B6"/>
    <w:rsid w:val="00A21835"/>
    <w:rsid w:val="00A237DE"/>
    <w:rsid w:val="00A24EC5"/>
    <w:rsid w:val="00A26C45"/>
    <w:rsid w:val="00A33A51"/>
    <w:rsid w:val="00A403FF"/>
    <w:rsid w:val="00A41CA6"/>
    <w:rsid w:val="00A47FFC"/>
    <w:rsid w:val="00A54FF9"/>
    <w:rsid w:val="00A73970"/>
    <w:rsid w:val="00A74858"/>
    <w:rsid w:val="00A92FB1"/>
    <w:rsid w:val="00A93281"/>
    <w:rsid w:val="00A95A0C"/>
    <w:rsid w:val="00AA2765"/>
    <w:rsid w:val="00AA77B5"/>
    <w:rsid w:val="00AB6C5D"/>
    <w:rsid w:val="00AC2E67"/>
    <w:rsid w:val="00AE6313"/>
    <w:rsid w:val="00AE657B"/>
    <w:rsid w:val="00AE7EBF"/>
    <w:rsid w:val="00B05B51"/>
    <w:rsid w:val="00B15370"/>
    <w:rsid w:val="00B17BEB"/>
    <w:rsid w:val="00B21A3C"/>
    <w:rsid w:val="00B234ED"/>
    <w:rsid w:val="00B25CA3"/>
    <w:rsid w:val="00B633E6"/>
    <w:rsid w:val="00B71CDF"/>
    <w:rsid w:val="00B7669E"/>
    <w:rsid w:val="00B806EA"/>
    <w:rsid w:val="00B9163B"/>
    <w:rsid w:val="00B9493E"/>
    <w:rsid w:val="00BA0D55"/>
    <w:rsid w:val="00BA1BE5"/>
    <w:rsid w:val="00BC188A"/>
    <w:rsid w:val="00BC4367"/>
    <w:rsid w:val="00BF5010"/>
    <w:rsid w:val="00BF7528"/>
    <w:rsid w:val="00C36977"/>
    <w:rsid w:val="00C60BA3"/>
    <w:rsid w:val="00C620D8"/>
    <w:rsid w:val="00C623F7"/>
    <w:rsid w:val="00C86896"/>
    <w:rsid w:val="00C907A8"/>
    <w:rsid w:val="00C91877"/>
    <w:rsid w:val="00C93211"/>
    <w:rsid w:val="00CA0818"/>
    <w:rsid w:val="00CA30DA"/>
    <w:rsid w:val="00CA7740"/>
    <w:rsid w:val="00CB33E9"/>
    <w:rsid w:val="00CB3CFF"/>
    <w:rsid w:val="00CC09DD"/>
    <w:rsid w:val="00CF0DA8"/>
    <w:rsid w:val="00CF4453"/>
    <w:rsid w:val="00D04BE4"/>
    <w:rsid w:val="00D14127"/>
    <w:rsid w:val="00D2679E"/>
    <w:rsid w:val="00D34058"/>
    <w:rsid w:val="00D422E0"/>
    <w:rsid w:val="00D60F9D"/>
    <w:rsid w:val="00D66DE2"/>
    <w:rsid w:val="00D81563"/>
    <w:rsid w:val="00D9073E"/>
    <w:rsid w:val="00D9221D"/>
    <w:rsid w:val="00D96491"/>
    <w:rsid w:val="00DB1A88"/>
    <w:rsid w:val="00DB1C78"/>
    <w:rsid w:val="00DB4391"/>
    <w:rsid w:val="00DB6E33"/>
    <w:rsid w:val="00DC6E9A"/>
    <w:rsid w:val="00DC7089"/>
    <w:rsid w:val="00DD150B"/>
    <w:rsid w:val="00E03CF5"/>
    <w:rsid w:val="00E20A7D"/>
    <w:rsid w:val="00E266E5"/>
    <w:rsid w:val="00E26A76"/>
    <w:rsid w:val="00E322B5"/>
    <w:rsid w:val="00E3734D"/>
    <w:rsid w:val="00E375AF"/>
    <w:rsid w:val="00E375CA"/>
    <w:rsid w:val="00E65EBC"/>
    <w:rsid w:val="00E73432"/>
    <w:rsid w:val="00E77B0C"/>
    <w:rsid w:val="00E81761"/>
    <w:rsid w:val="00E838B0"/>
    <w:rsid w:val="00E86A7C"/>
    <w:rsid w:val="00E878E1"/>
    <w:rsid w:val="00EA2273"/>
    <w:rsid w:val="00EC3FBB"/>
    <w:rsid w:val="00ED3A87"/>
    <w:rsid w:val="00ED5B67"/>
    <w:rsid w:val="00ED76C8"/>
    <w:rsid w:val="00EF05CE"/>
    <w:rsid w:val="00EF3FEE"/>
    <w:rsid w:val="00EF46C6"/>
    <w:rsid w:val="00F04B59"/>
    <w:rsid w:val="00F12B1C"/>
    <w:rsid w:val="00F15855"/>
    <w:rsid w:val="00F32978"/>
    <w:rsid w:val="00F41FCD"/>
    <w:rsid w:val="00F43096"/>
    <w:rsid w:val="00F47D55"/>
    <w:rsid w:val="00F713C0"/>
    <w:rsid w:val="00F75DDC"/>
    <w:rsid w:val="00FA32DE"/>
    <w:rsid w:val="00FA59CD"/>
    <w:rsid w:val="00FB1740"/>
    <w:rsid w:val="00FC6D7D"/>
    <w:rsid w:val="00FD4931"/>
    <w:rsid w:val="00FD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ind w:firstLine="720"/>
      <w:jc w:val="both"/>
    </w:pPr>
  </w:style>
  <w:style w:type="character" w:customStyle="1" w:styleId="BodyTextChar">
    <w:name w:val="Body Text Char"/>
    <w:link w:val="BodyText"/>
    <w:rPr>
      <w:sz w:val="24"/>
      <w:szCs w:val="24"/>
      <w:lang w:val="en-US" w:eastAsia="en-US" w:bidi="ar-SA"/>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pPr>
      <w:jc w:val="center"/>
    </w:pPr>
    <w:rPr>
      <w:rFonts w:ascii="WeddingText BT" w:hAnsi="WeddingText BT"/>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pPr>
      <w:keepNext w:val="0"/>
    </w:pPr>
  </w:style>
  <w:style w:type="character" w:customStyle="1" w:styleId="IssueHeadingChar">
    <w:name w:val="Issue Heading Char"/>
    <w:basedOn w:val="Heading1Char"/>
    <w:link w:val="IssueHeading"/>
    <w:rPr>
      <w:rFonts w:cs="Arial"/>
      <w:bCs/>
      <w:kern w:val="32"/>
      <w:sz w:val="24"/>
      <w:szCs w:val="32"/>
      <w:lang w:val="en-US" w:eastAsia="en-US" w:bidi="ar-SA"/>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pPr>
      <w:jc w:val="center"/>
    </w:pPr>
    <w:rPr>
      <w:b/>
      <w:u w:val="single"/>
    </w:rPr>
  </w:style>
  <w:style w:type="paragraph" w:customStyle="1" w:styleId="IssueSubsectionHeading">
    <w:name w:val="Issue Subsection Heading"/>
    <w:basedOn w:val="Heading2"/>
    <w:next w:val="BodyText"/>
    <w:link w:val="IssueSubsectionHeadingChar"/>
    <w:pPr>
      <w:keepNext w:val="0"/>
    </w:pPr>
  </w:style>
  <w:style w:type="character" w:customStyle="1" w:styleId="IssueSubsectionHeadingChar">
    <w:name w:val="Issue Subsection Heading Char"/>
    <w:basedOn w:val="Heading2Char"/>
    <w:link w:val="IssueSubsectionHeading"/>
    <w:rPr>
      <w:rFonts w:cs="Arial"/>
      <w:bCs/>
      <w:iCs/>
      <w:sz w:val="24"/>
      <w:szCs w:val="28"/>
      <w:lang w:val="en-US" w:eastAsia="en-US" w:bidi="ar-SA"/>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character" w:styleId="FootnoteReference">
    <w:name w:val="footnote reference"/>
    <w:basedOn w:val="DefaultParagraphFont"/>
    <w:rsid w:val="00D96491"/>
    <w:rPr>
      <w:vertAlign w:val="superscript"/>
    </w:rPr>
  </w:style>
  <w:style w:type="paragraph" w:styleId="ListParagraph">
    <w:name w:val="List Paragraph"/>
    <w:basedOn w:val="Normal"/>
    <w:uiPriority w:val="34"/>
    <w:qFormat/>
    <w:rsid w:val="009902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ind w:firstLine="720"/>
      <w:jc w:val="both"/>
    </w:pPr>
  </w:style>
  <w:style w:type="character" w:customStyle="1" w:styleId="BodyTextChar">
    <w:name w:val="Body Text Char"/>
    <w:link w:val="BodyText"/>
    <w:rPr>
      <w:sz w:val="24"/>
      <w:szCs w:val="24"/>
      <w:lang w:val="en-US" w:eastAsia="en-US" w:bidi="ar-SA"/>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pPr>
      <w:jc w:val="center"/>
    </w:pPr>
    <w:rPr>
      <w:rFonts w:ascii="WeddingText BT" w:hAnsi="WeddingText BT"/>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pPr>
      <w:keepNext w:val="0"/>
    </w:pPr>
  </w:style>
  <w:style w:type="character" w:customStyle="1" w:styleId="IssueHeadingChar">
    <w:name w:val="Issue Heading Char"/>
    <w:basedOn w:val="Heading1Char"/>
    <w:link w:val="IssueHeading"/>
    <w:rPr>
      <w:rFonts w:cs="Arial"/>
      <w:bCs/>
      <w:kern w:val="32"/>
      <w:sz w:val="24"/>
      <w:szCs w:val="32"/>
      <w:lang w:val="en-US" w:eastAsia="en-US" w:bidi="ar-SA"/>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pPr>
      <w:jc w:val="center"/>
    </w:pPr>
    <w:rPr>
      <w:b/>
      <w:u w:val="single"/>
    </w:rPr>
  </w:style>
  <w:style w:type="paragraph" w:customStyle="1" w:styleId="IssueSubsectionHeading">
    <w:name w:val="Issue Subsection Heading"/>
    <w:basedOn w:val="Heading2"/>
    <w:next w:val="BodyText"/>
    <w:link w:val="IssueSubsectionHeadingChar"/>
    <w:pPr>
      <w:keepNext w:val="0"/>
    </w:pPr>
  </w:style>
  <w:style w:type="character" w:customStyle="1" w:styleId="IssueSubsectionHeadingChar">
    <w:name w:val="Issue Subsection Heading Char"/>
    <w:basedOn w:val="Heading2Char"/>
    <w:link w:val="IssueSubsectionHeading"/>
    <w:rPr>
      <w:rFonts w:cs="Arial"/>
      <w:bCs/>
      <w:iCs/>
      <w:sz w:val="24"/>
      <w:szCs w:val="28"/>
      <w:lang w:val="en-US" w:eastAsia="en-US" w:bidi="ar-SA"/>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character" w:styleId="FootnoteReference">
    <w:name w:val="footnote reference"/>
    <w:basedOn w:val="DefaultParagraphFont"/>
    <w:rsid w:val="00D96491"/>
    <w:rPr>
      <w:vertAlign w:val="superscript"/>
    </w:rPr>
  </w:style>
  <w:style w:type="paragraph" w:styleId="ListParagraph">
    <w:name w:val="List Paragraph"/>
    <w:basedOn w:val="Normal"/>
    <w:uiPriority w:val="34"/>
    <w:qFormat/>
    <w:rsid w:val="00990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9817B-BB33-4C5C-BC84-E3B9E11EC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8</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Sue Ollila</dc:creator>
  <cp:lastModifiedBy>Carlotta Stauffer</cp:lastModifiedBy>
  <cp:revision>3</cp:revision>
  <cp:lastPrinted>2015-06-04T12:01:00Z</cp:lastPrinted>
  <dcterms:created xsi:type="dcterms:W3CDTF">2015-06-04T13:01:00Z</dcterms:created>
  <dcterms:modified xsi:type="dcterms:W3CDTF">2015-06-05T13:08:00Z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150103-EI</vt:lpwstr>
  </property>
  <property fmtid="{D5CDD505-2E9C-101B-9397-08002B2CF9AE}" pid="3" name="MasterDocument">
    <vt:bool>false</vt:bool>
  </property>
</Properties>
</file>