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3F5B2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F5B27">
            <w:pPr>
              <w:pStyle w:val="MemoHeading"/>
            </w:pPr>
            <w:bookmarkStart w:id="1" w:name="FilingDate"/>
            <w:r>
              <w:t>July 9,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F5B27" w:rsidRDefault="003F5B27">
            <w:pPr>
              <w:pStyle w:val="MemoHeading"/>
            </w:pPr>
            <w:bookmarkStart w:id="2" w:name="From"/>
            <w:r>
              <w:t>Division of Engineering (Lee)</w:t>
            </w:r>
          </w:p>
          <w:p w:rsidR="007C0528" w:rsidRDefault="003F5B27">
            <w:pPr>
              <w:pStyle w:val="MemoHeading"/>
            </w:pPr>
            <w:r>
              <w:t>Office of the General Counsel (Corbari)</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F5B27">
            <w:pPr>
              <w:pStyle w:val="MemoHeadingRe"/>
            </w:pPr>
            <w:bookmarkStart w:id="3" w:name="Re"/>
            <w:r>
              <w:t>Docket No. 150110-EI – Petition by Duke Energy Florida, Inc. for approval of modifications to approved as-available purchase tariff.</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F5B27">
            <w:pPr>
              <w:pStyle w:val="MemoHeading"/>
            </w:pPr>
            <w:bookmarkStart w:id="4" w:name="AgendaDate"/>
            <w:r>
              <w:t>07/21/15</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F5B2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F5B2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F5B2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F5B27">
            <w:pPr>
              <w:pStyle w:val="MemoHeading"/>
            </w:pPr>
            <w:r w:rsidRPr="00974D9F">
              <w:t>To be considered after Docket No. 150106-EQ</w:t>
            </w:r>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DE0019" w:rsidRDefault="003B769E" w:rsidP="007A4DD0">
      <w:pPr>
        <w:pStyle w:val="BodyText"/>
      </w:pPr>
      <w:r>
        <w:t xml:space="preserve">On April 2, 2015, </w:t>
      </w:r>
      <w:r w:rsidR="00807BE5">
        <w:t xml:space="preserve">Duke Energy Florida, Inc. (DEF) filed a petition for approval of modifications to </w:t>
      </w:r>
      <w:r w:rsidR="00DE744B">
        <w:t>its as-available p</w:t>
      </w:r>
      <w:r w:rsidR="00807BE5">
        <w:t>urchase tariff</w:t>
      </w:r>
      <w:r w:rsidR="00724746">
        <w:t xml:space="preserve"> for clarification and to correspond with</w:t>
      </w:r>
      <w:r w:rsidR="00B84AAE">
        <w:t xml:space="preserve"> proposed</w:t>
      </w:r>
      <w:r w:rsidR="00724746">
        <w:t xml:space="preserve"> rev</w:t>
      </w:r>
      <w:r w:rsidR="00DE744B">
        <w:t>isions to DEF’s i</w:t>
      </w:r>
      <w:r w:rsidR="00724746">
        <w:t xml:space="preserve">nterconnection </w:t>
      </w:r>
      <w:r w:rsidR="00DE744B">
        <w:t>a</w:t>
      </w:r>
      <w:r w:rsidR="00724746">
        <w:t>greement</w:t>
      </w:r>
      <w:r w:rsidR="00B84AAE">
        <w:t>,</w:t>
      </w:r>
      <w:r w:rsidR="00724746">
        <w:t xml:space="preserve"> </w:t>
      </w:r>
      <w:r w:rsidR="00B84AAE">
        <w:t>which is the subject of</w:t>
      </w:r>
      <w:r w:rsidR="00DE0019">
        <w:t xml:space="preserve"> Docket No.</w:t>
      </w:r>
      <w:r w:rsidR="00DE0019" w:rsidRPr="00DE0019">
        <w:t xml:space="preserve"> 150106-EQ</w:t>
      </w:r>
      <w:r w:rsidR="00724746">
        <w:t>.</w:t>
      </w:r>
      <w:r w:rsidR="00B84AAE">
        <w:rPr>
          <w:rStyle w:val="FootnoteReference"/>
        </w:rPr>
        <w:footnoteReference w:id="1"/>
      </w:r>
    </w:p>
    <w:p w:rsidR="003B769E" w:rsidRDefault="00DE744B" w:rsidP="007A4DD0">
      <w:pPr>
        <w:pStyle w:val="BodyText"/>
      </w:pPr>
      <w:r w:rsidRPr="00DE744B">
        <w:t>The Commission has jurisdiction in this matter pursuant to Sections 366.04 and 366.051, Florida Statutes.</w:t>
      </w:r>
      <w:r w:rsidR="00807BE5">
        <w:t xml:space="preserve"> </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DE744B" w:rsidRPr="00CA20E6" w:rsidRDefault="00DE744B">
      <w:pPr>
        <w:pStyle w:val="IssueHeading"/>
        <w:rPr>
          <w:i/>
          <w:vanish/>
          <w:specVanish/>
        </w:rPr>
      </w:pPr>
      <w:r w:rsidRPr="00CA20E6">
        <w:rPr>
          <w:b/>
          <w:i/>
        </w:rPr>
        <w:t xml:space="preserve">Issue </w:t>
      </w:r>
      <w:r w:rsidRPr="00CA20E6">
        <w:rPr>
          <w:b/>
          <w:i/>
        </w:rPr>
        <w:fldChar w:fldCharType="begin"/>
      </w:r>
      <w:r w:rsidRPr="00CA20E6">
        <w:rPr>
          <w:b/>
          <w:i/>
        </w:rPr>
        <w:instrText xml:space="preserve"> SEQ Issue \* MERGEFORMAT </w:instrText>
      </w:r>
      <w:r w:rsidRPr="00CA20E6">
        <w:rPr>
          <w:b/>
          <w:i/>
        </w:rPr>
        <w:fldChar w:fldCharType="separate"/>
      </w:r>
      <w:r w:rsidR="00550916">
        <w:rPr>
          <w:b/>
          <w:i/>
          <w:noProof/>
        </w:rPr>
        <w:t>1</w:t>
      </w:r>
      <w:r w:rsidRPr="00CA20E6">
        <w:rPr>
          <w:b/>
          <w:i/>
        </w:rPr>
        <w:fldChar w:fldCharType="end"/>
      </w:r>
      <w:r w:rsidRPr="00CA20E6">
        <w:rPr>
          <w:b/>
          <w:i/>
        </w:rPr>
        <w:t>:</w:t>
      </w:r>
      <w:r w:rsidRPr="00CA20E6">
        <w:rPr>
          <w:i/>
        </w:rPr>
        <w:fldChar w:fldCharType="begin"/>
      </w:r>
      <w:r w:rsidRPr="00CA20E6">
        <w:rPr>
          <w:i/>
        </w:rPr>
        <w:instrText xml:space="preserve"> TC "</w:instrText>
      </w:r>
      <w:r w:rsidRPr="00CA20E6">
        <w:rPr>
          <w:i/>
        </w:rPr>
        <w:fldChar w:fldCharType="begin"/>
      </w:r>
      <w:r w:rsidRPr="00CA20E6">
        <w:rPr>
          <w:i/>
        </w:rPr>
        <w:instrText xml:space="preserve"> SEQ issue \c </w:instrText>
      </w:r>
      <w:r w:rsidRPr="00CA20E6">
        <w:rPr>
          <w:i/>
        </w:rPr>
        <w:fldChar w:fldCharType="separate"/>
      </w:r>
      <w:r w:rsidR="00550916">
        <w:rPr>
          <w:i/>
          <w:noProof/>
        </w:rPr>
        <w:instrText>1</w:instrText>
      </w:r>
      <w:r w:rsidRPr="00CA20E6">
        <w:rPr>
          <w:i/>
        </w:rPr>
        <w:fldChar w:fldCharType="end"/>
      </w:r>
      <w:r w:rsidRPr="00CA20E6">
        <w:rPr>
          <w:i/>
        </w:rPr>
        <w:tab/>
        <w:instrText xml:space="preserve">" \l 1 </w:instrText>
      </w:r>
      <w:r w:rsidRPr="00CA20E6">
        <w:rPr>
          <w:i/>
        </w:rPr>
        <w:fldChar w:fldCharType="end"/>
      </w:r>
      <w:r w:rsidRPr="00CA20E6">
        <w:rPr>
          <w:i/>
        </w:rPr>
        <w:t> </w:t>
      </w:r>
    </w:p>
    <w:p w:rsidR="00DE744B" w:rsidRPr="00CA20E6" w:rsidRDefault="00DE744B">
      <w:pPr>
        <w:pStyle w:val="BodyText"/>
      </w:pPr>
      <w:r w:rsidRPr="00CA20E6">
        <w:rPr>
          <w:i/>
        </w:rPr>
        <w:t> </w:t>
      </w:r>
      <w:r w:rsidR="00920632" w:rsidRPr="00CA20E6">
        <w:t>Should the Commission approve DEF's proposed modifications to its as-available purchase tariff?</w:t>
      </w:r>
    </w:p>
    <w:p w:rsidR="00DE744B" w:rsidRPr="00CA20E6" w:rsidRDefault="00DE744B">
      <w:pPr>
        <w:pStyle w:val="IssueSubsectionHeading"/>
        <w:rPr>
          <w:i/>
          <w:vanish/>
          <w:specVanish/>
        </w:rPr>
      </w:pPr>
      <w:r w:rsidRPr="00CA20E6">
        <w:rPr>
          <w:b/>
          <w:i/>
        </w:rPr>
        <w:t>Recommendation:</w:t>
      </w:r>
      <w:r w:rsidRPr="00CA20E6">
        <w:rPr>
          <w:i/>
        </w:rPr>
        <w:t> </w:t>
      </w:r>
    </w:p>
    <w:p w:rsidR="00DE744B" w:rsidRPr="00CA20E6" w:rsidRDefault="00DE744B">
      <w:pPr>
        <w:pStyle w:val="BodyText"/>
      </w:pPr>
      <w:r w:rsidRPr="00CA20E6">
        <w:rPr>
          <w:rFonts w:ascii="Arial" w:hAnsi="Arial" w:cs="Arial"/>
          <w:i/>
        </w:rPr>
        <w:t> </w:t>
      </w:r>
      <w:r w:rsidR="00130FC3" w:rsidRPr="00CA20E6">
        <w:t>Yes.</w:t>
      </w:r>
      <w:r w:rsidR="004B4F99" w:rsidRPr="00CA20E6">
        <w:t xml:space="preserve"> </w:t>
      </w:r>
      <w:r w:rsidR="009422A9" w:rsidRPr="00CA20E6">
        <w:t xml:space="preserve">DEF's proposed modifications to its as-available purchase tariff </w:t>
      </w:r>
      <w:r w:rsidR="004B4F99" w:rsidRPr="00CA20E6">
        <w:t xml:space="preserve">are </w:t>
      </w:r>
      <w:r w:rsidR="009422A9" w:rsidRPr="00CA20E6">
        <w:t xml:space="preserve">reasonable and </w:t>
      </w:r>
      <w:r w:rsidR="004B4F99" w:rsidRPr="00CA20E6">
        <w:t>cons</w:t>
      </w:r>
      <w:r w:rsidR="009422A9" w:rsidRPr="00CA20E6">
        <w:t>istent with Commission rules</w:t>
      </w:r>
      <w:r w:rsidR="004B4F99" w:rsidRPr="00CA20E6">
        <w:t xml:space="preserve">. </w:t>
      </w:r>
      <w:r w:rsidR="00BC5722" w:rsidRPr="00CA20E6">
        <w:t>(Lee)</w:t>
      </w:r>
    </w:p>
    <w:p w:rsidR="00DE744B" w:rsidRPr="00EA089F" w:rsidRDefault="00DE744B">
      <w:pPr>
        <w:pStyle w:val="IssueSubsectionHeading"/>
        <w:rPr>
          <w:i/>
          <w:vanish/>
          <w:specVanish/>
        </w:rPr>
      </w:pPr>
      <w:r w:rsidRPr="00CA20E6">
        <w:rPr>
          <w:b/>
          <w:i/>
        </w:rPr>
        <w:t>Staff Analysis</w:t>
      </w:r>
      <w:r w:rsidRPr="00EA089F">
        <w:rPr>
          <w:b/>
          <w:i/>
        </w:rPr>
        <w:t>:</w:t>
      </w:r>
      <w:r w:rsidRPr="00EA089F">
        <w:rPr>
          <w:i/>
        </w:rPr>
        <w:t> </w:t>
      </w:r>
    </w:p>
    <w:p w:rsidR="00927E76" w:rsidRPr="00EA089F" w:rsidRDefault="00DE744B" w:rsidP="00927E76">
      <w:pPr>
        <w:pStyle w:val="BodyText"/>
      </w:pPr>
      <w:r w:rsidRPr="00EA089F">
        <w:rPr>
          <w:rFonts w:ascii="Arial" w:hAnsi="Arial" w:cs="Arial"/>
        </w:rPr>
        <w:t> </w:t>
      </w:r>
      <w:r w:rsidR="00927E76" w:rsidRPr="00EA089F">
        <w:t xml:space="preserve">Rule 25-17.0825, Florida Administrative Code (F.A.C.), defines as-available energy and </w:t>
      </w:r>
      <w:r w:rsidR="009422A9">
        <w:t>set</w:t>
      </w:r>
      <w:r w:rsidR="00F93C8B">
        <w:t>s</w:t>
      </w:r>
      <w:r w:rsidR="009422A9">
        <w:t xml:space="preserve"> out a utility’s</w:t>
      </w:r>
      <w:r w:rsidR="00927E76" w:rsidRPr="00EA089F">
        <w:t xml:space="preserve"> responsibilities with regard to purchasing as-available energy from qualifying facilities (QF). Rule 25-17.080, F.A.C., </w:t>
      </w:r>
      <w:r w:rsidR="009422A9">
        <w:t>outlines</w:t>
      </w:r>
      <w:r w:rsidR="00927E76" w:rsidRPr="00EA089F">
        <w:t xml:space="preserve"> the criteria</w:t>
      </w:r>
      <w:r w:rsidR="0094429D" w:rsidRPr="00EA089F">
        <w:t xml:space="preserve"> </w:t>
      </w:r>
      <w:r w:rsidR="00AD411B" w:rsidRPr="00EA089F">
        <w:t>that</w:t>
      </w:r>
      <w:r w:rsidR="00927E76" w:rsidRPr="00EA089F">
        <w:t xml:space="preserve"> a small power producer or </w:t>
      </w:r>
      <w:proofErr w:type="spellStart"/>
      <w:r w:rsidR="00927E76" w:rsidRPr="00EA089F">
        <w:t>cogenerator</w:t>
      </w:r>
      <w:proofErr w:type="spellEnd"/>
      <w:r w:rsidR="00927E76" w:rsidRPr="00EA089F">
        <w:t xml:space="preserve"> must meet </w:t>
      </w:r>
      <w:r w:rsidR="009422A9">
        <w:t xml:space="preserve">in order to achieve QF status. Pursuant to </w:t>
      </w:r>
      <w:r w:rsidR="009422A9" w:rsidRPr="009422A9">
        <w:t xml:space="preserve">Rule 25-17.0825, F.A.C., </w:t>
      </w:r>
      <w:r w:rsidR="009422A9">
        <w:t>a</w:t>
      </w:r>
      <w:r w:rsidR="00927E76" w:rsidRPr="00EA089F">
        <w:t xml:space="preserve">s-available energy is energy produced by a QF on an hour-by-hour basis and utilities are required to purchase as-available energy from any QF. Rule 25-17.0825, F.A.C., also </w:t>
      </w:r>
      <w:r w:rsidR="009422A9">
        <w:t>requires</w:t>
      </w:r>
      <w:r w:rsidR="00927E76" w:rsidRPr="00EA089F">
        <w:t xml:space="preserve"> th</w:t>
      </w:r>
      <w:r w:rsidR="009422A9">
        <w:t>at as-available energy sales be made</w:t>
      </w:r>
      <w:r w:rsidR="00927E76" w:rsidRPr="00EA089F">
        <w:t xml:space="preserve"> pursuant to the terms and conditions of a tariff or a separately negotiated contract. </w:t>
      </w:r>
    </w:p>
    <w:p w:rsidR="00EA33BD" w:rsidRDefault="00927E76" w:rsidP="00DA56CC">
      <w:pPr>
        <w:pStyle w:val="BodyText"/>
      </w:pPr>
      <w:r>
        <w:t xml:space="preserve">DEF’s as-available purchase tariff provides </w:t>
      </w:r>
      <w:r w:rsidR="009422A9">
        <w:t xml:space="preserve">the required </w:t>
      </w:r>
      <w:r>
        <w:t xml:space="preserve">contract terms and conditions including the delivery options, payments to the QF, and cost responsibility of the QF for the payment of interconnection costs. Charges to the QF are specified in </w:t>
      </w:r>
      <w:r w:rsidR="009422A9">
        <w:t>DEF’s</w:t>
      </w:r>
      <w:r>
        <w:t xml:space="preserve"> amended interconnection agreement, which is </w:t>
      </w:r>
      <w:r w:rsidR="009422A9">
        <w:t xml:space="preserve">before the Commission for consideration </w:t>
      </w:r>
      <w:r>
        <w:t>in Docket No. 150106-EQ.</w:t>
      </w:r>
      <w:r w:rsidR="004A42CC">
        <w:rPr>
          <w:rStyle w:val="FootnoteReference"/>
        </w:rPr>
        <w:footnoteReference w:id="2"/>
      </w:r>
      <w:r>
        <w:t xml:space="preserve"> Consistent with the amended interconnection agreement, DEF proposed</w:t>
      </w:r>
      <w:r w:rsidR="00BC7720">
        <w:t xml:space="preserve"> a </w:t>
      </w:r>
      <w:r>
        <w:t>revision to Sheet 9.330 of the as-available purchase tariff regarding the language concerning QF operation, maintenance</w:t>
      </w:r>
      <w:r w:rsidR="004709A0">
        <w:t>,</w:t>
      </w:r>
      <w:r>
        <w:t xml:space="preserve"> and repair charges according to DEF’s interconnection agreement. </w:t>
      </w:r>
    </w:p>
    <w:p w:rsidR="00927E76" w:rsidRDefault="00927E76" w:rsidP="00DA56CC">
      <w:pPr>
        <w:pStyle w:val="BodyText"/>
      </w:pPr>
      <w:r>
        <w:t>In addition, DEF's proposed modifications to its as-available purchase tariff contain revision</w:t>
      </w:r>
      <w:r w:rsidR="0057221D">
        <w:t>s</w:t>
      </w:r>
      <w:r>
        <w:t xml:space="preserve"> intended to clarify the as-available contract language. The additional language in </w:t>
      </w:r>
      <w:r w:rsidR="00216D15">
        <w:t xml:space="preserve">DEF’s revised Tariff </w:t>
      </w:r>
      <w:r>
        <w:t>Sheet 9.108, Article 4.6</w:t>
      </w:r>
      <w:r w:rsidR="00F93C8B">
        <w:t>,</w:t>
      </w:r>
      <w:r>
        <w:t xml:space="preserve"> specifies delivery options intended to clarify whether the as-available energy will be delivered to parties other than DEF. </w:t>
      </w:r>
      <w:r w:rsidR="00216D15">
        <w:t>R</w:t>
      </w:r>
      <w:r w:rsidR="00216D15" w:rsidRPr="00216D15">
        <w:t xml:space="preserve">evised Tariff </w:t>
      </w:r>
      <w:r>
        <w:t>Sheet 9.321, Appendix A, Schedule 2</w:t>
      </w:r>
      <w:r w:rsidR="006135B3">
        <w:t>,</w:t>
      </w:r>
      <w:r>
        <w:t xml:space="preserve"> specifies filings that contain the DEF’s annual average system line loss analysis for the calculation of the line loss adjustment factor to the avoided energy cost.</w:t>
      </w:r>
      <w:r w:rsidR="006C0512">
        <w:t xml:space="preserve"> (See Attachment A)</w:t>
      </w:r>
    </w:p>
    <w:p w:rsidR="006C0512" w:rsidRDefault="00927E76" w:rsidP="006C0512">
      <w:pPr>
        <w:pStyle w:val="BodyText"/>
      </w:pPr>
      <w:r>
        <w:t>DEF asserts that these changes are consistent with Commission rules and will allow DEF to further clarify language in the as-available contract language that is also consistent with DEF’s amended interconnection agreement. Staff has reviewed DEF’s proposed modifications to its as-available purchase tariff and</w:t>
      </w:r>
      <w:r w:rsidR="006C0512">
        <w:t xml:space="preserve"> recommends</w:t>
      </w:r>
      <w:r>
        <w:t xml:space="preserve"> </w:t>
      </w:r>
      <w:r w:rsidR="00382956">
        <w:t xml:space="preserve">that </w:t>
      </w:r>
      <w:r>
        <w:t>the proposed modifications</w:t>
      </w:r>
      <w:r w:rsidR="00EF1547">
        <w:t xml:space="preserve"> be approved because they</w:t>
      </w:r>
      <w:r>
        <w:t xml:space="preserve"> are reasonable</w:t>
      </w:r>
      <w:r w:rsidR="00EF1547" w:rsidRPr="00EF1547">
        <w:t xml:space="preserve"> and consistent with Commission rules</w:t>
      </w:r>
      <w:r w:rsidR="006C0512">
        <w:t>.</w:t>
      </w:r>
      <w:r>
        <w:t xml:space="preserve"> </w:t>
      </w:r>
    </w:p>
    <w:p w:rsidR="006C0512" w:rsidRDefault="006C0512" w:rsidP="006C0512">
      <w:pPr>
        <w:pStyle w:val="BodyText"/>
      </w:pPr>
    </w:p>
    <w:p w:rsidR="006C0512" w:rsidRDefault="006C0512" w:rsidP="006C0512">
      <w:pPr>
        <w:pStyle w:val="BodyText"/>
      </w:pPr>
    </w:p>
    <w:p w:rsidR="006C0512" w:rsidRDefault="006C0512" w:rsidP="006C0512">
      <w:pPr>
        <w:pStyle w:val="BodyText"/>
      </w:pPr>
    </w:p>
    <w:p w:rsidR="00BD55C6" w:rsidRPr="00CA20E6" w:rsidRDefault="006C0512" w:rsidP="000C5D5D">
      <w:pPr>
        <w:pStyle w:val="IssueHeading"/>
        <w:rPr>
          <w:vanish/>
          <w:specVanish/>
        </w:rPr>
      </w:pPr>
      <w:r w:rsidRPr="000C5D5D">
        <w:rPr>
          <w:b/>
          <w:i/>
        </w:rPr>
        <w:lastRenderedPageBreak/>
        <w:t>I</w:t>
      </w:r>
      <w:r w:rsidR="00BD55C6" w:rsidRPr="000C5D5D">
        <w:rPr>
          <w:b/>
          <w:i/>
        </w:rPr>
        <w:t xml:space="preserve">ssue </w:t>
      </w:r>
      <w:r w:rsidR="00BD55C6" w:rsidRPr="000C5D5D">
        <w:rPr>
          <w:b/>
          <w:i/>
        </w:rPr>
        <w:fldChar w:fldCharType="begin"/>
      </w:r>
      <w:r w:rsidR="00BD55C6" w:rsidRPr="000C5D5D">
        <w:rPr>
          <w:b/>
          <w:i/>
        </w:rPr>
        <w:instrText xml:space="preserve"> SEQ Issue \* MERGEFORMAT </w:instrText>
      </w:r>
      <w:r w:rsidR="00BD55C6" w:rsidRPr="000C5D5D">
        <w:rPr>
          <w:b/>
          <w:i/>
        </w:rPr>
        <w:fldChar w:fldCharType="separate"/>
      </w:r>
      <w:r w:rsidR="00550916">
        <w:rPr>
          <w:b/>
          <w:i/>
          <w:noProof/>
        </w:rPr>
        <w:t>2</w:t>
      </w:r>
      <w:r w:rsidR="00BD55C6" w:rsidRPr="000C5D5D">
        <w:rPr>
          <w:b/>
          <w:i/>
        </w:rPr>
        <w:fldChar w:fldCharType="end"/>
      </w:r>
      <w:r w:rsidR="00BD55C6" w:rsidRPr="000C5D5D">
        <w:rPr>
          <w:b/>
          <w:i/>
        </w:rPr>
        <w:t>:</w:t>
      </w:r>
      <w:r w:rsidR="00BD55C6" w:rsidRPr="00CA20E6">
        <w:fldChar w:fldCharType="begin"/>
      </w:r>
      <w:r w:rsidR="00BD55C6" w:rsidRPr="00CA20E6">
        <w:instrText xml:space="preserve"> TC "</w:instrText>
      </w:r>
      <w:r w:rsidR="00BD55C6" w:rsidRPr="00CA20E6">
        <w:fldChar w:fldCharType="begin"/>
      </w:r>
      <w:r w:rsidR="00BD55C6" w:rsidRPr="00CA20E6">
        <w:instrText xml:space="preserve"> SEQ issue \c </w:instrText>
      </w:r>
      <w:r w:rsidR="00BD55C6" w:rsidRPr="00CA20E6">
        <w:fldChar w:fldCharType="separate"/>
      </w:r>
      <w:r w:rsidR="00550916">
        <w:rPr>
          <w:noProof/>
        </w:rPr>
        <w:instrText>2</w:instrText>
      </w:r>
      <w:r w:rsidR="00BD55C6" w:rsidRPr="00CA20E6">
        <w:fldChar w:fldCharType="end"/>
      </w:r>
      <w:r w:rsidR="00BD55C6" w:rsidRPr="00CA20E6">
        <w:tab/>
        <w:instrText xml:space="preserve">" \l 1 </w:instrText>
      </w:r>
      <w:r w:rsidR="00BD55C6" w:rsidRPr="00CA20E6">
        <w:fldChar w:fldCharType="end"/>
      </w:r>
      <w:r w:rsidR="00BD55C6" w:rsidRPr="00CA20E6">
        <w:t> </w:t>
      </w:r>
    </w:p>
    <w:p w:rsidR="00BD55C6" w:rsidRPr="00CA20E6" w:rsidRDefault="00BD55C6">
      <w:pPr>
        <w:pStyle w:val="BodyText"/>
      </w:pPr>
      <w:r w:rsidRPr="00CA20E6">
        <w:t> </w:t>
      </w:r>
      <w:r w:rsidR="00893BC7" w:rsidRPr="00CA20E6">
        <w:t>Should this docket be closed?</w:t>
      </w:r>
    </w:p>
    <w:p w:rsidR="00BD55C6" w:rsidRPr="00CA20E6" w:rsidRDefault="00BD55C6">
      <w:pPr>
        <w:pStyle w:val="IssueSubsectionHeading"/>
        <w:rPr>
          <w:b/>
          <w:i/>
          <w:vanish/>
          <w:specVanish/>
        </w:rPr>
      </w:pPr>
      <w:r w:rsidRPr="00CA20E6">
        <w:rPr>
          <w:b/>
          <w:i/>
        </w:rPr>
        <w:t>Recommendation: </w:t>
      </w:r>
    </w:p>
    <w:p w:rsidR="00BD55C6" w:rsidRPr="00CA20E6" w:rsidRDefault="00BD55C6">
      <w:pPr>
        <w:pStyle w:val="BodyText"/>
      </w:pPr>
      <w:r w:rsidRPr="00CA20E6">
        <w:rPr>
          <w:rFonts w:ascii="Arial" w:hAnsi="Arial" w:cs="Arial"/>
          <w:b/>
          <w:i/>
        </w:rPr>
        <w:t> </w:t>
      </w:r>
      <w:r w:rsidR="00893BC7" w:rsidRPr="00CA20E6">
        <w:t xml:space="preserve">Yes. </w:t>
      </w:r>
      <w:r w:rsidR="002C65EE" w:rsidRPr="00CA20E6">
        <w:t xml:space="preserve">If </w:t>
      </w:r>
      <w:r w:rsidR="00231D38">
        <w:t>I</w:t>
      </w:r>
      <w:r w:rsidR="002C65EE" w:rsidRPr="00CA20E6">
        <w:t xml:space="preserve">ssue 1 is approved, DEF’s tariff </w:t>
      </w:r>
      <w:r w:rsidR="003B6738">
        <w:t>becomes effective the date of the commission vote</w:t>
      </w:r>
      <w:r w:rsidR="002C65EE" w:rsidRPr="00CA20E6">
        <w:t>. If a protest is filed within 21 days of the issuance of the order, the tariff should remain in effect, with any revenues held subject to refund, pending resolution of the protest. If no timely protest i</w:t>
      </w:r>
      <w:r w:rsidR="000F09BD" w:rsidRPr="00CA20E6">
        <w:t>s</w:t>
      </w:r>
      <w:r w:rsidR="002C65EE" w:rsidRPr="00CA20E6">
        <w:t xml:space="preserve"> filed, this docket should be closed upon the issuance of a consummating order. (Corbari)</w:t>
      </w:r>
    </w:p>
    <w:p w:rsidR="00BD55C6" w:rsidRPr="00CA20E6" w:rsidRDefault="00BD55C6">
      <w:pPr>
        <w:pStyle w:val="IssueSubsectionHeading"/>
        <w:rPr>
          <w:rFonts w:ascii="Times New Roman" w:hAnsi="Times New Roman" w:cs="Times New Roman"/>
          <w:vanish/>
          <w:specVanish/>
        </w:rPr>
      </w:pPr>
      <w:r w:rsidRPr="00CA20E6">
        <w:rPr>
          <w:b/>
          <w:i/>
        </w:rPr>
        <w:t>Staff Analysis</w:t>
      </w:r>
      <w:r w:rsidRPr="00CA20E6">
        <w:rPr>
          <w:rFonts w:ascii="Times New Roman" w:hAnsi="Times New Roman" w:cs="Times New Roman"/>
          <w:b/>
          <w:i/>
        </w:rPr>
        <w:t>: </w:t>
      </w:r>
    </w:p>
    <w:p w:rsidR="00EA5927" w:rsidRDefault="00BD55C6" w:rsidP="002C65EE">
      <w:pPr>
        <w:pStyle w:val="BodyText"/>
      </w:pPr>
      <w:r w:rsidRPr="00CA20E6">
        <w:t> </w:t>
      </w:r>
      <w:r w:rsidR="00893BC7" w:rsidRPr="00CA20E6">
        <w:t xml:space="preserve">If </w:t>
      </w:r>
      <w:r w:rsidR="00231D38">
        <w:t>I</w:t>
      </w:r>
      <w:r w:rsidR="002C65EE" w:rsidRPr="00CA20E6">
        <w:t xml:space="preserve">ssue 1 is approved, DEF’s tariff </w:t>
      </w:r>
      <w:r w:rsidR="00E141A7">
        <w:t>becomes effective the date of the commission vote</w:t>
      </w:r>
      <w:r w:rsidR="002C65EE" w:rsidRPr="00CA20E6">
        <w:t>. If a protest i</w:t>
      </w:r>
      <w:r w:rsidR="00C203D1" w:rsidRPr="00CA20E6">
        <w:t>s</w:t>
      </w:r>
      <w:r w:rsidR="002C65EE" w:rsidRPr="00CA20E6">
        <w:t xml:space="preserve"> filed within 21 days of the issuance of the order, the tariff should remain in effect, with any revenues held su</w:t>
      </w:r>
      <w:r w:rsidR="002C65EE">
        <w:t>bject to refund, pending resolution of the protest. If no timely protest i</w:t>
      </w:r>
      <w:r w:rsidR="00217DEC">
        <w:t>s</w:t>
      </w:r>
      <w:r w:rsidR="002C65EE">
        <w:t xml:space="preserve"> filed, this docket should be closed upon the issuance of a consummating order.</w:t>
      </w:r>
    </w:p>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Pr="00EA5927" w:rsidRDefault="00EA5927" w:rsidP="00EA5927"/>
    <w:p w:rsidR="00EA5927" w:rsidRDefault="00EA5927" w:rsidP="00EA5927"/>
    <w:p w:rsidR="00D703D8" w:rsidRDefault="00EA5927" w:rsidP="00EA5927">
      <w:pPr>
        <w:tabs>
          <w:tab w:val="left" w:pos="6465"/>
        </w:tabs>
      </w:pPr>
      <w:r>
        <w:tab/>
      </w:r>
    </w:p>
    <w:p w:rsidR="00D703D8" w:rsidRDefault="00D703D8" w:rsidP="00D703D8"/>
    <w:p w:rsidR="00D703D8" w:rsidRDefault="00D703D8" w:rsidP="00D703D8">
      <w:pPr>
        <w:tabs>
          <w:tab w:val="left" w:pos="6000"/>
        </w:tabs>
        <w:sectPr w:rsidR="00D703D8"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ab/>
      </w:r>
    </w:p>
    <w:p w:rsidR="00D703D8" w:rsidRDefault="00800C91" w:rsidP="00D703D8">
      <w:pPr>
        <w:tabs>
          <w:tab w:val="left" w:pos="6000"/>
        </w:tabs>
      </w:pPr>
      <w:r>
        <w:rPr>
          <w:noProof/>
        </w:rPr>
        <w:lastRenderedPageBreak/>
        <w:drawing>
          <wp:inline distT="0" distB="0" distL="0" distR="0" wp14:anchorId="453CFE97" wp14:editId="4FFFC710">
            <wp:extent cx="5943600" cy="77165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16520"/>
                    </a:xfrm>
                    <a:prstGeom prst="rect">
                      <a:avLst/>
                    </a:prstGeom>
                  </pic:spPr>
                </pic:pic>
              </a:graphicData>
            </a:graphic>
          </wp:inline>
        </w:drawing>
      </w:r>
    </w:p>
    <w:p w:rsidR="00800C91" w:rsidRDefault="00800C91">
      <w:r>
        <w:br w:type="page"/>
      </w:r>
    </w:p>
    <w:p w:rsidR="00D703D8" w:rsidRDefault="00800C91" w:rsidP="00D703D8">
      <w:r>
        <w:rPr>
          <w:noProof/>
        </w:rPr>
        <w:lastRenderedPageBreak/>
        <w:drawing>
          <wp:inline distT="0" distB="0" distL="0" distR="0" wp14:anchorId="22849358" wp14:editId="53156B56">
            <wp:extent cx="5943600" cy="77165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16520"/>
                    </a:xfrm>
                    <a:prstGeom prst="rect">
                      <a:avLst/>
                    </a:prstGeom>
                  </pic:spPr>
                </pic:pic>
              </a:graphicData>
            </a:graphic>
          </wp:inline>
        </w:drawing>
      </w:r>
    </w:p>
    <w:p w:rsidR="00800C91" w:rsidRDefault="00800C91">
      <w:r>
        <w:br w:type="page"/>
      </w:r>
    </w:p>
    <w:p w:rsidR="00EA5927" w:rsidRPr="00D703D8" w:rsidRDefault="00800C91" w:rsidP="00D703D8">
      <w:pPr>
        <w:sectPr w:rsidR="00EA5927" w:rsidRPr="00D703D8"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7C3B04F" wp14:editId="294FC062">
            <wp:extent cx="5943600" cy="771207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12075"/>
                    </a:xfrm>
                    <a:prstGeom prst="rect">
                      <a:avLst/>
                    </a:prstGeom>
                  </pic:spPr>
                </pic:pic>
              </a:graphicData>
            </a:graphic>
          </wp:inline>
        </w:drawing>
      </w:r>
    </w:p>
    <w:p w:rsidR="00EA5927" w:rsidRDefault="00800C91" w:rsidP="00EA5927">
      <w:pPr>
        <w:tabs>
          <w:tab w:val="left" w:pos="6465"/>
        </w:tabs>
      </w:pPr>
      <w:r>
        <w:rPr>
          <w:noProof/>
        </w:rPr>
        <w:lastRenderedPageBreak/>
        <w:drawing>
          <wp:inline distT="0" distB="0" distL="0" distR="0">
            <wp:extent cx="5943600" cy="771588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15885"/>
                    </a:xfrm>
                    <a:prstGeom prst="rect">
                      <a:avLst/>
                    </a:prstGeom>
                  </pic:spPr>
                </pic:pic>
              </a:graphicData>
            </a:graphic>
          </wp:inline>
        </w:drawing>
      </w:r>
    </w:p>
    <w:p w:rsidR="00800C91" w:rsidRDefault="00800C91">
      <w:r>
        <w:br w:type="page"/>
      </w:r>
    </w:p>
    <w:p w:rsidR="00800C91" w:rsidRDefault="00800C91" w:rsidP="00EA5927">
      <w:r>
        <w:rPr>
          <w:noProof/>
        </w:rPr>
        <w:lastRenderedPageBreak/>
        <w:drawing>
          <wp:inline distT="0" distB="0" distL="0" distR="0">
            <wp:extent cx="5943600" cy="772795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27950"/>
                    </a:xfrm>
                    <a:prstGeom prst="rect">
                      <a:avLst/>
                    </a:prstGeom>
                  </pic:spPr>
                </pic:pic>
              </a:graphicData>
            </a:graphic>
          </wp:inline>
        </w:drawing>
      </w:r>
    </w:p>
    <w:p w:rsidR="00800C91" w:rsidRDefault="00800C91" w:rsidP="00800C91">
      <w:r>
        <w:br w:type="page"/>
      </w:r>
    </w:p>
    <w:p w:rsidR="00800C91" w:rsidRDefault="00800C91" w:rsidP="00EA5927">
      <w:r>
        <w:rPr>
          <w:noProof/>
        </w:rPr>
        <w:lastRenderedPageBreak/>
        <w:drawing>
          <wp:inline distT="0" distB="0" distL="0" distR="0">
            <wp:extent cx="5943600" cy="77228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22870"/>
                    </a:xfrm>
                    <a:prstGeom prst="rect">
                      <a:avLst/>
                    </a:prstGeom>
                  </pic:spPr>
                </pic:pic>
              </a:graphicData>
            </a:graphic>
          </wp:inline>
        </w:drawing>
      </w:r>
    </w:p>
    <w:p w:rsidR="00800C91" w:rsidRDefault="00800C91" w:rsidP="00800C91">
      <w:r>
        <w:br w:type="page"/>
      </w:r>
    </w:p>
    <w:p w:rsidR="00800C91" w:rsidRDefault="00800C91" w:rsidP="00EA5927">
      <w:r>
        <w:rPr>
          <w:noProof/>
        </w:rPr>
        <w:lastRenderedPageBreak/>
        <w:drawing>
          <wp:inline distT="0" distB="0" distL="0" distR="0">
            <wp:extent cx="5943600" cy="77241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4140"/>
                    </a:xfrm>
                    <a:prstGeom prst="rect">
                      <a:avLst/>
                    </a:prstGeom>
                  </pic:spPr>
                </pic:pic>
              </a:graphicData>
            </a:graphic>
          </wp:inline>
        </w:drawing>
      </w:r>
    </w:p>
    <w:p w:rsidR="00800C91" w:rsidRDefault="00800C91" w:rsidP="00800C91">
      <w:r>
        <w:br w:type="page"/>
      </w:r>
    </w:p>
    <w:p w:rsidR="00EA5927" w:rsidRDefault="00800C91" w:rsidP="00EA5927">
      <w:r>
        <w:rPr>
          <w:noProof/>
        </w:rPr>
        <w:lastRenderedPageBreak/>
        <w:drawing>
          <wp:inline distT="0" distB="0" distL="0" distR="0">
            <wp:extent cx="5943600" cy="77209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720965"/>
                    </a:xfrm>
                    <a:prstGeom prst="rect">
                      <a:avLst/>
                    </a:prstGeom>
                  </pic:spPr>
                </pic:pic>
              </a:graphicData>
            </a:graphic>
          </wp:inline>
        </w:drawing>
      </w:r>
    </w:p>
    <w:sectPr w:rsidR="00EA5927"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DE3" w:rsidRDefault="00B05DE3">
      <w:r>
        <w:separator/>
      </w:r>
    </w:p>
  </w:endnote>
  <w:endnote w:type="continuationSeparator" w:id="0">
    <w:p w:rsidR="00B05DE3" w:rsidRDefault="00B0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r>
    <w:r w:rsidR="009C4E40">
      <w:t>-</w:t>
    </w:r>
    <w:r>
      <w:t xml:space="preserve"> </w:t>
    </w:r>
    <w:r>
      <w:rPr>
        <w:rStyle w:val="PageNumber"/>
      </w:rPr>
      <w:fldChar w:fldCharType="begin"/>
    </w:r>
    <w:r>
      <w:rPr>
        <w:rStyle w:val="PageNumber"/>
      </w:rPr>
      <w:instrText xml:space="preserve"> PAGE </w:instrText>
    </w:r>
    <w:r>
      <w:rPr>
        <w:rStyle w:val="PageNumber"/>
      </w:rPr>
      <w:fldChar w:fldCharType="separate"/>
    </w:r>
    <w:r w:rsidR="000E0A74">
      <w:rPr>
        <w:rStyle w:val="PageNumber"/>
        <w:noProof/>
      </w:rPr>
      <w:t>11</w:t>
    </w:r>
    <w:r>
      <w:rPr>
        <w:rStyle w:val="PageNumber"/>
      </w:rPr>
      <w:fldChar w:fldCharType="end"/>
    </w:r>
    <w:r>
      <w:rPr>
        <w:rStyle w:val="PageNumber"/>
      </w:rPr>
      <w:t xml:space="preserve"> </w:t>
    </w:r>
    <w:r w:rsidR="009C4E40">
      <w:rPr>
        <w:rStyle w:val="PageNumb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DE3" w:rsidRDefault="00B05DE3">
      <w:r>
        <w:separator/>
      </w:r>
    </w:p>
  </w:footnote>
  <w:footnote w:type="continuationSeparator" w:id="0">
    <w:p w:rsidR="00B05DE3" w:rsidRDefault="00B05DE3">
      <w:r>
        <w:continuationSeparator/>
      </w:r>
    </w:p>
  </w:footnote>
  <w:footnote w:id="1">
    <w:p w:rsidR="00B84AAE" w:rsidRDefault="00B84AAE">
      <w:pPr>
        <w:pStyle w:val="FootnoteText"/>
      </w:pPr>
      <w:r>
        <w:rPr>
          <w:rStyle w:val="FootnoteReference"/>
        </w:rPr>
        <w:footnoteRef/>
      </w:r>
      <w:r>
        <w:t xml:space="preserve"> Docket No. 150106-EQ-Petition for approval of amended standard offer contract (Schedule </w:t>
      </w:r>
      <w:r w:rsidR="00BE5BE8">
        <w:t>COG-2</w:t>
      </w:r>
      <w:r w:rsidR="00E117AF">
        <w:t>) and amended interconnection agreement by Duke Energy Florida, Inc.</w:t>
      </w:r>
    </w:p>
  </w:footnote>
  <w:footnote w:id="2">
    <w:p w:rsidR="004A42CC" w:rsidRDefault="004A42CC">
      <w:pPr>
        <w:pStyle w:val="FootnoteText"/>
      </w:pPr>
      <w:r>
        <w:rPr>
          <w:rStyle w:val="FootnoteReference"/>
        </w:rPr>
        <w:footnoteRef/>
      </w:r>
      <w:r>
        <w:t xml:space="preserve"> 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3F5B27" w:rsidP="00220732">
    <w:pPr>
      <w:pStyle w:val="Header"/>
      <w:tabs>
        <w:tab w:val="clear" w:pos="4320"/>
        <w:tab w:val="clear" w:pos="8640"/>
        <w:tab w:val="right" w:pos="9360"/>
      </w:tabs>
    </w:pPr>
    <w:bookmarkStart w:id="13" w:name="DocketLabel"/>
    <w:r>
      <w:t>Docket No.</w:t>
    </w:r>
    <w:bookmarkEnd w:id="13"/>
    <w:r w:rsidR="00BB3493">
      <w:t xml:space="preserve"> </w:t>
    </w:r>
    <w:bookmarkStart w:id="14" w:name="DocketList"/>
    <w:r>
      <w:t>150110-EI</w:t>
    </w:r>
    <w:bookmarkEnd w:id="14"/>
  </w:p>
  <w:p w:rsidR="00BB3493" w:rsidRDefault="00BB3493">
    <w:pPr>
      <w:pStyle w:val="Header"/>
    </w:pPr>
    <w:r>
      <w:t xml:space="preserve">Date: </w:t>
    </w:r>
    <w:fldSimple w:instr=" REF FilingDate ">
      <w:r w:rsidR="00550916">
        <w:t>July 9, 2015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EA5927">
    <w:pPr>
      <w:pStyle w:val="Header"/>
      <w:tabs>
        <w:tab w:val="clear" w:pos="4320"/>
        <w:tab w:val="clear" w:pos="8640"/>
        <w:tab w:val="left" w:pos="8115"/>
        <w:tab w:val="right" w:pos="9360"/>
      </w:tabs>
    </w:pPr>
    <w:r>
      <w:fldChar w:fldCharType="begin"/>
    </w:r>
    <w:r>
      <w:instrText xml:space="preserve"> REF DocketLabel</w:instrText>
    </w:r>
    <w:r>
      <w:fldChar w:fldCharType="separate"/>
    </w:r>
    <w:r w:rsidR="00550916">
      <w:t>Docket No.</w:t>
    </w:r>
    <w:r>
      <w:fldChar w:fldCharType="end"/>
    </w:r>
    <w:r>
      <w:t xml:space="preserve"> </w:t>
    </w:r>
    <w:r>
      <w:fldChar w:fldCharType="begin"/>
    </w:r>
    <w:r>
      <w:instrText xml:space="preserve"> REF DocketList</w:instrText>
    </w:r>
    <w:r>
      <w:fldChar w:fldCharType="separate"/>
    </w:r>
    <w:r w:rsidR="00550916">
      <w:t>150110-EI</w:t>
    </w:r>
    <w:r>
      <w:fldChar w:fldCharType="end"/>
    </w:r>
    <w:r>
      <w:tab/>
    </w:r>
    <w:r w:rsidR="00EA5927">
      <w:tab/>
    </w:r>
    <w:r>
      <w:t xml:space="preserve">Issue </w:t>
    </w:r>
    <w:fldSimple w:instr=" Seq Issue \c \* Arabic ">
      <w:r w:rsidR="000E0A74">
        <w:rPr>
          <w:noProof/>
        </w:rPr>
        <w:t>2</w:t>
      </w:r>
    </w:fldSimple>
  </w:p>
  <w:p w:rsidR="00BB3493" w:rsidRDefault="00BB3493">
    <w:pPr>
      <w:pStyle w:val="Header"/>
    </w:pPr>
    <w:r>
      <w:t xml:space="preserve">Date: </w:t>
    </w:r>
    <w:fldSimple w:instr=" REF FilingDate ">
      <w:r w:rsidR="00550916">
        <w:t>July 9,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3D8" w:rsidRDefault="00D703D8" w:rsidP="00EA5927">
    <w:pPr>
      <w:pStyle w:val="Header"/>
      <w:tabs>
        <w:tab w:val="clear" w:pos="4320"/>
        <w:tab w:val="clear" w:pos="8640"/>
        <w:tab w:val="left" w:pos="8115"/>
        <w:tab w:val="right" w:pos="9360"/>
      </w:tabs>
    </w:pPr>
    <w:r>
      <w:fldChar w:fldCharType="begin"/>
    </w:r>
    <w:r>
      <w:instrText xml:space="preserve"> REF DocketLabel</w:instrText>
    </w:r>
    <w:r>
      <w:fldChar w:fldCharType="separate"/>
    </w:r>
    <w:r w:rsidR="00550916">
      <w:t>Docket No.</w:t>
    </w:r>
    <w:r>
      <w:fldChar w:fldCharType="end"/>
    </w:r>
    <w:r>
      <w:t xml:space="preserve"> </w:t>
    </w:r>
    <w:r>
      <w:fldChar w:fldCharType="begin"/>
    </w:r>
    <w:r>
      <w:instrText xml:space="preserve"> REF DocketList</w:instrText>
    </w:r>
    <w:r>
      <w:fldChar w:fldCharType="separate"/>
    </w:r>
    <w:r w:rsidR="00550916">
      <w:t>150110-EI</w:t>
    </w:r>
    <w:r>
      <w:fldChar w:fldCharType="end"/>
    </w:r>
    <w:r>
      <w:tab/>
    </w:r>
    <w:r>
      <w:tab/>
      <w:t>ATTACHMENT A</w:t>
    </w:r>
  </w:p>
  <w:p w:rsidR="00D703D8" w:rsidRDefault="00D703D8" w:rsidP="009C4E40">
    <w:pPr>
      <w:pStyle w:val="Header"/>
      <w:tabs>
        <w:tab w:val="clear" w:pos="8640"/>
        <w:tab w:val="right" w:pos="9990"/>
      </w:tabs>
    </w:pPr>
    <w:r>
      <w:t xml:space="preserve">Date: </w:t>
    </w:r>
    <w:fldSimple w:instr=" REF FilingDate ">
      <w:r w:rsidR="00550916">
        <w:t>July 9, 2015</w:t>
      </w:r>
    </w:fldSimple>
    <w:r w:rsidR="009C4E40">
      <w:tab/>
    </w:r>
    <w:r w:rsidR="009C4E40">
      <w:tab/>
      <w:t xml:space="preserve">Page </w:t>
    </w:r>
    <w:r w:rsidR="009C4E40">
      <w:fldChar w:fldCharType="begin"/>
    </w:r>
    <w:r w:rsidR="009C4E40">
      <w:instrText xml:space="preserve">= </w:instrText>
    </w:r>
    <w:r w:rsidR="009C4E40">
      <w:fldChar w:fldCharType="begin"/>
    </w:r>
    <w:r w:rsidR="009C4E40">
      <w:instrText xml:space="preserve"> page </w:instrText>
    </w:r>
    <w:r w:rsidR="009C4E40">
      <w:fldChar w:fldCharType="separate"/>
    </w:r>
    <w:r w:rsidR="000E0A74">
      <w:rPr>
        <w:noProof/>
      </w:rPr>
      <w:instrText>6</w:instrText>
    </w:r>
    <w:r w:rsidR="009C4E40">
      <w:fldChar w:fldCharType="end"/>
    </w:r>
    <w:r w:rsidR="009C4E40">
      <w:instrText xml:space="preserve">-3 </w:instrText>
    </w:r>
    <w:r w:rsidR="009C4E40">
      <w:fldChar w:fldCharType="separate"/>
    </w:r>
    <w:r w:rsidR="000E0A74">
      <w:rPr>
        <w:noProof/>
      </w:rPr>
      <w:t>3</w:t>
    </w:r>
    <w:r w:rsidR="009C4E40">
      <w:fldChar w:fldCharType="end"/>
    </w:r>
    <w:r w:rsidR="009C4E40">
      <w:t xml:space="preserve"> of 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E40" w:rsidRDefault="009C4E40" w:rsidP="009C4E40">
    <w:pPr>
      <w:pStyle w:val="Header"/>
      <w:tabs>
        <w:tab w:val="clear" w:pos="4320"/>
        <w:tab w:val="clear" w:pos="8640"/>
        <w:tab w:val="left" w:pos="8115"/>
        <w:tab w:val="right" w:pos="9360"/>
      </w:tabs>
    </w:pPr>
    <w:r>
      <w:fldChar w:fldCharType="begin"/>
    </w:r>
    <w:r>
      <w:instrText xml:space="preserve"> REF DocketLabel</w:instrText>
    </w:r>
    <w:r>
      <w:fldChar w:fldCharType="separate"/>
    </w:r>
    <w:r w:rsidR="00550916">
      <w:t>Docket No.</w:t>
    </w:r>
    <w:r>
      <w:fldChar w:fldCharType="end"/>
    </w:r>
    <w:r>
      <w:t xml:space="preserve"> </w:t>
    </w:r>
    <w:r>
      <w:fldChar w:fldCharType="begin"/>
    </w:r>
    <w:r>
      <w:instrText xml:space="preserve"> REF DocketList</w:instrText>
    </w:r>
    <w:r>
      <w:fldChar w:fldCharType="separate"/>
    </w:r>
    <w:r w:rsidR="00550916">
      <w:t>150110-EI</w:t>
    </w:r>
    <w:r>
      <w:fldChar w:fldCharType="end"/>
    </w:r>
    <w:r>
      <w:tab/>
    </w:r>
    <w:r>
      <w:tab/>
      <w:t>ATTACHMENT A</w:t>
    </w:r>
  </w:p>
  <w:p w:rsidR="009C4E40" w:rsidRDefault="009C4E40" w:rsidP="009C4E40">
    <w:pPr>
      <w:pStyle w:val="Header"/>
      <w:tabs>
        <w:tab w:val="clear" w:pos="8640"/>
        <w:tab w:val="right" w:pos="9990"/>
      </w:tabs>
    </w:pPr>
    <w:r>
      <w:t xml:space="preserve">Date: </w:t>
    </w:r>
    <w:fldSimple w:instr=" REF FilingDate ">
      <w:r w:rsidR="00550916">
        <w:t>July 9, 2015</w:t>
      </w:r>
    </w:fldSimple>
    <w:r>
      <w:tab/>
    </w:r>
    <w:r>
      <w:tab/>
      <w:t xml:space="preserve">Page </w:t>
    </w:r>
    <w:r>
      <w:fldChar w:fldCharType="begin"/>
    </w:r>
    <w:r>
      <w:instrText xml:space="preserve">= </w:instrText>
    </w:r>
    <w:r>
      <w:fldChar w:fldCharType="begin"/>
    </w:r>
    <w:r>
      <w:instrText xml:space="preserve"> page </w:instrText>
    </w:r>
    <w:r>
      <w:fldChar w:fldCharType="separate"/>
    </w:r>
    <w:r w:rsidR="000E0A74">
      <w:rPr>
        <w:noProof/>
      </w:rPr>
      <w:instrText>11</w:instrText>
    </w:r>
    <w:r>
      <w:fldChar w:fldCharType="end"/>
    </w:r>
    <w:r>
      <w:instrText xml:space="preserve">-3 </w:instrText>
    </w:r>
    <w:r>
      <w:fldChar w:fldCharType="separate"/>
    </w:r>
    <w:r w:rsidR="000E0A74">
      <w:rPr>
        <w:noProof/>
      </w:rPr>
      <w:t>8</w:t>
    </w:r>
    <w:r>
      <w:fldChar w:fldCharType="end"/>
    </w:r>
    <w:r>
      <w:t xml:space="preserve"> of 8</w:t>
    </w:r>
  </w:p>
  <w:p w:rsidR="00224311" w:rsidRPr="00D703D8" w:rsidRDefault="00224311" w:rsidP="00D70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63B6072F"/>
    <w:multiLevelType w:val="hybridMultilevel"/>
    <w:tmpl w:val="FF38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627DBAA-9420-4A0D-97C2-CE72CB861D17}"/>
    <w:docVar w:name="dgnword-eventsink" w:val="255883440"/>
    <w:docVar w:name="NumberOfIssues" w:val="0"/>
    <w:docVar w:name="StaffInToC" w:val="True"/>
  </w:docVars>
  <w:rsids>
    <w:rsidRoot w:val="003F5B27"/>
    <w:rsid w:val="000002CF"/>
    <w:rsid w:val="00010E37"/>
    <w:rsid w:val="000277C2"/>
    <w:rsid w:val="00035B48"/>
    <w:rsid w:val="00036CE2"/>
    <w:rsid w:val="000437FE"/>
    <w:rsid w:val="00065A06"/>
    <w:rsid w:val="000666F3"/>
    <w:rsid w:val="00070DCB"/>
    <w:rsid w:val="00073120"/>
    <w:rsid w:val="00073C4F"/>
    <w:rsid w:val="00077584"/>
    <w:rsid w:val="000828D3"/>
    <w:rsid w:val="000A2B57"/>
    <w:rsid w:val="000A418B"/>
    <w:rsid w:val="000C4431"/>
    <w:rsid w:val="000C5D5D"/>
    <w:rsid w:val="000D4319"/>
    <w:rsid w:val="000E0A74"/>
    <w:rsid w:val="000F09BD"/>
    <w:rsid w:val="001064D6"/>
    <w:rsid w:val="00117C8C"/>
    <w:rsid w:val="00124E2E"/>
    <w:rsid w:val="00125ED4"/>
    <w:rsid w:val="001305E9"/>
    <w:rsid w:val="001307AF"/>
    <w:rsid w:val="00130FC3"/>
    <w:rsid w:val="00135687"/>
    <w:rsid w:val="00150359"/>
    <w:rsid w:val="00180254"/>
    <w:rsid w:val="00191E1F"/>
    <w:rsid w:val="00192943"/>
    <w:rsid w:val="001B4FEE"/>
    <w:rsid w:val="001B51C5"/>
    <w:rsid w:val="001B6F3F"/>
    <w:rsid w:val="001C52B5"/>
    <w:rsid w:val="001D0D3E"/>
    <w:rsid w:val="002044E6"/>
    <w:rsid w:val="00205C82"/>
    <w:rsid w:val="00205DC2"/>
    <w:rsid w:val="002163B6"/>
    <w:rsid w:val="00216D15"/>
    <w:rsid w:val="002175C6"/>
    <w:rsid w:val="00217DEC"/>
    <w:rsid w:val="00220732"/>
    <w:rsid w:val="00224311"/>
    <w:rsid w:val="00225C3F"/>
    <w:rsid w:val="00231D38"/>
    <w:rsid w:val="002467D8"/>
    <w:rsid w:val="00251528"/>
    <w:rsid w:val="00280D49"/>
    <w:rsid w:val="00292D82"/>
    <w:rsid w:val="002963CB"/>
    <w:rsid w:val="002A0844"/>
    <w:rsid w:val="002A1A5F"/>
    <w:rsid w:val="002C65EE"/>
    <w:rsid w:val="002D226D"/>
    <w:rsid w:val="002F72D4"/>
    <w:rsid w:val="003037E1"/>
    <w:rsid w:val="003103EC"/>
    <w:rsid w:val="003144EF"/>
    <w:rsid w:val="00322F74"/>
    <w:rsid w:val="00340073"/>
    <w:rsid w:val="00372805"/>
    <w:rsid w:val="00373180"/>
    <w:rsid w:val="003821A0"/>
    <w:rsid w:val="00382956"/>
    <w:rsid w:val="00385B04"/>
    <w:rsid w:val="003A5494"/>
    <w:rsid w:val="003B2510"/>
    <w:rsid w:val="003B6738"/>
    <w:rsid w:val="003B769E"/>
    <w:rsid w:val="003C2CC4"/>
    <w:rsid w:val="003E0EFC"/>
    <w:rsid w:val="003E384B"/>
    <w:rsid w:val="003E4A2B"/>
    <w:rsid w:val="003E76C2"/>
    <w:rsid w:val="003F1679"/>
    <w:rsid w:val="003F4A35"/>
    <w:rsid w:val="003F5B27"/>
    <w:rsid w:val="003F5F65"/>
    <w:rsid w:val="003F7FDD"/>
    <w:rsid w:val="004042B4"/>
    <w:rsid w:val="00412DAE"/>
    <w:rsid w:val="004229CD"/>
    <w:rsid w:val="00431598"/>
    <w:rsid w:val="00444432"/>
    <w:rsid w:val="004709A0"/>
    <w:rsid w:val="00474599"/>
    <w:rsid w:val="004A42CC"/>
    <w:rsid w:val="004A75C1"/>
    <w:rsid w:val="004B4F99"/>
    <w:rsid w:val="004C3150"/>
    <w:rsid w:val="004C4390"/>
    <w:rsid w:val="004C4AF7"/>
    <w:rsid w:val="004D2881"/>
    <w:rsid w:val="004D385F"/>
    <w:rsid w:val="004D5B39"/>
    <w:rsid w:val="004E5147"/>
    <w:rsid w:val="004F2CF1"/>
    <w:rsid w:val="00506C03"/>
    <w:rsid w:val="0052572A"/>
    <w:rsid w:val="005339DA"/>
    <w:rsid w:val="0054729A"/>
    <w:rsid w:val="005501A4"/>
    <w:rsid w:val="00550916"/>
    <w:rsid w:val="005614BD"/>
    <w:rsid w:val="0057154F"/>
    <w:rsid w:val="0057221D"/>
    <w:rsid w:val="00581CA3"/>
    <w:rsid w:val="00590EBF"/>
    <w:rsid w:val="00597730"/>
    <w:rsid w:val="00597DE7"/>
    <w:rsid w:val="005A4AA2"/>
    <w:rsid w:val="005B34B6"/>
    <w:rsid w:val="005B6C8F"/>
    <w:rsid w:val="005C460C"/>
    <w:rsid w:val="005D2E7D"/>
    <w:rsid w:val="005D4A8F"/>
    <w:rsid w:val="005D561B"/>
    <w:rsid w:val="005F468D"/>
    <w:rsid w:val="006135B3"/>
    <w:rsid w:val="00615423"/>
    <w:rsid w:val="006165B2"/>
    <w:rsid w:val="00623C83"/>
    <w:rsid w:val="00625D97"/>
    <w:rsid w:val="00625F1C"/>
    <w:rsid w:val="00630CEB"/>
    <w:rsid w:val="00632264"/>
    <w:rsid w:val="006470BC"/>
    <w:rsid w:val="00667036"/>
    <w:rsid w:val="006771B8"/>
    <w:rsid w:val="00680946"/>
    <w:rsid w:val="0068481F"/>
    <w:rsid w:val="00690694"/>
    <w:rsid w:val="00696F5D"/>
    <w:rsid w:val="00697249"/>
    <w:rsid w:val="006B4293"/>
    <w:rsid w:val="006C0512"/>
    <w:rsid w:val="006C2A7F"/>
    <w:rsid w:val="006C31E3"/>
    <w:rsid w:val="006E1613"/>
    <w:rsid w:val="006F517D"/>
    <w:rsid w:val="00705B04"/>
    <w:rsid w:val="0071379D"/>
    <w:rsid w:val="00724746"/>
    <w:rsid w:val="007349DC"/>
    <w:rsid w:val="0074365E"/>
    <w:rsid w:val="007515FD"/>
    <w:rsid w:val="00760D80"/>
    <w:rsid w:val="00780C09"/>
    <w:rsid w:val="00780DDF"/>
    <w:rsid w:val="00787DBC"/>
    <w:rsid w:val="007A04A1"/>
    <w:rsid w:val="007A1840"/>
    <w:rsid w:val="007A4DD0"/>
    <w:rsid w:val="007C0528"/>
    <w:rsid w:val="007C3D38"/>
    <w:rsid w:val="007D4FEB"/>
    <w:rsid w:val="007D6146"/>
    <w:rsid w:val="007E0CE7"/>
    <w:rsid w:val="007F417F"/>
    <w:rsid w:val="00800C91"/>
    <w:rsid w:val="00807BE5"/>
    <w:rsid w:val="00816624"/>
    <w:rsid w:val="00822562"/>
    <w:rsid w:val="00823663"/>
    <w:rsid w:val="00832DDC"/>
    <w:rsid w:val="00850BAC"/>
    <w:rsid w:val="00854A3E"/>
    <w:rsid w:val="00855D08"/>
    <w:rsid w:val="00861488"/>
    <w:rsid w:val="00866EF8"/>
    <w:rsid w:val="00874344"/>
    <w:rsid w:val="00882155"/>
    <w:rsid w:val="0088233B"/>
    <w:rsid w:val="00885995"/>
    <w:rsid w:val="00886C37"/>
    <w:rsid w:val="00893BC7"/>
    <w:rsid w:val="008B62AE"/>
    <w:rsid w:val="008C04B5"/>
    <w:rsid w:val="008C14FA"/>
    <w:rsid w:val="008D4268"/>
    <w:rsid w:val="008E4BFA"/>
    <w:rsid w:val="008F2262"/>
    <w:rsid w:val="008F7736"/>
    <w:rsid w:val="0090019E"/>
    <w:rsid w:val="00901086"/>
    <w:rsid w:val="00901113"/>
    <w:rsid w:val="00901C8A"/>
    <w:rsid w:val="00905886"/>
    <w:rsid w:val="009070D6"/>
    <w:rsid w:val="009076C6"/>
    <w:rsid w:val="009106F1"/>
    <w:rsid w:val="009145D6"/>
    <w:rsid w:val="00920632"/>
    <w:rsid w:val="00922002"/>
    <w:rsid w:val="00924020"/>
    <w:rsid w:val="009271A7"/>
    <w:rsid w:val="00927E76"/>
    <w:rsid w:val="00933E7C"/>
    <w:rsid w:val="0093658B"/>
    <w:rsid w:val="009422A9"/>
    <w:rsid w:val="009429FF"/>
    <w:rsid w:val="0094429D"/>
    <w:rsid w:val="00945BD6"/>
    <w:rsid w:val="009479FB"/>
    <w:rsid w:val="00951C45"/>
    <w:rsid w:val="00966A08"/>
    <w:rsid w:val="00971207"/>
    <w:rsid w:val="00974D9F"/>
    <w:rsid w:val="00975CB4"/>
    <w:rsid w:val="009863B0"/>
    <w:rsid w:val="00987A86"/>
    <w:rsid w:val="00987DE1"/>
    <w:rsid w:val="00990571"/>
    <w:rsid w:val="009941A0"/>
    <w:rsid w:val="0099673A"/>
    <w:rsid w:val="009A3330"/>
    <w:rsid w:val="009A790D"/>
    <w:rsid w:val="009A7C96"/>
    <w:rsid w:val="009C3DB9"/>
    <w:rsid w:val="009C4E40"/>
    <w:rsid w:val="009D46E5"/>
    <w:rsid w:val="009D568A"/>
    <w:rsid w:val="009F04EC"/>
    <w:rsid w:val="00A019B9"/>
    <w:rsid w:val="00A12508"/>
    <w:rsid w:val="00A175B6"/>
    <w:rsid w:val="00A21835"/>
    <w:rsid w:val="00A25D73"/>
    <w:rsid w:val="00A328EC"/>
    <w:rsid w:val="00A33A51"/>
    <w:rsid w:val="00A41CA6"/>
    <w:rsid w:val="00A43E0C"/>
    <w:rsid w:val="00A47927"/>
    <w:rsid w:val="00A47FFC"/>
    <w:rsid w:val="00A52ADA"/>
    <w:rsid w:val="00A54FF9"/>
    <w:rsid w:val="00A56765"/>
    <w:rsid w:val="00A61559"/>
    <w:rsid w:val="00A92FB1"/>
    <w:rsid w:val="00A95A0C"/>
    <w:rsid w:val="00AA2765"/>
    <w:rsid w:val="00AA77B5"/>
    <w:rsid w:val="00AB6C5D"/>
    <w:rsid w:val="00AC51A7"/>
    <w:rsid w:val="00AD411B"/>
    <w:rsid w:val="00AF5F89"/>
    <w:rsid w:val="00AF73CB"/>
    <w:rsid w:val="00B002D6"/>
    <w:rsid w:val="00B05B51"/>
    <w:rsid w:val="00B05DE3"/>
    <w:rsid w:val="00B15370"/>
    <w:rsid w:val="00B17BEB"/>
    <w:rsid w:val="00B21A3C"/>
    <w:rsid w:val="00B223C0"/>
    <w:rsid w:val="00B234ED"/>
    <w:rsid w:val="00B25CA3"/>
    <w:rsid w:val="00B35B07"/>
    <w:rsid w:val="00B4196C"/>
    <w:rsid w:val="00B66E29"/>
    <w:rsid w:val="00B760F1"/>
    <w:rsid w:val="00B7669E"/>
    <w:rsid w:val="00B76C62"/>
    <w:rsid w:val="00B7722A"/>
    <w:rsid w:val="00B84AAE"/>
    <w:rsid w:val="00BA0D55"/>
    <w:rsid w:val="00BA37B3"/>
    <w:rsid w:val="00BA4CC6"/>
    <w:rsid w:val="00BB3493"/>
    <w:rsid w:val="00BC188A"/>
    <w:rsid w:val="00BC5722"/>
    <w:rsid w:val="00BC7720"/>
    <w:rsid w:val="00BD40B1"/>
    <w:rsid w:val="00BD55C6"/>
    <w:rsid w:val="00BE5BE8"/>
    <w:rsid w:val="00BF5010"/>
    <w:rsid w:val="00C203D1"/>
    <w:rsid w:val="00C31BB3"/>
    <w:rsid w:val="00C33573"/>
    <w:rsid w:val="00C33B5C"/>
    <w:rsid w:val="00C36977"/>
    <w:rsid w:val="00C47671"/>
    <w:rsid w:val="00C60BA3"/>
    <w:rsid w:val="00C623F7"/>
    <w:rsid w:val="00C8053C"/>
    <w:rsid w:val="00C81773"/>
    <w:rsid w:val="00C86896"/>
    <w:rsid w:val="00C907A8"/>
    <w:rsid w:val="00C93211"/>
    <w:rsid w:val="00C942EC"/>
    <w:rsid w:val="00C96047"/>
    <w:rsid w:val="00C979D0"/>
    <w:rsid w:val="00CA0818"/>
    <w:rsid w:val="00CA20E6"/>
    <w:rsid w:val="00CA2C8F"/>
    <w:rsid w:val="00CA30DA"/>
    <w:rsid w:val="00CA3A24"/>
    <w:rsid w:val="00CB1777"/>
    <w:rsid w:val="00CB33E9"/>
    <w:rsid w:val="00CC10A9"/>
    <w:rsid w:val="00CE2BF8"/>
    <w:rsid w:val="00CF0DA8"/>
    <w:rsid w:val="00CF2E25"/>
    <w:rsid w:val="00CF4453"/>
    <w:rsid w:val="00D034D7"/>
    <w:rsid w:val="00D04BE4"/>
    <w:rsid w:val="00D14127"/>
    <w:rsid w:val="00D16D69"/>
    <w:rsid w:val="00D60F02"/>
    <w:rsid w:val="00D66E49"/>
    <w:rsid w:val="00D703D8"/>
    <w:rsid w:val="00D72F74"/>
    <w:rsid w:val="00D81563"/>
    <w:rsid w:val="00D82721"/>
    <w:rsid w:val="00D9073E"/>
    <w:rsid w:val="00D9221D"/>
    <w:rsid w:val="00D958DF"/>
    <w:rsid w:val="00D96DA1"/>
    <w:rsid w:val="00DA51E7"/>
    <w:rsid w:val="00DA56CC"/>
    <w:rsid w:val="00DB02A7"/>
    <w:rsid w:val="00DB1C78"/>
    <w:rsid w:val="00DB5EAD"/>
    <w:rsid w:val="00DB6C5E"/>
    <w:rsid w:val="00DB7D96"/>
    <w:rsid w:val="00DC23FE"/>
    <w:rsid w:val="00DC59E6"/>
    <w:rsid w:val="00DD150B"/>
    <w:rsid w:val="00DE0019"/>
    <w:rsid w:val="00DE744B"/>
    <w:rsid w:val="00DF36E2"/>
    <w:rsid w:val="00E06484"/>
    <w:rsid w:val="00E117AF"/>
    <w:rsid w:val="00E141A7"/>
    <w:rsid w:val="00E14AAB"/>
    <w:rsid w:val="00E20A7D"/>
    <w:rsid w:val="00E26E4D"/>
    <w:rsid w:val="00E32B16"/>
    <w:rsid w:val="00E375CA"/>
    <w:rsid w:val="00E46708"/>
    <w:rsid w:val="00E567E8"/>
    <w:rsid w:val="00E65EBC"/>
    <w:rsid w:val="00E73432"/>
    <w:rsid w:val="00E77B0C"/>
    <w:rsid w:val="00E77FB8"/>
    <w:rsid w:val="00E838B0"/>
    <w:rsid w:val="00E86A7C"/>
    <w:rsid w:val="00E878E1"/>
    <w:rsid w:val="00E95278"/>
    <w:rsid w:val="00EA089F"/>
    <w:rsid w:val="00EA2273"/>
    <w:rsid w:val="00EA33BD"/>
    <w:rsid w:val="00EA5927"/>
    <w:rsid w:val="00EB0BF9"/>
    <w:rsid w:val="00EB2DB3"/>
    <w:rsid w:val="00EB57B4"/>
    <w:rsid w:val="00EC3FBB"/>
    <w:rsid w:val="00EC6B7A"/>
    <w:rsid w:val="00ED3A87"/>
    <w:rsid w:val="00ED5B67"/>
    <w:rsid w:val="00EE3C9D"/>
    <w:rsid w:val="00EF1547"/>
    <w:rsid w:val="00EF3FEE"/>
    <w:rsid w:val="00F03198"/>
    <w:rsid w:val="00F04B59"/>
    <w:rsid w:val="00F12B1C"/>
    <w:rsid w:val="00F13CF8"/>
    <w:rsid w:val="00F15855"/>
    <w:rsid w:val="00F32978"/>
    <w:rsid w:val="00F45CB2"/>
    <w:rsid w:val="00F544C0"/>
    <w:rsid w:val="00F55332"/>
    <w:rsid w:val="00F65519"/>
    <w:rsid w:val="00F713C0"/>
    <w:rsid w:val="00F75DDC"/>
    <w:rsid w:val="00F82E00"/>
    <w:rsid w:val="00F93C8B"/>
    <w:rsid w:val="00FA32DE"/>
    <w:rsid w:val="00FA3382"/>
    <w:rsid w:val="00FA59CD"/>
    <w:rsid w:val="00FB1740"/>
    <w:rsid w:val="00FC6D7D"/>
    <w:rsid w:val="00FD16B0"/>
    <w:rsid w:val="00FD4FED"/>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rsid w:val="004C3150"/>
    <w:pPr>
      <w:keepNext w:val="0"/>
    </w:pPr>
    <w:rPr>
      <w:rFonts w:ascii="Arial" w:hAnsi="Arial"/>
    </w:rPr>
  </w:style>
  <w:style w:type="character" w:customStyle="1" w:styleId="IssueHeadingChar">
    <w:name w:val="Issue Heading Char"/>
    <w:link w:val="IssueHeading"/>
    <w:rsid w:val="004C3150"/>
    <w:rPr>
      <w:rFonts w:ascii="Arial" w:hAnsi="Arial" w:cs="Arial"/>
      <w:bCs/>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rsid w:val="004C3150"/>
    <w:pPr>
      <w:keepNext w:val="0"/>
    </w:pPr>
    <w:rPr>
      <w:rFonts w:ascii="Arial" w:hAnsi="Arial"/>
    </w:rPr>
  </w:style>
  <w:style w:type="character" w:customStyle="1" w:styleId="IssueSubsectionHeadingChar">
    <w:name w:val="Issue Subsection Heading Char"/>
    <w:link w:val="IssueSubsectionHeading"/>
    <w:rsid w:val="004C3150"/>
    <w:rPr>
      <w:rFonts w:ascii="Arial" w:hAnsi="Arial" w:cs="Arial"/>
      <w:bCs/>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9070D6"/>
    <w:pPr>
      <w:spacing w:after="0"/>
      <w:outlineLvl w:val="2"/>
    </w:pPr>
    <w:rPr>
      <w:b/>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character" w:styleId="FootnoteReference">
    <w:name w:val="footnote reference"/>
    <w:basedOn w:val="DefaultParagraphFont"/>
    <w:rsid w:val="00B84A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rsid w:val="004C3150"/>
    <w:pPr>
      <w:keepNext w:val="0"/>
    </w:pPr>
    <w:rPr>
      <w:rFonts w:ascii="Arial" w:hAnsi="Arial"/>
    </w:rPr>
  </w:style>
  <w:style w:type="character" w:customStyle="1" w:styleId="IssueHeadingChar">
    <w:name w:val="Issue Heading Char"/>
    <w:link w:val="IssueHeading"/>
    <w:rsid w:val="004C3150"/>
    <w:rPr>
      <w:rFonts w:ascii="Arial" w:hAnsi="Arial" w:cs="Arial"/>
      <w:bCs/>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rsid w:val="004C3150"/>
    <w:pPr>
      <w:keepNext w:val="0"/>
    </w:pPr>
    <w:rPr>
      <w:rFonts w:ascii="Arial" w:hAnsi="Arial"/>
    </w:rPr>
  </w:style>
  <w:style w:type="character" w:customStyle="1" w:styleId="IssueSubsectionHeadingChar">
    <w:name w:val="Issue Subsection Heading Char"/>
    <w:link w:val="IssueSubsectionHeading"/>
    <w:rsid w:val="004C3150"/>
    <w:rPr>
      <w:rFonts w:ascii="Arial" w:hAnsi="Arial" w:cs="Arial"/>
      <w:bCs/>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9070D6"/>
    <w:pPr>
      <w:spacing w:after="0"/>
      <w:outlineLvl w:val="2"/>
    </w:pPr>
    <w:rPr>
      <w:b/>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character" w:styleId="FootnoteReference">
    <w:name w:val="footnote reference"/>
    <w:basedOn w:val="DefaultParagraphFont"/>
    <w:rsid w:val="00B84A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E5322-9C9F-41B6-99B3-0AB4BF6B1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11</Pages>
  <Words>656</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 Lee</dc:creator>
  <cp:lastModifiedBy>Terri Jones</cp:lastModifiedBy>
  <cp:revision>2</cp:revision>
  <cp:lastPrinted>2015-07-08T15:01:00Z</cp:lastPrinted>
  <dcterms:created xsi:type="dcterms:W3CDTF">2015-07-09T12:22:00Z</dcterms:created>
  <dcterms:modified xsi:type="dcterms:W3CDTF">2015-07-09T12:22:00Z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150110-EI</vt:lpwstr>
  </property>
  <property fmtid="{D5CDD505-2E9C-101B-9397-08002B2CF9AE}" pid="3" name="MasterDocument">
    <vt:bool>false</vt:bool>
  </property>
</Properties>
</file>