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86427">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F47CC">
            <w:pPr>
              <w:pStyle w:val="MemoHeading"/>
            </w:pPr>
            <w:bookmarkStart w:id="1" w:name="FilingDate"/>
            <w:r>
              <w:t>September 3</w:t>
            </w:r>
            <w:r w:rsidR="00386427">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6427" w:rsidRDefault="00386427">
            <w:pPr>
              <w:pStyle w:val="MemoHeading"/>
            </w:pPr>
            <w:bookmarkStart w:id="2" w:name="From"/>
            <w:r>
              <w:t>Division of Economics (Draper)</w:t>
            </w:r>
          </w:p>
          <w:p w:rsidR="007C0528" w:rsidRDefault="00386427">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6427">
            <w:pPr>
              <w:pStyle w:val="MemoHeadingRe"/>
            </w:pPr>
            <w:bookmarkStart w:id="3" w:name="Re"/>
            <w:r>
              <w:t>Docket No. 150178-EI – Petition for approval of tariff rate changes to implement approved step increase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6427" w:rsidP="000A766F">
            <w:pPr>
              <w:pStyle w:val="MemoHeading"/>
            </w:pPr>
            <w:bookmarkStart w:id="4" w:name="AgendaDate"/>
            <w:r>
              <w:t>0</w:t>
            </w:r>
            <w:r w:rsidR="008F47CC">
              <w:t>9</w:t>
            </w:r>
            <w:r>
              <w:t>/</w:t>
            </w:r>
            <w:r w:rsidR="008F47CC">
              <w:t>15</w:t>
            </w:r>
            <w:r>
              <w:t>/15</w:t>
            </w:r>
            <w:bookmarkEnd w:id="4"/>
            <w:r w:rsidR="007C0528">
              <w:t xml:space="preserve"> – </w:t>
            </w:r>
            <w:r w:rsidR="000A766F">
              <w:t>Regular</w:t>
            </w:r>
            <w:r w:rsidR="00FE5F9C">
              <w:t xml:space="preserve"> Agenda – Tariff Filing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642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6427">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95133">
            <w:pPr>
              <w:pStyle w:val="MemoHeading"/>
            </w:pPr>
            <w:r>
              <w:t>Pursuant to Order No. PSC-13-0443-FOF-EI tariff is effective first billing cycle in November 2015</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6427">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8F47CC">
      <w:pPr>
        <w:pStyle w:val="BodyText"/>
      </w:pPr>
      <w:r>
        <w:t xml:space="preserve">On August 3, 2015, Tampa Electric Company (Tampa Electric) filed a petition for approval of tariff rate changes to implement </w:t>
      </w:r>
      <w:r w:rsidR="00195133">
        <w:t xml:space="preserve">an </w:t>
      </w:r>
      <w:r>
        <w:t xml:space="preserve">approved step increase. The step increase was approved in Order No. </w:t>
      </w:r>
      <w:proofErr w:type="gramStart"/>
      <w:r>
        <w:t>PSC-13-0443-FOF-EI, in which the Commission approved a stipulation and settlement in Tampa Electric’s 2013 rate case (settlement order).</w:t>
      </w:r>
      <w:proofErr w:type="gramEnd"/>
      <w:r w:rsidR="00734E0C">
        <w:rPr>
          <w:rStyle w:val="FootnoteReference"/>
        </w:rPr>
        <w:footnoteReference w:id="1"/>
      </w:r>
      <w:r>
        <w:t xml:space="preserve"> The settlement order</w:t>
      </w:r>
      <w:r w:rsidRPr="008F47CC">
        <w:t xml:space="preserve"> </w:t>
      </w:r>
      <w:r>
        <w:t>provide</w:t>
      </w:r>
      <w:r w:rsidR="00195133">
        <w:t>s</w:t>
      </w:r>
      <w:r>
        <w:t xml:space="preserve"> a phased-in approach to the rate increase: </w:t>
      </w:r>
      <w:r w:rsidRPr="00BE4268">
        <w:t>an initial $57.5 million increase effective</w:t>
      </w:r>
      <w:r>
        <w:t xml:space="preserve"> </w:t>
      </w:r>
      <w:r w:rsidRPr="00BE4268">
        <w:t>November 2013, an additional $7.5 million</w:t>
      </w:r>
      <w:r>
        <w:t xml:space="preserve"> </w:t>
      </w:r>
      <w:r w:rsidRPr="00BE4268">
        <w:t>increase effective November 2014, and an</w:t>
      </w:r>
      <w:r>
        <w:t xml:space="preserve"> </w:t>
      </w:r>
      <w:r w:rsidRPr="00BE4268">
        <w:t>additional $5 million increase effective November 2015.</w:t>
      </w:r>
      <w:r>
        <w:t xml:space="preserve"> </w:t>
      </w:r>
    </w:p>
    <w:p w:rsidR="001A36F6" w:rsidRDefault="001A36F6">
      <w:pPr>
        <w:pStyle w:val="BodyText"/>
      </w:pPr>
      <w:r>
        <w:t>During the 2015 session, the Legislature enacted CS/HB 7109</w:t>
      </w:r>
      <w:r w:rsidR="00FE5F9C">
        <w:t>,</w:t>
      </w:r>
      <w:r>
        <w:t xml:space="preserve"> which provides that:</w:t>
      </w:r>
    </w:p>
    <w:p w:rsidR="001A36F6" w:rsidRDefault="001A36F6" w:rsidP="00BB4D18">
      <w:pPr>
        <w:pStyle w:val="BodyText"/>
        <w:ind w:left="360" w:right="360"/>
      </w:pPr>
      <w:r>
        <w:lastRenderedPageBreak/>
        <w:t>New tariffs and changes to an existing tariff,</w:t>
      </w:r>
      <w:r w:rsidR="00C07FE7">
        <w:t xml:space="preserve"> </w:t>
      </w:r>
      <w:r>
        <w:t>other than an administrative change that does not substantially change the meaning or operation of the tariff, must be approved by the majority vote of the commission, except as otherwise specifically provided by law.</w:t>
      </w:r>
    </w:p>
    <w:p w:rsidR="007C0528" w:rsidRDefault="00C07FE7" w:rsidP="0067527E">
      <w:pPr>
        <w:jc w:val="both"/>
      </w:pPr>
      <w:r>
        <w:t xml:space="preserve">This is staff’s recommendation on Tampa Electric’s proposed tariffs to implement the $5 million increase effective November 2015. The Commission has </w:t>
      </w:r>
      <w:r w:rsidR="007C4390">
        <w:t>jurisdiction</w:t>
      </w:r>
      <w:r>
        <w:t xml:space="preserve"> pursuant to Chapter 366, Florida Statutes</w:t>
      </w:r>
      <w:r w:rsidR="00FE5F9C">
        <w:t xml:space="preserve">, </w:t>
      </w:r>
      <w:proofErr w:type="gramStart"/>
      <w:r w:rsidR="00FE5F9C">
        <w:t>(</w:t>
      </w:r>
      <w:proofErr w:type="gramEnd"/>
      <w:r w:rsidR="00FE5F9C">
        <w:t>F.S.)</w:t>
      </w:r>
      <w:r>
        <w:t xml:space="preserve">. </w:t>
      </w:r>
    </w:p>
    <w:bookmarkEnd w:id="10"/>
    <w:p w:rsidR="00EA2273" w:rsidRDefault="008F47CC">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 xml:space="preserve"> </w:t>
      </w:r>
    </w:p>
    <w:p w:rsidR="007C0528" w:rsidRDefault="007C0528">
      <w:pPr>
        <w:pStyle w:val="RecommendationMajorSectionHeading"/>
      </w:pPr>
      <w:bookmarkStart w:id="14" w:name="DiscussionOfIssues"/>
      <w:r>
        <w:lastRenderedPageBreak/>
        <w:t>Discussion of Issues</w:t>
      </w:r>
    </w:p>
    <w:bookmarkEnd w:id="14"/>
    <w:p w:rsidR="001A36F6" w:rsidRDefault="001A36F6">
      <w:pPr>
        <w:pStyle w:val="IssueHeading"/>
        <w:rPr>
          <w:vanish/>
          <w:specVanish/>
        </w:rPr>
      </w:pPr>
      <w:r w:rsidRPr="004C3641">
        <w:t xml:space="preserve">Issue </w:t>
      </w:r>
      <w:fldSimple w:instr=" SEQ Issue \* MERGEFORMAT ">
        <w:r w:rsidR="00E71B2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71B2C">
        <w:rPr>
          <w:noProof/>
        </w:rPr>
        <w:instrText>1</w:instrText>
      </w:r>
      <w:r>
        <w:fldChar w:fldCharType="end"/>
      </w:r>
      <w:r>
        <w:tab/>
        <w:instrText xml:space="preserve">(Draper)" \l 1 </w:instrText>
      </w:r>
      <w:r>
        <w:fldChar w:fldCharType="end"/>
      </w:r>
      <w:r>
        <w:t> </w:t>
      </w:r>
    </w:p>
    <w:p w:rsidR="001A36F6" w:rsidRDefault="001A36F6">
      <w:pPr>
        <w:pStyle w:val="BodyText"/>
      </w:pPr>
      <w:r>
        <w:t xml:space="preserve"> Should the Commission approve Tampa Electric's tariff rate changes to implement the step increase approved in the settlement order? </w:t>
      </w:r>
    </w:p>
    <w:p w:rsidR="001A36F6" w:rsidRPr="004C3641" w:rsidRDefault="001A36F6">
      <w:pPr>
        <w:pStyle w:val="IssueSubsectionHeading"/>
        <w:rPr>
          <w:vanish/>
          <w:specVanish/>
        </w:rPr>
      </w:pPr>
      <w:r w:rsidRPr="004C3641">
        <w:t>Recommendation: </w:t>
      </w:r>
    </w:p>
    <w:p w:rsidR="001A36F6" w:rsidRDefault="001A36F6">
      <w:pPr>
        <w:pStyle w:val="BodyText"/>
      </w:pPr>
      <w:r>
        <w:t xml:space="preserve"> Yes, the Commission should approve Tampa Electric's tariff rate changes to implement the step increase approved in the settlement order. Pursuant </w:t>
      </w:r>
      <w:r w:rsidR="00ED4BE1">
        <w:t xml:space="preserve">to </w:t>
      </w:r>
      <w:r>
        <w:t xml:space="preserve">the settlement order, the rate changes should become effective with the date of the meter reading for the first billing cycle of November 2015, which falls on November </w:t>
      </w:r>
      <w:r w:rsidR="0098401F">
        <w:t>1</w:t>
      </w:r>
      <w:r>
        <w:t xml:space="preserve">, 2015. </w:t>
      </w:r>
      <w:r w:rsidR="004D3E47">
        <w:t xml:space="preserve">Tampa Electric should notify customers of the approved new rates in the October bills. </w:t>
      </w:r>
      <w:r>
        <w:t>(Draper)</w:t>
      </w:r>
    </w:p>
    <w:p w:rsidR="001A36F6" w:rsidRPr="004C3641" w:rsidRDefault="001A36F6">
      <w:pPr>
        <w:pStyle w:val="IssueSubsectionHeading"/>
        <w:rPr>
          <w:vanish/>
          <w:specVanish/>
        </w:rPr>
      </w:pPr>
      <w:r w:rsidRPr="004C3641">
        <w:t>Staff Analysis: </w:t>
      </w:r>
    </w:p>
    <w:p w:rsidR="001A36F6" w:rsidRDefault="001A36F6">
      <w:pPr>
        <w:pStyle w:val="BodyText"/>
      </w:pPr>
      <w:r>
        <w:t> </w:t>
      </w:r>
      <w:r w:rsidR="007C4390">
        <w:t xml:space="preserve">Tampa Electric’s petition includes the proposed tariff sheets, the allocation of revenue increase to the various rate classes, calculations </w:t>
      </w:r>
      <w:r w:rsidR="00266991">
        <w:t>showing</w:t>
      </w:r>
      <w:r w:rsidR="007C4390">
        <w:t xml:space="preserve"> the revenue from sale of electricity by rate schedule under current and proposed rates, and bill comparisons for the various rate classes</w:t>
      </w:r>
      <w:r w:rsidR="00AE1466">
        <w:t xml:space="preserve"> under current and proposed rates</w:t>
      </w:r>
      <w:r w:rsidR="007C4390">
        <w:t xml:space="preserve">. </w:t>
      </w:r>
      <w:r w:rsidR="00B2194A">
        <w:t>A residential customer who uses 1,000 kilowatt-hours (</w:t>
      </w:r>
      <w:proofErr w:type="gramStart"/>
      <w:r w:rsidR="00B2194A">
        <w:t>kwh</w:t>
      </w:r>
      <w:proofErr w:type="gramEnd"/>
      <w:r w:rsidR="00B2194A">
        <w:t>) per month will see an increase of $0.45 on the monthly bill</w:t>
      </w:r>
      <w:r w:rsidR="00EE768A">
        <w:t>.</w:t>
      </w:r>
      <w:r w:rsidR="00EE768A">
        <w:rPr>
          <w:rStyle w:val="FootnoteReference"/>
        </w:rPr>
        <w:footnoteReference w:id="2"/>
      </w:r>
    </w:p>
    <w:p w:rsidR="0046674F" w:rsidRDefault="007C4390">
      <w:pPr>
        <w:pStyle w:val="BodyText"/>
      </w:pPr>
      <w:r>
        <w:t>The cost of service methodology and allocation of the increase</w:t>
      </w:r>
      <w:r w:rsidR="000A5ED9">
        <w:t xml:space="preserve"> to the rate classes</w:t>
      </w:r>
      <w:r>
        <w:t xml:space="preserve"> has been addressed in the settlement. </w:t>
      </w:r>
      <w:r w:rsidR="0048297A">
        <w:t xml:space="preserve">The only </w:t>
      </w:r>
      <w:r w:rsidR="000A5ED9">
        <w:t>adjustment</w:t>
      </w:r>
      <w:r w:rsidR="0048297A">
        <w:t xml:space="preserve"> the</w:t>
      </w:r>
      <w:r w:rsidR="000A5ED9">
        <w:t xml:space="preserve"> settlement provides for is to reflect actual residential tier proportion billing determinant data </w:t>
      </w:r>
      <w:r w:rsidR="0046674F">
        <w:t xml:space="preserve">(i.e., usage below 1,000 </w:t>
      </w:r>
      <w:proofErr w:type="gramStart"/>
      <w:r w:rsidR="0046674F">
        <w:t>kwh</w:t>
      </w:r>
      <w:proofErr w:type="gramEnd"/>
      <w:r w:rsidR="0046674F">
        <w:t xml:space="preserve"> and usage above 1,000 kwh) </w:t>
      </w:r>
      <w:r w:rsidR="000A5ED9">
        <w:t xml:space="preserve">on a 12-month basis ending July 31, 2015. The residential tier proportion billing </w:t>
      </w:r>
      <w:r w:rsidR="009234C9">
        <w:t>determinants</w:t>
      </w:r>
      <w:r w:rsidR="000A5ED9">
        <w:t xml:space="preserve"> are used to calculate the inverted non-fuel energy charges.</w:t>
      </w:r>
    </w:p>
    <w:p w:rsidR="00A24051" w:rsidRDefault="00A24051">
      <w:pPr>
        <w:pStyle w:val="BodyText"/>
      </w:pPr>
      <w:r>
        <w:t>Attachment A to the recommendation shows current and proposed base rates for the major rate classes. The settlement order provides that the interruptible rate schedules receive no change to the base rate charges in effect at the time of Tampa Electric’s filing of the 2013 rate case, and the General Service Demand base energy charge remains at 1.583 cents per kwh, with the increase being allocated to the demand charge.</w:t>
      </w:r>
      <w:r w:rsidR="00AE1466" w:rsidRPr="00AE1466">
        <w:t xml:space="preserve"> </w:t>
      </w:r>
    </w:p>
    <w:p w:rsidR="007C4390" w:rsidRDefault="009234C9">
      <w:pPr>
        <w:pStyle w:val="BodyText"/>
      </w:pPr>
      <w:r>
        <w:t>Staff has reviewed Tampa Electric’s proposed tariff sheets and supporting documentation</w:t>
      </w:r>
      <w:r w:rsidR="00FE5F9C">
        <w:t>.</w:t>
      </w:r>
      <w:r>
        <w:t xml:space="preserve"> </w:t>
      </w:r>
      <w:r w:rsidR="00FE5F9C">
        <w:t>T</w:t>
      </w:r>
      <w:r>
        <w:t xml:space="preserve">he calculations are correct and reflect the settlement order. </w:t>
      </w:r>
      <w:r w:rsidR="00875045">
        <w:t xml:space="preserve">The Commission should approve Tampa Electric's tariff rate changes to implement the step increase approved in the settlement order. Pursuant </w:t>
      </w:r>
      <w:r w:rsidR="00A86994">
        <w:t xml:space="preserve">to </w:t>
      </w:r>
      <w:r w:rsidR="00875045">
        <w:t xml:space="preserve">the settlement order, the rate changes should become effective with the date of the meter reading for the first billing cycle of November 2015, which falls on November </w:t>
      </w:r>
      <w:r w:rsidR="0098401F">
        <w:t>1</w:t>
      </w:r>
      <w:r w:rsidR="00875045">
        <w:t>, 2015.</w:t>
      </w:r>
      <w:r w:rsidR="004D3E47">
        <w:t xml:space="preserve"> Tampa Electric should notify customers of the approved new rates in the October bills.</w:t>
      </w:r>
    </w:p>
    <w:p w:rsidR="001C7573" w:rsidRDefault="001C7573">
      <w:pPr>
        <w:pStyle w:val="IssueHeading"/>
        <w:rPr>
          <w:vanish/>
          <w:specVanish/>
        </w:rPr>
      </w:pPr>
      <w:r w:rsidRPr="004C3641">
        <w:rPr>
          <w:b w:val="0"/>
          <w:i w:val="0"/>
        </w:rPr>
        <w:br w:type="page"/>
      </w:r>
      <w:r w:rsidRPr="004C3641">
        <w:lastRenderedPageBreak/>
        <w:t xml:space="preserve">Issue </w:t>
      </w:r>
      <w:fldSimple w:instr=" SEQ Issue \* MERGEFORMAT ">
        <w:r w:rsidR="00E71B2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71B2C">
        <w:rPr>
          <w:noProof/>
        </w:rPr>
        <w:instrText>2</w:instrText>
      </w:r>
      <w:r>
        <w:fldChar w:fldCharType="end"/>
      </w:r>
      <w:r>
        <w:tab/>
        <w:instrText xml:space="preserve">Yes(Draper)" \l 1 </w:instrText>
      </w:r>
      <w:r>
        <w:fldChar w:fldCharType="end"/>
      </w:r>
      <w:r>
        <w:t> </w:t>
      </w:r>
    </w:p>
    <w:p w:rsidR="001C7573" w:rsidRDefault="001C7573">
      <w:pPr>
        <w:pStyle w:val="BodyText"/>
      </w:pPr>
      <w:r>
        <w:t> Should this docket be closed?</w:t>
      </w:r>
    </w:p>
    <w:p w:rsidR="001C7573" w:rsidRPr="00FE5F9C" w:rsidRDefault="001C7573" w:rsidP="00FE5F9C">
      <w:pPr>
        <w:pStyle w:val="IssueSubsectionHeading"/>
        <w:rPr>
          <w:rFonts w:ascii="Times New Roman" w:hAnsi="Times New Roman" w:cs="Times New Roman"/>
          <w:b w:val="0"/>
          <w:bCs w:val="0"/>
          <w:i w:val="0"/>
          <w:iCs w:val="0"/>
          <w:szCs w:val="24"/>
        </w:rPr>
      </w:pPr>
      <w:r w:rsidRPr="004C3641">
        <w:t>Recommendation: </w:t>
      </w:r>
      <w:r w:rsidR="00FE5F9C">
        <w:t xml:space="preserve">  </w:t>
      </w:r>
      <w:r w:rsidR="00FE5F9C" w:rsidRPr="00FE5F9C">
        <w:rPr>
          <w:rFonts w:ascii="Times New Roman" w:hAnsi="Times New Roman" w:cs="Times New Roman"/>
          <w:b w:val="0"/>
          <w:bCs w:val="0"/>
          <w:i w:val="0"/>
          <w:iCs w:val="0"/>
          <w:szCs w:val="24"/>
        </w:rPr>
        <w:t xml:space="preserve">Yes, </w:t>
      </w:r>
      <w:r w:rsidR="00FE5F9C">
        <w:rPr>
          <w:rFonts w:ascii="Times New Roman" w:hAnsi="Times New Roman" w:cs="Times New Roman"/>
          <w:b w:val="0"/>
          <w:bCs w:val="0"/>
          <w:i w:val="0"/>
          <w:iCs w:val="0"/>
          <w:szCs w:val="24"/>
        </w:rPr>
        <w:t>i</w:t>
      </w:r>
      <w:r w:rsidR="00FE5F9C" w:rsidRPr="00FE5F9C">
        <w:rPr>
          <w:rFonts w:ascii="Times New Roman" w:hAnsi="Times New Roman" w:cs="Times New Roman"/>
          <w:b w:val="0"/>
          <w:bCs w:val="0"/>
          <w:i w:val="0"/>
          <w:iCs w:val="0"/>
          <w:szCs w:val="24"/>
        </w:rPr>
        <w:t>f the Commission approves Issue 1, the docket should be closed</w:t>
      </w:r>
      <w:r w:rsidRPr="00FE5F9C">
        <w:rPr>
          <w:rFonts w:ascii="Times New Roman" w:hAnsi="Times New Roman" w:cs="Times New Roman"/>
          <w:b w:val="0"/>
          <w:bCs w:val="0"/>
          <w:i w:val="0"/>
          <w:iCs w:val="0"/>
          <w:szCs w:val="24"/>
        </w:rPr>
        <w:t>. (</w:t>
      </w:r>
      <w:r w:rsidR="00431D9A" w:rsidRPr="00FE5F9C">
        <w:rPr>
          <w:rFonts w:ascii="Times New Roman" w:hAnsi="Times New Roman" w:cs="Times New Roman"/>
          <w:b w:val="0"/>
          <w:bCs w:val="0"/>
          <w:i w:val="0"/>
          <w:iCs w:val="0"/>
          <w:szCs w:val="24"/>
        </w:rPr>
        <w:t>Janjic</w:t>
      </w:r>
      <w:r w:rsidRPr="00FE5F9C">
        <w:rPr>
          <w:rFonts w:ascii="Times New Roman" w:hAnsi="Times New Roman" w:cs="Times New Roman"/>
          <w:b w:val="0"/>
          <w:bCs w:val="0"/>
          <w:i w:val="0"/>
          <w:iCs w:val="0"/>
          <w:szCs w:val="24"/>
        </w:rPr>
        <w:t>)</w:t>
      </w:r>
    </w:p>
    <w:p w:rsidR="001C7573" w:rsidRPr="004C3641" w:rsidRDefault="001C7573">
      <w:pPr>
        <w:pStyle w:val="IssueSubsectionHeading"/>
        <w:rPr>
          <w:vanish/>
          <w:specVanish/>
        </w:rPr>
      </w:pPr>
      <w:r w:rsidRPr="004C3641">
        <w:t>Staff Analysis: </w:t>
      </w:r>
    </w:p>
    <w:p w:rsidR="00B14424" w:rsidRDefault="001C7573">
      <w:pPr>
        <w:pStyle w:val="BodyText"/>
        <w:sectPr w:rsidR="00B1442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FE5F9C">
        <w:t>I</w:t>
      </w:r>
      <w:r w:rsidR="00FE5F9C" w:rsidRPr="00FE5F9C">
        <w:t>f the Commission approves Issue 1, the docket should be closed</w:t>
      </w:r>
      <w:r w:rsidR="00FE5F9C">
        <w:t>.</w:t>
      </w:r>
    </w:p>
    <w:p w:rsidR="00254F2D" w:rsidRDefault="00254F2D" w:rsidP="00AE1466">
      <w:pPr>
        <w:jc w:val="center"/>
        <w:rPr>
          <w:b/>
        </w:rPr>
      </w:pPr>
    </w:p>
    <w:p w:rsidR="00254F2D" w:rsidRDefault="00254F2D" w:rsidP="00AE1466">
      <w:pPr>
        <w:jc w:val="center"/>
        <w:rPr>
          <w:b/>
        </w:rPr>
      </w:pPr>
    </w:p>
    <w:p w:rsidR="00E06484" w:rsidRDefault="001C7573" w:rsidP="00AE1466">
      <w:pPr>
        <w:jc w:val="center"/>
        <w:rPr>
          <w:b/>
        </w:rPr>
      </w:pPr>
      <w:r w:rsidRPr="00B35D5E">
        <w:rPr>
          <w:b/>
        </w:rPr>
        <w:t>Present and Proposed Rates for Major Rate Schedules</w:t>
      </w:r>
    </w:p>
    <w:p w:rsidR="00254F2D" w:rsidRPr="00B35D5E" w:rsidRDefault="00254F2D" w:rsidP="00AE1466">
      <w:pPr>
        <w:jc w:val="center"/>
        <w:rPr>
          <w:b/>
        </w:rPr>
      </w:pPr>
    </w:p>
    <w:p w:rsidR="00AE1466" w:rsidRDefault="00AE1466" w:rsidP="00AE1466">
      <w:pPr>
        <w:jc w:val="center"/>
      </w:pPr>
    </w:p>
    <w:tbl>
      <w:tblPr>
        <w:tblStyle w:val="TableGrid"/>
        <w:tblW w:w="9738" w:type="dxa"/>
        <w:tblLook w:val="04A0" w:firstRow="1" w:lastRow="0" w:firstColumn="1" w:lastColumn="0" w:noHBand="0" w:noVBand="1"/>
      </w:tblPr>
      <w:tblGrid>
        <w:gridCol w:w="2178"/>
        <w:gridCol w:w="4050"/>
        <w:gridCol w:w="1710"/>
        <w:gridCol w:w="1800"/>
      </w:tblGrid>
      <w:tr w:rsidR="001C7573" w:rsidTr="007847EE">
        <w:trPr>
          <w:trHeight w:val="593"/>
        </w:trPr>
        <w:tc>
          <w:tcPr>
            <w:tcW w:w="2178" w:type="dxa"/>
          </w:tcPr>
          <w:p w:rsidR="001C7573" w:rsidRDefault="001C7573" w:rsidP="00E275D8">
            <w:pPr>
              <w:pStyle w:val="BodyText"/>
            </w:pPr>
          </w:p>
        </w:tc>
        <w:tc>
          <w:tcPr>
            <w:tcW w:w="4050" w:type="dxa"/>
          </w:tcPr>
          <w:p w:rsidR="001C7573" w:rsidRDefault="001C7573" w:rsidP="00E275D8">
            <w:pPr>
              <w:pStyle w:val="BodyText"/>
            </w:pPr>
          </w:p>
        </w:tc>
        <w:tc>
          <w:tcPr>
            <w:tcW w:w="1710" w:type="dxa"/>
            <w:vAlign w:val="bottom"/>
          </w:tcPr>
          <w:p w:rsidR="001C7573" w:rsidRDefault="001C7573" w:rsidP="007847EE">
            <w:pPr>
              <w:pStyle w:val="BodyText"/>
              <w:jc w:val="center"/>
            </w:pPr>
            <w:r>
              <w:t>Current</w:t>
            </w:r>
          </w:p>
        </w:tc>
        <w:tc>
          <w:tcPr>
            <w:tcW w:w="1800" w:type="dxa"/>
            <w:vAlign w:val="bottom"/>
          </w:tcPr>
          <w:p w:rsidR="001C7573" w:rsidRDefault="001C7573" w:rsidP="007847EE">
            <w:pPr>
              <w:pStyle w:val="BodyText"/>
              <w:jc w:val="center"/>
            </w:pPr>
            <w:r>
              <w:t>Proposed</w:t>
            </w:r>
          </w:p>
        </w:tc>
      </w:tr>
      <w:tr w:rsidR="001C7573" w:rsidTr="007847EE">
        <w:trPr>
          <w:trHeight w:val="1430"/>
        </w:trPr>
        <w:tc>
          <w:tcPr>
            <w:tcW w:w="2178" w:type="dxa"/>
            <w:vAlign w:val="center"/>
          </w:tcPr>
          <w:p w:rsidR="001C7573" w:rsidRDefault="001C7573" w:rsidP="00A24051">
            <w:pPr>
              <w:pStyle w:val="BodyText"/>
              <w:spacing w:after="120"/>
              <w:jc w:val="left"/>
            </w:pPr>
            <w:r>
              <w:t>Residential Service</w:t>
            </w:r>
          </w:p>
        </w:tc>
        <w:tc>
          <w:tcPr>
            <w:tcW w:w="4050" w:type="dxa"/>
            <w:vAlign w:val="center"/>
          </w:tcPr>
          <w:p w:rsidR="00335CD4" w:rsidRDefault="001C7573" w:rsidP="008E0CD7">
            <w:pPr>
              <w:pStyle w:val="BodyText"/>
              <w:spacing w:after="120"/>
              <w:jc w:val="left"/>
            </w:pPr>
            <w:r>
              <w:t xml:space="preserve">Basic Service Charge </w:t>
            </w:r>
          </w:p>
          <w:p w:rsidR="001C7573" w:rsidRDefault="001C7573" w:rsidP="008E0CD7">
            <w:pPr>
              <w:pStyle w:val="BodyText"/>
              <w:spacing w:after="120"/>
              <w:jc w:val="left"/>
            </w:pPr>
            <w:r>
              <w:t xml:space="preserve">Energy Charge </w:t>
            </w:r>
            <w:r w:rsidR="00195133">
              <w:t>(</w:t>
            </w:r>
            <w:r>
              <w:t>1</w:t>
            </w:r>
            <w:r w:rsidRPr="001C7573">
              <w:rPr>
                <w:vertAlign w:val="superscript"/>
              </w:rPr>
              <w:t>st</w:t>
            </w:r>
            <w:r>
              <w:t xml:space="preserve"> 1,000 kwh)</w:t>
            </w:r>
          </w:p>
          <w:p w:rsidR="001C7573" w:rsidRDefault="001C7573" w:rsidP="008E0CD7">
            <w:pPr>
              <w:pStyle w:val="BodyText"/>
              <w:spacing w:after="120"/>
              <w:jc w:val="left"/>
            </w:pPr>
            <w:r>
              <w:t>Energy Charge (above 1,000 kwh)</w:t>
            </w:r>
          </w:p>
        </w:tc>
        <w:tc>
          <w:tcPr>
            <w:tcW w:w="1710" w:type="dxa"/>
            <w:vAlign w:val="center"/>
          </w:tcPr>
          <w:p w:rsidR="001C7573" w:rsidRDefault="003D1F92" w:rsidP="009E7809">
            <w:pPr>
              <w:pStyle w:val="BodyText"/>
              <w:spacing w:after="120"/>
              <w:jc w:val="left"/>
            </w:pPr>
            <w:r>
              <w:t>$</w:t>
            </w:r>
            <w:r w:rsidR="001C7573">
              <w:t>15</w:t>
            </w:r>
          </w:p>
          <w:p w:rsidR="001C7573" w:rsidRDefault="001C7573" w:rsidP="009E7809">
            <w:pPr>
              <w:pStyle w:val="BodyText"/>
              <w:spacing w:after="120"/>
              <w:jc w:val="left"/>
            </w:pPr>
            <w:r>
              <w:t>4.650</w:t>
            </w:r>
            <w:r w:rsidR="00195133">
              <w:t xml:space="preserve"> </w:t>
            </w:r>
            <w:r w:rsidR="008E0CD7">
              <w:t>¢</w:t>
            </w:r>
            <w:r w:rsidR="00195133">
              <w:t>/kwh</w:t>
            </w:r>
          </w:p>
          <w:p w:rsidR="001C7573" w:rsidRDefault="001C7573" w:rsidP="009E7809">
            <w:pPr>
              <w:pStyle w:val="BodyText"/>
              <w:spacing w:after="120"/>
              <w:jc w:val="left"/>
            </w:pPr>
            <w:r>
              <w:t>5.650</w:t>
            </w:r>
            <w:r w:rsidR="00195133">
              <w:t xml:space="preserve"> </w:t>
            </w:r>
            <w:r w:rsidR="008E0CD7">
              <w:t>¢/kwh</w:t>
            </w:r>
          </w:p>
        </w:tc>
        <w:tc>
          <w:tcPr>
            <w:tcW w:w="1800" w:type="dxa"/>
            <w:vAlign w:val="center"/>
          </w:tcPr>
          <w:p w:rsidR="001C7573" w:rsidRDefault="003D1F92" w:rsidP="009E7809">
            <w:pPr>
              <w:pStyle w:val="BodyText"/>
              <w:spacing w:after="120"/>
              <w:jc w:val="left"/>
            </w:pPr>
            <w:r>
              <w:t>$</w:t>
            </w:r>
            <w:r w:rsidR="001C7573">
              <w:t>15</w:t>
            </w:r>
          </w:p>
          <w:p w:rsidR="001C7573" w:rsidRDefault="001C7573" w:rsidP="009E7809">
            <w:pPr>
              <w:pStyle w:val="BodyText"/>
              <w:spacing w:after="120"/>
              <w:jc w:val="left"/>
            </w:pPr>
            <w:r>
              <w:t>4.694</w:t>
            </w:r>
            <w:r w:rsidR="008E0CD7">
              <w:t xml:space="preserve"> ¢/kwh</w:t>
            </w:r>
          </w:p>
          <w:p w:rsidR="001C7573" w:rsidRDefault="001C7573" w:rsidP="009E7809">
            <w:pPr>
              <w:pStyle w:val="BodyText"/>
              <w:spacing w:after="120"/>
              <w:jc w:val="left"/>
            </w:pPr>
            <w:r>
              <w:t>5.694</w:t>
            </w:r>
            <w:r w:rsidR="008E0CD7">
              <w:t xml:space="preserve"> ¢/kwh</w:t>
            </w:r>
          </w:p>
        </w:tc>
      </w:tr>
      <w:tr w:rsidR="001C7573" w:rsidTr="008511A5">
        <w:trPr>
          <w:trHeight w:val="980"/>
        </w:trPr>
        <w:tc>
          <w:tcPr>
            <w:tcW w:w="2178" w:type="dxa"/>
            <w:vAlign w:val="center"/>
          </w:tcPr>
          <w:p w:rsidR="001C7573" w:rsidRDefault="001C7573" w:rsidP="00A24051">
            <w:pPr>
              <w:pStyle w:val="BodyText"/>
              <w:spacing w:after="120"/>
              <w:jc w:val="left"/>
            </w:pPr>
            <w:r>
              <w:t>General Service – Non Demand</w:t>
            </w:r>
          </w:p>
        </w:tc>
        <w:tc>
          <w:tcPr>
            <w:tcW w:w="4050" w:type="dxa"/>
            <w:vAlign w:val="center"/>
          </w:tcPr>
          <w:p w:rsidR="001C7573" w:rsidRDefault="001C7573" w:rsidP="008E0CD7">
            <w:pPr>
              <w:pStyle w:val="BodyText"/>
              <w:spacing w:after="120"/>
              <w:jc w:val="left"/>
            </w:pPr>
            <w:r>
              <w:t>Basic Service Charge</w:t>
            </w:r>
          </w:p>
          <w:p w:rsidR="001C7573" w:rsidRDefault="001C7573" w:rsidP="008E0CD7">
            <w:pPr>
              <w:pStyle w:val="BodyText"/>
              <w:spacing w:after="120"/>
              <w:jc w:val="left"/>
            </w:pPr>
            <w:r>
              <w:t>Energy Charge</w:t>
            </w:r>
          </w:p>
        </w:tc>
        <w:tc>
          <w:tcPr>
            <w:tcW w:w="1710" w:type="dxa"/>
            <w:vAlign w:val="center"/>
          </w:tcPr>
          <w:p w:rsidR="001C7573" w:rsidRDefault="003D1F92" w:rsidP="008E0CD7">
            <w:pPr>
              <w:pStyle w:val="BodyText"/>
              <w:spacing w:after="120"/>
              <w:jc w:val="left"/>
            </w:pPr>
            <w:r>
              <w:t>$</w:t>
            </w:r>
            <w:r w:rsidR="001C7573">
              <w:t>18</w:t>
            </w:r>
          </w:p>
          <w:p w:rsidR="001C7573" w:rsidRDefault="001C7573" w:rsidP="008E0CD7">
            <w:pPr>
              <w:pStyle w:val="BodyText"/>
              <w:spacing w:after="120"/>
              <w:jc w:val="left"/>
            </w:pPr>
            <w:r>
              <w:t>4.965</w:t>
            </w:r>
            <w:r w:rsidR="008E0CD7">
              <w:t xml:space="preserve"> ¢/kwh </w:t>
            </w:r>
          </w:p>
        </w:tc>
        <w:tc>
          <w:tcPr>
            <w:tcW w:w="1800" w:type="dxa"/>
            <w:vAlign w:val="center"/>
          </w:tcPr>
          <w:p w:rsidR="001C7573" w:rsidRDefault="003D1F92" w:rsidP="008E0CD7">
            <w:pPr>
              <w:pStyle w:val="BodyText"/>
              <w:spacing w:after="120"/>
              <w:jc w:val="left"/>
            </w:pPr>
            <w:r>
              <w:t>$</w:t>
            </w:r>
            <w:r w:rsidR="001C7573">
              <w:t>18</w:t>
            </w:r>
          </w:p>
          <w:p w:rsidR="001C7573" w:rsidRDefault="001C7573" w:rsidP="008E0CD7">
            <w:pPr>
              <w:pStyle w:val="BodyText"/>
              <w:spacing w:after="120"/>
              <w:jc w:val="left"/>
            </w:pPr>
            <w:r>
              <w:t>5.009</w:t>
            </w:r>
            <w:r w:rsidR="008E0CD7">
              <w:t xml:space="preserve"> ¢/kwh</w:t>
            </w:r>
          </w:p>
        </w:tc>
      </w:tr>
      <w:tr w:rsidR="001C7573" w:rsidTr="008511A5">
        <w:trPr>
          <w:trHeight w:val="1421"/>
        </w:trPr>
        <w:tc>
          <w:tcPr>
            <w:tcW w:w="2178" w:type="dxa"/>
            <w:vAlign w:val="center"/>
          </w:tcPr>
          <w:p w:rsidR="001C7573" w:rsidRDefault="001C7573" w:rsidP="00A24051">
            <w:pPr>
              <w:pStyle w:val="BodyText"/>
              <w:spacing w:after="120"/>
              <w:jc w:val="left"/>
            </w:pPr>
            <w:r>
              <w:t>General Service Demand</w:t>
            </w:r>
          </w:p>
        </w:tc>
        <w:tc>
          <w:tcPr>
            <w:tcW w:w="4050" w:type="dxa"/>
            <w:vAlign w:val="center"/>
          </w:tcPr>
          <w:p w:rsidR="001C7573" w:rsidRDefault="001C7573" w:rsidP="008E0CD7">
            <w:pPr>
              <w:pStyle w:val="BodyText"/>
              <w:spacing w:after="120"/>
              <w:jc w:val="left"/>
            </w:pPr>
            <w:r>
              <w:t>Basic Service Charge</w:t>
            </w:r>
            <w:r w:rsidR="003D1F92">
              <w:t xml:space="preserve"> (Sec. Metering)</w:t>
            </w:r>
          </w:p>
          <w:p w:rsidR="008E0CD7" w:rsidRDefault="001C7573" w:rsidP="008E0CD7">
            <w:pPr>
              <w:pStyle w:val="BodyText"/>
              <w:spacing w:after="120"/>
              <w:jc w:val="left"/>
            </w:pPr>
            <w:r>
              <w:t>Energy Charge</w:t>
            </w:r>
            <w:r w:rsidR="003D1F92">
              <w:t xml:space="preserve"> </w:t>
            </w:r>
          </w:p>
          <w:p w:rsidR="003D1F92" w:rsidRDefault="003D1F92" w:rsidP="008E0CD7">
            <w:pPr>
              <w:pStyle w:val="BodyText"/>
              <w:spacing w:after="120"/>
              <w:jc w:val="left"/>
            </w:pPr>
            <w:r>
              <w:t xml:space="preserve">Demand Charge </w:t>
            </w:r>
          </w:p>
        </w:tc>
        <w:tc>
          <w:tcPr>
            <w:tcW w:w="1710" w:type="dxa"/>
            <w:vAlign w:val="center"/>
          </w:tcPr>
          <w:p w:rsidR="001C7573" w:rsidRDefault="003D1F92" w:rsidP="008E0CD7">
            <w:pPr>
              <w:pStyle w:val="BodyText"/>
              <w:spacing w:after="120"/>
              <w:jc w:val="left"/>
            </w:pPr>
            <w:r>
              <w:t>$30</w:t>
            </w:r>
          </w:p>
          <w:p w:rsidR="003D1F92" w:rsidRDefault="003D1F92" w:rsidP="008E0CD7">
            <w:pPr>
              <w:pStyle w:val="BodyText"/>
              <w:spacing w:after="120"/>
              <w:jc w:val="left"/>
            </w:pPr>
            <w:r>
              <w:t>1.583</w:t>
            </w:r>
            <w:r w:rsidR="008E0CD7">
              <w:t xml:space="preserve"> ¢/kwh</w:t>
            </w:r>
          </w:p>
          <w:p w:rsidR="003D1F92" w:rsidRDefault="003D1F92" w:rsidP="008E0CD7">
            <w:pPr>
              <w:pStyle w:val="BodyText"/>
              <w:spacing w:after="120"/>
              <w:jc w:val="left"/>
            </w:pPr>
            <w:r>
              <w:t>9.22</w:t>
            </w:r>
            <w:r w:rsidR="008E0CD7">
              <w:t xml:space="preserve">  $/kw</w:t>
            </w:r>
          </w:p>
        </w:tc>
        <w:tc>
          <w:tcPr>
            <w:tcW w:w="1800" w:type="dxa"/>
            <w:vAlign w:val="center"/>
          </w:tcPr>
          <w:p w:rsidR="001C7573" w:rsidRDefault="003D1F92" w:rsidP="008E0CD7">
            <w:pPr>
              <w:pStyle w:val="BodyText"/>
              <w:spacing w:after="120"/>
              <w:jc w:val="left"/>
            </w:pPr>
            <w:r>
              <w:t>$30</w:t>
            </w:r>
          </w:p>
          <w:p w:rsidR="003D1F92" w:rsidRDefault="003D1F92" w:rsidP="008E0CD7">
            <w:pPr>
              <w:pStyle w:val="BodyText"/>
              <w:spacing w:after="120"/>
              <w:jc w:val="left"/>
            </w:pPr>
            <w:r>
              <w:t>1.583</w:t>
            </w:r>
            <w:r w:rsidR="008E0CD7">
              <w:t xml:space="preserve"> ¢/kwh</w:t>
            </w:r>
          </w:p>
          <w:p w:rsidR="003D1F92" w:rsidRDefault="003D1F92" w:rsidP="008E0CD7">
            <w:pPr>
              <w:pStyle w:val="BodyText"/>
              <w:spacing w:after="120"/>
              <w:jc w:val="left"/>
            </w:pPr>
            <w:r>
              <w:t>9.25</w:t>
            </w:r>
            <w:r w:rsidR="008E0CD7">
              <w:t xml:space="preserve"> $/kw</w:t>
            </w:r>
          </w:p>
        </w:tc>
      </w:tr>
    </w:tbl>
    <w:p w:rsidR="001C7573" w:rsidRDefault="001C7573" w:rsidP="00E275D8">
      <w:pPr>
        <w:pStyle w:val="BodyText"/>
      </w:pPr>
    </w:p>
    <w:p w:rsidR="001C7573" w:rsidRDefault="001C7573" w:rsidP="00E275D8">
      <w:pPr>
        <w:pStyle w:val="BodyText"/>
      </w:pPr>
    </w:p>
    <w:sectPr w:rsidR="001C7573"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27" w:rsidRDefault="00386427">
      <w:r>
        <w:separator/>
      </w:r>
    </w:p>
  </w:endnote>
  <w:endnote w:type="continuationSeparator" w:id="0">
    <w:p w:rsidR="00386427" w:rsidRDefault="0038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0741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27" w:rsidRDefault="00386427">
      <w:r>
        <w:separator/>
      </w:r>
    </w:p>
  </w:footnote>
  <w:footnote w:type="continuationSeparator" w:id="0">
    <w:p w:rsidR="00386427" w:rsidRDefault="00386427">
      <w:r>
        <w:continuationSeparator/>
      </w:r>
    </w:p>
  </w:footnote>
  <w:footnote w:id="1">
    <w:p w:rsidR="00734E0C" w:rsidRDefault="00734E0C">
      <w:pPr>
        <w:pStyle w:val="FootnoteText"/>
      </w:pPr>
      <w:r>
        <w:rPr>
          <w:rStyle w:val="FootnoteReference"/>
        </w:rPr>
        <w:footnoteRef/>
      </w:r>
      <w:r>
        <w:t xml:space="preserve"> </w:t>
      </w:r>
      <w:proofErr w:type="gramStart"/>
      <w:r>
        <w:t>Order No.</w:t>
      </w:r>
      <w:proofErr w:type="gramEnd"/>
      <w:r>
        <w:t xml:space="preserve"> PSC-13-0443-FOF-EI, issued September 30, 2013, in Docket No. 130040-EI, </w:t>
      </w:r>
      <w:r w:rsidRPr="00734E0C">
        <w:rPr>
          <w:i/>
        </w:rPr>
        <w:t>In re: Petition for rate increase by Tampa Electric Company</w:t>
      </w:r>
      <w:r>
        <w:t>.</w:t>
      </w:r>
    </w:p>
  </w:footnote>
  <w:footnote w:id="2">
    <w:p w:rsidR="00EE768A" w:rsidRDefault="00EE768A">
      <w:pPr>
        <w:pStyle w:val="FootnoteText"/>
      </w:pPr>
      <w:r>
        <w:rPr>
          <w:rStyle w:val="FootnoteReference"/>
        </w:rPr>
        <w:footnoteRef/>
      </w:r>
      <w:r>
        <w:t xml:space="preserve"> </w:t>
      </w:r>
      <w:r w:rsidR="00DD698E">
        <w:t xml:space="preserve">The current 1,000 </w:t>
      </w:r>
      <w:proofErr w:type="gramStart"/>
      <w:r w:rsidR="00DD698E">
        <w:t>kwh</w:t>
      </w:r>
      <w:proofErr w:type="gramEnd"/>
      <w:r w:rsidR="00DD698E">
        <w:t xml:space="preserve"> residential bill is $108.47 and will increase to $108.92, or by $0.45.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386427" w:rsidP="00220732">
    <w:pPr>
      <w:pStyle w:val="Header"/>
      <w:tabs>
        <w:tab w:val="clear" w:pos="4320"/>
        <w:tab w:val="clear" w:pos="8640"/>
        <w:tab w:val="right" w:pos="9360"/>
      </w:tabs>
    </w:pPr>
    <w:bookmarkStart w:id="12" w:name="DocketLabel"/>
    <w:r>
      <w:t>Docket No.</w:t>
    </w:r>
    <w:bookmarkEnd w:id="12"/>
    <w:r w:rsidR="00BB3493">
      <w:t xml:space="preserve"> </w:t>
    </w:r>
    <w:bookmarkStart w:id="13" w:name="DocketList"/>
    <w:r>
      <w:t>150178-EI</w:t>
    </w:r>
    <w:bookmarkEnd w:id="13"/>
  </w:p>
  <w:p w:rsidR="00BB3493" w:rsidRDefault="00BB3493">
    <w:pPr>
      <w:pStyle w:val="Header"/>
    </w:pPr>
    <w:r>
      <w:t xml:space="preserve">Date: </w:t>
    </w:r>
    <w:r w:rsidR="00D50BA5">
      <w:fldChar w:fldCharType="begin"/>
    </w:r>
    <w:r w:rsidR="00D50BA5">
      <w:instrText xml:space="preserve"> REF FilingDate </w:instrText>
    </w:r>
    <w:r w:rsidR="00D50BA5">
      <w:fldChar w:fldCharType="separate"/>
    </w:r>
    <w:r w:rsidR="00E71B2C">
      <w:t>September 3, 2015</w:t>
    </w:r>
    <w:r w:rsidR="00D50BA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E71B2C">
      <w:t>Docket No.</w:t>
    </w:r>
    <w:r>
      <w:fldChar w:fldCharType="end"/>
    </w:r>
    <w:r>
      <w:t xml:space="preserve"> </w:t>
    </w:r>
    <w:r>
      <w:fldChar w:fldCharType="begin"/>
    </w:r>
    <w:r>
      <w:instrText xml:space="preserve"> REF DocketList</w:instrText>
    </w:r>
    <w:r>
      <w:fldChar w:fldCharType="separate"/>
    </w:r>
    <w:r w:rsidR="00E71B2C">
      <w:t>150178-EI</w:t>
    </w:r>
    <w:r>
      <w:fldChar w:fldCharType="end"/>
    </w:r>
    <w:r>
      <w:tab/>
      <w:t xml:space="preserve">Issue </w:t>
    </w:r>
    <w:r w:rsidR="00D50BA5">
      <w:fldChar w:fldCharType="begin"/>
    </w:r>
    <w:r w:rsidR="00D50BA5">
      <w:instrText xml:space="preserve"> Seq Issue \c \* Arabic </w:instrText>
    </w:r>
    <w:r w:rsidR="00D50BA5">
      <w:fldChar w:fldCharType="separate"/>
    </w:r>
    <w:r w:rsidR="00F07414">
      <w:rPr>
        <w:noProof/>
      </w:rPr>
      <w:t>2</w:t>
    </w:r>
    <w:r w:rsidR="00D50BA5">
      <w:rPr>
        <w:noProof/>
      </w:rPr>
      <w:fldChar w:fldCharType="end"/>
    </w:r>
  </w:p>
  <w:p w:rsidR="00BB3493" w:rsidRDefault="00BB3493">
    <w:pPr>
      <w:pStyle w:val="Header"/>
    </w:pPr>
    <w:r>
      <w:t xml:space="preserve">Date: </w:t>
    </w:r>
    <w:r w:rsidR="00D50BA5">
      <w:fldChar w:fldCharType="begin"/>
    </w:r>
    <w:r w:rsidR="00D50BA5">
      <w:instrText xml:space="preserve"> REF FilingDate </w:instrText>
    </w:r>
    <w:r w:rsidR="00D50BA5">
      <w:fldChar w:fldCharType="separate"/>
    </w:r>
    <w:r w:rsidR="00E71B2C">
      <w:t>September 3, 2015</w:t>
    </w:r>
    <w:r w:rsidR="00D50BA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24" w:rsidRDefault="00B14424" w:rsidP="00220732">
    <w:pPr>
      <w:pStyle w:val="Header"/>
      <w:tabs>
        <w:tab w:val="clear" w:pos="4320"/>
        <w:tab w:val="clear" w:pos="8640"/>
        <w:tab w:val="right" w:pos="9360"/>
      </w:tabs>
    </w:pPr>
    <w:r>
      <w:fldChar w:fldCharType="begin"/>
    </w:r>
    <w:r>
      <w:instrText xml:space="preserve"> REF DocketLabel</w:instrText>
    </w:r>
    <w:r>
      <w:fldChar w:fldCharType="separate"/>
    </w:r>
    <w:r w:rsidR="00E71B2C">
      <w:t>Docket No.</w:t>
    </w:r>
    <w:r>
      <w:fldChar w:fldCharType="end"/>
    </w:r>
    <w:r>
      <w:t xml:space="preserve"> </w:t>
    </w:r>
    <w:r>
      <w:fldChar w:fldCharType="begin"/>
    </w:r>
    <w:r>
      <w:instrText xml:space="preserve"> REF DocketList</w:instrText>
    </w:r>
    <w:r>
      <w:fldChar w:fldCharType="separate"/>
    </w:r>
    <w:r w:rsidR="00E71B2C">
      <w:t>150178-EI</w:t>
    </w:r>
    <w:r>
      <w:fldChar w:fldCharType="end"/>
    </w:r>
    <w:r>
      <w:tab/>
      <w:t>Attachment A</w:t>
    </w:r>
  </w:p>
  <w:p w:rsidR="00B14424" w:rsidRDefault="00B14424">
    <w:pPr>
      <w:pStyle w:val="Header"/>
    </w:pPr>
    <w:r>
      <w:t xml:space="preserve">Date: </w:t>
    </w:r>
    <w:r w:rsidR="00D50BA5">
      <w:fldChar w:fldCharType="begin"/>
    </w:r>
    <w:r w:rsidR="00D50BA5">
      <w:instrText xml:space="preserve"> REF FilingDate </w:instrText>
    </w:r>
    <w:r w:rsidR="00D50BA5">
      <w:fldChar w:fldCharType="separate"/>
    </w:r>
    <w:r w:rsidR="00E71B2C">
      <w:t>September 3, 2015</w:t>
    </w:r>
    <w:r w:rsidR="00D50BA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2E0151-07E6-4B4C-A888-0745FE5D53D6}"/>
    <w:docVar w:name="dgnword-eventsink" w:val="457619608"/>
    <w:docVar w:name="NumberOfIssues" w:val="0"/>
    <w:docVar w:name="StaffInToC" w:val="True"/>
  </w:docVars>
  <w:rsids>
    <w:rsidRoot w:val="00386427"/>
    <w:rsid w:val="00010E37"/>
    <w:rsid w:val="000277C2"/>
    <w:rsid w:val="00035B48"/>
    <w:rsid w:val="00036CE2"/>
    <w:rsid w:val="000437FE"/>
    <w:rsid w:val="0005118E"/>
    <w:rsid w:val="00065A06"/>
    <w:rsid w:val="000666F3"/>
    <w:rsid w:val="00070DCB"/>
    <w:rsid w:val="00073120"/>
    <w:rsid w:val="000828D3"/>
    <w:rsid w:val="000A2B57"/>
    <w:rsid w:val="000A418B"/>
    <w:rsid w:val="000A5ED9"/>
    <w:rsid w:val="000A766F"/>
    <w:rsid w:val="000C4431"/>
    <w:rsid w:val="000D4319"/>
    <w:rsid w:val="000F374A"/>
    <w:rsid w:val="00117C8C"/>
    <w:rsid w:val="00124E2E"/>
    <w:rsid w:val="00125ED4"/>
    <w:rsid w:val="001305E9"/>
    <w:rsid w:val="001307AF"/>
    <w:rsid w:val="00135687"/>
    <w:rsid w:val="00154078"/>
    <w:rsid w:val="00180254"/>
    <w:rsid w:val="00191E1F"/>
    <w:rsid w:val="00192943"/>
    <w:rsid w:val="00195133"/>
    <w:rsid w:val="001A36F6"/>
    <w:rsid w:val="001A7406"/>
    <w:rsid w:val="001B4FEE"/>
    <w:rsid w:val="001B51C5"/>
    <w:rsid w:val="001B6F3F"/>
    <w:rsid w:val="001C52B5"/>
    <w:rsid w:val="001C7573"/>
    <w:rsid w:val="001D0D3E"/>
    <w:rsid w:val="001F2245"/>
    <w:rsid w:val="001F6DA1"/>
    <w:rsid w:val="002044E6"/>
    <w:rsid w:val="00205C82"/>
    <w:rsid w:val="00205DC2"/>
    <w:rsid w:val="002163B6"/>
    <w:rsid w:val="00220732"/>
    <w:rsid w:val="00221D32"/>
    <w:rsid w:val="00225C3F"/>
    <w:rsid w:val="00254F2D"/>
    <w:rsid w:val="00263D44"/>
    <w:rsid w:val="00266991"/>
    <w:rsid w:val="00292D82"/>
    <w:rsid w:val="002963CB"/>
    <w:rsid w:val="002D226D"/>
    <w:rsid w:val="002F6030"/>
    <w:rsid w:val="003037E1"/>
    <w:rsid w:val="00307E51"/>
    <w:rsid w:val="003103EC"/>
    <w:rsid w:val="003144EF"/>
    <w:rsid w:val="00322F74"/>
    <w:rsid w:val="00331A64"/>
    <w:rsid w:val="00335CD4"/>
    <w:rsid w:val="00340073"/>
    <w:rsid w:val="00372805"/>
    <w:rsid w:val="00373180"/>
    <w:rsid w:val="00375AB9"/>
    <w:rsid w:val="003821A0"/>
    <w:rsid w:val="00385931"/>
    <w:rsid w:val="00385B04"/>
    <w:rsid w:val="00386427"/>
    <w:rsid w:val="003A22A6"/>
    <w:rsid w:val="003A3D62"/>
    <w:rsid w:val="003A5494"/>
    <w:rsid w:val="003B2510"/>
    <w:rsid w:val="003C2CC4"/>
    <w:rsid w:val="003D1F92"/>
    <w:rsid w:val="003E0EFC"/>
    <w:rsid w:val="003E4A2B"/>
    <w:rsid w:val="003E76C2"/>
    <w:rsid w:val="003F1679"/>
    <w:rsid w:val="003F4A35"/>
    <w:rsid w:val="003F7FDD"/>
    <w:rsid w:val="00402481"/>
    <w:rsid w:val="004042B4"/>
    <w:rsid w:val="00412DAE"/>
    <w:rsid w:val="00431598"/>
    <w:rsid w:val="00431D9A"/>
    <w:rsid w:val="00444432"/>
    <w:rsid w:val="0046674F"/>
    <w:rsid w:val="00471860"/>
    <w:rsid w:val="0048297A"/>
    <w:rsid w:val="004C006F"/>
    <w:rsid w:val="004C3150"/>
    <w:rsid w:val="004C3641"/>
    <w:rsid w:val="004C4390"/>
    <w:rsid w:val="004C4AF7"/>
    <w:rsid w:val="004D2881"/>
    <w:rsid w:val="004D385F"/>
    <w:rsid w:val="004D3E47"/>
    <w:rsid w:val="004D5B39"/>
    <w:rsid w:val="004E5147"/>
    <w:rsid w:val="00506C03"/>
    <w:rsid w:val="0052572A"/>
    <w:rsid w:val="00543CB3"/>
    <w:rsid w:val="00552D12"/>
    <w:rsid w:val="005614BD"/>
    <w:rsid w:val="0057154F"/>
    <w:rsid w:val="00581CA3"/>
    <w:rsid w:val="00597730"/>
    <w:rsid w:val="00597DE7"/>
    <w:rsid w:val="005A4AA2"/>
    <w:rsid w:val="005B34B6"/>
    <w:rsid w:val="005B6C8F"/>
    <w:rsid w:val="005D0F74"/>
    <w:rsid w:val="005D2E7D"/>
    <w:rsid w:val="005D4A8F"/>
    <w:rsid w:val="005D561B"/>
    <w:rsid w:val="005F468D"/>
    <w:rsid w:val="00603296"/>
    <w:rsid w:val="00615423"/>
    <w:rsid w:val="006165B2"/>
    <w:rsid w:val="00617276"/>
    <w:rsid w:val="00625D97"/>
    <w:rsid w:val="00625F1C"/>
    <w:rsid w:val="00630CEB"/>
    <w:rsid w:val="00632264"/>
    <w:rsid w:val="006470BC"/>
    <w:rsid w:val="00667036"/>
    <w:rsid w:val="0067527E"/>
    <w:rsid w:val="006771B8"/>
    <w:rsid w:val="00680C28"/>
    <w:rsid w:val="0068481F"/>
    <w:rsid w:val="00696F5D"/>
    <w:rsid w:val="00697249"/>
    <w:rsid w:val="006B3947"/>
    <w:rsid w:val="006B4293"/>
    <w:rsid w:val="006C31E3"/>
    <w:rsid w:val="00705B04"/>
    <w:rsid w:val="007349DC"/>
    <w:rsid w:val="00734E0C"/>
    <w:rsid w:val="0074365E"/>
    <w:rsid w:val="007515FD"/>
    <w:rsid w:val="00760D80"/>
    <w:rsid w:val="00780C09"/>
    <w:rsid w:val="00780DDF"/>
    <w:rsid w:val="007834E9"/>
    <w:rsid w:val="007847EE"/>
    <w:rsid w:val="00787DBC"/>
    <w:rsid w:val="007932B9"/>
    <w:rsid w:val="007A04A1"/>
    <w:rsid w:val="007A1840"/>
    <w:rsid w:val="007C0528"/>
    <w:rsid w:val="007C3D38"/>
    <w:rsid w:val="007C4390"/>
    <w:rsid w:val="007D0F35"/>
    <w:rsid w:val="007D4FEB"/>
    <w:rsid w:val="007D6146"/>
    <w:rsid w:val="007E0CE7"/>
    <w:rsid w:val="007F417F"/>
    <w:rsid w:val="00816624"/>
    <w:rsid w:val="00822562"/>
    <w:rsid w:val="00823663"/>
    <w:rsid w:val="00832DDC"/>
    <w:rsid w:val="00850BAC"/>
    <w:rsid w:val="008511A5"/>
    <w:rsid w:val="00854A3E"/>
    <w:rsid w:val="00855D08"/>
    <w:rsid w:val="00874344"/>
    <w:rsid w:val="00875045"/>
    <w:rsid w:val="00882155"/>
    <w:rsid w:val="0088233B"/>
    <w:rsid w:val="00886C37"/>
    <w:rsid w:val="008B62AE"/>
    <w:rsid w:val="008C04B5"/>
    <w:rsid w:val="008C0CD5"/>
    <w:rsid w:val="008C14FA"/>
    <w:rsid w:val="008D4057"/>
    <w:rsid w:val="008E0CD7"/>
    <w:rsid w:val="008F2262"/>
    <w:rsid w:val="008F47CC"/>
    <w:rsid w:val="008F7736"/>
    <w:rsid w:val="0090019E"/>
    <w:rsid w:val="00901086"/>
    <w:rsid w:val="00901C8A"/>
    <w:rsid w:val="00905886"/>
    <w:rsid w:val="009070D6"/>
    <w:rsid w:val="009076C6"/>
    <w:rsid w:val="0091019E"/>
    <w:rsid w:val="009106F1"/>
    <w:rsid w:val="009145D6"/>
    <w:rsid w:val="00920E64"/>
    <w:rsid w:val="00922002"/>
    <w:rsid w:val="009234C9"/>
    <w:rsid w:val="00924020"/>
    <w:rsid w:val="009271A7"/>
    <w:rsid w:val="0093658B"/>
    <w:rsid w:val="009429FF"/>
    <w:rsid w:val="00945BD6"/>
    <w:rsid w:val="009479FB"/>
    <w:rsid w:val="00951C45"/>
    <w:rsid w:val="00966A08"/>
    <w:rsid w:val="00971207"/>
    <w:rsid w:val="00975CB4"/>
    <w:rsid w:val="0098401F"/>
    <w:rsid w:val="009863B0"/>
    <w:rsid w:val="00987DE1"/>
    <w:rsid w:val="00990571"/>
    <w:rsid w:val="0099266D"/>
    <w:rsid w:val="0099673A"/>
    <w:rsid w:val="009A3330"/>
    <w:rsid w:val="009A7C96"/>
    <w:rsid w:val="009C3DB9"/>
    <w:rsid w:val="009D46E5"/>
    <w:rsid w:val="009D568A"/>
    <w:rsid w:val="009E7809"/>
    <w:rsid w:val="009F04EC"/>
    <w:rsid w:val="009F3B36"/>
    <w:rsid w:val="00A019B9"/>
    <w:rsid w:val="00A12508"/>
    <w:rsid w:val="00A1282B"/>
    <w:rsid w:val="00A13A27"/>
    <w:rsid w:val="00A175B6"/>
    <w:rsid w:val="00A21835"/>
    <w:rsid w:val="00A24051"/>
    <w:rsid w:val="00A328EC"/>
    <w:rsid w:val="00A33A51"/>
    <w:rsid w:val="00A40C63"/>
    <w:rsid w:val="00A41CA6"/>
    <w:rsid w:val="00A47927"/>
    <w:rsid w:val="00A47FFC"/>
    <w:rsid w:val="00A5442F"/>
    <w:rsid w:val="00A54FF9"/>
    <w:rsid w:val="00A56765"/>
    <w:rsid w:val="00A6579D"/>
    <w:rsid w:val="00A7247A"/>
    <w:rsid w:val="00A7581F"/>
    <w:rsid w:val="00A86994"/>
    <w:rsid w:val="00A92FB1"/>
    <w:rsid w:val="00A95A0C"/>
    <w:rsid w:val="00AA2765"/>
    <w:rsid w:val="00AA77B5"/>
    <w:rsid w:val="00AB6C5D"/>
    <w:rsid w:val="00AC51A7"/>
    <w:rsid w:val="00AE1466"/>
    <w:rsid w:val="00AF5F89"/>
    <w:rsid w:val="00AF73CB"/>
    <w:rsid w:val="00B002D6"/>
    <w:rsid w:val="00B05B51"/>
    <w:rsid w:val="00B14424"/>
    <w:rsid w:val="00B15370"/>
    <w:rsid w:val="00B17BEB"/>
    <w:rsid w:val="00B2194A"/>
    <w:rsid w:val="00B21A3C"/>
    <w:rsid w:val="00B223C0"/>
    <w:rsid w:val="00B234ED"/>
    <w:rsid w:val="00B25CA3"/>
    <w:rsid w:val="00B35D5E"/>
    <w:rsid w:val="00B57A6A"/>
    <w:rsid w:val="00B760F1"/>
    <w:rsid w:val="00B7669E"/>
    <w:rsid w:val="00B77DA1"/>
    <w:rsid w:val="00BA0D55"/>
    <w:rsid w:val="00BA37B3"/>
    <w:rsid w:val="00BA4CC6"/>
    <w:rsid w:val="00BB3493"/>
    <w:rsid w:val="00BB4D18"/>
    <w:rsid w:val="00BC188A"/>
    <w:rsid w:val="00BF5010"/>
    <w:rsid w:val="00C07FE7"/>
    <w:rsid w:val="00C13791"/>
    <w:rsid w:val="00C31BB3"/>
    <w:rsid w:val="00C36977"/>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698E"/>
    <w:rsid w:val="00DF4BC4"/>
    <w:rsid w:val="00E06484"/>
    <w:rsid w:val="00E20A7D"/>
    <w:rsid w:val="00E275D8"/>
    <w:rsid w:val="00E375CA"/>
    <w:rsid w:val="00E567E8"/>
    <w:rsid w:val="00E64679"/>
    <w:rsid w:val="00E65EBC"/>
    <w:rsid w:val="00E71B2C"/>
    <w:rsid w:val="00E73432"/>
    <w:rsid w:val="00E77B0C"/>
    <w:rsid w:val="00E77FB8"/>
    <w:rsid w:val="00E838B0"/>
    <w:rsid w:val="00E86A7C"/>
    <w:rsid w:val="00E878E1"/>
    <w:rsid w:val="00E95278"/>
    <w:rsid w:val="00EA0E01"/>
    <w:rsid w:val="00EA1D00"/>
    <w:rsid w:val="00EA2273"/>
    <w:rsid w:val="00EB2DB3"/>
    <w:rsid w:val="00EC3FBB"/>
    <w:rsid w:val="00EC6B7A"/>
    <w:rsid w:val="00ED3A87"/>
    <w:rsid w:val="00ED4BE1"/>
    <w:rsid w:val="00ED5B67"/>
    <w:rsid w:val="00EE768A"/>
    <w:rsid w:val="00EF3FEE"/>
    <w:rsid w:val="00F04B59"/>
    <w:rsid w:val="00F07414"/>
    <w:rsid w:val="00F11741"/>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 w:val="00FE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34E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34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4BDF-1A5E-4262-850F-ABE5D222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763</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Elisabeth Draper</dc:creator>
  <cp:lastModifiedBy>Jackie Colson</cp:lastModifiedBy>
  <cp:revision>2</cp:revision>
  <cp:lastPrinted>2015-09-03T12:52:00Z</cp:lastPrinted>
  <dcterms:created xsi:type="dcterms:W3CDTF">2015-09-03T13:57:00Z</dcterms:created>
  <dcterms:modified xsi:type="dcterms:W3CDTF">2015-09-03T13:57:00Z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150178-EI</vt:lpwstr>
  </property>
  <property fmtid="{D5CDD505-2E9C-101B-9397-08002B2CF9AE}" pid="3" name="MasterDocument">
    <vt:bool>false</vt:bool>
  </property>
</Properties>
</file>