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52410E" w:rsidP="0052410E">
      <w:pPr>
        <w:pStyle w:val="OrderHeading"/>
      </w:pPr>
      <w:r>
        <w:t>BEFORE THE FLORIDA PUBLIC SERVICE COMMISSION</w:t>
      </w:r>
    </w:p>
    <w:p w:rsidR="0052410E" w:rsidRDefault="0052410E" w:rsidP="0052410E">
      <w:pPr>
        <w:pStyle w:val="OrderHeading"/>
      </w:pPr>
    </w:p>
    <w:p w:rsidR="0052410E" w:rsidRDefault="0052410E" w:rsidP="0052410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2410E" w:rsidRPr="00C63FCF" w:rsidTr="0052410E">
        <w:trPr>
          <w:trHeight w:val="828"/>
        </w:trPr>
        <w:tc>
          <w:tcPr>
            <w:tcW w:w="4788" w:type="dxa"/>
            <w:tcBorders>
              <w:bottom w:val="single" w:sz="8" w:space="0" w:color="auto"/>
              <w:right w:val="double" w:sz="6" w:space="0" w:color="auto"/>
            </w:tcBorders>
            <w:shd w:val="clear" w:color="auto" w:fill="auto"/>
          </w:tcPr>
          <w:p w:rsidR="0052410E" w:rsidRDefault="0052410E" w:rsidP="0052410E">
            <w:pPr>
              <w:pStyle w:val="OrderBody"/>
              <w:tabs>
                <w:tab w:val="center" w:pos="4320"/>
                <w:tab w:val="right" w:pos="8640"/>
              </w:tabs>
              <w:jc w:val="left"/>
            </w:pPr>
            <w:r>
              <w:t xml:space="preserve">In re: </w:t>
            </w:r>
            <w:bookmarkStart w:id="0" w:name="SSInRe"/>
            <w:bookmarkEnd w:id="0"/>
            <w:r>
              <w:t>Environmental cost recovery clause.</w:t>
            </w:r>
          </w:p>
        </w:tc>
        <w:tc>
          <w:tcPr>
            <w:tcW w:w="4788" w:type="dxa"/>
            <w:tcBorders>
              <w:left w:val="double" w:sz="6" w:space="0" w:color="auto"/>
            </w:tcBorders>
            <w:shd w:val="clear" w:color="auto" w:fill="auto"/>
          </w:tcPr>
          <w:p w:rsidR="0052410E" w:rsidRDefault="0052410E" w:rsidP="0052410E">
            <w:pPr>
              <w:pStyle w:val="OrderBody"/>
            </w:pPr>
            <w:r>
              <w:t xml:space="preserve">DOCKET NO. </w:t>
            </w:r>
            <w:bookmarkStart w:id="1" w:name="SSDocketNo"/>
            <w:bookmarkEnd w:id="1"/>
            <w:r>
              <w:t>150007-EI</w:t>
            </w:r>
          </w:p>
          <w:p w:rsidR="0052410E" w:rsidRDefault="0052410E" w:rsidP="0052410E">
            <w:pPr>
              <w:pStyle w:val="OrderBody"/>
              <w:tabs>
                <w:tab w:val="center" w:pos="4320"/>
                <w:tab w:val="right" w:pos="8640"/>
              </w:tabs>
              <w:jc w:val="left"/>
            </w:pPr>
            <w:r>
              <w:t xml:space="preserve">ORDER NO. </w:t>
            </w:r>
            <w:bookmarkStart w:id="2" w:name="OrderNo0536"/>
            <w:r w:rsidR="00735682">
              <w:t>PSC-15-0536-FOF-EI</w:t>
            </w:r>
            <w:bookmarkEnd w:id="2"/>
          </w:p>
          <w:p w:rsidR="0052410E" w:rsidRDefault="0052410E" w:rsidP="0052410E">
            <w:pPr>
              <w:pStyle w:val="OrderBody"/>
              <w:tabs>
                <w:tab w:val="center" w:pos="4320"/>
                <w:tab w:val="right" w:pos="8640"/>
              </w:tabs>
              <w:jc w:val="left"/>
            </w:pPr>
            <w:r>
              <w:t xml:space="preserve">ISSUED: </w:t>
            </w:r>
            <w:r w:rsidR="00735682">
              <w:t>November 19, 2015</w:t>
            </w:r>
          </w:p>
        </w:tc>
      </w:tr>
    </w:tbl>
    <w:p w:rsidR="0052410E" w:rsidRDefault="0052410E" w:rsidP="0052410E"/>
    <w:p w:rsidR="0052410E" w:rsidRDefault="0052410E" w:rsidP="0052410E"/>
    <w:p w:rsidR="0052410E" w:rsidRPr="00E46E1F" w:rsidRDefault="0052410E">
      <w:pPr>
        <w:ind w:firstLine="720"/>
        <w:jc w:val="both"/>
      </w:pPr>
      <w:bookmarkStart w:id="3" w:name="Commissioners"/>
      <w:bookmarkEnd w:id="3"/>
      <w:r w:rsidRPr="00E46E1F">
        <w:t>The following Commissioners participated in the disposition of this matter:</w:t>
      </w:r>
    </w:p>
    <w:p w:rsidR="0052410E" w:rsidRPr="00E46E1F" w:rsidRDefault="0052410E"/>
    <w:p w:rsidR="0052410E" w:rsidRDefault="0052410E">
      <w:pPr>
        <w:jc w:val="center"/>
      </w:pPr>
      <w:r>
        <w:t>ART GRAHAM</w:t>
      </w:r>
      <w:r w:rsidRPr="00E46E1F">
        <w:t>, Chairman</w:t>
      </w:r>
    </w:p>
    <w:p w:rsidR="0052410E" w:rsidRPr="00E46E1F" w:rsidRDefault="0052410E">
      <w:pPr>
        <w:jc w:val="center"/>
      </w:pPr>
      <w:r w:rsidRPr="00E46E1F">
        <w:t>LISA POLAK EDGAR</w:t>
      </w:r>
    </w:p>
    <w:p w:rsidR="0052410E" w:rsidRDefault="0052410E">
      <w:pPr>
        <w:jc w:val="center"/>
      </w:pPr>
      <w:r>
        <w:t>RONALD A. BRISÉ</w:t>
      </w:r>
    </w:p>
    <w:p w:rsidR="0052410E" w:rsidRDefault="0052410E">
      <w:pPr>
        <w:jc w:val="center"/>
      </w:pPr>
      <w:r>
        <w:t>JULIE I. BROWN</w:t>
      </w:r>
    </w:p>
    <w:p w:rsidR="0052410E" w:rsidRDefault="0052410E">
      <w:pPr>
        <w:jc w:val="center"/>
      </w:pPr>
      <w:r>
        <w:t>JIMMY PATRONIS</w:t>
      </w:r>
    </w:p>
    <w:p w:rsidR="00CB5276" w:rsidRDefault="00CB5276">
      <w:pPr>
        <w:pStyle w:val="OrderBody"/>
      </w:pPr>
      <w:bookmarkStart w:id="4" w:name="OrderText"/>
      <w:bookmarkEnd w:id="4"/>
    </w:p>
    <w:p w:rsidR="0052410E" w:rsidRPr="00242C64" w:rsidRDefault="0052410E" w:rsidP="0052410E">
      <w:pPr>
        <w:jc w:val="both"/>
      </w:pPr>
      <w:r w:rsidRPr="00242C64">
        <w:t>APPEARANCES:</w:t>
      </w:r>
    </w:p>
    <w:p w:rsidR="0052410E" w:rsidRPr="00242C64" w:rsidRDefault="0052410E" w:rsidP="0052410E">
      <w:pPr>
        <w:jc w:val="both"/>
      </w:pPr>
    </w:p>
    <w:p w:rsidR="0052410E" w:rsidRPr="00242C64" w:rsidRDefault="0052410E" w:rsidP="0052410E">
      <w:pPr>
        <w:ind w:left="1440"/>
        <w:jc w:val="both"/>
      </w:pPr>
      <w:r w:rsidRPr="00242C64">
        <w:t>R. WADE LITCHFIELD, JOHN T. BUTLER and MARIA J. MONCADA, ESQUIRES, 700 Universe Boulevard, Juno Beach, Florida 33408-0420</w:t>
      </w:r>
    </w:p>
    <w:p w:rsidR="0052410E" w:rsidRPr="00242C64" w:rsidRDefault="0052410E" w:rsidP="0052410E">
      <w:pPr>
        <w:ind w:left="1440"/>
        <w:jc w:val="both"/>
      </w:pPr>
      <w:r w:rsidRPr="00242C64">
        <w:rPr>
          <w:u w:val="single"/>
        </w:rPr>
        <w:t>On behalf of Florida Power &amp; Light Company (FPL)</w:t>
      </w:r>
    </w:p>
    <w:p w:rsidR="0052410E" w:rsidRPr="00242C64" w:rsidRDefault="0052410E" w:rsidP="0052410E">
      <w:pPr>
        <w:jc w:val="both"/>
      </w:pPr>
    </w:p>
    <w:p w:rsidR="0052410E" w:rsidRPr="00242C64" w:rsidRDefault="0052410E" w:rsidP="0052410E">
      <w:pPr>
        <w:tabs>
          <w:tab w:val="left" w:pos="1428"/>
        </w:tabs>
        <w:ind w:left="1440"/>
        <w:jc w:val="both"/>
      </w:pPr>
      <w:r w:rsidRPr="00242C64">
        <w:t xml:space="preserve">MATTHEW R. BERNIER, and DIANNE M. TRIPLETT, ESQUIRES, 106 East College, Avenue, Suite 800, Tallahassee, Florida 32301-7740 </w:t>
      </w:r>
    </w:p>
    <w:p w:rsidR="0052410E" w:rsidRPr="00242C64" w:rsidRDefault="0052410E" w:rsidP="0052410E">
      <w:pPr>
        <w:tabs>
          <w:tab w:val="left" w:pos="1428"/>
        </w:tabs>
        <w:ind w:left="1440"/>
        <w:jc w:val="both"/>
        <w:rPr>
          <w:u w:val="single"/>
        </w:rPr>
      </w:pPr>
      <w:r w:rsidRPr="00242C64">
        <w:rPr>
          <w:u w:val="single"/>
        </w:rPr>
        <w:t>On behalf of Duke Energy Florida, LLC. (DEF)</w:t>
      </w:r>
    </w:p>
    <w:p w:rsidR="0052410E" w:rsidRPr="00242C64" w:rsidRDefault="0052410E" w:rsidP="0052410E">
      <w:pPr>
        <w:ind w:left="720" w:firstLine="720"/>
        <w:jc w:val="both"/>
      </w:pPr>
    </w:p>
    <w:p w:rsidR="0052410E" w:rsidRPr="00242C64" w:rsidRDefault="0052410E" w:rsidP="0052410E">
      <w:pPr>
        <w:ind w:left="1440"/>
        <w:jc w:val="both"/>
      </w:pPr>
      <w:r w:rsidRPr="00242C64">
        <w:t>JAMES D. BEASLEY, J. JEFFRY WAHLEN, and ASHLEY M. DANIELS, ESQUIRES, Ausley &amp; McMullen, Post Office Box 391, Tallahassee, Florida 32302</w:t>
      </w:r>
    </w:p>
    <w:p w:rsidR="0052410E" w:rsidRPr="00242C64" w:rsidRDefault="0052410E" w:rsidP="0052410E">
      <w:pPr>
        <w:tabs>
          <w:tab w:val="left" w:pos="1428"/>
        </w:tabs>
        <w:ind w:left="1440"/>
        <w:jc w:val="both"/>
        <w:rPr>
          <w:u w:val="single"/>
        </w:rPr>
      </w:pPr>
      <w:r w:rsidRPr="00242C64">
        <w:rPr>
          <w:u w:val="single"/>
        </w:rPr>
        <w:t>On behalf of Tampa Electric Company (TECO)</w:t>
      </w:r>
    </w:p>
    <w:p w:rsidR="0052410E" w:rsidRPr="00242C64" w:rsidRDefault="0052410E" w:rsidP="0052410E">
      <w:pPr>
        <w:ind w:left="720" w:firstLine="720"/>
        <w:jc w:val="both"/>
      </w:pPr>
    </w:p>
    <w:p w:rsidR="0052410E" w:rsidRPr="00242C64" w:rsidRDefault="0052410E" w:rsidP="0052410E">
      <w:pPr>
        <w:ind w:left="1440"/>
        <w:jc w:val="both"/>
      </w:pPr>
      <w:r w:rsidRPr="00242C64">
        <w:t>JEFFREY A. STONE, RUSSELL A. BADDERS, and STEVEN R. GRIFFIN, ESQUIRES, Beggs &amp; Lane, Post Office Box 12950, Pensacola, Florida 32591-2950</w:t>
      </w:r>
    </w:p>
    <w:p w:rsidR="0052410E" w:rsidRPr="00242C64" w:rsidRDefault="0052410E" w:rsidP="0052410E">
      <w:pPr>
        <w:tabs>
          <w:tab w:val="left" w:pos="1428"/>
        </w:tabs>
        <w:jc w:val="both"/>
      </w:pPr>
      <w:r w:rsidRPr="00242C64">
        <w:tab/>
      </w:r>
      <w:r w:rsidRPr="00242C64">
        <w:rPr>
          <w:u w:val="single"/>
        </w:rPr>
        <w:t>On behalf of Gulf Power Company (Gulf)</w:t>
      </w:r>
    </w:p>
    <w:p w:rsidR="0052410E" w:rsidRPr="00242C64" w:rsidRDefault="0052410E" w:rsidP="0052410E">
      <w:pPr>
        <w:ind w:left="720" w:firstLine="720"/>
        <w:jc w:val="both"/>
      </w:pPr>
    </w:p>
    <w:p w:rsidR="0052410E" w:rsidRPr="00242C64" w:rsidRDefault="0052410E" w:rsidP="0052410E">
      <w:pPr>
        <w:ind w:left="1440"/>
        <w:jc w:val="both"/>
      </w:pPr>
      <w:r w:rsidRPr="00242C64">
        <w:t>PATRICIA A. CHRISTENSEN, Associate Public Counsel, and CHARLES REHWINKEL, Deputy Public Counsel, ESQUIRES, Office of Public Counsel, c/o The Florida Legislature, 111 West Madison Street, Room 812, Tallahassee, Florida 32399-1400</w:t>
      </w:r>
    </w:p>
    <w:p w:rsidR="0052410E" w:rsidRPr="00242C64" w:rsidRDefault="0052410E" w:rsidP="0052410E">
      <w:pPr>
        <w:ind w:left="720" w:firstLine="720"/>
        <w:jc w:val="both"/>
        <w:rPr>
          <w:u w:val="single"/>
        </w:rPr>
      </w:pPr>
      <w:r w:rsidRPr="00242C64">
        <w:rPr>
          <w:u w:val="single"/>
        </w:rPr>
        <w:t>On behalf of the Citizens of the State of Florida (OPC)</w:t>
      </w:r>
    </w:p>
    <w:p w:rsidR="0052410E" w:rsidRPr="00242C64" w:rsidRDefault="0052410E" w:rsidP="0052410E">
      <w:pPr>
        <w:ind w:left="720" w:firstLine="720"/>
        <w:jc w:val="both"/>
      </w:pPr>
    </w:p>
    <w:p w:rsidR="0052410E" w:rsidRPr="00242C64" w:rsidRDefault="0052410E" w:rsidP="0052410E">
      <w:pPr>
        <w:ind w:left="1440"/>
        <w:jc w:val="both"/>
      </w:pPr>
      <w:r w:rsidRPr="00242C64">
        <w:t>JON MOYLE, JR. and KAREN PUTNAL, ESQUIRES, Moyle Law Firm, P.A., 118 North Gadsden Street, Tallahassee, Florida 32312</w:t>
      </w:r>
    </w:p>
    <w:p w:rsidR="0052410E" w:rsidRPr="00242C64" w:rsidRDefault="0052410E" w:rsidP="0052410E">
      <w:pPr>
        <w:ind w:left="1440"/>
        <w:jc w:val="both"/>
      </w:pPr>
      <w:r w:rsidRPr="00242C64">
        <w:rPr>
          <w:u w:val="single"/>
        </w:rPr>
        <w:t>On behalf of the Florida Industrial Power Users Group (FIPUG)</w:t>
      </w:r>
    </w:p>
    <w:p w:rsidR="0052410E" w:rsidRPr="00242C64" w:rsidRDefault="0052410E" w:rsidP="0052410E">
      <w:pPr>
        <w:ind w:left="720" w:firstLine="720"/>
        <w:jc w:val="both"/>
      </w:pPr>
    </w:p>
    <w:p w:rsidR="0052410E" w:rsidRPr="00242C64" w:rsidRDefault="0052410E" w:rsidP="0052410E">
      <w:pPr>
        <w:ind w:left="1440"/>
        <w:jc w:val="both"/>
      </w:pPr>
      <w:r w:rsidRPr="00242C64">
        <w:lastRenderedPageBreak/>
        <w:t>JAMES W. BREW, OWEN J. KOPON and LAURA A. WYNN, ESQUIRES, Stone Mattheis Xenopoulos &amp; Brew, P.C., 1025 Thomas Jefferson St., N.W., Eighth Floor, West Tower, Washington, D.C. 20007</w:t>
      </w:r>
    </w:p>
    <w:p w:rsidR="0052410E" w:rsidRPr="00242C64" w:rsidRDefault="0052410E" w:rsidP="0052410E">
      <w:pPr>
        <w:ind w:left="1440"/>
        <w:jc w:val="both"/>
      </w:pPr>
      <w:r w:rsidRPr="00242C64">
        <w:rPr>
          <w:u w:val="single"/>
        </w:rPr>
        <w:t>On behalf of White Springs Agricultural Chemicals, Inc. d/b/a PCS Phosphate – White Springs (PCS PHOSPHATE or PCS)</w:t>
      </w:r>
    </w:p>
    <w:p w:rsidR="0052410E" w:rsidRPr="00242C64" w:rsidRDefault="0052410E" w:rsidP="0052410E">
      <w:pPr>
        <w:jc w:val="both"/>
      </w:pPr>
    </w:p>
    <w:p w:rsidR="0052410E" w:rsidRPr="00242C64" w:rsidRDefault="0052410E" w:rsidP="0052410E">
      <w:pPr>
        <w:ind w:left="1440"/>
        <w:jc w:val="both"/>
      </w:pPr>
      <w:r w:rsidRPr="00242C64">
        <w:t>C</w:t>
      </w:r>
      <w:r>
        <w:t>HARLES W. MURPHY</w:t>
      </w:r>
      <w:r w:rsidRPr="00242C64">
        <w:t>, ESQUIRE, Florida Public Service Commission, 2540 Shumard Oak Boulevard, Tallahassee, Florida 32399-0850</w:t>
      </w:r>
    </w:p>
    <w:p w:rsidR="0052410E" w:rsidRPr="00242C64" w:rsidRDefault="0052410E" w:rsidP="0052410E">
      <w:pPr>
        <w:ind w:left="720" w:firstLine="720"/>
        <w:jc w:val="both"/>
      </w:pPr>
      <w:r w:rsidRPr="00242C64">
        <w:rPr>
          <w:u w:val="single"/>
        </w:rPr>
        <w:t>On behalf of the Florida Public Service Commission (Staff)</w:t>
      </w:r>
      <w:r w:rsidRPr="00242C64">
        <w:t>.</w:t>
      </w:r>
    </w:p>
    <w:p w:rsidR="0052410E" w:rsidRPr="00242C64" w:rsidRDefault="0052410E" w:rsidP="0052410E">
      <w:pPr>
        <w:jc w:val="both"/>
      </w:pPr>
    </w:p>
    <w:p w:rsidR="0052410E" w:rsidRPr="00242C64" w:rsidRDefault="0052410E" w:rsidP="0052410E">
      <w:pPr>
        <w:ind w:left="1440"/>
        <w:jc w:val="both"/>
      </w:pPr>
      <w:r w:rsidRPr="00242C64">
        <w:t>M</w:t>
      </w:r>
      <w:r>
        <w:t>ARY ANNE HELTON</w:t>
      </w:r>
      <w:r w:rsidRPr="00242C64">
        <w:t>, Deputy General Counsel, Florida Public Service Commission, 2540 Shumard Oak Boulevard, Tallahassee, Florida 32399-0850</w:t>
      </w:r>
    </w:p>
    <w:p w:rsidR="00E935E7" w:rsidRDefault="0052410E" w:rsidP="00E935E7">
      <w:pPr>
        <w:ind w:left="720" w:firstLine="720"/>
        <w:jc w:val="both"/>
      </w:pPr>
      <w:r w:rsidRPr="00242C64">
        <w:rPr>
          <w:u w:val="single"/>
        </w:rPr>
        <w:t>Advisor to the Florida Public Service Commission</w:t>
      </w:r>
      <w:r w:rsidRPr="00242C64">
        <w:t>.</w:t>
      </w:r>
    </w:p>
    <w:p w:rsidR="00E935E7" w:rsidRDefault="00E935E7" w:rsidP="00E935E7">
      <w:pPr>
        <w:ind w:left="720" w:firstLine="720"/>
        <w:jc w:val="both"/>
      </w:pPr>
    </w:p>
    <w:p w:rsidR="00875A01" w:rsidRDefault="00875A01" w:rsidP="00875A01">
      <w:pPr>
        <w:pStyle w:val="CenterUnderline"/>
      </w:pPr>
    </w:p>
    <w:p w:rsidR="00875A01" w:rsidRDefault="00875A01" w:rsidP="00875A01">
      <w:pPr>
        <w:pStyle w:val="CenterUnderline"/>
      </w:pPr>
    </w:p>
    <w:p w:rsidR="00875A01" w:rsidRDefault="00875A01" w:rsidP="00875A01">
      <w:pPr>
        <w:pStyle w:val="CenterUnderline"/>
      </w:pPr>
      <w:r>
        <w:t>FINAL ORDER</w:t>
      </w:r>
      <w:bookmarkStart w:id="5" w:name="OrderTitle"/>
    </w:p>
    <w:p w:rsidR="00875A01" w:rsidRDefault="00875A01" w:rsidP="00875A01">
      <w:pPr>
        <w:pStyle w:val="CenterUnderline"/>
      </w:pPr>
      <w:r>
        <w:t xml:space="preserve">APPROVING PROJECTED EXPENDITURES AND TRUE-UP </w:t>
      </w:r>
    </w:p>
    <w:p w:rsidR="00875A01" w:rsidRDefault="00875A01" w:rsidP="00875A01">
      <w:pPr>
        <w:pStyle w:val="CenterUnderline"/>
      </w:pPr>
      <w:r>
        <w:t xml:space="preserve">AMOUNTS FOR ENVIRONMENTAL COST RECOVERY </w:t>
      </w:r>
      <w:bookmarkEnd w:id="5"/>
    </w:p>
    <w:p w:rsidR="00E935E7" w:rsidRDefault="00E935E7" w:rsidP="00E935E7">
      <w:pPr>
        <w:ind w:left="720" w:firstLine="720"/>
        <w:jc w:val="both"/>
      </w:pPr>
    </w:p>
    <w:p w:rsidR="00875A01" w:rsidRDefault="00875A01" w:rsidP="00E935E7">
      <w:pPr>
        <w:ind w:left="720" w:firstLine="720"/>
        <w:jc w:val="both"/>
      </w:pPr>
    </w:p>
    <w:p w:rsidR="00875A01" w:rsidRDefault="00875A01" w:rsidP="00E935E7">
      <w:pPr>
        <w:ind w:left="720" w:firstLine="720"/>
        <w:jc w:val="both"/>
      </w:pPr>
    </w:p>
    <w:p w:rsidR="0052410E" w:rsidRDefault="0052410E" w:rsidP="00E935E7">
      <w:pPr>
        <w:ind w:left="720" w:hanging="720"/>
        <w:jc w:val="center"/>
        <w:rPr>
          <w:u w:val="single"/>
        </w:rPr>
      </w:pPr>
      <w:r w:rsidRPr="00242C64">
        <w:rPr>
          <w:u w:val="single"/>
        </w:rPr>
        <w:t>BACKGROUND</w:t>
      </w:r>
    </w:p>
    <w:p w:rsidR="00E935E7" w:rsidRPr="00242C64" w:rsidRDefault="00E935E7" w:rsidP="00E935E7">
      <w:pPr>
        <w:ind w:left="720" w:hanging="720"/>
        <w:jc w:val="both"/>
      </w:pPr>
    </w:p>
    <w:p w:rsidR="00016DDD" w:rsidRDefault="0052410E" w:rsidP="0052410E">
      <w:pPr>
        <w:jc w:val="both"/>
      </w:pPr>
      <w:r w:rsidRPr="00242C64">
        <w:tab/>
        <w:t>As part of th</w:t>
      </w:r>
      <w:r w:rsidR="00581754">
        <w:t>is</w:t>
      </w:r>
      <w:r w:rsidRPr="00242C64">
        <w:t xml:space="preserve"> Commission’s continuing </w:t>
      </w:r>
      <w:r>
        <w:t>E</w:t>
      </w:r>
      <w:r w:rsidRPr="00242C64">
        <w:t xml:space="preserve">nvironmental </w:t>
      </w:r>
      <w:r>
        <w:t>C</w:t>
      </w:r>
      <w:r w:rsidRPr="00242C64">
        <w:t xml:space="preserve">ost </w:t>
      </w:r>
      <w:r>
        <w:t>R</w:t>
      </w:r>
      <w:r w:rsidRPr="00242C64">
        <w:t xml:space="preserve">ecovery </w:t>
      </w:r>
      <w:r>
        <w:t>C</w:t>
      </w:r>
      <w:r w:rsidRPr="00242C64">
        <w:t xml:space="preserve">lause proceedings, </w:t>
      </w:r>
      <w:r w:rsidR="00016DDD">
        <w:t xml:space="preserve">a hearing was held in this docket on </w:t>
      </w:r>
      <w:r w:rsidRPr="00242C64">
        <w:t>November 2, 2015.</w:t>
      </w:r>
      <w:r w:rsidR="00016DDD">
        <w:t xml:space="preserve"> We are vested </w:t>
      </w:r>
      <w:r w:rsidRPr="00242C64">
        <w:t xml:space="preserve">with jurisdiction over the subject matter by the provisions of Section 366.8255, Florida Statutes (F.S.). </w:t>
      </w:r>
    </w:p>
    <w:p w:rsidR="00016DDD" w:rsidRDefault="00016DDD" w:rsidP="0052410E">
      <w:pPr>
        <w:jc w:val="both"/>
      </w:pPr>
    </w:p>
    <w:p w:rsidR="00E935E7" w:rsidRDefault="00E935E7" w:rsidP="0052410E">
      <w:pPr>
        <w:jc w:val="both"/>
      </w:pPr>
    </w:p>
    <w:p w:rsidR="00E935E7" w:rsidRDefault="00016DDD" w:rsidP="00E935E7">
      <w:pPr>
        <w:jc w:val="center"/>
      </w:pPr>
      <w:r w:rsidRPr="00016DDD">
        <w:rPr>
          <w:u w:val="single"/>
        </w:rPr>
        <w:t>DECISION</w:t>
      </w:r>
    </w:p>
    <w:p w:rsidR="00E935E7" w:rsidRDefault="00E935E7" w:rsidP="00016DDD">
      <w:pPr>
        <w:jc w:val="both"/>
        <w:rPr>
          <w:bCs/>
        </w:rPr>
      </w:pPr>
    </w:p>
    <w:p w:rsidR="0052410E" w:rsidRPr="00E403D1" w:rsidRDefault="000B246F" w:rsidP="00016DDD">
      <w:pPr>
        <w:jc w:val="both"/>
        <w:rPr>
          <w:bCs/>
        </w:rPr>
      </w:pPr>
      <w:r>
        <w:rPr>
          <w:bCs/>
        </w:rPr>
        <w:tab/>
      </w:r>
      <w:r w:rsidR="00016DDD">
        <w:rPr>
          <w:bCs/>
        </w:rPr>
        <w:t xml:space="preserve">The parties have resolved all issues by stipulation as follows: DEF, FPL, Gulf and TECO support </w:t>
      </w:r>
      <w:r w:rsidR="0052410E" w:rsidRPr="00E403D1">
        <w:rPr>
          <w:bCs/>
        </w:rPr>
        <w:t xml:space="preserve">the stipulations.   </w:t>
      </w:r>
      <w:r w:rsidR="00016DDD" w:rsidRPr="00E403D1">
        <w:rPr>
          <w:bCs/>
        </w:rPr>
        <w:t xml:space="preserve">PCS Phosphate and FIPUG </w:t>
      </w:r>
      <w:r w:rsidR="00016DDD">
        <w:rPr>
          <w:bCs/>
        </w:rPr>
        <w:t>do not oppose the stipulations. OPC does not oppose</w:t>
      </w:r>
      <w:r>
        <w:rPr>
          <w:bCs/>
        </w:rPr>
        <w:t xml:space="preserve"> the stipulation of </w:t>
      </w:r>
      <w:r w:rsidR="00016DDD">
        <w:rPr>
          <w:bCs/>
        </w:rPr>
        <w:t>any issue and supports the stipulation of 11A</w:t>
      </w:r>
      <w:r>
        <w:rPr>
          <w:bCs/>
        </w:rPr>
        <w:t xml:space="preserve">, set forth below, </w:t>
      </w:r>
      <w:r w:rsidR="00016DDD">
        <w:rPr>
          <w:bCs/>
        </w:rPr>
        <w:t>as it relates to the Plant Scholz C</w:t>
      </w:r>
      <w:r w:rsidR="00E935E7">
        <w:rPr>
          <w:bCs/>
        </w:rPr>
        <w:t xml:space="preserve">oal Combustion Residuals </w:t>
      </w:r>
      <w:r w:rsidR="00A6598C">
        <w:rPr>
          <w:bCs/>
        </w:rPr>
        <w:t xml:space="preserve">unit </w:t>
      </w:r>
      <w:r w:rsidR="00E935E7">
        <w:rPr>
          <w:bCs/>
        </w:rPr>
        <w:t>closure costs</w:t>
      </w:r>
      <w:r>
        <w:rPr>
          <w:bCs/>
        </w:rPr>
        <w:t xml:space="preserve">.   </w:t>
      </w:r>
    </w:p>
    <w:p w:rsidR="000B246F" w:rsidRDefault="000B246F" w:rsidP="000B246F">
      <w:pPr>
        <w:pStyle w:val="ListParagraph"/>
        <w:ind w:hanging="720"/>
        <w:jc w:val="both"/>
        <w:rPr>
          <w:bCs/>
        </w:rPr>
      </w:pPr>
    </w:p>
    <w:p w:rsidR="00875A01" w:rsidRDefault="00875A01">
      <w:pPr>
        <w:rPr>
          <w:b/>
        </w:rPr>
      </w:pPr>
      <w:r>
        <w:rPr>
          <w:b/>
        </w:rPr>
        <w:br w:type="page"/>
      </w:r>
    </w:p>
    <w:p w:rsidR="00901D5E" w:rsidRDefault="000B246F" w:rsidP="00901D5E">
      <w:pPr>
        <w:pStyle w:val="ListParagraph"/>
        <w:numPr>
          <w:ilvl w:val="0"/>
          <w:numId w:val="6"/>
        </w:numPr>
        <w:jc w:val="both"/>
        <w:rPr>
          <w:b/>
        </w:rPr>
      </w:pPr>
      <w:r w:rsidRPr="00901D5E">
        <w:rPr>
          <w:b/>
        </w:rPr>
        <w:lastRenderedPageBreak/>
        <w:t>F</w:t>
      </w:r>
      <w:r w:rsidR="0052410E" w:rsidRPr="00901D5E">
        <w:rPr>
          <w:b/>
        </w:rPr>
        <w:t xml:space="preserve">inal </w:t>
      </w:r>
      <w:r w:rsidRPr="00901D5E">
        <w:rPr>
          <w:b/>
        </w:rPr>
        <w:t>E</w:t>
      </w:r>
      <w:r w:rsidR="0052410E" w:rsidRPr="00901D5E">
        <w:rPr>
          <w:b/>
        </w:rPr>
        <w:t xml:space="preserve">nvironmental </w:t>
      </w:r>
      <w:r w:rsidRPr="00901D5E">
        <w:rPr>
          <w:b/>
        </w:rPr>
        <w:t>C</w:t>
      </w:r>
      <w:r w:rsidR="0052410E" w:rsidRPr="00901D5E">
        <w:rPr>
          <w:b/>
        </w:rPr>
        <w:t xml:space="preserve">ost </w:t>
      </w:r>
      <w:r w:rsidRPr="00901D5E">
        <w:rPr>
          <w:b/>
        </w:rPr>
        <w:t>R</w:t>
      </w:r>
      <w:r w:rsidR="0052410E" w:rsidRPr="00901D5E">
        <w:rPr>
          <w:b/>
        </w:rPr>
        <w:t xml:space="preserve">ecovery </w:t>
      </w:r>
      <w:r w:rsidRPr="00901D5E">
        <w:rPr>
          <w:b/>
        </w:rPr>
        <w:t>T</w:t>
      </w:r>
      <w:r w:rsidR="0052410E" w:rsidRPr="00901D5E">
        <w:rPr>
          <w:b/>
        </w:rPr>
        <w:t>rue-</w:t>
      </w:r>
      <w:r w:rsidRPr="00901D5E">
        <w:rPr>
          <w:b/>
        </w:rPr>
        <w:t>U</w:t>
      </w:r>
      <w:r w:rsidR="0052410E" w:rsidRPr="00901D5E">
        <w:rPr>
          <w:b/>
        </w:rPr>
        <w:t xml:space="preserve">p </w:t>
      </w:r>
      <w:r w:rsidRPr="00901D5E">
        <w:rPr>
          <w:b/>
        </w:rPr>
        <w:t>A</w:t>
      </w:r>
      <w:r w:rsidR="0052410E" w:rsidRPr="00901D5E">
        <w:rPr>
          <w:b/>
        </w:rPr>
        <w:t>mounts</w:t>
      </w:r>
      <w:r w:rsidRPr="00901D5E">
        <w:rPr>
          <w:b/>
        </w:rPr>
        <w:t xml:space="preserve">: </w:t>
      </w:r>
    </w:p>
    <w:p w:rsidR="0052410E" w:rsidRPr="00901D5E" w:rsidRDefault="0052410E" w:rsidP="00901D5E">
      <w:pPr>
        <w:pStyle w:val="ListParagraph"/>
        <w:jc w:val="both"/>
        <w:rPr>
          <w:b/>
        </w:rPr>
      </w:pPr>
      <w:r w:rsidRPr="00901D5E">
        <w:rPr>
          <w:b/>
        </w:rPr>
        <w:t>January 2014</w:t>
      </w:r>
      <w:r w:rsidR="00201224" w:rsidRPr="00901D5E">
        <w:rPr>
          <w:b/>
        </w:rPr>
        <w:t>, T</w:t>
      </w:r>
      <w:r w:rsidRPr="00901D5E">
        <w:rPr>
          <w:b/>
        </w:rPr>
        <w:t>hrough December 2014</w:t>
      </w:r>
    </w:p>
    <w:p w:rsidR="000B246F" w:rsidRDefault="000B246F" w:rsidP="000B246F">
      <w:pPr>
        <w:pStyle w:val="ListParagraph"/>
        <w:jc w:val="both"/>
        <w:rPr>
          <w:b/>
        </w:rPr>
      </w:pPr>
    </w:p>
    <w:p w:rsidR="000B246F" w:rsidRPr="003A0B6E" w:rsidRDefault="000B246F" w:rsidP="000B246F">
      <w:pPr>
        <w:pStyle w:val="ListParagraph"/>
        <w:ind w:left="0" w:firstLine="720"/>
        <w:jc w:val="both"/>
      </w:pPr>
      <w:r>
        <w:t xml:space="preserve">The final environmental cost recovery true-up amounts for the period ending December 31, 2014, are: </w:t>
      </w:r>
    </w:p>
    <w:p w:rsidR="0052410E" w:rsidRPr="003A0B6E" w:rsidRDefault="0052410E" w:rsidP="0052410E">
      <w:pPr>
        <w:jc w:val="both"/>
        <w:rPr>
          <w:b/>
          <w:bCs/>
        </w:rPr>
      </w:pPr>
      <w:r w:rsidRPr="003A0B6E">
        <w:rPr>
          <w:b/>
          <w:bCs/>
        </w:rPr>
        <w:tab/>
      </w:r>
    </w:p>
    <w:tbl>
      <w:tblPr>
        <w:tblW w:w="4240" w:type="dxa"/>
        <w:jc w:val="center"/>
        <w:tblInd w:w="93" w:type="dxa"/>
        <w:tblCellMar>
          <w:left w:w="0" w:type="dxa"/>
          <w:right w:w="0" w:type="dxa"/>
        </w:tblCellMar>
        <w:tblLook w:val="04A0" w:firstRow="1" w:lastRow="0" w:firstColumn="1" w:lastColumn="0" w:noHBand="0" w:noVBand="1"/>
      </w:tblPr>
      <w:tblGrid>
        <w:gridCol w:w="960"/>
        <w:gridCol w:w="1360"/>
        <w:gridCol w:w="1920"/>
      </w:tblGrid>
      <w:tr w:rsidR="0052410E" w:rsidRPr="003A0B6E" w:rsidTr="0052410E">
        <w:trPr>
          <w:trHeight w:val="315"/>
          <w:jc w:val="center"/>
        </w:trPr>
        <w:tc>
          <w:tcPr>
            <w:tcW w:w="960" w:type="dxa"/>
            <w:tcBorders>
              <w:top w:val="single" w:sz="8" w:space="0" w:color="auto"/>
              <w:left w:val="single" w:sz="8" w:space="0" w:color="auto"/>
              <w:bottom w:val="single" w:sz="8" w:space="0" w:color="auto"/>
              <w:right w:val="single" w:sz="8" w:space="0" w:color="auto"/>
            </w:tcBorders>
            <w:shd w:val="clear" w:color="auto" w:fill="E26B0A"/>
            <w:noWrap/>
            <w:tcMar>
              <w:top w:w="0" w:type="dxa"/>
              <w:left w:w="108" w:type="dxa"/>
              <w:bottom w:w="0" w:type="dxa"/>
              <w:right w:w="108" w:type="dxa"/>
            </w:tcMar>
            <w:vAlign w:val="center"/>
            <w:hideMark/>
          </w:tcPr>
          <w:p w:rsidR="0052410E" w:rsidRPr="003A0B6E" w:rsidRDefault="0052410E" w:rsidP="0052410E">
            <w:pPr>
              <w:jc w:val="center"/>
              <w:rPr>
                <w:rFonts w:eastAsia="Calibri"/>
              </w:rPr>
            </w:pPr>
            <w:r w:rsidRPr="003A0B6E">
              <w:rPr>
                <w:color w:val="000000"/>
              </w:rPr>
              <w:t>FPL</w:t>
            </w:r>
          </w:p>
        </w:tc>
        <w:tc>
          <w:tcPr>
            <w:tcW w:w="13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52410E" w:rsidRPr="003A0B6E" w:rsidRDefault="0052410E" w:rsidP="0052410E">
            <w:pPr>
              <w:jc w:val="center"/>
              <w:rPr>
                <w:rFonts w:eastAsia="Calibri"/>
              </w:rPr>
            </w:pPr>
            <w:r w:rsidRPr="003A0B6E">
              <w:rPr>
                <w:color w:val="000000"/>
              </w:rPr>
              <w:t xml:space="preserve">$3,164,408 </w:t>
            </w:r>
          </w:p>
        </w:tc>
        <w:tc>
          <w:tcPr>
            <w:tcW w:w="1920" w:type="dxa"/>
            <w:tcBorders>
              <w:top w:val="single" w:sz="8" w:space="0" w:color="auto"/>
              <w:left w:val="nil"/>
              <w:bottom w:val="single" w:sz="8" w:space="0" w:color="auto"/>
              <w:right w:val="single" w:sz="8" w:space="0" w:color="000000"/>
            </w:tcBorders>
            <w:noWrap/>
            <w:tcMar>
              <w:top w:w="0" w:type="dxa"/>
              <w:left w:w="108" w:type="dxa"/>
              <w:bottom w:w="0" w:type="dxa"/>
              <w:right w:w="108" w:type="dxa"/>
            </w:tcMar>
            <w:vAlign w:val="center"/>
            <w:hideMark/>
          </w:tcPr>
          <w:p w:rsidR="0052410E" w:rsidRPr="003A0B6E" w:rsidRDefault="0052410E" w:rsidP="0052410E">
            <w:pPr>
              <w:jc w:val="center"/>
              <w:rPr>
                <w:rFonts w:eastAsia="Calibri"/>
              </w:rPr>
            </w:pPr>
            <w:r w:rsidRPr="003A0B6E">
              <w:rPr>
                <w:color w:val="000000"/>
              </w:rPr>
              <w:t xml:space="preserve">Under Recovery </w:t>
            </w:r>
          </w:p>
        </w:tc>
      </w:tr>
      <w:tr w:rsidR="0052410E" w:rsidRPr="003A0B6E" w:rsidTr="0052410E">
        <w:trPr>
          <w:trHeight w:val="315"/>
          <w:jc w:val="center"/>
        </w:trPr>
        <w:tc>
          <w:tcPr>
            <w:tcW w:w="960" w:type="dxa"/>
            <w:tcBorders>
              <w:top w:val="nil"/>
              <w:left w:val="single" w:sz="8" w:space="0" w:color="auto"/>
              <w:bottom w:val="single" w:sz="8" w:space="0" w:color="auto"/>
              <w:right w:val="single" w:sz="8" w:space="0" w:color="auto"/>
            </w:tcBorders>
            <w:shd w:val="clear" w:color="auto" w:fill="E26B0A"/>
            <w:noWrap/>
            <w:tcMar>
              <w:top w:w="0" w:type="dxa"/>
              <w:left w:w="108" w:type="dxa"/>
              <w:bottom w:w="0" w:type="dxa"/>
              <w:right w:w="108" w:type="dxa"/>
            </w:tcMar>
            <w:vAlign w:val="center"/>
            <w:hideMark/>
          </w:tcPr>
          <w:p w:rsidR="0052410E" w:rsidRPr="003A0B6E" w:rsidRDefault="0052410E" w:rsidP="0052410E">
            <w:pPr>
              <w:jc w:val="center"/>
              <w:rPr>
                <w:rFonts w:eastAsia="Calibri"/>
              </w:rPr>
            </w:pPr>
            <w:r w:rsidRPr="003A0B6E">
              <w:rPr>
                <w:color w:val="000000"/>
              </w:rPr>
              <w:t xml:space="preserve">DEF </w:t>
            </w:r>
          </w:p>
        </w:tc>
        <w:tc>
          <w:tcPr>
            <w:tcW w:w="13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2410E" w:rsidRPr="003A0B6E" w:rsidRDefault="0052410E" w:rsidP="0052410E">
            <w:pPr>
              <w:jc w:val="center"/>
              <w:rPr>
                <w:rFonts w:eastAsia="Calibri"/>
              </w:rPr>
            </w:pPr>
            <w:r w:rsidRPr="003A0B6E">
              <w:rPr>
                <w:color w:val="000000"/>
              </w:rPr>
              <w:t xml:space="preserve">$1,419,043 </w:t>
            </w:r>
          </w:p>
        </w:tc>
        <w:tc>
          <w:tcPr>
            <w:tcW w:w="1920" w:type="dxa"/>
            <w:tcBorders>
              <w:top w:val="nil"/>
              <w:left w:val="nil"/>
              <w:bottom w:val="single" w:sz="8" w:space="0" w:color="auto"/>
              <w:right w:val="single" w:sz="8" w:space="0" w:color="000000"/>
            </w:tcBorders>
            <w:noWrap/>
            <w:tcMar>
              <w:top w:w="0" w:type="dxa"/>
              <w:left w:w="108" w:type="dxa"/>
              <w:bottom w:w="0" w:type="dxa"/>
              <w:right w:w="108" w:type="dxa"/>
            </w:tcMar>
            <w:vAlign w:val="center"/>
            <w:hideMark/>
          </w:tcPr>
          <w:p w:rsidR="0052410E" w:rsidRPr="003A0B6E" w:rsidRDefault="0052410E" w:rsidP="0052410E">
            <w:pPr>
              <w:jc w:val="center"/>
              <w:rPr>
                <w:rFonts w:eastAsia="Calibri"/>
              </w:rPr>
            </w:pPr>
            <w:r w:rsidRPr="003A0B6E">
              <w:rPr>
                <w:color w:val="000000"/>
              </w:rPr>
              <w:t xml:space="preserve">Over Recovery </w:t>
            </w:r>
          </w:p>
        </w:tc>
      </w:tr>
      <w:tr w:rsidR="0052410E" w:rsidRPr="003A0B6E" w:rsidTr="0052410E">
        <w:trPr>
          <w:trHeight w:val="315"/>
          <w:jc w:val="center"/>
        </w:trPr>
        <w:tc>
          <w:tcPr>
            <w:tcW w:w="960" w:type="dxa"/>
            <w:tcBorders>
              <w:top w:val="nil"/>
              <w:left w:val="single" w:sz="8" w:space="0" w:color="auto"/>
              <w:bottom w:val="single" w:sz="8" w:space="0" w:color="auto"/>
              <w:right w:val="single" w:sz="8" w:space="0" w:color="auto"/>
            </w:tcBorders>
            <w:shd w:val="clear" w:color="auto" w:fill="E26B0A"/>
            <w:noWrap/>
            <w:tcMar>
              <w:top w:w="0" w:type="dxa"/>
              <w:left w:w="108" w:type="dxa"/>
              <w:bottom w:w="0" w:type="dxa"/>
              <w:right w:w="108" w:type="dxa"/>
            </w:tcMar>
            <w:vAlign w:val="center"/>
            <w:hideMark/>
          </w:tcPr>
          <w:p w:rsidR="0052410E" w:rsidRPr="003A0B6E" w:rsidRDefault="0052410E" w:rsidP="0052410E">
            <w:pPr>
              <w:jc w:val="center"/>
              <w:rPr>
                <w:rFonts w:eastAsia="Calibri"/>
              </w:rPr>
            </w:pPr>
            <w:r w:rsidRPr="003A0B6E">
              <w:rPr>
                <w:color w:val="000000"/>
              </w:rPr>
              <w:t>GULF</w:t>
            </w:r>
          </w:p>
        </w:tc>
        <w:tc>
          <w:tcPr>
            <w:tcW w:w="13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2410E" w:rsidRPr="003A0B6E" w:rsidRDefault="0052410E" w:rsidP="0052410E">
            <w:pPr>
              <w:jc w:val="center"/>
              <w:rPr>
                <w:rFonts w:eastAsia="Calibri"/>
              </w:rPr>
            </w:pPr>
            <w:r w:rsidRPr="003A0B6E">
              <w:rPr>
                <w:color w:val="000000"/>
              </w:rPr>
              <w:t xml:space="preserve">$912,783 </w:t>
            </w:r>
          </w:p>
        </w:tc>
        <w:tc>
          <w:tcPr>
            <w:tcW w:w="1920" w:type="dxa"/>
            <w:tcBorders>
              <w:top w:val="nil"/>
              <w:left w:val="nil"/>
              <w:bottom w:val="single" w:sz="8" w:space="0" w:color="auto"/>
              <w:right w:val="single" w:sz="8" w:space="0" w:color="000000"/>
            </w:tcBorders>
            <w:noWrap/>
            <w:tcMar>
              <w:top w:w="0" w:type="dxa"/>
              <w:left w:w="108" w:type="dxa"/>
              <w:bottom w:w="0" w:type="dxa"/>
              <w:right w:w="108" w:type="dxa"/>
            </w:tcMar>
            <w:vAlign w:val="center"/>
            <w:hideMark/>
          </w:tcPr>
          <w:p w:rsidR="0052410E" w:rsidRPr="003A0B6E" w:rsidRDefault="0052410E" w:rsidP="0052410E">
            <w:pPr>
              <w:jc w:val="center"/>
              <w:rPr>
                <w:rFonts w:eastAsia="Calibri"/>
              </w:rPr>
            </w:pPr>
            <w:r w:rsidRPr="003A0B6E">
              <w:rPr>
                <w:color w:val="000000"/>
              </w:rPr>
              <w:t>Under Recovery</w:t>
            </w:r>
          </w:p>
        </w:tc>
      </w:tr>
      <w:tr w:rsidR="0052410E" w:rsidRPr="003A0B6E" w:rsidTr="0052410E">
        <w:trPr>
          <w:trHeight w:val="315"/>
          <w:jc w:val="center"/>
        </w:trPr>
        <w:tc>
          <w:tcPr>
            <w:tcW w:w="960" w:type="dxa"/>
            <w:tcBorders>
              <w:top w:val="nil"/>
              <w:left w:val="single" w:sz="8" w:space="0" w:color="auto"/>
              <w:bottom w:val="single" w:sz="8" w:space="0" w:color="auto"/>
              <w:right w:val="single" w:sz="8" w:space="0" w:color="auto"/>
            </w:tcBorders>
            <w:shd w:val="clear" w:color="auto" w:fill="E26B0A"/>
            <w:noWrap/>
            <w:tcMar>
              <w:top w:w="0" w:type="dxa"/>
              <w:left w:w="108" w:type="dxa"/>
              <w:bottom w:w="0" w:type="dxa"/>
              <w:right w:w="108" w:type="dxa"/>
            </w:tcMar>
            <w:vAlign w:val="center"/>
            <w:hideMark/>
          </w:tcPr>
          <w:p w:rsidR="0052410E" w:rsidRPr="003A0B6E" w:rsidRDefault="0052410E" w:rsidP="0052410E">
            <w:pPr>
              <w:jc w:val="center"/>
              <w:rPr>
                <w:rFonts w:eastAsia="Calibri"/>
              </w:rPr>
            </w:pPr>
            <w:r w:rsidRPr="003A0B6E">
              <w:rPr>
                <w:color w:val="000000"/>
              </w:rPr>
              <w:t xml:space="preserve">TECO </w:t>
            </w:r>
          </w:p>
        </w:tc>
        <w:tc>
          <w:tcPr>
            <w:tcW w:w="13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2410E" w:rsidRPr="003A0B6E" w:rsidRDefault="0052410E" w:rsidP="0052410E">
            <w:pPr>
              <w:jc w:val="center"/>
              <w:rPr>
                <w:rFonts w:eastAsia="Calibri"/>
              </w:rPr>
            </w:pPr>
            <w:r w:rsidRPr="003A0B6E">
              <w:rPr>
                <w:color w:val="000000"/>
              </w:rPr>
              <w:t xml:space="preserve">$3,915,636 </w:t>
            </w:r>
          </w:p>
        </w:tc>
        <w:tc>
          <w:tcPr>
            <w:tcW w:w="1920" w:type="dxa"/>
            <w:tcBorders>
              <w:top w:val="nil"/>
              <w:left w:val="nil"/>
              <w:bottom w:val="single" w:sz="8" w:space="0" w:color="auto"/>
              <w:right w:val="single" w:sz="8" w:space="0" w:color="000000"/>
            </w:tcBorders>
            <w:noWrap/>
            <w:tcMar>
              <w:top w:w="0" w:type="dxa"/>
              <w:left w:w="108" w:type="dxa"/>
              <w:bottom w:w="0" w:type="dxa"/>
              <w:right w:w="108" w:type="dxa"/>
            </w:tcMar>
            <w:vAlign w:val="center"/>
            <w:hideMark/>
          </w:tcPr>
          <w:p w:rsidR="0052410E" w:rsidRPr="003A0B6E" w:rsidRDefault="0052410E" w:rsidP="0052410E">
            <w:pPr>
              <w:jc w:val="center"/>
              <w:rPr>
                <w:rFonts w:eastAsia="Calibri"/>
              </w:rPr>
            </w:pPr>
            <w:r w:rsidRPr="003A0B6E">
              <w:rPr>
                <w:color w:val="000000"/>
              </w:rPr>
              <w:t xml:space="preserve">Under Recovery </w:t>
            </w:r>
          </w:p>
        </w:tc>
      </w:tr>
    </w:tbl>
    <w:p w:rsidR="0052410E" w:rsidRDefault="0052410E" w:rsidP="0052410E">
      <w:pPr>
        <w:rPr>
          <w:b/>
          <w:bCs/>
        </w:rPr>
      </w:pPr>
    </w:p>
    <w:p w:rsidR="00901D5E" w:rsidRDefault="000B246F" w:rsidP="00901D5E">
      <w:pPr>
        <w:pStyle w:val="IssueHeading"/>
        <w:numPr>
          <w:ilvl w:val="0"/>
          <w:numId w:val="6"/>
        </w:numPr>
        <w:spacing w:before="0"/>
        <w:rPr>
          <w:rFonts w:cs="Times New Roman"/>
          <w:szCs w:val="24"/>
        </w:rPr>
      </w:pPr>
      <w:r>
        <w:rPr>
          <w:rFonts w:cs="Times New Roman"/>
          <w:szCs w:val="24"/>
        </w:rPr>
        <w:t>E</w:t>
      </w:r>
      <w:r w:rsidR="0052410E" w:rsidRPr="003A0B6E">
        <w:rPr>
          <w:rFonts w:cs="Times New Roman"/>
          <w:szCs w:val="24"/>
        </w:rPr>
        <w:t>stimated/</w:t>
      </w:r>
      <w:r>
        <w:rPr>
          <w:rFonts w:cs="Times New Roman"/>
          <w:szCs w:val="24"/>
        </w:rPr>
        <w:t>A</w:t>
      </w:r>
      <w:r w:rsidR="0052410E" w:rsidRPr="003A0B6E">
        <w:rPr>
          <w:rFonts w:cs="Times New Roman"/>
          <w:szCs w:val="24"/>
        </w:rPr>
        <w:t xml:space="preserve">ctual </w:t>
      </w:r>
      <w:r>
        <w:rPr>
          <w:rFonts w:cs="Times New Roman"/>
          <w:szCs w:val="24"/>
        </w:rPr>
        <w:t>E</w:t>
      </w:r>
      <w:r w:rsidR="0052410E" w:rsidRPr="003A0B6E">
        <w:rPr>
          <w:rFonts w:cs="Times New Roman"/>
          <w:szCs w:val="24"/>
        </w:rPr>
        <w:t xml:space="preserve">nvironmental </w:t>
      </w:r>
      <w:r>
        <w:rPr>
          <w:rFonts w:cs="Times New Roman"/>
          <w:szCs w:val="24"/>
        </w:rPr>
        <w:t>C</w:t>
      </w:r>
      <w:r w:rsidR="0052410E" w:rsidRPr="003A0B6E">
        <w:rPr>
          <w:rFonts w:cs="Times New Roman"/>
          <w:szCs w:val="24"/>
        </w:rPr>
        <w:t xml:space="preserve">ost </w:t>
      </w:r>
      <w:r>
        <w:rPr>
          <w:rFonts w:cs="Times New Roman"/>
          <w:szCs w:val="24"/>
        </w:rPr>
        <w:t>R</w:t>
      </w:r>
      <w:r w:rsidR="0052410E" w:rsidRPr="003A0B6E">
        <w:rPr>
          <w:rFonts w:cs="Times New Roman"/>
          <w:szCs w:val="24"/>
        </w:rPr>
        <w:t xml:space="preserve">ecovery </w:t>
      </w:r>
      <w:r>
        <w:rPr>
          <w:rFonts w:cs="Times New Roman"/>
          <w:szCs w:val="24"/>
        </w:rPr>
        <w:t>T</w:t>
      </w:r>
      <w:r w:rsidR="0052410E" w:rsidRPr="003A0B6E">
        <w:rPr>
          <w:rFonts w:cs="Times New Roman"/>
          <w:szCs w:val="24"/>
        </w:rPr>
        <w:t>rue-</w:t>
      </w:r>
      <w:r>
        <w:rPr>
          <w:rFonts w:cs="Times New Roman"/>
          <w:szCs w:val="24"/>
        </w:rPr>
        <w:t>U</w:t>
      </w:r>
      <w:r w:rsidR="0052410E" w:rsidRPr="003A0B6E">
        <w:rPr>
          <w:rFonts w:cs="Times New Roman"/>
          <w:szCs w:val="24"/>
        </w:rPr>
        <w:t xml:space="preserve">p </w:t>
      </w:r>
      <w:r w:rsidR="00201224">
        <w:rPr>
          <w:rFonts w:cs="Times New Roman"/>
          <w:szCs w:val="24"/>
        </w:rPr>
        <w:t>A</w:t>
      </w:r>
      <w:r w:rsidR="0052410E" w:rsidRPr="003A0B6E">
        <w:rPr>
          <w:rFonts w:cs="Times New Roman"/>
          <w:szCs w:val="24"/>
        </w:rPr>
        <w:t>mounts</w:t>
      </w:r>
      <w:r w:rsidR="00201224">
        <w:rPr>
          <w:rFonts w:cs="Times New Roman"/>
          <w:szCs w:val="24"/>
        </w:rPr>
        <w:t>:</w:t>
      </w:r>
      <w:r w:rsidR="0052410E" w:rsidRPr="003A0B6E">
        <w:rPr>
          <w:rFonts w:cs="Times New Roman"/>
          <w:szCs w:val="24"/>
        </w:rPr>
        <w:t xml:space="preserve"> </w:t>
      </w:r>
    </w:p>
    <w:p w:rsidR="0052410E" w:rsidRDefault="0052410E" w:rsidP="00901D5E">
      <w:pPr>
        <w:pStyle w:val="IssueHeading"/>
        <w:spacing w:before="0"/>
        <w:ind w:left="720"/>
        <w:rPr>
          <w:rFonts w:cs="Times New Roman"/>
          <w:szCs w:val="24"/>
        </w:rPr>
      </w:pPr>
      <w:r w:rsidRPr="003A0B6E">
        <w:rPr>
          <w:rFonts w:cs="Times New Roman"/>
          <w:szCs w:val="24"/>
        </w:rPr>
        <w:t>January 2015</w:t>
      </w:r>
      <w:r w:rsidR="00201224">
        <w:rPr>
          <w:rFonts w:cs="Times New Roman"/>
          <w:szCs w:val="24"/>
        </w:rPr>
        <w:t>,</w:t>
      </w:r>
      <w:r w:rsidRPr="003A0B6E">
        <w:rPr>
          <w:rFonts w:cs="Times New Roman"/>
          <w:szCs w:val="24"/>
        </w:rPr>
        <w:t xml:space="preserve"> </w:t>
      </w:r>
      <w:r w:rsidR="00201224">
        <w:rPr>
          <w:rFonts w:cs="Times New Roman"/>
          <w:szCs w:val="24"/>
        </w:rPr>
        <w:t>T</w:t>
      </w:r>
      <w:r w:rsidRPr="003A0B6E">
        <w:rPr>
          <w:rFonts w:cs="Times New Roman"/>
          <w:szCs w:val="24"/>
        </w:rPr>
        <w:t>hrough December 2015</w:t>
      </w:r>
    </w:p>
    <w:p w:rsidR="0052410E" w:rsidRDefault="0052410E" w:rsidP="0052410E"/>
    <w:p w:rsidR="00201224" w:rsidRDefault="00201224" w:rsidP="0052410E">
      <w:r>
        <w:tab/>
        <w:t xml:space="preserve">The estimated/actual environmental cost recovery true-up amounts for the period January 2015, through December 2015, are </w:t>
      </w:r>
    </w:p>
    <w:p w:rsidR="00201224" w:rsidRPr="00D959BA" w:rsidRDefault="00201224" w:rsidP="0052410E"/>
    <w:tbl>
      <w:tblPr>
        <w:tblW w:w="4240" w:type="dxa"/>
        <w:jc w:val="center"/>
        <w:tblInd w:w="93" w:type="dxa"/>
        <w:tblCellMar>
          <w:left w:w="0" w:type="dxa"/>
          <w:right w:w="0" w:type="dxa"/>
        </w:tblCellMar>
        <w:tblLook w:val="04A0" w:firstRow="1" w:lastRow="0" w:firstColumn="1" w:lastColumn="0" w:noHBand="0" w:noVBand="1"/>
      </w:tblPr>
      <w:tblGrid>
        <w:gridCol w:w="960"/>
        <w:gridCol w:w="1416"/>
        <w:gridCol w:w="1920"/>
      </w:tblGrid>
      <w:tr w:rsidR="0052410E" w:rsidRPr="003A0B6E" w:rsidTr="0052410E">
        <w:trPr>
          <w:trHeight w:val="315"/>
          <w:jc w:val="center"/>
        </w:trPr>
        <w:tc>
          <w:tcPr>
            <w:tcW w:w="960" w:type="dxa"/>
            <w:tcBorders>
              <w:top w:val="single" w:sz="8" w:space="0" w:color="auto"/>
              <w:left w:val="single" w:sz="8" w:space="0" w:color="auto"/>
              <w:bottom w:val="single" w:sz="8" w:space="0" w:color="auto"/>
              <w:right w:val="single" w:sz="8" w:space="0" w:color="auto"/>
            </w:tcBorders>
            <w:shd w:val="clear" w:color="auto" w:fill="E26B0A"/>
            <w:noWrap/>
            <w:tcMar>
              <w:top w:w="0" w:type="dxa"/>
              <w:left w:w="108" w:type="dxa"/>
              <w:bottom w:w="0" w:type="dxa"/>
              <w:right w:w="108" w:type="dxa"/>
            </w:tcMar>
            <w:vAlign w:val="center"/>
            <w:hideMark/>
          </w:tcPr>
          <w:p w:rsidR="0052410E" w:rsidRPr="003A0B6E" w:rsidRDefault="0052410E" w:rsidP="0052410E">
            <w:pPr>
              <w:jc w:val="center"/>
              <w:rPr>
                <w:rFonts w:eastAsia="Calibri"/>
              </w:rPr>
            </w:pPr>
            <w:r w:rsidRPr="003A0B6E">
              <w:rPr>
                <w:color w:val="000000"/>
              </w:rPr>
              <w:t xml:space="preserve">FPL </w:t>
            </w:r>
          </w:p>
        </w:tc>
        <w:tc>
          <w:tcPr>
            <w:tcW w:w="13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52410E" w:rsidRPr="003A0B6E" w:rsidRDefault="0052410E" w:rsidP="0052410E">
            <w:pPr>
              <w:jc w:val="center"/>
              <w:rPr>
                <w:rFonts w:eastAsia="Calibri"/>
              </w:rPr>
            </w:pPr>
            <w:r w:rsidRPr="003A0B6E">
              <w:rPr>
                <w:color w:val="000000"/>
              </w:rPr>
              <w:t xml:space="preserve">$37,619,712 </w:t>
            </w:r>
          </w:p>
        </w:tc>
        <w:tc>
          <w:tcPr>
            <w:tcW w:w="1920" w:type="dxa"/>
            <w:tcBorders>
              <w:top w:val="single" w:sz="8" w:space="0" w:color="auto"/>
              <w:left w:val="nil"/>
              <w:bottom w:val="single" w:sz="8" w:space="0" w:color="auto"/>
              <w:right w:val="single" w:sz="8" w:space="0" w:color="000000"/>
            </w:tcBorders>
            <w:noWrap/>
            <w:tcMar>
              <w:top w:w="0" w:type="dxa"/>
              <w:left w:w="108" w:type="dxa"/>
              <w:bottom w:w="0" w:type="dxa"/>
              <w:right w:w="108" w:type="dxa"/>
            </w:tcMar>
            <w:vAlign w:val="center"/>
            <w:hideMark/>
          </w:tcPr>
          <w:p w:rsidR="0052410E" w:rsidRPr="003A0B6E" w:rsidRDefault="0052410E" w:rsidP="0052410E">
            <w:pPr>
              <w:jc w:val="center"/>
              <w:rPr>
                <w:rFonts w:eastAsia="Calibri"/>
              </w:rPr>
            </w:pPr>
            <w:r w:rsidRPr="003A0B6E">
              <w:rPr>
                <w:color w:val="000000"/>
              </w:rPr>
              <w:t xml:space="preserve">Under Recovery </w:t>
            </w:r>
          </w:p>
        </w:tc>
      </w:tr>
      <w:tr w:rsidR="0052410E" w:rsidRPr="003A0B6E" w:rsidTr="0052410E">
        <w:trPr>
          <w:trHeight w:val="315"/>
          <w:jc w:val="center"/>
        </w:trPr>
        <w:tc>
          <w:tcPr>
            <w:tcW w:w="960" w:type="dxa"/>
            <w:tcBorders>
              <w:top w:val="nil"/>
              <w:left w:val="single" w:sz="8" w:space="0" w:color="auto"/>
              <w:bottom w:val="single" w:sz="8" w:space="0" w:color="auto"/>
              <w:right w:val="single" w:sz="8" w:space="0" w:color="auto"/>
            </w:tcBorders>
            <w:shd w:val="clear" w:color="auto" w:fill="E26B0A"/>
            <w:noWrap/>
            <w:tcMar>
              <w:top w:w="0" w:type="dxa"/>
              <w:left w:w="108" w:type="dxa"/>
              <w:bottom w:w="0" w:type="dxa"/>
              <w:right w:w="108" w:type="dxa"/>
            </w:tcMar>
            <w:vAlign w:val="center"/>
            <w:hideMark/>
          </w:tcPr>
          <w:p w:rsidR="0052410E" w:rsidRPr="003A0B6E" w:rsidRDefault="0052410E" w:rsidP="0052410E">
            <w:pPr>
              <w:jc w:val="center"/>
              <w:rPr>
                <w:rFonts w:eastAsia="Calibri"/>
              </w:rPr>
            </w:pPr>
            <w:r w:rsidRPr="003A0B6E">
              <w:rPr>
                <w:color w:val="000000"/>
              </w:rPr>
              <w:t xml:space="preserve">DEF </w:t>
            </w:r>
          </w:p>
        </w:tc>
        <w:tc>
          <w:tcPr>
            <w:tcW w:w="13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2410E" w:rsidRPr="003A0B6E" w:rsidRDefault="0052410E" w:rsidP="0052410E">
            <w:pPr>
              <w:jc w:val="center"/>
              <w:rPr>
                <w:rFonts w:eastAsia="Calibri"/>
              </w:rPr>
            </w:pPr>
            <w:r w:rsidRPr="003A0B6E">
              <w:rPr>
                <w:color w:val="000000"/>
              </w:rPr>
              <w:t xml:space="preserve">$779,602 </w:t>
            </w:r>
          </w:p>
        </w:tc>
        <w:tc>
          <w:tcPr>
            <w:tcW w:w="1920" w:type="dxa"/>
            <w:tcBorders>
              <w:top w:val="nil"/>
              <w:left w:val="nil"/>
              <w:bottom w:val="single" w:sz="8" w:space="0" w:color="auto"/>
              <w:right w:val="single" w:sz="8" w:space="0" w:color="000000"/>
            </w:tcBorders>
            <w:noWrap/>
            <w:tcMar>
              <w:top w:w="0" w:type="dxa"/>
              <w:left w:w="108" w:type="dxa"/>
              <w:bottom w:w="0" w:type="dxa"/>
              <w:right w:w="108" w:type="dxa"/>
            </w:tcMar>
            <w:vAlign w:val="center"/>
            <w:hideMark/>
          </w:tcPr>
          <w:p w:rsidR="0052410E" w:rsidRPr="003A0B6E" w:rsidRDefault="0052410E" w:rsidP="0052410E">
            <w:pPr>
              <w:jc w:val="center"/>
              <w:rPr>
                <w:rFonts w:eastAsia="Calibri"/>
              </w:rPr>
            </w:pPr>
            <w:r w:rsidRPr="003A0B6E">
              <w:rPr>
                <w:color w:val="000000"/>
              </w:rPr>
              <w:t xml:space="preserve">Under Recovery </w:t>
            </w:r>
          </w:p>
        </w:tc>
      </w:tr>
      <w:tr w:rsidR="0052410E" w:rsidRPr="003A0B6E" w:rsidTr="0052410E">
        <w:trPr>
          <w:trHeight w:val="315"/>
          <w:jc w:val="center"/>
        </w:trPr>
        <w:tc>
          <w:tcPr>
            <w:tcW w:w="960" w:type="dxa"/>
            <w:tcBorders>
              <w:top w:val="nil"/>
              <w:left w:val="single" w:sz="8" w:space="0" w:color="auto"/>
              <w:bottom w:val="single" w:sz="8" w:space="0" w:color="auto"/>
              <w:right w:val="single" w:sz="8" w:space="0" w:color="auto"/>
            </w:tcBorders>
            <w:shd w:val="clear" w:color="auto" w:fill="E26B0A"/>
            <w:noWrap/>
            <w:tcMar>
              <w:top w:w="0" w:type="dxa"/>
              <w:left w:w="108" w:type="dxa"/>
              <w:bottom w:w="0" w:type="dxa"/>
              <w:right w:w="108" w:type="dxa"/>
            </w:tcMar>
            <w:vAlign w:val="center"/>
            <w:hideMark/>
          </w:tcPr>
          <w:p w:rsidR="0052410E" w:rsidRPr="003A0B6E" w:rsidRDefault="0052410E" w:rsidP="0052410E">
            <w:pPr>
              <w:jc w:val="center"/>
              <w:rPr>
                <w:rFonts w:eastAsia="Calibri"/>
              </w:rPr>
            </w:pPr>
            <w:r w:rsidRPr="003A0B6E">
              <w:rPr>
                <w:color w:val="000000"/>
              </w:rPr>
              <w:t>GULF</w:t>
            </w:r>
          </w:p>
        </w:tc>
        <w:tc>
          <w:tcPr>
            <w:tcW w:w="13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2410E" w:rsidRPr="003A0B6E" w:rsidRDefault="0052410E" w:rsidP="0052410E">
            <w:pPr>
              <w:jc w:val="center"/>
              <w:rPr>
                <w:rFonts w:eastAsia="Calibri"/>
              </w:rPr>
            </w:pPr>
            <w:r w:rsidRPr="003A0B6E">
              <w:rPr>
                <w:color w:val="000000"/>
              </w:rPr>
              <w:t xml:space="preserve">$1,699,128 </w:t>
            </w:r>
          </w:p>
        </w:tc>
        <w:tc>
          <w:tcPr>
            <w:tcW w:w="1920" w:type="dxa"/>
            <w:tcBorders>
              <w:top w:val="nil"/>
              <w:left w:val="nil"/>
              <w:bottom w:val="single" w:sz="8" w:space="0" w:color="auto"/>
              <w:right w:val="single" w:sz="8" w:space="0" w:color="000000"/>
            </w:tcBorders>
            <w:noWrap/>
            <w:tcMar>
              <w:top w:w="0" w:type="dxa"/>
              <w:left w:w="108" w:type="dxa"/>
              <w:bottom w:w="0" w:type="dxa"/>
              <w:right w:w="108" w:type="dxa"/>
            </w:tcMar>
            <w:vAlign w:val="center"/>
            <w:hideMark/>
          </w:tcPr>
          <w:p w:rsidR="0052410E" w:rsidRPr="003A0B6E" w:rsidRDefault="0052410E" w:rsidP="0052410E">
            <w:pPr>
              <w:jc w:val="center"/>
              <w:rPr>
                <w:rFonts w:eastAsia="Calibri"/>
              </w:rPr>
            </w:pPr>
            <w:r w:rsidRPr="003A0B6E">
              <w:rPr>
                <w:color w:val="000000"/>
              </w:rPr>
              <w:t xml:space="preserve">Under Recovery </w:t>
            </w:r>
          </w:p>
        </w:tc>
      </w:tr>
      <w:tr w:rsidR="0052410E" w:rsidRPr="003A0B6E" w:rsidTr="0052410E">
        <w:trPr>
          <w:trHeight w:val="315"/>
          <w:jc w:val="center"/>
        </w:trPr>
        <w:tc>
          <w:tcPr>
            <w:tcW w:w="960" w:type="dxa"/>
            <w:tcBorders>
              <w:top w:val="nil"/>
              <w:left w:val="single" w:sz="8" w:space="0" w:color="auto"/>
              <w:bottom w:val="single" w:sz="8" w:space="0" w:color="auto"/>
              <w:right w:val="single" w:sz="8" w:space="0" w:color="auto"/>
            </w:tcBorders>
            <w:shd w:val="clear" w:color="auto" w:fill="E26B0A"/>
            <w:noWrap/>
            <w:tcMar>
              <w:top w:w="0" w:type="dxa"/>
              <w:left w:w="108" w:type="dxa"/>
              <w:bottom w:w="0" w:type="dxa"/>
              <w:right w:w="108" w:type="dxa"/>
            </w:tcMar>
            <w:vAlign w:val="center"/>
            <w:hideMark/>
          </w:tcPr>
          <w:p w:rsidR="0052410E" w:rsidRPr="003A0B6E" w:rsidRDefault="0052410E" w:rsidP="0052410E">
            <w:pPr>
              <w:jc w:val="center"/>
              <w:rPr>
                <w:rFonts w:eastAsia="Calibri"/>
              </w:rPr>
            </w:pPr>
            <w:r w:rsidRPr="003A0B6E">
              <w:rPr>
                <w:color w:val="000000"/>
              </w:rPr>
              <w:t>TECO</w:t>
            </w:r>
          </w:p>
        </w:tc>
        <w:tc>
          <w:tcPr>
            <w:tcW w:w="13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2410E" w:rsidRPr="003A0B6E" w:rsidRDefault="0052410E" w:rsidP="0052410E">
            <w:pPr>
              <w:jc w:val="center"/>
              <w:rPr>
                <w:rFonts w:eastAsia="Calibri"/>
              </w:rPr>
            </w:pPr>
            <w:r w:rsidRPr="003A0B6E">
              <w:rPr>
                <w:color w:val="000000"/>
              </w:rPr>
              <w:t xml:space="preserve">$4,535,273 </w:t>
            </w:r>
          </w:p>
        </w:tc>
        <w:tc>
          <w:tcPr>
            <w:tcW w:w="1920" w:type="dxa"/>
            <w:tcBorders>
              <w:top w:val="nil"/>
              <w:left w:val="nil"/>
              <w:bottom w:val="single" w:sz="8" w:space="0" w:color="auto"/>
              <w:right w:val="single" w:sz="8" w:space="0" w:color="000000"/>
            </w:tcBorders>
            <w:noWrap/>
            <w:tcMar>
              <w:top w:w="0" w:type="dxa"/>
              <w:left w:w="108" w:type="dxa"/>
              <w:bottom w:w="0" w:type="dxa"/>
              <w:right w:w="108" w:type="dxa"/>
            </w:tcMar>
            <w:vAlign w:val="center"/>
            <w:hideMark/>
          </w:tcPr>
          <w:p w:rsidR="0052410E" w:rsidRPr="003A0B6E" w:rsidRDefault="0052410E" w:rsidP="0052410E">
            <w:pPr>
              <w:jc w:val="center"/>
              <w:rPr>
                <w:rFonts w:eastAsia="Calibri"/>
              </w:rPr>
            </w:pPr>
            <w:r w:rsidRPr="003A0B6E">
              <w:rPr>
                <w:color w:val="000000"/>
              </w:rPr>
              <w:t xml:space="preserve">Over Recovery </w:t>
            </w:r>
          </w:p>
        </w:tc>
      </w:tr>
    </w:tbl>
    <w:p w:rsidR="0052410E" w:rsidRDefault="0052410E" w:rsidP="0052410E">
      <w:pPr>
        <w:jc w:val="both"/>
      </w:pPr>
    </w:p>
    <w:p w:rsidR="0052410E" w:rsidRPr="003A0B6E" w:rsidRDefault="0052410E" w:rsidP="0052410E">
      <w:pPr>
        <w:jc w:val="both"/>
      </w:pPr>
    </w:p>
    <w:p w:rsidR="00201224" w:rsidRDefault="00201224" w:rsidP="00901D5E">
      <w:pPr>
        <w:pStyle w:val="IssueHeading"/>
        <w:numPr>
          <w:ilvl w:val="0"/>
          <w:numId w:val="6"/>
        </w:numPr>
        <w:spacing w:before="0"/>
        <w:rPr>
          <w:rFonts w:eastAsia="Calibri" w:cs="Times New Roman"/>
          <w:bCs w:val="0"/>
          <w:szCs w:val="24"/>
        </w:rPr>
      </w:pPr>
      <w:r>
        <w:rPr>
          <w:rFonts w:eastAsia="Calibri" w:cs="Times New Roman"/>
          <w:bCs w:val="0"/>
          <w:szCs w:val="24"/>
        </w:rPr>
        <w:t>P</w:t>
      </w:r>
      <w:r w:rsidR="0052410E" w:rsidRPr="003A0B6E">
        <w:rPr>
          <w:rFonts w:eastAsia="Calibri" w:cs="Times New Roman"/>
          <w:bCs w:val="0"/>
          <w:szCs w:val="24"/>
        </w:rPr>
        <w:t xml:space="preserve">rojected </w:t>
      </w:r>
      <w:r>
        <w:rPr>
          <w:rFonts w:eastAsia="Calibri" w:cs="Times New Roman"/>
          <w:bCs w:val="0"/>
          <w:szCs w:val="24"/>
        </w:rPr>
        <w:t>E</w:t>
      </w:r>
      <w:r w:rsidR="0052410E" w:rsidRPr="003A0B6E">
        <w:rPr>
          <w:rFonts w:eastAsia="Calibri" w:cs="Times New Roman"/>
          <w:bCs w:val="0"/>
          <w:szCs w:val="24"/>
        </w:rPr>
        <w:t xml:space="preserve">nvironmental </w:t>
      </w:r>
      <w:r>
        <w:rPr>
          <w:rFonts w:eastAsia="Calibri" w:cs="Times New Roman"/>
          <w:bCs w:val="0"/>
          <w:szCs w:val="24"/>
        </w:rPr>
        <w:t>C</w:t>
      </w:r>
      <w:r w:rsidR="0052410E" w:rsidRPr="003A0B6E">
        <w:rPr>
          <w:rFonts w:eastAsia="Calibri" w:cs="Times New Roman"/>
          <w:bCs w:val="0"/>
          <w:szCs w:val="24"/>
        </w:rPr>
        <w:t xml:space="preserve">ost </w:t>
      </w:r>
      <w:r>
        <w:rPr>
          <w:rFonts w:eastAsia="Calibri" w:cs="Times New Roman"/>
          <w:bCs w:val="0"/>
          <w:szCs w:val="24"/>
        </w:rPr>
        <w:t>R</w:t>
      </w:r>
      <w:r w:rsidR="0052410E" w:rsidRPr="003A0B6E">
        <w:rPr>
          <w:rFonts w:eastAsia="Calibri" w:cs="Times New Roman"/>
          <w:bCs w:val="0"/>
          <w:szCs w:val="24"/>
        </w:rPr>
        <w:t xml:space="preserve">ecovery </w:t>
      </w:r>
      <w:r>
        <w:rPr>
          <w:rFonts w:eastAsia="Calibri" w:cs="Times New Roman"/>
          <w:bCs w:val="0"/>
          <w:szCs w:val="24"/>
        </w:rPr>
        <w:t>A</w:t>
      </w:r>
      <w:r w:rsidR="0052410E" w:rsidRPr="003A0B6E">
        <w:rPr>
          <w:rFonts w:eastAsia="Calibri" w:cs="Times New Roman"/>
          <w:bCs w:val="0"/>
          <w:szCs w:val="24"/>
        </w:rPr>
        <w:t>mounts</w:t>
      </w:r>
      <w:r>
        <w:rPr>
          <w:rFonts w:eastAsia="Calibri" w:cs="Times New Roman"/>
          <w:bCs w:val="0"/>
          <w:szCs w:val="24"/>
        </w:rPr>
        <w:t>:</w:t>
      </w:r>
      <w:r>
        <w:rPr>
          <w:rFonts w:eastAsia="Calibri" w:cs="Times New Roman"/>
          <w:bCs w:val="0"/>
          <w:szCs w:val="24"/>
        </w:rPr>
        <w:tab/>
      </w:r>
      <w:r>
        <w:rPr>
          <w:rFonts w:eastAsia="Calibri" w:cs="Times New Roman"/>
          <w:bCs w:val="0"/>
          <w:szCs w:val="24"/>
        </w:rPr>
        <w:tab/>
      </w:r>
    </w:p>
    <w:p w:rsidR="0052410E" w:rsidRDefault="00901D5E" w:rsidP="00901D5E">
      <w:pPr>
        <w:pStyle w:val="IssueHeading"/>
        <w:spacing w:before="0"/>
        <w:ind w:left="720" w:hanging="1440"/>
        <w:rPr>
          <w:rFonts w:eastAsia="Calibri" w:cs="Times New Roman"/>
          <w:bCs w:val="0"/>
          <w:szCs w:val="24"/>
        </w:rPr>
      </w:pPr>
      <w:r>
        <w:rPr>
          <w:rFonts w:eastAsia="Calibri" w:cs="Times New Roman"/>
          <w:bCs w:val="0"/>
          <w:szCs w:val="24"/>
        </w:rPr>
        <w:tab/>
      </w:r>
      <w:r w:rsidR="0052410E" w:rsidRPr="003A0B6E">
        <w:rPr>
          <w:rFonts w:eastAsia="Calibri" w:cs="Times New Roman"/>
          <w:bCs w:val="0"/>
          <w:szCs w:val="24"/>
        </w:rPr>
        <w:t>January 2016</w:t>
      </w:r>
      <w:r w:rsidR="00201224">
        <w:rPr>
          <w:rFonts w:eastAsia="Calibri" w:cs="Times New Roman"/>
          <w:bCs w:val="0"/>
          <w:szCs w:val="24"/>
        </w:rPr>
        <w:t>, T</w:t>
      </w:r>
      <w:r w:rsidR="0052410E" w:rsidRPr="003A0B6E">
        <w:rPr>
          <w:rFonts w:eastAsia="Calibri" w:cs="Times New Roman"/>
          <w:bCs w:val="0"/>
          <w:szCs w:val="24"/>
        </w:rPr>
        <w:t>hrough December 2016</w:t>
      </w:r>
    </w:p>
    <w:p w:rsidR="00201224" w:rsidRDefault="00201224" w:rsidP="00201224">
      <w:r>
        <w:tab/>
      </w:r>
    </w:p>
    <w:p w:rsidR="00201224" w:rsidRPr="00201224" w:rsidRDefault="00201224" w:rsidP="00201224">
      <w:r>
        <w:tab/>
        <w:t xml:space="preserve">The projected environmental cost recovery amounts for the period January 2016, through December 2016, are: </w:t>
      </w:r>
    </w:p>
    <w:p w:rsidR="0052410E" w:rsidRPr="003A0B6E" w:rsidRDefault="0052410E" w:rsidP="0052410E">
      <w:pPr>
        <w:jc w:val="both"/>
        <w:rPr>
          <w:b/>
          <w:bCs/>
        </w:rPr>
      </w:pPr>
    </w:p>
    <w:tbl>
      <w:tblPr>
        <w:tblW w:w="2511" w:type="dxa"/>
        <w:tblInd w:w="3487" w:type="dxa"/>
        <w:tblCellMar>
          <w:left w:w="0" w:type="dxa"/>
          <w:right w:w="0" w:type="dxa"/>
        </w:tblCellMar>
        <w:tblLook w:val="04A0" w:firstRow="1" w:lastRow="0" w:firstColumn="1" w:lastColumn="0" w:noHBand="0" w:noVBand="1"/>
      </w:tblPr>
      <w:tblGrid>
        <w:gridCol w:w="960"/>
        <w:gridCol w:w="1551"/>
      </w:tblGrid>
      <w:tr w:rsidR="0052410E" w:rsidRPr="003A0B6E" w:rsidTr="0052410E">
        <w:trPr>
          <w:trHeight w:val="315"/>
        </w:trPr>
        <w:tc>
          <w:tcPr>
            <w:tcW w:w="960" w:type="dxa"/>
            <w:tcBorders>
              <w:top w:val="single" w:sz="8" w:space="0" w:color="auto"/>
              <w:left w:val="single" w:sz="8" w:space="0" w:color="auto"/>
              <w:bottom w:val="single" w:sz="8" w:space="0" w:color="auto"/>
              <w:right w:val="single" w:sz="8" w:space="0" w:color="auto"/>
            </w:tcBorders>
            <w:shd w:val="clear" w:color="auto" w:fill="E26B0A"/>
            <w:noWrap/>
            <w:tcMar>
              <w:top w:w="0" w:type="dxa"/>
              <w:left w:w="108" w:type="dxa"/>
              <w:bottom w:w="0" w:type="dxa"/>
              <w:right w:w="108" w:type="dxa"/>
            </w:tcMar>
            <w:vAlign w:val="center"/>
            <w:hideMark/>
          </w:tcPr>
          <w:p w:rsidR="0052410E" w:rsidRPr="003A0B6E" w:rsidRDefault="0052410E" w:rsidP="0052410E">
            <w:pPr>
              <w:jc w:val="center"/>
              <w:rPr>
                <w:rFonts w:eastAsia="Calibri"/>
              </w:rPr>
            </w:pPr>
            <w:r w:rsidRPr="003A0B6E">
              <w:rPr>
                <w:color w:val="000000"/>
              </w:rPr>
              <w:t>FPL</w:t>
            </w:r>
          </w:p>
        </w:tc>
        <w:tc>
          <w:tcPr>
            <w:tcW w:w="155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52410E" w:rsidRPr="003A0B6E" w:rsidRDefault="0052410E" w:rsidP="0052410E">
            <w:pPr>
              <w:jc w:val="center"/>
              <w:rPr>
                <w:rFonts w:eastAsia="Calibri"/>
              </w:rPr>
            </w:pPr>
            <w:r w:rsidRPr="003A0B6E">
              <w:rPr>
                <w:color w:val="000000"/>
              </w:rPr>
              <w:t xml:space="preserve">$229,580,392 </w:t>
            </w:r>
          </w:p>
        </w:tc>
      </w:tr>
      <w:tr w:rsidR="0052410E" w:rsidRPr="003A0B6E" w:rsidTr="0052410E">
        <w:trPr>
          <w:trHeight w:val="315"/>
        </w:trPr>
        <w:tc>
          <w:tcPr>
            <w:tcW w:w="960" w:type="dxa"/>
            <w:tcBorders>
              <w:top w:val="nil"/>
              <w:left w:val="single" w:sz="8" w:space="0" w:color="auto"/>
              <w:bottom w:val="single" w:sz="8" w:space="0" w:color="auto"/>
              <w:right w:val="single" w:sz="8" w:space="0" w:color="auto"/>
            </w:tcBorders>
            <w:shd w:val="clear" w:color="auto" w:fill="E26B0A"/>
            <w:noWrap/>
            <w:tcMar>
              <w:top w:w="0" w:type="dxa"/>
              <w:left w:w="108" w:type="dxa"/>
              <w:bottom w:w="0" w:type="dxa"/>
              <w:right w:w="108" w:type="dxa"/>
            </w:tcMar>
            <w:vAlign w:val="center"/>
            <w:hideMark/>
          </w:tcPr>
          <w:p w:rsidR="0052410E" w:rsidRPr="003A0B6E" w:rsidRDefault="0052410E" w:rsidP="0052410E">
            <w:pPr>
              <w:jc w:val="center"/>
              <w:rPr>
                <w:rFonts w:eastAsia="Calibri"/>
              </w:rPr>
            </w:pPr>
            <w:r w:rsidRPr="003A0B6E">
              <w:rPr>
                <w:color w:val="000000"/>
              </w:rPr>
              <w:t xml:space="preserve">DEF </w:t>
            </w:r>
          </w:p>
        </w:tc>
        <w:tc>
          <w:tcPr>
            <w:tcW w:w="15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2410E" w:rsidRPr="003A0B6E" w:rsidRDefault="0052410E" w:rsidP="0052410E">
            <w:pPr>
              <w:jc w:val="center"/>
              <w:rPr>
                <w:rFonts w:eastAsia="Calibri"/>
              </w:rPr>
            </w:pPr>
            <w:r w:rsidRPr="003A0B6E">
              <w:rPr>
                <w:color w:val="000000"/>
              </w:rPr>
              <w:t xml:space="preserve">$69,394,937 </w:t>
            </w:r>
          </w:p>
        </w:tc>
      </w:tr>
      <w:tr w:rsidR="0052410E" w:rsidRPr="003A0B6E" w:rsidTr="0052410E">
        <w:trPr>
          <w:trHeight w:val="315"/>
        </w:trPr>
        <w:tc>
          <w:tcPr>
            <w:tcW w:w="960" w:type="dxa"/>
            <w:tcBorders>
              <w:top w:val="nil"/>
              <w:left w:val="single" w:sz="8" w:space="0" w:color="auto"/>
              <w:bottom w:val="single" w:sz="8" w:space="0" w:color="auto"/>
              <w:right w:val="single" w:sz="8" w:space="0" w:color="auto"/>
            </w:tcBorders>
            <w:shd w:val="clear" w:color="auto" w:fill="E26B0A"/>
            <w:noWrap/>
            <w:tcMar>
              <w:top w:w="0" w:type="dxa"/>
              <w:left w:w="108" w:type="dxa"/>
              <w:bottom w:w="0" w:type="dxa"/>
              <w:right w:w="108" w:type="dxa"/>
            </w:tcMar>
            <w:vAlign w:val="center"/>
            <w:hideMark/>
          </w:tcPr>
          <w:p w:rsidR="0052410E" w:rsidRPr="003A0B6E" w:rsidRDefault="0052410E" w:rsidP="0052410E">
            <w:pPr>
              <w:jc w:val="center"/>
              <w:rPr>
                <w:rFonts w:eastAsia="Calibri"/>
              </w:rPr>
            </w:pPr>
            <w:r w:rsidRPr="003A0B6E">
              <w:rPr>
                <w:color w:val="000000"/>
              </w:rPr>
              <w:t xml:space="preserve">GULF </w:t>
            </w:r>
          </w:p>
        </w:tc>
        <w:tc>
          <w:tcPr>
            <w:tcW w:w="15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2410E" w:rsidRPr="003A0B6E" w:rsidRDefault="0052410E" w:rsidP="0052410E">
            <w:pPr>
              <w:jc w:val="center"/>
              <w:rPr>
                <w:rFonts w:eastAsia="Calibri"/>
              </w:rPr>
            </w:pPr>
            <w:r w:rsidRPr="003A0B6E">
              <w:rPr>
                <w:color w:val="000000"/>
              </w:rPr>
              <w:t xml:space="preserve">$197,765,402 </w:t>
            </w:r>
          </w:p>
        </w:tc>
      </w:tr>
      <w:tr w:rsidR="0052410E" w:rsidRPr="003A0B6E" w:rsidTr="0052410E">
        <w:trPr>
          <w:trHeight w:val="315"/>
        </w:trPr>
        <w:tc>
          <w:tcPr>
            <w:tcW w:w="960" w:type="dxa"/>
            <w:tcBorders>
              <w:top w:val="nil"/>
              <w:left w:val="single" w:sz="8" w:space="0" w:color="auto"/>
              <w:bottom w:val="single" w:sz="8" w:space="0" w:color="auto"/>
              <w:right w:val="single" w:sz="8" w:space="0" w:color="auto"/>
            </w:tcBorders>
            <w:shd w:val="clear" w:color="auto" w:fill="E26B0A"/>
            <w:noWrap/>
            <w:tcMar>
              <w:top w:w="0" w:type="dxa"/>
              <w:left w:w="108" w:type="dxa"/>
              <w:bottom w:w="0" w:type="dxa"/>
              <w:right w:w="108" w:type="dxa"/>
            </w:tcMar>
            <w:vAlign w:val="center"/>
            <w:hideMark/>
          </w:tcPr>
          <w:p w:rsidR="0052410E" w:rsidRPr="003A0B6E" w:rsidRDefault="0052410E" w:rsidP="0052410E">
            <w:pPr>
              <w:jc w:val="center"/>
              <w:rPr>
                <w:rFonts w:eastAsia="Calibri"/>
              </w:rPr>
            </w:pPr>
            <w:r w:rsidRPr="003A0B6E">
              <w:rPr>
                <w:color w:val="000000"/>
              </w:rPr>
              <w:t xml:space="preserve">TECO </w:t>
            </w:r>
          </w:p>
        </w:tc>
        <w:tc>
          <w:tcPr>
            <w:tcW w:w="15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2410E" w:rsidRPr="003A0B6E" w:rsidRDefault="0052410E" w:rsidP="0052410E">
            <w:pPr>
              <w:jc w:val="center"/>
              <w:rPr>
                <w:rFonts w:eastAsia="Calibri"/>
              </w:rPr>
            </w:pPr>
            <w:r w:rsidRPr="003A0B6E">
              <w:rPr>
                <w:color w:val="000000"/>
              </w:rPr>
              <w:t xml:space="preserve">$81,255,576 </w:t>
            </w:r>
          </w:p>
        </w:tc>
      </w:tr>
    </w:tbl>
    <w:p w:rsidR="0052410E" w:rsidRPr="003A0B6E" w:rsidRDefault="0052410E" w:rsidP="0052410E">
      <w:pPr>
        <w:jc w:val="both"/>
        <w:rPr>
          <w:b/>
          <w:bCs/>
        </w:rPr>
      </w:pPr>
    </w:p>
    <w:p w:rsidR="00875A01" w:rsidRDefault="00875A01">
      <w:pPr>
        <w:rPr>
          <w:b/>
          <w:bCs/>
        </w:rPr>
      </w:pPr>
      <w:r>
        <w:br w:type="page"/>
      </w:r>
    </w:p>
    <w:p w:rsidR="00901D5E" w:rsidRDefault="00201224" w:rsidP="00901D5E">
      <w:pPr>
        <w:pStyle w:val="IssueHeading"/>
        <w:numPr>
          <w:ilvl w:val="0"/>
          <w:numId w:val="6"/>
        </w:numPr>
        <w:spacing w:before="0"/>
        <w:rPr>
          <w:rFonts w:eastAsia="Calibri" w:cs="Times New Roman"/>
          <w:bCs w:val="0"/>
          <w:szCs w:val="24"/>
        </w:rPr>
      </w:pPr>
      <w:r>
        <w:rPr>
          <w:rFonts w:cs="Times New Roman"/>
          <w:szCs w:val="24"/>
        </w:rPr>
        <w:lastRenderedPageBreak/>
        <w:t>E</w:t>
      </w:r>
      <w:r w:rsidR="0052410E" w:rsidRPr="003A0B6E">
        <w:rPr>
          <w:rFonts w:eastAsia="Calibri" w:cs="Times New Roman"/>
          <w:bCs w:val="0"/>
          <w:szCs w:val="24"/>
        </w:rPr>
        <w:t xml:space="preserve">nvironmental </w:t>
      </w:r>
      <w:r>
        <w:rPr>
          <w:rFonts w:eastAsia="Calibri" w:cs="Times New Roman"/>
          <w:bCs w:val="0"/>
          <w:szCs w:val="24"/>
        </w:rPr>
        <w:t>C</w:t>
      </w:r>
      <w:r w:rsidR="0052410E" w:rsidRPr="003A0B6E">
        <w:rPr>
          <w:rFonts w:eastAsia="Calibri" w:cs="Times New Roman"/>
          <w:bCs w:val="0"/>
          <w:szCs w:val="24"/>
        </w:rPr>
        <w:t xml:space="preserve">ost </w:t>
      </w:r>
      <w:r>
        <w:rPr>
          <w:rFonts w:eastAsia="Calibri" w:cs="Times New Roman"/>
          <w:bCs w:val="0"/>
          <w:szCs w:val="24"/>
        </w:rPr>
        <w:t>R</w:t>
      </w:r>
      <w:r w:rsidR="0052410E" w:rsidRPr="003A0B6E">
        <w:rPr>
          <w:rFonts w:eastAsia="Calibri" w:cs="Times New Roman"/>
          <w:bCs w:val="0"/>
          <w:szCs w:val="24"/>
        </w:rPr>
        <w:t xml:space="preserve">ecovery </w:t>
      </w:r>
      <w:r>
        <w:rPr>
          <w:rFonts w:eastAsia="Calibri" w:cs="Times New Roman"/>
          <w:bCs w:val="0"/>
          <w:szCs w:val="24"/>
        </w:rPr>
        <w:t>A</w:t>
      </w:r>
      <w:r w:rsidR="0052410E" w:rsidRPr="003A0B6E">
        <w:rPr>
          <w:rFonts w:eastAsia="Calibri" w:cs="Times New Roman"/>
          <w:bCs w:val="0"/>
          <w:szCs w:val="24"/>
        </w:rPr>
        <w:t xml:space="preserve">mounts, </w:t>
      </w:r>
      <w:r>
        <w:rPr>
          <w:rFonts w:eastAsia="Calibri" w:cs="Times New Roman"/>
          <w:bCs w:val="0"/>
          <w:szCs w:val="24"/>
        </w:rPr>
        <w:t>I</w:t>
      </w:r>
      <w:r w:rsidR="0052410E" w:rsidRPr="003A0B6E">
        <w:rPr>
          <w:rFonts w:eastAsia="Calibri" w:cs="Times New Roman"/>
          <w:bCs w:val="0"/>
          <w:szCs w:val="24"/>
        </w:rPr>
        <w:t xml:space="preserve">ncluding </w:t>
      </w:r>
      <w:r>
        <w:rPr>
          <w:rFonts w:eastAsia="Calibri" w:cs="Times New Roman"/>
          <w:bCs w:val="0"/>
          <w:szCs w:val="24"/>
        </w:rPr>
        <w:t>T</w:t>
      </w:r>
      <w:r w:rsidR="0052410E" w:rsidRPr="003A0B6E">
        <w:rPr>
          <w:rFonts w:eastAsia="Calibri" w:cs="Times New Roman"/>
          <w:bCs w:val="0"/>
          <w:szCs w:val="24"/>
        </w:rPr>
        <w:t>rue-</w:t>
      </w:r>
      <w:r>
        <w:rPr>
          <w:rFonts w:eastAsia="Calibri" w:cs="Times New Roman"/>
          <w:bCs w:val="0"/>
          <w:szCs w:val="24"/>
        </w:rPr>
        <w:t>U</w:t>
      </w:r>
      <w:r w:rsidR="0052410E" w:rsidRPr="003A0B6E">
        <w:rPr>
          <w:rFonts w:eastAsia="Calibri" w:cs="Times New Roman"/>
          <w:bCs w:val="0"/>
          <w:szCs w:val="24"/>
        </w:rPr>
        <w:t xml:space="preserve">p </w:t>
      </w:r>
      <w:r>
        <w:rPr>
          <w:rFonts w:eastAsia="Calibri" w:cs="Times New Roman"/>
          <w:bCs w:val="0"/>
          <w:szCs w:val="24"/>
        </w:rPr>
        <w:t>A</w:t>
      </w:r>
      <w:r w:rsidR="0052410E" w:rsidRPr="003A0B6E">
        <w:rPr>
          <w:rFonts w:eastAsia="Calibri" w:cs="Times New Roman"/>
          <w:bCs w:val="0"/>
          <w:szCs w:val="24"/>
        </w:rPr>
        <w:t>mounts</w:t>
      </w:r>
      <w:r>
        <w:rPr>
          <w:rFonts w:eastAsia="Calibri" w:cs="Times New Roman"/>
          <w:bCs w:val="0"/>
          <w:szCs w:val="24"/>
        </w:rPr>
        <w:t>:</w:t>
      </w:r>
      <w:r w:rsidR="0052410E" w:rsidRPr="003A0B6E">
        <w:rPr>
          <w:rFonts w:eastAsia="Calibri" w:cs="Times New Roman"/>
          <w:bCs w:val="0"/>
          <w:szCs w:val="24"/>
        </w:rPr>
        <w:t xml:space="preserve"> </w:t>
      </w:r>
    </w:p>
    <w:p w:rsidR="0052410E" w:rsidRDefault="0052410E" w:rsidP="00901D5E">
      <w:pPr>
        <w:pStyle w:val="IssueHeading"/>
        <w:spacing w:before="0"/>
        <w:ind w:left="720"/>
        <w:rPr>
          <w:rFonts w:eastAsia="Calibri" w:cs="Times New Roman"/>
          <w:bCs w:val="0"/>
          <w:szCs w:val="24"/>
        </w:rPr>
      </w:pPr>
      <w:r w:rsidRPr="003A0B6E">
        <w:rPr>
          <w:rFonts w:eastAsia="Calibri" w:cs="Times New Roman"/>
          <w:bCs w:val="0"/>
          <w:szCs w:val="24"/>
        </w:rPr>
        <w:t>January 2016</w:t>
      </w:r>
      <w:r w:rsidR="00201224">
        <w:rPr>
          <w:rFonts w:eastAsia="Calibri" w:cs="Times New Roman"/>
          <w:bCs w:val="0"/>
          <w:szCs w:val="24"/>
        </w:rPr>
        <w:t>, T</w:t>
      </w:r>
      <w:r w:rsidRPr="003A0B6E">
        <w:rPr>
          <w:rFonts w:eastAsia="Calibri" w:cs="Times New Roman"/>
          <w:bCs w:val="0"/>
          <w:szCs w:val="24"/>
        </w:rPr>
        <w:t>hrough December 2016</w:t>
      </w:r>
    </w:p>
    <w:p w:rsidR="0052410E" w:rsidRDefault="0052410E" w:rsidP="0052410E"/>
    <w:p w:rsidR="00201224" w:rsidRDefault="00201224" w:rsidP="0052410E"/>
    <w:p w:rsidR="00201224" w:rsidRPr="00AC6C80" w:rsidRDefault="00AC6C80" w:rsidP="00AC6C80">
      <w:pPr>
        <w:pStyle w:val="IssueHeading"/>
        <w:rPr>
          <w:rFonts w:eastAsia="Calibri" w:cs="Times New Roman"/>
          <w:b w:val="0"/>
          <w:bCs w:val="0"/>
          <w:szCs w:val="24"/>
        </w:rPr>
      </w:pPr>
      <w:r>
        <w:rPr>
          <w:rFonts w:eastAsia="Calibri" w:cs="Times New Roman"/>
          <w:b w:val="0"/>
          <w:bCs w:val="0"/>
          <w:szCs w:val="24"/>
        </w:rPr>
        <w:tab/>
        <w:t xml:space="preserve">The </w:t>
      </w:r>
      <w:r w:rsidR="00201224" w:rsidRPr="00AC6C80">
        <w:rPr>
          <w:rFonts w:eastAsia="Calibri" w:cs="Times New Roman"/>
          <w:b w:val="0"/>
          <w:bCs w:val="0"/>
          <w:szCs w:val="24"/>
        </w:rPr>
        <w:t>environmental cost recovery amounts, including true-up amounts, for the period January 2016</w:t>
      </w:r>
      <w:r>
        <w:rPr>
          <w:rFonts w:eastAsia="Calibri" w:cs="Times New Roman"/>
          <w:b w:val="0"/>
          <w:bCs w:val="0"/>
          <w:szCs w:val="24"/>
        </w:rPr>
        <w:t>,</w:t>
      </w:r>
      <w:r w:rsidR="00201224" w:rsidRPr="00AC6C80">
        <w:rPr>
          <w:rFonts w:eastAsia="Calibri" w:cs="Times New Roman"/>
          <w:b w:val="0"/>
          <w:bCs w:val="0"/>
          <w:szCs w:val="24"/>
        </w:rPr>
        <w:t xml:space="preserve"> through December 2016</w:t>
      </w:r>
      <w:r>
        <w:rPr>
          <w:rFonts w:eastAsia="Calibri" w:cs="Times New Roman"/>
          <w:b w:val="0"/>
          <w:bCs w:val="0"/>
          <w:szCs w:val="24"/>
        </w:rPr>
        <w:t>, are:</w:t>
      </w:r>
    </w:p>
    <w:p w:rsidR="00201224" w:rsidRDefault="00201224" w:rsidP="0052410E"/>
    <w:p w:rsidR="00201224" w:rsidRPr="00D959BA" w:rsidRDefault="00201224" w:rsidP="0052410E"/>
    <w:tbl>
      <w:tblPr>
        <w:tblW w:w="2511" w:type="dxa"/>
        <w:jc w:val="center"/>
        <w:tblInd w:w="93" w:type="dxa"/>
        <w:tblCellMar>
          <w:left w:w="0" w:type="dxa"/>
          <w:right w:w="0" w:type="dxa"/>
        </w:tblCellMar>
        <w:tblLook w:val="04A0" w:firstRow="1" w:lastRow="0" w:firstColumn="1" w:lastColumn="0" w:noHBand="0" w:noVBand="1"/>
      </w:tblPr>
      <w:tblGrid>
        <w:gridCol w:w="960"/>
        <w:gridCol w:w="1551"/>
      </w:tblGrid>
      <w:tr w:rsidR="0052410E" w:rsidRPr="003A0B6E" w:rsidTr="0052410E">
        <w:trPr>
          <w:trHeight w:val="315"/>
          <w:jc w:val="center"/>
        </w:trPr>
        <w:tc>
          <w:tcPr>
            <w:tcW w:w="960" w:type="dxa"/>
            <w:tcBorders>
              <w:top w:val="single" w:sz="8" w:space="0" w:color="auto"/>
              <w:left w:val="single" w:sz="8" w:space="0" w:color="auto"/>
              <w:bottom w:val="single" w:sz="8" w:space="0" w:color="auto"/>
              <w:right w:val="single" w:sz="8" w:space="0" w:color="auto"/>
            </w:tcBorders>
            <w:shd w:val="clear" w:color="auto" w:fill="E26B0A"/>
            <w:noWrap/>
            <w:tcMar>
              <w:top w:w="0" w:type="dxa"/>
              <w:left w:w="108" w:type="dxa"/>
              <w:bottom w:w="0" w:type="dxa"/>
              <w:right w:w="108" w:type="dxa"/>
            </w:tcMar>
            <w:vAlign w:val="center"/>
            <w:hideMark/>
          </w:tcPr>
          <w:p w:rsidR="0052410E" w:rsidRPr="003A0B6E" w:rsidRDefault="0052410E" w:rsidP="0052410E">
            <w:pPr>
              <w:jc w:val="center"/>
              <w:rPr>
                <w:rFonts w:eastAsia="Calibri"/>
              </w:rPr>
            </w:pPr>
            <w:r w:rsidRPr="003A0B6E">
              <w:rPr>
                <w:color w:val="000000"/>
              </w:rPr>
              <w:t xml:space="preserve">FPL </w:t>
            </w:r>
          </w:p>
        </w:tc>
        <w:tc>
          <w:tcPr>
            <w:tcW w:w="155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52410E" w:rsidRPr="003A0B6E" w:rsidRDefault="0052410E" w:rsidP="0052410E">
            <w:pPr>
              <w:jc w:val="center"/>
              <w:rPr>
                <w:rFonts w:eastAsia="Calibri"/>
              </w:rPr>
            </w:pPr>
            <w:r w:rsidRPr="003A0B6E">
              <w:rPr>
                <w:color w:val="000000"/>
              </w:rPr>
              <w:t xml:space="preserve">$270,559,175 </w:t>
            </w:r>
          </w:p>
        </w:tc>
      </w:tr>
      <w:tr w:rsidR="0052410E" w:rsidRPr="003A0B6E" w:rsidTr="0052410E">
        <w:trPr>
          <w:trHeight w:val="315"/>
          <w:jc w:val="center"/>
        </w:trPr>
        <w:tc>
          <w:tcPr>
            <w:tcW w:w="960" w:type="dxa"/>
            <w:tcBorders>
              <w:top w:val="nil"/>
              <w:left w:val="single" w:sz="8" w:space="0" w:color="auto"/>
              <w:bottom w:val="single" w:sz="8" w:space="0" w:color="auto"/>
              <w:right w:val="single" w:sz="8" w:space="0" w:color="auto"/>
            </w:tcBorders>
            <w:shd w:val="clear" w:color="auto" w:fill="E26B0A"/>
            <w:noWrap/>
            <w:tcMar>
              <w:top w:w="0" w:type="dxa"/>
              <w:left w:w="108" w:type="dxa"/>
              <w:bottom w:w="0" w:type="dxa"/>
              <w:right w:w="108" w:type="dxa"/>
            </w:tcMar>
            <w:vAlign w:val="center"/>
            <w:hideMark/>
          </w:tcPr>
          <w:p w:rsidR="0052410E" w:rsidRPr="003A0B6E" w:rsidRDefault="0052410E" w:rsidP="0052410E">
            <w:pPr>
              <w:jc w:val="center"/>
              <w:rPr>
                <w:rFonts w:eastAsia="Calibri"/>
              </w:rPr>
            </w:pPr>
            <w:r w:rsidRPr="003A0B6E">
              <w:rPr>
                <w:color w:val="000000"/>
              </w:rPr>
              <w:t xml:space="preserve">DEF </w:t>
            </w:r>
          </w:p>
        </w:tc>
        <w:tc>
          <w:tcPr>
            <w:tcW w:w="15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2410E" w:rsidRPr="003A0B6E" w:rsidRDefault="0052410E" w:rsidP="0052410E">
            <w:pPr>
              <w:jc w:val="center"/>
              <w:rPr>
                <w:rFonts w:eastAsia="Calibri"/>
              </w:rPr>
            </w:pPr>
            <w:r w:rsidRPr="003A0B6E">
              <w:rPr>
                <w:color w:val="000000"/>
              </w:rPr>
              <w:t>$68,805,000</w:t>
            </w:r>
          </w:p>
        </w:tc>
      </w:tr>
      <w:tr w:rsidR="0052410E" w:rsidRPr="003A0B6E" w:rsidTr="0052410E">
        <w:trPr>
          <w:trHeight w:val="315"/>
          <w:jc w:val="center"/>
        </w:trPr>
        <w:tc>
          <w:tcPr>
            <w:tcW w:w="960" w:type="dxa"/>
            <w:tcBorders>
              <w:top w:val="nil"/>
              <w:left w:val="single" w:sz="8" w:space="0" w:color="auto"/>
              <w:bottom w:val="single" w:sz="8" w:space="0" w:color="auto"/>
              <w:right w:val="single" w:sz="8" w:space="0" w:color="auto"/>
            </w:tcBorders>
            <w:shd w:val="clear" w:color="auto" w:fill="E26B0A"/>
            <w:noWrap/>
            <w:tcMar>
              <w:top w:w="0" w:type="dxa"/>
              <w:left w:w="108" w:type="dxa"/>
              <w:bottom w:w="0" w:type="dxa"/>
              <w:right w:w="108" w:type="dxa"/>
            </w:tcMar>
            <w:vAlign w:val="center"/>
            <w:hideMark/>
          </w:tcPr>
          <w:p w:rsidR="0052410E" w:rsidRPr="003A0B6E" w:rsidRDefault="0052410E" w:rsidP="0052410E">
            <w:pPr>
              <w:jc w:val="center"/>
              <w:rPr>
                <w:rFonts w:eastAsia="Calibri"/>
              </w:rPr>
            </w:pPr>
            <w:r w:rsidRPr="003A0B6E">
              <w:rPr>
                <w:color w:val="000000"/>
              </w:rPr>
              <w:t xml:space="preserve">GULF </w:t>
            </w:r>
          </w:p>
        </w:tc>
        <w:tc>
          <w:tcPr>
            <w:tcW w:w="15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2410E" w:rsidRPr="003A0B6E" w:rsidRDefault="0052410E" w:rsidP="0052410E">
            <w:pPr>
              <w:jc w:val="center"/>
              <w:rPr>
                <w:rFonts w:eastAsia="Calibri"/>
              </w:rPr>
            </w:pPr>
            <w:r w:rsidRPr="003A0B6E">
              <w:rPr>
                <w:color w:val="000000"/>
              </w:rPr>
              <w:t xml:space="preserve">$200,521,584 </w:t>
            </w:r>
          </w:p>
        </w:tc>
      </w:tr>
      <w:tr w:rsidR="0052410E" w:rsidRPr="003A0B6E" w:rsidTr="0052410E">
        <w:trPr>
          <w:trHeight w:val="315"/>
          <w:jc w:val="center"/>
        </w:trPr>
        <w:tc>
          <w:tcPr>
            <w:tcW w:w="960" w:type="dxa"/>
            <w:tcBorders>
              <w:top w:val="nil"/>
              <w:left w:val="single" w:sz="8" w:space="0" w:color="auto"/>
              <w:bottom w:val="single" w:sz="8" w:space="0" w:color="auto"/>
              <w:right w:val="single" w:sz="8" w:space="0" w:color="auto"/>
            </w:tcBorders>
            <w:shd w:val="clear" w:color="auto" w:fill="E26B0A"/>
            <w:noWrap/>
            <w:tcMar>
              <w:top w:w="0" w:type="dxa"/>
              <w:left w:w="108" w:type="dxa"/>
              <w:bottom w:w="0" w:type="dxa"/>
              <w:right w:w="108" w:type="dxa"/>
            </w:tcMar>
            <w:vAlign w:val="center"/>
            <w:hideMark/>
          </w:tcPr>
          <w:p w:rsidR="0052410E" w:rsidRPr="003A0B6E" w:rsidRDefault="0052410E" w:rsidP="0052410E">
            <w:pPr>
              <w:jc w:val="center"/>
              <w:rPr>
                <w:rFonts w:eastAsia="Calibri"/>
              </w:rPr>
            </w:pPr>
            <w:r w:rsidRPr="003A0B6E">
              <w:rPr>
                <w:color w:val="000000"/>
              </w:rPr>
              <w:t xml:space="preserve">TECO </w:t>
            </w:r>
          </w:p>
        </w:tc>
        <w:tc>
          <w:tcPr>
            <w:tcW w:w="15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2410E" w:rsidRPr="003A0B6E" w:rsidRDefault="0052410E" w:rsidP="0052410E">
            <w:pPr>
              <w:jc w:val="center"/>
              <w:rPr>
                <w:rFonts w:eastAsia="Calibri"/>
              </w:rPr>
            </w:pPr>
            <w:r w:rsidRPr="003A0B6E">
              <w:rPr>
                <w:color w:val="000000"/>
              </w:rPr>
              <w:t xml:space="preserve">$80,693,997 </w:t>
            </w:r>
          </w:p>
        </w:tc>
      </w:tr>
    </w:tbl>
    <w:p w:rsidR="00E935E7" w:rsidRDefault="00E935E7">
      <w:pPr>
        <w:rPr>
          <w:b/>
        </w:rPr>
      </w:pPr>
    </w:p>
    <w:p w:rsidR="00E935E7" w:rsidRDefault="00E935E7">
      <w:pPr>
        <w:rPr>
          <w:b/>
        </w:rPr>
      </w:pPr>
    </w:p>
    <w:p w:rsidR="00AC6C80" w:rsidRDefault="00AC6C80" w:rsidP="00901D5E">
      <w:pPr>
        <w:pStyle w:val="IssueHeading"/>
        <w:numPr>
          <w:ilvl w:val="0"/>
          <w:numId w:val="6"/>
        </w:numPr>
        <w:spacing w:before="0"/>
        <w:rPr>
          <w:rFonts w:cs="Times New Roman"/>
          <w:szCs w:val="24"/>
        </w:rPr>
      </w:pPr>
      <w:r>
        <w:rPr>
          <w:rFonts w:cs="Times New Roman"/>
          <w:szCs w:val="24"/>
        </w:rPr>
        <w:t xml:space="preserve">Depreciation Rates: </w:t>
      </w:r>
    </w:p>
    <w:p w:rsidR="0052410E" w:rsidRPr="003A0B6E" w:rsidRDefault="00AC6C80" w:rsidP="00901D5E">
      <w:pPr>
        <w:pStyle w:val="IssueHeading"/>
        <w:spacing w:before="0"/>
        <w:ind w:left="720" w:hanging="1440"/>
        <w:rPr>
          <w:rFonts w:cs="Times New Roman"/>
          <w:szCs w:val="24"/>
        </w:rPr>
      </w:pPr>
      <w:r>
        <w:rPr>
          <w:rFonts w:eastAsia="Calibri" w:cs="Times New Roman"/>
          <w:bCs w:val="0"/>
          <w:szCs w:val="24"/>
        </w:rPr>
        <w:tab/>
      </w:r>
      <w:r w:rsidR="0052410E" w:rsidRPr="003A0B6E">
        <w:rPr>
          <w:rFonts w:eastAsia="Calibri" w:cs="Times New Roman"/>
          <w:bCs w:val="0"/>
          <w:szCs w:val="24"/>
        </w:rPr>
        <w:t>January 2016</w:t>
      </w:r>
      <w:r>
        <w:rPr>
          <w:rFonts w:eastAsia="Calibri" w:cs="Times New Roman"/>
          <w:bCs w:val="0"/>
          <w:szCs w:val="24"/>
        </w:rPr>
        <w:t>, T</w:t>
      </w:r>
      <w:r w:rsidR="0052410E" w:rsidRPr="003A0B6E">
        <w:rPr>
          <w:rFonts w:eastAsia="Calibri" w:cs="Times New Roman"/>
          <w:bCs w:val="0"/>
          <w:szCs w:val="24"/>
        </w:rPr>
        <w:t>hrough December 2016</w:t>
      </w:r>
    </w:p>
    <w:p w:rsidR="0052410E" w:rsidRDefault="0052410E" w:rsidP="00901D5E">
      <w:pPr>
        <w:pStyle w:val="PositionHeading"/>
        <w:rPr>
          <w:rFonts w:cs="Times New Roman"/>
          <w:b w:val="0"/>
          <w:bCs w:val="0"/>
          <w:szCs w:val="24"/>
        </w:rPr>
      </w:pPr>
      <w:r w:rsidRPr="003A0B6E">
        <w:rPr>
          <w:rFonts w:cs="Times New Roman"/>
          <w:b w:val="0"/>
          <w:bCs w:val="0"/>
          <w:szCs w:val="24"/>
        </w:rPr>
        <w:tab/>
        <w:t>The depreciation rates used to calculate the depreciation expense shall be the rates that are in effect during the period the allowed capital investment is in service.</w:t>
      </w:r>
    </w:p>
    <w:p w:rsidR="00901D5E" w:rsidRPr="00901D5E" w:rsidRDefault="00901D5E" w:rsidP="00901D5E"/>
    <w:p w:rsidR="00AC6C80" w:rsidRDefault="00AC6C80" w:rsidP="00901D5E">
      <w:pPr>
        <w:pStyle w:val="IssueHeading"/>
        <w:numPr>
          <w:ilvl w:val="0"/>
          <w:numId w:val="6"/>
        </w:numPr>
        <w:spacing w:before="0"/>
        <w:rPr>
          <w:rFonts w:eastAsia="Calibri" w:cs="Times New Roman"/>
          <w:bCs w:val="0"/>
          <w:szCs w:val="24"/>
        </w:rPr>
      </w:pPr>
      <w:r>
        <w:rPr>
          <w:rFonts w:cs="Times New Roman"/>
          <w:szCs w:val="24"/>
        </w:rPr>
        <w:t>J</w:t>
      </w:r>
      <w:r w:rsidR="0052410E" w:rsidRPr="003A0B6E">
        <w:rPr>
          <w:rFonts w:eastAsia="Calibri" w:cs="Times New Roman"/>
          <w:bCs w:val="0"/>
          <w:szCs w:val="24"/>
        </w:rPr>
        <w:t xml:space="preserve">urisdictional </w:t>
      </w:r>
      <w:r>
        <w:rPr>
          <w:rFonts w:eastAsia="Calibri" w:cs="Times New Roman"/>
          <w:bCs w:val="0"/>
          <w:szCs w:val="24"/>
        </w:rPr>
        <w:t>S</w:t>
      </w:r>
      <w:r w:rsidR="0052410E" w:rsidRPr="003A0B6E">
        <w:rPr>
          <w:rFonts w:eastAsia="Calibri" w:cs="Times New Roman"/>
          <w:bCs w:val="0"/>
          <w:szCs w:val="24"/>
        </w:rPr>
        <w:t xml:space="preserve">eparation </w:t>
      </w:r>
      <w:r>
        <w:rPr>
          <w:rFonts w:eastAsia="Calibri" w:cs="Times New Roman"/>
          <w:bCs w:val="0"/>
          <w:szCs w:val="24"/>
        </w:rPr>
        <w:t>F</w:t>
      </w:r>
      <w:r w:rsidR="0052410E" w:rsidRPr="003A0B6E">
        <w:rPr>
          <w:rFonts w:eastAsia="Calibri" w:cs="Times New Roman"/>
          <w:bCs w:val="0"/>
          <w:szCs w:val="24"/>
        </w:rPr>
        <w:t>actors</w:t>
      </w:r>
      <w:r>
        <w:rPr>
          <w:rFonts w:eastAsia="Calibri" w:cs="Times New Roman"/>
          <w:bCs w:val="0"/>
          <w:szCs w:val="24"/>
        </w:rPr>
        <w:t>:</w:t>
      </w:r>
      <w:r w:rsidR="0052410E" w:rsidRPr="003A0B6E">
        <w:rPr>
          <w:rFonts w:eastAsia="Calibri" w:cs="Times New Roman"/>
          <w:bCs w:val="0"/>
          <w:szCs w:val="24"/>
        </w:rPr>
        <w:t xml:space="preserve">  </w:t>
      </w:r>
    </w:p>
    <w:p w:rsidR="0052410E" w:rsidRPr="003A0B6E" w:rsidRDefault="00AC6C80" w:rsidP="00901D5E">
      <w:pPr>
        <w:pStyle w:val="IssueHeading"/>
        <w:spacing w:before="0"/>
        <w:ind w:left="720" w:hanging="1440"/>
        <w:rPr>
          <w:rFonts w:cs="Times New Roman"/>
          <w:szCs w:val="24"/>
        </w:rPr>
      </w:pPr>
      <w:r>
        <w:rPr>
          <w:rFonts w:eastAsia="Calibri" w:cs="Times New Roman"/>
          <w:bCs w:val="0"/>
          <w:szCs w:val="24"/>
        </w:rPr>
        <w:tab/>
      </w:r>
      <w:r w:rsidR="0052410E" w:rsidRPr="003A0B6E">
        <w:rPr>
          <w:rFonts w:eastAsia="Calibri" w:cs="Times New Roman"/>
          <w:bCs w:val="0"/>
          <w:szCs w:val="24"/>
        </w:rPr>
        <w:t>January 2016</w:t>
      </w:r>
      <w:r>
        <w:rPr>
          <w:rFonts w:eastAsia="Calibri" w:cs="Times New Roman"/>
          <w:bCs w:val="0"/>
          <w:szCs w:val="24"/>
        </w:rPr>
        <w:t>,</w:t>
      </w:r>
      <w:r w:rsidR="0052410E" w:rsidRPr="003A0B6E">
        <w:rPr>
          <w:rFonts w:eastAsia="Calibri" w:cs="Times New Roman"/>
          <w:bCs w:val="0"/>
          <w:szCs w:val="24"/>
        </w:rPr>
        <w:t xml:space="preserve"> </w:t>
      </w:r>
      <w:r>
        <w:rPr>
          <w:rFonts w:eastAsia="Calibri" w:cs="Times New Roman"/>
          <w:bCs w:val="0"/>
          <w:szCs w:val="24"/>
        </w:rPr>
        <w:t>T</w:t>
      </w:r>
      <w:r w:rsidR="0052410E" w:rsidRPr="003A0B6E">
        <w:rPr>
          <w:rFonts w:eastAsia="Calibri" w:cs="Times New Roman"/>
          <w:bCs w:val="0"/>
          <w:szCs w:val="24"/>
        </w:rPr>
        <w:t>hrough December 2016</w:t>
      </w:r>
    </w:p>
    <w:p w:rsidR="0052410E" w:rsidRDefault="0052410E" w:rsidP="0052410E">
      <w:pPr>
        <w:jc w:val="both"/>
      </w:pPr>
    </w:p>
    <w:p w:rsidR="00AC6C80" w:rsidRPr="00AC6C80" w:rsidRDefault="00AC6C80" w:rsidP="00AC6C80">
      <w:pPr>
        <w:pStyle w:val="IssueHeading"/>
        <w:rPr>
          <w:rFonts w:cs="Times New Roman"/>
          <w:b w:val="0"/>
          <w:szCs w:val="24"/>
        </w:rPr>
      </w:pPr>
      <w:r>
        <w:rPr>
          <w:rFonts w:eastAsia="Calibri" w:cs="Times New Roman"/>
          <w:bCs w:val="0"/>
          <w:szCs w:val="24"/>
        </w:rPr>
        <w:tab/>
      </w:r>
      <w:r w:rsidRPr="00AC6C80">
        <w:rPr>
          <w:rFonts w:eastAsia="Calibri" w:cs="Times New Roman"/>
          <w:b w:val="0"/>
          <w:bCs w:val="0"/>
          <w:szCs w:val="24"/>
        </w:rPr>
        <w:t>The appropriate jurisdictional separation factors for the projected period January 2016, through December 2016 are:</w:t>
      </w:r>
    </w:p>
    <w:p w:rsidR="00AC6C80" w:rsidRDefault="00AC6C80" w:rsidP="0052410E">
      <w:pPr>
        <w:jc w:val="both"/>
      </w:pPr>
    </w:p>
    <w:p w:rsidR="00AC6C80" w:rsidRPr="003A0B6E" w:rsidRDefault="00AC6C80" w:rsidP="0052410E">
      <w:pPr>
        <w:jc w:val="both"/>
      </w:pPr>
    </w:p>
    <w:p w:rsidR="0052410E" w:rsidRPr="003A0B6E" w:rsidRDefault="0052410E" w:rsidP="0052410E">
      <w:pPr>
        <w:pStyle w:val="BodyTextIndent"/>
        <w:ind w:left="0"/>
        <w:jc w:val="center"/>
        <w:rPr>
          <w:b/>
        </w:rPr>
      </w:pPr>
      <w:r w:rsidRPr="003A0B6E">
        <w:rPr>
          <w:b/>
        </w:rPr>
        <w:t>FPL</w:t>
      </w:r>
    </w:p>
    <w:p w:rsidR="0052410E" w:rsidRPr="003A0B6E" w:rsidRDefault="0052410E" w:rsidP="0052410E">
      <w:pPr>
        <w:pStyle w:val="BodyTextIndent"/>
        <w:spacing w:after="0"/>
        <w:ind w:left="720" w:firstLine="720"/>
      </w:pPr>
      <w:r w:rsidRPr="003A0B6E">
        <w:t xml:space="preserve">Retail Energy Jurisdictional Factor   </w:t>
      </w:r>
      <w:r w:rsidRPr="003A0B6E">
        <w:tab/>
      </w:r>
      <w:r w:rsidRPr="003A0B6E">
        <w:tab/>
        <w:t xml:space="preserve"> 94.88715% </w:t>
      </w:r>
    </w:p>
    <w:p w:rsidR="0052410E" w:rsidRPr="003A0B6E" w:rsidRDefault="0052410E" w:rsidP="0052410E">
      <w:pPr>
        <w:ind w:left="720" w:firstLine="720"/>
        <w:jc w:val="both"/>
      </w:pPr>
      <w:r w:rsidRPr="003A0B6E">
        <w:t>Retail CP Demand Jurisdictional Factor         94.67506%</w:t>
      </w:r>
    </w:p>
    <w:p w:rsidR="0052410E" w:rsidRPr="003A0B6E" w:rsidRDefault="0052410E" w:rsidP="0052410E">
      <w:pPr>
        <w:ind w:hanging="720"/>
        <w:jc w:val="both"/>
      </w:pPr>
      <w:r w:rsidRPr="003A0B6E">
        <w:tab/>
      </w:r>
      <w:r>
        <w:tab/>
      </w:r>
      <w:r>
        <w:tab/>
      </w:r>
      <w:r w:rsidRPr="003A0B6E">
        <w:t xml:space="preserve">Retail GCP Demand Jurisdictional Factor    </w:t>
      </w:r>
      <w:r w:rsidRPr="003A0B6E">
        <w:tab/>
        <w:t xml:space="preserve">100.00000%   </w:t>
      </w:r>
    </w:p>
    <w:p w:rsidR="0052410E" w:rsidRPr="003A0B6E" w:rsidRDefault="0052410E" w:rsidP="0052410E">
      <w:pPr>
        <w:ind w:left="1440" w:hanging="1440"/>
        <w:jc w:val="both"/>
      </w:pPr>
    </w:p>
    <w:p w:rsidR="00875A01" w:rsidRDefault="00875A01">
      <w:pPr>
        <w:rPr>
          <w:b/>
          <w:bCs/>
        </w:rPr>
      </w:pPr>
      <w:r>
        <w:rPr>
          <w:b/>
          <w:bCs/>
        </w:rPr>
        <w:br w:type="page"/>
      </w:r>
    </w:p>
    <w:p w:rsidR="0052410E" w:rsidRPr="003A0B6E" w:rsidRDefault="0052410E" w:rsidP="0052410E">
      <w:pPr>
        <w:ind w:left="1440" w:hanging="1440"/>
        <w:jc w:val="center"/>
        <w:rPr>
          <w:b/>
          <w:bCs/>
        </w:rPr>
      </w:pPr>
      <w:r w:rsidRPr="003A0B6E">
        <w:rPr>
          <w:b/>
          <w:bCs/>
        </w:rPr>
        <w:lastRenderedPageBreak/>
        <w:t>DEF</w:t>
      </w:r>
    </w:p>
    <w:p w:rsidR="0052410E" w:rsidRPr="003A0B6E" w:rsidRDefault="0052410E" w:rsidP="0052410E">
      <w:pPr>
        <w:ind w:left="1440"/>
        <w:jc w:val="both"/>
        <w:rPr>
          <w:bCs/>
        </w:rPr>
      </w:pPr>
      <w:r w:rsidRPr="003A0B6E">
        <w:rPr>
          <w:bCs/>
        </w:rPr>
        <w:t>The Energy separation factor is calculated for each month based on retail kWh sales as a percentage of projected total kWh sales.  The remaining separation factors are below, consistent with the Revised Stipulation and Settlement Agreement approved in Order No. PSC-13-0598-FOF-EI, at p. 54.</w:t>
      </w:r>
    </w:p>
    <w:p w:rsidR="0052410E" w:rsidRPr="003A0B6E" w:rsidRDefault="0052410E" w:rsidP="0052410E">
      <w:pPr>
        <w:jc w:val="both"/>
        <w:rPr>
          <w:bCs/>
        </w:rPr>
      </w:pPr>
    </w:p>
    <w:p w:rsidR="0052410E" w:rsidRPr="003A0B6E" w:rsidRDefault="0052410E" w:rsidP="0052410E">
      <w:pPr>
        <w:ind w:left="720" w:firstLine="720"/>
        <w:jc w:val="both"/>
        <w:rPr>
          <w:bCs/>
        </w:rPr>
      </w:pPr>
      <w:r w:rsidRPr="003A0B6E">
        <w:rPr>
          <w:bCs/>
        </w:rPr>
        <w:t>Transmission Average 12 CP Demand – 70.203%</w:t>
      </w:r>
    </w:p>
    <w:p w:rsidR="0052410E" w:rsidRPr="003A0B6E" w:rsidRDefault="0052410E" w:rsidP="0052410E">
      <w:pPr>
        <w:ind w:left="720" w:firstLine="720"/>
        <w:jc w:val="both"/>
        <w:rPr>
          <w:bCs/>
        </w:rPr>
      </w:pPr>
      <w:r w:rsidRPr="003A0B6E">
        <w:rPr>
          <w:bCs/>
        </w:rPr>
        <w:t>Distribution Primary Demand – 99.561%</w:t>
      </w:r>
    </w:p>
    <w:p w:rsidR="0052410E" w:rsidRPr="003A0B6E" w:rsidRDefault="0052410E" w:rsidP="0052410E">
      <w:pPr>
        <w:jc w:val="both"/>
        <w:rPr>
          <w:bCs/>
        </w:rPr>
      </w:pPr>
    </w:p>
    <w:p w:rsidR="0052410E" w:rsidRPr="003A0B6E" w:rsidRDefault="0052410E" w:rsidP="0052410E">
      <w:pPr>
        <w:ind w:left="720" w:firstLine="720"/>
        <w:jc w:val="both"/>
        <w:rPr>
          <w:bCs/>
        </w:rPr>
      </w:pPr>
      <w:r w:rsidRPr="003A0B6E">
        <w:rPr>
          <w:bCs/>
        </w:rPr>
        <w:t>Production Demand:</w:t>
      </w:r>
    </w:p>
    <w:p w:rsidR="0052410E" w:rsidRPr="003A0B6E" w:rsidRDefault="0052410E" w:rsidP="0052410E">
      <w:pPr>
        <w:ind w:left="720" w:firstLine="720"/>
        <w:jc w:val="both"/>
        <w:rPr>
          <w:bCs/>
        </w:rPr>
      </w:pPr>
      <w:r w:rsidRPr="003A0B6E">
        <w:rPr>
          <w:bCs/>
        </w:rPr>
        <w:t>Production Demand (2012) – 91.683%</w:t>
      </w:r>
    </w:p>
    <w:p w:rsidR="0052410E" w:rsidRPr="003A0B6E" w:rsidRDefault="0052410E" w:rsidP="0052410E">
      <w:pPr>
        <w:ind w:left="720" w:firstLine="720"/>
        <w:jc w:val="both"/>
        <w:rPr>
          <w:bCs/>
        </w:rPr>
      </w:pPr>
      <w:r w:rsidRPr="003A0B6E">
        <w:rPr>
          <w:bCs/>
        </w:rPr>
        <w:t>Production Base – 92.885%</w:t>
      </w:r>
    </w:p>
    <w:p w:rsidR="0052410E" w:rsidRPr="003A0B6E" w:rsidRDefault="0052410E" w:rsidP="0052410E">
      <w:pPr>
        <w:ind w:left="720" w:firstLine="720"/>
        <w:jc w:val="both"/>
        <w:rPr>
          <w:bCs/>
        </w:rPr>
      </w:pPr>
      <w:r w:rsidRPr="003A0B6E">
        <w:rPr>
          <w:bCs/>
        </w:rPr>
        <w:t>Production Intermediate – 72.703%</w:t>
      </w:r>
    </w:p>
    <w:p w:rsidR="0052410E" w:rsidRPr="003A0B6E" w:rsidRDefault="0052410E" w:rsidP="0052410E">
      <w:pPr>
        <w:ind w:left="720" w:firstLine="720"/>
        <w:jc w:val="both"/>
        <w:rPr>
          <w:bCs/>
        </w:rPr>
      </w:pPr>
      <w:r w:rsidRPr="003A0B6E">
        <w:rPr>
          <w:bCs/>
        </w:rPr>
        <w:t>Production Peaking – 95.924%</w:t>
      </w:r>
    </w:p>
    <w:p w:rsidR="0052410E" w:rsidRPr="003A0B6E" w:rsidRDefault="0052410E" w:rsidP="0052410E">
      <w:pPr>
        <w:ind w:left="720" w:firstLine="720"/>
        <w:jc w:val="both"/>
        <w:rPr>
          <w:bCs/>
        </w:rPr>
      </w:pPr>
      <w:r w:rsidRPr="003A0B6E">
        <w:rPr>
          <w:bCs/>
        </w:rPr>
        <w:t>Production A&amp;G – 93.221%</w:t>
      </w:r>
    </w:p>
    <w:p w:rsidR="0052410E" w:rsidRPr="003A0B6E" w:rsidRDefault="0052410E" w:rsidP="0052410E">
      <w:pPr>
        <w:ind w:left="1440" w:hanging="1440"/>
        <w:jc w:val="both"/>
      </w:pPr>
    </w:p>
    <w:p w:rsidR="0052410E" w:rsidRPr="003A0B6E" w:rsidRDefault="0052410E" w:rsidP="0052410E">
      <w:pPr>
        <w:ind w:left="1440" w:hanging="1440"/>
        <w:jc w:val="center"/>
        <w:rPr>
          <w:b/>
          <w:bCs/>
        </w:rPr>
      </w:pPr>
      <w:r w:rsidRPr="003A0B6E">
        <w:rPr>
          <w:b/>
          <w:bCs/>
        </w:rPr>
        <w:t>TECO</w:t>
      </w:r>
    </w:p>
    <w:p w:rsidR="0052410E" w:rsidRPr="003A0B6E" w:rsidRDefault="0052410E" w:rsidP="0052410E">
      <w:pPr>
        <w:ind w:left="1440"/>
        <w:jc w:val="both"/>
      </w:pPr>
      <w:r w:rsidRPr="003A0B6E">
        <w:t xml:space="preserve">The appropriate jurisdictional separation factors are 1.0000000.  </w:t>
      </w:r>
    </w:p>
    <w:p w:rsidR="0052410E" w:rsidRPr="003A0B6E" w:rsidRDefault="0052410E" w:rsidP="0052410E">
      <w:pPr>
        <w:jc w:val="both"/>
      </w:pPr>
    </w:p>
    <w:p w:rsidR="0052410E" w:rsidRPr="003A0B6E" w:rsidRDefault="0052410E" w:rsidP="0052410E">
      <w:pPr>
        <w:ind w:left="1440" w:hanging="1440"/>
        <w:jc w:val="center"/>
        <w:rPr>
          <w:b/>
          <w:bCs/>
        </w:rPr>
      </w:pPr>
      <w:r w:rsidRPr="003A0B6E">
        <w:rPr>
          <w:b/>
          <w:bCs/>
        </w:rPr>
        <w:t>GULF</w:t>
      </w:r>
    </w:p>
    <w:p w:rsidR="0052410E" w:rsidRPr="003A0B6E" w:rsidRDefault="0052410E" w:rsidP="0052410E">
      <w:pPr>
        <w:ind w:left="1440"/>
        <w:jc w:val="both"/>
      </w:pPr>
      <w:r w:rsidRPr="003A0B6E">
        <w:t xml:space="preserve">The demand jurisdictional separation factor is 97.07146%.  Energy jurisdictional separation factors are calculated each month based on retail KWH sales as a percentage of projected total territorial KWH sales.  </w:t>
      </w:r>
    </w:p>
    <w:p w:rsidR="0052410E" w:rsidRPr="003A0B6E" w:rsidRDefault="0052410E" w:rsidP="0052410E">
      <w:pPr>
        <w:rPr>
          <w:b/>
          <w:u w:val="single"/>
        </w:rPr>
      </w:pPr>
    </w:p>
    <w:p w:rsidR="00AC6C80" w:rsidRDefault="00AC6C80">
      <w:pPr>
        <w:rPr>
          <w:b/>
        </w:rPr>
      </w:pPr>
    </w:p>
    <w:p w:rsidR="00AC6C80" w:rsidRDefault="00AC6C80" w:rsidP="00901D5E">
      <w:pPr>
        <w:pStyle w:val="IssueHeading"/>
        <w:numPr>
          <w:ilvl w:val="0"/>
          <w:numId w:val="6"/>
        </w:numPr>
        <w:spacing w:before="0"/>
        <w:rPr>
          <w:rFonts w:eastAsia="Calibri" w:cs="Times New Roman"/>
          <w:bCs w:val="0"/>
          <w:szCs w:val="24"/>
        </w:rPr>
      </w:pPr>
      <w:r>
        <w:rPr>
          <w:rFonts w:cs="Times New Roman"/>
          <w:szCs w:val="24"/>
        </w:rPr>
        <w:t>E</w:t>
      </w:r>
      <w:r w:rsidR="0052410E" w:rsidRPr="003A0B6E">
        <w:rPr>
          <w:rFonts w:eastAsia="Calibri" w:cs="Times New Roman"/>
          <w:bCs w:val="0"/>
          <w:szCs w:val="24"/>
        </w:rPr>
        <w:t xml:space="preserve">nvironmental </w:t>
      </w:r>
      <w:r>
        <w:rPr>
          <w:rFonts w:eastAsia="Calibri" w:cs="Times New Roman"/>
          <w:bCs w:val="0"/>
          <w:szCs w:val="24"/>
        </w:rPr>
        <w:t>C</w:t>
      </w:r>
      <w:r w:rsidR="0052410E" w:rsidRPr="003A0B6E">
        <w:rPr>
          <w:rFonts w:eastAsia="Calibri" w:cs="Times New Roman"/>
          <w:bCs w:val="0"/>
          <w:szCs w:val="24"/>
        </w:rPr>
        <w:t xml:space="preserve">ost </w:t>
      </w:r>
      <w:r>
        <w:rPr>
          <w:rFonts w:eastAsia="Calibri" w:cs="Times New Roman"/>
          <w:bCs w:val="0"/>
          <w:szCs w:val="24"/>
        </w:rPr>
        <w:t>R</w:t>
      </w:r>
      <w:r w:rsidR="0052410E" w:rsidRPr="003A0B6E">
        <w:rPr>
          <w:rFonts w:eastAsia="Calibri" w:cs="Times New Roman"/>
          <w:bCs w:val="0"/>
          <w:szCs w:val="24"/>
        </w:rPr>
        <w:t xml:space="preserve">ecovery </w:t>
      </w:r>
      <w:r>
        <w:rPr>
          <w:rFonts w:eastAsia="Calibri" w:cs="Times New Roman"/>
          <w:bCs w:val="0"/>
          <w:szCs w:val="24"/>
        </w:rPr>
        <w:t>F</w:t>
      </w:r>
      <w:r w:rsidR="0052410E" w:rsidRPr="003A0B6E">
        <w:rPr>
          <w:rFonts w:eastAsia="Calibri" w:cs="Times New Roman"/>
          <w:bCs w:val="0"/>
          <w:szCs w:val="24"/>
        </w:rPr>
        <w:t xml:space="preserve">actors </w:t>
      </w:r>
      <w:r>
        <w:rPr>
          <w:rFonts w:eastAsia="Calibri" w:cs="Times New Roman"/>
          <w:bCs w:val="0"/>
          <w:szCs w:val="24"/>
        </w:rPr>
        <w:t xml:space="preserve">by Rate Group: </w:t>
      </w:r>
    </w:p>
    <w:p w:rsidR="0052410E" w:rsidRDefault="00AC6C80" w:rsidP="00901D5E">
      <w:pPr>
        <w:pStyle w:val="IssueHeading"/>
        <w:spacing w:before="0"/>
        <w:rPr>
          <w:rFonts w:eastAsia="Calibri" w:cs="Times New Roman"/>
          <w:bCs w:val="0"/>
          <w:szCs w:val="24"/>
        </w:rPr>
      </w:pPr>
      <w:r>
        <w:rPr>
          <w:rFonts w:eastAsia="Calibri" w:cs="Times New Roman"/>
          <w:bCs w:val="0"/>
          <w:szCs w:val="24"/>
        </w:rPr>
        <w:tab/>
      </w:r>
      <w:r w:rsidR="0052410E" w:rsidRPr="003A0B6E">
        <w:rPr>
          <w:rFonts w:eastAsia="Calibri" w:cs="Times New Roman"/>
          <w:bCs w:val="0"/>
          <w:szCs w:val="24"/>
        </w:rPr>
        <w:t>January 2016</w:t>
      </w:r>
      <w:r>
        <w:rPr>
          <w:rFonts w:eastAsia="Calibri" w:cs="Times New Roman"/>
          <w:bCs w:val="0"/>
          <w:szCs w:val="24"/>
        </w:rPr>
        <w:t>, T</w:t>
      </w:r>
      <w:r w:rsidR="0052410E" w:rsidRPr="003A0B6E">
        <w:rPr>
          <w:rFonts w:eastAsia="Calibri" w:cs="Times New Roman"/>
          <w:bCs w:val="0"/>
          <w:szCs w:val="24"/>
        </w:rPr>
        <w:t>hrough December 2016</w:t>
      </w:r>
    </w:p>
    <w:p w:rsidR="00AC6C80" w:rsidRPr="00AC6C80" w:rsidRDefault="00AC6C80" w:rsidP="00AC6C80">
      <w:pPr>
        <w:pStyle w:val="IssueHeading"/>
        <w:rPr>
          <w:rFonts w:cs="Times New Roman"/>
          <w:b w:val="0"/>
          <w:szCs w:val="24"/>
        </w:rPr>
      </w:pPr>
      <w:r w:rsidRPr="00AC6C80">
        <w:rPr>
          <w:rFonts w:eastAsia="Calibri" w:cs="Times New Roman"/>
          <w:b w:val="0"/>
          <w:bCs w:val="0"/>
          <w:szCs w:val="24"/>
        </w:rPr>
        <w:tab/>
        <w:t>The appropriate environmental cost recovery factors for the period January 2016, through December 2016, for each rate group, are:</w:t>
      </w:r>
    </w:p>
    <w:p w:rsidR="00AC6C80" w:rsidRPr="00AC6C80" w:rsidRDefault="00AC6C80" w:rsidP="00AC6C80"/>
    <w:p w:rsidR="00875A01" w:rsidRDefault="00875A01">
      <w:r>
        <w:br w:type="page"/>
      </w:r>
    </w:p>
    <w:p w:rsidR="0052410E" w:rsidRPr="003A0B6E" w:rsidRDefault="0052410E" w:rsidP="0052410E">
      <w:pPr>
        <w:jc w:val="both"/>
      </w:pPr>
    </w:p>
    <w:p w:rsidR="0052410E" w:rsidRPr="003A0B6E" w:rsidRDefault="0052410E" w:rsidP="0052410E">
      <w:pPr>
        <w:ind w:left="1440" w:hanging="1440"/>
        <w:jc w:val="center"/>
        <w:rPr>
          <w:b/>
          <w:bCs/>
          <w:u w:val="single"/>
        </w:rPr>
      </w:pPr>
      <w:r w:rsidRPr="003A0B6E">
        <w:rPr>
          <w:b/>
        </w:rPr>
        <w:t>FPL</w:t>
      </w:r>
    </w:p>
    <w:tbl>
      <w:tblPr>
        <w:tblW w:w="4780" w:type="dxa"/>
        <w:tblInd w:w="2302" w:type="dxa"/>
        <w:tblLook w:val="04A0" w:firstRow="1" w:lastRow="0" w:firstColumn="1" w:lastColumn="0" w:noHBand="0" w:noVBand="1"/>
      </w:tblPr>
      <w:tblGrid>
        <w:gridCol w:w="3817"/>
        <w:gridCol w:w="1643"/>
      </w:tblGrid>
      <w:tr w:rsidR="0052410E" w:rsidRPr="003A0B6E" w:rsidTr="0052410E">
        <w:trPr>
          <w:trHeight w:val="915"/>
        </w:trPr>
        <w:tc>
          <w:tcPr>
            <w:tcW w:w="3340"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52410E" w:rsidRPr="003A0B6E" w:rsidRDefault="0052410E" w:rsidP="0052410E">
            <w:pPr>
              <w:jc w:val="center"/>
            </w:pPr>
            <w:r w:rsidRPr="003A0B6E">
              <w:t>RATE CLASS</w:t>
            </w:r>
          </w:p>
        </w:tc>
        <w:tc>
          <w:tcPr>
            <w:tcW w:w="1440" w:type="dxa"/>
            <w:tcBorders>
              <w:top w:val="single" w:sz="8" w:space="0" w:color="auto"/>
              <w:left w:val="nil"/>
              <w:bottom w:val="single" w:sz="8" w:space="0" w:color="000000"/>
              <w:right w:val="single" w:sz="8" w:space="0" w:color="auto"/>
            </w:tcBorders>
            <w:shd w:val="clear" w:color="auto" w:fill="auto"/>
            <w:vAlign w:val="center"/>
            <w:hideMark/>
          </w:tcPr>
          <w:p w:rsidR="0052410E" w:rsidRPr="003A0B6E" w:rsidRDefault="0052410E" w:rsidP="0052410E">
            <w:pPr>
              <w:jc w:val="center"/>
            </w:pPr>
            <w:r w:rsidRPr="003A0B6E">
              <w:t>Environmental Cost Recovery Factor (cents/kWh)</w:t>
            </w:r>
          </w:p>
        </w:tc>
      </w:tr>
      <w:tr w:rsidR="0052410E" w:rsidRPr="003A0B6E" w:rsidTr="0052410E">
        <w:trPr>
          <w:trHeight w:val="300"/>
        </w:trPr>
        <w:tc>
          <w:tcPr>
            <w:tcW w:w="3340" w:type="dxa"/>
            <w:tcBorders>
              <w:top w:val="nil"/>
              <w:left w:val="single" w:sz="8" w:space="0" w:color="auto"/>
              <w:bottom w:val="nil"/>
              <w:right w:val="single" w:sz="8" w:space="0" w:color="auto"/>
            </w:tcBorders>
            <w:shd w:val="clear" w:color="auto" w:fill="auto"/>
            <w:noWrap/>
            <w:vAlign w:val="bottom"/>
            <w:hideMark/>
          </w:tcPr>
          <w:p w:rsidR="0052410E" w:rsidRPr="003A0B6E" w:rsidRDefault="0052410E" w:rsidP="0052410E">
            <w:r w:rsidRPr="003A0B6E">
              <w:t>RS1/RTR1</w:t>
            </w:r>
          </w:p>
        </w:tc>
        <w:tc>
          <w:tcPr>
            <w:tcW w:w="1440" w:type="dxa"/>
            <w:tcBorders>
              <w:top w:val="nil"/>
              <w:left w:val="nil"/>
              <w:bottom w:val="nil"/>
              <w:right w:val="single" w:sz="8" w:space="0" w:color="auto"/>
            </w:tcBorders>
            <w:shd w:val="clear" w:color="auto" w:fill="auto"/>
            <w:noWrap/>
            <w:vAlign w:val="bottom"/>
            <w:hideMark/>
          </w:tcPr>
          <w:p w:rsidR="0052410E" w:rsidRPr="003A0B6E" w:rsidRDefault="0052410E" w:rsidP="0052410E">
            <w:pPr>
              <w:jc w:val="right"/>
            </w:pPr>
            <w:r w:rsidRPr="003A0B6E">
              <w:t xml:space="preserve">0.263 </w:t>
            </w:r>
          </w:p>
        </w:tc>
      </w:tr>
      <w:tr w:rsidR="0052410E" w:rsidRPr="003A0B6E" w:rsidTr="0052410E">
        <w:trPr>
          <w:trHeight w:val="300"/>
        </w:trPr>
        <w:tc>
          <w:tcPr>
            <w:tcW w:w="3340" w:type="dxa"/>
            <w:tcBorders>
              <w:top w:val="nil"/>
              <w:left w:val="single" w:sz="8" w:space="0" w:color="auto"/>
              <w:bottom w:val="nil"/>
              <w:right w:val="single" w:sz="8" w:space="0" w:color="auto"/>
            </w:tcBorders>
            <w:shd w:val="clear" w:color="auto" w:fill="auto"/>
            <w:noWrap/>
            <w:vAlign w:val="bottom"/>
            <w:hideMark/>
          </w:tcPr>
          <w:p w:rsidR="0052410E" w:rsidRPr="003A0B6E" w:rsidRDefault="0052410E" w:rsidP="0052410E">
            <w:r w:rsidRPr="003A0B6E">
              <w:t>GS1/GST1</w:t>
            </w:r>
          </w:p>
        </w:tc>
        <w:tc>
          <w:tcPr>
            <w:tcW w:w="1440" w:type="dxa"/>
            <w:tcBorders>
              <w:top w:val="nil"/>
              <w:left w:val="nil"/>
              <w:bottom w:val="nil"/>
              <w:right w:val="single" w:sz="8" w:space="0" w:color="auto"/>
            </w:tcBorders>
            <w:shd w:val="clear" w:color="auto" w:fill="auto"/>
            <w:noWrap/>
            <w:vAlign w:val="bottom"/>
            <w:hideMark/>
          </w:tcPr>
          <w:p w:rsidR="0052410E" w:rsidRPr="003A0B6E" w:rsidRDefault="0052410E" w:rsidP="0052410E">
            <w:pPr>
              <w:jc w:val="right"/>
            </w:pPr>
            <w:r w:rsidRPr="003A0B6E">
              <w:t xml:space="preserve">0.251 </w:t>
            </w:r>
          </w:p>
        </w:tc>
      </w:tr>
      <w:tr w:rsidR="0052410E" w:rsidRPr="003A0B6E" w:rsidTr="0052410E">
        <w:trPr>
          <w:trHeight w:val="300"/>
        </w:trPr>
        <w:tc>
          <w:tcPr>
            <w:tcW w:w="3340" w:type="dxa"/>
            <w:tcBorders>
              <w:top w:val="nil"/>
              <w:left w:val="single" w:sz="8" w:space="0" w:color="auto"/>
              <w:bottom w:val="nil"/>
              <w:right w:val="single" w:sz="8" w:space="0" w:color="auto"/>
            </w:tcBorders>
            <w:shd w:val="clear" w:color="auto" w:fill="auto"/>
            <w:noWrap/>
            <w:vAlign w:val="bottom"/>
            <w:hideMark/>
          </w:tcPr>
          <w:p w:rsidR="0052410E" w:rsidRPr="003A0B6E" w:rsidRDefault="0052410E" w:rsidP="0052410E">
            <w:r w:rsidRPr="003A0B6E">
              <w:t>GSD1/GSDT1/HLFT1</w:t>
            </w:r>
          </w:p>
        </w:tc>
        <w:tc>
          <w:tcPr>
            <w:tcW w:w="1440" w:type="dxa"/>
            <w:tcBorders>
              <w:top w:val="nil"/>
              <w:left w:val="nil"/>
              <w:bottom w:val="nil"/>
              <w:right w:val="single" w:sz="8" w:space="0" w:color="auto"/>
            </w:tcBorders>
            <w:shd w:val="clear" w:color="auto" w:fill="auto"/>
            <w:noWrap/>
            <w:vAlign w:val="bottom"/>
            <w:hideMark/>
          </w:tcPr>
          <w:p w:rsidR="0052410E" w:rsidRPr="003A0B6E" w:rsidRDefault="0052410E" w:rsidP="0052410E">
            <w:pPr>
              <w:jc w:val="right"/>
            </w:pPr>
            <w:r w:rsidRPr="003A0B6E">
              <w:t xml:space="preserve">0.233 </w:t>
            </w:r>
          </w:p>
        </w:tc>
      </w:tr>
      <w:tr w:rsidR="0052410E" w:rsidRPr="003A0B6E" w:rsidTr="0052410E">
        <w:trPr>
          <w:trHeight w:val="300"/>
        </w:trPr>
        <w:tc>
          <w:tcPr>
            <w:tcW w:w="3340" w:type="dxa"/>
            <w:tcBorders>
              <w:top w:val="nil"/>
              <w:left w:val="single" w:sz="8" w:space="0" w:color="auto"/>
              <w:bottom w:val="nil"/>
              <w:right w:val="single" w:sz="8" w:space="0" w:color="auto"/>
            </w:tcBorders>
            <w:shd w:val="clear" w:color="auto" w:fill="auto"/>
            <w:noWrap/>
            <w:vAlign w:val="bottom"/>
            <w:hideMark/>
          </w:tcPr>
          <w:p w:rsidR="0052410E" w:rsidRPr="003A0B6E" w:rsidRDefault="0052410E" w:rsidP="0052410E">
            <w:r w:rsidRPr="003A0B6E">
              <w:t>OS2</w:t>
            </w:r>
          </w:p>
        </w:tc>
        <w:tc>
          <w:tcPr>
            <w:tcW w:w="1440" w:type="dxa"/>
            <w:tcBorders>
              <w:top w:val="nil"/>
              <w:left w:val="nil"/>
              <w:bottom w:val="nil"/>
              <w:right w:val="single" w:sz="8" w:space="0" w:color="auto"/>
            </w:tcBorders>
            <w:shd w:val="clear" w:color="auto" w:fill="auto"/>
            <w:noWrap/>
            <w:vAlign w:val="bottom"/>
            <w:hideMark/>
          </w:tcPr>
          <w:p w:rsidR="0052410E" w:rsidRPr="003A0B6E" w:rsidRDefault="0052410E" w:rsidP="0052410E">
            <w:pPr>
              <w:jc w:val="right"/>
            </w:pPr>
            <w:r w:rsidRPr="003A0B6E">
              <w:t xml:space="preserve">0.210 </w:t>
            </w:r>
          </w:p>
        </w:tc>
      </w:tr>
      <w:tr w:rsidR="0052410E" w:rsidRPr="003A0B6E" w:rsidTr="0052410E">
        <w:trPr>
          <w:trHeight w:val="300"/>
        </w:trPr>
        <w:tc>
          <w:tcPr>
            <w:tcW w:w="3340" w:type="dxa"/>
            <w:tcBorders>
              <w:top w:val="nil"/>
              <w:left w:val="single" w:sz="8" w:space="0" w:color="auto"/>
              <w:bottom w:val="nil"/>
              <w:right w:val="single" w:sz="8" w:space="0" w:color="auto"/>
            </w:tcBorders>
            <w:shd w:val="clear" w:color="auto" w:fill="auto"/>
            <w:noWrap/>
            <w:vAlign w:val="bottom"/>
            <w:hideMark/>
          </w:tcPr>
          <w:p w:rsidR="0052410E" w:rsidRPr="003A0B6E" w:rsidRDefault="0052410E" w:rsidP="0052410E">
            <w:r w:rsidRPr="003A0B6E">
              <w:t>GSLD1/GSLDT1/CS1/CST1/HLFT2</w:t>
            </w:r>
          </w:p>
        </w:tc>
        <w:tc>
          <w:tcPr>
            <w:tcW w:w="1440" w:type="dxa"/>
            <w:tcBorders>
              <w:top w:val="nil"/>
              <w:left w:val="nil"/>
              <w:bottom w:val="nil"/>
              <w:right w:val="single" w:sz="8" w:space="0" w:color="auto"/>
            </w:tcBorders>
            <w:shd w:val="clear" w:color="auto" w:fill="auto"/>
            <w:noWrap/>
            <w:vAlign w:val="bottom"/>
            <w:hideMark/>
          </w:tcPr>
          <w:p w:rsidR="0052410E" w:rsidRPr="003A0B6E" w:rsidRDefault="0052410E" w:rsidP="0052410E">
            <w:pPr>
              <w:jc w:val="right"/>
            </w:pPr>
            <w:r w:rsidRPr="003A0B6E">
              <w:t xml:space="preserve">0.232 </w:t>
            </w:r>
          </w:p>
        </w:tc>
      </w:tr>
      <w:tr w:rsidR="0052410E" w:rsidRPr="003A0B6E" w:rsidTr="0052410E">
        <w:trPr>
          <w:trHeight w:val="300"/>
        </w:trPr>
        <w:tc>
          <w:tcPr>
            <w:tcW w:w="3340" w:type="dxa"/>
            <w:tcBorders>
              <w:top w:val="nil"/>
              <w:left w:val="single" w:sz="8" w:space="0" w:color="auto"/>
              <w:bottom w:val="nil"/>
              <w:right w:val="single" w:sz="8" w:space="0" w:color="auto"/>
            </w:tcBorders>
            <w:shd w:val="clear" w:color="auto" w:fill="auto"/>
            <w:noWrap/>
            <w:vAlign w:val="bottom"/>
            <w:hideMark/>
          </w:tcPr>
          <w:p w:rsidR="0052410E" w:rsidRPr="003A0B6E" w:rsidRDefault="0052410E" w:rsidP="0052410E">
            <w:r w:rsidRPr="003A0B6E">
              <w:t>GSLD2/GSLDT2/CS2/CST2/HLFT3</w:t>
            </w:r>
          </w:p>
        </w:tc>
        <w:tc>
          <w:tcPr>
            <w:tcW w:w="1440" w:type="dxa"/>
            <w:tcBorders>
              <w:top w:val="nil"/>
              <w:left w:val="nil"/>
              <w:bottom w:val="nil"/>
              <w:right w:val="single" w:sz="8" w:space="0" w:color="auto"/>
            </w:tcBorders>
            <w:shd w:val="clear" w:color="auto" w:fill="auto"/>
            <w:noWrap/>
            <w:vAlign w:val="bottom"/>
            <w:hideMark/>
          </w:tcPr>
          <w:p w:rsidR="0052410E" w:rsidRPr="003A0B6E" w:rsidRDefault="0052410E" w:rsidP="0052410E">
            <w:pPr>
              <w:jc w:val="right"/>
            </w:pPr>
            <w:r w:rsidRPr="003A0B6E">
              <w:t xml:space="preserve">0.205 </w:t>
            </w:r>
          </w:p>
        </w:tc>
      </w:tr>
      <w:tr w:rsidR="0052410E" w:rsidRPr="003A0B6E" w:rsidTr="0052410E">
        <w:trPr>
          <w:trHeight w:val="300"/>
        </w:trPr>
        <w:tc>
          <w:tcPr>
            <w:tcW w:w="3340" w:type="dxa"/>
            <w:tcBorders>
              <w:top w:val="nil"/>
              <w:left w:val="single" w:sz="8" w:space="0" w:color="auto"/>
              <w:bottom w:val="nil"/>
              <w:right w:val="single" w:sz="8" w:space="0" w:color="auto"/>
            </w:tcBorders>
            <w:shd w:val="clear" w:color="auto" w:fill="auto"/>
            <w:noWrap/>
            <w:vAlign w:val="bottom"/>
            <w:hideMark/>
          </w:tcPr>
          <w:p w:rsidR="0052410E" w:rsidRPr="003A0B6E" w:rsidRDefault="0052410E" w:rsidP="0052410E">
            <w:r w:rsidRPr="003A0B6E">
              <w:t>GSLD3/GSLDT3/CS3/CST3</w:t>
            </w:r>
          </w:p>
        </w:tc>
        <w:tc>
          <w:tcPr>
            <w:tcW w:w="1440" w:type="dxa"/>
            <w:tcBorders>
              <w:top w:val="nil"/>
              <w:left w:val="nil"/>
              <w:bottom w:val="nil"/>
              <w:right w:val="single" w:sz="8" w:space="0" w:color="auto"/>
            </w:tcBorders>
            <w:shd w:val="clear" w:color="auto" w:fill="auto"/>
            <w:noWrap/>
            <w:vAlign w:val="bottom"/>
            <w:hideMark/>
          </w:tcPr>
          <w:p w:rsidR="0052410E" w:rsidRPr="003A0B6E" w:rsidRDefault="0052410E" w:rsidP="0052410E">
            <w:pPr>
              <w:jc w:val="right"/>
            </w:pPr>
            <w:r w:rsidRPr="003A0B6E">
              <w:t xml:space="preserve">0.200 </w:t>
            </w:r>
          </w:p>
        </w:tc>
      </w:tr>
      <w:tr w:rsidR="0052410E" w:rsidRPr="003A0B6E" w:rsidTr="0052410E">
        <w:trPr>
          <w:trHeight w:val="300"/>
        </w:trPr>
        <w:tc>
          <w:tcPr>
            <w:tcW w:w="3340" w:type="dxa"/>
            <w:tcBorders>
              <w:top w:val="nil"/>
              <w:left w:val="single" w:sz="8" w:space="0" w:color="auto"/>
              <w:bottom w:val="nil"/>
              <w:right w:val="single" w:sz="8" w:space="0" w:color="auto"/>
            </w:tcBorders>
            <w:shd w:val="clear" w:color="auto" w:fill="auto"/>
            <w:noWrap/>
            <w:vAlign w:val="bottom"/>
            <w:hideMark/>
          </w:tcPr>
          <w:p w:rsidR="0052410E" w:rsidRPr="003A0B6E" w:rsidRDefault="0052410E" w:rsidP="0052410E">
            <w:r w:rsidRPr="003A0B6E">
              <w:t>SST1T</w:t>
            </w:r>
          </w:p>
        </w:tc>
        <w:tc>
          <w:tcPr>
            <w:tcW w:w="1440" w:type="dxa"/>
            <w:tcBorders>
              <w:top w:val="nil"/>
              <w:left w:val="nil"/>
              <w:bottom w:val="nil"/>
              <w:right w:val="single" w:sz="8" w:space="0" w:color="auto"/>
            </w:tcBorders>
            <w:shd w:val="clear" w:color="auto" w:fill="auto"/>
            <w:noWrap/>
            <w:vAlign w:val="bottom"/>
            <w:hideMark/>
          </w:tcPr>
          <w:p w:rsidR="0052410E" w:rsidRPr="003A0B6E" w:rsidRDefault="0052410E" w:rsidP="0052410E">
            <w:pPr>
              <w:jc w:val="right"/>
            </w:pPr>
            <w:r w:rsidRPr="003A0B6E">
              <w:t xml:space="preserve">0.186 </w:t>
            </w:r>
          </w:p>
        </w:tc>
      </w:tr>
      <w:tr w:rsidR="0052410E" w:rsidRPr="003A0B6E" w:rsidTr="0052410E">
        <w:trPr>
          <w:trHeight w:val="300"/>
        </w:trPr>
        <w:tc>
          <w:tcPr>
            <w:tcW w:w="3340" w:type="dxa"/>
            <w:tcBorders>
              <w:top w:val="nil"/>
              <w:left w:val="single" w:sz="8" w:space="0" w:color="auto"/>
              <w:bottom w:val="nil"/>
              <w:right w:val="single" w:sz="8" w:space="0" w:color="auto"/>
            </w:tcBorders>
            <w:shd w:val="clear" w:color="auto" w:fill="auto"/>
            <w:noWrap/>
            <w:vAlign w:val="bottom"/>
            <w:hideMark/>
          </w:tcPr>
          <w:p w:rsidR="0052410E" w:rsidRPr="003A0B6E" w:rsidRDefault="0052410E" w:rsidP="0052410E">
            <w:r w:rsidRPr="003A0B6E">
              <w:t>SST1D1/SST1D2/SST1D3</w:t>
            </w:r>
          </w:p>
        </w:tc>
        <w:tc>
          <w:tcPr>
            <w:tcW w:w="1440" w:type="dxa"/>
            <w:tcBorders>
              <w:top w:val="nil"/>
              <w:left w:val="nil"/>
              <w:bottom w:val="nil"/>
              <w:right w:val="single" w:sz="8" w:space="0" w:color="auto"/>
            </w:tcBorders>
            <w:shd w:val="clear" w:color="auto" w:fill="auto"/>
            <w:noWrap/>
            <w:vAlign w:val="bottom"/>
            <w:hideMark/>
          </w:tcPr>
          <w:p w:rsidR="0052410E" w:rsidRPr="003A0B6E" w:rsidRDefault="0052410E" w:rsidP="0052410E">
            <w:pPr>
              <w:jc w:val="right"/>
            </w:pPr>
            <w:r w:rsidRPr="003A0B6E">
              <w:t xml:space="preserve">0.217 </w:t>
            </w:r>
          </w:p>
        </w:tc>
      </w:tr>
      <w:tr w:rsidR="0052410E" w:rsidRPr="003A0B6E" w:rsidTr="0052410E">
        <w:trPr>
          <w:trHeight w:val="300"/>
        </w:trPr>
        <w:tc>
          <w:tcPr>
            <w:tcW w:w="3340" w:type="dxa"/>
            <w:tcBorders>
              <w:top w:val="nil"/>
              <w:left w:val="single" w:sz="8" w:space="0" w:color="auto"/>
              <w:bottom w:val="nil"/>
              <w:right w:val="single" w:sz="8" w:space="0" w:color="auto"/>
            </w:tcBorders>
            <w:shd w:val="clear" w:color="auto" w:fill="auto"/>
            <w:noWrap/>
            <w:vAlign w:val="bottom"/>
            <w:hideMark/>
          </w:tcPr>
          <w:p w:rsidR="0052410E" w:rsidRPr="003A0B6E" w:rsidRDefault="0052410E" w:rsidP="0052410E">
            <w:r w:rsidRPr="003A0B6E">
              <w:t>CILC D/CILC G</w:t>
            </w:r>
          </w:p>
        </w:tc>
        <w:tc>
          <w:tcPr>
            <w:tcW w:w="1440" w:type="dxa"/>
            <w:tcBorders>
              <w:top w:val="nil"/>
              <w:left w:val="nil"/>
              <w:bottom w:val="nil"/>
              <w:right w:val="single" w:sz="8" w:space="0" w:color="auto"/>
            </w:tcBorders>
            <w:shd w:val="clear" w:color="auto" w:fill="auto"/>
            <w:noWrap/>
            <w:vAlign w:val="bottom"/>
            <w:hideMark/>
          </w:tcPr>
          <w:p w:rsidR="0052410E" w:rsidRPr="003A0B6E" w:rsidRDefault="0052410E" w:rsidP="0052410E">
            <w:pPr>
              <w:jc w:val="right"/>
            </w:pPr>
            <w:r w:rsidRPr="003A0B6E">
              <w:t xml:space="preserve">0.205 </w:t>
            </w:r>
          </w:p>
        </w:tc>
      </w:tr>
      <w:tr w:rsidR="0052410E" w:rsidRPr="003A0B6E" w:rsidTr="0052410E">
        <w:trPr>
          <w:trHeight w:val="300"/>
        </w:trPr>
        <w:tc>
          <w:tcPr>
            <w:tcW w:w="3340" w:type="dxa"/>
            <w:tcBorders>
              <w:top w:val="nil"/>
              <w:left w:val="single" w:sz="8" w:space="0" w:color="auto"/>
              <w:bottom w:val="nil"/>
              <w:right w:val="single" w:sz="8" w:space="0" w:color="auto"/>
            </w:tcBorders>
            <w:shd w:val="clear" w:color="auto" w:fill="auto"/>
            <w:noWrap/>
            <w:vAlign w:val="bottom"/>
            <w:hideMark/>
          </w:tcPr>
          <w:p w:rsidR="0052410E" w:rsidRPr="003A0B6E" w:rsidRDefault="0052410E" w:rsidP="0052410E">
            <w:r w:rsidRPr="003A0B6E">
              <w:t>CILC T</w:t>
            </w:r>
          </w:p>
        </w:tc>
        <w:tc>
          <w:tcPr>
            <w:tcW w:w="1440" w:type="dxa"/>
            <w:tcBorders>
              <w:top w:val="nil"/>
              <w:left w:val="nil"/>
              <w:bottom w:val="nil"/>
              <w:right w:val="single" w:sz="8" w:space="0" w:color="auto"/>
            </w:tcBorders>
            <w:shd w:val="clear" w:color="auto" w:fill="auto"/>
            <w:noWrap/>
            <w:vAlign w:val="bottom"/>
            <w:hideMark/>
          </w:tcPr>
          <w:p w:rsidR="0052410E" w:rsidRPr="003A0B6E" w:rsidRDefault="0052410E" w:rsidP="0052410E">
            <w:pPr>
              <w:jc w:val="right"/>
            </w:pPr>
            <w:r w:rsidRPr="003A0B6E">
              <w:t xml:space="preserve">0.192 </w:t>
            </w:r>
          </w:p>
        </w:tc>
      </w:tr>
      <w:tr w:rsidR="0052410E" w:rsidRPr="003A0B6E" w:rsidTr="0052410E">
        <w:trPr>
          <w:trHeight w:val="300"/>
        </w:trPr>
        <w:tc>
          <w:tcPr>
            <w:tcW w:w="3340" w:type="dxa"/>
            <w:tcBorders>
              <w:top w:val="nil"/>
              <w:left w:val="single" w:sz="8" w:space="0" w:color="auto"/>
              <w:bottom w:val="nil"/>
              <w:right w:val="single" w:sz="8" w:space="0" w:color="auto"/>
            </w:tcBorders>
            <w:shd w:val="clear" w:color="auto" w:fill="auto"/>
            <w:noWrap/>
            <w:vAlign w:val="bottom"/>
            <w:hideMark/>
          </w:tcPr>
          <w:p w:rsidR="0052410E" w:rsidRPr="003A0B6E" w:rsidRDefault="0052410E" w:rsidP="0052410E">
            <w:r w:rsidRPr="003A0B6E">
              <w:t>MET</w:t>
            </w:r>
          </w:p>
        </w:tc>
        <w:tc>
          <w:tcPr>
            <w:tcW w:w="1440" w:type="dxa"/>
            <w:tcBorders>
              <w:top w:val="nil"/>
              <w:left w:val="nil"/>
              <w:bottom w:val="nil"/>
              <w:right w:val="single" w:sz="8" w:space="0" w:color="auto"/>
            </w:tcBorders>
            <w:shd w:val="clear" w:color="auto" w:fill="auto"/>
            <w:noWrap/>
            <w:vAlign w:val="bottom"/>
            <w:hideMark/>
          </w:tcPr>
          <w:p w:rsidR="0052410E" w:rsidRPr="003A0B6E" w:rsidRDefault="0052410E" w:rsidP="0052410E">
            <w:pPr>
              <w:jc w:val="right"/>
            </w:pPr>
            <w:r w:rsidRPr="003A0B6E">
              <w:t xml:space="preserve">0.228 </w:t>
            </w:r>
          </w:p>
        </w:tc>
      </w:tr>
      <w:tr w:rsidR="0052410E" w:rsidRPr="003A0B6E" w:rsidTr="0052410E">
        <w:trPr>
          <w:trHeight w:val="300"/>
        </w:trPr>
        <w:tc>
          <w:tcPr>
            <w:tcW w:w="3340" w:type="dxa"/>
            <w:tcBorders>
              <w:top w:val="nil"/>
              <w:left w:val="single" w:sz="8" w:space="0" w:color="auto"/>
              <w:bottom w:val="nil"/>
              <w:right w:val="single" w:sz="8" w:space="0" w:color="auto"/>
            </w:tcBorders>
            <w:shd w:val="clear" w:color="auto" w:fill="auto"/>
            <w:noWrap/>
            <w:vAlign w:val="bottom"/>
            <w:hideMark/>
          </w:tcPr>
          <w:p w:rsidR="0052410E" w:rsidRPr="003A0B6E" w:rsidRDefault="0052410E" w:rsidP="0052410E">
            <w:r w:rsidRPr="003A0B6E">
              <w:t>OL1/SL1/PL1</w:t>
            </w:r>
          </w:p>
        </w:tc>
        <w:tc>
          <w:tcPr>
            <w:tcW w:w="1440" w:type="dxa"/>
            <w:tcBorders>
              <w:top w:val="nil"/>
              <w:left w:val="nil"/>
              <w:bottom w:val="nil"/>
              <w:right w:val="single" w:sz="8" w:space="0" w:color="auto"/>
            </w:tcBorders>
            <w:shd w:val="clear" w:color="auto" w:fill="auto"/>
            <w:noWrap/>
            <w:vAlign w:val="bottom"/>
            <w:hideMark/>
          </w:tcPr>
          <w:p w:rsidR="0052410E" w:rsidRPr="003A0B6E" w:rsidRDefault="0052410E" w:rsidP="0052410E">
            <w:pPr>
              <w:jc w:val="right"/>
            </w:pPr>
            <w:r w:rsidRPr="003A0B6E">
              <w:t xml:space="preserve">0.100 </w:t>
            </w:r>
          </w:p>
        </w:tc>
      </w:tr>
      <w:tr w:rsidR="0052410E" w:rsidRPr="003A0B6E" w:rsidTr="0052410E">
        <w:trPr>
          <w:trHeight w:val="300"/>
        </w:trPr>
        <w:tc>
          <w:tcPr>
            <w:tcW w:w="3340" w:type="dxa"/>
            <w:tcBorders>
              <w:top w:val="nil"/>
              <w:left w:val="single" w:sz="8" w:space="0" w:color="auto"/>
              <w:bottom w:val="nil"/>
              <w:right w:val="single" w:sz="8" w:space="0" w:color="auto"/>
            </w:tcBorders>
            <w:shd w:val="clear" w:color="auto" w:fill="auto"/>
            <w:noWrap/>
            <w:vAlign w:val="bottom"/>
            <w:hideMark/>
          </w:tcPr>
          <w:p w:rsidR="0052410E" w:rsidRPr="003A0B6E" w:rsidRDefault="0052410E" w:rsidP="0052410E">
            <w:r w:rsidRPr="003A0B6E">
              <w:t>SL2</w:t>
            </w:r>
          </w:p>
        </w:tc>
        <w:tc>
          <w:tcPr>
            <w:tcW w:w="1440" w:type="dxa"/>
            <w:tcBorders>
              <w:top w:val="nil"/>
              <w:left w:val="nil"/>
              <w:bottom w:val="nil"/>
              <w:right w:val="single" w:sz="8" w:space="0" w:color="auto"/>
            </w:tcBorders>
            <w:shd w:val="clear" w:color="auto" w:fill="auto"/>
            <w:noWrap/>
            <w:vAlign w:val="bottom"/>
            <w:hideMark/>
          </w:tcPr>
          <w:p w:rsidR="0052410E" w:rsidRPr="003A0B6E" w:rsidRDefault="0052410E" w:rsidP="0052410E">
            <w:pPr>
              <w:jc w:val="right"/>
            </w:pPr>
            <w:r w:rsidRPr="003A0B6E">
              <w:t xml:space="preserve">0.192 </w:t>
            </w:r>
          </w:p>
        </w:tc>
      </w:tr>
      <w:tr w:rsidR="0052410E" w:rsidRPr="003A0B6E" w:rsidTr="0052410E">
        <w:trPr>
          <w:trHeight w:val="300"/>
        </w:trPr>
        <w:tc>
          <w:tcPr>
            <w:tcW w:w="3340" w:type="dxa"/>
            <w:tcBorders>
              <w:top w:val="nil"/>
              <w:left w:val="single" w:sz="8" w:space="0" w:color="auto"/>
              <w:bottom w:val="nil"/>
              <w:right w:val="single" w:sz="8" w:space="0" w:color="auto"/>
            </w:tcBorders>
            <w:shd w:val="clear" w:color="auto" w:fill="auto"/>
            <w:noWrap/>
            <w:vAlign w:val="bottom"/>
            <w:hideMark/>
          </w:tcPr>
          <w:p w:rsidR="0052410E" w:rsidRPr="003A0B6E" w:rsidRDefault="0052410E" w:rsidP="0052410E">
            <w:pPr>
              <w:rPr>
                <w:color w:val="000000"/>
              </w:rPr>
            </w:pPr>
            <w:r w:rsidRPr="003A0B6E">
              <w:rPr>
                <w:color w:val="000000"/>
              </w:rPr>
              <w:t> </w:t>
            </w:r>
          </w:p>
        </w:tc>
        <w:tc>
          <w:tcPr>
            <w:tcW w:w="1440" w:type="dxa"/>
            <w:tcBorders>
              <w:top w:val="nil"/>
              <w:left w:val="nil"/>
              <w:bottom w:val="nil"/>
              <w:right w:val="single" w:sz="8" w:space="0" w:color="auto"/>
            </w:tcBorders>
            <w:shd w:val="clear" w:color="auto" w:fill="auto"/>
            <w:noWrap/>
            <w:vAlign w:val="bottom"/>
            <w:hideMark/>
          </w:tcPr>
          <w:p w:rsidR="0052410E" w:rsidRPr="003A0B6E" w:rsidRDefault="0052410E" w:rsidP="0052410E">
            <w:pPr>
              <w:jc w:val="right"/>
            </w:pPr>
          </w:p>
        </w:tc>
      </w:tr>
      <w:tr w:rsidR="0052410E" w:rsidRPr="003A0B6E" w:rsidTr="0052410E">
        <w:trPr>
          <w:trHeight w:val="315"/>
        </w:trPr>
        <w:tc>
          <w:tcPr>
            <w:tcW w:w="3340" w:type="dxa"/>
            <w:tcBorders>
              <w:top w:val="nil"/>
              <w:left w:val="single" w:sz="8" w:space="0" w:color="auto"/>
              <w:bottom w:val="single" w:sz="8" w:space="0" w:color="auto"/>
              <w:right w:val="single" w:sz="8" w:space="0" w:color="auto"/>
            </w:tcBorders>
            <w:shd w:val="clear" w:color="auto" w:fill="auto"/>
            <w:noWrap/>
            <w:vAlign w:val="bottom"/>
            <w:hideMark/>
          </w:tcPr>
          <w:p w:rsidR="0052410E" w:rsidRPr="003A0B6E" w:rsidRDefault="0052410E" w:rsidP="0052410E">
            <w:r w:rsidRPr="003A0B6E">
              <w:t>Total</w:t>
            </w:r>
          </w:p>
        </w:tc>
        <w:tc>
          <w:tcPr>
            <w:tcW w:w="1440" w:type="dxa"/>
            <w:tcBorders>
              <w:top w:val="nil"/>
              <w:left w:val="nil"/>
              <w:bottom w:val="single" w:sz="8" w:space="0" w:color="auto"/>
              <w:right w:val="single" w:sz="8" w:space="0" w:color="auto"/>
            </w:tcBorders>
            <w:shd w:val="clear" w:color="auto" w:fill="auto"/>
            <w:noWrap/>
            <w:vAlign w:val="bottom"/>
            <w:hideMark/>
          </w:tcPr>
          <w:p w:rsidR="0052410E" w:rsidRPr="003A0B6E" w:rsidRDefault="0052410E" w:rsidP="0052410E">
            <w:pPr>
              <w:jc w:val="right"/>
            </w:pPr>
            <w:r w:rsidRPr="003A0B6E">
              <w:t xml:space="preserve">0.247 </w:t>
            </w:r>
          </w:p>
        </w:tc>
      </w:tr>
    </w:tbl>
    <w:p w:rsidR="0052410E" w:rsidRDefault="0052410E" w:rsidP="0052410E"/>
    <w:p w:rsidR="0052410E" w:rsidRDefault="0052410E" w:rsidP="0052410E"/>
    <w:p w:rsidR="0052410E" w:rsidRDefault="0052410E" w:rsidP="0052410E"/>
    <w:p w:rsidR="00E935E7" w:rsidRDefault="00E935E7">
      <w:r>
        <w:br w:type="page"/>
      </w:r>
    </w:p>
    <w:p w:rsidR="0052410E" w:rsidRPr="003A0B6E" w:rsidRDefault="0052410E" w:rsidP="0052410E">
      <w:pPr>
        <w:spacing w:line="500" w:lineRule="exact"/>
        <w:jc w:val="center"/>
      </w:pPr>
      <w:r w:rsidRPr="003A0B6E">
        <w:rPr>
          <w:b/>
          <w:bCs/>
        </w:rPr>
        <w:lastRenderedPageBreak/>
        <w:t>DEF</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158"/>
      </w:tblGrid>
      <w:tr w:rsidR="0052410E" w:rsidRPr="003A0B6E" w:rsidTr="0052410E">
        <w:tc>
          <w:tcPr>
            <w:tcW w:w="4158" w:type="dxa"/>
            <w:shd w:val="clear" w:color="auto" w:fill="auto"/>
          </w:tcPr>
          <w:p w:rsidR="0052410E" w:rsidRPr="003A0B6E" w:rsidRDefault="0052410E" w:rsidP="0052410E">
            <w:pPr>
              <w:spacing w:line="360" w:lineRule="auto"/>
            </w:pPr>
            <w:r w:rsidRPr="003A0B6E">
              <w:t>Rate Class</w:t>
            </w:r>
          </w:p>
        </w:tc>
        <w:tc>
          <w:tcPr>
            <w:tcW w:w="4158" w:type="dxa"/>
            <w:shd w:val="clear" w:color="auto" w:fill="auto"/>
          </w:tcPr>
          <w:p w:rsidR="0052410E" w:rsidRPr="003A0B6E" w:rsidRDefault="0052410E" w:rsidP="0052410E">
            <w:pPr>
              <w:spacing w:line="360" w:lineRule="auto"/>
            </w:pPr>
            <w:r w:rsidRPr="003A0B6E">
              <w:t>ECRC Factors</w:t>
            </w:r>
          </w:p>
        </w:tc>
      </w:tr>
      <w:tr w:rsidR="0052410E" w:rsidRPr="003A0B6E" w:rsidTr="0052410E">
        <w:tc>
          <w:tcPr>
            <w:tcW w:w="4158" w:type="dxa"/>
            <w:shd w:val="clear" w:color="auto" w:fill="auto"/>
          </w:tcPr>
          <w:p w:rsidR="0052410E" w:rsidRPr="003A0B6E" w:rsidRDefault="0052410E" w:rsidP="0052410E">
            <w:pPr>
              <w:spacing w:line="360" w:lineRule="auto"/>
            </w:pPr>
            <w:r w:rsidRPr="003A0B6E">
              <w:t>Residential</w:t>
            </w:r>
          </w:p>
        </w:tc>
        <w:tc>
          <w:tcPr>
            <w:tcW w:w="4158" w:type="dxa"/>
            <w:shd w:val="clear" w:color="auto" w:fill="auto"/>
          </w:tcPr>
          <w:p w:rsidR="0052410E" w:rsidRPr="003A0B6E" w:rsidRDefault="0052410E" w:rsidP="0052410E">
            <w:pPr>
              <w:spacing w:line="360" w:lineRule="auto"/>
            </w:pPr>
            <w:r w:rsidRPr="003A0B6E">
              <w:t>0.184 cents/kWh</w:t>
            </w:r>
          </w:p>
        </w:tc>
      </w:tr>
      <w:tr w:rsidR="0052410E" w:rsidRPr="003A0B6E" w:rsidTr="0052410E">
        <w:tc>
          <w:tcPr>
            <w:tcW w:w="4158" w:type="dxa"/>
            <w:shd w:val="clear" w:color="auto" w:fill="auto"/>
          </w:tcPr>
          <w:p w:rsidR="0052410E" w:rsidRPr="003A0B6E" w:rsidRDefault="0052410E" w:rsidP="0052410E">
            <w:pPr>
              <w:spacing w:line="360" w:lineRule="auto"/>
            </w:pPr>
            <w:r w:rsidRPr="003A0B6E">
              <w:t>General Service Non-Demand</w:t>
            </w:r>
          </w:p>
          <w:p w:rsidR="0052410E" w:rsidRPr="003A0B6E" w:rsidRDefault="0052410E" w:rsidP="0052410E">
            <w:pPr>
              <w:spacing w:line="360" w:lineRule="auto"/>
            </w:pPr>
            <w:r w:rsidRPr="003A0B6E">
              <w:t>@ Secondary Voltage</w:t>
            </w:r>
          </w:p>
          <w:p w:rsidR="0052410E" w:rsidRPr="003A0B6E" w:rsidRDefault="0052410E" w:rsidP="0052410E">
            <w:pPr>
              <w:spacing w:line="360" w:lineRule="auto"/>
            </w:pPr>
            <w:r w:rsidRPr="003A0B6E">
              <w:t>@ Primary Voltage</w:t>
            </w:r>
          </w:p>
          <w:p w:rsidR="0052410E" w:rsidRPr="003A0B6E" w:rsidRDefault="0052410E" w:rsidP="0052410E">
            <w:pPr>
              <w:spacing w:line="360" w:lineRule="auto"/>
            </w:pPr>
            <w:r w:rsidRPr="003A0B6E">
              <w:t>@ Transmission Voltage</w:t>
            </w:r>
          </w:p>
        </w:tc>
        <w:tc>
          <w:tcPr>
            <w:tcW w:w="4158" w:type="dxa"/>
            <w:shd w:val="clear" w:color="auto" w:fill="auto"/>
          </w:tcPr>
          <w:p w:rsidR="0052410E" w:rsidRPr="003A0B6E" w:rsidRDefault="0052410E" w:rsidP="0052410E">
            <w:pPr>
              <w:spacing w:line="360" w:lineRule="auto"/>
            </w:pPr>
          </w:p>
          <w:p w:rsidR="0052410E" w:rsidRPr="003A0B6E" w:rsidRDefault="0052410E" w:rsidP="0052410E">
            <w:pPr>
              <w:spacing w:line="360" w:lineRule="auto"/>
            </w:pPr>
            <w:r w:rsidRPr="003A0B6E">
              <w:t>0.181 cents/kWh</w:t>
            </w:r>
          </w:p>
          <w:p w:rsidR="0052410E" w:rsidRPr="003A0B6E" w:rsidRDefault="0052410E" w:rsidP="0052410E">
            <w:pPr>
              <w:spacing w:line="360" w:lineRule="auto"/>
            </w:pPr>
            <w:r w:rsidRPr="003A0B6E">
              <w:t>0.179 cents/kWh</w:t>
            </w:r>
          </w:p>
          <w:p w:rsidR="0052410E" w:rsidRPr="003A0B6E" w:rsidRDefault="0052410E" w:rsidP="0052410E">
            <w:pPr>
              <w:spacing w:line="360" w:lineRule="auto"/>
            </w:pPr>
            <w:r w:rsidRPr="003A0B6E">
              <w:t>0.177 cents/kWh</w:t>
            </w:r>
          </w:p>
        </w:tc>
      </w:tr>
      <w:tr w:rsidR="0052410E" w:rsidRPr="003A0B6E" w:rsidTr="0052410E">
        <w:tc>
          <w:tcPr>
            <w:tcW w:w="4158" w:type="dxa"/>
            <w:shd w:val="clear" w:color="auto" w:fill="auto"/>
          </w:tcPr>
          <w:p w:rsidR="0052410E" w:rsidRPr="003A0B6E" w:rsidRDefault="0052410E" w:rsidP="0052410E">
            <w:pPr>
              <w:spacing w:line="360" w:lineRule="auto"/>
            </w:pPr>
            <w:r w:rsidRPr="003A0B6E">
              <w:t>General Service 100% Load Factor</w:t>
            </w:r>
          </w:p>
        </w:tc>
        <w:tc>
          <w:tcPr>
            <w:tcW w:w="4158" w:type="dxa"/>
            <w:shd w:val="clear" w:color="auto" w:fill="auto"/>
          </w:tcPr>
          <w:p w:rsidR="0052410E" w:rsidRPr="003A0B6E" w:rsidRDefault="0052410E" w:rsidP="0052410E">
            <w:pPr>
              <w:spacing w:line="360" w:lineRule="auto"/>
            </w:pPr>
            <w:r w:rsidRPr="003A0B6E">
              <w:t>0.178 cents/kWh</w:t>
            </w:r>
          </w:p>
        </w:tc>
      </w:tr>
      <w:tr w:rsidR="0052410E" w:rsidRPr="003A0B6E" w:rsidTr="0052410E">
        <w:tc>
          <w:tcPr>
            <w:tcW w:w="4158" w:type="dxa"/>
            <w:shd w:val="clear" w:color="auto" w:fill="auto"/>
          </w:tcPr>
          <w:p w:rsidR="0052410E" w:rsidRPr="003A0B6E" w:rsidRDefault="0052410E" w:rsidP="0052410E">
            <w:pPr>
              <w:spacing w:line="360" w:lineRule="auto"/>
            </w:pPr>
            <w:r w:rsidRPr="003A0B6E">
              <w:t>General Service Demand</w:t>
            </w:r>
          </w:p>
          <w:p w:rsidR="0052410E" w:rsidRPr="003A0B6E" w:rsidRDefault="0052410E" w:rsidP="0052410E">
            <w:pPr>
              <w:spacing w:line="360" w:lineRule="auto"/>
            </w:pPr>
            <w:r w:rsidRPr="003A0B6E">
              <w:t>@Secondary Voltage</w:t>
            </w:r>
          </w:p>
          <w:p w:rsidR="0052410E" w:rsidRPr="003A0B6E" w:rsidRDefault="0052410E" w:rsidP="0052410E">
            <w:pPr>
              <w:spacing w:line="360" w:lineRule="auto"/>
            </w:pPr>
            <w:r w:rsidRPr="003A0B6E">
              <w:t>@ Primary Voltage</w:t>
            </w:r>
          </w:p>
          <w:p w:rsidR="0052410E" w:rsidRPr="003A0B6E" w:rsidRDefault="0052410E" w:rsidP="0052410E">
            <w:pPr>
              <w:spacing w:line="360" w:lineRule="auto"/>
            </w:pPr>
            <w:r w:rsidRPr="003A0B6E">
              <w:t>@ Transmission Voltage</w:t>
            </w:r>
          </w:p>
        </w:tc>
        <w:tc>
          <w:tcPr>
            <w:tcW w:w="4158" w:type="dxa"/>
            <w:shd w:val="clear" w:color="auto" w:fill="auto"/>
          </w:tcPr>
          <w:p w:rsidR="0052410E" w:rsidRPr="003A0B6E" w:rsidRDefault="0052410E" w:rsidP="0052410E">
            <w:pPr>
              <w:spacing w:line="360" w:lineRule="auto"/>
            </w:pPr>
          </w:p>
          <w:p w:rsidR="0052410E" w:rsidRPr="003A0B6E" w:rsidRDefault="0052410E" w:rsidP="0052410E">
            <w:pPr>
              <w:spacing w:line="360" w:lineRule="auto"/>
            </w:pPr>
            <w:r w:rsidRPr="003A0B6E">
              <w:t>0.180 cents/kWh</w:t>
            </w:r>
          </w:p>
          <w:p w:rsidR="0052410E" w:rsidRPr="003A0B6E" w:rsidRDefault="0052410E" w:rsidP="0052410E">
            <w:pPr>
              <w:spacing w:line="360" w:lineRule="auto"/>
            </w:pPr>
            <w:r w:rsidRPr="003A0B6E">
              <w:t>0.178 cents/kWh</w:t>
            </w:r>
          </w:p>
          <w:p w:rsidR="0052410E" w:rsidRPr="003A0B6E" w:rsidRDefault="0052410E" w:rsidP="0052410E">
            <w:pPr>
              <w:spacing w:line="360" w:lineRule="auto"/>
            </w:pPr>
            <w:r w:rsidRPr="003A0B6E">
              <w:t>0.176 cents/kWh</w:t>
            </w:r>
          </w:p>
        </w:tc>
      </w:tr>
      <w:tr w:rsidR="0052410E" w:rsidRPr="003A0B6E" w:rsidTr="0052410E">
        <w:tc>
          <w:tcPr>
            <w:tcW w:w="4158" w:type="dxa"/>
            <w:shd w:val="clear" w:color="auto" w:fill="auto"/>
          </w:tcPr>
          <w:p w:rsidR="0052410E" w:rsidRPr="003A0B6E" w:rsidRDefault="0052410E" w:rsidP="0052410E">
            <w:pPr>
              <w:spacing w:line="360" w:lineRule="auto"/>
            </w:pPr>
            <w:r w:rsidRPr="003A0B6E">
              <w:t>Curtailable</w:t>
            </w:r>
          </w:p>
          <w:p w:rsidR="0052410E" w:rsidRPr="003A0B6E" w:rsidRDefault="0052410E" w:rsidP="0052410E">
            <w:pPr>
              <w:spacing w:line="360" w:lineRule="auto"/>
            </w:pPr>
            <w:r w:rsidRPr="003A0B6E">
              <w:t>@ Secondary Voltage</w:t>
            </w:r>
          </w:p>
          <w:p w:rsidR="0052410E" w:rsidRPr="003A0B6E" w:rsidRDefault="0052410E" w:rsidP="0052410E">
            <w:pPr>
              <w:spacing w:line="360" w:lineRule="auto"/>
            </w:pPr>
            <w:r w:rsidRPr="003A0B6E">
              <w:t>@ Primary Voltage</w:t>
            </w:r>
          </w:p>
          <w:p w:rsidR="0052410E" w:rsidRPr="003A0B6E" w:rsidRDefault="0052410E" w:rsidP="0052410E">
            <w:pPr>
              <w:spacing w:line="360" w:lineRule="auto"/>
            </w:pPr>
            <w:r w:rsidRPr="003A0B6E">
              <w:t>@ Transmission Voltage</w:t>
            </w:r>
          </w:p>
        </w:tc>
        <w:tc>
          <w:tcPr>
            <w:tcW w:w="4158" w:type="dxa"/>
            <w:shd w:val="clear" w:color="auto" w:fill="auto"/>
          </w:tcPr>
          <w:p w:rsidR="0052410E" w:rsidRPr="003A0B6E" w:rsidRDefault="0052410E" w:rsidP="0052410E">
            <w:pPr>
              <w:spacing w:line="360" w:lineRule="auto"/>
            </w:pPr>
          </w:p>
          <w:p w:rsidR="0052410E" w:rsidRPr="003A0B6E" w:rsidRDefault="0052410E" w:rsidP="0052410E">
            <w:pPr>
              <w:spacing w:line="360" w:lineRule="auto"/>
            </w:pPr>
            <w:r w:rsidRPr="003A0B6E">
              <w:t>0.173 cents/kWh</w:t>
            </w:r>
          </w:p>
          <w:p w:rsidR="0052410E" w:rsidRPr="003A0B6E" w:rsidRDefault="0052410E" w:rsidP="0052410E">
            <w:pPr>
              <w:spacing w:line="360" w:lineRule="auto"/>
            </w:pPr>
            <w:r w:rsidRPr="003A0B6E">
              <w:t>0.171 cents/kWh</w:t>
            </w:r>
          </w:p>
          <w:p w:rsidR="0052410E" w:rsidRPr="003A0B6E" w:rsidRDefault="0052410E" w:rsidP="0052410E">
            <w:pPr>
              <w:spacing w:line="360" w:lineRule="auto"/>
            </w:pPr>
            <w:r w:rsidRPr="003A0B6E">
              <w:t>0.170 cents/kWh</w:t>
            </w:r>
          </w:p>
        </w:tc>
      </w:tr>
      <w:tr w:rsidR="0052410E" w:rsidRPr="003A0B6E" w:rsidTr="0052410E">
        <w:tc>
          <w:tcPr>
            <w:tcW w:w="4158" w:type="dxa"/>
            <w:shd w:val="clear" w:color="auto" w:fill="auto"/>
          </w:tcPr>
          <w:p w:rsidR="0052410E" w:rsidRPr="003A0B6E" w:rsidRDefault="0052410E" w:rsidP="0052410E">
            <w:pPr>
              <w:spacing w:line="360" w:lineRule="auto"/>
            </w:pPr>
            <w:r w:rsidRPr="003A0B6E">
              <w:t>Interruptible</w:t>
            </w:r>
          </w:p>
          <w:p w:rsidR="0052410E" w:rsidRPr="003A0B6E" w:rsidRDefault="0052410E" w:rsidP="0052410E">
            <w:pPr>
              <w:spacing w:line="360" w:lineRule="auto"/>
            </w:pPr>
            <w:r w:rsidRPr="003A0B6E">
              <w:t>@ Secondary Voltage</w:t>
            </w:r>
          </w:p>
          <w:p w:rsidR="0052410E" w:rsidRPr="003A0B6E" w:rsidRDefault="0052410E" w:rsidP="0052410E">
            <w:pPr>
              <w:spacing w:line="360" w:lineRule="auto"/>
            </w:pPr>
            <w:r w:rsidRPr="003A0B6E">
              <w:t>@ Primary Voltage</w:t>
            </w:r>
          </w:p>
          <w:p w:rsidR="0052410E" w:rsidRPr="003A0B6E" w:rsidRDefault="0052410E" w:rsidP="0052410E">
            <w:pPr>
              <w:spacing w:line="360" w:lineRule="auto"/>
            </w:pPr>
            <w:r w:rsidRPr="003A0B6E">
              <w:t>@ Transmission Voltage</w:t>
            </w:r>
          </w:p>
        </w:tc>
        <w:tc>
          <w:tcPr>
            <w:tcW w:w="4158" w:type="dxa"/>
            <w:shd w:val="clear" w:color="auto" w:fill="auto"/>
          </w:tcPr>
          <w:p w:rsidR="0052410E" w:rsidRPr="003A0B6E" w:rsidRDefault="0052410E" w:rsidP="0052410E">
            <w:pPr>
              <w:spacing w:line="360" w:lineRule="auto"/>
            </w:pPr>
          </w:p>
          <w:p w:rsidR="0052410E" w:rsidRPr="003A0B6E" w:rsidRDefault="0052410E" w:rsidP="0052410E">
            <w:pPr>
              <w:spacing w:line="360" w:lineRule="auto"/>
            </w:pPr>
            <w:r w:rsidRPr="003A0B6E">
              <w:t>0.175 cents/kWh</w:t>
            </w:r>
          </w:p>
          <w:p w:rsidR="0052410E" w:rsidRPr="003A0B6E" w:rsidRDefault="0052410E" w:rsidP="0052410E">
            <w:pPr>
              <w:spacing w:line="360" w:lineRule="auto"/>
            </w:pPr>
            <w:r w:rsidRPr="003A0B6E">
              <w:t>0.173 cents/kWh</w:t>
            </w:r>
          </w:p>
          <w:p w:rsidR="0052410E" w:rsidRPr="003A0B6E" w:rsidRDefault="0052410E" w:rsidP="0052410E">
            <w:pPr>
              <w:spacing w:line="360" w:lineRule="auto"/>
            </w:pPr>
            <w:r w:rsidRPr="003A0B6E">
              <w:t>0.172 cents/kWh</w:t>
            </w:r>
          </w:p>
        </w:tc>
      </w:tr>
      <w:tr w:rsidR="0052410E" w:rsidRPr="003A0B6E" w:rsidTr="0052410E">
        <w:tc>
          <w:tcPr>
            <w:tcW w:w="4158" w:type="dxa"/>
            <w:shd w:val="clear" w:color="auto" w:fill="auto"/>
          </w:tcPr>
          <w:p w:rsidR="0052410E" w:rsidRPr="003A0B6E" w:rsidRDefault="0052410E" w:rsidP="0052410E">
            <w:pPr>
              <w:spacing w:line="360" w:lineRule="auto"/>
            </w:pPr>
            <w:r w:rsidRPr="003A0B6E">
              <w:t>Lighting</w:t>
            </w:r>
          </w:p>
        </w:tc>
        <w:tc>
          <w:tcPr>
            <w:tcW w:w="4158" w:type="dxa"/>
            <w:shd w:val="clear" w:color="auto" w:fill="auto"/>
          </w:tcPr>
          <w:p w:rsidR="0052410E" w:rsidRPr="003A0B6E" w:rsidRDefault="0052410E" w:rsidP="0052410E">
            <w:pPr>
              <w:spacing w:line="360" w:lineRule="auto"/>
            </w:pPr>
            <w:r w:rsidRPr="003A0B6E">
              <w:t>0.173 cents/kWh</w:t>
            </w:r>
          </w:p>
        </w:tc>
      </w:tr>
    </w:tbl>
    <w:p w:rsidR="0052410E" w:rsidRPr="003A0B6E" w:rsidRDefault="0052410E" w:rsidP="0052410E">
      <w:pPr>
        <w:spacing w:line="500" w:lineRule="exact"/>
        <w:rPr>
          <w:bCs/>
        </w:rPr>
      </w:pPr>
    </w:p>
    <w:p w:rsidR="0052410E" w:rsidRPr="003A0B6E" w:rsidRDefault="0052410E" w:rsidP="0052410E">
      <w:pPr>
        <w:ind w:left="720" w:right="-360" w:hanging="720"/>
        <w:jc w:val="center"/>
        <w:rPr>
          <w:b/>
          <w:bCs/>
        </w:rPr>
      </w:pPr>
    </w:p>
    <w:p w:rsidR="0052410E" w:rsidRPr="003A0B6E" w:rsidRDefault="0052410E" w:rsidP="0052410E">
      <w:pPr>
        <w:ind w:left="720" w:right="-360" w:hanging="720"/>
        <w:jc w:val="center"/>
        <w:rPr>
          <w:b/>
          <w:bCs/>
        </w:rPr>
      </w:pPr>
    </w:p>
    <w:p w:rsidR="0052410E" w:rsidRPr="003A0B6E" w:rsidRDefault="0052410E" w:rsidP="0052410E">
      <w:pPr>
        <w:ind w:left="720" w:right="-360" w:hanging="720"/>
        <w:jc w:val="center"/>
        <w:rPr>
          <w:b/>
          <w:bCs/>
        </w:rPr>
      </w:pPr>
    </w:p>
    <w:p w:rsidR="0052410E" w:rsidRPr="003A0B6E" w:rsidRDefault="0052410E" w:rsidP="0052410E">
      <w:pPr>
        <w:ind w:left="720" w:right="-360" w:hanging="720"/>
        <w:jc w:val="center"/>
        <w:rPr>
          <w:b/>
          <w:bCs/>
        </w:rPr>
      </w:pPr>
    </w:p>
    <w:p w:rsidR="0052410E" w:rsidRPr="003A0B6E" w:rsidRDefault="0052410E" w:rsidP="0052410E">
      <w:pPr>
        <w:ind w:left="720" w:right="-360" w:hanging="720"/>
        <w:jc w:val="center"/>
        <w:rPr>
          <w:b/>
          <w:bCs/>
        </w:rPr>
      </w:pPr>
    </w:p>
    <w:p w:rsidR="0052410E" w:rsidRPr="003A0B6E" w:rsidRDefault="0052410E" w:rsidP="0052410E">
      <w:pPr>
        <w:ind w:left="720" w:right="-360" w:hanging="720"/>
        <w:jc w:val="center"/>
        <w:rPr>
          <w:b/>
          <w:bCs/>
        </w:rPr>
      </w:pPr>
    </w:p>
    <w:p w:rsidR="0052410E" w:rsidRPr="003A0B6E" w:rsidRDefault="0052410E" w:rsidP="0052410E">
      <w:pPr>
        <w:ind w:left="720" w:right="-360" w:hanging="720"/>
        <w:jc w:val="center"/>
        <w:rPr>
          <w:b/>
          <w:bCs/>
        </w:rPr>
      </w:pPr>
    </w:p>
    <w:p w:rsidR="0052410E" w:rsidRPr="003A0B6E" w:rsidRDefault="0052410E" w:rsidP="0052410E">
      <w:pPr>
        <w:rPr>
          <w:b/>
          <w:bCs/>
        </w:rPr>
      </w:pPr>
      <w:r w:rsidRPr="003A0B6E">
        <w:rPr>
          <w:b/>
          <w:bCs/>
        </w:rPr>
        <w:br w:type="page"/>
      </w:r>
    </w:p>
    <w:p w:rsidR="0052410E" w:rsidRPr="003A0B6E" w:rsidRDefault="0052410E" w:rsidP="0052410E">
      <w:pPr>
        <w:ind w:left="720" w:right="-360" w:hanging="720"/>
        <w:jc w:val="center"/>
      </w:pPr>
      <w:r w:rsidRPr="003A0B6E">
        <w:rPr>
          <w:b/>
          <w:bCs/>
        </w:rPr>
        <w:lastRenderedPageBreak/>
        <w:t>TECO</w:t>
      </w:r>
    </w:p>
    <w:p w:rsidR="0052410E" w:rsidRPr="003A0B6E" w:rsidRDefault="0052410E" w:rsidP="0052410E">
      <w:pPr>
        <w:ind w:left="720" w:right="-360" w:hanging="720"/>
        <w:jc w:val="both"/>
        <w:rPr>
          <w:b/>
          <w:u w:val="single"/>
        </w:rPr>
      </w:pPr>
    </w:p>
    <w:p w:rsidR="0052410E" w:rsidRPr="003A0B6E" w:rsidRDefault="0052410E" w:rsidP="0052410E">
      <w:pPr>
        <w:ind w:left="720" w:right="-360" w:firstLine="720"/>
        <w:jc w:val="both"/>
        <w:rPr>
          <w:b/>
          <w:color w:val="7030A0"/>
          <w:u w:val="single"/>
        </w:rPr>
      </w:pPr>
      <w:r w:rsidRPr="003A0B6E">
        <w:rPr>
          <w:b/>
          <w:u w:val="single"/>
        </w:rPr>
        <w:t>Rate Class</w:t>
      </w:r>
      <w:r w:rsidRPr="003A0B6E">
        <w:tab/>
      </w:r>
      <w:r w:rsidRPr="003A0B6E">
        <w:tab/>
      </w:r>
      <w:r w:rsidRPr="003A0B6E">
        <w:tab/>
      </w:r>
      <w:r w:rsidRPr="003A0B6E">
        <w:tab/>
      </w:r>
      <w:r w:rsidRPr="003A0B6E">
        <w:tab/>
      </w:r>
      <w:r w:rsidRPr="003A0B6E">
        <w:tab/>
      </w:r>
      <w:r w:rsidRPr="003A0B6E">
        <w:rPr>
          <w:b/>
          <w:u w:val="single"/>
        </w:rPr>
        <w:t>Factor (¢/kWh</w:t>
      </w:r>
      <w:r w:rsidRPr="003A0B6E">
        <w:rPr>
          <w:b/>
          <w:color w:val="7030A0"/>
          <w:u w:val="single"/>
        </w:rPr>
        <w:t>)</w:t>
      </w:r>
    </w:p>
    <w:p w:rsidR="0052410E" w:rsidRPr="003A0B6E" w:rsidRDefault="0052410E" w:rsidP="0052410E">
      <w:pPr>
        <w:ind w:left="720" w:right="-360" w:hanging="720"/>
        <w:jc w:val="both"/>
        <w:rPr>
          <w:color w:val="7030A0"/>
        </w:rPr>
      </w:pPr>
    </w:p>
    <w:p w:rsidR="0052410E" w:rsidRPr="003A0B6E" w:rsidRDefault="0052410E" w:rsidP="0052410E">
      <w:pPr>
        <w:tabs>
          <w:tab w:val="left" w:pos="-1440"/>
          <w:tab w:val="left" w:pos="-720"/>
          <w:tab w:val="left" w:pos="720"/>
          <w:tab w:val="left" w:pos="1440"/>
          <w:tab w:val="left" w:pos="7200"/>
        </w:tabs>
        <w:ind w:firstLine="1440"/>
      </w:pPr>
      <w:r w:rsidRPr="003A0B6E">
        <w:t>RS</w:t>
      </w:r>
      <w:r w:rsidRPr="003A0B6E">
        <w:tab/>
        <w:t>0.432</w:t>
      </w:r>
    </w:p>
    <w:p w:rsidR="0052410E" w:rsidRPr="003A0B6E" w:rsidRDefault="0052410E" w:rsidP="0052410E">
      <w:pPr>
        <w:tabs>
          <w:tab w:val="left" w:pos="-1440"/>
          <w:tab w:val="left" w:pos="-720"/>
          <w:tab w:val="left" w:pos="720"/>
          <w:tab w:val="left" w:pos="1440"/>
          <w:tab w:val="left" w:pos="7200"/>
        </w:tabs>
        <w:ind w:firstLine="1440"/>
      </w:pPr>
      <w:r w:rsidRPr="003A0B6E">
        <w:t>GS, TS</w:t>
      </w:r>
      <w:r w:rsidRPr="003A0B6E">
        <w:tab/>
        <w:t>0.431</w:t>
      </w:r>
    </w:p>
    <w:p w:rsidR="0052410E" w:rsidRPr="003A0B6E" w:rsidRDefault="0052410E" w:rsidP="0052410E">
      <w:pPr>
        <w:tabs>
          <w:tab w:val="left" w:pos="-1440"/>
          <w:tab w:val="left" w:pos="-720"/>
          <w:tab w:val="left" w:pos="720"/>
          <w:tab w:val="left" w:pos="1440"/>
          <w:tab w:val="left" w:pos="6840"/>
        </w:tabs>
        <w:ind w:firstLine="1440"/>
      </w:pPr>
      <w:r w:rsidRPr="003A0B6E">
        <w:t>GSD, SBF</w:t>
      </w:r>
    </w:p>
    <w:p w:rsidR="0052410E" w:rsidRPr="003A0B6E" w:rsidRDefault="0052410E" w:rsidP="0052410E">
      <w:pPr>
        <w:tabs>
          <w:tab w:val="left" w:pos="-1440"/>
          <w:tab w:val="left" w:pos="-720"/>
          <w:tab w:val="left" w:pos="720"/>
          <w:tab w:val="left" w:pos="1440"/>
          <w:tab w:val="left" w:pos="2880"/>
          <w:tab w:val="left" w:pos="7200"/>
        </w:tabs>
      </w:pPr>
      <w:r w:rsidRPr="003A0B6E">
        <w:tab/>
      </w:r>
      <w:r w:rsidRPr="003A0B6E">
        <w:tab/>
      </w:r>
      <w:r w:rsidRPr="003A0B6E">
        <w:tab/>
        <w:t>Secondary</w:t>
      </w:r>
      <w:r w:rsidRPr="003A0B6E">
        <w:tab/>
        <w:t>0.429</w:t>
      </w:r>
    </w:p>
    <w:p w:rsidR="0052410E" w:rsidRPr="003A0B6E" w:rsidRDefault="0052410E" w:rsidP="0052410E">
      <w:pPr>
        <w:tabs>
          <w:tab w:val="left" w:pos="-1440"/>
          <w:tab w:val="left" w:pos="-720"/>
          <w:tab w:val="left" w:pos="720"/>
          <w:tab w:val="left" w:pos="1440"/>
          <w:tab w:val="left" w:pos="2880"/>
          <w:tab w:val="left" w:pos="7200"/>
        </w:tabs>
      </w:pPr>
      <w:r w:rsidRPr="003A0B6E">
        <w:tab/>
      </w:r>
      <w:r w:rsidRPr="003A0B6E">
        <w:tab/>
      </w:r>
      <w:r w:rsidRPr="003A0B6E">
        <w:tab/>
        <w:t>Primary</w:t>
      </w:r>
      <w:r w:rsidRPr="003A0B6E">
        <w:tab/>
        <w:t>0.424</w:t>
      </w:r>
    </w:p>
    <w:p w:rsidR="0052410E" w:rsidRPr="003A0B6E" w:rsidRDefault="0052410E" w:rsidP="0052410E">
      <w:pPr>
        <w:tabs>
          <w:tab w:val="left" w:pos="-1440"/>
          <w:tab w:val="left" w:pos="-720"/>
          <w:tab w:val="left" w:pos="720"/>
          <w:tab w:val="left" w:pos="1440"/>
          <w:tab w:val="left" w:pos="2880"/>
          <w:tab w:val="left" w:pos="7200"/>
        </w:tabs>
      </w:pPr>
      <w:r w:rsidRPr="003A0B6E">
        <w:tab/>
      </w:r>
      <w:r w:rsidRPr="003A0B6E">
        <w:tab/>
      </w:r>
      <w:r w:rsidRPr="003A0B6E">
        <w:tab/>
        <w:t>Transmission</w:t>
      </w:r>
      <w:r w:rsidRPr="003A0B6E">
        <w:tab/>
        <w:t>0.420</w:t>
      </w:r>
    </w:p>
    <w:p w:rsidR="0052410E" w:rsidRPr="003A0B6E" w:rsidRDefault="0052410E" w:rsidP="0052410E">
      <w:pPr>
        <w:tabs>
          <w:tab w:val="left" w:pos="4590"/>
          <w:tab w:val="left" w:pos="6660"/>
          <w:tab w:val="left" w:pos="6840"/>
        </w:tabs>
        <w:ind w:firstLine="1440"/>
      </w:pPr>
      <w:r w:rsidRPr="003A0B6E">
        <w:t>IS</w:t>
      </w:r>
    </w:p>
    <w:p w:rsidR="0052410E" w:rsidRPr="003A0B6E" w:rsidRDefault="0052410E" w:rsidP="0052410E">
      <w:pPr>
        <w:tabs>
          <w:tab w:val="left" w:pos="2880"/>
          <w:tab w:val="left" w:pos="4590"/>
          <w:tab w:val="left" w:pos="6840"/>
        </w:tabs>
        <w:ind w:firstLine="1440"/>
      </w:pPr>
      <w:r w:rsidRPr="003A0B6E">
        <w:tab/>
        <w:t>Secondary</w:t>
      </w:r>
      <w:r w:rsidRPr="003A0B6E">
        <w:tab/>
      </w:r>
      <w:r w:rsidRPr="003A0B6E">
        <w:tab/>
      </w:r>
      <w:r w:rsidRPr="003A0B6E">
        <w:tab/>
        <w:t>0.423</w:t>
      </w:r>
    </w:p>
    <w:p w:rsidR="0052410E" w:rsidRPr="003A0B6E" w:rsidRDefault="0052410E" w:rsidP="0052410E">
      <w:pPr>
        <w:tabs>
          <w:tab w:val="left" w:pos="2880"/>
          <w:tab w:val="left" w:pos="4590"/>
          <w:tab w:val="left" w:pos="6840"/>
        </w:tabs>
        <w:ind w:firstLine="1440"/>
      </w:pPr>
      <w:r w:rsidRPr="003A0B6E">
        <w:tab/>
        <w:t>Primary</w:t>
      </w:r>
      <w:r w:rsidRPr="003A0B6E">
        <w:tab/>
      </w:r>
      <w:r w:rsidRPr="003A0B6E">
        <w:tab/>
      </w:r>
      <w:r w:rsidRPr="003A0B6E">
        <w:tab/>
        <w:t>0.419</w:t>
      </w:r>
    </w:p>
    <w:p w:rsidR="0052410E" w:rsidRPr="003A0B6E" w:rsidRDefault="0052410E" w:rsidP="0052410E">
      <w:pPr>
        <w:tabs>
          <w:tab w:val="left" w:pos="2880"/>
          <w:tab w:val="left" w:pos="4590"/>
          <w:tab w:val="left" w:pos="6840"/>
        </w:tabs>
        <w:ind w:firstLine="1440"/>
      </w:pPr>
      <w:r w:rsidRPr="003A0B6E">
        <w:tab/>
        <w:t>Transmission</w:t>
      </w:r>
      <w:r w:rsidRPr="003A0B6E">
        <w:tab/>
      </w:r>
      <w:r w:rsidRPr="003A0B6E">
        <w:tab/>
      </w:r>
      <w:r w:rsidRPr="003A0B6E">
        <w:tab/>
        <w:t>0.414</w:t>
      </w:r>
    </w:p>
    <w:p w:rsidR="0052410E" w:rsidRPr="003A0B6E" w:rsidRDefault="0052410E" w:rsidP="0052410E">
      <w:pPr>
        <w:tabs>
          <w:tab w:val="left" w:pos="-1440"/>
          <w:tab w:val="left" w:pos="-720"/>
          <w:tab w:val="left" w:pos="720"/>
          <w:tab w:val="left" w:pos="1440"/>
          <w:tab w:val="left" w:pos="7200"/>
        </w:tabs>
        <w:ind w:firstLine="1440"/>
      </w:pPr>
      <w:r w:rsidRPr="003A0B6E">
        <w:t>LS1</w:t>
      </w:r>
      <w:r w:rsidRPr="003A0B6E">
        <w:tab/>
        <w:t>0.427</w:t>
      </w:r>
    </w:p>
    <w:p w:rsidR="0052410E" w:rsidRPr="003A0B6E" w:rsidRDefault="0052410E" w:rsidP="0052410E">
      <w:pPr>
        <w:tabs>
          <w:tab w:val="left" w:pos="-1440"/>
          <w:tab w:val="left" w:pos="-720"/>
          <w:tab w:val="left" w:pos="720"/>
          <w:tab w:val="left" w:pos="1440"/>
          <w:tab w:val="left" w:pos="7200"/>
        </w:tabs>
        <w:ind w:firstLine="1440"/>
      </w:pPr>
      <w:r w:rsidRPr="003A0B6E">
        <w:t>Average Factor</w:t>
      </w:r>
      <w:r w:rsidRPr="003A0B6E">
        <w:tab/>
        <w:t>0.430</w:t>
      </w:r>
    </w:p>
    <w:p w:rsidR="0052410E" w:rsidRPr="003A0B6E" w:rsidRDefault="0052410E" w:rsidP="0052410E">
      <w:pPr>
        <w:ind w:left="1440" w:right="-360" w:hanging="1440"/>
        <w:jc w:val="both"/>
        <w:rPr>
          <w:spacing w:val="-3"/>
        </w:rPr>
      </w:pPr>
      <w:r w:rsidRPr="003A0B6E">
        <w:rPr>
          <w:spacing w:val="-3"/>
        </w:rPr>
        <w:tab/>
      </w:r>
    </w:p>
    <w:p w:rsidR="0052410E" w:rsidRPr="003A0B6E" w:rsidRDefault="0052410E" w:rsidP="0052410E">
      <w:pPr>
        <w:ind w:left="1440" w:hanging="1440"/>
        <w:jc w:val="both"/>
      </w:pPr>
    </w:p>
    <w:p w:rsidR="0052410E" w:rsidRPr="003A0B6E" w:rsidRDefault="0052410E" w:rsidP="0052410E">
      <w:pPr>
        <w:jc w:val="both"/>
      </w:pPr>
    </w:p>
    <w:p w:rsidR="0052410E" w:rsidRPr="003A0B6E" w:rsidRDefault="0052410E" w:rsidP="0052410E">
      <w:pPr>
        <w:tabs>
          <w:tab w:val="left" w:pos="-1440"/>
          <w:tab w:val="left" w:pos="-720"/>
          <w:tab w:val="left" w:pos="0"/>
          <w:tab w:val="left" w:pos="72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s>
        <w:ind w:left="1713" w:hanging="1713"/>
        <w:jc w:val="center"/>
      </w:pPr>
      <w:r w:rsidRPr="003A0B6E">
        <w:rPr>
          <w:b/>
          <w:bCs/>
        </w:rPr>
        <w:t>GULF</w:t>
      </w:r>
    </w:p>
    <w:tbl>
      <w:tblPr>
        <w:tblW w:w="0" w:type="auto"/>
        <w:tblInd w:w="1810" w:type="dxa"/>
        <w:tblLayout w:type="fixed"/>
        <w:tblCellMar>
          <w:left w:w="100" w:type="dxa"/>
          <w:right w:w="100" w:type="dxa"/>
        </w:tblCellMar>
        <w:tblLook w:val="0000" w:firstRow="0" w:lastRow="0" w:firstColumn="0" w:lastColumn="0" w:noHBand="0" w:noVBand="0"/>
      </w:tblPr>
      <w:tblGrid>
        <w:gridCol w:w="2754"/>
        <w:gridCol w:w="3366"/>
      </w:tblGrid>
      <w:tr w:rsidR="0052410E" w:rsidRPr="003A0B6E" w:rsidTr="0052410E">
        <w:trPr>
          <w:cantSplit/>
          <w:trHeight w:val="876"/>
        </w:trPr>
        <w:tc>
          <w:tcPr>
            <w:tcW w:w="2754" w:type="dxa"/>
            <w:tcBorders>
              <w:top w:val="single" w:sz="6" w:space="0" w:color="auto"/>
              <w:left w:val="single" w:sz="6" w:space="0" w:color="auto"/>
              <w:bottom w:val="single" w:sz="6" w:space="0" w:color="auto"/>
              <w:right w:val="single" w:sz="6" w:space="0" w:color="auto"/>
            </w:tcBorders>
          </w:tcPr>
          <w:p w:rsidR="0052410E" w:rsidRPr="003A0B6E" w:rsidRDefault="0052410E" w:rsidP="0052410E">
            <w:pPr>
              <w:widowControl w:val="0"/>
              <w:autoSpaceDE w:val="0"/>
              <w:autoSpaceDN w:val="0"/>
              <w:adjustRightInd w:val="0"/>
              <w:jc w:val="center"/>
              <w:rPr>
                <w:b/>
                <w:bCs/>
              </w:rPr>
            </w:pPr>
          </w:p>
          <w:p w:rsidR="0052410E" w:rsidRPr="003A0B6E" w:rsidRDefault="0052410E" w:rsidP="0052410E">
            <w:pPr>
              <w:widowControl w:val="0"/>
              <w:autoSpaceDE w:val="0"/>
              <w:autoSpaceDN w:val="0"/>
              <w:adjustRightInd w:val="0"/>
              <w:jc w:val="center"/>
              <w:rPr>
                <w:b/>
                <w:bCs/>
              </w:rPr>
            </w:pPr>
            <w:r w:rsidRPr="003A0B6E">
              <w:rPr>
                <w:b/>
                <w:bCs/>
              </w:rPr>
              <w:t>RATE</w:t>
            </w:r>
          </w:p>
          <w:p w:rsidR="0052410E" w:rsidRPr="003A0B6E" w:rsidRDefault="0052410E" w:rsidP="0052410E">
            <w:pPr>
              <w:widowControl w:val="0"/>
              <w:autoSpaceDE w:val="0"/>
              <w:autoSpaceDN w:val="0"/>
              <w:adjustRightInd w:val="0"/>
              <w:jc w:val="center"/>
            </w:pPr>
            <w:r w:rsidRPr="003A0B6E">
              <w:rPr>
                <w:b/>
                <w:bCs/>
              </w:rPr>
              <w:t>CLASS</w:t>
            </w:r>
          </w:p>
        </w:tc>
        <w:tc>
          <w:tcPr>
            <w:tcW w:w="3366" w:type="dxa"/>
            <w:tcBorders>
              <w:top w:val="single" w:sz="6" w:space="0" w:color="auto"/>
              <w:left w:val="single" w:sz="6" w:space="0" w:color="auto"/>
              <w:bottom w:val="single" w:sz="6" w:space="0" w:color="auto"/>
              <w:right w:val="single" w:sz="6" w:space="0" w:color="auto"/>
            </w:tcBorders>
          </w:tcPr>
          <w:p w:rsidR="0052410E" w:rsidRPr="003A0B6E" w:rsidRDefault="0052410E" w:rsidP="0052410E">
            <w:pPr>
              <w:widowControl w:val="0"/>
              <w:autoSpaceDE w:val="0"/>
              <w:autoSpaceDN w:val="0"/>
              <w:adjustRightInd w:val="0"/>
              <w:jc w:val="center"/>
            </w:pPr>
            <w:r w:rsidRPr="003A0B6E">
              <w:rPr>
                <w:b/>
                <w:bCs/>
              </w:rPr>
              <w:t>ENVIRONMENTAL COST RECOVERY FACTORS</w:t>
            </w:r>
          </w:p>
          <w:p w:rsidR="0052410E" w:rsidRPr="003A0B6E" w:rsidRDefault="0052410E" w:rsidP="0052410E">
            <w:pPr>
              <w:widowControl w:val="0"/>
              <w:autoSpaceDE w:val="0"/>
              <w:autoSpaceDN w:val="0"/>
              <w:adjustRightInd w:val="0"/>
              <w:jc w:val="center"/>
            </w:pPr>
            <w:r w:rsidRPr="003A0B6E">
              <w:rPr>
                <w:b/>
                <w:bCs/>
              </w:rPr>
              <w:t>¢/KWH</w:t>
            </w:r>
          </w:p>
        </w:tc>
      </w:tr>
      <w:tr w:rsidR="0052410E" w:rsidRPr="003A0B6E" w:rsidTr="0052410E">
        <w:trPr>
          <w:cantSplit/>
          <w:trHeight w:val="291"/>
        </w:trPr>
        <w:tc>
          <w:tcPr>
            <w:tcW w:w="2754" w:type="dxa"/>
            <w:tcBorders>
              <w:top w:val="single" w:sz="6" w:space="0" w:color="auto"/>
              <w:left w:val="single" w:sz="6" w:space="0" w:color="auto"/>
              <w:bottom w:val="single" w:sz="6" w:space="0" w:color="auto"/>
              <w:right w:val="single" w:sz="6" w:space="0" w:color="auto"/>
            </w:tcBorders>
          </w:tcPr>
          <w:p w:rsidR="0052410E" w:rsidRPr="003A0B6E" w:rsidRDefault="0052410E" w:rsidP="0052410E">
            <w:pPr>
              <w:widowControl w:val="0"/>
              <w:autoSpaceDE w:val="0"/>
              <w:autoSpaceDN w:val="0"/>
              <w:adjustRightInd w:val="0"/>
              <w:jc w:val="center"/>
            </w:pPr>
            <w:r w:rsidRPr="003A0B6E">
              <w:t>RS, RSVP, RSTOU</w:t>
            </w:r>
          </w:p>
        </w:tc>
        <w:tc>
          <w:tcPr>
            <w:tcW w:w="3366" w:type="dxa"/>
            <w:tcBorders>
              <w:top w:val="single" w:sz="6" w:space="0" w:color="auto"/>
              <w:left w:val="single" w:sz="6" w:space="0" w:color="auto"/>
              <w:bottom w:val="single" w:sz="6" w:space="0" w:color="auto"/>
              <w:right w:val="single" w:sz="6" w:space="0" w:color="auto"/>
            </w:tcBorders>
          </w:tcPr>
          <w:p w:rsidR="0052410E" w:rsidRPr="003A0B6E" w:rsidRDefault="0052410E" w:rsidP="0052410E">
            <w:pPr>
              <w:widowControl w:val="0"/>
              <w:autoSpaceDE w:val="0"/>
              <w:autoSpaceDN w:val="0"/>
              <w:adjustRightInd w:val="0"/>
              <w:jc w:val="center"/>
            </w:pPr>
            <w:r w:rsidRPr="003A0B6E">
              <w:t>2.109</w:t>
            </w:r>
          </w:p>
        </w:tc>
      </w:tr>
      <w:tr w:rsidR="0052410E" w:rsidRPr="003A0B6E" w:rsidTr="0052410E">
        <w:trPr>
          <w:cantSplit/>
          <w:trHeight w:val="291"/>
        </w:trPr>
        <w:tc>
          <w:tcPr>
            <w:tcW w:w="2754" w:type="dxa"/>
            <w:tcBorders>
              <w:top w:val="single" w:sz="6" w:space="0" w:color="auto"/>
              <w:left w:val="single" w:sz="6" w:space="0" w:color="auto"/>
              <w:bottom w:val="single" w:sz="6" w:space="0" w:color="auto"/>
              <w:right w:val="single" w:sz="6" w:space="0" w:color="auto"/>
            </w:tcBorders>
          </w:tcPr>
          <w:p w:rsidR="0052410E" w:rsidRPr="003A0B6E" w:rsidRDefault="0052410E" w:rsidP="0052410E">
            <w:pPr>
              <w:widowControl w:val="0"/>
              <w:autoSpaceDE w:val="0"/>
              <w:autoSpaceDN w:val="0"/>
              <w:adjustRightInd w:val="0"/>
              <w:jc w:val="center"/>
            </w:pPr>
            <w:r w:rsidRPr="003A0B6E">
              <w:t>GS</w:t>
            </w:r>
          </w:p>
        </w:tc>
        <w:tc>
          <w:tcPr>
            <w:tcW w:w="3366" w:type="dxa"/>
            <w:tcBorders>
              <w:top w:val="single" w:sz="6" w:space="0" w:color="auto"/>
              <w:left w:val="single" w:sz="6" w:space="0" w:color="auto"/>
              <w:bottom w:val="single" w:sz="6" w:space="0" w:color="auto"/>
              <w:right w:val="single" w:sz="6" w:space="0" w:color="auto"/>
            </w:tcBorders>
          </w:tcPr>
          <w:p w:rsidR="0052410E" w:rsidRPr="003A0B6E" w:rsidRDefault="0052410E" w:rsidP="0052410E">
            <w:pPr>
              <w:widowControl w:val="0"/>
              <w:autoSpaceDE w:val="0"/>
              <w:autoSpaceDN w:val="0"/>
              <w:adjustRightInd w:val="0"/>
              <w:jc w:val="center"/>
            </w:pPr>
            <w:r w:rsidRPr="003A0B6E">
              <w:t>1.895</w:t>
            </w:r>
          </w:p>
        </w:tc>
      </w:tr>
      <w:tr w:rsidR="0052410E" w:rsidRPr="003A0B6E" w:rsidTr="0052410E">
        <w:trPr>
          <w:cantSplit/>
          <w:trHeight w:val="291"/>
        </w:trPr>
        <w:tc>
          <w:tcPr>
            <w:tcW w:w="2754" w:type="dxa"/>
            <w:tcBorders>
              <w:top w:val="single" w:sz="6" w:space="0" w:color="auto"/>
              <w:left w:val="single" w:sz="6" w:space="0" w:color="auto"/>
              <w:bottom w:val="single" w:sz="6" w:space="0" w:color="auto"/>
              <w:right w:val="single" w:sz="6" w:space="0" w:color="auto"/>
            </w:tcBorders>
          </w:tcPr>
          <w:p w:rsidR="0052410E" w:rsidRPr="003A0B6E" w:rsidRDefault="0052410E" w:rsidP="0052410E">
            <w:pPr>
              <w:widowControl w:val="0"/>
              <w:autoSpaceDE w:val="0"/>
              <w:autoSpaceDN w:val="0"/>
              <w:adjustRightInd w:val="0"/>
              <w:jc w:val="center"/>
            </w:pPr>
            <w:r w:rsidRPr="003A0B6E">
              <w:t>GSD, GSDT, GSTOU</w:t>
            </w:r>
          </w:p>
        </w:tc>
        <w:tc>
          <w:tcPr>
            <w:tcW w:w="3366" w:type="dxa"/>
            <w:tcBorders>
              <w:top w:val="single" w:sz="6" w:space="0" w:color="auto"/>
              <w:left w:val="single" w:sz="6" w:space="0" w:color="auto"/>
              <w:bottom w:val="single" w:sz="6" w:space="0" w:color="auto"/>
              <w:right w:val="single" w:sz="6" w:space="0" w:color="auto"/>
            </w:tcBorders>
          </w:tcPr>
          <w:p w:rsidR="0052410E" w:rsidRPr="003A0B6E" w:rsidRDefault="0052410E" w:rsidP="0052410E">
            <w:pPr>
              <w:widowControl w:val="0"/>
              <w:autoSpaceDE w:val="0"/>
              <w:autoSpaceDN w:val="0"/>
              <w:adjustRightInd w:val="0"/>
              <w:jc w:val="center"/>
            </w:pPr>
            <w:r w:rsidRPr="003A0B6E">
              <w:t>1.678</w:t>
            </w:r>
          </w:p>
        </w:tc>
      </w:tr>
      <w:tr w:rsidR="0052410E" w:rsidRPr="003A0B6E" w:rsidTr="0052410E">
        <w:trPr>
          <w:cantSplit/>
          <w:trHeight w:val="291"/>
        </w:trPr>
        <w:tc>
          <w:tcPr>
            <w:tcW w:w="2754" w:type="dxa"/>
            <w:tcBorders>
              <w:top w:val="single" w:sz="6" w:space="0" w:color="auto"/>
              <w:left w:val="single" w:sz="6" w:space="0" w:color="auto"/>
              <w:bottom w:val="single" w:sz="6" w:space="0" w:color="auto"/>
              <w:right w:val="single" w:sz="6" w:space="0" w:color="auto"/>
            </w:tcBorders>
          </w:tcPr>
          <w:p w:rsidR="0052410E" w:rsidRPr="003A0B6E" w:rsidRDefault="0052410E" w:rsidP="0052410E">
            <w:pPr>
              <w:widowControl w:val="0"/>
              <w:autoSpaceDE w:val="0"/>
              <w:autoSpaceDN w:val="0"/>
              <w:adjustRightInd w:val="0"/>
              <w:jc w:val="center"/>
            </w:pPr>
            <w:r w:rsidRPr="003A0B6E">
              <w:t>LP, LPT</w:t>
            </w:r>
          </w:p>
        </w:tc>
        <w:tc>
          <w:tcPr>
            <w:tcW w:w="3366" w:type="dxa"/>
            <w:tcBorders>
              <w:top w:val="single" w:sz="6" w:space="0" w:color="auto"/>
              <w:left w:val="single" w:sz="6" w:space="0" w:color="auto"/>
              <w:bottom w:val="single" w:sz="6" w:space="0" w:color="auto"/>
              <w:right w:val="single" w:sz="6" w:space="0" w:color="auto"/>
            </w:tcBorders>
          </w:tcPr>
          <w:p w:rsidR="0052410E" w:rsidRPr="003A0B6E" w:rsidRDefault="0052410E" w:rsidP="0052410E">
            <w:pPr>
              <w:widowControl w:val="0"/>
              <w:autoSpaceDE w:val="0"/>
              <w:autoSpaceDN w:val="0"/>
              <w:adjustRightInd w:val="0"/>
              <w:jc w:val="center"/>
            </w:pPr>
            <w:r w:rsidRPr="003A0B6E">
              <w:t>1.488</w:t>
            </w:r>
          </w:p>
        </w:tc>
      </w:tr>
      <w:tr w:rsidR="0052410E" w:rsidRPr="003A0B6E" w:rsidTr="0052410E">
        <w:trPr>
          <w:cantSplit/>
          <w:trHeight w:val="291"/>
        </w:trPr>
        <w:tc>
          <w:tcPr>
            <w:tcW w:w="2754" w:type="dxa"/>
            <w:tcBorders>
              <w:top w:val="single" w:sz="6" w:space="0" w:color="auto"/>
              <w:left w:val="single" w:sz="6" w:space="0" w:color="auto"/>
              <w:bottom w:val="single" w:sz="6" w:space="0" w:color="auto"/>
              <w:right w:val="single" w:sz="6" w:space="0" w:color="auto"/>
            </w:tcBorders>
          </w:tcPr>
          <w:p w:rsidR="0052410E" w:rsidRPr="003A0B6E" w:rsidRDefault="0052410E" w:rsidP="0052410E">
            <w:pPr>
              <w:widowControl w:val="0"/>
              <w:autoSpaceDE w:val="0"/>
              <w:autoSpaceDN w:val="0"/>
              <w:adjustRightInd w:val="0"/>
              <w:jc w:val="center"/>
            </w:pPr>
            <w:r w:rsidRPr="003A0B6E">
              <w:t>PX, PXT, RTP, SBS</w:t>
            </w:r>
          </w:p>
        </w:tc>
        <w:tc>
          <w:tcPr>
            <w:tcW w:w="3366" w:type="dxa"/>
            <w:tcBorders>
              <w:top w:val="single" w:sz="6" w:space="0" w:color="auto"/>
              <w:left w:val="single" w:sz="6" w:space="0" w:color="auto"/>
              <w:bottom w:val="single" w:sz="6" w:space="0" w:color="auto"/>
              <w:right w:val="single" w:sz="6" w:space="0" w:color="auto"/>
            </w:tcBorders>
          </w:tcPr>
          <w:p w:rsidR="0052410E" w:rsidRPr="003A0B6E" w:rsidRDefault="0052410E" w:rsidP="0052410E">
            <w:pPr>
              <w:widowControl w:val="0"/>
              <w:autoSpaceDE w:val="0"/>
              <w:autoSpaceDN w:val="0"/>
              <w:adjustRightInd w:val="0"/>
              <w:jc w:val="center"/>
            </w:pPr>
            <w:r w:rsidRPr="003A0B6E">
              <w:t>1.417</w:t>
            </w:r>
          </w:p>
        </w:tc>
      </w:tr>
      <w:tr w:rsidR="0052410E" w:rsidRPr="003A0B6E" w:rsidTr="0052410E">
        <w:trPr>
          <w:cantSplit/>
          <w:trHeight w:val="291"/>
        </w:trPr>
        <w:tc>
          <w:tcPr>
            <w:tcW w:w="2754" w:type="dxa"/>
            <w:tcBorders>
              <w:top w:val="single" w:sz="6" w:space="0" w:color="auto"/>
              <w:left w:val="single" w:sz="6" w:space="0" w:color="auto"/>
              <w:bottom w:val="single" w:sz="6" w:space="0" w:color="auto"/>
              <w:right w:val="single" w:sz="6" w:space="0" w:color="auto"/>
            </w:tcBorders>
          </w:tcPr>
          <w:p w:rsidR="0052410E" w:rsidRPr="003A0B6E" w:rsidRDefault="0052410E" w:rsidP="0052410E">
            <w:pPr>
              <w:widowControl w:val="0"/>
              <w:autoSpaceDE w:val="0"/>
              <w:autoSpaceDN w:val="0"/>
              <w:adjustRightInd w:val="0"/>
              <w:jc w:val="center"/>
            </w:pPr>
            <w:r w:rsidRPr="003A0B6E">
              <w:t>OS-I/II</w:t>
            </w:r>
          </w:p>
        </w:tc>
        <w:tc>
          <w:tcPr>
            <w:tcW w:w="3366" w:type="dxa"/>
            <w:tcBorders>
              <w:top w:val="single" w:sz="6" w:space="0" w:color="auto"/>
              <w:left w:val="single" w:sz="6" w:space="0" w:color="auto"/>
              <w:bottom w:val="single" w:sz="6" w:space="0" w:color="auto"/>
              <w:right w:val="single" w:sz="6" w:space="0" w:color="auto"/>
            </w:tcBorders>
          </w:tcPr>
          <w:p w:rsidR="0052410E" w:rsidRPr="003A0B6E" w:rsidRDefault="0052410E" w:rsidP="0052410E">
            <w:pPr>
              <w:widowControl w:val="0"/>
              <w:autoSpaceDE w:val="0"/>
              <w:autoSpaceDN w:val="0"/>
              <w:adjustRightInd w:val="0"/>
              <w:jc w:val="center"/>
            </w:pPr>
            <w:r w:rsidRPr="003A0B6E">
              <w:t>0.503</w:t>
            </w:r>
          </w:p>
        </w:tc>
      </w:tr>
      <w:tr w:rsidR="0052410E" w:rsidRPr="003A0B6E" w:rsidTr="0052410E">
        <w:trPr>
          <w:cantSplit/>
          <w:trHeight w:val="291"/>
        </w:trPr>
        <w:tc>
          <w:tcPr>
            <w:tcW w:w="2754" w:type="dxa"/>
            <w:tcBorders>
              <w:top w:val="single" w:sz="6" w:space="0" w:color="auto"/>
              <w:left w:val="single" w:sz="6" w:space="0" w:color="auto"/>
              <w:bottom w:val="single" w:sz="6" w:space="0" w:color="auto"/>
              <w:right w:val="single" w:sz="6" w:space="0" w:color="auto"/>
            </w:tcBorders>
          </w:tcPr>
          <w:p w:rsidR="0052410E" w:rsidRPr="003A0B6E" w:rsidRDefault="0052410E" w:rsidP="0052410E">
            <w:pPr>
              <w:widowControl w:val="0"/>
              <w:autoSpaceDE w:val="0"/>
              <w:autoSpaceDN w:val="0"/>
              <w:adjustRightInd w:val="0"/>
              <w:jc w:val="center"/>
            </w:pPr>
            <w:r w:rsidRPr="003A0B6E">
              <w:t>OSIII</w:t>
            </w:r>
          </w:p>
        </w:tc>
        <w:tc>
          <w:tcPr>
            <w:tcW w:w="3366" w:type="dxa"/>
            <w:tcBorders>
              <w:top w:val="single" w:sz="6" w:space="0" w:color="auto"/>
              <w:left w:val="single" w:sz="6" w:space="0" w:color="auto"/>
              <w:bottom w:val="single" w:sz="6" w:space="0" w:color="auto"/>
              <w:right w:val="single" w:sz="6" w:space="0" w:color="auto"/>
            </w:tcBorders>
          </w:tcPr>
          <w:p w:rsidR="0052410E" w:rsidRPr="003A0B6E" w:rsidRDefault="0052410E" w:rsidP="0052410E">
            <w:pPr>
              <w:widowControl w:val="0"/>
              <w:autoSpaceDE w:val="0"/>
              <w:autoSpaceDN w:val="0"/>
              <w:adjustRightInd w:val="0"/>
              <w:jc w:val="center"/>
            </w:pPr>
            <w:r w:rsidRPr="003A0B6E">
              <w:t>1.353</w:t>
            </w:r>
          </w:p>
        </w:tc>
      </w:tr>
    </w:tbl>
    <w:p w:rsidR="0052410E" w:rsidRPr="003A0B6E" w:rsidRDefault="0052410E" w:rsidP="0052410E">
      <w:pPr>
        <w:pStyle w:val="IssueHeading"/>
        <w:ind w:left="1440" w:hanging="1440"/>
        <w:rPr>
          <w:rFonts w:cs="Times New Roman"/>
          <w:bCs w:val="0"/>
          <w:szCs w:val="24"/>
          <w:u w:val="single"/>
        </w:rPr>
      </w:pPr>
    </w:p>
    <w:p w:rsidR="0052410E" w:rsidRPr="003A0B6E" w:rsidRDefault="00D9542D" w:rsidP="00D9542D">
      <w:pPr>
        <w:pStyle w:val="IssueHeading"/>
        <w:numPr>
          <w:ilvl w:val="0"/>
          <w:numId w:val="6"/>
        </w:numPr>
        <w:rPr>
          <w:rFonts w:cs="Times New Roman"/>
          <w:bCs w:val="0"/>
          <w:szCs w:val="24"/>
        </w:rPr>
      </w:pPr>
      <w:r>
        <w:rPr>
          <w:rFonts w:cs="Times New Roman"/>
          <w:bCs w:val="0"/>
          <w:szCs w:val="24"/>
        </w:rPr>
        <w:tab/>
      </w:r>
      <w:r w:rsidR="00AC6C80">
        <w:rPr>
          <w:rFonts w:cs="Times New Roman"/>
          <w:bCs w:val="0"/>
          <w:szCs w:val="24"/>
        </w:rPr>
        <w:t>E</w:t>
      </w:r>
      <w:r w:rsidR="0052410E" w:rsidRPr="003A0B6E">
        <w:rPr>
          <w:rFonts w:cs="Times New Roman"/>
          <w:bCs w:val="0"/>
          <w:szCs w:val="24"/>
        </w:rPr>
        <w:t xml:space="preserve">ffective </w:t>
      </w:r>
      <w:r w:rsidR="00AC6C80">
        <w:rPr>
          <w:rFonts w:cs="Times New Roman"/>
          <w:bCs w:val="0"/>
          <w:szCs w:val="24"/>
        </w:rPr>
        <w:t>Date For</w:t>
      </w:r>
      <w:r w:rsidR="0052410E" w:rsidRPr="003A0B6E">
        <w:rPr>
          <w:rFonts w:cs="Times New Roman"/>
          <w:bCs w:val="0"/>
          <w:szCs w:val="24"/>
        </w:rPr>
        <w:t xml:space="preserve"> </w:t>
      </w:r>
      <w:r w:rsidR="00AC6C80">
        <w:rPr>
          <w:rFonts w:cs="Times New Roman"/>
          <w:bCs w:val="0"/>
          <w:szCs w:val="24"/>
        </w:rPr>
        <w:t>N</w:t>
      </w:r>
      <w:r w:rsidR="0052410E" w:rsidRPr="003A0B6E">
        <w:rPr>
          <w:rFonts w:cs="Times New Roman"/>
          <w:bCs w:val="0"/>
          <w:szCs w:val="24"/>
        </w:rPr>
        <w:t xml:space="preserve">ew </w:t>
      </w:r>
      <w:r w:rsidR="00AC6C80">
        <w:rPr>
          <w:rFonts w:cs="Times New Roman"/>
          <w:bCs w:val="0"/>
          <w:szCs w:val="24"/>
        </w:rPr>
        <w:t>E</w:t>
      </w:r>
      <w:r w:rsidR="0052410E" w:rsidRPr="003A0B6E">
        <w:rPr>
          <w:rFonts w:cs="Times New Roman"/>
          <w:bCs w:val="0"/>
          <w:szCs w:val="24"/>
        </w:rPr>
        <w:t xml:space="preserve">nvironmental </w:t>
      </w:r>
      <w:r w:rsidR="00AC6C80">
        <w:rPr>
          <w:rFonts w:cs="Times New Roman"/>
          <w:bCs w:val="0"/>
          <w:szCs w:val="24"/>
        </w:rPr>
        <w:t>C</w:t>
      </w:r>
      <w:r w:rsidR="0052410E" w:rsidRPr="003A0B6E">
        <w:rPr>
          <w:rFonts w:cs="Times New Roman"/>
          <w:bCs w:val="0"/>
          <w:szCs w:val="24"/>
        </w:rPr>
        <w:t xml:space="preserve">ost </w:t>
      </w:r>
      <w:r w:rsidR="00AC6C80">
        <w:rPr>
          <w:rFonts w:cs="Times New Roman"/>
          <w:bCs w:val="0"/>
          <w:szCs w:val="24"/>
        </w:rPr>
        <w:t>R</w:t>
      </w:r>
      <w:r w:rsidR="0052410E" w:rsidRPr="003A0B6E">
        <w:rPr>
          <w:rFonts w:cs="Times New Roman"/>
          <w:bCs w:val="0"/>
          <w:szCs w:val="24"/>
        </w:rPr>
        <w:t xml:space="preserve">ecovery </w:t>
      </w:r>
      <w:r w:rsidR="00AC6C80">
        <w:rPr>
          <w:rFonts w:cs="Times New Roman"/>
          <w:bCs w:val="0"/>
          <w:szCs w:val="24"/>
        </w:rPr>
        <w:t>F</w:t>
      </w:r>
      <w:r w:rsidR="0052410E" w:rsidRPr="003A0B6E">
        <w:rPr>
          <w:rFonts w:cs="Times New Roman"/>
          <w:bCs w:val="0"/>
          <w:szCs w:val="24"/>
        </w:rPr>
        <w:t xml:space="preserve">actors </w:t>
      </w:r>
    </w:p>
    <w:p w:rsidR="0052410E" w:rsidRPr="003A0B6E" w:rsidRDefault="0052410E" w:rsidP="0052410E"/>
    <w:p w:rsidR="0052410E" w:rsidRPr="003A0B6E" w:rsidRDefault="0052410E" w:rsidP="00E935E7">
      <w:pPr>
        <w:jc w:val="both"/>
        <w:rPr>
          <w:bCs/>
          <w:color w:val="1F497D"/>
        </w:rPr>
      </w:pPr>
      <w:r w:rsidRPr="003A0B6E">
        <w:rPr>
          <w:b/>
        </w:rPr>
        <w:tab/>
      </w:r>
      <w:r w:rsidRPr="003A0B6E">
        <w:rPr>
          <w:bCs/>
        </w:rPr>
        <w:t>The factors shall be effective beginning with the specified environmental cost recovery cycle and thereafter for the period January 2016 through December 2016. Billing cycles may start before January 1, 2016 and the last cycle may be read after December 31, 2016, so that each customer is billed for twelve months regardless of when the adjustment factor became effective. These charges shall continue in effect until modified by subsequent order of this Commission.</w:t>
      </w:r>
    </w:p>
    <w:p w:rsidR="0052410E" w:rsidRPr="003A0B6E" w:rsidRDefault="0052410E" w:rsidP="0052410E">
      <w:pPr>
        <w:pStyle w:val="IssueHeading"/>
        <w:ind w:left="1440" w:hanging="1440"/>
        <w:rPr>
          <w:rFonts w:cs="Times New Roman"/>
          <w:bCs w:val="0"/>
          <w:szCs w:val="24"/>
          <w:u w:val="single"/>
        </w:rPr>
      </w:pPr>
    </w:p>
    <w:p w:rsidR="0052410E" w:rsidRPr="003A0B6E" w:rsidRDefault="00901D5E" w:rsidP="0052410E">
      <w:pPr>
        <w:pStyle w:val="IssueHeading"/>
        <w:ind w:left="1440" w:hanging="1440"/>
        <w:rPr>
          <w:rFonts w:cs="Times New Roman"/>
          <w:bCs w:val="0"/>
          <w:szCs w:val="24"/>
        </w:rPr>
      </w:pPr>
      <w:r w:rsidRPr="00901D5E">
        <w:rPr>
          <w:rFonts w:cs="Times New Roman"/>
          <w:bCs w:val="0"/>
          <w:szCs w:val="24"/>
        </w:rPr>
        <w:lastRenderedPageBreak/>
        <w:t>9</w:t>
      </w:r>
      <w:r w:rsidR="00AC6C80" w:rsidRPr="00901D5E">
        <w:rPr>
          <w:rFonts w:cs="Times New Roman"/>
          <w:bCs w:val="0"/>
          <w:szCs w:val="24"/>
        </w:rPr>
        <w:t>A</w:t>
      </w:r>
      <w:r w:rsidRPr="00901D5E">
        <w:rPr>
          <w:rFonts w:cs="Times New Roman"/>
          <w:bCs w:val="0"/>
          <w:szCs w:val="24"/>
        </w:rPr>
        <w:t>.</w:t>
      </w:r>
      <w:r w:rsidR="0052410E" w:rsidRPr="003A0B6E">
        <w:rPr>
          <w:rFonts w:cs="Times New Roman"/>
          <w:bCs w:val="0"/>
          <w:szCs w:val="24"/>
        </w:rPr>
        <w:t>     </w:t>
      </w:r>
      <w:r>
        <w:rPr>
          <w:rFonts w:cs="Times New Roman"/>
          <w:bCs w:val="0"/>
          <w:szCs w:val="24"/>
        </w:rPr>
        <w:tab/>
        <w:t>FPL’s</w:t>
      </w:r>
      <w:r w:rsidR="0052410E" w:rsidRPr="003A0B6E">
        <w:rPr>
          <w:rFonts w:cs="Times New Roman"/>
          <w:bCs w:val="0"/>
          <w:szCs w:val="24"/>
        </w:rPr>
        <w:t xml:space="preserve"> </w:t>
      </w:r>
      <w:r>
        <w:rPr>
          <w:rFonts w:cs="Times New Roman"/>
          <w:bCs w:val="0"/>
          <w:szCs w:val="24"/>
        </w:rPr>
        <w:t>P</w:t>
      </w:r>
      <w:r w:rsidR="0052410E" w:rsidRPr="003A0B6E">
        <w:rPr>
          <w:rFonts w:cs="Times New Roman"/>
          <w:bCs w:val="0"/>
          <w:szCs w:val="24"/>
        </w:rPr>
        <w:t>roposed Coal Combustion Residuals Disposal Project</w:t>
      </w:r>
    </w:p>
    <w:p w:rsidR="0052410E" w:rsidRPr="003A0B6E" w:rsidRDefault="0052410E" w:rsidP="00D7028B">
      <w:pPr>
        <w:pStyle w:val="OrderBody"/>
        <w:spacing w:before="240" w:after="240"/>
        <w:rPr>
          <w:bCs/>
        </w:rPr>
      </w:pPr>
      <w:r w:rsidRPr="003A0B6E">
        <w:rPr>
          <w:b/>
          <w:bCs/>
        </w:rPr>
        <w:tab/>
      </w:r>
      <w:r w:rsidRPr="003A0B6E">
        <w:rPr>
          <w:bCs/>
        </w:rPr>
        <w:t>Pursuant to Section 366.8255(2), F.S., electric utilities may petition the Commission to recover projected environmental compliance costs that are required by environmental laws or regulations. The Commission has interpreted the statute to prescribe two criteria, relevant to this docket, for recovery of environmental compliance costs through the clause. Pursuant to Order No. PSC-94-0044-FOF-EI, these criteria are:</w:t>
      </w:r>
    </w:p>
    <w:p w:rsidR="0052410E" w:rsidRPr="003A0B6E" w:rsidRDefault="0052410E" w:rsidP="00E935E7">
      <w:pPr>
        <w:pStyle w:val="BodyText"/>
        <w:ind w:left="720" w:hanging="360"/>
        <w:jc w:val="both"/>
        <w:rPr>
          <w:bCs/>
        </w:rPr>
      </w:pPr>
      <w:r w:rsidRPr="003A0B6E">
        <w:rPr>
          <w:bCs/>
        </w:rPr>
        <w:tab/>
        <w:t>(1)  The activities are legally required to comply with a governmentally imposed environmental regulation that was created, became effective, or whose effect was triggered after the company’s last test year upon which rates are based.</w:t>
      </w:r>
    </w:p>
    <w:p w:rsidR="0052410E" w:rsidRPr="003A0B6E" w:rsidRDefault="0052410E" w:rsidP="00E935E7">
      <w:pPr>
        <w:pStyle w:val="BodyText"/>
        <w:ind w:left="720"/>
        <w:jc w:val="both"/>
        <w:rPr>
          <w:bCs/>
        </w:rPr>
      </w:pPr>
      <w:r w:rsidRPr="003A0B6E">
        <w:rPr>
          <w:bCs/>
        </w:rPr>
        <w:t>(2)  None of the expenditures are being recovered through some other cost recovery mechanism or through base rates.</w:t>
      </w:r>
    </w:p>
    <w:p w:rsidR="0052410E" w:rsidRPr="003A0B6E" w:rsidRDefault="00901D5E" w:rsidP="00D7028B">
      <w:pPr>
        <w:pStyle w:val="OrderBody"/>
        <w:spacing w:before="240" w:after="240"/>
        <w:rPr>
          <w:bCs/>
        </w:rPr>
      </w:pPr>
      <w:r>
        <w:rPr>
          <w:bCs/>
        </w:rPr>
        <w:tab/>
      </w:r>
      <w:r w:rsidR="0052410E" w:rsidRPr="003A0B6E">
        <w:rPr>
          <w:bCs/>
        </w:rPr>
        <w:t xml:space="preserve">On April 17, 2015, The United States Environmental Protection Agency published in the Federal Register a final rule to regulate the disposal of coal combustion residuals (CCR). The rule is self-implementing with an effective date of October 19, 2015. The CCR rule establishes minimum criteria for the safe disposal of CCR in landfills and surface impoundments. The CCR rule will apply to Plant Scherer and St. John’s River Power Park, in which FPL has an ownership interest. </w:t>
      </w:r>
    </w:p>
    <w:p w:rsidR="0052410E" w:rsidRPr="003A0B6E" w:rsidRDefault="00901D5E" w:rsidP="00D7028B">
      <w:pPr>
        <w:pStyle w:val="OrderBody"/>
        <w:spacing w:before="240" w:after="240"/>
        <w:rPr>
          <w:bCs/>
        </w:rPr>
      </w:pPr>
      <w:r>
        <w:rPr>
          <w:bCs/>
        </w:rPr>
        <w:tab/>
      </w:r>
      <w:r w:rsidR="0052410E" w:rsidRPr="003A0B6E">
        <w:rPr>
          <w:bCs/>
        </w:rPr>
        <w:t xml:space="preserve">Although FPL has not included any costs associated with its proposed CCR project in its projected ECRC factors, FPL has identified several activities necessary to meet the requirements of the CCR rule. There is no indication that any costs associated with CCR rule compliance are currently being recovered through base rates or any other cost recovery mechanism. Therefore, FPL’s proposed project satisfies the criteria established in Order No. PSC-94-0044-FOF-EI, and the Company shall be allowed to recover prudently incurred costs associated with the project through the ECRC. The reasonableness and prudence of individual expenditures related to the CCR project will continue to be subject to the Commission's review in future ECRC proceedings.  </w:t>
      </w:r>
    </w:p>
    <w:p w:rsidR="0052410E" w:rsidRPr="003A0B6E" w:rsidRDefault="0052410E" w:rsidP="0052410E">
      <w:pPr>
        <w:pStyle w:val="IssueHeading"/>
        <w:ind w:left="1440" w:hanging="1440"/>
        <w:rPr>
          <w:rFonts w:cs="Times New Roman"/>
          <w:szCs w:val="24"/>
        </w:rPr>
      </w:pPr>
      <w:r w:rsidRPr="00901D5E">
        <w:rPr>
          <w:rFonts w:cs="Times New Roman"/>
          <w:bCs w:val="0"/>
          <w:szCs w:val="24"/>
        </w:rPr>
        <w:t>9B</w:t>
      </w:r>
      <w:r w:rsidR="00901D5E" w:rsidRPr="00901D5E">
        <w:rPr>
          <w:rFonts w:cs="Times New Roman"/>
          <w:bCs w:val="0"/>
          <w:szCs w:val="24"/>
        </w:rPr>
        <w:t>.</w:t>
      </w:r>
      <w:r w:rsidRPr="003A0B6E">
        <w:rPr>
          <w:rFonts w:cs="Times New Roman"/>
          <w:szCs w:val="24"/>
        </w:rPr>
        <w:tab/>
      </w:r>
      <w:r w:rsidR="00901D5E">
        <w:rPr>
          <w:rFonts w:cs="Times New Roman"/>
          <w:szCs w:val="24"/>
        </w:rPr>
        <w:t xml:space="preserve">Allocation Of Costs </w:t>
      </w:r>
      <w:r w:rsidR="00950077">
        <w:rPr>
          <w:rFonts w:cs="Times New Roman"/>
          <w:szCs w:val="24"/>
        </w:rPr>
        <w:t>A</w:t>
      </w:r>
      <w:r w:rsidRPr="003A0B6E">
        <w:rPr>
          <w:rFonts w:eastAsia="Calibri" w:cs="Times New Roman"/>
          <w:bCs w:val="0"/>
          <w:szCs w:val="24"/>
        </w:rPr>
        <w:t xml:space="preserve">ssociated </w:t>
      </w:r>
      <w:r w:rsidR="00950077">
        <w:rPr>
          <w:rFonts w:eastAsia="Calibri" w:cs="Times New Roman"/>
          <w:bCs w:val="0"/>
          <w:szCs w:val="24"/>
        </w:rPr>
        <w:t>W</w:t>
      </w:r>
      <w:r w:rsidR="00D7028B">
        <w:rPr>
          <w:rFonts w:eastAsia="Calibri" w:cs="Times New Roman"/>
          <w:bCs w:val="0"/>
          <w:szCs w:val="24"/>
        </w:rPr>
        <w:t>ith FPL’s</w:t>
      </w:r>
      <w:r w:rsidRPr="003A0B6E">
        <w:rPr>
          <w:rFonts w:eastAsia="Calibri" w:cs="Times New Roman"/>
          <w:bCs w:val="0"/>
          <w:szCs w:val="24"/>
        </w:rPr>
        <w:t xml:space="preserve"> </w:t>
      </w:r>
      <w:r w:rsidR="00950077">
        <w:rPr>
          <w:rFonts w:eastAsia="Calibri" w:cs="Times New Roman"/>
          <w:bCs w:val="0"/>
          <w:szCs w:val="24"/>
        </w:rPr>
        <w:t>P</w:t>
      </w:r>
      <w:r w:rsidRPr="003A0B6E">
        <w:rPr>
          <w:rFonts w:eastAsia="Calibri" w:cs="Times New Roman"/>
          <w:bCs w:val="0"/>
          <w:szCs w:val="24"/>
        </w:rPr>
        <w:t xml:space="preserve">roposed CCR Disposal Project </w:t>
      </w:r>
    </w:p>
    <w:p w:rsidR="0052410E" w:rsidRPr="003A0B6E" w:rsidRDefault="0052410E" w:rsidP="0052410E">
      <w:pPr>
        <w:ind w:left="1440" w:hanging="1440"/>
        <w:jc w:val="both"/>
        <w:rPr>
          <w:b/>
          <w:u w:val="single"/>
        </w:rPr>
      </w:pPr>
    </w:p>
    <w:p w:rsidR="0052410E" w:rsidRPr="003A0B6E" w:rsidRDefault="00950077" w:rsidP="00950077">
      <w:pPr>
        <w:jc w:val="both"/>
      </w:pPr>
      <w:r>
        <w:rPr>
          <w:color w:val="000000"/>
        </w:rPr>
        <w:tab/>
      </w:r>
      <w:r w:rsidR="0052410E" w:rsidRPr="00F81C36">
        <w:rPr>
          <w:color w:val="000000"/>
        </w:rPr>
        <w:t>At this time, only Capital costs are being projected. Consistent with the Settlement Agreement approved by the Commission in FPL’s most recent rate case, Capital costs associated with FPL's proposed CCR Project shall be allocated to the rate classes on the basis of the 12CP and 1/13th average demand allocator.</w:t>
      </w:r>
      <w:r w:rsidR="0052410E" w:rsidRPr="003A0B6E">
        <w:rPr>
          <w:color w:val="000000"/>
        </w:rPr>
        <w:t>  </w:t>
      </w:r>
    </w:p>
    <w:p w:rsidR="0052410E" w:rsidRPr="003A0B6E" w:rsidRDefault="0052410E" w:rsidP="0052410E">
      <w:pPr>
        <w:jc w:val="both"/>
      </w:pPr>
    </w:p>
    <w:p w:rsidR="0052410E" w:rsidRPr="00D7028B" w:rsidRDefault="0052410E" w:rsidP="0052410E">
      <w:pPr>
        <w:pStyle w:val="IssueHeading"/>
        <w:ind w:left="1440" w:hanging="1440"/>
        <w:rPr>
          <w:rFonts w:cs="Times New Roman"/>
          <w:bCs w:val="0"/>
          <w:szCs w:val="24"/>
        </w:rPr>
      </w:pPr>
      <w:r w:rsidRPr="00D7028B">
        <w:rPr>
          <w:rFonts w:cs="Times New Roman"/>
          <w:bCs w:val="0"/>
          <w:szCs w:val="24"/>
        </w:rPr>
        <w:t>10A</w:t>
      </w:r>
      <w:r w:rsidR="00950077" w:rsidRPr="00D7028B">
        <w:rPr>
          <w:rFonts w:cs="Times New Roman"/>
          <w:bCs w:val="0"/>
          <w:szCs w:val="24"/>
        </w:rPr>
        <w:t>.</w:t>
      </w:r>
      <w:r w:rsidRPr="00D7028B">
        <w:rPr>
          <w:rFonts w:cs="Times New Roman"/>
          <w:bCs w:val="0"/>
          <w:szCs w:val="24"/>
        </w:rPr>
        <w:t xml:space="preserve">    </w:t>
      </w:r>
      <w:r w:rsidR="00D9542D">
        <w:rPr>
          <w:rFonts w:cs="Times New Roman"/>
          <w:bCs w:val="0"/>
          <w:szCs w:val="24"/>
        </w:rPr>
        <w:tab/>
      </w:r>
      <w:r w:rsidRPr="00D7028B">
        <w:rPr>
          <w:rFonts w:cs="Times New Roman"/>
          <w:bCs w:val="0"/>
          <w:szCs w:val="24"/>
        </w:rPr>
        <w:t>DEF</w:t>
      </w:r>
      <w:r w:rsidR="00D7028B" w:rsidRPr="00D7028B">
        <w:rPr>
          <w:rFonts w:cs="Times New Roman"/>
          <w:bCs w:val="0"/>
          <w:szCs w:val="24"/>
        </w:rPr>
        <w:t>’</w:t>
      </w:r>
      <w:r w:rsidR="00D7028B">
        <w:rPr>
          <w:rFonts w:cs="Times New Roman"/>
          <w:bCs w:val="0"/>
          <w:szCs w:val="24"/>
        </w:rPr>
        <w:t>s</w:t>
      </w:r>
      <w:r w:rsidRPr="00D7028B">
        <w:rPr>
          <w:rFonts w:cs="Times New Roman"/>
          <w:bCs w:val="0"/>
          <w:szCs w:val="24"/>
        </w:rPr>
        <w:t xml:space="preserve"> </w:t>
      </w:r>
      <w:r w:rsidR="00E935E7">
        <w:rPr>
          <w:rFonts w:cs="Times New Roman"/>
          <w:bCs w:val="0"/>
          <w:szCs w:val="24"/>
        </w:rPr>
        <w:t xml:space="preserve">Proposed </w:t>
      </w:r>
      <w:r w:rsidRPr="00D7028B">
        <w:rPr>
          <w:rFonts w:cs="Times New Roman"/>
          <w:bCs w:val="0"/>
          <w:szCs w:val="24"/>
        </w:rPr>
        <w:t>Coal C</w:t>
      </w:r>
      <w:r w:rsidR="00E935E7">
        <w:rPr>
          <w:rFonts w:cs="Times New Roman"/>
          <w:bCs w:val="0"/>
          <w:szCs w:val="24"/>
        </w:rPr>
        <w:t>ombustion Residual Rule Program</w:t>
      </w:r>
    </w:p>
    <w:p w:rsidR="0052410E" w:rsidRPr="003A0B6E" w:rsidRDefault="0052410E" w:rsidP="00D7028B">
      <w:pPr>
        <w:pStyle w:val="OrderBody"/>
        <w:spacing w:before="240" w:after="240"/>
        <w:rPr>
          <w:bCs/>
        </w:rPr>
      </w:pPr>
      <w:r w:rsidRPr="00D7028B">
        <w:rPr>
          <w:b/>
          <w:bCs/>
        </w:rPr>
        <w:tab/>
      </w:r>
      <w:r w:rsidRPr="00D7028B">
        <w:rPr>
          <w:bCs/>
        </w:rPr>
        <w:t>Pursu</w:t>
      </w:r>
      <w:r w:rsidRPr="003A0B6E">
        <w:rPr>
          <w:bCs/>
        </w:rPr>
        <w:t xml:space="preserve">ant to Section 366.8255(2), F.S., electric utilities may petition the Commission to recover projected environmental compliance costs that are required by environmental laws or regulations. The Commission has interpreted the statute to prescribe two criteria, relevant to this </w:t>
      </w:r>
      <w:r w:rsidRPr="003A0B6E">
        <w:rPr>
          <w:bCs/>
        </w:rPr>
        <w:lastRenderedPageBreak/>
        <w:t>docket, for recovery of environmental compliance costs through the clause. Pursuant to Order No. PSC-94-0044-FOF-EI, these criteria are:</w:t>
      </w:r>
    </w:p>
    <w:p w:rsidR="0052410E" w:rsidRPr="003A0B6E" w:rsidRDefault="0052410E" w:rsidP="00D7028B">
      <w:pPr>
        <w:pStyle w:val="BodyText"/>
        <w:ind w:left="720"/>
        <w:rPr>
          <w:bCs/>
        </w:rPr>
      </w:pPr>
      <w:r w:rsidRPr="003A0B6E">
        <w:rPr>
          <w:bCs/>
        </w:rPr>
        <w:t>(1)  The activities are legally required to comply with a governmentally imposed environmental regulation that was created, became effective, or whose effect was triggered after the company’s last test year upon which rates are based.</w:t>
      </w:r>
    </w:p>
    <w:p w:rsidR="0052410E" w:rsidRPr="003A0B6E" w:rsidRDefault="0052410E" w:rsidP="00D7028B">
      <w:pPr>
        <w:pStyle w:val="BodyText"/>
        <w:ind w:left="720"/>
        <w:rPr>
          <w:bCs/>
        </w:rPr>
      </w:pPr>
      <w:r w:rsidRPr="003A0B6E">
        <w:rPr>
          <w:bCs/>
        </w:rPr>
        <w:t>(2)  None of the expenditures are being recovered through some other cost recovery mechanism or through base rates.</w:t>
      </w:r>
    </w:p>
    <w:p w:rsidR="0052410E" w:rsidRPr="003A0B6E" w:rsidRDefault="00D7028B" w:rsidP="00D7028B">
      <w:pPr>
        <w:pStyle w:val="OrderBody"/>
        <w:spacing w:before="240" w:after="240"/>
        <w:rPr>
          <w:bCs/>
        </w:rPr>
      </w:pPr>
      <w:r>
        <w:rPr>
          <w:bCs/>
        </w:rPr>
        <w:tab/>
      </w:r>
      <w:r w:rsidR="0052410E" w:rsidRPr="003A0B6E">
        <w:rPr>
          <w:bCs/>
        </w:rPr>
        <w:t>On April 17, 2015, The United States Environmental Protection Agency published in the Federal Register a final rule to regulate the disposal of coal combustion residuals (CCR). The rule is self-implementing with an effective date of October 19, 2015. The CCR rule establishes minimum criteria for the safe disposal of CCR in landfills and surface impoundments. The CCR rule will apply to DEF’s Crystal River site.</w:t>
      </w:r>
    </w:p>
    <w:p w:rsidR="0052410E" w:rsidRPr="003A0B6E" w:rsidRDefault="00D7028B" w:rsidP="00D7028B">
      <w:pPr>
        <w:pStyle w:val="OrderBody"/>
        <w:spacing w:before="240" w:after="240"/>
        <w:rPr>
          <w:bCs/>
        </w:rPr>
      </w:pPr>
      <w:r>
        <w:rPr>
          <w:bCs/>
        </w:rPr>
        <w:tab/>
      </w:r>
      <w:r w:rsidR="0052410E" w:rsidRPr="003A0B6E">
        <w:rPr>
          <w:bCs/>
        </w:rPr>
        <w:t>DEF’s 2016 ECRC factors reflect approximately $1.9 million in costs associated with CCR related activities. There is no indication that any costs associated with CCR rule compliance are currently being recovered through base rates or any other cost recovery mechanism. Therefore, DEF’s proposed project satisfies the criteria established in Order No. PSC-94-0044-FOF-EI, and the Company shall be allowed to recover prudently incurred costs associated with the project through the ECRC. The reasonableness and prudence of individual expenditures related to the CCR project will continue to be subject to the Commission's review in future ECRC proceedings.  </w:t>
      </w:r>
    </w:p>
    <w:p w:rsidR="0052410E" w:rsidRPr="003A0B6E" w:rsidRDefault="0052410E" w:rsidP="0052410E">
      <w:pPr>
        <w:pStyle w:val="IssueHeading"/>
        <w:ind w:left="1440" w:hanging="1440"/>
        <w:rPr>
          <w:rFonts w:cs="Times New Roman"/>
          <w:szCs w:val="24"/>
        </w:rPr>
      </w:pPr>
      <w:r w:rsidRPr="00D7028B">
        <w:rPr>
          <w:rFonts w:cs="Times New Roman"/>
          <w:bCs w:val="0"/>
          <w:szCs w:val="24"/>
        </w:rPr>
        <w:t>10B</w:t>
      </w:r>
      <w:r w:rsidR="00D7028B" w:rsidRPr="00D7028B">
        <w:rPr>
          <w:rFonts w:cs="Times New Roman"/>
          <w:bCs w:val="0"/>
          <w:szCs w:val="24"/>
        </w:rPr>
        <w:t>.</w:t>
      </w:r>
      <w:r w:rsidR="00D9542D">
        <w:rPr>
          <w:rFonts w:cs="Times New Roman"/>
          <w:bCs w:val="0"/>
          <w:szCs w:val="24"/>
        </w:rPr>
        <w:t xml:space="preserve"> </w:t>
      </w:r>
      <w:r w:rsidR="00D9542D">
        <w:rPr>
          <w:rFonts w:cs="Times New Roman"/>
          <w:bCs w:val="0"/>
          <w:szCs w:val="24"/>
        </w:rPr>
        <w:tab/>
      </w:r>
      <w:r w:rsidR="00D7028B">
        <w:rPr>
          <w:rFonts w:cs="Times New Roman"/>
          <w:szCs w:val="24"/>
        </w:rPr>
        <w:t xml:space="preserve">Allocation of Costs Associated with </w:t>
      </w:r>
      <w:r w:rsidR="00D7028B">
        <w:rPr>
          <w:rFonts w:eastAsia="Calibri" w:cs="Times New Roman"/>
          <w:bCs w:val="0"/>
          <w:szCs w:val="24"/>
        </w:rPr>
        <w:t>DEF’s</w:t>
      </w:r>
      <w:r w:rsidRPr="003A0B6E">
        <w:rPr>
          <w:rFonts w:eastAsia="Calibri" w:cs="Times New Roman"/>
          <w:bCs w:val="0"/>
          <w:szCs w:val="24"/>
        </w:rPr>
        <w:t xml:space="preserve"> </w:t>
      </w:r>
      <w:r w:rsidR="00D7028B">
        <w:rPr>
          <w:rFonts w:eastAsia="Calibri" w:cs="Times New Roman"/>
          <w:bCs w:val="0"/>
          <w:szCs w:val="24"/>
        </w:rPr>
        <w:t>P</w:t>
      </w:r>
      <w:r w:rsidRPr="003A0B6E">
        <w:rPr>
          <w:rFonts w:eastAsia="Calibri" w:cs="Times New Roman"/>
          <w:bCs w:val="0"/>
          <w:szCs w:val="24"/>
        </w:rPr>
        <w:t xml:space="preserve">roposed CCR Rule Program </w:t>
      </w:r>
    </w:p>
    <w:p w:rsidR="0052410E" w:rsidRPr="003A0B6E" w:rsidRDefault="0052410E" w:rsidP="0052410E">
      <w:pPr>
        <w:jc w:val="both"/>
      </w:pPr>
    </w:p>
    <w:p w:rsidR="0052410E" w:rsidRDefault="0052410E" w:rsidP="00D7028B">
      <w:pPr>
        <w:jc w:val="both"/>
      </w:pPr>
      <w:r w:rsidRPr="003A0B6E">
        <w:tab/>
      </w:r>
      <w:r w:rsidRPr="00BA6DAA">
        <w:t xml:space="preserve">Capital costs associated with the CCR Rule Program should be allocated to rate classes on a demand basis (12 CP and 1/13th AD) and O&amp;M costs associated with the CCR Rule Program should be allocated to rate classes on an energy basis.  This allocation represents a minimal change to DEF’s projection filings, and therefore DEF should not be required to amend its filings but should account for the minimal difference in the 2016 true-up filings and continue with this allocation going forward. </w:t>
      </w:r>
    </w:p>
    <w:p w:rsidR="00D7028B" w:rsidRPr="00BA6DAA" w:rsidRDefault="00D7028B" w:rsidP="00D7028B">
      <w:pPr>
        <w:jc w:val="both"/>
        <w:rPr>
          <w:b/>
          <w:bCs/>
          <w:u w:val="single"/>
        </w:rPr>
      </w:pPr>
    </w:p>
    <w:p w:rsidR="0052410E" w:rsidRPr="003A0B6E" w:rsidRDefault="0052410E" w:rsidP="0052410E">
      <w:pPr>
        <w:pStyle w:val="PositionHeading"/>
        <w:ind w:left="1440" w:hanging="1440"/>
        <w:rPr>
          <w:rFonts w:cs="Times New Roman"/>
          <w:bCs w:val="0"/>
          <w:szCs w:val="24"/>
        </w:rPr>
      </w:pPr>
      <w:r w:rsidRPr="00D7028B">
        <w:rPr>
          <w:rFonts w:cs="Times New Roman"/>
          <w:bCs w:val="0"/>
          <w:szCs w:val="24"/>
        </w:rPr>
        <w:t>11A</w:t>
      </w:r>
      <w:r w:rsidR="00D7028B" w:rsidRPr="00D7028B">
        <w:rPr>
          <w:rFonts w:cs="Times New Roman"/>
          <w:bCs w:val="0"/>
          <w:szCs w:val="24"/>
        </w:rPr>
        <w:t>.</w:t>
      </w:r>
      <w:r w:rsidRPr="003A0B6E">
        <w:rPr>
          <w:rFonts w:cs="Times New Roman"/>
          <w:bCs w:val="0"/>
          <w:szCs w:val="24"/>
        </w:rPr>
        <w:t xml:space="preserve">   </w:t>
      </w:r>
      <w:r w:rsidR="00D9542D">
        <w:rPr>
          <w:rFonts w:cs="Times New Roman"/>
          <w:bCs w:val="0"/>
          <w:szCs w:val="24"/>
        </w:rPr>
        <w:tab/>
      </w:r>
      <w:r w:rsidR="00D7028B">
        <w:rPr>
          <w:rFonts w:cs="Times New Roman"/>
          <w:bCs w:val="0"/>
          <w:szCs w:val="24"/>
        </w:rPr>
        <w:t xml:space="preserve">Gulf’s </w:t>
      </w:r>
      <w:r w:rsidR="00E935E7">
        <w:rPr>
          <w:rFonts w:cs="Times New Roman"/>
          <w:bCs w:val="0"/>
          <w:szCs w:val="24"/>
        </w:rPr>
        <w:t xml:space="preserve">Proposed </w:t>
      </w:r>
      <w:r w:rsidRPr="003A0B6E">
        <w:rPr>
          <w:rFonts w:cs="Times New Roman"/>
          <w:bCs w:val="0"/>
          <w:szCs w:val="24"/>
        </w:rPr>
        <w:t>Coal Co</w:t>
      </w:r>
      <w:r w:rsidR="00D7028B">
        <w:rPr>
          <w:rFonts w:cs="Times New Roman"/>
          <w:bCs w:val="0"/>
          <w:szCs w:val="24"/>
        </w:rPr>
        <w:t>mbustion Residual Program</w:t>
      </w:r>
    </w:p>
    <w:p w:rsidR="0052410E" w:rsidRPr="00E403D1" w:rsidRDefault="0052410E" w:rsidP="00D7028B">
      <w:pPr>
        <w:pStyle w:val="OrderBody"/>
        <w:spacing w:before="240" w:after="240"/>
        <w:rPr>
          <w:bCs/>
        </w:rPr>
      </w:pPr>
      <w:r w:rsidRPr="003A0B6E">
        <w:rPr>
          <w:bCs/>
        </w:rPr>
        <w:tab/>
      </w:r>
      <w:r w:rsidRPr="00E403D1">
        <w:rPr>
          <w:bCs/>
        </w:rPr>
        <w:t>Pursuant to Section 366.8255(2), F.S., electric utilities may petition the Commission to recover projected environmental compliance costs that are required by environmental laws or regulations. The Commission has interpreted the statute to prescribe two criteria, relevant to this docket, for recovery of environmental compliance costs through the clause. Pursuant to Order No. PSC-94-0044-FOF-EI, these criteria are:</w:t>
      </w:r>
    </w:p>
    <w:p w:rsidR="0052410E" w:rsidRPr="00E403D1" w:rsidRDefault="0052410E" w:rsidP="00D7028B">
      <w:pPr>
        <w:pStyle w:val="OrderBody"/>
        <w:spacing w:before="240" w:after="240"/>
        <w:ind w:left="720"/>
        <w:rPr>
          <w:bCs/>
        </w:rPr>
      </w:pPr>
      <w:r w:rsidRPr="00E403D1">
        <w:rPr>
          <w:bCs/>
        </w:rPr>
        <w:t>(1)  The activities are legally required to comply with a governmentally imposed environmental regulation that was created, became effective, or whose effect was triggered after the company’s last test year upon which rates are based.</w:t>
      </w:r>
    </w:p>
    <w:p w:rsidR="0052410E" w:rsidRPr="00E403D1" w:rsidRDefault="0052410E" w:rsidP="00D7028B">
      <w:pPr>
        <w:pStyle w:val="OrderBody"/>
        <w:spacing w:before="240" w:after="240"/>
        <w:ind w:left="720"/>
        <w:rPr>
          <w:bCs/>
        </w:rPr>
      </w:pPr>
      <w:r w:rsidRPr="00E403D1">
        <w:rPr>
          <w:bCs/>
        </w:rPr>
        <w:lastRenderedPageBreak/>
        <w:t>(2)  None of the expenditures are being recovered through some other cost recovery mechanism or through base rates.</w:t>
      </w:r>
    </w:p>
    <w:p w:rsidR="0052410E" w:rsidRPr="00E403D1" w:rsidRDefault="00D7028B" w:rsidP="00D7028B">
      <w:pPr>
        <w:pStyle w:val="OrderBody"/>
        <w:spacing w:before="240" w:after="240"/>
        <w:rPr>
          <w:bCs/>
        </w:rPr>
      </w:pPr>
      <w:r>
        <w:rPr>
          <w:bCs/>
        </w:rPr>
        <w:tab/>
      </w:r>
      <w:r w:rsidR="0052410E" w:rsidRPr="00E403D1">
        <w:rPr>
          <w:bCs/>
        </w:rPr>
        <w:t xml:space="preserve">On April 17, 2015, The United States Environmental Protection Agency published in the Federal Register a final rule to regulate the disposal of CCR.  The rule is self-implementing with an effective date of October 19, 2015. The CCR rule establishes minimum criteria for the safe disposal of CCR in landfills and surface impoundments. </w:t>
      </w:r>
    </w:p>
    <w:p w:rsidR="0052410E" w:rsidRPr="00E403D1" w:rsidRDefault="00D7028B" w:rsidP="00D7028B">
      <w:pPr>
        <w:pStyle w:val="OrderBody"/>
        <w:spacing w:before="240" w:after="240"/>
        <w:rPr>
          <w:bCs/>
        </w:rPr>
      </w:pPr>
      <w:r>
        <w:rPr>
          <w:bCs/>
        </w:rPr>
        <w:tab/>
      </w:r>
      <w:r w:rsidR="0052410E" w:rsidRPr="00E403D1">
        <w:rPr>
          <w:bCs/>
        </w:rPr>
        <w:t>There is no indication that any costs associated with CCR rule compliance are currently being recovered through base rates or any other cost recovery mechanism. Therefore, Gulf’s proposed project satisfies the criteria established in Order No. PSC-94-0044-FOF-EI, and the Company shall be allowed to recover</w:t>
      </w:r>
      <w:r>
        <w:rPr>
          <w:rStyle w:val="FootnoteReference"/>
          <w:bCs/>
        </w:rPr>
        <w:footnoteReference w:id="1"/>
      </w:r>
      <w:r w:rsidR="0052410E" w:rsidRPr="00E403D1">
        <w:rPr>
          <w:bCs/>
        </w:rPr>
        <w:t xml:space="preserve"> prudently incurred costs associated with the project through the ECRC. The reasonableness and prudence of individual expenditures related to the CCR project will continue to be subject to the Commission's review in future ECRC proceedings.</w:t>
      </w:r>
    </w:p>
    <w:p w:rsidR="0052410E" w:rsidRPr="00E403D1" w:rsidRDefault="00D9542D" w:rsidP="0052410E">
      <w:pPr>
        <w:pStyle w:val="OrderBody"/>
        <w:spacing w:before="240" w:after="240"/>
        <w:ind w:left="1440"/>
        <w:rPr>
          <w:b/>
          <w:bCs/>
          <w:u w:val="single"/>
        </w:rPr>
      </w:pPr>
      <w:r>
        <w:rPr>
          <w:b/>
          <w:bCs/>
          <w:u w:val="single"/>
        </w:rPr>
        <w:t>Carve out and D</w:t>
      </w:r>
      <w:r w:rsidR="0052410E" w:rsidRPr="00E403D1">
        <w:rPr>
          <w:b/>
          <w:bCs/>
          <w:u w:val="single"/>
        </w:rPr>
        <w:t xml:space="preserve">eferral of Plant Scholz CCR closure cost </w:t>
      </w:r>
    </w:p>
    <w:p w:rsidR="0052410E" w:rsidRPr="002D19A8" w:rsidRDefault="0052410E" w:rsidP="00D9542D">
      <w:pPr>
        <w:jc w:val="both"/>
        <w:rPr>
          <w:bCs/>
        </w:rPr>
      </w:pPr>
      <w:r w:rsidRPr="00E403D1">
        <w:rPr>
          <w:bCs/>
        </w:rPr>
        <w:t xml:space="preserve"> </w:t>
      </w:r>
      <w:r w:rsidR="00D9542D">
        <w:rPr>
          <w:bCs/>
        </w:rPr>
        <w:tab/>
      </w:r>
      <w:r w:rsidRPr="00E403D1">
        <w:rPr>
          <w:bCs/>
        </w:rPr>
        <w:t xml:space="preserve">All aspects of Issue 11A are approved with the exception of the Scholz CCR closure costs which are deferred to a future proceeding either in the ongoing ECRC docket or in a separate limited scope proceeding.  In the event the issue being deferred is addressed in a separate docket, the hearing shall not occur until after Gulf submits an actual closure plan to the FDEP for its review and approval under the applicable NPDES permit. Whether or not the hearing on the deferred issue occurs in the ongoing ECRC docket or in a separate docket, OPC will be allowed to litigate its concerns in such hearing over (1) eligibility of the Scholz CCR closure costs for ECRC recovery, (2) prudence of such costs, and/or (3) assurances that there is no duplication of cost recovery already provided for in mechanisms other than ECRC. In order to preserve the relative positions of the parties pending such future proceeding, and to minimize the total costs ultimately recovered from Gulf’s customers in the event that Gulf ultimately prevails on the deferred issue regarding ECRC recovery,  the projections of costs for Scholz CCR closure included in Gulf’s proposed cost recovery rates for 2016 shall remain in the total amount on which the proposed 2016 cost recovery rates are based pending the ultimate resolution of the issue hereby deferred.  Such amounts collected through the 2016 cost recovery rates will be subject to refund and trued up with interest upon final resolution of the deferred issue. If necessary, such true up will occur through the true up processes provided in the ECRC mechanism. The testimony and exhibits of Gulf witnesses Vick and Boyett shall be inserted into the record without objection as a basis for recovery pending ultimate resolution of the issue hereby deferred. Although the testimony and exhibits of Gulf witness Vick are included in the record, there shall be no presumption of correctness applied to evidence </w:t>
      </w:r>
      <w:r>
        <w:t>regarding Scholz CCR closure costs when the carved out and deferred issue is addressed in a future proceeding by virtue of this stipulation.</w:t>
      </w:r>
    </w:p>
    <w:p w:rsidR="0052410E" w:rsidRPr="003A0B6E" w:rsidRDefault="0052410E" w:rsidP="0052410E">
      <w:pPr>
        <w:rPr>
          <w:b/>
          <w:bCs/>
          <w:u w:val="single"/>
        </w:rPr>
      </w:pPr>
    </w:p>
    <w:p w:rsidR="00D9542D" w:rsidRDefault="00D9542D">
      <w:pPr>
        <w:rPr>
          <w:b/>
          <w:bCs/>
        </w:rPr>
      </w:pPr>
      <w:r>
        <w:rPr>
          <w:b/>
          <w:bCs/>
        </w:rPr>
        <w:br w:type="page"/>
      </w:r>
    </w:p>
    <w:p w:rsidR="0052410E" w:rsidRPr="003A0B6E" w:rsidRDefault="0052410E" w:rsidP="0052410E">
      <w:pPr>
        <w:ind w:left="1440" w:hanging="1440"/>
        <w:jc w:val="both"/>
      </w:pPr>
      <w:r w:rsidRPr="00D9542D">
        <w:rPr>
          <w:b/>
          <w:bCs/>
        </w:rPr>
        <w:lastRenderedPageBreak/>
        <w:t>11B</w:t>
      </w:r>
      <w:r w:rsidR="00D9542D">
        <w:rPr>
          <w:b/>
          <w:bCs/>
        </w:rPr>
        <w:t>.</w:t>
      </w:r>
      <w:r w:rsidRPr="003A0B6E">
        <w:tab/>
      </w:r>
      <w:r w:rsidR="00D9542D" w:rsidRPr="00D9542D">
        <w:rPr>
          <w:b/>
        </w:rPr>
        <w:t xml:space="preserve">Allocation of Costs Associated with </w:t>
      </w:r>
      <w:r w:rsidRPr="00D9542D">
        <w:rPr>
          <w:rFonts w:eastAsia="Calibri"/>
          <w:b/>
        </w:rPr>
        <w:t>G</w:t>
      </w:r>
      <w:r w:rsidRPr="003A0B6E">
        <w:rPr>
          <w:rFonts w:eastAsia="Calibri"/>
          <w:b/>
        </w:rPr>
        <w:t xml:space="preserve">ulf’s </w:t>
      </w:r>
      <w:r w:rsidR="00D9542D">
        <w:rPr>
          <w:rFonts w:eastAsia="Calibri"/>
          <w:b/>
        </w:rPr>
        <w:t>P</w:t>
      </w:r>
      <w:r w:rsidRPr="003A0B6E">
        <w:rPr>
          <w:rFonts w:eastAsia="Calibri"/>
          <w:b/>
        </w:rPr>
        <w:t>ropo</w:t>
      </w:r>
      <w:r w:rsidR="00D9542D">
        <w:rPr>
          <w:rFonts w:eastAsia="Calibri"/>
          <w:b/>
        </w:rPr>
        <w:t>sed CCR P</w:t>
      </w:r>
      <w:r w:rsidRPr="003A0B6E">
        <w:rPr>
          <w:rFonts w:eastAsia="Calibri"/>
          <w:b/>
        </w:rPr>
        <w:t xml:space="preserve">rogram </w:t>
      </w:r>
    </w:p>
    <w:p w:rsidR="0052410E" w:rsidRPr="003A0B6E" w:rsidRDefault="0052410E" w:rsidP="0052410E">
      <w:pPr>
        <w:jc w:val="both"/>
      </w:pPr>
    </w:p>
    <w:p w:rsidR="0052410E" w:rsidRPr="003A0B6E" w:rsidRDefault="0052410E" w:rsidP="00581754">
      <w:pPr>
        <w:ind w:firstLine="720"/>
        <w:jc w:val="both"/>
        <w:rPr>
          <w:bCs/>
        </w:rPr>
      </w:pPr>
      <w:r w:rsidRPr="003A0B6E">
        <w:rPr>
          <w:bCs/>
        </w:rPr>
        <w:t>Capital costs for the CCR program shall be allocated to the rate classes on an average 12-MCP demand and 1/13</w:t>
      </w:r>
      <w:r w:rsidRPr="003A0B6E">
        <w:rPr>
          <w:bCs/>
          <w:vertAlign w:val="superscript"/>
        </w:rPr>
        <w:t>th</w:t>
      </w:r>
      <w:r w:rsidRPr="003A0B6E">
        <w:rPr>
          <w:bCs/>
        </w:rPr>
        <w:t xml:space="preserve"> energy basis. O&amp;M cost for the program shall be allocated to the rate classes on a demand basis. </w:t>
      </w:r>
    </w:p>
    <w:p w:rsidR="0052410E" w:rsidRPr="003A0B6E" w:rsidRDefault="0052410E" w:rsidP="0052410E">
      <w:pPr>
        <w:ind w:left="1440" w:hanging="1440"/>
        <w:jc w:val="both"/>
        <w:rPr>
          <w:bCs/>
        </w:rPr>
      </w:pPr>
    </w:p>
    <w:p w:rsidR="0052410E" w:rsidRPr="003A0B6E" w:rsidRDefault="00D9542D" w:rsidP="0052410E">
      <w:pPr>
        <w:pStyle w:val="OrderBody"/>
        <w:ind w:left="1440" w:hanging="1530"/>
        <w:jc w:val="left"/>
        <w:rPr>
          <w:b/>
        </w:rPr>
      </w:pPr>
      <w:r w:rsidRPr="00D9542D">
        <w:rPr>
          <w:b/>
        </w:rPr>
        <w:t>1</w:t>
      </w:r>
      <w:r w:rsidR="0052410E" w:rsidRPr="00D9542D">
        <w:rPr>
          <w:b/>
        </w:rPr>
        <w:t>2A</w:t>
      </w:r>
      <w:r w:rsidRPr="00D9542D">
        <w:rPr>
          <w:b/>
        </w:rPr>
        <w:t>.</w:t>
      </w:r>
      <w:r w:rsidR="0052410E" w:rsidRPr="00D9542D">
        <w:rPr>
          <w:b/>
        </w:rPr>
        <w:t> </w:t>
      </w:r>
      <w:r w:rsidR="0052410E" w:rsidRPr="003A0B6E">
        <w:rPr>
          <w:b/>
        </w:rPr>
        <w:t>   </w:t>
      </w:r>
      <w:r w:rsidR="0052410E" w:rsidRPr="003A0B6E">
        <w:rPr>
          <w:b/>
        </w:rPr>
        <w:tab/>
      </w:r>
      <w:r>
        <w:rPr>
          <w:b/>
        </w:rPr>
        <w:t xml:space="preserve">Gulf’s </w:t>
      </w:r>
      <w:r w:rsidR="0052410E" w:rsidRPr="003A0B6E">
        <w:rPr>
          <w:b/>
        </w:rPr>
        <w:t xml:space="preserve">Steam Electric Power </w:t>
      </w:r>
      <w:r w:rsidR="0052410E" w:rsidRPr="00E935E7">
        <w:rPr>
          <w:b/>
        </w:rPr>
        <w:t>Effluent Limitations Guidelines</w:t>
      </w:r>
      <w:r w:rsidR="00E935E7">
        <w:rPr>
          <w:b/>
        </w:rPr>
        <w:t xml:space="preserve"> (ELG)</w:t>
      </w:r>
      <w:r w:rsidR="0052410E" w:rsidRPr="003A0B6E">
        <w:rPr>
          <w:b/>
        </w:rPr>
        <w:t xml:space="preserve"> </w:t>
      </w:r>
      <w:r>
        <w:rPr>
          <w:b/>
        </w:rPr>
        <w:t>P</w:t>
      </w:r>
      <w:r w:rsidR="0052410E" w:rsidRPr="003A0B6E">
        <w:rPr>
          <w:b/>
        </w:rPr>
        <w:t>rogram</w:t>
      </w:r>
    </w:p>
    <w:p w:rsidR="0052410E" w:rsidRPr="003A0B6E" w:rsidRDefault="0052410E" w:rsidP="0052410E">
      <w:pPr>
        <w:pStyle w:val="OrderBody"/>
        <w:ind w:left="1710" w:hanging="1710"/>
        <w:jc w:val="left"/>
      </w:pPr>
    </w:p>
    <w:p w:rsidR="0052410E" w:rsidRPr="003A0B6E" w:rsidRDefault="0052410E" w:rsidP="00D9542D">
      <w:pPr>
        <w:jc w:val="both"/>
        <w:rPr>
          <w:bCs/>
        </w:rPr>
      </w:pPr>
      <w:r w:rsidRPr="003A0B6E">
        <w:rPr>
          <w:b/>
          <w:bCs/>
        </w:rPr>
        <w:tab/>
      </w:r>
      <w:r w:rsidRPr="003A0B6E">
        <w:rPr>
          <w:bCs/>
        </w:rPr>
        <w:t xml:space="preserve">Gulf’s proposed Effluent Limitations Guidelines program meets the criteria for ECRC cost recovery established by Order No. PSC-94-0044-FOF-EI, therefore Gulf shall be allowed to recover prudently incurred costs associated with the project through the ECRC. Title 40 Code of Federal Regulations Part 423, which was promulgated under the authority of the Clean Water Act, limits the discharge of pollutants into navigable waters and into publicly owned treatment works by existing and new sources of steam electric power plants. These limits are found in the Steam Electric Power Effluent Limitations Guidelines, which were signed by the EPA Administrator on September 30, 2015. The EPA issued a copy of the ELG rule on September 30, 2015, and has submitted the rule for publication in the Federal Register. These new rules require the installation of additional controls such as wastewater treatment systems and/or dry ash handling systems at Gulf’s generating facilities. In 2016, Gulf expects to spend approximately $175,000 for the preliminary engineering studies to evaluate ways to minimize discharges from wastewater units that are subject to the ELG rule. </w:t>
      </w:r>
    </w:p>
    <w:p w:rsidR="0052410E" w:rsidRPr="003A0B6E" w:rsidRDefault="0052410E" w:rsidP="0052410E">
      <w:pPr>
        <w:ind w:left="1440" w:hanging="1440"/>
        <w:jc w:val="both"/>
        <w:rPr>
          <w:bCs/>
        </w:rPr>
      </w:pPr>
    </w:p>
    <w:p w:rsidR="0052410E" w:rsidRPr="003A0B6E" w:rsidRDefault="00D9542D" w:rsidP="0052410E">
      <w:pPr>
        <w:pStyle w:val="IssueHeading"/>
        <w:ind w:left="1440" w:hanging="1440"/>
        <w:rPr>
          <w:rFonts w:cs="Times New Roman"/>
          <w:szCs w:val="24"/>
        </w:rPr>
      </w:pPr>
      <w:r w:rsidRPr="00D9542D">
        <w:rPr>
          <w:rFonts w:cs="Times New Roman"/>
          <w:bCs w:val="0"/>
          <w:szCs w:val="24"/>
        </w:rPr>
        <w:t>12B.</w:t>
      </w:r>
      <w:r w:rsidR="0052410E" w:rsidRPr="003A0B6E">
        <w:rPr>
          <w:rFonts w:cs="Times New Roman"/>
          <w:szCs w:val="24"/>
        </w:rPr>
        <w:tab/>
      </w:r>
      <w:r>
        <w:rPr>
          <w:rFonts w:cs="Times New Roman"/>
          <w:szCs w:val="24"/>
        </w:rPr>
        <w:t>Allocation of Costs Associated with G</w:t>
      </w:r>
      <w:r w:rsidR="0052410E" w:rsidRPr="003A0B6E">
        <w:rPr>
          <w:rFonts w:eastAsia="Calibri" w:cs="Times New Roman"/>
          <w:bCs w:val="0"/>
          <w:szCs w:val="24"/>
        </w:rPr>
        <w:t xml:space="preserve">ulf’s </w:t>
      </w:r>
      <w:r>
        <w:rPr>
          <w:rFonts w:eastAsia="Calibri" w:cs="Times New Roman"/>
          <w:bCs w:val="0"/>
          <w:szCs w:val="24"/>
        </w:rPr>
        <w:t>P</w:t>
      </w:r>
      <w:r w:rsidR="0052410E" w:rsidRPr="003A0B6E">
        <w:rPr>
          <w:rFonts w:eastAsia="Calibri" w:cs="Times New Roman"/>
          <w:bCs w:val="0"/>
          <w:szCs w:val="24"/>
        </w:rPr>
        <w:t xml:space="preserve">roposed ELG </w:t>
      </w:r>
      <w:r>
        <w:rPr>
          <w:rFonts w:eastAsia="Calibri" w:cs="Times New Roman"/>
          <w:bCs w:val="0"/>
          <w:szCs w:val="24"/>
        </w:rPr>
        <w:t>P</w:t>
      </w:r>
      <w:r w:rsidR="0052410E" w:rsidRPr="003A0B6E">
        <w:rPr>
          <w:rFonts w:eastAsia="Calibri" w:cs="Times New Roman"/>
          <w:bCs w:val="0"/>
          <w:szCs w:val="24"/>
        </w:rPr>
        <w:t>rogram</w:t>
      </w:r>
    </w:p>
    <w:p w:rsidR="0052410E" w:rsidRPr="003A0B6E" w:rsidRDefault="0052410E" w:rsidP="0052410E">
      <w:pPr>
        <w:jc w:val="both"/>
      </w:pPr>
    </w:p>
    <w:p w:rsidR="0052410E" w:rsidRPr="003A0B6E" w:rsidRDefault="0052410E" w:rsidP="00D9542D">
      <w:pPr>
        <w:jc w:val="both"/>
      </w:pPr>
      <w:r w:rsidRPr="003A0B6E">
        <w:rPr>
          <w:bCs/>
        </w:rPr>
        <w:tab/>
        <w:t>Capital cost for the ELG program shall be allocated to the rate classes on an average 12-MCP demand and 1/13</w:t>
      </w:r>
      <w:r w:rsidRPr="003A0B6E">
        <w:rPr>
          <w:bCs/>
          <w:vertAlign w:val="superscript"/>
        </w:rPr>
        <w:t>th</w:t>
      </w:r>
      <w:r w:rsidRPr="003A0B6E">
        <w:rPr>
          <w:bCs/>
        </w:rPr>
        <w:t xml:space="preserve"> energy basis. O&amp;M cost for the program shall be allocated to the rate classes on demand basis.</w:t>
      </w:r>
    </w:p>
    <w:p w:rsidR="0052410E" w:rsidRPr="003A0B6E" w:rsidRDefault="0052410E" w:rsidP="0052410E">
      <w:pPr>
        <w:ind w:left="1440" w:hanging="1440"/>
        <w:jc w:val="both"/>
      </w:pPr>
    </w:p>
    <w:p w:rsidR="0052410E" w:rsidRPr="003A0B6E" w:rsidRDefault="0052410E" w:rsidP="0052410E">
      <w:pPr>
        <w:ind w:left="1440" w:hanging="1440"/>
        <w:jc w:val="both"/>
      </w:pPr>
      <w:r w:rsidRPr="00D9542D">
        <w:rPr>
          <w:b/>
        </w:rPr>
        <w:t>13</w:t>
      </w:r>
      <w:r w:rsidR="00D9542D">
        <w:rPr>
          <w:b/>
        </w:rPr>
        <w:t>.</w:t>
      </w:r>
      <w:r w:rsidRPr="003A0B6E">
        <w:rPr>
          <w:b/>
        </w:rPr>
        <w:tab/>
      </w:r>
      <w:r w:rsidR="00D9542D">
        <w:rPr>
          <w:b/>
        </w:rPr>
        <w:t>Approval of R</w:t>
      </w:r>
      <w:r w:rsidRPr="003A0B6E">
        <w:rPr>
          <w:b/>
        </w:rPr>
        <w:t xml:space="preserve">evised </w:t>
      </w:r>
      <w:r w:rsidR="00D9542D">
        <w:rPr>
          <w:b/>
        </w:rPr>
        <w:t>T</w:t>
      </w:r>
      <w:r w:rsidRPr="003A0B6E">
        <w:rPr>
          <w:b/>
        </w:rPr>
        <w:t xml:space="preserve">ariffs </w:t>
      </w:r>
      <w:r w:rsidR="00D9542D">
        <w:rPr>
          <w:b/>
        </w:rPr>
        <w:t>R</w:t>
      </w:r>
      <w:r w:rsidRPr="003A0B6E">
        <w:rPr>
          <w:b/>
        </w:rPr>
        <w:t xml:space="preserve">eflecting the </w:t>
      </w:r>
      <w:r w:rsidR="00D9542D">
        <w:rPr>
          <w:b/>
        </w:rPr>
        <w:t>E</w:t>
      </w:r>
      <w:r w:rsidRPr="003A0B6E">
        <w:rPr>
          <w:b/>
        </w:rPr>
        <w:t xml:space="preserve">nvironmental </w:t>
      </w:r>
      <w:r w:rsidR="00D9542D">
        <w:rPr>
          <w:b/>
        </w:rPr>
        <w:t>C</w:t>
      </w:r>
      <w:r w:rsidRPr="003A0B6E">
        <w:rPr>
          <w:b/>
        </w:rPr>
        <w:t xml:space="preserve">ost </w:t>
      </w:r>
      <w:r w:rsidR="00D9542D">
        <w:rPr>
          <w:b/>
        </w:rPr>
        <w:t>R</w:t>
      </w:r>
      <w:r w:rsidRPr="003A0B6E">
        <w:rPr>
          <w:b/>
        </w:rPr>
        <w:t xml:space="preserve">ecovery </w:t>
      </w:r>
      <w:r w:rsidR="00D9542D">
        <w:rPr>
          <w:b/>
        </w:rPr>
        <w:t>A</w:t>
      </w:r>
      <w:r w:rsidRPr="003A0B6E">
        <w:rPr>
          <w:b/>
        </w:rPr>
        <w:t xml:space="preserve">mounts and </w:t>
      </w:r>
      <w:r w:rsidR="00D9542D">
        <w:rPr>
          <w:b/>
        </w:rPr>
        <w:t>F</w:t>
      </w:r>
      <w:r w:rsidRPr="003A0B6E">
        <w:rPr>
          <w:b/>
        </w:rPr>
        <w:t xml:space="preserve">actors </w:t>
      </w:r>
    </w:p>
    <w:p w:rsidR="0052410E" w:rsidRPr="003A0B6E" w:rsidRDefault="0052410E" w:rsidP="00D9542D">
      <w:pPr>
        <w:pStyle w:val="PositionHeading"/>
        <w:rPr>
          <w:rFonts w:cs="Times New Roman"/>
          <w:vanish/>
          <w:szCs w:val="24"/>
          <w:specVanish/>
        </w:rPr>
      </w:pPr>
      <w:r w:rsidRPr="003A0B6E">
        <w:rPr>
          <w:rFonts w:cs="Times New Roman"/>
          <w:b w:val="0"/>
          <w:szCs w:val="24"/>
        </w:rPr>
        <w:tab/>
        <w:t>The Commission approves the revised tariffs reflecting the environmental cost recovery amounts and environmental cost recovery factors determined to be appropriate in this proceeding. Staff is directed to verify that the revised tariffs are consistent with the Commission’s decision.</w:t>
      </w:r>
    </w:p>
    <w:p w:rsidR="0052410E" w:rsidRPr="003A0B6E" w:rsidRDefault="0052410E" w:rsidP="0052410E">
      <w:pPr>
        <w:pStyle w:val="IssueHeading"/>
        <w:rPr>
          <w:rFonts w:cs="Times New Roman"/>
          <w:szCs w:val="24"/>
        </w:rPr>
      </w:pPr>
    </w:p>
    <w:p w:rsidR="0052410E" w:rsidRDefault="0052410E"/>
    <w:p w:rsidR="0052410E" w:rsidRDefault="0052410E" w:rsidP="0052410E">
      <w:pPr>
        <w:pStyle w:val="OrderBody"/>
      </w:pPr>
      <w:r>
        <w:tab/>
        <w:t>Based on the foregoing, it is</w:t>
      </w:r>
    </w:p>
    <w:p w:rsidR="0052410E" w:rsidRDefault="0052410E" w:rsidP="0052410E">
      <w:pPr>
        <w:pStyle w:val="OrderBody"/>
      </w:pPr>
    </w:p>
    <w:p w:rsidR="00394C5E" w:rsidRDefault="0052410E" w:rsidP="00394C5E">
      <w:pPr>
        <w:pStyle w:val="OrderBody"/>
      </w:pPr>
      <w:r>
        <w:tab/>
      </w:r>
      <w:r w:rsidR="00394C5E">
        <w:t>ORDERED by the Florida Public Service Commission that the stipulations and findings set forth in the body of this order are hereby approved.  It is further</w:t>
      </w:r>
    </w:p>
    <w:p w:rsidR="00394C5E" w:rsidRDefault="00394C5E" w:rsidP="00394C5E">
      <w:pPr>
        <w:pStyle w:val="OrderBody"/>
      </w:pPr>
    </w:p>
    <w:p w:rsidR="00394C5E" w:rsidRDefault="00394C5E" w:rsidP="00394C5E">
      <w:pPr>
        <w:pStyle w:val="OrderBody"/>
      </w:pPr>
      <w:r>
        <w:tab/>
        <w:t>ORDERED that each utility that was a party to this docket shall abide by the stipulations and findings herein which are applicable to it.  It is further</w:t>
      </w:r>
    </w:p>
    <w:p w:rsidR="00394C5E" w:rsidRDefault="00394C5E" w:rsidP="00394C5E">
      <w:pPr>
        <w:pStyle w:val="OrderBody"/>
      </w:pPr>
    </w:p>
    <w:p w:rsidR="00394C5E" w:rsidRDefault="00394C5E" w:rsidP="00394C5E">
      <w:pPr>
        <w:pStyle w:val="OrderBody"/>
      </w:pPr>
      <w:r>
        <w:lastRenderedPageBreak/>
        <w:tab/>
        <w:t xml:space="preserve">ORDERED that the utilities named herein are authorized to collect the environmental cost recovery amounts and use the factors approved herein beginning with the first billing cycle for 2016. The first billing cycle may start before January 1, 2016, and thereafter, the environmental cost recovery factors shall remain in effect until modified by this Commission.  It is further </w:t>
      </w:r>
    </w:p>
    <w:p w:rsidR="00394C5E" w:rsidRDefault="00394C5E" w:rsidP="00394C5E">
      <w:pPr>
        <w:pStyle w:val="OrderBody"/>
      </w:pPr>
    </w:p>
    <w:p w:rsidR="00394C5E" w:rsidRDefault="00394C5E" w:rsidP="00394C5E">
      <w:pPr>
        <w:pStyle w:val="OrderBody"/>
      </w:pPr>
      <w:r>
        <w:tab/>
        <w:t xml:space="preserve">ORDERED that the </w:t>
      </w:r>
      <w:r>
        <w:rPr>
          <w:color w:val="000000"/>
        </w:rPr>
        <w:t>Environmental Cost Recovery</w:t>
      </w:r>
      <w:r>
        <w:t xml:space="preserve"> Clause docket is an on-going docket and shall remain open.  </w:t>
      </w:r>
    </w:p>
    <w:p w:rsidR="00394C5E" w:rsidRPr="00AB4C0E" w:rsidRDefault="00394C5E" w:rsidP="00394C5E">
      <w:pPr>
        <w:keepNext/>
        <w:keepLines/>
        <w:jc w:val="both"/>
      </w:pPr>
    </w:p>
    <w:p w:rsidR="0052410E" w:rsidRDefault="0052410E" w:rsidP="0052410E">
      <w:pPr>
        <w:pStyle w:val="OrderBody"/>
      </w:pPr>
    </w:p>
    <w:p w:rsidR="0052410E" w:rsidRDefault="0052410E" w:rsidP="0052410E">
      <w:pPr>
        <w:pStyle w:val="OrderBody"/>
        <w:keepNext/>
        <w:keepLines/>
      </w:pPr>
      <w:r>
        <w:tab/>
        <w:t xml:space="preserve">By ORDER of the Florida Public Service Commission this </w:t>
      </w:r>
      <w:bookmarkStart w:id="6" w:name="replaceDate"/>
      <w:bookmarkEnd w:id="6"/>
      <w:r w:rsidR="00735682">
        <w:rPr>
          <w:u w:val="single"/>
        </w:rPr>
        <w:t>19th</w:t>
      </w:r>
      <w:r w:rsidR="00735682">
        <w:t xml:space="preserve"> day of </w:t>
      </w:r>
      <w:r w:rsidR="00735682">
        <w:rPr>
          <w:u w:val="single"/>
        </w:rPr>
        <w:t>November</w:t>
      </w:r>
      <w:r w:rsidR="00735682">
        <w:t xml:space="preserve">, </w:t>
      </w:r>
      <w:r w:rsidR="00735682">
        <w:rPr>
          <w:u w:val="single"/>
        </w:rPr>
        <w:t>2015</w:t>
      </w:r>
      <w:r w:rsidR="00735682">
        <w:t>.</w:t>
      </w:r>
    </w:p>
    <w:p w:rsidR="00735682" w:rsidRPr="00735682" w:rsidRDefault="00735682" w:rsidP="0052410E">
      <w:pPr>
        <w:pStyle w:val="OrderBody"/>
        <w:keepNext/>
        <w:keepLines/>
      </w:pPr>
    </w:p>
    <w:p w:rsidR="0052410E" w:rsidRDefault="0052410E" w:rsidP="0052410E">
      <w:pPr>
        <w:pStyle w:val="OrderBody"/>
        <w:keepNext/>
        <w:keepLines/>
      </w:pPr>
    </w:p>
    <w:p w:rsidR="0052410E" w:rsidRDefault="0052410E" w:rsidP="0052410E">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52410E" w:rsidTr="0052410E">
        <w:tc>
          <w:tcPr>
            <w:tcW w:w="720" w:type="dxa"/>
            <w:shd w:val="clear" w:color="auto" w:fill="auto"/>
          </w:tcPr>
          <w:p w:rsidR="0052410E" w:rsidRDefault="0052410E" w:rsidP="0052410E">
            <w:pPr>
              <w:pStyle w:val="OrderBody"/>
              <w:keepNext/>
              <w:keepLines/>
            </w:pPr>
            <w:bookmarkStart w:id="7" w:name="bkmrkSignature" w:colFirst="0" w:colLast="0"/>
          </w:p>
        </w:tc>
        <w:tc>
          <w:tcPr>
            <w:tcW w:w="4320" w:type="dxa"/>
            <w:tcBorders>
              <w:bottom w:val="single" w:sz="4" w:space="0" w:color="auto"/>
            </w:tcBorders>
            <w:shd w:val="clear" w:color="auto" w:fill="auto"/>
          </w:tcPr>
          <w:p w:rsidR="0052410E" w:rsidRDefault="00735682" w:rsidP="0052410E">
            <w:pPr>
              <w:pStyle w:val="OrderBody"/>
              <w:keepNext/>
              <w:keepLines/>
            </w:pPr>
            <w:r>
              <w:t>/s/ Carlotta S. Stauffer</w:t>
            </w:r>
            <w:bookmarkStart w:id="8" w:name="_GoBack"/>
            <w:bookmarkEnd w:id="8"/>
          </w:p>
        </w:tc>
      </w:tr>
      <w:bookmarkEnd w:id="7"/>
      <w:tr w:rsidR="0052410E" w:rsidTr="0052410E">
        <w:tc>
          <w:tcPr>
            <w:tcW w:w="720" w:type="dxa"/>
            <w:shd w:val="clear" w:color="auto" w:fill="auto"/>
          </w:tcPr>
          <w:p w:rsidR="0052410E" w:rsidRDefault="0052410E" w:rsidP="0052410E">
            <w:pPr>
              <w:pStyle w:val="OrderBody"/>
              <w:keepNext/>
              <w:keepLines/>
            </w:pPr>
          </w:p>
        </w:tc>
        <w:tc>
          <w:tcPr>
            <w:tcW w:w="4320" w:type="dxa"/>
            <w:tcBorders>
              <w:top w:val="single" w:sz="4" w:space="0" w:color="auto"/>
            </w:tcBorders>
            <w:shd w:val="clear" w:color="auto" w:fill="auto"/>
          </w:tcPr>
          <w:p w:rsidR="0052410E" w:rsidRDefault="0052410E" w:rsidP="0052410E">
            <w:pPr>
              <w:pStyle w:val="OrderBody"/>
              <w:keepNext/>
              <w:keepLines/>
            </w:pPr>
            <w:r>
              <w:t>CARLOTTA S. STAUFFER</w:t>
            </w:r>
          </w:p>
          <w:p w:rsidR="0052410E" w:rsidRDefault="0052410E" w:rsidP="0052410E">
            <w:pPr>
              <w:pStyle w:val="OrderBody"/>
              <w:keepNext/>
              <w:keepLines/>
            </w:pPr>
            <w:r>
              <w:t>Commission Clerk</w:t>
            </w:r>
          </w:p>
        </w:tc>
      </w:tr>
    </w:tbl>
    <w:p w:rsidR="0052410E" w:rsidRDefault="0052410E" w:rsidP="0052410E">
      <w:pPr>
        <w:pStyle w:val="OrderSigInfo"/>
        <w:keepNext/>
        <w:keepLines/>
      </w:pPr>
      <w:r>
        <w:t>Florida Public Service Commission</w:t>
      </w:r>
    </w:p>
    <w:p w:rsidR="0052410E" w:rsidRDefault="0052410E" w:rsidP="0052410E">
      <w:pPr>
        <w:pStyle w:val="OrderSigInfo"/>
        <w:keepNext/>
        <w:keepLines/>
      </w:pPr>
      <w:r>
        <w:t>2540 Shumard Oak Boulevard</w:t>
      </w:r>
    </w:p>
    <w:p w:rsidR="0052410E" w:rsidRDefault="0052410E" w:rsidP="0052410E">
      <w:pPr>
        <w:pStyle w:val="OrderSigInfo"/>
        <w:keepNext/>
        <w:keepLines/>
      </w:pPr>
      <w:r>
        <w:t>Tallahassee, Florida  32399</w:t>
      </w:r>
    </w:p>
    <w:p w:rsidR="0052410E" w:rsidRDefault="0052410E" w:rsidP="0052410E">
      <w:pPr>
        <w:pStyle w:val="OrderSigInfo"/>
        <w:keepNext/>
        <w:keepLines/>
      </w:pPr>
      <w:r>
        <w:t>(850) 413</w:t>
      </w:r>
      <w:r>
        <w:noBreakHyphen/>
        <w:t>6770</w:t>
      </w:r>
    </w:p>
    <w:p w:rsidR="0052410E" w:rsidRDefault="0052410E" w:rsidP="0052410E">
      <w:pPr>
        <w:pStyle w:val="OrderSigInfo"/>
        <w:keepNext/>
        <w:keepLines/>
      </w:pPr>
      <w:r>
        <w:t>www.floridapsc.com</w:t>
      </w:r>
    </w:p>
    <w:p w:rsidR="0052410E" w:rsidRDefault="0052410E" w:rsidP="0052410E">
      <w:pPr>
        <w:pStyle w:val="OrderSigInfo"/>
        <w:keepNext/>
        <w:keepLines/>
      </w:pPr>
    </w:p>
    <w:p w:rsidR="0052410E" w:rsidRDefault="0052410E" w:rsidP="0052410E">
      <w:pPr>
        <w:pStyle w:val="OrderSigInfo"/>
        <w:keepNext/>
        <w:keepLines/>
      </w:pPr>
      <w:r>
        <w:t>Copies furnished:  A copy of this document is provided to the parties of record at the time of issuance and, if applicable, interested persons.</w:t>
      </w:r>
    </w:p>
    <w:p w:rsidR="0052410E" w:rsidRDefault="0052410E" w:rsidP="0052410E">
      <w:pPr>
        <w:pStyle w:val="OrderBody"/>
        <w:keepNext/>
        <w:keepLines/>
      </w:pPr>
    </w:p>
    <w:p w:rsidR="0052410E" w:rsidRDefault="0052410E" w:rsidP="0052410E">
      <w:pPr>
        <w:pStyle w:val="OrderBody"/>
        <w:keepNext/>
        <w:keepLines/>
      </w:pPr>
    </w:p>
    <w:p w:rsidR="0052410E" w:rsidRDefault="0052410E" w:rsidP="0052410E">
      <w:pPr>
        <w:pStyle w:val="OrderBody"/>
        <w:keepNext/>
        <w:keepLines/>
      </w:pPr>
      <w:r>
        <w:t>CWM</w:t>
      </w:r>
    </w:p>
    <w:p w:rsidR="0052410E" w:rsidRDefault="0052410E" w:rsidP="0052410E">
      <w:pPr>
        <w:pStyle w:val="OrderBody"/>
      </w:pPr>
    </w:p>
    <w:p w:rsidR="0052410E" w:rsidRDefault="0052410E" w:rsidP="0052410E">
      <w:pPr>
        <w:pStyle w:val="OrderBody"/>
      </w:pPr>
    </w:p>
    <w:p w:rsidR="0052410E" w:rsidRDefault="0052410E" w:rsidP="0052410E">
      <w:pPr>
        <w:pStyle w:val="OrderBody"/>
      </w:pPr>
    </w:p>
    <w:p w:rsidR="00875A01" w:rsidRDefault="00875A01">
      <w:r>
        <w:br w:type="page"/>
      </w:r>
    </w:p>
    <w:p w:rsidR="0052410E" w:rsidRDefault="0052410E" w:rsidP="0052410E">
      <w:pPr>
        <w:pStyle w:val="OrderBody"/>
      </w:pPr>
    </w:p>
    <w:p w:rsidR="000A6350" w:rsidRDefault="000A6350" w:rsidP="000A6350">
      <w:pPr>
        <w:pStyle w:val="CenterUnderline"/>
      </w:pPr>
      <w:r>
        <w:t>NOTICE OF FURTHER PROCEEDINGS OR JUDICIAL REVIEW</w:t>
      </w:r>
    </w:p>
    <w:p w:rsidR="0052410E" w:rsidRDefault="0052410E" w:rsidP="000A6350">
      <w:pPr>
        <w:pStyle w:val="CenterUnderline"/>
      </w:pPr>
    </w:p>
    <w:p w:rsidR="000A6350" w:rsidRDefault="000A6350" w:rsidP="000A6350">
      <w:pPr>
        <w:pStyle w:val="OrderBody"/>
      </w:pPr>
    </w:p>
    <w:p w:rsidR="000A6350" w:rsidRDefault="000A6350" w:rsidP="000A6350">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0A6350" w:rsidRDefault="000A6350" w:rsidP="000A6350">
      <w:pPr>
        <w:pStyle w:val="OrderBody"/>
      </w:pPr>
    </w:p>
    <w:p w:rsidR="000A6350" w:rsidRPr="0052410E" w:rsidRDefault="000A6350" w:rsidP="000A6350">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sectPr w:rsidR="000A6350" w:rsidRPr="0052410E">
      <w:headerReference w:type="defaul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28B" w:rsidRDefault="00D7028B">
      <w:r>
        <w:separator/>
      </w:r>
    </w:p>
  </w:endnote>
  <w:endnote w:type="continuationSeparator" w:id="0">
    <w:p w:rsidR="00D7028B" w:rsidRDefault="00D7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28B" w:rsidRDefault="00D7028B">
    <w:pPr>
      <w:pStyle w:val="Footer"/>
    </w:pPr>
  </w:p>
  <w:p w:rsidR="00D7028B" w:rsidRDefault="00D702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28B" w:rsidRDefault="00D7028B">
      <w:r>
        <w:separator/>
      </w:r>
    </w:p>
  </w:footnote>
  <w:footnote w:type="continuationSeparator" w:id="0">
    <w:p w:rsidR="00D7028B" w:rsidRDefault="00D7028B">
      <w:r>
        <w:continuationSeparator/>
      </w:r>
    </w:p>
  </w:footnote>
  <w:footnote w:id="1">
    <w:p w:rsidR="00D7028B" w:rsidRDefault="00D7028B">
      <w:pPr>
        <w:pStyle w:val="FootnoteText"/>
      </w:pPr>
      <w:r>
        <w:rPr>
          <w:rStyle w:val="FootnoteReference"/>
        </w:rPr>
        <w:footnoteRef/>
      </w:r>
      <w:r>
        <w:t xml:space="preserve"> </w:t>
      </w:r>
      <w:r>
        <w:rPr>
          <w:bCs/>
        </w:rPr>
        <w:t>S</w:t>
      </w:r>
      <w:r w:rsidRPr="00E403D1">
        <w:rPr>
          <w:bCs/>
        </w:rPr>
        <w:t>ubject to the carve out and deferral of CCR closure cost associated with Plant Scholz</w:t>
      </w:r>
      <w:r>
        <w:rPr>
          <w:bC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28B" w:rsidRDefault="00D7028B">
    <w:pPr>
      <w:pStyle w:val="OrderHeader"/>
    </w:pPr>
    <w:r>
      <w:t xml:space="preserve">ORDER NO. </w:t>
    </w:r>
    <w:fldSimple w:instr=" REF OrderNo0536 ">
      <w:r w:rsidR="00735682">
        <w:t>PSC-15-0536-FOF-EI</w:t>
      </w:r>
    </w:fldSimple>
  </w:p>
  <w:p w:rsidR="00D7028B" w:rsidRDefault="00D7028B">
    <w:pPr>
      <w:pStyle w:val="OrderHeader"/>
    </w:pPr>
    <w:bookmarkStart w:id="9" w:name="HeaderDocketNo"/>
    <w:bookmarkEnd w:id="9"/>
    <w:r>
      <w:t>DOCKET NO. 150007-EI</w:t>
    </w:r>
  </w:p>
  <w:p w:rsidR="00D7028B" w:rsidRDefault="00D7028B">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35682">
      <w:rPr>
        <w:rStyle w:val="PageNumber"/>
        <w:noProof/>
      </w:rPr>
      <w:t>14</w:t>
    </w:r>
    <w:r>
      <w:rPr>
        <w:rStyle w:val="PageNumber"/>
      </w:rPr>
      <w:fldChar w:fldCharType="end"/>
    </w:r>
  </w:p>
  <w:p w:rsidR="00D7028B" w:rsidRDefault="00D7028B">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C3219"/>
    <w:multiLevelType w:val="hybridMultilevel"/>
    <w:tmpl w:val="18BC2F6C"/>
    <w:lvl w:ilvl="0" w:tplc="E0A269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9F33E0"/>
    <w:multiLevelType w:val="hybridMultilevel"/>
    <w:tmpl w:val="7D48C392"/>
    <w:lvl w:ilvl="0" w:tplc="03B0DC8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3">
    <w:nsid w:val="463222F7"/>
    <w:multiLevelType w:val="hybridMultilevel"/>
    <w:tmpl w:val="96FA6CB6"/>
    <w:lvl w:ilvl="0" w:tplc="6A42074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68759E7"/>
    <w:multiLevelType w:val="hybridMultilevel"/>
    <w:tmpl w:val="1FBCB728"/>
    <w:lvl w:ilvl="0" w:tplc="0409000F">
      <w:start w:val="1"/>
      <w:numFmt w:val="decimal"/>
      <w:lvlText w:val="%1."/>
      <w:lvlJc w:val="left"/>
      <w:pPr>
        <w:ind w:left="5400" w:hanging="360"/>
      </w:pPr>
      <w:rPr>
        <w:rFonts w:hint="default"/>
      </w:r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5">
    <w:nsid w:val="6C182A13"/>
    <w:multiLevelType w:val="hybridMultilevel"/>
    <w:tmpl w:val="861A2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DA0494C-FE52-4EE1-ABE6-BC3EAC097893}"/>
    <w:docVar w:name="dgnword-eventsink" w:val="353834584"/>
    <w:docVar w:name="Dockets" w:val="150007-EI"/>
  </w:docVars>
  <w:rsids>
    <w:rsidRoot w:val="0052410E"/>
    <w:rsid w:val="000022B8"/>
    <w:rsid w:val="00016DDD"/>
    <w:rsid w:val="000233B6"/>
    <w:rsid w:val="00053AB9"/>
    <w:rsid w:val="00056229"/>
    <w:rsid w:val="00065FC2"/>
    <w:rsid w:val="00090AFC"/>
    <w:rsid w:val="000A6350"/>
    <w:rsid w:val="000B246F"/>
    <w:rsid w:val="000D06E8"/>
    <w:rsid w:val="000E344D"/>
    <w:rsid w:val="000F3B2C"/>
    <w:rsid w:val="000F7BE3"/>
    <w:rsid w:val="00107A13"/>
    <w:rsid w:val="00116AD3"/>
    <w:rsid w:val="00126593"/>
    <w:rsid w:val="00142A96"/>
    <w:rsid w:val="00187E32"/>
    <w:rsid w:val="00194E81"/>
    <w:rsid w:val="001A33C9"/>
    <w:rsid w:val="001D008A"/>
    <w:rsid w:val="002002ED"/>
    <w:rsid w:val="00201224"/>
    <w:rsid w:val="0022721A"/>
    <w:rsid w:val="00230BB9"/>
    <w:rsid w:val="00231A64"/>
    <w:rsid w:val="00252B30"/>
    <w:rsid w:val="002A11AC"/>
    <w:rsid w:val="002A6F30"/>
    <w:rsid w:val="002D7D15"/>
    <w:rsid w:val="00303FDE"/>
    <w:rsid w:val="00305870"/>
    <w:rsid w:val="003140E8"/>
    <w:rsid w:val="003231C7"/>
    <w:rsid w:val="00331ED0"/>
    <w:rsid w:val="00346547"/>
    <w:rsid w:val="0035495B"/>
    <w:rsid w:val="003744F5"/>
    <w:rsid w:val="00390DD8"/>
    <w:rsid w:val="00394C5E"/>
    <w:rsid w:val="00394DC6"/>
    <w:rsid w:val="00397C3E"/>
    <w:rsid w:val="003D4CCA"/>
    <w:rsid w:val="003D6416"/>
    <w:rsid w:val="003E1D48"/>
    <w:rsid w:val="0042527B"/>
    <w:rsid w:val="00452E50"/>
    <w:rsid w:val="00457DC7"/>
    <w:rsid w:val="00472BCC"/>
    <w:rsid w:val="004A25CD"/>
    <w:rsid w:val="004A26CC"/>
    <w:rsid w:val="004B2108"/>
    <w:rsid w:val="004B3A2B"/>
    <w:rsid w:val="004D2D1B"/>
    <w:rsid w:val="004F2DDE"/>
    <w:rsid w:val="0050097F"/>
    <w:rsid w:val="00505857"/>
    <w:rsid w:val="00514B1F"/>
    <w:rsid w:val="0052410E"/>
    <w:rsid w:val="00556A10"/>
    <w:rsid w:val="00581754"/>
    <w:rsid w:val="005963C2"/>
    <w:rsid w:val="005B45F7"/>
    <w:rsid w:val="005B63EA"/>
    <w:rsid w:val="00660774"/>
    <w:rsid w:val="00665CC7"/>
    <w:rsid w:val="006A0BF3"/>
    <w:rsid w:val="006B0DA6"/>
    <w:rsid w:val="006C547E"/>
    <w:rsid w:val="00704C5D"/>
    <w:rsid w:val="00733B6B"/>
    <w:rsid w:val="00735682"/>
    <w:rsid w:val="0076170F"/>
    <w:rsid w:val="0076669C"/>
    <w:rsid w:val="007865E9"/>
    <w:rsid w:val="00792383"/>
    <w:rsid w:val="007D3D20"/>
    <w:rsid w:val="007E3AFD"/>
    <w:rsid w:val="00803189"/>
    <w:rsid w:val="00804E7A"/>
    <w:rsid w:val="00805FBB"/>
    <w:rsid w:val="008169A4"/>
    <w:rsid w:val="008278FE"/>
    <w:rsid w:val="00832598"/>
    <w:rsid w:val="0083397E"/>
    <w:rsid w:val="0083534B"/>
    <w:rsid w:val="00863A66"/>
    <w:rsid w:val="00874429"/>
    <w:rsid w:val="00875A01"/>
    <w:rsid w:val="00883D9A"/>
    <w:rsid w:val="008919EF"/>
    <w:rsid w:val="008C6A5B"/>
    <w:rsid w:val="008E26A5"/>
    <w:rsid w:val="008E42D2"/>
    <w:rsid w:val="00901D5E"/>
    <w:rsid w:val="009040EE"/>
    <w:rsid w:val="009057FD"/>
    <w:rsid w:val="00922A7F"/>
    <w:rsid w:val="00923A5E"/>
    <w:rsid w:val="00950077"/>
    <w:rsid w:val="0096296F"/>
    <w:rsid w:val="00994100"/>
    <w:rsid w:val="009D4C29"/>
    <w:rsid w:val="00A62DAB"/>
    <w:rsid w:val="00A6598C"/>
    <w:rsid w:val="00A726A6"/>
    <w:rsid w:val="00A97535"/>
    <w:rsid w:val="00AA73F1"/>
    <w:rsid w:val="00AB0E1A"/>
    <w:rsid w:val="00AB1A30"/>
    <w:rsid w:val="00AC6C8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D30B48"/>
    <w:rsid w:val="00D35435"/>
    <w:rsid w:val="00D46FAA"/>
    <w:rsid w:val="00D57BB2"/>
    <w:rsid w:val="00D7028B"/>
    <w:rsid w:val="00D8560E"/>
    <w:rsid w:val="00D8758F"/>
    <w:rsid w:val="00D9542D"/>
    <w:rsid w:val="00DC1D94"/>
    <w:rsid w:val="00DE057F"/>
    <w:rsid w:val="00DE2082"/>
    <w:rsid w:val="00DE2289"/>
    <w:rsid w:val="00E04410"/>
    <w:rsid w:val="00E11351"/>
    <w:rsid w:val="00E935E7"/>
    <w:rsid w:val="00EA172C"/>
    <w:rsid w:val="00EA259B"/>
    <w:rsid w:val="00EA35A3"/>
    <w:rsid w:val="00EA3E6A"/>
    <w:rsid w:val="00EB18EF"/>
    <w:rsid w:val="00EE17DF"/>
    <w:rsid w:val="00EF4621"/>
    <w:rsid w:val="00F23A66"/>
    <w:rsid w:val="00F277B6"/>
    <w:rsid w:val="00F54380"/>
    <w:rsid w:val="00F54B47"/>
    <w:rsid w:val="00F70E84"/>
    <w:rsid w:val="00FA6EFD"/>
    <w:rsid w:val="00FB74EA"/>
    <w:rsid w:val="00FC3E06"/>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2">
    <w:name w:val="Level 2"/>
    <w:rsid w:val="0052410E"/>
    <w:pPr>
      <w:autoSpaceDE w:val="0"/>
      <w:autoSpaceDN w:val="0"/>
      <w:adjustRightInd w:val="0"/>
      <w:ind w:left="1440"/>
    </w:pPr>
    <w:rPr>
      <w:sz w:val="24"/>
      <w:szCs w:val="24"/>
    </w:rPr>
  </w:style>
  <w:style w:type="paragraph" w:customStyle="1" w:styleId="IssueHeading">
    <w:name w:val="Issue Heading"/>
    <w:basedOn w:val="Heading3"/>
    <w:next w:val="Normal"/>
    <w:rsid w:val="0052410E"/>
    <w:pPr>
      <w:spacing w:before="240" w:after="60"/>
      <w:ind w:firstLine="0"/>
    </w:pPr>
    <w:rPr>
      <w:rFonts w:cs="Arial"/>
      <w:b/>
      <w:bCs/>
      <w:szCs w:val="26"/>
    </w:rPr>
  </w:style>
  <w:style w:type="paragraph" w:customStyle="1" w:styleId="PositionHeading">
    <w:name w:val="Position Heading"/>
    <w:basedOn w:val="IssueHeading"/>
    <w:next w:val="Normal"/>
    <w:rsid w:val="0052410E"/>
    <w:pPr>
      <w:outlineLvl w:val="3"/>
    </w:pPr>
  </w:style>
  <w:style w:type="paragraph" w:customStyle="1" w:styleId="PrehearingBody">
    <w:name w:val="Prehearing Body"/>
    <w:basedOn w:val="Normal"/>
    <w:link w:val="PrehearingBodyCharChar"/>
    <w:rsid w:val="0052410E"/>
    <w:pPr>
      <w:spacing w:after="240"/>
      <w:ind w:firstLine="720"/>
      <w:jc w:val="both"/>
    </w:pPr>
  </w:style>
  <w:style w:type="character" w:customStyle="1" w:styleId="PrehearingBodyCharChar">
    <w:name w:val="Prehearing Body Char Char"/>
    <w:link w:val="PrehearingBody"/>
    <w:rsid w:val="0052410E"/>
    <w:rPr>
      <w:sz w:val="24"/>
      <w:szCs w:val="24"/>
    </w:rPr>
  </w:style>
  <w:style w:type="paragraph" w:styleId="BodyTextIndent">
    <w:name w:val="Body Text Indent"/>
    <w:basedOn w:val="Normal"/>
    <w:link w:val="BodyTextIndentChar"/>
    <w:rsid w:val="0052410E"/>
    <w:pPr>
      <w:spacing w:after="120"/>
      <w:ind w:left="360"/>
    </w:pPr>
  </w:style>
  <w:style w:type="character" w:customStyle="1" w:styleId="BodyTextIndentChar">
    <w:name w:val="Body Text Indent Char"/>
    <w:basedOn w:val="DefaultParagraphFont"/>
    <w:link w:val="BodyTextIndent"/>
    <w:rsid w:val="0052410E"/>
    <w:rPr>
      <w:sz w:val="24"/>
      <w:szCs w:val="24"/>
    </w:rPr>
  </w:style>
  <w:style w:type="paragraph" w:styleId="ListParagraph">
    <w:name w:val="List Paragraph"/>
    <w:basedOn w:val="Normal"/>
    <w:uiPriority w:val="34"/>
    <w:qFormat/>
    <w:rsid w:val="0052410E"/>
    <w:pPr>
      <w:ind w:left="720"/>
      <w:contextualSpacing/>
    </w:pPr>
  </w:style>
  <w:style w:type="paragraph" w:styleId="BalloonText">
    <w:name w:val="Balloon Text"/>
    <w:basedOn w:val="Normal"/>
    <w:link w:val="BalloonTextChar"/>
    <w:rsid w:val="0052410E"/>
    <w:rPr>
      <w:rFonts w:ascii="Tahoma" w:hAnsi="Tahoma" w:cs="Tahoma"/>
      <w:sz w:val="16"/>
      <w:szCs w:val="16"/>
    </w:rPr>
  </w:style>
  <w:style w:type="character" w:customStyle="1" w:styleId="BalloonTextChar">
    <w:name w:val="Balloon Text Char"/>
    <w:basedOn w:val="DefaultParagraphFont"/>
    <w:link w:val="BalloonText"/>
    <w:rsid w:val="0052410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2">
    <w:name w:val="Level 2"/>
    <w:rsid w:val="0052410E"/>
    <w:pPr>
      <w:autoSpaceDE w:val="0"/>
      <w:autoSpaceDN w:val="0"/>
      <w:adjustRightInd w:val="0"/>
      <w:ind w:left="1440"/>
    </w:pPr>
    <w:rPr>
      <w:sz w:val="24"/>
      <w:szCs w:val="24"/>
    </w:rPr>
  </w:style>
  <w:style w:type="paragraph" w:customStyle="1" w:styleId="IssueHeading">
    <w:name w:val="Issue Heading"/>
    <w:basedOn w:val="Heading3"/>
    <w:next w:val="Normal"/>
    <w:rsid w:val="0052410E"/>
    <w:pPr>
      <w:spacing w:before="240" w:after="60"/>
      <w:ind w:firstLine="0"/>
    </w:pPr>
    <w:rPr>
      <w:rFonts w:cs="Arial"/>
      <w:b/>
      <w:bCs/>
      <w:szCs w:val="26"/>
    </w:rPr>
  </w:style>
  <w:style w:type="paragraph" w:customStyle="1" w:styleId="PositionHeading">
    <w:name w:val="Position Heading"/>
    <w:basedOn w:val="IssueHeading"/>
    <w:next w:val="Normal"/>
    <w:rsid w:val="0052410E"/>
    <w:pPr>
      <w:outlineLvl w:val="3"/>
    </w:pPr>
  </w:style>
  <w:style w:type="paragraph" w:customStyle="1" w:styleId="PrehearingBody">
    <w:name w:val="Prehearing Body"/>
    <w:basedOn w:val="Normal"/>
    <w:link w:val="PrehearingBodyCharChar"/>
    <w:rsid w:val="0052410E"/>
    <w:pPr>
      <w:spacing w:after="240"/>
      <w:ind w:firstLine="720"/>
      <w:jc w:val="both"/>
    </w:pPr>
  </w:style>
  <w:style w:type="character" w:customStyle="1" w:styleId="PrehearingBodyCharChar">
    <w:name w:val="Prehearing Body Char Char"/>
    <w:link w:val="PrehearingBody"/>
    <w:rsid w:val="0052410E"/>
    <w:rPr>
      <w:sz w:val="24"/>
      <w:szCs w:val="24"/>
    </w:rPr>
  </w:style>
  <w:style w:type="paragraph" w:styleId="BodyTextIndent">
    <w:name w:val="Body Text Indent"/>
    <w:basedOn w:val="Normal"/>
    <w:link w:val="BodyTextIndentChar"/>
    <w:rsid w:val="0052410E"/>
    <w:pPr>
      <w:spacing w:after="120"/>
      <w:ind w:left="360"/>
    </w:pPr>
  </w:style>
  <w:style w:type="character" w:customStyle="1" w:styleId="BodyTextIndentChar">
    <w:name w:val="Body Text Indent Char"/>
    <w:basedOn w:val="DefaultParagraphFont"/>
    <w:link w:val="BodyTextIndent"/>
    <w:rsid w:val="0052410E"/>
    <w:rPr>
      <w:sz w:val="24"/>
      <w:szCs w:val="24"/>
    </w:rPr>
  </w:style>
  <w:style w:type="paragraph" w:styleId="ListParagraph">
    <w:name w:val="List Paragraph"/>
    <w:basedOn w:val="Normal"/>
    <w:uiPriority w:val="34"/>
    <w:qFormat/>
    <w:rsid w:val="0052410E"/>
    <w:pPr>
      <w:ind w:left="720"/>
      <w:contextualSpacing/>
    </w:pPr>
  </w:style>
  <w:style w:type="paragraph" w:styleId="BalloonText">
    <w:name w:val="Balloon Text"/>
    <w:basedOn w:val="Normal"/>
    <w:link w:val="BalloonTextChar"/>
    <w:rsid w:val="0052410E"/>
    <w:rPr>
      <w:rFonts w:ascii="Tahoma" w:hAnsi="Tahoma" w:cs="Tahoma"/>
      <w:sz w:val="16"/>
      <w:szCs w:val="16"/>
    </w:rPr>
  </w:style>
  <w:style w:type="character" w:customStyle="1" w:styleId="BalloonTextChar">
    <w:name w:val="Balloon Text Char"/>
    <w:basedOn w:val="DefaultParagraphFont"/>
    <w:link w:val="BalloonText"/>
    <w:rsid w:val="005241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5CED50-1E6D-4980-A76E-5AA5DEA23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1</TotalTime>
  <Pages>14</Pages>
  <Words>3189</Words>
  <Characters>18433</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21579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Diamond Lynn</dc:creator>
  <cp:lastModifiedBy>Christoper Cooney</cp:lastModifiedBy>
  <cp:revision>3</cp:revision>
  <cp:lastPrinted>2015-11-19T16:26:00Z</cp:lastPrinted>
  <dcterms:created xsi:type="dcterms:W3CDTF">2015-11-19T15:43:00Z</dcterms:created>
  <dcterms:modified xsi:type="dcterms:W3CDTF">2015-11-19T16:27:00Z</dcterms:modified>
</cp:coreProperties>
</file>