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B9" w:rsidRPr="007E7BB9" w:rsidRDefault="007E7BB9" w:rsidP="007E7BB9">
      <w:pPr>
        <w:jc w:val="center"/>
        <w:rPr>
          <w:rFonts w:ascii="Times New Roman" w:eastAsia="Times New Roman" w:hAnsi="Times New Roman"/>
          <w:sz w:val="22"/>
          <w:szCs w:val="22"/>
        </w:rPr>
      </w:pPr>
      <w:r w:rsidRPr="007E7BB9">
        <w:rPr>
          <w:rFonts w:ascii="Times New Roman" w:eastAsia="Times New Roman" w:hAnsi="Times New Roman"/>
          <w:sz w:val="22"/>
          <w:szCs w:val="22"/>
        </w:rPr>
        <w:t>Notice of Proposed Rule</w:t>
      </w:r>
    </w:p>
    <w:p w:rsidR="007E7BB9" w:rsidRPr="007E7BB9" w:rsidRDefault="007E7BB9" w:rsidP="007E7BB9">
      <w:pPr>
        <w:rPr>
          <w:rFonts w:ascii="Times New Roman" w:eastAsia="Times New Roman" w:hAnsi="Times New Roman"/>
        </w:rPr>
      </w:pPr>
    </w:p>
    <w:p w:rsidR="007E7BB9" w:rsidRPr="007E7BB9" w:rsidRDefault="005E51A0" w:rsidP="007E7BB9">
      <w:pPr>
        <w:rPr>
          <w:rFonts w:ascii="Times New Roman" w:eastAsia="Times New Roman" w:hAnsi="Times New Roman"/>
          <w:b/>
          <w:bCs/>
          <w:sz w:val="20"/>
          <w:szCs w:val="20"/>
        </w:rPr>
      </w:pPr>
      <w:hyperlink r:id="rId6" w:tgtFrame="department" w:history="1">
        <w:r w:rsidR="007E7BB9" w:rsidRPr="007E7BB9">
          <w:rPr>
            <w:rFonts w:ascii="Times New Roman" w:eastAsia="Times New Roman" w:hAnsi="Times New Roman"/>
            <w:b/>
            <w:bCs/>
            <w:color w:val="0000FF"/>
            <w:sz w:val="20"/>
            <w:szCs w:val="20"/>
            <w:u w:val="single"/>
          </w:rPr>
          <w:t>PUBLIC SERVICE COMMISSION</w:t>
        </w:r>
      </w:hyperlink>
    </w:p>
    <w:p w:rsidR="007E7BB9" w:rsidRPr="007E7BB9" w:rsidRDefault="007E7BB9" w:rsidP="007E7BB9">
      <w:pPr>
        <w:spacing w:after="240" w:line="312" w:lineRule="auto"/>
        <w:rPr>
          <w:rFonts w:ascii="Times New Roman" w:eastAsia="Times New Roman" w:hAnsi="Times New Roman"/>
          <w:sz w:val="20"/>
          <w:szCs w:val="20"/>
        </w:rPr>
      </w:pPr>
      <w:r w:rsidRPr="007E7BB9">
        <w:rPr>
          <w:rFonts w:ascii="Times New Roman" w:eastAsia="Times New Roman" w:hAnsi="Times New Roman"/>
          <w:sz w:val="20"/>
          <w:szCs w:val="20"/>
        </w:rPr>
        <w:t xml:space="preserve">RULE NO.: RULE TITLE: </w:t>
      </w:r>
      <w:r w:rsidRPr="007E7BB9">
        <w:rPr>
          <w:rFonts w:ascii="Times New Roman" w:eastAsia="Times New Roman" w:hAnsi="Times New Roman"/>
          <w:sz w:val="20"/>
          <w:szCs w:val="20"/>
        </w:rPr>
        <w:br/>
      </w:r>
      <w:hyperlink r:id="rId7" w:tgtFrame="ruleNo" w:history="1">
        <w:r w:rsidRPr="007E7BB9">
          <w:rPr>
            <w:rFonts w:ascii="Times New Roman" w:eastAsia="Times New Roman" w:hAnsi="Times New Roman"/>
            <w:color w:val="0000FF"/>
            <w:sz w:val="20"/>
            <w:szCs w:val="20"/>
            <w:u w:val="single"/>
          </w:rPr>
          <w:t>25-7.079</w:t>
        </w:r>
      </w:hyperlink>
      <w:r w:rsidRPr="007E7BB9">
        <w:rPr>
          <w:rFonts w:ascii="Times New Roman" w:eastAsia="Times New Roman" w:hAnsi="Times New Roman"/>
          <w:sz w:val="20"/>
          <w:szCs w:val="20"/>
        </w:rPr>
        <w:t>: Information to Customers</w:t>
      </w:r>
      <w:r w:rsidRPr="007E7BB9">
        <w:rPr>
          <w:rFonts w:ascii="Times New Roman" w:eastAsia="Times New Roman" w:hAnsi="Times New Roman"/>
          <w:sz w:val="20"/>
          <w:szCs w:val="20"/>
        </w:rPr>
        <w:br/>
      </w:r>
      <w:hyperlink r:id="rId8" w:tgtFrame="ruleNo" w:history="1">
        <w:r w:rsidRPr="007E7BB9">
          <w:rPr>
            <w:rFonts w:ascii="Times New Roman" w:eastAsia="Times New Roman" w:hAnsi="Times New Roman"/>
            <w:color w:val="0000FF"/>
            <w:sz w:val="20"/>
            <w:szCs w:val="20"/>
            <w:u w:val="single"/>
          </w:rPr>
          <w:t>25-7.083</w:t>
        </w:r>
      </w:hyperlink>
      <w:r w:rsidRPr="007E7BB9">
        <w:rPr>
          <w:rFonts w:ascii="Times New Roman" w:eastAsia="Times New Roman" w:hAnsi="Times New Roman"/>
          <w:sz w:val="20"/>
          <w:szCs w:val="20"/>
        </w:rPr>
        <w:t>: Customer Deposits</w:t>
      </w:r>
      <w:r w:rsidRPr="007E7BB9">
        <w:rPr>
          <w:rFonts w:ascii="Times New Roman" w:eastAsia="Times New Roman" w:hAnsi="Times New Roman"/>
          <w:sz w:val="20"/>
          <w:szCs w:val="20"/>
        </w:rPr>
        <w:br/>
      </w:r>
      <w:hyperlink r:id="rId9" w:tgtFrame="ruleNo" w:history="1">
        <w:r w:rsidRPr="007E7BB9">
          <w:rPr>
            <w:rFonts w:ascii="Times New Roman" w:eastAsia="Times New Roman" w:hAnsi="Times New Roman"/>
            <w:color w:val="0000FF"/>
            <w:sz w:val="20"/>
            <w:szCs w:val="20"/>
            <w:u w:val="single"/>
          </w:rPr>
          <w:t>25-7.085</w:t>
        </w:r>
      </w:hyperlink>
      <w:r w:rsidRPr="007E7BB9">
        <w:rPr>
          <w:rFonts w:ascii="Times New Roman" w:eastAsia="Times New Roman" w:hAnsi="Times New Roman"/>
          <w:sz w:val="20"/>
          <w:szCs w:val="20"/>
        </w:rPr>
        <w:t>: Customer Billing</w:t>
      </w:r>
      <w:r w:rsidRPr="007E7BB9">
        <w:rPr>
          <w:rFonts w:ascii="Times New Roman" w:eastAsia="Times New Roman" w:hAnsi="Times New Roman"/>
          <w:sz w:val="20"/>
          <w:szCs w:val="20"/>
        </w:rPr>
        <w:br/>
        <w:t xml:space="preserve">PURPOSE AND EFFECT: To conform the rules to the recent amendments to Section 366.05, F.S., and to clarify and simplify the rules and delete unnecessary and redundant rule language. </w:t>
      </w:r>
      <w:r w:rsidRPr="007E7BB9">
        <w:rPr>
          <w:rFonts w:ascii="Times New Roman" w:eastAsia="Times New Roman" w:hAnsi="Times New Roman"/>
          <w:sz w:val="20"/>
          <w:szCs w:val="20"/>
        </w:rPr>
        <w:br/>
        <w:t>Docket No.150241-PU</w:t>
      </w:r>
      <w:r w:rsidRPr="007E7BB9">
        <w:rPr>
          <w:rFonts w:ascii="Times New Roman" w:eastAsia="Times New Roman" w:hAnsi="Times New Roman"/>
          <w:sz w:val="20"/>
          <w:szCs w:val="20"/>
        </w:rPr>
        <w:br/>
        <w:t>SUMMARY: The rule amendments make the rules consistent with recent amendments to Section 366.05, F.S.</w:t>
      </w:r>
      <w:r w:rsidRPr="007E7BB9">
        <w:rPr>
          <w:rFonts w:ascii="Times New Roman" w:eastAsia="Times New Roman" w:hAnsi="Times New Roman"/>
          <w:sz w:val="20"/>
          <w:szCs w:val="20"/>
        </w:rPr>
        <w:br/>
        <w:t>Rules 25-7.079 – Amendments clarify that upon request of the customer, the utility shall provide to the customer a copy and/or explanation of the utility’s rates applicable to the type or types of service furnished or to be furnished to the customer. The amendments also remove language that is redundant to the implementing statute.</w:t>
      </w:r>
      <w:r w:rsidRPr="007E7BB9">
        <w:rPr>
          <w:rFonts w:ascii="Times New Roman" w:eastAsia="Times New Roman" w:hAnsi="Times New Roman"/>
          <w:sz w:val="20"/>
          <w:szCs w:val="20"/>
        </w:rPr>
        <w:br/>
        <w:t>Rule 25-7.083 – Amendments state that the methodology for determining the amount of customer deposits shall conform to paragraph 366.05(1)(c), F.S. The amendments also clarify the rule and remove language that is redundant to the implementing statute.</w:t>
      </w:r>
      <w:r w:rsidRPr="007E7BB9">
        <w:rPr>
          <w:rFonts w:ascii="Times New Roman" w:eastAsia="Times New Roman" w:hAnsi="Times New Roman"/>
          <w:sz w:val="20"/>
          <w:szCs w:val="20"/>
        </w:rPr>
        <w:br/>
        <w:t>Rule 25-7.085 – Amendments state that the advancement or postponment of regular meter reading dates is governed by subsection 366.05(1)(b), F.S. The amendments also clarify the rule.</w:t>
      </w:r>
      <w:r w:rsidRPr="007E7BB9">
        <w:rPr>
          <w:rFonts w:ascii="Times New Roman" w:eastAsia="Times New Roman" w:hAnsi="Times New Roman"/>
          <w:sz w:val="20"/>
          <w:szCs w:val="20"/>
        </w:rPr>
        <w:br/>
        <w:t xml:space="preserve">SUMMARY OF STATEMENT OF ESTIMATED REGULATORY COSTS AND LEGISLATIVE RATIFICATION: </w:t>
      </w:r>
      <w:r w:rsidRPr="007E7BB9">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7E7BB9">
        <w:rPr>
          <w:rFonts w:ascii="Times New Roman" w:eastAsia="Times New Roman" w:hAnsi="Times New Roman"/>
          <w:sz w:val="20"/>
          <w:szCs w:val="20"/>
        </w:rPr>
        <w:br/>
        <w:t>The SERC examined the factors required by Section 120.541(2), FS, and concluded that the rule amendments will not directly or indirectly increase regulatory costs in excess of $200,000 in the aggregate in this state within one year after implementation of the rules, or in excess of $1 million within five years after implementation. 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w:t>
      </w:r>
      <w:r w:rsidRPr="007E7BB9">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7E7BB9">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7E7BB9">
        <w:rPr>
          <w:rFonts w:ascii="Times New Roman" w:eastAsia="Times New Roman" w:hAnsi="Times New Roman"/>
          <w:sz w:val="20"/>
          <w:szCs w:val="20"/>
        </w:rPr>
        <w:br/>
        <w:t xml:space="preserve">RULEMAKING AUTHORITY: </w:t>
      </w:r>
      <w:hyperlink r:id="rId10" w:tgtFrame="cfr" w:history="1">
        <w:r w:rsidRPr="007E7BB9">
          <w:rPr>
            <w:rFonts w:ascii="Times New Roman" w:eastAsia="Times New Roman" w:hAnsi="Times New Roman"/>
            <w:color w:val="0000FF"/>
            <w:sz w:val="20"/>
            <w:szCs w:val="20"/>
            <w:u w:val="single"/>
          </w:rPr>
          <w:t>350.127(2), 366.05(1), 366.05(1)(a), FS</w:t>
        </w:r>
      </w:hyperlink>
      <w:r w:rsidRPr="007E7BB9">
        <w:rPr>
          <w:rFonts w:ascii="Times New Roman" w:eastAsia="Times New Roman" w:hAnsi="Times New Roman"/>
          <w:sz w:val="20"/>
          <w:szCs w:val="20"/>
        </w:rPr>
        <w:br/>
        <w:t xml:space="preserve">LAW IMPLEMENTED: </w:t>
      </w:r>
      <w:hyperlink r:id="rId11" w:tgtFrame="statute" w:history="1">
        <w:r w:rsidRPr="007E7BB9">
          <w:rPr>
            <w:rFonts w:ascii="Times New Roman" w:eastAsia="Times New Roman" w:hAnsi="Times New Roman"/>
            <w:color w:val="0000FF"/>
            <w:sz w:val="20"/>
            <w:szCs w:val="20"/>
            <w:u w:val="single"/>
          </w:rPr>
          <w:t>366.03</w:t>
        </w:r>
      </w:hyperlink>
      <w:r w:rsidRPr="007E7BB9">
        <w:rPr>
          <w:rFonts w:ascii="Times New Roman" w:eastAsia="Times New Roman" w:hAnsi="Times New Roman"/>
          <w:sz w:val="20"/>
          <w:szCs w:val="20"/>
        </w:rPr>
        <w:t xml:space="preserve">, </w:t>
      </w:r>
      <w:hyperlink r:id="rId12" w:tgtFrame="statute" w:history="1">
        <w:r w:rsidRPr="007E7BB9">
          <w:rPr>
            <w:rFonts w:ascii="Times New Roman" w:eastAsia="Times New Roman" w:hAnsi="Times New Roman"/>
            <w:color w:val="0000FF"/>
            <w:sz w:val="20"/>
            <w:szCs w:val="20"/>
            <w:u w:val="single"/>
          </w:rPr>
          <w:t>366.05(1)</w:t>
        </w:r>
      </w:hyperlink>
      <w:r w:rsidRPr="007E7BB9">
        <w:rPr>
          <w:rFonts w:ascii="Times New Roman" w:eastAsia="Times New Roman" w:hAnsi="Times New Roman"/>
          <w:sz w:val="20"/>
          <w:szCs w:val="20"/>
        </w:rPr>
        <w:t xml:space="preserve">, </w:t>
      </w:r>
      <w:hyperlink r:id="rId13" w:tgtFrame="statute" w:history="1">
        <w:r w:rsidRPr="007E7BB9">
          <w:rPr>
            <w:rFonts w:ascii="Times New Roman" w:eastAsia="Times New Roman" w:hAnsi="Times New Roman"/>
            <w:color w:val="0000FF"/>
            <w:sz w:val="20"/>
            <w:szCs w:val="20"/>
            <w:u w:val="single"/>
          </w:rPr>
          <w:t>366.05(1)(b)</w:t>
        </w:r>
      </w:hyperlink>
      <w:r w:rsidRPr="007E7BB9">
        <w:rPr>
          <w:rFonts w:ascii="Times New Roman" w:eastAsia="Times New Roman" w:hAnsi="Times New Roman"/>
          <w:sz w:val="20"/>
          <w:szCs w:val="20"/>
        </w:rPr>
        <w:t xml:space="preserve">, </w:t>
      </w:r>
      <w:hyperlink r:id="rId14" w:tgtFrame="statute" w:history="1">
        <w:r w:rsidRPr="007E7BB9">
          <w:rPr>
            <w:rFonts w:ascii="Times New Roman" w:eastAsia="Times New Roman" w:hAnsi="Times New Roman"/>
            <w:color w:val="0000FF"/>
            <w:sz w:val="20"/>
            <w:szCs w:val="20"/>
            <w:u w:val="single"/>
          </w:rPr>
          <w:t>366.05(1)(c)</w:t>
        </w:r>
      </w:hyperlink>
      <w:r w:rsidRPr="007E7BB9">
        <w:rPr>
          <w:rFonts w:ascii="Times New Roman" w:eastAsia="Times New Roman" w:hAnsi="Times New Roman"/>
          <w:sz w:val="20"/>
          <w:szCs w:val="20"/>
        </w:rPr>
        <w:t xml:space="preserve">, </w:t>
      </w:r>
      <w:hyperlink r:id="rId15" w:tgtFrame="statute" w:history="1">
        <w:r w:rsidRPr="007E7BB9">
          <w:rPr>
            <w:rFonts w:ascii="Times New Roman" w:eastAsia="Times New Roman" w:hAnsi="Times New Roman"/>
            <w:color w:val="0000FF"/>
            <w:sz w:val="20"/>
            <w:szCs w:val="20"/>
            <w:u w:val="single"/>
          </w:rPr>
          <w:t>366.05(1)(d)</w:t>
        </w:r>
      </w:hyperlink>
      <w:r w:rsidRPr="007E7BB9">
        <w:rPr>
          <w:rFonts w:ascii="Times New Roman" w:eastAsia="Times New Roman" w:hAnsi="Times New Roman"/>
          <w:sz w:val="20"/>
          <w:szCs w:val="20"/>
        </w:rPr>
        <w:t xml:space="preserve">, </w:t>
      </w:r>
      <w:hyperlink r:id="rId16" w:tgtFrame="statute" w:history="1">
        <w:r w:rsidRPr="007E7BB9">
          <w:rPr>
            <w:rFonts w:ascii="Times New Roman" w:eastAsia="Times New Roman" w:hAnsi="Times New Roman"/>
            <w:color w:val="0000FF"/>
            <w:sz w:val="20"/>
            <w:szCs w:val="20"/>
            <w:u w:val="single"/>
          </w:rPr>
          <w:t>366.06</w:t>
        </w:r>
      </w:hyperlink>
      <w:r w:rsidRPr="007E7BB9">
        <w:rPr>
          <w:rFonts w:ascii="Times New Roman" w:eastAsia="Times New Roman" w:hAnsi="Times New Roman"/>
          <w:sz w:val="20"/>
          <w:szCs w:val="20"/>
        </w:rPr>
        <w:t xml:space="preserve">, </w:t>
      </w:r>
      <w:hyperlink r:id="rId17" w:tgtFrame="statute" w:history="1">
        <w:r w:rsidRPr="007E7BB9">
          <w:rPr>
            <w:rFonts w:ascii="Times New Roman" w:eastAsia="Times New Roman" w:hAnsi="Times New Roman"/>
            <w:color w:val="0000FF"/>
            <w:sz w:val="20"/>
            <w:szCs w:val="20"/>
            <w:u w:val="single"/>
          </w:rPr>
          <w:t>366.06(1)</w:t>
        </w:r>
      </w:hyperlink>
      <w:r w:rsidRPr="007E7BB9">
        <w:rPr>
          <w:rFonts w:ascii="Times New Roman" w:eastAsia="Times New Roman" w:hAnsi="Times New Roman"/>
          <w:sz w:val="20"/>
          <w:szCs w:val="20"/>
        </w:rPr>
        <w:t>, FS.</w:t>
      </w:r>
      <w:r w:rsidRPr="007E7BB9">
        <w:rPr>
          <w:rFonts w:ascii="Times New Roman" w:eastAsia="Times New Roman" w:hAnsi="Times New Roman"/>
          <w:sz w:val="20"/>
          <w:szCs w:val="20"/>
        </w:rPr>
        <w:br/>
        <w:t>IF REQUESTED WITHIN 21 DAYS OF THE DATE OF THIS NOTICE, A HEARING WILL BE SCHEDULED AND ANNOUNCED IN THE FAR.</w:t>
      </w:r>
      <w:r w:rsidRPr="007E7BB9">
        <w:rPr>
          <w:rFonts w:ascii="Times New Roman" w:eastAsia="Times New Roman" w:hAnsi="Times New Roman"/>
          <w:sz w:val="20"/>
          <w:szCs w:val="20"/>
        </w:rPr>
        <w:br/>
        <w:t>THE PERSON TO BE CONTACTED REGARDING THE PROPOSED RULE IS: Pamela H. Page, Office of General Counsel, 2540 Shumard Oak Blvd., Tallahassee, FL 32399-0850, (850) 413-6214, phpage@psc.state.fl.us.</w:t>
      </w:r>
      <w:r w:rsidRPr="007E7BB9">
        <w:rPr>
          <w:rFonts w:ascii="Times New Roman" w:eastAsia="Times New Roman" w:hAnsi="Times New Roman"/>
          <w:sz w:val="20"/>
          <w:szCs w:val="20"/>
        </w:rPr>
        <w:br/>
      </w:r>
      <w:r w:rsidRPr="007E7BB9">
        <w:rPr>
          <w:rFonts w:ascii="Times New Roman" w:eastAsia="Times New Roman" w:hAnsi="Times New Roman"/>
          <w:sz w:val="20"/>
          <w:szCs w:val="20"/>
        </w:rPr>
        <w:br/>
        <w:t xml:space="preserve">THE FULL TEXT OF THE PROPOSED RULE IS: </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b/>
          <w:sz w:val="20"/>
          <w:szCs w:val="20"/>
        </w:rPr>
      </w:pPr>
      <w:r w:rsidRPr="007E7BB9">
        <w:rPr>
          <w:rFonts w:ascii="Times New Roman" w:eastAsia="Times New Roman" w:hAnsi="Times New Roman"/>
          <w:b/>
          <w:sz w:val="20"/>
          <w:szCs w:val="20"/>
        </w:rPr>
        <w:lastRenderedPageBreak/>
        <w:tab/>
        <w:t>25-7.079 Information to Customers.</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(1) </w:t>
      </w:r>
      <w:r w:rsidRPr="007E7BB9">
        <w:rPr>
          <w:rFonts w:ascii="Times New Roman" w:eastAsia="Times New Roman" w:hAnsi="Times New Roman"/>
          <w:strike/>
          <w:sz w:val="20"/>
          <w:szCs w:val="20"/>
        </w:rPr>
        <w:t>Each utility shall, upon request, give its customers such information and assistance as is reasonable, in order that the customer may secure safe and efficient service.</w:t>
      </w:r>
      <w:r w:rsidRPr="007E7BB9">
        <w:rPr>
          <w:rFonts w:ascii="Times New Roman" w:eastAsia="Times New Roman" w:hAnsi="Times New Roman"/>
          <w:sz w:val="20"/>
          <w:szCs w:val="20"/>
        </w:rPr>
        <w:t xml:space="preserve"> The utility shall, when requested</w:t>
      </w:r>
      <w:r w:rsidRPr="007E7BB9">
        <w:rPr>
          <w:rFonts w:ascii="Times New Roman" w:eastAsia="Times New Roman" w:hAnsi="Times New Roman"/>
          <w:strike/>
          <w:sz w:val="20"/>
          <w:szCs w:val="20"/>
        </w:rPr>
        <w:t>,</w:t>
      </w:r>
      <w:r w:rsidRPr="007E7BB9">
        <w:rPr>
          <w:rFonts w:ascii="Times New Roman" w:eastAsia="Times New Roman" w:hAnsi="Times New Roman"/>
          <w:sz w:val="20"/>
          <w:szCs w:val="20"/>
        </w:rPr>
        <w:t xml:space="preserve"> </w:t>
      </w:r>
      <w:r w:rsidRPr="007E7BB9">
        <w:rPr>
          <w:rFonts w:ascii="Times New Roman" w:eastAsia="Times New Roman" w:hAnsi="Times New Roman"/>
          <w:sz w:val="20"/>
          <w:szCs w:val="20"/>
          <w:u w:val="single"/>
        </w:rPr>
        <w:t>by the customer</w:t>
      </w:r>
      <w:r w:rsidRPr="007E7BB9">
        <w:rPr>
          <w:rFonts w:ascii="Times New Roman" w:eastAsia="Times New Roman" w:hAnsi="Times New Roman"/>
          <w:sz w:val="20"/>
          <w:szCs w:val="20"/>
        </w:rPr>
        <w:t xml:space="preserve">, provide </w:t>
      </w:r>
      <w:r w:rsidRPr="007E7BB9">
        <w:rPr>
          <w:rFonts w:ascii="Times New Roman" w:eastAsia="Times New Roman" w:hAnsi="Times New Roman"/>
          <w:sz w:val="20"/>
          <w:szCs w:val="20"/>
          <w:u w:val="single"/>
        </w:rPr>
        <w:t>to the</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any</w:t>
      </w:r>
      <w:r w:rsidRPr="007E7BB9">
        <w:rPr>
          <w:rFonts w:ascii="Times New Roman" w:eastAsia="Times New Roman" w:hAnsi="Times New Roman"/>
          <w:sz w:val="20"/>
          <w:szCs w:val="20"/>
        </w:rPr>
        <w:t xml:space="preserve"> customer information as to the method of reading meters and derivation of billing therefrom.</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(2) Upon request of </w:t>
      </w:r>
      <w:r w:rsidRPr="007E7BB9">
        <w:rPr>
          <w:rFonts w:ascii="Times New Roman" w:eastAsia="Times New Roman" w:hAnsi="Times New Roman"/>
          <w:sz w:val="20"/>
          <w:szCs w:val="20"/>
          <w:u w:val="single"/>
        </w:rPr>
        <w:t>the</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any</w:t>
      </w:r>
      <w:r w:rsidRPr="007E7BB9">
        <w:rPr>
          <w:rFonts w:ascii="Times New Roman" w:eastAsia="Times New Roman" w:hAnsi="Times New Roman"/>
          <w:sz w:val="20"/>
          <w:szCs w:val="20"/>
        </w:rPr>
        <w:t xml:space="preserve"> customer, </w:t>
      </w:r>
      <w:r w:rsidRPr="007E7BB9">
        <w:rPr>
          <w:rFonts w:ascii="Times New Roman" w:eastAsia="Times New Roman" w:hAnsi="Times New Roman"/>
          <w:strike/>
          <w:sz w:val="20"/>
          <w:szCs w:val="20"/>
        </w:rPr>
        <w:t>it shall be the duty of</w:t>
      </w:r>
      <w:r w:rsidRPr="007E7BB9">
        <w:rPr>
          <w:rFonts w:ascii="Times New Roman" w:eastAsia="Times New Roman" w:hAnsi="Times New Roman"/>
          <w:sz w:val="20"/>
          <w:szCs w:val="20"/>
        </w:rPr>
        <w:t xml:space="preserve"> the utility </w:t>
      </w:r>
      <w:r w:rsidRPr="007E7BB9">
        <w:rPr>
          <w:rFonts w:ascii="Times New Roman" w:eastAsia="Times New Roman" w:hAnsi="Times New Roman"/>
          <w:sz w:val="20"/>
          <w:szCs w:val="20"/>
          <w:u w:val="single"/>
        </w:rPr>
        <w:t>shall</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to</w:t>
      </w:r>
      <w:r w:rsidRPr="007E7BB9">
        <w:rPr>
          <w:rFonts w:ascii="Times New Roman" w:eastAsia="Times New Roman" w:hAnsi="Times New Roman"/>
          <w:sz w:val="20"/>
          <w:szCs w:val="20"/>
        </w:rPr>
        <w:t xml:space="preserve"> provide to the customer</w:t>
      </w:r>
      <w:r w:rsidRPr="007E7BB9">
        <w:rPr>
          <w:rFonts w:ascii="Times New Roman" w:eastAsia="Times New Roman" w:hAnsi="Times New Roman"/>
          <w:strike/>
          <w:sz w:val="20"/>
          <w:szCs w:val="20"/>
        </w:rPr>
        <w:t>,</w:t>
      </w:r>
      <w:r w:rsidRPr="007E7BB9">
        <w:rPr>
          <w:rFonts w:ascii="Times New Roman" w:eastAsia="Times New Roman" w:hAnsi="Times New Roman"/>
          <w:sz w:val="20"/>
          <w:szCs w:val="20"/>
        </w:rPr>
        <w:t xml:space="preserve"> a copy and/or explanation of the utility’s rates applicable to the type or types of service furnished or to be furnished </w:t>
      </w:r>
      <w:r w:rsidRPr="007E7BB9">
        <w:rPr>
          <w:rFonts w:ascii="Times New Roman" w:eastAsia="Times New Roman" w:hAnsi="Times New Roman"/>
          <w:sz w:val="20"/>
          <w:szCs w:val="20"/>
          <w:u w:val="single"/>
        </w:rPr>
        <w:t>to the</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such</w:t>
      </w:r>
      <w:r w:rsidRPr="007E7BB9">
        <w:rPr>
          <w:rFonts w:ascii="Times New Roman" w:eastAsia="Times New Roman" w:hAnsi="Times New Roman"/>
          <w:sz w:val="20"/>
          <w:szCs w:val="20"/>
        </w:rPr>
        <w:t xml:space="preserve"> customer</w:t>
      </w:r>
      <w:r w:rsidRPr="007E7BB9">
        <w:rPr>
          <w:rFonts w:ascii="Times New Roman" w:eastAsia="Times New Roman" w:hAnsi="Times New Roman"/>
          <w:strike/>
          <w:sz w:val="20"/>
          <w:szCs w:val="20"/>
        </w:rPr>
        <w:t>, and to assist him in obtaining the rate which is most advantageous for his service requirements</w:t>
      </w:r>
      <w:r w:rsidRPr="007E7BB9">
        <w:rPr>
          <w:rFonts w:ascii="Times New Roman" w:eastAsia="Times New Roman" w:hAnsi="Times New Roman"/>
          <w:sz w:val="20"/>
          <w:szCs w:val="20"/>
        </w:rPr>
        <w:t>.</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i/>
          <w:sz w:val="20"/>
          <w:szCs w:val="20"/>
        </w:rPr>
      </w:pPr>
      <w:r w:rsidRPr="007E7BB9">
        <w:rPr>
          <w:rFonts w:ascii="Times New Roman" w:eastAsia="Times New Roman" w:hAnsi="Times New Roman"/>
          <w:i/>
          <w:sz w:val="20"/>
          <w:szCs w:val="20"/>
        </w:rPr>
        <w:t xml:space="preserve">Rulemaking Authority 366.05(1) FS. Law Implemented 366.03, 366.05(1), 366.06 FS. History–New 1-8-75, Repromulgated 5-4-75, Formerly 25-7.79, </w:t>
      </w:r>
      <w:r w:rsidRPr="007E7BB9">
        <w:rPr>
          <w:rFonts w:ascii="Times New Roman" w:eastAsia="Times New Roman" w:hAnsi="Times New Roman"/>
          <w:i/>
          <w:sz w:val="20"/>
          <w:szCs w:val="20"/>
          <w:u w:val="single"/>
        </w:rPr>
        <w:t>Amended</w:t>
      </w:r>
      <w:r w:rsidRPr="007E7BB9">
        <w:rPr>
          <w:rFonts w:ascii="Times New Roman" w:eastAsia="Times New Roman" w:hAnsi="Times New Roman"/>
          <w:sz w:val="20"/>
          <w:szCs w:val="20"/>
        </w:rPr>
        <w:t xml:space="preserve"> </w:t>
      </w:r>
      <w:r w:rsidRPr="007E7BB9">
        <w:rPr>
          <w:rFonts w:ascii="Times New Roman" w:eastAsia="Times New Roman" w:hAnsi="Times New Roman"/>
          <w:i/>
          <w:sz w:val="20"/>
          <w:szCs w:val="20"/>
        </w:rPr>
        <w:t>___________</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p>
    <w:p w:rsidR="007E7BB9" w:rsidRPr="007E7BB9" w:rsidRDefault="007E7BB9" w:rsidP="007E7BB9">
      <w:pPr>
        <w:tabs>
          <w:tab w:val="left" w:pos="360"/>
        </w:tabs>
        <w:spacing w:line="312" w:lineRule="auto"/>
        <w:jc w:val="both"/>
        <w:rPr>
          <w:rFonts w:ascii="Times New Roman" w:eastAsia="Times New Roman" w:hAnsi="Times New Roman"/>
          <w:b/>
          <w:sz w:val="20"/>
          <w:szCs w:val="20"/>
        </w:rPr>
      </w:pPr>
      <w:r w:rsidRPr="007E7BB9">
        <w:rPr>
          <w:rFonts w:ascii="Times New Roman" w:eastAsia="Times New Roman" w:hAnsi="Times New Roman"/>
          <w:b/>
          <w:sz w:val="20"/>
          <w:szCs w:val="20"/>
        </w:rPr>
        <w:tab/>
        <w:t>25-7.083 Customer Deposits</w:t>
      </w:r>
    </w:p>
    <w:p w:rsidR="007E7BB9" w:rsidRPr="007E7BB9" w:rsidRDefault="007E7BB9" w:rsidP="007E7BB9">
      <w:pPr>
        <w:tabs>
          <w:tab w:val="left" w:pos="360"/>
        </w:tabs>
        <w:spacing w:line="312" w:lineRule="auto"/>
        <w:jc w:val="both"/>
        <w:rPr>
          <w:rFonts w:ascii="Times New Roman" w:eastAsia="Times New Roman" w:hAnsi="Times New Roman"/>
          <w:strike/>
          <w:sz w:val="20"/>
          <w:szCs w:val="20"/>
        </w:rPr>
      </w:pPr>
      <w:r w:rsidRPr="007E7BB9">
        <w:rPr>
          <w:rFonts w:ascii="Times New Roman" w:eastAsia="Times New Roman" w:hAnsi="Times New Roman"/>
          <w:sz w:val="20"/>
          <w:szCs w:val="20"/>
        </w:rPr>
        <w:tab/>
        <w:t xml:space="preserve">(1) </w:t>
      </w:r>
      <w:r w:rsidRPr="007E7BB9">
        <w:rPr>
          <w:rFonts w:ascii="Times New Roman" w:eastAsia="Times New Roman" w:hAnsi="Times New Roman"/>
          <w:strike/>
          <w:sz w:val="20"/>
          <w:szCs w:val="20"/>
        </w:rPr>
        <w:t>Deposit required; establishment of credit.</w:t>
      </w:r>
      <w:r w:rsidRPr="007E7BB9">
        <w:rPr>
          <w:rFonts w:ascii="Times New Roman" w:eastAsia="Times New Roman" w:hAnsi="Times New Roman"/>
          <w:sz w:val="20"/>
          <w:szCs w:val="20"/>
        </w:rPr>
        <w:t xml:space="preserve"> Each </w:t>
      </w:r>
      <w:r w:rsidRPr="007E7BB9">
        <w:rPr>
          <w:rFonts w:ascii="Times New Roman" w:eastAsia="Times New Roman" w:hAnsi="Times New Roman"/>
          <w:sz w:val="20"/>
          <w:szCs w:val="20"/>
          <w:u w:val="single"/>
        </w:rPr>
        <w:t>utility’s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company’s</w:t>
      </w:r>
      <w:r w:rsidRPr="007E7BB9">
        <w:rPr>
          <w:rFonts w:ascii="Times New Roman" w:eastAsia="Times New Roman" w:hAnsi="Times New Roman"/>
          <w:sz w:val="20"/>
          <w:szCs w:val="20"/>
        </w:rPr>
        <w:t xml:space="preserve"> tariff shall </w:t>
      </w:r>
      <w:r w:rsidRPr="007E7BB9">
        <w:rPr>
          <w:rFonts w:ascii="Times New Roman" w:eastAsia="Times New Roman" w:hAnsi="Times New Roman"/>
          <w:sz w:val="20"/>
          <w:szCs w:val="20"/>
          <w:u w:val="single"/>
        </w:rPr>
        <w:t>state the methodology</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contain their specific criteria</w:t>
      </w:r>
      <w:r w:rsidRPr="007E7BB9">
        <w:rPr>
          <w:rFonts w:ascii="Times New Roman" w:eastAsia="Times New Roman" w:hAnsi="Times New Roman"/>
          <w:sz w:val="20"/>
          <w:szCs w:val="20"/>
        </w:rPr>
        <w:t xml:space="preserve"> for determining the amount of </w:t>
      </w:r>
      <w:r w:rsidRPr="007E7BB9">
        <w:rPr>
          <w:rFonts w:ascii="Times New Roman" w:eastAsia="Times New Roman" w:hAnsi="Times New Roman"/>
          <w:sz w:val="20"/>
          <w:szCs w:val="20"/>
          <w:u w:val="single"/>
        </w:rPr>
        <w:t>the</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initial</w:t>
      </w:r>
      <w:r w:rsidRPr="007E7BB9">
        <w:rPr>
          <w:rFonts w:ascii="Times New Roman" w:eastAsia="Times New Roman" w:hAnsi="Times New Roman"/>
          <w:sz w:val="20"/>
          <w:szCs w:val="20"/>
        </w:rPr>
        <w:t xml:space="preserve"> deposit </w:t>
      </w:r>
      <w:r w:rsidRPr="007E7BB9">
        <w:rPr>
          <w:rFonts w:ascii="Times New Roman" w:eastAsia="Times New Roman" w:hAnsi="Times New Roman"/>
          <w:sz w:val="20"/>
          <w:szCs w:val="20"/>
          <w:u w:val="single"/>
        </w:rPr>
        <w:t>charged for existing accounts and new service requests. The methodology shall conform to Section 366.05(1)(c), F.S.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7E7BB9" w:rsidRPr="007E7BB9" w:rsidRDefault="007E7BB9" w:rsidP="007E7BB9">
      <w:pPr>
        <w:widowControl w:val="0"/>
        <w:tabs>
          <w:tab w:val="left" w:pos="360"/>
        </w:tabs>
        <w:spacing w:line="312" w:lineRule="auto"/>
        <w:jc w:val="both"/>
        <w:rPr>
          <w:rFonts w:ascii="Times New Roman" w:eastAsia="Times New Roman" w:hAnsi="Times New Roman"/>
          <w:strike/>
          <w:sz w:val="20"/>
          <w:szCs w:val="20"/>
        </w:rPr>
      </w:pPr>
      <w:r w:rsidRPr="007E7BB9">
        <w:rPr>
          <w:rFonts w:ascii="Times New Roman" w:eastAsia="Times New Roman" w:hAnsi="Times New Roman"/>
          <w:sz w:val="20"/>
          <w:szCs w:val="20"/>
        </w:rPr>
        <w:tab/>
      </w:r>
      <w:r w:rsidRPr="007E7BB9">
        <w:rPr>
          <w:rFonts w:ascii="Times New Roman" w:eastAsia="Times New Roman" w:hAnsi="Times New Roman"/>
          <w:strike/>
          <w:sz w:val="20"/>
          <w:szCs w:val="20"/>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(6) of this rule. Guarantors providing security for payment of residential customers’ bills shall only be liable for bills contracted at the service address contained in the contract of guaranty.</w:t>
      </w:r>
    </w:p>
    <w:p w:rsidR="007E7BB9" w:rsidRPr="007E7BB9" w:rsidRDefault="007E7BB9" w:rsidP="007E7BB9">
      <w:pPr>
        <w:widowControl w:val="0"/>
        <w:tabs>
          <w:tab w:val="left" w:pos="360"/>
        </w:tabs>
        <w:spacing w:line="312" w:lineRule="auto"/>
        <w:jc w:val="both"/>
        <w:rPr>
          <w:rFonts w:ascii="Times New Roman" w:eastAsia="Times New Roman" w:hAnsi="Times New Roman"/>
          <w:strike/>
          <w:sz w:val="20"/>
          <w:szCs w:val="20"/>
        </w:rPr>
      </w:pPr>
      <w:r w:rsidRPr="007E7BB9">
        <w:rPr>
          <w:rFonts w:ascii="Times New Roman" w:eastAsia="Times New Roman" w:hAnsi="Times New Roman"/>
          <w:sz w:val="20"/>
          <w:szCs w:val="20"/>
        </w:rPr>
        <w:tab/>
      </w:r>
      <w:r w:rsidRPr="007E7BB9">
        <w:rPr>
          <w:rFonts w:ascii="Times New Roman" w:eastAsia="Times New Roman" w:hAnsi="Times New Roman"/>
          <w:strike/>
          <w:sz w:val="20"/>
          <w:szCs w:val="20"/>
        </w:rPr>
        <w:t>(b) The applicant pays a cash deposit.</w:t>
      </w:r>
    </w:p>
    <w:p w:rsidR="007E7BB9" w:rsidRPr="007E7BB9" w:rsidRDefault="007E7BB9" w:rsidP="007E7BB9">
      <w:pPr>
        <w:widowControl w:val="0"/>
        <w:tabs>
          <w:tab w:val="left" w:pos="360"/>
        </w:tabs>
        <w:spacing w:line="312" w:lineRule="auto"/>
        <w:jc w:val="both"/>
        <w:rPr>
          <w:rFonts w:ascii="Times New Roman" w:eastAsia="Times New Roman" w:hAnsi="Times New Roman"/>
          <w:strike/>
          <w:sz w:val="20"/>
          <w:szCs w:val="20"/>
        </w:rPr>
      </w:pPr>
      <w:r w:rsidRPr="007E7BB9">
        <w:rPr>
          <w:rFonts w:ascii="Times New Roman" w:eastAsia="Times New Roman" w:hAnsi="Times New Roman"/>
          <w:sz w:val="20"/>
          <w:szCs w:val="20"/>
        </w:rPr>
        <w:tab/>
      </w:r>
      <w:r w:rsidRPr="007E7BB9">
        <w:rPr>
          <w:rFonts w:ascii="Times New Roman" w:eastAsia="Times New Roman" w:hAnsi="Times New Roman"/>
          <w:strike/>
          <w:sz w:val="20"/>
          <w:szCs w:val="20"/>
        </w:rPr>
        <w:t>(c) The applicant for service furnishes an irrevocable letter of credit from a bank or a surety bond.</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r>
      <w:r w:rsidRPr="007E7BB9">
        <w:rPr>
          <w:rFonts w:ascii="Times New Roman" w:eastAsia="Times New Roman" w:hAnsi="Times New Roman"/>
          <w:sz w:val="20"/>
          <w:szCs w:val="20"/>
          <w:u w:val="single"/>
        </w:rPr>
        <w:t>(2) Each utility may require an applicant for service to satisfactorily establish credit, but such establishment of credit shall not relieve the customer from complying with the utility’s rules for payment of bills. Credit will be deemed so established if:</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u w:val="single"/>
        </w:rPr>
      </w:pPr>
      <w:r w:rsidRPr="007E7BB9">
        <w:rPr>
          <w:rFonts w:ascii="Times New Roman" w:eastAsia="Times New Roman" w:hAnsi="Times New Roman"/>
          <w:sz w:val="20"/>
          <w:szCs w:val="20"/>
        </w:rPr>
        <w:tab/>
      </w:r>
      <w:r w:rsidRPr="007E7BB9">
        <w:rPr>
          <w:rFonts w:ascii="Times New Roman" w:eastAsia="Times New Roman" w:hAnsi="Times New Roman"/>
          <w:sz w:val="20"/>
          <w:szCs w:val="20"/>
          <w:u w:val="single"/>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(7) of this rule. Guarantors providing security for payment of residential customers’ bills shall only be liable for bills contracted at the service address contained in the contract of guaranty.</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u w:val="single"/>
        </w:rPr>
      </w:pPr>
      <w:r w:rsidRPr="007E7BB9">
        <w:rPr>
          <w:rFonts w:ascii="Times New Roman" w:eastAsia="Times New Roman" w:hAnsi="Times New Roman"/>
          <w:sz w:val="20"/>
          <w:szCs w:val="20"/>
        </w:rPr>
        <w:tab/>
      </w:r>
      <w:r w:rsidRPr="007E7BB9">
        <w:rPr>
          <w:rFonts w:ascii="Times New Roman" w:eastAsia="Times New Roman" w:hAnsi="Times New Roman"/>
          <w:sz w:val="20"/>
          <w:szCs w:val="20"/>
          <w:u w:val="single"/>
        </w:rPr>
        <w:t>(b) The applicant pays a cash deposit.</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u w:val="single"/>
        </w:rPr>
      </w:pPr>
      <w:r w:rsidRPr="007E7BB9">
        <w:rPr>
          <w:rFonts w:ascii="Times New Roman" w:eastAsia="Times New Roman" w:hAnsi="Times New Roman"/>
          <w:sz w:val="20"/>
          <w:szCs w:val="20"/>
        </w:rPr>
        <w:tab/>
      </w:r>
      <w:r w:rsidRPr="007E7BB9">
        <w:rPr>
          <w:rFonts w:ascii="Times New Roman" w:eastAsia="Times New Roman" w:hAnsi="Times New Roman"/>
          <w:sz w:val="20"/>
          <w:szCs w:val="20"/>
          <w:u w:val="single"/>
        </w:rPr>
        <w:t>(c) The applicant for service furnishes an irrevocable letter of credit from a bank or a surety bond.</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w:t>
      </w:r>
      <w:r w:rsidRPr="007E7BB9">
        <w:rPr>
          <w:rFonts w:ascii="Times New Roman" w:eastAsia="Times New Roman" w:hAnsi="Times New Roman"/>
          <w:sz w:val="20"/>
          <w:szCs w:val="20"/>
          <w:u w:val="single"/>
        </w:rPr>
        <w:t>3</w:t>
      </w:r>
      <w:r w:rsidRPr="007E7BB9">
        <w:rPr>
          <w:rFonts w:ascii="Times New Roman" w:eastAsia="Times New Roman" w:hAnsi="Times New Roman"/>
          <w:strike/>
          <w:sz w:val="20"/>
          <w:szCs w:val="20"/>
        </w:rPr>
        <w:t>2</w:t>
      </w:r>
      <w:r w:rsidRPr="007E7BB9">
        <w:rPr>
          <w:rFonts w:ascii="Times New Roman" w:eastAsia="Times New Roman" w:hAnsi="Times New Roman"/>
          <w:sz w:val="20"/>
          <w:szCs w:val="20"/>
        </w:rPr>
        <w:t xml:space="preserve">) Receipt for deposit. </w:t>
      </w:r>
      <w:r w:rsidRPr="007E7BB9">
        <w:rPr>
          <w:rFonts w:ascii="Times New Roman" w:eastAsia="Times New Roman" w:hAnsi="Times New Roman"/>
          <w:sz w:val="20"/>
          <w:szCs w:val="20"/>
          <w:u w:val="single"/>
        </w:rPr>
        <w:t>The utility shall provide a receipt to the customer for any deposit received from the customer.</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 xml:space="preserve">A non-transferable certificate of deposit shall be issued to each customer and means provided so that the </w:t>
      </w:r>
      <w:r w:rsidRPr="007E7BB9">
        <w:rPr>
          <w:rFonts w:ascii="Times New Roman" w:eastAsia="Times New Roman" w:hAnsi="Times New Roman"/>
          <w:strike/>
          <w:sz w:val="20"/>
          <w:szCs w:val="20"/>
        </w:rPr>
        <w:lastRenderedPageBreak/>
        <w:t>customer may claim the deposit if the certificate is lost. When a new or additional deposit is required under subsection (3) of this rule a customer’s cancelled check or validated bill coupon may serve as a deposit receipt.</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w:t>
      </w:r>
      <w:r w:rsidRPr="007E7BB9">
        <w:rPr>
          <w:rFonts w:ascii="Times New Roman" w:eastAsia="Times New Roman" w:hAnsi="Times New Roman"/>
          <w:sz w:val="20"/>
          <w:szCs w:val="20"/>
          <w:u w:val="single"/>
        </w:rPr>
        <w:t>4</w:t>
      </w:r>
      <w:r w:rsidRPr="007E7BB9">
        <w:rPr>
          <w:rFonts w:ascii="Times New Roman" w:eastAsia="Times New Roman" w:hAnsi="Times New Roman"/>
          <w:strike/>
          <w:sz w:val="20"/>
          <w:szCs w:val="20"/>
        </w:rPr>
        <w:t>3</w:t>
      </w:r>
      <w:r w:rsidRPr="007E7BB9">
        <w:rPr>
          <w:rFonts w:ascii="Times New Roman" w:eastAsia="Times New Roman" w:hAnsi="Times New Roman"/>
          <w:sz w:val="20"/>
          <w:szCs w:val="20"/>
        </w:rPr>
        <w:t xml:space="preserve">) </w:t>
      </w:r>
      <w:r w:rsidRPr="007E7BB9">
        <w:rPr>
          <w:rFonts w:ascii="Times New Roman" w:eastAsia="Times New Roman" w:hAnsi="Times New Roman"/>
          <w:sz w:val="20"/>
          <w:szCs w:val="20"/>
          <w:u w:val="single"/>
        </w:rPr>
        <w:t>Deposits for existing accounts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New or additional deposits</w:t>
      </w:r>
      <w:r w:rsidRPr="007E7BB9">
        <w:rPr>
          <w:rFonts w:ascii="Times New Roman" w:eastAsia="Times New Roman" w:hAnsi="Times New Roman"/>
          <w:sz w:val="20"/>
          <w:szCs w:val="20"/>
        </w:rPr>
        <w:t xml:space="preserve">. A utility may </w:t>
      </w:r>
      <w:r w:rsidRPr="007E7BB9">
        <w:rPr>
          <w:rFonts w:ascii="Times New Roman" w:eastAsia="Times New Roman" w:hAnsi="Times New Roman"/>
          <w:sz w:val="20"/>
          <w:szCs w:val="20"/>
          <w:u w:val="single"/>
        </w:rPr>
        <w:t>charge</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require</w:t>
      </w:r>
      <w:r w:rsidRPr="007E7BB9">
        <w:rPr>
          <w:rFonts w:ascii="Times New Roman" w:eastAsia="Times New Roman" w:hAnsi="Times New Roman"/>
          <w:sz w:val="20"/>
          <w:szCs w:val="20"/>
        </w:rPr>
        <w:t xml:space="preserve">, upon </w:t>
      </w:r>
      <w:r w:rsidRPr="007E7BB9">
        <w:rPr>
          <w:rFonts w:ascii="Times New Roman" w:eastAsia="Times New Roman" w:hAnsi="Times New Roman"/>
          <w:strike/>
          <w:sz w:val="20"/>
          <w:szCs w:val="20"/>
        </w:rPr>
        <w:t>reasonable</w:t>
      </w:r>
      <w:r w:rsidRPr="007E7BB9">
        <w:rPr>
          <w:rFonts w:ascii="Times New Roman" w:eastAsia="Times New Roman" w:hAnsi="Times New Roman"/>
          <w:sz w:val="20"/>
          <w:szCs w:val="20"/>
        </w:rPr>
        <w:t xml:space="preserve"> written notice </w:t>
      </w:r>
      <w:r w:rsidRPr="007E7BB9">
        <w:rPr>
          <w:rFonts w:ascii="Times New Roman" w:eastAsia="Times New Roman" w:hAnsi="Times New Roman"/>
          <w:sz w:val="20"/>
          <w:szCs w:val="20"/>
          <w:u w:val="single"/>
        </w:rPr>
        <w:t>to the customer</w:t>
      </w:r>
      <w:r w:rsidRPr="007E7BB9">
        <w:rPr>
          <w:rFonts w:ascii="Times New Roman" w:eastAsia="Times New Roman" w:hAnsi="Times New Roman"/>
          <w:sz w:val="20"/>
          <w:szCs w:val="20"/>
        </w:rPr>
        <w:t xml:space="preserve"> of not less than 30 days, </w:t>
      </w:r>
      <w:r w:rsidRPr="007E7BB9">
        <w:rPr>
          <w:rFonts w:ascii="Times New Roman" w:eastAsia="Times New Roman" w:hAnsi="Times New Roman"/>
          <w:strike/>
          <w:sz w:val="20"/>
          <w:szCs w:val="20"/>
        </w:rPr>
        <w:t>such request or notice being separate and apart from any bill for service, a new deposit, where previously waived or returned, or an additional</w:t>
      </w:r>
      <w:r w:rsidRPr="007E7BB9">
        <w:rPr>
          <w:rFonts w:ascii="Times New Roman" w:eastAsia="Times New Roman" w:hAnsi="Times New Roman"/>
          <w:sz w:val="20"/>
          <w:szCs w:val="20"/>
        </w:rPr>
        <w:t xml:space="preserve"> </w:t>
      </w:r>
      <w:r w:rsidRPr="007E7BB9">
        <w:rPr>
          <w:rFonts w:ascii="Times New Roman" w:eastAsia="Times New Roman" w:hAnsi="Times New Roman"/>
          <w:sz w:val="20"/>
          <w:szCs w:val="20"/>
          <w:u w:val="single"/>
        </w:rPr>
        <w:t>a</w:t>
      </w:r>
      <w:r w:rsidRPr="007E7BB9">
        <w:rPr>
          <w:rFonts w:ascii="Times New Roman" w:eastAsia="Times New Roman" w:hAnsi="Times New Roman"/>
          <w:sz w:val="20"/>
          <w:szCs w:val="20"/>
        </w:rPr>
        <w:t xml:space="preserve"> deposit </w:t>
      </w:r>
      <w:r w:rsidRPr="007E7BB9">
        <w:rPr>
          <w:rFonts w:ascii="Times New Roman" w:eastAsia="Times New Roman" w:hAnsi="Times New Roman"/>
          <w:sz w:val="20"/>
          <w:szCs w:val="20"/>
          <w:u w:val="single"/>
        </w:rPr>
        <w:t>on an existing account</w:t>
      </w:r>
      <w:r w:rsidRPr="007E7BB9">
        <w:rPr>
          <w:rFonts w:ascii="Times New Roman" w:eastAsia="Times New Roman" w:hAnsi="Times New Roman"/>
          <w:strike/>
          <w:sz w:val="20"/>
          <w:szCs w:val="20"/>
        </w:rPr>
        <w:t>,</w:t>
      </w:r>
      <w:r w:rsidRPr="007E7BB9">
        <w:rPr>
          <w:rFonts w:ascii="Times New Roman" w:eastAsia="Times New Roman" w:hAnsi="Times New Roman"/>
          <w:sz w:val="20"/>
          <w:szCs w:val="20"/>
        </w:rPr>
        <w:t xml:space="preserve"> in order to secure payment of </w:t>
      </w:r>
      <w:r w:rsidRPr="007E7BB9">
        <w:rPr>
          <w:rFonts w:ascii="Times New Roman" w:eastAsia="Times New Roman" w:hAnsi="Times New Roman"/>
          <w:strike/>
          <w:sz w:val="20"/>
          <w:szCs w:val="20"/>
        </w:rPr>
        <w:t>current</w:t>
      </w:r>
      <w:r w:rsidRPr="007E7BB9">
        <w:rPr>
          <w:rFonts w:ascii="Times New Roman" w:eastAsia="Times New Roman" w:hAnsi="Times New Roman"/>
          <w:sz w:val="20"/>
          <w:szCs w:val="20"/>
        </w:rPr>
        <w:t xml:space="preserve"> bills</w:t>
      </w:r>
      <w:r w:rsidRPr="007E7BB9">
        <w:rPr>
          <w:rFonts w:ascii="Times New Roman" w:eastAsia="Times New Roman" w:hAnsi="Times New Roman"/>
          <w:strike/>
          <w:sz w:val="20"/>
          <w:szCs w:val="20"/>
        </w:rPr>
        <w:t>; provided, however, that the total amount of the required deposit shall not exceed an amount equal to the average actual charges for gas service for two billing periods for the 12-month period immediately prior to the date of notice. In the event the customer has had service less than 12 months, then the utility shall base its new or additional deposit upon the average actual monthly billing available</w:t>
      </w:r>
      <w:r w:rsidRPr="007E7BB9">
        <w:rPr>
          <w:rFonts w:ascii="Times New Roman" w:eastAsia="Times New Roman" w:hAnsi="Times New Roman"/>
          <w:sz w:val="20"/>
          <w:szCs w:val="20"/>
        </w:rPr>
        <w:t xml:space="preserve">. </w:t>
      </w:r>
      <w:r w:rsidRPr="007E7BB9">
        <w:rPr>
          <w:rFonts w:ascii="Times New Roman" w:eastAsia="Times New Roman" w:hAnsi="Times New Roman"/>
          <w:sz w:val="20"/>
          <w:szCs w:val="20"/>
          <w:u w:val="single"/>
        </w:rPr>
        <w:t>Such request for a deposit shall be separate and apart from any bill for service and shall explain the reason for the deposit. The deposit charged must conform to the requirements of Section 366.05(1)(c)1., F.S.</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w:t>
      </w:r>
      <w:r w:rsidRPr="007E7BB9">
        <w:rPr>
          <w:rFonts w:ascii="Times New Roman" w:eastAsia="Times New Roman" w:hAnsi="Times New Roman"/>
          <w:sz w:val="20"/>
          <w:szCs w:val="20"/>
          <w:u w:val="single"/>
        </w:rPr>
        <w:t>5</w:t>
      </w:r>
      <w:r w:rsidRPr="007E7BB9">
        <w:rPr>
          <w:rFonts w:ascii="Times New Roman" w:eastAsia="Times New Roman" w:hAnsi="Times New Roman"/>
          <w:strike/>
          <w:sz w:val="20"/>
          <w:szCs w:val="20"/>
        </w:rPr>
        <w:t>4</w:t>
      </w:r>
      <w:r w:rsidRPr="007E7BB9">
        <w:rPr>
          <w:rFonts w:ascii="Times New Roman" w:eastAsia="Times New Roman" w:hAnsi="Times New Roman"/>
          <w:sz w:val="20"/>
          <w:szCs w:val="20"/>
        </w:rPr>
        <w:t xml:space="preserve">) Record of deposit. Each utility </w:t>
      </w:r>
      <w:r w:rsidRPr="007E7BB9">
        <w:rPr>
          <w:rFonts w:ascii="Times New Roman" w:eastAsia="Times New Roman" w:hAnsi="Times New Roman"/>
          <w:strike/>
          <w:sz w:val="20"/>
          <w:szCs w:val="20"/>
        </w:rPr>
        <w:t>having on hand deposits from customers or hereafter receiving deposits from them</w:t>
      </w:r>
      <w:r w:rsidRPr="007E7BB9">
        <w:rPr>
          <w:rFonts w:ascii="Times New Roman" w:eastAsia="Times New Roman" w:hAnsi="Times New Roman"/>
          <w:sz w:val="20"/>
          <w:szCs w:val="20"/>
        </w:rPr>
        <w:t xml:space="preserve"> shall keep records to show:</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(a) no change</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(b) The premises </w:t>
      </w:r>
      <w:r w:rsidRPr="007E7BB9">
        <w:rPr>
          <w:rFonts w:ascii="Times New Roman" w:eastAsia="Times New Roman" w:hAnsi="Times New Roman"/>
          <w:sz w:val="20"/>
          <w:szCs w:val="20"/>
          <w:u w:val="single"/>
        </w:rPr>
        <w:t>for which the deposit applies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occupied by the customer</w:t>
      </w:r>
      <w:r w:rsidRPr="007E7BB9">
        <w:rPr>
          <w:rFonts w:ascii="Times New Roman" w:eastAsia="Times New Roman" w:hAnsi="Times New Roman"/>
          <w:sz w:val="20"/>
          <w:szCs w:val="20"/>
        </w:rPr>
        <w:t>;</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(c) through (d) no change.</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w:t>
      </w:r>
      <w:r w:rsidRPr="007E7BB9">
        <w:rPr>
          <w:rFonts w:ascii="Times New Roman" w:eastAsia="Times New Roman" w:hAnsi="Times New Roman"/>
          <w:sz w:val="20"/>
          <w:szCs w:val="20"/>
          <w:u w:val="single"/>
        </w:rPr>
        <w:t>6</w:t>
      </w:r>
      <w:r w:rsidRPr="007E7BB9">
        <w:rPr>
          <w:rFonts w:ascii="Times New Roman" w:eastAsia="Times New Roman" w:hAnsi="Times New Roman"/>
          <w:strike/>
          <w:sz w:val="20"/>
          <w:szCs w:val="20"/>
        </w:rPr>
        <w:t>5</w:t>
      </w:r>
      <w:r w:rsidRPr="007E7BB9">
        <w:rPr>
          <w:rFonts w:ascii="Times New Roman" w:eastAsia="Times New Roman" w:hAnsi="Times New Roman"/>
          <w:sz w:val="20"/>
          <w:szCs w:val="20"/>
        </w:rPr>
        <w:t>) Interest on deposits.</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(a) Each gas utility which requests deposits to be made by its customers shall pay a minimum interest on such deposits of 2 percent per annum. The utility shall pay a minimum interest rate of 3 percent per annum on deposits of nonresidential customers qualifying under subsection (</w:t>
      </w:r>
      <w:r w:rsidRPr="007E7BB9">
        <w:rPr>
          <w:rFonts w:ascii="Times New Roman" w:eastAsia="Times New Roman" w:hAnsi="Times New Roman"/>
          <w:sz w:val="20"/>
          <w:szCs w:val="20"/>
          <w:u w:val="single"/>
        </w:rPr>
        <w:t>7</w:t>
      </w:r>
      <w:r w:rsidRPr="007E7BB9">
        <w:rPr>
          <w:rFonts w:ascii="Times New Roman" w:eastAsia="Times New Roman" w:hAnsi="Times New Roman"/>
          <w:strike/>
          <w:sz w:val="20"/>
          <w:szCs w:val="20"/>
        </w:rPr>
        <w:t>6</w:t>
      </w:r>
      <w:r w:rsidRPr="007E7BB9">
        <w:rPr>
          <w:rFonts w:ascii="Times New Roman" w:eastAsia="Times New Roman" w:hAnsi="Times New Roman"/>
          <w:sz w:val="20"/>
          <w:szCs w:val="20"/>
        </w:rPr>
        <w:t xml:space="preserve">) below when the utility elects not to refund such a deposit after 23 months. </w:t>
      </w:r>
      <w:r w:rsidRPr="007E7BB9">
        <w:rPr>
          <w:rFonts w:ascii="Times New Roman" w:eastAsia="Times New Roman" w:hAnsi="Times New Roman"/>
          <w:strike/>
          <w:sz w:val="20"/>
          <w:szCs w:val="20"/>
        </w:rPr>
        <w:t>Such interest rates shall be applied within 45 days of the effective date of the rule.</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(b) The deposit interest shall be simple interest in all cases and settlement shall be made annually, either in cash or by credit on the current bill. This does not prohibit any utility paying a higher rate of interest than required by this rule. No customer depositor shall be entitled to receive interest on </w:t>
      </w:r>
      <w:r w:rsidRPr="007E7BB9">
        <w:rPr>
          <w:rFonts w:ascii="Times New Roman" w:eastAsia="Times New Roman" w:hAnsi="Times New Roman"/>
          <w:sz w:val="20"/>
          <w:szCs w:val="20"/>
          <w:u w:val="single"/>
        </w:rPr>
        <w:t>a</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his</w:t>
      </w:r>
      <w:r w:rsidRPr="007E7BB9">
        <w:rPr>
          <w:rFonts w:ascii="Times New Roman" w:eastAsia="Times New Roman" w:hAnsi="Times New Roman"/>
          <w:sz w:val="20"/>
          <w:szCs w:val="20"/>
        </w:rPr>
        <w:t xml:space="preserve"> deposit until and unless a customer relationship and the deposit have been in existence for a continuous period of six months, then </w:t>
      </w:r>
      <w:r w:rsidRPr="007E7BB9">
        <w:rPr>
          <w:rFonts w:ascii="Times New Roman" w:eastAsia="Times New Roman" w:hAnsi="Times New Roman"/>
          <w:sz w:val="20"/>
          <w:szCs w:val="20"/>
          <w:u w:val="single"/>
        </w:rPr>
        <w:t>the customer</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he</w:t>
      </w:r>
      <w:r w:rsidRPr="007E7BB9">
        <w:rPr>
          <w:rFonts w:ascii="Times New Roman" w:eastAsia="Times New Roman" w:hAnsi="Times New Roman"/>
          <w:sz w:val="20"/>
          <w:szCs w:val="20"/>
        </w:rPr>
        <w:t xml:space="preserve"> shall be entitled to receive interest from the day of the commencement of the customer relationship and the placement of deposit. </w:t>
      </w:r>
      <w:r w:rsidRPr="007E7BB9">
        <w:rPr>
          <w:rFonts w:ascii="Times New Roman" w:eastAsia="Times New Roman" w:hAnsi="Times New Roman"/>
          <w:sz w:val="20"/>
          <w:szCs w:val="20"/>
          <w:u w:val="single"/>
        </w:rPr>
        <w:t>Nothing in this rule shall prohibit a utility from refunding at any time a deposit with any accrued interest.</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(7</w:t>
      </w:r>
      <w:r w:rsidRPr="007E7BB9">
        <w:rPr>
          <w:rFonts w:ascii="Times New Roman" w:eastAsia="Times New Roman" w:hAnsi="Times New Roman"/>
          <w:strike/>
          <w:sz w:val="20"/>
          <w:szCs w:val="20"/>
        </w:rPr>
        <w:t>6</w:t>
      </w:r>
      <w:r w:rsidRPr="007E7BB9">
        <w:rPr>
          <w:rFonts w:ascii="Times New Roman" w:eastAsia="Times New Roman" w:hAnsi="Times New Roman"/>
          <w:sz w:val="20"/>
          <w:szCs w:val="20"/>
        </w:rPr>
        <w:t xml:space="preserve">) Refund of deposit. After a customer has established a satisfactory payment record and has had continuous service for a period of 23 months, the utility shall refund the residential customer’s deposits and shall, at </w:t>
      </w:r>
      <w:r w:rsidRPr="007E7BB9">
        <w:rPr>
          <w:rFonts w:ascii="Times New Roman" w:eastAsia="Times New Roman" w:hAnsi="Times New Roman"/>
          <w:sz w:val="20"/>
          <w:szCs w:val="20"/>
          <w:u w:val="single"/>
        </w:rPr>
        <w:t>the utility’s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its</w:t>
      </w:r>
      <w:r w:rsidRPr="007E7BB9">
        <w:rPr>
          <w:rFonts w:ascii="Times New Roman" w:eastAsia="Times New Roman" w:hAnsi="Times New Roman"/>
          <w:sz w:val="20"/>
          <w:szCs w:val="20"/>
        </w:rPr>
        <w:t xml:space="preserve"> option, either refund or pay the higher rate of interest specified above for nonresidential deposits, provided the customer has not, in the preceding 12 months: </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(a) through (d) no change </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(e) Used service in a fraudulent or unauthorized manner. </w:t>
      </w:r>
      <w:r w:rsidRPr="007E7BB9">
        <w:rPr>
          <w:rFonts w:ascii="Times New Roman" w:eastAsia="Times New Roman" w:hAnsi="Times New Roman"/>
          <w:strike/>
          <w:sz w:val="20"/>
          <w:szCs w:val="20"/>
        </w:rPr>
        <w:t>Nothing in this rule shall prohibit the company from refunding at any time a deposit with any accrued interest.</w:t>
      </w:r>
    </w:p>
    <w:p w:rsidR="007E7BB9" w:rsidRPr="007E7BB9" w:rsidRDefault="007E7BB9" w:rsidP="007E7BB9">
      <w:pPr>
        <w:widowControl w:val="0"/>
        <w:tabs>
          <w:tab w:val="left" w:pos="36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w:t>
      </w:r>
      <w:r w:rsidRPr="007E7BB9">
        <w:rPr>
          <w:rFonts w:ascii="Times New Roman" w:eastAsia="Times New Roman" w:hAnsi="Times New Roman"/>
          <w:sz w:val="20"/>
          <w:szCs w:val="20"/>
          <w:u w:val="single"/>
        </w:rPr>
        <w:t>8</w:t>
      </w:r>
      <w:r w:rsidRPr="007E7BB9">
        <w:rPr>
          <w:rFonts w:ascii="Times New Roman" w:eastAsia="Times New Roman" w:hAnsi="Times New Roman"/>
          <w:strike/>
          <w:sz w:val="20"/>
          <w:szCs w:val="20"/>
        </w:rPr>
        <w:t>7</w:t>
      </w:r>
      <w:r w:rsidRPr="007E7BB9">
        <w:rPr>
          <w:rFonts w:ascii="Times New Roman" w:eastAsia="Times New Roman" w:hAnsi="Times New Roman"/>
          <w:sz w:val="20"/>
          <w:szCs w:val="20"/>
        </w:rPr>
        <w:t>) Refund of deposit when service is disconnected. Upon termination of service, the deposit and accrued interest may be credited against the final account and the balance, if any, shall be returned promptly to the customer but in no event later than fifteen (15) days after service is discontinued.</w:t>
      </w:r>
    </w:p>
    <w:p w:rsidR="007E7BB9" w:rsidRPr="007E7BB9" w:rsidRDefault="007E7BB9" w:rsidP="007E7BB9">
      <w:pPr>
        <w:widowControl w:val="0"/>
        <w:tabs>
          <w:tab w:val="left" w:pos="360"/>
        </w:tabs>
        <w:spacing w:line="312" w:lineRule="auto"/>
        <w:jc w:val="both"/>
        <w:rPr>
          <w:rFonts w:ascii="Times New Roman" w:eastAsia="Times New Roman" w:hAnsi="Times New Roman"/>
          <w:i/>
          <w:sz w:val="20"/>
          <w:szCs w:val="20"/>
        </w:rPr>
      </w:pPr>
      <w:r w:rsidRPr="007E7BB9">
        <w:rPr>
          <w:rFonts w:ascii="Times New Roman" w:eastAsia="Times New Roman" w:hAnsi="Times New Roman"/>
          <w:i/>
          <w:sz w:val="20"/>
          <w:szCs w:val="20"/>
        </w:rPr>
        <w:t>Rulemaking Authority 366.05(1), 350.127(2) FS. Law Implemented 366.03, 366.05(1) FS. History–New 1-8-75, Amended 6-15-76, 6-10-80, 1-31-84, Formerly 25-7.83, Amended 10-13-88, 4-25-94, 3-14-99, 7-26-12,_____________.</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b/>
          <w:sz w:val="20"/>
          <w:szCs w:val="20"/>
        </w:rPr>
      </w:pPr>
      <w:r w:rsidRPr="007E7BB9">
        <w:rPr>
          <w:rFonts w:ascii="Times New Roman" w:eastAsia="Times New Roman" w:hAnsi="Times New Roman"/>
          <w:b/>
          <w:sz w:val="20"/>
          <w:szCs w:val="20"/>
        </w:rPr>
        <w:tab/>
        <w:t>25-7.085 Customer Billing.</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(1) (a) through (c) no change </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lastRenderedPageBreak/>
        <w:tab/>
        <w:t>1. Customer</w:t>
      </w:r>
      <w:r w:rsidRPr="007E7BB9">
        <w:rPr>
          <w:rFonts w:ascii="Times New Roman" w:eastAsia="Times New Roman" w:hAnsi="Times New Roman"/>
          <w:sz w:val="20"/>
          <w:szCs w:val="20"/>
          <w:u w:val="single"/>
        </w:rPr>
        <w:t>, Base or Basic Service</w:t>
      </w:r>
      <w:r w:rsidRPr="007E7BB9">
        <w:rPr>
          <w:rFonts w:ascii="Times New Roman" w:eastAsia="Times New Roman" w:hAnsi="Times New Roman"/>
          <w:sz w:val="20"/>
          <w:szCs w:val="20"/>
        </w:rPr>
        <w:t xml:space="preserve"> charge.</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2. Energy (therm) charge</w:t>
      </w:r>
      <w:r w:rsidRPr="007E7BB9">
        <w:rPr>
          <w:rFonts w:ascii="Times New Roman" w:eastAsia="Times New Roman" w:hAnsi="Times New Roman"/>
          <w:sz w:val="20"/>
          <w:szCs w:val="20"/>
          <w:u w:val="single"/>
        </w:rPr>
        <w:t>s</w:t>
      </w:r>
      <w:r w:rsidRPr="007E7BB9">
        <w:rPr>
          <w:rFonts w:ascii="Times New Roman" w:eastAsia="Times New Roman" w:hAnsi="Times New Roman"/>
          <w:sz w:val="20"/>
          <w:szCs w:val="20"/>
        </w:rPr>
        <w:t xml:space="preserve"> exclusive of fuel cost in cents per therm.</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3. Fuel (</w:t>
      </w:r>
      <w:r w:rsidRPr="007E7BB9">
        <w:rPr>
          <w:rFonts w:ascii="Times New Roman" w:eastAsia="Times New Roman" w:hAnsi="Times New Roman"/>
          <w:sz w:val="20"/>
          <w:szCs w:val="20"/>
          <w:u w:val="single"/>
        </w:rPr>
        <w:t>therm) charges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cos</w:t>
      </w:r>
      <w:r w:rsidRPr="007E7BB9">
        <w:rPr>
          <w:rFonts w:ascii="Times New Roman" w:eastAsia="Times New Roman" w:hAnsi="Times New Roman"/>
          <w:sz w:val="20"/>
          <w:szCs w:val="20"/>
        </w:rPr>
        <w:t>t in cents per therm (no fuel costs shall be included in the charge for energy).</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4. Total gas cost which </w:t>
      </w:r>
      <w:r w:rsidRPr="007E7BB9">
        <w:rPr>
          <w:rFonts w:ascii="Times New Roman" w:eastAsia="Times New Roman" w:hAnsi="Times New Roman"/>
          <w:sz w:val="20"/>
          <w:szCs w:val="20"/>
          <w:u w:val="single"/>
        </w:rPr>
        <w:t>at a minimum</w:t>
      </w:r>
      <w:r w:rsidRPr="007E7BB9">
        <w:rPr>
          <w:rFonts w:ascii="Times New Roman" w:eastAsia="Times New Roman" w:hAnsi="Times New Roman"/>
          <w:sz w:val="20"/>
          <w:szCs w:val="20"/>
        </w:rPr>
        <w:t xml:space="preserve"> is the sum of </w:t>
      </w:r>
      <w:r w:rsidRPr="007E7BB9">
        <w:rPr>
          <w:rFonts w:ascii="Times New Roman" w:eastAsia="Times New Roman" w:hAnsi="Times New Roman"/>
          <w:sz w:val="20"/>
          <w:szCs w:val="20"/>
          <w:u w:val="single"/>
        </w:rPr>
        <w:t>charges 1 through 3 above but can include</w:t>
      </w:r>
      <w:r w:rsidRPr="007E7BB9">
        <w:rPr>
          <w:rFonts w:ascii="Times New Roman" w:eastAsia="Times New Roman" w:hAnsi="Times New Roman"/>
          <w:sz w:val="20"/>
          <w:szCs w:val="20"/>
        </w:rPr>
        <w:t xml:space="preserve"> </w:t>
      </w:r>
      <w:r w:rsidRPr="007E7BB9">
        <w:rPr>
          <w:rFonts w:ascii="Times New Roman" w:eastAsia="Times New Roman" w:hAnsi="Times New Roman"/>
          <w:sz w:val="20"/>
          <w:szCs w:val="20"/>
          <w:u w:val="single"/>
        </w:rPr>
        <w:t xml:space="preserve">other line item charges (e.g., Florida Gross Receipts Tax) </w:t>
      </w:r>
      <w:r w:rsidRPr="007E7BB9">
        <w:rPr>
          <w:rFonts w:ascii="Times New Roman" w:eastAsia="Times New Roman" w:hAnsi="Times New Roman"/>
          <w:strike/>
          <w:sz w:val="20"/>
          <w:szCs w:val="20"/>
        </w:rPr>
        <w:t>the customer charge, total fuel cost and total energy cost</w:t>
      </w:r>
      <w:r w:rsidRPr="007E7BB9">
        <w:rPr>
          <w:rFonts w:ascii="Times New Roman" w:eastAsia="Times New Roman" w:hAnsi="Times New Roman"/>
          <w:sz w:val="20"/>
          <w:szCs w:val="20"/>
        </w:rPr>
        <w:t>.</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5. through 9 (i) no change </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(j) The name of the utility plus the address</w:t>
      </w:r>
      <w:r w:rsidRPr="007E7BB9">
        <w:rPr>
          <w:rFonts w:ascii="Times New Roman" w:eastAsia="Times New Roman" w:hAnsi="Times New Roman"/>
          <w:sz w:val="20"/>
          <w:szCs w:val="20"/>
          <w:u w:val="single"/>
        </w:rPr>
        <w:t>,</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and</w:t>
      </w:r>
      <w:r w:rsidRPr="007E7BB9">
        <w:rPr>
          <w:rFonts w:ascii="Times New Roman" w:eastAsia="Times New Roman" w:hAnsi="Times New Roman"/>
          <w:sz w:val="20"/>
          <w:szCs w:val="20"/>
        </w:rPr>
        <w:t xml:space="preserve"> telephone number(</w:t>
      </w:r>
      <w:r w:rsidRPr="007E7BB9">
        <w:rPr>
          <w:rFonts w:ascii="Times New Roman" w:eastAsia="Times New Roman" w:hAnsi="Times New Roman"/>
          <w:sz w:val="20"/>
          <w:szCs w:val="20"/>
          <w:u w:val="single"/>
        </w:rPr>
        <w:t>s</w:t>
      </w:r>
      <w:r w:rsidRPr="007E7BB9">
        <w:rPr>
          <w:rFonts w:ascii="Times New Roman" w:eastAsia="Times New Roman" w:hAnsi="Times New Roman"/>
          <w:sz w:val="20"/>
          <w:szCs w:val="20"/>
        </w:rPr>
        <w:t xml:space="preserve">) </w:t>
      </w:r>
      <w:r w:rsidRPr="007E7BB9">
        <w:rPr>
          <w:rFonts w:ascii="Times New Roman" w:eastAsia="Times New Roman" w:hAnsi="Times New Roman"/>
          <w:sz w:val="20"/>
          <w:szCs w:val="20"/>
          <w:u w:val="single"/>
        </w:rPr>
        <w:t>and web address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of the local office</w:t>
      </w:r>
      <w:r w:rsidRPr="007E7BB9">
        <w:rPr>
          <w:rFonts w:ascii="Times New Roman" w:eastAsia="Times New Roman" w:hAnsi="Times New Roman"/>
          <w:sz w:val="20"/>
          <w:szCs w:val="20"/>
        </w:rPr>
        <w:t xml:space="preserve"> where the bill can be paid and questions concerning the bill can be answered.</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(2) through 4, no change </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trike/>
          <w:sz w:val="20"/>
          <w:szCs w:val="20"/>
        </w:rPr>
      </w:pPr>
      <w:r w:rsidRPr="007E7BB9">
        <w:rPr>
          <w:rFonts w:ascii="Times New Roman" w:eastAsia="Times New Roman" w:hAnsi="Times New Roman"/>
          <w:sz w:val="20"/>
          <w:szCs w:val="20"/>
        </w:rPr>
        <w:tab/>
        <w:t xml:space="preserve">(5) </w:t>
      </w:r>
      <w:r w:rsidRPr="007E7BB9">
        <w:rPr>
          <w:rFonts w:ascii="Times New Roman" w:eastAsia="Times New Roman" w:hAnsi="Times New Roman"/>
          <w:sz w:val="20"/>
          <w:szCs w:val="20"/>
          <w:u w:val="single"/>
        </w:rPr>
        <w:t>The advancement or postponement of r</w:t>
      </w:r>
      <w:r w:rsidRPr="007E7BB9">
        <w:rPr>
          <w:rFonts w:ascii="Times New Roman" w:eastAsia="Times New Roman" w:hAnsi="Times New Roman"/>
          <w:strike/>
          <w:sz w:val="20"/>
          <w:szCs w:val="20"/>
        </w:rPr>
        <w:t>R</w:t>
      </w:r>
      <w:r w:rsidRPr="007E7BB9">
        <w:rPr>
          <w:rFonts w:ascii="Times New Roman" w:eastAsia="Times New Roman" w:hAnsi="Times New Roman"/>
          <w:sz w:val="20"/>
          <w:szCs w:val="20"/>
        </w:rPr>
        <w:t xml:space="preserve">egular meter reading dates </w:t>
      </w:r>
      <w:r w:rsidRPr="007E7BB9">
        <w:rPr>
          <w:rFonts w:ascii="Times New Roman" w:eastAsia="Times New Roman" w:hAnsi="Times New Roman"/>
          <w:sz w:val="20"/>
          <w:szCs w:val="20"/>
          <w:u w:val="single"/>
        </w:rPr>
        <w:t>is governed by subsection 366.05(1)(b), F.S.</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may be advanced or postponed not more than five days without a proration of the billing for the period.</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(6) through 7 (a) no change.</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 xml:space="preserve">(b) A </w:t>
      </w:r>
      <w:r w:rsidRPr="007E7BB9">
        <w:rPr>
          <w:rFonts w:ascii="Times New Roman" w:eastAsia="Times New Roman" w:hAnsi="Times New Roman"/>
          <w:sz w:val="20"/>
          <w:szCs w:val="20"/>
          <w:u w:val="single"/>
        </w:rPr>
        <w:t>utility</w:t>
      </w:r>
      <w:r w:rsidRPr="007E7BB9">
        <w:rPr>
          <w:rFonts w:ascii="Times New Roman" w:eastAsia="Times New Roman" w:hAnsi="Times New Roman"/>
          <w:sz w:val="20"/>
          <w:szCs w:val="20"/>
        </w:rPr>
        <w:t xml:space="preserve"> </w:t>
      </w:r>
      <w:r w:rsidRPr="007E7BB9">
        <w:rPr>
          <w:rFonts w:ascii="Times New Roman" w:eastAsia="Times New Roman" w:hAnsi="Times New Roman"/>
          <w:strike/>
          <w:sz w:val="20"/>
          <w:szCs w:val="20"/>
        </w:rPr>
        <w:t>company</w:t>
      </w:r>
      <w:r w:rsidRPr="007E7BB9">
        <w:rPr>
          <w:rFonts w:ascii="Times New Roman" w:eastAsia="Times New Roman" w:hAnsi="Times New Roman"/>
          <w:sz w:val="20"/>
          <w:szCs w:val="20"/>
        </w:rPr>
        <w:t xml:space="preserve"> may not incorporate any franchise fee into its other rates for service.</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sz w:val="20"/>
          <w:szCs w:val="20"/>
        </w:rPr>
      </w:pPr>
      <w:r w:rsidRPr="007E7BB9">
        <w:rPr>
          <w:rFonts w:ascii="Times New Roman" w:eastAsia="Times New Roman" w:hAnsi="Times New Roman"/>
          <w:sz w:val="20"/>
          <w:szCs w:val="20"/>
        </w:rPr>
        <w:tab/>
        <w:t>(c) No change</w:t>
      </w:r>
    </w:p>
    <w:p w:rsidR="007E7BB9" w:rsidRPr="007E7BB9" w:rsidRDefault="007E7BB9" w:rsidP="007E7BB9">
      <w:pPr>
        <w:widowControl w:val="0"/>
        <w:tabs>
          <w:tab w:val="left" w:pos="360"/>
          <w:tab w:val="left" w:pos="720"/>
        </w:tabs>
        <w:spacing w:line="312" w:lineRule="auto"/>
        <w:jc w:val="both"/>
        <w:rPr>
          <w:rFonts w:ascii="Times New Roman" w:eastAsia="Times New Roman" w:hAnsi="Times New Roman"/>
          <w:i/>
          <w:sz w:val="20"/>
          <w:szCs w:val="20"/>
        </w:rPr>
      </w:pPr>
      <w:r w:rsidRPr="007E7BB9">
        <w:rPr>
          <w:rFonts w:ascii="Times New Roman" w:eastAsia="Times New Roman" w:hAnsi="Times New Roman"/>
          <w:i/>
          <w:sz w:val="20"/>
          <w:szCs w:val="20"/>
        </w:rPr>
        <w:t>Rulemaking Authority 366.05(1) FS. Law Implemented 366.05(1), 366.06(1) FS. History–New 12-15-73, Repromulgated 1-8-75, Amended 5-4-75, 11-21-82, 12-26-82, Formerly 25-7.85, Amended 10-10-95, 7-3-96,______________.</w:t>
      </w:r>
    </w:p>
    <w:p w:rsidR="007E7BB9" w:rsidRPr="007E7BB9" w:rsidRDefault="007E7BB9" w:rsidP="007E7BB9">
      <w:pPr>
        <w:spacing w:line="312" w:lineRule="auto"/>
        <w:rPr>
          <w:rFonts w:ascii="Times New Roman" w:eastAsia="Times New Roman" w:hAnsi="Times New Roman"/>
          <w:sz w:val="20"/>
          <w:szCs w:val="20"/>
        </w:rPr>
      </w:pPr>
      <w:r w:rsidRPr="007E7BB9">
        <w:rPr>
          <w:rFonts w:ascii="Times New Roman" w:eastAsia="Times New Roman" w:hAnsi="Times New Roman"/>
          <w:sz w:val="20"/>
          <w:szCs w:val="20"/>
        </w:rPr>
        <w:br/>
        <w:t>NAME OF PERSON ORIGINATING PROPOSED RULE: Elisabeth Draper</w:t>
      </w:r>
      <w:r w:rsidRPr="007E7BB9">
        <w:rPr>
          <w:rFonts w:ascii="Times New Roman" w:eastAsia="Times New Roman" w:hAnsi="Times New Roman"/>
          <w:sz w:val="20"/>
          <w:szCs w:val="20"/>
        </w:rPr>
        <w:br/>
        <w:t>NAME OF AGENCY HEAD WHO APPROVED THE PROPOSED RULE: Florida Public Service Commission</w:t>
      </w:r>
      <w:r w:rsidRPr="007E7BB9">
        <w:rPr>
          <w:rFonts w:ascii="Times New Roman" w:eastAsia="Times New Roman" w:hAnsi="Times New Roman"/>
          <w:sz w:val="20"/>
          <w:szCs w:val="20"/>
        </w:rPr>
        <w:br/>
        <w:t xml:space="preserve">DATE PROPOSED RULE APPROVED BY AGENCY HEAD: </w:t>
      </w:r>
      <w:r w:rsidRPr="007E7BB9">
        <w:rPr>
          <w:rFonts w:ascii="Times New Roman" w:eastAsia="Times New Roman" w:hAnsi="Times New Roman"/>
          <w:sz w:val="20"/>
          <w:szCs w:val="20"/>
        </w:rPr>
        <w:br/>
        <w:t>DATE NOTICE OF PROPOSED RULE DEVELOPMENT PUBLISHED IN FAR: Volume 41, Number 187, September 25, 2015.</w:t>
      </w:r>
    </w:p>
    <w:p w:rsidR="00613BA5" w:rsidRDefault="00613BA5"/>
    <w:p w:rsidR="00D771CE" w:rsidRDefault="005E51A0">
      <w:fldSimple w:instr=" FILENAME  \* Lower  \* MERGEFORMAT ">
        <w:r>
          <w:rPr>
            <w:noProof/>
          </w:rPr>
          <w:t>150241 29-7.docx</w:t>
        </w:r>
      </w:fldSimple>
      <w:bookmarkStart w:id="0" w:name="_GoBack"/>
      <w:bookmarkEnd w:id="0"/>
    </w:p>
    <w:sectPr w:rsidR="00D771CE"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B9"/>
    <w:rsid w:val="000C144B"/>
    <w:rsid w:val="00132986"/>
    <w:rsid w:val="005E51A0"/>
    <w:rsid w:val="00613BA5"/>
    <w:rsid w:val="00662066"/>
    <w:rsid w:val="007E7BB9"/>
    <w:rsid w:val="00932709"/>
    <w:rsid w:val="00967CCD"/>
    <w:rsid w:val="00C32959"/>
    <w:rsid w:val="00D77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35766">
      <w:bodyDiv w:val="1"/>
      <w:marLeft w:val="0"/>
      <w:marRight w:val="0"/>
      <w:marTop w:val="0"/>
      <w:marBottom w:val="0"/>
      <w:divBdr>
        <w:top w:val="none" w:sz="0" w:space="0" w:color="auto"/>
        <w:left w:val="none" w:sz="0" w:space="0" w:color="auto"/>
        <w:bottom w:val="none" w:sz="0" w:space="0" w:color="auto"/>
        <w:right w:val="none" w:sz="0" w:space="0" w:color="auto"/>
      </w:divBdr>
      <w:divsChild>
        <w:div w:id="1210336679">
          <w:marLeft w:val="1440"/>
          <w:marRight w:val="0"/>
          <w:marTop w:val="0"/>
          <w:marBottom w:val="0"/>
          <w:divBdr>
            <w:top w:val="none" w:sz="0" w:space="0" w:color="auto"/>
            <w:left w:val="none" w:sz="0" w:space="0" w:color="auto"/>
            <w:bottom w:val="none" w:sz="0" w:space="0" w:color="auto"/>
            <w:right w:val="none" w:sz="0" w:space="0" w:color="auto"/>
          </w:divBdr>
        </w:div>
        <w:div w:id="1022165360">
          <w:marLeft w:val="1440"/>
          <w:marRight w:val="0"/>
          <w:marTop w:val="0"/>
          <w:marBottom w:val="0"/>
          <w:divBdr>
            <w:top w:val="none" w:sz="0" w:space="0" w:color="auto"/>
            <w:left w:val="none" w:sz="0" w:space="0" w:color="auto"/>
            <w:bottom w:val="none" w:sz="0" w:space="0" w:color="auto"/>
            <w:right w:val="none" w:sz="0" w:space="0" w:color="auto"/>
          </w:divBdr>
        </w:div>
        <w:div w:id="899053205">
          <w:marLeft w:val="1440"/>
          <w:marRight w:val="0"/>
          <w:marTop w:val="0"/>
          <w:marBottom w:val="0"/>
          <w:divBdr>
            <w:top w:val="none" w:sz="0" w:space="0" w:color="auto"/>
            <w:left w:val="none" w:sz="0" w:space="0" w:color="auto"/>
            <w:bottom w:val="none" w:sz="0" w:space="0" w:color="auto"/>
            <w:right w:val="none" w:sz="0" w:space="0" w:color="auto"/>
          </w:divBdr>
        </w:div>
        <w:div w:id="1785810526">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7.083" TargetMode="External"/><Relationship Id="rId13" Type="http://schemas.openxmlformats.org/officeDocument/2006/relationships/hyperlink" Target="https://www.flrules.org/gateway/statute.asp?id=%20366.05(1)(b)"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lrules.org/gateway/ruleNo.asp?id=25-7.079" TargetMode="External"/><Relationship Id="rId12" Type="http://schemas.openxmlformats.org/officeDocument/2006/relationships/hyperlink" Target="https://www.flrules.org/gateway/statute.asp?id=%20366.05(1)" TargetMode="External"/><Relationship Id="rId17" Type="http://schemas.openxmlformats.org/officeDocument/2006/relationships/hyperlink" Target="https://www.flrules.org/gateway/statute.asp?id=%20366.06(1)" TargetMode="External"/><Relationship Id="rId2" Type="http://schemas.openxmlformats.org/officeDocument/2006/relationships/styles" Target="styles.xml"/><Relationship Id="rId16" Type="http://schemas.openxmlformats.org/officeDocument/2006/relationships/hyperlink" Target="https://www.flrules.org/gateway/statute.asp?id=%20366.06" TargetMode="Externa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statute.asp?id=366.03" TargetMode="External"/><Relationship Id="rId5" Type="http://schemas.openxmlformats.org/officeDocument/2006/relationships/webSettings" Target="webSettings.xml"/><Relationship Id="rId15" Type="http://schemas.openxmlformats.org/officeDocument/2006/relationships/hyperlink" Target="https://www.flrules.org/gateway/statute.asp?id=%20366.05(1)(d)" TargetMode="External"/><Relationship Id="rId10" Type="http://schemas.openxmlformats.org/officeDocument/2006/relationships/hyperlink" Target="https://www.flrules.org/gateway/cfr.asp?id=350.127(2),%20366.05(1),%20366.05(1)(a),%20F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rules.org/gateway/ruleNo.asp?id=25-7.085" TargetMode="External"/><Relationship Id="rId14" Type="http://schemas.openxmlformats.org/officeDocument/2006/relationships/hyperlink" Target="https://www.flrules.org/gateway/statute.asp?id=%20366.05(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Felix Velazquez</cp:lastModifiedBy>
  <cp:revision>3</cp:revision>
  <dcterms:created xsi:type="dcterms:W3CDTF">2015-12-07T14:27:00Z</dcterms:created>
  <dcterms:modified xsi:type="dcterms:W3CDTF">2015-12-07T15:15:00Z</dcterms:modified>
</cp:coreProperties>
</file>