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0333EC">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Pr="005444F3" w:rsidRDefault="007C0528">
            <w:pPr>
              <w:pStyle w:val="MastHeadPSC"/>
              <w:rPr>
                <w:rFonts w:ascii="Arial" w:hAnsi="Arial" w:cs="Arial"/>
              </w:rPr>
            </w:pPr>
            <w:r w:rsidRPr="005444F3">
              <w:rPr>
                <w:rFonts w:ascii="Arial" w:hAnsi="Arial" w:cs="Arial"/>
              </w:rPr>
              <w:t>Public Service Commission</w:t>
            </w:r>
          </w:p>
          <w:p w:rsidR="007C0528" w:rsidRPr="005444F3" w:rsidRDefault="007C0528">
            <w:pPr>
              <w:pStyle w:val="MastHeadAddress"/>
              <w:rPr>
                <w:rFonts w:ascii="Arial" w:hAnsi="Arial" w:cs="Arial"/>
              </w:rPr>
            </w:pPr>
            <w:r w:rsidRPr="005444F3">
              <w:rPr>
                <w:rFonts w:ascii="Arial" w:hAnsi="Arial" w:cs="Arial"/>
              </w:rPr>
              <w:t>Capital Circle Office Center ● 2540 Shumard Oak Boulevard</w:t>
            </w:r>
            <w:r w:rsidRPr="005444F3">
              <w:rPr>
                <w:rFonts w:ascii="Arial" w:hAnsi="Arial" w:cs="Arial"/>
              </w:rPr>
              <w:br/>
              <w:t>Tallahassee, Florida 32399-0850</w:t>
            </w:r>
          </w:p>
          <w:p w:rsidR="007C0528" w:rsidRPr="005444F3" w:rsidRDefault="007C0528">
            <w:pPr>
              <w:pStyle w:val="MastHeadMemorandum"/>
              <w:rPr>
                <w:rFonts w:ascii="Arial" w:hAnsi="Arial" w:cs="Arial"/>
              </w:rPr>
            </w:pPr>
            <w:r w:rsidRPr="005444F3">
              <w:rPr>
                <w:rFonts w:ascii="Arial" w:hAnsi="Arial" w:cs="Arial"/>
              </w:rP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333EC">
            <w:pPr>
              <w:pStyle w:val="MemoHeading"/>
            </w:pPr>
            <w:bookmarkStart w:id="1" w:name="FilingDate"/>
            <w:bookmarkEnd w:id="1"/>
            <w:r>
              <w:t>February 18, 2016</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0333EC">
            <w:pPr>
              <w:pStyle w:val="MemoHeading"/>
            </w:pPr>
            <w:bookmarkStart w:id="2" w:name="From"/>
            <w:bookmarkEnd w:id="2"/>
            <w:r>
              <w:t>Division of Economics (Stratis, Wu)</w:t>
            </w:r>
          </w:p>
          <w:p w:rsidR="000333EC" w:rsidRDefault="000333EC" w:rsidP="000333EC">
            <w:r>
              <w:t>Division of Engineering (King, Wooten)</w:t>
            </w:r>
          </w:p>
          <w:p w:rsidR="000333EC" w:rsidRDefault="000333EC" w:rsidP="000333EC">
            <w:r>
              <w:t>Office of the General Counsel (Janjic)</w:t>
            </w:r>
          </w:p>
          <w:p w:rsidR="000333EC" w:rsidRPr="000333EC" w:rsidRDefault="000333EC" w:rsidP="000333EC">
            <w:r>
              <w:t>Office of Industry Development and Market Analysis (Clemence)</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333EC">
            <w:pPr>
              <w:pStyle w:val="MemoHeadingRe"/>
            </w:pPr>
            <w:bookmarkStart w:id="3" w:name="Re"/>
            <w:bookmarkEnd w:id="3"/>
            <w:r>
              <w:t>Docket No. 160017-EI – Petition for approval of depreciation rates for solar photovoltaic generating units, by Duke Energy Florida, LLC.</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C0528" w:rsidP="002F7D16">
            <w:pPr>
              <w:pStyle w:val="MemoHeading"/>
            </w:pPr>
            <w:bookmarkStart w:id="4" w:name="AgendaDate"/>
            <w:bookmarkEnd w:id="4"/>
            <w:r>
              <w:t xml:space="preserve"> </w:t>
            </w:r>
            <w:bookmarkStart w:id="5" w:name="PermittedStatus"/>
            <w:bookmarkEnd w:id="5"/>
            <w:r w:rsidR="002F7D16">
              <w:t>3/1/2016 – Regular Agenda – Proposed Agency Action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333EC">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A61D1">
            <w:pPr>
              <w:pStyle w:val="MemoHeading"/>
            </w:pPr>
            <w:bookmarkStart w:id="7" w:name="PrehearingOfficer"/>
            <w:bookmarkEnd w:id="7"/>
            <w:r>
              <w:t>Brisé</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F7D16">
            <w:pPr>
              <w:pStyle w:val="MemoHeading"/>
            </w:pPr>
            <w:bookmarkStart w:id="9" w:name="CriticalDates"/>
            <w:bookmarkEnd w:id="9"/>
            <w:r>
              <w:t>None</w:t>
            </w:r>
          </w:p>
          <w:p w:rsidR="000333EC" w:rsidRPr="000333EC" w:rsidRDefault="000333EC" w:rsidP="000333EC"/>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333EC">
            <w:pPr>
              <w:pStyle w:val="MemoHeading"/>
            </w:pPr>
            <w:bookmarkStart w:id="10" w:name="SpecialInstructions"/>
            <w:bookmarkEnd w:id="10"/>
            <w:r>
              <w:t>None</w:t>
            </w:r>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13CC6" w:rsidRDefault="00913CC6" w:rsidP="00913CC6">
      <w:pPr>
        <w:pStyle w:val="BodyText"/>
      </w:pPr>
      <w:r>
        <w:t xml:space="preserve">Pursuant to Rule 25-6.0436(3)(a), </w:t>
      </w:r>
      <w:r w:rsidR="00F43619">
        <w:t>Florida</w:t>
      </w:r>
      <w:r>
        <w:t xml:space="preserve"> Administrative Code (F.A.C.), electric utilities are required to maintain depreciation rates and accumulated depreciation reserve in accounts or subaccounts as prescribed in Rule 25-6.014(1), F.A.C. Rule 25-6.0436(3</w:t>
      </w:r>
      <w:r w:rsidR="00681796">
        <w:t>)(b), F.A.C., provides that “[u]</w:t>
      </w:r>
      <w:r>
        <w:t>pon establishing a new account or subaccount classification, each utility shall request Commission approval of a depreciation rate for the new plant category.” On January 11, 2016, Duke Energy Florida</w:t>
      </w:r>
      <w:r w:rsidR="00B353E3">
        <w:t xml:space="preserve">, LLC </w:t>
      </w:r>
      <w:r>
        <w:t>(DEF or the company) file</w:t>
      </w:r>
      <w:r w:rsidR="00262CA9">
        <w:t>d a</w:t>
      </w:r>
      <w:r>
        <w:t xml:space="preserve"> petition, in accordance with this rule, to establish depreciation rates for its solar photovoltaic generating units and associated equipment. The </w:t>
      </w:r>
      <w:r w:rsidR="008977EB">
        <w:t>Florida Public Service Commission (</w:t>
      </w:r>
      <w:r>
        <w:t>Commission</w:t>
      </w:r>
      <w:r w:rsidR="008977EB">
        <w:t>)</w:t>
      </w:r>
      <w:r>
        <w:t xml:space="preserve"> has jurisdiction in this matter pursuant to Sections 366.04, 366.05, and 366.06, Florida Statutes (F.S.). </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p w:rsidR="00A7744D" w:rsidRDefault="00A7744D" w:rsidP="00A7744D">
      <w:pPr>
        <w:pStyle w:val="BodyText"/>
      </w:pPr>
      <w:r w:rsidRPr="00184880">
        <w:rPr>
          <w:rFonts w:ascii="Arial" w:hAnsi="Arial" w:cs="Arial"/>
          <w:b/>
          <w:i/>
        </w:rPr>
        <w:t>Issue</w:t>
      </w:r>
      <w:r w:rsidR="008D461F" w:rsidRPr="00184880">
        <w:rPr>
          <w:rFonts w:ascii="Arial" w:hAnsi="Arial" w:cs="Arial"/>
          <w:b/>
          <w:i/>
        </w:rPr>
        <w:t xml:space="preserve"> </w:t>
      </w:r>
      <w:r w:rsidRPr="00184880">
        <w:rPr>
          <w:rFonts w:ascii="Arial" w:hAnsi="Arial" w:cs="Arial"/>
          <w:b/>
          <w:i/>
        </w:rPr>
        <w:t>1:</w:t>
      </w:r>
      <w:r>
        <w:t xml:space="preserve"> Should the Commi</w:t>
      </w:r>
      <w:r w:rsidR="002F7D16">
        <w:t>ssion approve DEF’s proposed</w:t>
      </w:r>
      <w:r>
        <w:t xml:space="preserve"> depreciation rates for DEF’s solar </w:t>
      </w:r>
      <w:r w:rsidR="00E34D26">
        <w:t>photo</w:t>
      </w:r>
      <w:r>
        <w:t>voltaic ge</w:t>
      </w:r>
      <w:r w:rsidR="008D461F">
        <w:t>ne</w:t>
      </w:r>
      <w:r>
        <w:t>rating units and associated equipment?</w:t>
      </w:r>
    </w:p>
    <w:p w:rsidR="00A7744D" w:rsidRPr="00481600" w:rsidRDefault="00A7744D" w:rsidP="00A7744D">
      <w:pPr>
        <w:pStyle w:val="BodyText"/>
      </w:pPr>
      <w:r w:rsidRPr="00184880">
        <w:rPr>
          <w:rFonts w:ascii="Arial" w:hAnsi="Arial" w:cs="Arial"/>
          <w:b/>
          <w:i/>
        </w:rPr>
        <w:t>Recommendation</w:t>
      </w:r>
      <w:r w:rsidR="00F91688" w:rsidRPr="00184880">
        <w:rPr>
          <w:rFonts w:ascii="Arial" w:hAnsi="Arial" w:cs="Arial"/>
          <w:b/>
          <w:i/>
        </w:rPr>
        <w:t>:</w:t>
      </w:r>
      <w:r w:rsidR="00481600">
        <w:t xml:space="preserve"> Yes. Staff recommends that the Commissi</w:t>
      </w:r>
      <w:r w:rsidR="002F7D16">
        <w:t>on approve</w:t>
      </w:r>
      <w:r w:rsidR="00481600">
        <w:t xml:space="preserve"> a 30-year life and a whole life deprec</w:t>
      </w:r>
      <w:r w:rsidR="002F7D16">
        <w:t>i</w:t>
      </w:r>
      <w:r w:rsidR="00980067">
        <w:t>ation rate of 3.3 percent</w:t>
      </w:r>
      <w:r w:rsidR="00481600">
        <w:t>, for DEF’s solar photovoltaic ge</w:t>
      </w:r>
      <w:r w:rsidR="00B353E3">
        <w:t xml:space="preserve">nerating </w:t>
      </w:r>
      <w:r w:rsidR="00481600">
        <w:t>units</w:t>
      </w:r>
      <w:r w:rsidR="00B353E3">
        <w:t>.</w:t>
      </w:r>
      <w:r w:rsidR="00481600">
        <w:t xml:space="preserve"> (Stratis, </w:t>
      </w:r>
      <w:r w:rsidR="00315BF3">
        <w:t xml:space="preserve">Clemence, </w:t>
      </w:r>
      <w:r w:rsidR="00481600">
        <w:t>Wooten,</w:t>
      </w:r>
      <w:r w:rsidR="005E06CB">
        <w:t xml:space="preserve"> Wu</w:t>
      </w:r>
      <w:r w:rsidR="00481600">
        <w:t>)</w:t>
      </w:r>
    </w:p>
    <w:p w:rsidR="00382AD0" w:rsidRDefault="00A7744D" w:rsidP="00A7744D">
      <w:pPr>
        <w:pStyle w:val="BodyText"/>
      </w:pPr>
      <w:r w:rsidRPr="00184880">
        <w:rPr>
          <w:rFonts w:ascii="Arial" w:hAnsi="Arial" w:cs="Arial"/>
          <w:b/>
          <w:i/>
        </w:rPr>
        <w:t>Staff Analysis</w:t>
      </w:r>
      <w:r w:rsidR="00F91688" w:rsidRPr="00184880">
        <w:rPr>
          <w:rFonts w:ascii="Arial" w:hAnsi="Arial" w:cs="Arial"/>
          <w:b/>
          <w:i/>
        </w:rPr>
        <w:t>:</w:t>
      </w:r>
      <w:r w:rsidR="002F7D16">
        <w:rPr>
          <w:rFonts w:ascii="Arial" w:hAnsi="Arial" w:cs="Arial"/>
        </w:rPr>
        <w:t xml:space="preserve"> </w:t>
      </w:r>
      <w:r w:rsidR="002B1EDE">
        <w:t xml:space="preserve">DEF seeks the Commission’s approval of depreciation rates </w:t>
      </w:r>
      <w:r w:rsidR="00BE00F8">
        <w:t xml:space="preserve">of </w:t>
      </w:r>
      <w:r w:rsidR="00DF595B">
        <w:t>3.3 percent</w:t>
      </w:r>
      <w:r w:rsidR="00BE00F8">
        <w:t xml:space="preserve"> </w:t>
      </w:r>
      <w:r w:rsidR="002B1EDE">
        <w:t>for specified subaccounts to apply to solar photovoltaic (PV) generating unit</w:t>
      </w:r>
      <w:r w:rsidR="0028237F">
        <w:t xml:space="preserve">s and associated equipment </w:t>
      </w:r>
      <w:r w:rsidR="002B1EDE">
        <w:t>it is constructing at</w:t>
      </w:r>
      <w:r w:rsidR="000027C1">
        <w:t xml:space="preserve"> two facilities: the </w:t>
      </w:r>
      <w:r w:rsidR="002B1EDE">
        <w:t>Perry</w:t>
      </w:r>
      <w:r w:rsidR="000027C1">
        <w:t xml:space="preserve"> Solar Facility</w:t>
      </w:r>
      <w:r w:rsidR="002B1EDE">
        <w:t>, in Taylor County, and</w:t>
      </w:r>
      <w:r w:rsidR="000027C1">
        <w:t xml:space="preserve"> the Osceola Solar Facility,</w:t>
      </w:r>
      <w:r w:rsidR="002B1EDE">
        <w:t xml:space="preserve"> in Osceola County</w:t>
      </w:r>
      <w:r w:rsidR="000027C1">
        <w:t xml:space="preserve">. The Perry facility </w:t>
      </w:r>
      <w:r w:rsidR="00BE0BF1">
        <w:t>will be a 5.1 megawatt</w:t>
      </w:r>
      <w:r w:rsidR="00AC334F">
        <w:t xml:space="preserve"> system, and</w:t>
      </w:r>
      <w:r w:rsidR="000027C1">
        <w:t xml:space="preserve"> the Osceola fa</w:t>
      </w:r>
      <w:r w:rsidR="003B7E40">
        <w:t>c</w:t>
      </w:r>
      <w:r w:rsidR="002B328A">
        <w:t xml:space="preserve">ility will be a </w:t>
      </w:r>
      <w:r w:rsidR="00BE0BF1">
        <w:t>3.8 megawatt</w:t>
      </w:r>
      <w:r w:rsidR="00310C5C">
        <w:t xml:space="preserve"> system. DEF notes</w:t>
      </w:r>
      <w:r w:rsidR="000027C1">
        <w:t xml:space="preserve"> that the depreciation rates and subaccounts would also apply to “.</w:t>
      </w:r>
      <w:r w:rsidR="00B353E3">
        <w:t xml:space="preserve"> </w:t>
      </w:r>
      <w:r w:rsidR="000027C1">
        <w:t>.</w:t>
      </w:r>
      <w:r w:rsidR="00B353E3">
        <w:t xml:space="preserve"> </w:t>
      </w:r>
      <w:r w:rsidR="000027C1">
        <w:t>.</w:t>
      </w:r>
      <w:r w:rsidR="00B353E3">
        <w:t xml:space="preserve"> </w:t>
      </w:r>
      <w:r w:rsidR="000027C1">
        <w:t xml:space="preserve">such other solar </w:t>
      </w:r>
      <w:r w:rsidR="002C3A58">
        <w:t>photo</w:t>
      </w:r>
      <w:r w:rsidR="000027C1">
        <w:t>voltaic generating units as may be cons</w:t>
      </w:r>
      <w:r w:rsidR="00B353E3">
        <w:t>tructed in the future.”</w:t>
      </w:r>
      <w:r w:rsidR="00060C93">
        <w:t xml:space="preserve"> The two</w:t>
      </w:r>
      <w:r w:rsidR="000027C1">
        <w:t xml:space="preserve"> facilities will be constructed on property owned by DEF</w:t>
      </w:r>
      <w:r w:rsidR="00060C93">
        <w:t xml:space="preserve"> in Taylor and Osceola counties</w:t>
      </w:r>
      <w:r w:rsidR="000027C1">
        <w:t xml:space="preserve">, </w:t>
      </w:r>
      <w:r w:rsidR="00060C93">
        <w:t xml:space="preserve">both </w:t>
      </w:r>
      <w:r w:rsidR="000027C1">
        <w:t>located in DEF’s service area. DEF will own all equipment associated with the two facilities.</w:t>
      </w:r>
      <w:r w:rsidR="00C84848">
        <w:t xml:space="preserve"> DEF assigns an expected operating life</w:t>
      </w:r>
      <w:r w:rsidR="00427E3B">
        <w:t xml:space="preserve"> to the system</w:t>
      </w:r>
      <w:r w:rsidR="00C84848">
        <w:t>s of 30 years</w:t>
      </w:r>
      <w:r w:rsidR="00382AD0">
        <w:t xml:space="preserve"> for the Perry and Osceola facilities, and for the 9 other solar PV facilities planned by DEF.</w:t>
      </w:r>
      <w:r w:rsidR="001F40B2">
        <w:rPr>
          <w:rStyle w:val="FootnoteReference"/>
        </w:rPr>
        <w:footnoteReference w:id="1"/>
      </w:r>
      <w:r w:rsidR="00C84848">
        <w:t xml:space="preserve"> </w:t>
      </w:r>
    </w:p>
    <w:p w:rsidR="00C1098C" w:rsidRPr="002F7D16" w:rsidRDefault="005248F1" w:rsidP="00A7744D">
      <w:pPr>
        <w:pStyle w:val="BodyText"/>
        <w:rPr>
          <w:rFonts w:ascii="Arial" w:hAnsi="Arial" w:cs="Arial"/>
        </w:rPr>
      </w:pPr>
      <w:r>
        <w:t>At the time of the petition, DEF had not yet determined</w:t>
      </w:r>
      <w:r w:rsidR="00C84848">
        <w:t xml:space="preserve"> the retirement unit stru</w:t>
      </w:r>
      <w:r w:rsidR="007D2CB9">
        <w:t>cture that it will use</w:t>
      </w:r>
      <w:r w:rsidR="0084079F">
        <w:t>. The c</w:t>
      </w:r>
      <w:r w:rsidR="00CC4F8F">
        <w:t>ompany</w:t>
      </w:r>
      <w:r w:rsidR="007D2CB9">
        <w:t xml:space="preserve"> </w:t>
      </w:r>
      <w:r w:rsidR="00C84848">
        <w:t>plans to include these facilities in it</w:t>
      </w:r>
      <w:r w:rsidR="00CC4F8F">
        <w:t>s next Annual Status Report</w:t>
      </w:r>
      <w:r w:rsidR="00EC694F">
        <w:t xml:space="preserve">, </w:t>
      </w:r>
      <w:r w:rsidR="00CC4F8F">
        <w:t>due on April 30, 2016.</w:t>
      </w:r>
      <w:r w:rsidR="00980067">
        <w:t xml:space="preserve"> DEF seeks approval of the 3.3 percent</w:t>
      </w:r>
      <w:r w:rsidR="00C1098C">
        <w:t xml:space="preserve"> depreciation rate for the following subaccounts:</w:t>
      </w:r>
    </w:p>
    <w:p w:rsidR="00C1098C" w:rsidRDefault="00C1098C" w:rsidP="00A7744D">
      <w:pPr>
        <w:pStyle w:val="BodyText"/>
      </w:pPr>
      <w:r>
        <w:t>303.xx  Intangible Plant</w:t>
      </w:r>
    </w:p>
    <w:p w:rsidR="002E4E2F" w:rsidRDefault="00C1098C" w:rsidP="00A7744D">
      <w:pPr>
        <w:pStyle w:val="BodyText"/>
      </w:pPr>
      <w:r>
        <w:t>341.xx  Structures and Improvements</w:t>
      </w:r>
    </w:p>
    <w:p w:rsidR="00C1098C" w:rsidRDefault="00C1098C" w:rsidP="00A7744D">
      <w:pPr>
        <w:pStyle w:val="BodyText"/>
      </w:pPr>
      <w:r>
        <w:t>343.xx  Other Generation Plant</w:t>
      </w:r>
    </w:p>
    <w:p w:rsidR="00C1098C" w:rsidRDefault="00C1098C" w:rsidP="00A7744D">
      <w:pPr>
        <w:pStyle w:val="BodyText"/>
      </w:pPr>
      <w:r>
        <w:t>345.xx  Accessory Electric Equipment</w:t>
      </w:r>
    </w:p>
    <w:p w:rsidR="004804CC" w:rsidRDefault="009E7079" w:rsidP="00A7744D">
      <w:pPr>
        <w:pStyle w:val="BodyText"/>
      </w:pPr>
      <w:r>
        <w:t>The major components of the so</w:t>
      </w:r>
      <w:r w:rsidR="004804CC">
        <w:t>l</w:t>
      </w:r>
      <w:r>
        <w:t>a</w:t>
      </w:r>
      <w:r w:rsidR="004804CC">
        <w:t xml:space="preserve">r PV generating system include </w:t>
      </w:r>
      <w:r w:rsidR="003B4492">
        <w:t xml:space="preserve">solar </w:t>
      </w:r>
      <w:r w:rsidR="004804CC">
        <w:t xml:space="preserve">PV panels, inverters, </w:t>
      </w:r>
      <w:r w:rsidR="00492E52">
        <w:t>rack</w:t>
      </w:r>
      <w:r w:rsidR="00B17B40">
        <w:t>ing</w:t>
      </w:r>
      <w:r w:rsidR="00492E52">
        <w:t xml:space="preserve"> supp</w:t>
      </w:r>
      <w:r w:rsidR="00B17B40">
        <w:t>ort system</w:t>
      </w:r>
      <w:r w:rsidR="00492E52">
        <w:t>, and transformers</w:t>
      </w:r>
      <w:r w:rsidR="0084079F">
        <w:t>.</w:t>
      </w:r>
      <w:r w:rsidR="00B353E3">
        <w:t xml:space="preserve"> </w:t>
      </w:r>
      <w:r w:rsidR="004804CC">
        <w:t>DEF cites information from vendors, industry, and from the Technical Advisor of the Solar Energy Technologies Office of the US Department of Energy, as well as industry studies produced by the National Renewable Energy Laboratory (NREL), in support of its estimates of the expected life of the facilities</w:t>
      </w:r>
      <w:r w:rsidR="00D91A13">
        <w:t xml:space="preserve"> and components</w:t>
      </w:r>
      <w:r w:rsidR="004804CC">
        <w:t>.</w:t>
      </w:r>
    </w:p>
    <w:p w:rsidR="003B4492" w:rsidRDefault="003B4492" w:rsidP="00A7744D">
      <w:pPr>
        <w:pStyle w:val="BodyText"/>
      </w:pPr>
      <w:r>
        <w:t xml:space="preserve">In </w:t>
      </w:r>
      <w:r w:rsidR="002E4E2F" w:rsidRPr="00BD08D0">
        <w:t>Order No</w:t>
      </w:r>
      <w:r>
        <w:t>s. PSC-08-0731-PAA-EI</w:t>
      </w:r>
      <w:r w:rsidR="002E4E2F" w:rsidRPr="00BD08D0">
        <w:t xml:space="preserve"> </w:t>
      </w:r>
      <w:r>
        <w:t>and PSC-15-0573-PAA-EI</w:t>
      </w:r>
      <w:r w:rsidR="00D96BB7" w:rsidRPr="00BD08D0">
        <w:t xml:space="preserve"> </w:t>
      </w:r>
      <w:r w:rsidR="002E4E2F" w:rsidRPr="00BD08D0">
        <w:t>the Commission adopted a 30-year life with zero net salvage for comparabl</w:t>
      </w:r>
      <w:r w:rsidR="00D96BB7" w:rsidRPr="00BD08D0">
        <w:t>e solar PV generating units for</w:t>
      </w:r>
      <w:r w:rsidR="002E4E2F" w:rsidRPr="00BD08D0">
        <w:t xml:space="preserve"> Florida Power </w:t>
      </w:r>
      <w:r w:rsidR="00D96BB7" w:rsidRPr="00BD08D0">
        <w:t xml:space="preserve">&amp; Light </w:t>
      </w:r>
      <w:r w:rsidR="00B353E3">
        <w:t xml:space="preserve">Company </w:t>
      </w:r>
      <w:r w:rsidR="00D96BB7" w:rsidRPr="00BD08D0">
        <w:t>(FPL) and for Tampa Electric Company (TECO).</w:t>
      </w:r>
      <w:r w:rsidR="00980067">
        <w:t xml:space="preserve"> The Commission authorized FPL and TECO to use t</w:t>
      </w:r>
      <w:r w:rsidR="00013ED5">
        <w:t xml:space="preserve">he resulting depreciation rate </w:t>
      </w:r>
      <w:r w:rsidR="00980067">
        <w:t>of 3.3 percent for the same subaccounts DEF proposes for its solar PV generating units and related equipment.</w:t>
      </w:r>
      <w:r w:rsidR="00BE00F8" w:rsidRPr="00BD08D0">
        <w:t xml:space="preserve"> </w:t>
      </w:r>
    </w:p>
    <w:p w:rsidR="00BE0BF1" w:rsidRDefault="00BE0BF1" w:rsidP="00980067">
      <w:pPr>
        <w:pStyle w:val="BodyText"/>
        <w:rPr>
          <w:rFonts w:ascii="Arial" w:hAnsi="Arial" w:cs="Arial"/>
          <w:b/>
          <w:i/>
        </w:rPr>
      </w:pPr>
    </w:p>
    <w:p w:rsidR="00980067" w:rsidRPr="003246CB" w:rsidRDefault="00980067" w:rsidP="00980067">
      <w:pPr>
        <w:pStyle w:val="BodyText"/>
        <w:rPr>
          <w:rFonts w:ascii="Arial" w:hAnsi="Arial" w:cs="Arial"/>
          <w:b/>
          <w:i/>
          <w:color w:val="FF0000"/>
        </w:rPr>
      </w:pPr>
      <w:r w:rsidRPr="003246CB">
        <w:rPr>
          <w:rFonts w:ascii="Arial" w:hAnsi="Arial" w:cs="Arial"/>
          <w:b/>
          <w:i/>
        </w:rPr>
        <w:lastRenderedPageBreak/>
        <w:t xml:space="preserve">Conclusion </w:t>
      </w:r>
    </w:p>
    <w:p w:rsidR="00980067" w:rsidRDefault="006E7672" w:rsidP="00980067">
      <w:r>
        <w:t xml:space="preserve">Staff believes that DEF’s </w:t>
      </w:r>
      <w:r w:rsidR="007E465F">
        <w:t>depreciation rate request is supported by i</w:t>
      </w:r>
      <w:r w:rsidR="005238DE">
        <w:t>ndustry information and studies</w:t>
      </w:r>
      <w:r w:rsidR="007E465F">
        <w:t xml:space="preserve"> </w:t>
      </w:r>
      <w:r>
        <w:t xml:space="preserve">and </w:t>
      </w:r>
      <w:r w:rsidR="007E465F">
        <w:t xml:space="preserve">is </w:t>
      </w:r>
      <w:r>
        <w:t>consistent with previous Commission practice. Therefore, s</w:t>
      </w:r>
      <w:r w:rsidR="00980067" w:rsidRPr="006F22D1">
        <w:t xml:space="preserve">taff </w:t>
      </w:r>
      <w:r w:rsidR="00401888">
        <w:t>believes a 30-</w:t>
      </w:r>
      <w:r w:rsidR="00980067">
        <w:t xml:space="preserve">year life and a whole life depreciation rate of 3.3 percent is appropriate at this time for DEF’s solar photovoltaic generating units and associated equipment, applied to each of the related subaccounts </w:t>
      </w:r>
      <w:r w:rsidR="00442542">
        <w:t xml:space="preserve">discussed </w:t>
      </w:r>
      <w:r w:rsidR="00980067">
        <w:t>in the staff analysis.</w:t>
      </w:r>
      <w:r w:rsidR="008A053E">
        <w:t xml:space="preserve"> </w:t>
      </w:r>
    </w:p>
    <w:p w:rsidR="00980067" w:rsidRDefault="00980067" w:rsidP="00980067"/>
    <w:p w:rsidR="00980067" w:rsidRDefault="00980067">
      <w:pPr>
        <w:rPr>
          <w:rFonts w:ascii="Arial" w:hAnsi="Arial" w:cs="Arial"/>
          <w:b/>
          <w:i/>
        </w:rPr>
      </w:pPr>
      <w:r>
        <w:rPr>
          <w:rFonts w:ascii="Arial" w:hAnsi="Arial" w:cs="Arial"/>
          <w:b/>
          <w:i/>
        </w:rPr>
        <w:br w:type="page"/>
      </w:r>
    </w:p>
    <w:p w:rsidR="008D461F" w:rsidRDefault="008D461F" w:rsidP="00904375">
      <w:pPr>
        <w:pStyle w:val="BodyText"/>
      </w:pPr>
      <w:r w:rsidRPr="00184880">
        <w:rPr>
          <w:rFonts w:ascii="Arial" w:hAnsi="Arial" w:cs="Arial"/>
          <w:b/>
          <w:i/>
        </w:rPr>
        <w:lastRenderedPageBreak/>
        <w:t>Issue 2</w:t>
      </w:r>
      <w:r w:rsidRPr="00A7744D">
        <w:rPr>
          <w:b/>
          <w:i/>
        </w:rPr>
        <w:t>:</w:t>
      </w:r>
      <w:r>
        <w:t xml:space="preserve"> What should be the effective date for the implement</w:t>
      </w:r>
      <w:r w:rsidR="00BD08D0">
        <w:t>a</w:t>
      </w:r>
      <w:r>
        <w:t xml:space="preserve">tion of the new depreciation rates for DEF’s solar </w:t>
      </w:r>
      <w:r w:rsidR="00DF595B">
        <w:t>photo</w:t>
      </w:r>
      <w:r>
        <w:t>voltaic generating units and associated equipment?</w:t>
      </w:r>
    </w:p>
    <w:p w:rsidR="00D955CE" w:rsidRDefault="008D461F" w:rsidP="00904375">
      <w:pPr>
        <w:pStyle w:val="BodyText"/>
      </w:pPr>
      <w:r w:rsidRPr="00184880">
        <w:rPr>
          <w:rFonts w:ascii="Arial" w:hAnsi="Arial" w:cs="Arial"/>
          <w:b/>
          <w:i/>
        </w:rPr>
        <w:t>Recommendation</w:t>
      </w:r>
      <w:r w:rsidR="00F91688" w:rsidRPr="00184880">
        <w:rPr>
          <w:rFonts w:ascii="Arial" w:hAnsi="Arial" w:cs="Arial"/>
          <w:b/>
          <w:i/>
        </w:rPr>
        <w:t>:</w:t>
      </w:r>
      <w:r w:rsidR="00DC4296" w:rsidRPr="00184880">
        <w:rPr>
          <w:rFonts w:ascii="Arial" w:hAnsi="Arial" w:cs="Arial"/>
        </w:rPr>
        <w:t xml:space="preserve"> </w:t>
      </w:r>
      <w:r w:rsidR="00DC4296">
        <w:t>St</w:t>
      </w:r>
      <w:r w:rsidR="002C3A58">
        <w:t xml:space="preserve">aff recommends </w:t>
      </w:r>
      <w:r w:rsidR="00543A7A">
        <w:t>the Commission approve an ef</w:t>
      </w:r>
      <w:r w:rsidR="00D955CE">
        <w:t>fective date of March 15, 2016, for the implementation of the new depreciation rates for DEF’s solar photovoltaic generating units and associated equipment. (Stratis)</w:t>
      </w:r>
    </w:p>
    <w:p w:rsidR="008D461F" w:rsidRPr="004D7AA5" w:rsidRDefault="008D461F" w:rsidP="00904375">
      <w:pPr>
        <w:jc w:val="both"/>
      </w:pPr>
      <w:r w:rsidRPr="00184880">
        <w:rPr>
          <w:rFonts w:ascii="Arial" w:hAnsi="Arial" w:cs="Arial"/>
          <w:b/>
          <w:i/>
        </w:rPr>
        <w:t>Staff Analysis</w:t>
      </w:r>
      <w:r w:rsidR="00F91688" w:rsidRPr="00184880">
        <w:rPr>
          <w:rFonts w:ascii="Arial" w:hAnsi="Arial" w:cs="Arial"/>
          <w:b/>
          <w:i/>
        </w:rPr>
        <w:t>:</w:t>
      </w:r>
      <w:r w:rsidR="00A61B7D">
        <w:rPr>
          <w:b/>
          <w:i/>
        </w:rPr>
        <w:t xml:space="preserve"> </w:t>
      </w:r>
      <w:r w:rsidR="00D7573D">
        <w:t>Depreciation is the reco</w:t>
      </w:r>
      <w:r w:rsidR="00A61B7D">
        <w:t>very of invested capital representing equipment t</w:t>
      </w:r>
      <w:r w:rsidR="004C3B6D">
        <w:t>h</w:t>
      </w:r>
      <w:r w:rsidR="00A61B7D">
        <w:t>at provides service to the public. This recovery is designed to take place over the related period of service to the public, beginning with the equipment’s in</w:t>
      </w:r>
      <w:r w:rsidR="004C3B6D">
        <w:t xml:space="preserve">-service date. </w:t>
      </w:r>
      <w:r w:rsidR="00D955CE">
        <w:t>In their responses to staff’s first data r</w:t>
      </w:r>
      <w:r w:rsidR="00845035">
        <w:t xml:space="preserve">equest, DEF provides in-service dates of May 2016 for the Osceola project and June 2016 for the Perry project. </w:t>
      </w:r>
      <w:r w:rsidR="00D955CE">
        <w:t>DEF requests the Commission to approve the new depreciation rates for solar photovoltaic generating units and associated equipment,</w:t>
      </w:r>
      <w:r w:rsidR="00D955CE" w:rsidRPr="004D7AA5">
        <w:t xml:space="preserve"> </w:t>
      </w:r>
      <w:r w:rsidR="00D955CE">
        <w:t>effective March 15, 2016.</w:t>
      </w:r>
      <w:r w:rsidR="00D955CE" w:rsidRPr="004D7AA5">
        <w:t xml:space="preserve"> </w:t>
      </w:r>
      <w:r w:rsidR="00543A7A">
        <w:t>An effective date of March</w:t>
      </w:r>
      <w:r w:rsidR="00CA5B8F">
        <w:t xml:space="preserve"> </w:t>
      </w:r>
      <w:r w:rsidR="00543A7A">
        <w:t xml:space="preserve">15, 2016 </w:t>
      </w:r>
      <w:r w:rsidR="00D955CE">
        <w:t>would allow</w:t>
      </w:r>
      <w:r w:rsidR="00BE0BF1">
        <w:t xml:space="preserve"> sufficient time for the c</w:t>
      </w:r>
      <w:r w:rsidR="00543A7A">
        <w:t>ompany to</w:t>
      </w:r>
      <w:r w:rsidR="00CA5B8F">
        <w:t xml:space="preserve"> </w:t>
      </w:r>
      <w:r w:rsidR="00543A7A">
        <w:t>make the necessary adjustments to its accounting syst</w:t>
      </w:r>
      <w:r w:rsidR="00CA5B8F">
        <w:t xml:space="preserve">em before the </w:t>
      </w:r>
      <w:r w:rsidR="00D955CE">
        <w:t>in-</w:t>
      </w:r>
      <w:r w:rsidR="00CA5B8F">
        <w:t>service dat</w:t>
      </w:r>
      <w:r w:rsidR="00543A7A">
        <w:t>e</w:t>
      </w:r>
      <w:r w:rsidR="00CA5B8F">
        <w:t xml:space="preserve">s </w:t>
      </w:r>
      <w:r w:rsidR="00543A7A">
        <w:t>of the Osceola and Perry projects. Staff believes an effective date of March 15, 2016 for the implementation o</w:t>
      </w:r>
      <w:r w:rsidR="00CA5B8F">
        <w:t xml:space="preserve">f the </w:t>
      </w:r>
      <w:r w:rsidR="00F624A6">
        <w:t xml:space="preserve">depreciation rates for the </w:t>
      </w:r>
      <w:r w:rsidR="00CA5B8F">
        <w:t>generating units and associate</w:t>
      </w:r>
      <w:r w:rsidR="00543A7A">
        <w:t>d</w:t>
      </w:r>
      <w:r w:rsidR="00CA5B8F">
        <w:t xml:space="preserve"> </w:t>
      </w:r>
      <w:r w:rsidR="00543A7A">
        <w:t xml:space="preserve">equipment is appropriate.  </w:t>
      </w:r>
    </w:p>
    <w:p w:rsidR="00980067" w:rsidRDefault="00980067">
      <w:pPr>
        <w:rPr>
          <w:rFonts w:ascii="Arial" w:hAnsi="Arial" w:cs="Arial"/>
          <w:b/>
          <w:i/>
        </w:rPr>
      </w:pPr>
      <w:r>
        <w:rPr>
          <w:rFonts w:ascii="Arial" w:hAnsi="Arial" w:cs="Arial"/>
          <w:b/>
          <w:i/>
        </w:rPr>
        <w:br w:type="page"/>
      </w:r>
    </w:p>
    <w:p w:rsidR="008D461F" w:rsidRDefault="00DA2020" w:rsidP="00A7744D">
      <w:pPr>
        <w:pStyle w:val="BodyText"/>
      </w:pPr>
      <w:r w:rsidRPr="00184880">
        <w:rPr>
          <w:rFonts w:ascii="Arial" w:hAnsi="Arial" w:cs="Arial"/>
          <w:b/>
          <w:i/>
        </w:rPr>
        <w:lastRenderedPageBreak/>
        <w:t>Issue 3:</w:t>
      </w:r>
      <w:r w:rsidRPr="00184880">
        <w:rPr>
          <w:rFonts w:ascii="Arial" w:hAnsi="Arial" w:cs="Arial"/>
        </w:rPr>
        <w:t xml:space="preserve"> </w:t>
      </w:r>
      <w:r>
        <w:t>Should this docket be closed?</w:t>
      </w:r>
    </w:p>
    <w:p w:rsidR="00DA2020" w:rsidRPr="00D11F4E" w:rsidRDefault="00DA2020" w:rsidP="00A7744D">
      <w:pPr>
        <w:pStyle w:val="BodyText"/>
      </w:pPr>
      <w:r w:rsidRPr="00184880">
        <w:rPr>
          <w:rFonts w:ascii="Arial" w:hAnsi="Arial" w:cs="Arial"/>
          <w:b/>
          <w:i/>
        </w:rPr>
        <w:t>Recommendation:</w:t>
      </w:r>
      <w:r w:rsidR="00D11F4E">
        <w:rPr>
          <w:b/>
          <w:i/>
        </w:rPr>
        <w:t xml:space="preserve"> </w:t>
      </w:r>
      <w:r w:rsidR="00D11F4E">
        <w:t>If no person whose substantial interests are affected by the propo</w:t>
      </w:r>
      <w:r w:rsidR="000E30C7">
        <w:t>sed agency action files a protes</w:t>
      </w:r>
      <w:r w:rsidR="00D11F4E">
        <w:t xml:space="preserve">t within 21 days of the issuance of the order, this docket should be closed upon issuance of the consummating order. (Janjic) </w:t>
      </w:r>
    </w:p>
    <w:p w:rsidR="00DA2020" w:rsidRDefault="00DA2020" w:rsidP="00A7744D">
      <w:pPr>
        <w:pStyle w:val="BodyText"/>
      </w:pPr>
      <w:r w:rsidRPr="00184880">
        <w:rPr>
          <w:rFonts w:ascii="Arial" w:hAnsi="Arial" w:cs="Arial"/>
          <w:b/>
          <w:i/>
        </w:rPr>
        <w:t>Staff Analysis:</w:t>
      </w:r>
      <w:r w:rsidR="00D11F4E">
        <w:rPr>
          <w:b/>
          <w:i/>
        </w:rPr>
        <w:t xml:space="preserve"> </w:t>
      </w:r>
      <w:r w:rsidR="00D11F4E" w:rsidRPr="00D11F4E">
        <w:t>At th</w:t>
      </w:r>
      <w:r w:rsidR="00D11F4E">
        <w:t xml:space="preserve">e </w:t>
      </w:r>
      <w:r w:rsidR="00F43619">
        <w:t>conclusion</w:t>
      </w:r>
      <w:r w:rsidR="00D11F4E">
        <w:t xml:space="preserve"> of the protest period, if no protest is filed, this docket shou</w:t>
      </w:r>
      <w:r w:rsidR="00D11F4E" w:rsidRPr="00D11F4E">
        <w:t>ld be closed upon the issuance of a consummating order.</w:t>
      </w:r>
    </w:p>
    <w:p w:rsidR="003246CB" w:rsidRPr="006F22D1" w:rsidRDefault="003246CB" w:rsidP="003246CB">
      <w:pPr>
        <w:pStyle w:val="BodyText"/>
      </w:pPr>
      <w:r w:rsidRPr="006F22D1">
        <w:rPr>
          <w:color w:val="FF0000"/>
        </w:rPr>
        <w:t xml:space="preserve">    </w:t>
      </w:r>
      <w:r w:rsidRPr="006F22D1">
        <w:t xml:space="preserve">  </w:t>
      </w:r>
    </w:p>
    <w:p w:rsidR="003246CB" w:rsidRPr="00D11F4E" w:rsidRDefault="003246CB" w:rsidP="00A7744D">
      <w:pPr>
        <w:pStyle w:val="BodyText"/>
      </w:pPr>
    </w:p>
    <w:bookmarkEnd w:id="16"/>
    <w:sectPr w:rsidR="003246CB" w:rsidRPr="00D11F4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EC" w:rsidRDefault="000333EC">
      <w:r>
        <w:separator/>
      </w:r>
    </w:p>
  </w:endnote>
  <w:endnote w:type="continuationSeparator" w:id="0">
    <w:p w:rsidR="000333EC" w:rsidRDefault="0003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9143C">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EC" w:rsidRDefault="000333EC">
      <w:r>
        <w:separator/>
      </w:r>
    </w:p>
  </w:footnote>
  <w:footnote w:type="continuationSeparator" w:id="0">
    <w:p w:rsidR="000333EC" w:rsidRDefault="000333EC">
      <w:r>
        <w:continuationSeparator/>
      </w:r>
    </w:p>
  </w:footnote>
  <w:footnote w:id="1">
    <w:p w:rsidR="001F40B2" w:rsidRDefault="001F40B2">
      <w:pPr>
        <w:pStyle w:val="FootnoteText"/>
      </w:pPr>
      <w:r>
        <w:rPr>
          <w:rStyle w:val="FootnoteReference"/>
        </w:rPr>
        <w:footnoteRef/>
      </w:r>
      <w:r>
        <w:t xml:space="preserve"> </w:t>
      </w:r>
      <w:r w:rsidR="00BE0BF1">
        <w:t>DEF response</w:t>
      </w:r>
      <w:r w:rsidR="00CC4F8F">
        <w:t xml:space="preserve"> </w:t>
      </w:r>
      <w:r w:rsidR="00CC4F8F" w:rsidRPr="00CC4F8F">
        <w:t>to S</w:t>
      </w:r>
      <w:r w:rsidR="00CC4F8F">
        <w:t>taff’s First Data Request, No.</w:t>
      </w:r>
      <w:r w:rsidR="00980067">
        <w:t xml:space="preserve"> </w:t>
      </w:r>
      <w:r w:rsidR="00CC4F8F">
        <w:t>1b</w:t>
      </w:r>
      <w:r>
        <w:t>. The Solar 3 facility will be located in either Volusia or Suwannee County; the locations of the remaining projects remain to be determined.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4" w:name="DocketLabel"/>
  <w:p w:rsidR="00BB3493" w:rsidRDefault="00BB3493" w:rsidP="00220732">
    <w:pPr>
      <w:pStyle w:val="Header"/>
      <w:tabs>
        <w:tab w:val="clear" w:pos="4320"/>
        <w:tab w:val="clear" w:pos="8640"/>
        <w:tab w:val="right" w:pos="9360"/>
      </w:tabs>
    </w:pPr>
    <w:r>
      <w:fldChar w:fldCharType="begin"/>
    </w:r>
    <w:r>
      <w:instrText xml:space="preserve"> MACROBUTTON NoMacro [Docket No. or Dockets Nos.]</w:instrText>
    </w:r>
    <w:r>
      <w:fldChar w:fldCharType="end"/>
    </w:r>
    <w:bookmarkEnd w:id="14"/>
    <w:r>
      <w:t xml:space="preserve"> </w:t>
    </w:r>
    <w:bookmarkStart w:id="15" w:name="DocketList"/>
    <w:r>
      <w:fldChar w:fldCharType="begin"/>
    </w:r>
    <w:r>
      <w:instrText xml:space="preserve"> MACROBUTTON  NoMacro [Click here and type Docket No. List]</w:instrText>
    </w:r>
    <w:r>
      <w:fldChar w:fldCharType="end"/>
    </w:r>
    <w:bookmarkEnd w:id="15"/>
  </w:p>
  <w:p w:rsidR="00BB3493" w:rsidRDefault="00BB3493">
    <w:pPr>
      <w:pStyle w:val="Header"/>
    </w:pPr>
    <w:r>
      <w:t xml:space="preserve">Date: </w:t>
    </w:r>
    <w:r>
      <w:fldChar w:fldCharType="begin"/>
    </w:r>
    <w:r>
      <w:instrText xml:space="preserve"> REF FilingDate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65559A" w:rsidP="00220732">
    <w:pPr>
      <w:pStyle w:val="Header"/>
      <w:tabs>
        <w:tab w:val="clear" w:pos="4320"/>
        <w:tab w:val="clear" w:pos="8640"/>
        <w:tab w:val="right" w:pos="9360"/>
      </w:tabs>
    </w:pPr>
    <w:r>
      <w:t>Docket No. 160017-EI</w:t>
    </w:r>
    <w:r w:rsidR="00BB3493">
      <w:tab/>
      <w:t xml:space="preserve">Issue </w:t>
    </w:r>
    <w:r w:rsidR="00262CA9">
      <w:t>1</w:t>
    </w:r>
  </w:p>
  <w:p w:rsidR="00BB3493" w:rsidRDefault="00BB3493">
    <w:pPr>
      <w:pStyle w:val="Header"/>
    </w:pPr>
    <w:r>
      <w:t xml:space="preserve">Date: </w:t>
    </w:r>
    <w:r w:rsidR="0019413D">
      <w:t>February 12, 2016</w:t>
    </w:r>
    <w:r>
      <w:fldChar w:fldCharType="begin"/>
    </w:r>
    <w:r>
      <w:instrText xml:space="preserve"> REF FilingDate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0333EC"/>
    <w:rsid w:val="000027C1"/>
    <w:rsid w:val="00010E37"/>
    <w:rsid w:val="00013ED5"/>
    <w:rsid w:val="000277C2"/>
    <w:rsid w:val="000333EC"/>
    <w:rsid w:val="00035B48"/>
    <w:rsid w:val="00036CE2"/>
    <w:rsid w:val="000437FE"/>
    <w:rsid w:val="00060C93"/>
    <w:rsid w:val="00065A06"/>
    <w:rsid w:val="000666F3"/>
    <w:rsid w:val="00070DCB"/>
    <w:rsid w:val="00073120"/>
    <w:rsid w:val="000828D3"/>
    <w:rsid w:val="000A2B57"/>
    <w:rsid w:val="000A418B"/>
    <w:rsid w:val="000A61D1"/>
    <w:rsid w:val="000C4431"/>
    <w:rsid w:val="000C5B97"/>
    <w:rsid w:val="000D2192"/>
    <w:rsid w:val="000D4319"/>
    <w:rsid w:val="000E30C7"/>
    <w:rsid w:val="00115258"/>
    <w:rsid w:val="00117C8C"/>
    <w:rsid w:val="00124E2E"/>
    <w:rsid w:val="00125ED4"/>
    <w:rsid w:val="001305E9"/>
    <w:rsid w:val="001307AF"/>
    <w:rsid w:val="00135687"/>
    <w:rsid w:val="00151F1B"/>
    <w:rsid w:val="00170FCF"/>
    <w:rsid w:val="00180254"/>
    <w:rsid w:val="00184880"/>
    <w:rsid w:val="00191E1F"/>
    <w:rsid w:val="00192752"/>
    <w:rsid w:val="00192943"/>
    <w:rsid w:val="0019413D"/>
    <w:rsid w:val="001B4FEE"/>
    <w:rsid w:val="001B51C5"/>
    <w:rsid w:val="001B6F3F"/>
    <w:rsid w:val="001C52B5"/>
    <w:rsid w:val="001D0D3E"/>
    <w:rsid w:val="001D36E8"/>
    <w:rsid w:val="001F40B2"/>
    <w:rsid w:val="00203A8D"/>
    <w:rsid w:val="002044E6"/>
    <w:rsid w:val="00205C82"/>
    <w:rsid w:val="00205DC2"/>
    <w:rsid w:val="002163B6"/>
    <w:rsid w:val="00220732"/>
    <w:rsid w:val="00225C3F"/>
    <w:rsid w:val="00262CA9"/>
    <w:rsid w:val="0028237F"/>
    <w:rsid w:val="00292D82"/>
    <w:rsid w:val="002963CB"/>
    <w:rsid w:val="002B1EDE"/>
    <w:rsid w:val="002B328A"/>
    <w:rsid w:val="002C3A58"/>
    <w:rsid w:val="002D226D"/>
    <w:rsid w:val="002E4E2F"/>
    <w:rsid w:val="002F7D16"/>
    <w:rsid w:val="003037E1"/>
    <w:rsid w:val="003103EC"/>
    <w:rsid w:val="00310C5C"/>
    <w:rsid w:val="003144EF"/>
    <w:rsid w:val="00315BF3"/>
    <w:rsid w:val="00320EF7"/>
    <w:rsid w:val="003226ED"/>
    <w:rsid w:val="00322F74"/>
    <w:rsid w:val="003246CB"/>
    <w:rsid w:val="00340073"/>
    <w:rsid w:val="00372805"/>
    <w:rsid w:val="00373180"/>
    <w:rsid w:val="003821A0"/>
    <w:rsid w:val="00382AD0"/>
    <w:rsid w:val="00385B04"/>
    <w:rsid w:val="003A5494"/>
    <w:rsid w:val="003B2510"/>
    <w:rsid w:val="003B4492"/>
    <w:rsid w:val="003B7E40"/>
    <w:rsid w:val="003C2CC4"/>
    <w:rsid w:val="003C7F31"/>
    <w:rsid w:val="003E0EFC"/>
    <w:rsid w:val="003E4A2B"/>
    <w:rsid w:val="003E76C2"/>
    <w:rsid w:val="003E7E2E"/>
    <w:rsid w:val="003F1679"/>
    <w:rsid w:val="003F4A35"/>
    <w:rsid w:val="003F7FDD"/>
    <w:rsid w:val="00401888"/>
    <w:rsid w:val="004042B4"/>
    <w:rsid w:val="00412DAE"/>
    <w:rsid w:val="00427E3B"/>
    <w:rsid w:val="00431598"/>
    <w:rsid w:val="0043573A"/>
    <w:rsid w:val="00442542"/>
    <w:rsid w:val="00444432"/>
    <w:rsid w:val="00461845"/>
    <w:rsid w:val="004804CC"/>
    <w:rsid w:val="00481600"/>
    <w:rsid w:val="00492E52"/>
    <w:rsid w:val="004C3150"/>
    <w:rsid w:val="004C3B6D"/>
    <w:rsid w:val="004C4390"/>
    <w:rsid w:val="004C4AF7"/>
    <w:rsid w:val="004D2881"/>
    <w:rsid w:val="004D385F"/>
    <w:rsid w:val="004D5B39"/>
    <w:rsid w:val="004D7AA5"/>
    <w:rsid w:val="004E5147"/>
    <w:rsid w:val="00506C03"/>
    <w:rsid w:val="005238DE"/>
    <w:rsid w:val="005248F1"/>
    <w:rsid w:val="0052572A"/>
    <w:rsid w:val="005326E4"/>
    <w:rsid w:val="00543A7A"/>
    <w:rsid w:val="005444F3"/>
    <w:rsid w:val="00554526"/>
    <w:rsid w:val="005614BD"/>
    <w:rsid w:val="0057154F"/>
    <w:rsid w:val="005724BA"/>
    <w:rsid w:val="00581CA3"/>
    <w:rsid w:val="00597730"/>
    <w:rsid w:val="00597DE7"/>
    <w:rsid w:val="005A2AF4"/>
    <w:rsid w:val="005A4AA2"/>
    <w:rsid w:val="005A5B34"/>
    <w:rsid w:val="005B34B6"/>
    <w:rsid w:val="005B6C8F"/>
    <w:rsid w:val="005D2E7D"/>
    <w:rsid w:val="005D4A8F"/>
    <w:rsid w:val="005D561B"/>
    <w:rsid w:val="005E06CB"/>
    <w:rsid w:val="005F468D"/>
    <w:rsid w:val="005F7109"/>
    <w:rsid w:val="00615423"/>
    <w:rsid w:val="006165B2"/>
    <w:rsid w:val="00623D74"/>
    <w:rsid w:val="00625D97"/>
    <w:rsid w:val="00625F1C"/>
    <w:rsid w:val="00630CEB"/>
    <w:rsid w:val="00632264"/>
    <w:rsid w:val="00640C5C"/>
    <w:rsid w:val="006470BC"/>
    <w:rsid w:val="0065559A"/>
    <w:rsid w:val="00667036"/>
    <w:rsid w:val="006771B8"/>
    <w:rsid w:val="00681796"/>
    <w:rsid w:val="0068481F"/>
    <w:rsid w:val="006876F0"/>
    <w:rsid w:val="00696F5D"/>
    <w:rsid w:val="00697249"/>
    <w:rsid w:val="006B4293"/>
    <w:rsid w:val="006C31E3"/>
    <w:rsid w:val="006E7672"/>
    <w:rsid w:val="006F22D1"/>
    <w:rsid w:val="00705B04"/>
    <w:rsid w:val="00714A3C"/>
    <w:rsid w:val="00724487"/>
    <w:rsid w:val="007349DC"/>
    <w:rsid w:val="0074365E"/>
    <w:rsid w:val="007515FD"/>
    <w:rsid w:val="00760D80"/>
    <w:rsid w:val="00780C09"/>
    <w:rsid w:val="00780DDF"/>
    <w:rsid w:val="00782851"/>
    <w:rsid w:val="00787DBC"/>
    <w:rsid w:val="007A04A1"/>
    <w:rsid w:val="007A1840"/>
    <w:rsid w:val="007C01D3"/>
    <w:rsid w:val="007C0528"/>
    <w:rsid w:val="007C3D38"/>
    <w:rsid w:val="007D2CB9"/>
    <w:rsid w:val="007D4FEB"/>
    <w:rsid w:val="007D6146"/>
    <w:rsid w:val="007E0CE7"/>
    <w:rsid w:val="007E465F"/>
    <w:rsid w:val="007F417F"/>
    <w:rsid w:val="00816624"/>
    <w:rsid w:val="00822562"/>
    <w:rsid w:val="00823663"/>
    <w:rsid w:val="00832DDC"/>
    <w:rsid w:val="0084079F"/>
    <w:rsid w:val="00845035"/>
    <w:rsid w:val="00850BAC"/>
    <w:rsid w:val="00854A3E"/>
    <w:rsid w:val="008558E9"/>
    <w:rsid w:val="00855D08"/>
    <w:rsid w:val="00874344"/>
    <w:rsid w:val="00882155"/>
    <w:rsid w:val="0088233B"/>
    <w:rsid w:val="00886C37"/>
    <w:rsid w:val="00896B85"/>
    <w:rsid w:val="008977EB"/>
    <w:rsid w:val="008A053E"/>
    <w:rsid w:val="008A1354"/>
    <w:rsid w:val="008B62AE"/>
    <w:rsid w:val="008C04B5"/>
    <w:rsid w:val="008C14FA"/>
    <w:rsid w:val="008D461F"/>
    <w:rsid w:val="008F2262"/>
    <w:rsid w:val="008F7736"/>
    <w:rsid w:val="0090019E"/>
    <w:rsid w:val="00901086"/>
    <w:rsid w:val="00901C8A"/>
    <w:rsid w:val="00904375"/>
    <w:rsid w:val="00905886"/>
    <w:rsid w:val="009070D6"/>
    <w:rsid w:val="009076C6"/>
    <w:rsid w:val="009106F1"/>
    <w:rsid w:val="00913CC6"/>
    <w:rsid w:val="00913E10"/>
    <w:rsid w:val="009145D6"/>
    <w:rsid w:val="00917C49"/>
    <w:rsid w:val="00922002"/>
    <w:rsid w:val="00924020"/>
    <w:rsid w:val="009271A7"/>
    <w:rsid w:val="0093658B"/>
    <w:rsid w:val="009429FF"/>
    <w:rsid w:val="00943466"/>
    <w:rsid w:val="00945BD6"/>
    <w:rsid w:val="009479FB"/>
    <w:rsid w:val="00951C45"/>
    <w:rsid w:val="00966A08"/>
    <w:rsid w:val="00971207"/>
    <w:rsid w:val="00975CB4"/>
    <w:rsid w:val="00980067"/>
    <w:rsid w:val="009863B0"/>
    <w:rsid w:val="00987DE1"/>
    <w:rsid w:val="00990571"/>
    <w:rsid w:val="0099673A"/>
    <w:rsid w:val="009A3330"/>
    <w:rsid w:val="009A3B7D"/>
    <w:rsid w:val="009A7C96"/>
    <w:rsid w:val="009C3DB9"/>
    <w:rsid w:val="009D46E5"/>
    <w:rsid w:val="009D568A"/>
    <w:rsid w:val="009E7079"/>
    <w:rsid w:val="009F04EC"/>
    <w:rsid w:val="00A019B9"/>
    <w:rsid w:val="00A12508"/>
    <w:rsid w:val="00A13CE1"/>
    <w:rsid w:val="00A175B6"/>
    <w:rsid w:val="00A21835"/>
    <w:rsid w:val="00A328EC"/>
    <w:rsid w:val="00A33A51"/>
    <w:rsid w:val="00A41CA6"/>
    <w:rsid w:val="00A47927"/>
    <w:rsid w:val="00A47FFC"/>
    <w:rsid w:val="00A54FF9"/>
    <w:rsid w:val="00A56765"/>
    <w:rsid w:val="00A61B7D"/>
    <w:rsid w:val="00A7744D"/>
    <w:rsid w:val="00A800CE"/>
    <w:rsid w:val="00A9143C"/>
    <w:rsid w:val="00A92FB1"/>
    <w:rsid w:val="00A95A0C"/>
    <w:rsid w:val="00AA2765"/>
    <w:rsid w:val="00AA77B5"/>
    <w:rsid w:val="00AB6C5D"/>
    <w:rsid w:val="00AB773F"/>
    <w:rsid w:val="00AC334F"/>
    <w:rsid w:val="00AC51A7"/>
    <w:rsid w:val="00AD2D6A"/>
    <w:rsid w:val="00AE2528"/>
    <w:rsid w:val="00AF5F89"/>
    <w:rsid w:val="00AF73CB"/>
    <w:rsid w:val="00B002D6"/>
    <w:rsid w:val="00B05B51"/>
    <w:rsid w:val="00B15370"/>
    <w:rsid w:val="00B17B40"/>
    <w:rsid w:val="00B17BEB"/>
    <w:rsid w:val="00B21A3C"/>
    <w:rsid w:val="00B223C0"/>
    <w:rsid w:val="00B234ED"/>
    <w:rsid w:val="00B25CA3"/>
    <w:rsid w:val="00B353E3"/>
    <w:rsid w:val="00B760F1"/>
    <w:rsid w:val="00B7669E"/>
    <w:rsid w:val="00B855E2"/>
    <w:rsid w:val="00BA0D55"/>
    <w:rsid w:val="00BA37B3"/>
    <w:rsid w:val="00BA4CC6"/>
    <w:rsid w:val="00BB3493"/>
    <w:rsid w:val="00BC188A"/>
    <w:rsid w:val="00BD08D0"/>
    <w:rsid w:val="00BE00F8"/>
    <w:rsid w:val="00BE0BF1"/>
    <w:rsid w:val="00BF5010"/>
    <w:rsid w:val="00C1098C"/>
    <w:rsid w:val="00C31BB3"/>
    <w:rsid w:val="00C36977"/>
    <w:rsid w:val="00C60BA3"/>
    <w:rsid w:val="00C623F7"/>
    <w:rsid w:val="00C674A2"/>
    <w:rsid w:val="00C81773"/>
    <w:rsid w:val="00C84848"/>
    <w:rsid w:val="00C86896"/>
    <w:rsid w:val="00C907A8"/>
    <w:rsid w:val="00C93211"/>
    <w:rsid w:val="00C942EC"/>
    <w:rsid w:val="00C96047"/>
    <w:rsid w:val="00C979D0"/>
    <w:rsid w:val="00CA0818"/>
    <w:rsid w:val="00CA2C8F"/>
    <w:rsid w:val="00CA30DA"/>
    <w:rsid w:val="00CA3A24"/>
    <w:rsid w:val="00CA5B8F"/>
    <w:rsid w:val="00CB1777"/>
    <w:rsid w:val="00CB33E9"/>
    <w:rsid w:val="00CB471E"/>
    <w:rsid w:val="00CC10A9"/>
    <w:rsid w:val="00CC4F8F"/>
    <w:rsid w:val="00CC5197"/>
    <w:rsid w:val="00CE2BF8"/>
    <w:rsid w:val="00CF0DA8"/>
    <w:rsid w:val="00CF2E25"/>
    <w:rsid w:val="00CF4453"/>
    <w:rsid w:val="00D034D7"/>
    <w:rsid w:val="00D04BE4"/>
    <w:rsid w:val="00D11F4E"/>
    <w:rsid w:val="00D14127"/>
    <w:rsid w:val="00D60F02"/>
    <w:rsid w:val="00D66E49"/>
    <w:rsid w:val="00D72F74"/>
    <w:rsid w:val="00D7573D"/>
    <w:rsid w:val="00D81563"/>
    <w:rsid w:val="00D9073E"/>
    <w:rsid w:val="00D91A13"/>
    <w:rsid w:val="00D9221D"/>
    <w:rsid w:val="00D955CE"/>
    <w:rsid w:val="00D958DF"/>
    <w:rsid w:val="00D96BB7"/>
    <w:rsid w:val="00D96DA1"/>
    <w:rsid w:val="00DA2020"/>
    <w:rsid w:val="00DA51E7"/>
    <w:rsid w:val="00DB1C78"/>
    <w:rsid w:val="00DB7D96"/>
    <w:rsid w:val="00DC23FE"/>
    <w:rsid w:val="00DC4296"/>
    <w:rsid w:val="00DC59E6"/>
    <w:rsid w:val="00DD150B"/>
    <w:rsid w:val="00DF595B"/>
    <w:rsid w:val="00E06484"/>
    <w:rsid w:val="00E20A7D"/>
    <w:rsid w:val="00E27B7A"/>
    <w:rsid w:val="00E34D26"/>
    <w:rsid w:val="00E375CA"/>
    <w:rsid w:val="00E567E8"/>
    <w:rsid w:val="00E65EBC"/>
    <w:rsid w:val="00E73432"/>
    <w:rsid w:val="00E77B0C"/>
    <w:rsid w:val="00E77FB8"/>
    <w:rsid w:val="00E838B0"/>
    <w:rsid w:val="00E86A7C"/>
    <w:rsid w:val="00E878E1"/>
    <w:rsid w:val="00E95278"/>
    <w:rsid w:val="00EA2273"/>
    <w:rsid w:val="00EB2DB3"/>
    <w:rsid w:val="00EB5F95"/>
    <w:rsid w:val="00EC3FBB"/>
    <w:rsid w:val="00EC694F"/>
    <w:rsid w:val="00EC6B7A"/>
    <w:rsid w:val="00ED3A87"/>
    <w:rsid w:val="00ED5B67"/>
    <w:rsid w:val="00EF3FEE"/>
    <w:rsid w:val="00F04B59"/>
    <w:rsid w:val="00F12B1C"/>
    <w:rsid w:val="00F13CF8"/>
    <w:rsid w:val="00F15855"/>
    <w:rsid w:val="00F32978"/>
    <w:rsid w:val="00F34A86"/>
    <w:rsid w:val="00F43619"/>
    <w:rsid w:val="00F45CB2"/>
    <w:rsid w:val="00F544C0"/>
    <w:rsid w:val="00F55332"/>
    <w:rsid w:val="00F624A6"/>
    <w:rsid w:val="00F62DBD"/>
    <w:rsid w:val="00F65519"/>
    <w:rsid w:val="00F713C0"/>
    <w:rsid w:val="00F75DDC"/>
    <w:rsid w:val="00F91688"/>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rsid w:val="00AD2D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rsid w:val="00AD2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ECO\Test%20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2CA9-C158-4C98-AA6F-E6E600AB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Recommendation (Regular).dot</Template>
  <TotalTime>0</TotalTime>
  <Pages>5</Pages>
  <Words>950</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Nicholas Stratis</dc:creator>
  <cp:lastModifiedBy>Nicholas Stratis</cp:lastModifiedBy>
  <cp:revision>2</cp:revision>
  <cp:lastPrinted>2016-02-17T18:35:00Z</cp:lastPrinted>
  <dcterms:created xsi:type="dcterms:W3CDTF">2016-02-17T20:12:00Z</dcterms:created>
  <dcterms:modified xsi:type="dcterms:W3CDTF">2016-02-17T20:12:00Z</dcterms:modified>
  <cp:category>recommendation</cp:category>
</cp:coreProperties>
</file>