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1B51" w:rsidP="00CF1B51">
      <w:pPr>
        <w:pStyle w:val="OrderHeading"/>
      </w:pPr>
      <w:r>
        <w:t>BEFORE THE FLORIDA PUBLIC SERVICE COMMISSION</w:t>
      </w:r>
    </w:p>
    <w:p w:rsidR="00CF1B51" w:rsidRDefault="00CF1B51" w:rsidP="00CF1B51">
      <w:pPr>
        <w:pStyle w:val="OrderHeading"/>
      </w:pPr>
    </w:p>
    <w:p w:rsidR="00CF1B51" w:rsidRDefault="00CF1B51" w:rsidP="00CF1B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1B51" w:rsidRPr="00C63FCF" w:rsidTr="00C63FCF">
        <w:trPr>
          <w:trHeight w:val="828"/>
        </w:trPr>
        <w:tc>
          <w:tcPr>
            <w:tcW w:w="4788" w:type="dxa"/>
            <w:tcBorders>
              <w:bottom w:val="single" w:sz="8" w:space="0" w:color="auto"/>
              <w:right w:val="double" w:sz="6" w:space="0" w:color="auto"/>
            </w:tcBorders>
            <w:shd w:val="clear" w:color="auto" w:fill="auto"/>
          </w:tcPr>
          <w:p w:rsidR="00CF1B51" w:rsidRDefault="00CF1B51"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CF1B51" w:rsidRDefault="00CF1B51" w:rsidP="00CF1B51">
            <w:pPr>
              <w:pStyle w:val="OrderBody"/>
            </w:pPr>
            <w:r>
              <w:t xml:space="preserve">DOCKET NO. </w:t>
            </w:r>
            <w:bookmarkStart w:id="1" w:name="SSDocketNo"/>
            <w:bookmarkEnd w:id="1"/>
            <w:r>
              <w:t>160096-EI</w:t>
            </w:r>
          </w:p>
          <w:p w:rsidR="00CF1B51" w:rsidRDefault="00CF1B51" w:rsidP="00C63FCF">
            <w:pPr>
              <w:pStyle w:val="OrderBody"/>
              <w:tabs>
                <w:tab w:val="center" w:pos="4320"/>
                <w:tab w:val="right" w:pos="8640"/>
              </w:tabs>
              <w:jc w:val="left"/>
            </w:pPr>
            <w:r>
              <w:t xml:space="preserve">ORDER NO. </w:t>
            </w:r>
            <w:bookmarkStart w:id="2" w:name="OrderNo0247"/>
            <w:r w:rsidR="007802B9">
              <w:t>PSC-16-0247-PAA-EI</w:t>
            </w:r>
            <w:bookmarkEnd w:id="2"/>
          </w:p>
          <w:p w:rsidR="00CF1B51" w:rsidRDefault="00CF1B51" w:rsidP="00C63FCF">
            <w:pPr>
              <w:pStyle w:val="OrderBody"/>
              <w:tabs>
                <w:tab w:val="center" w:pos="4320"/>
                <w:tab w:val="right" w:pos="8640"/>
              </w:tabs>
              <w:jc w:val="left"/>
            </w:pPr>
            <w:r>
              <w:t xml:space="preserve">ISSUED: </w:t>
            </w:r>
            <w:r w:rsidR="007802B9">
              <w:t>June 27, 2016</w:t>
            </w:r>
          </w:p>
        </w:tc>
      </w:tr>
    </w:tbl>
    <w:p w:rsidR="00CF1B51" w:rsidRDefault="00CF1B51" w:rsidP="00CF1B51"/>
    <w:p w:rsidR="00CF1B51" w:rsidRDefault="00CF1B51" w:rsidP="00CF1B51"/>
    <w:p w:rsidR="00CF1B51" w:rsidRPr="00E46E1F" w:rsidRDefault="00CF1B51">
      <w:pPr>
        <w:ind w:firstLine="720"/>
        <w:jc w:val="both"/>
      </w:pPr>
      <w:bookmarkStart w:id="3" w:name="Commissioners"/>
      <w:bookmarkEnd w:id="3"/>
      <w:r w:rsidRPr="00E46E1F">
        <w:t>The following Commissioners participated in the disposition of this matter:</w:t>
      </w:r>
    </w:p>
    <w:p w:rsidR="00CF1B51" w:rsidRPr="00E46E1F" w:rsidRDefault="00CF1B51"/>
    <w:p w:rsidR="00CF1B51" w:rsidRDefault="00CF1B51">
      <w:pPr>
        <w:jc w:val="center"/>
      </w:pPr>
      <w:r>
        <w:t>JULIE I. BROWN</w:t>
      </w:r>
      <w:r w:rsidRPr="00E46E1F">
        <w:t>, Chairman</w:t>
      </w:r>
    </w:p>
    <w:p w:rsidR="00CF1B51" w:rsidRPr="00E46E1F" w:rsidRDefault="00CF1B51">
      <w:pPr>
        <w:jc w:val="center"/>
      </w:pPr>
      <w:r w:rsidRPr="00E46E1F">
        <w:t>LISA POLAK EDGAR</w:t>
      </w:r>
    </w:p>
    <w:p w:rsidR="00CF1B51" w:rsidRDefault="00CF1B51">
      <w:pPr>
        <w:jc w:val="center"/>
      </w:pPr>
      <w:r>
        <w:t>ART GRAHAM</w:t>
      </w:r>
    </w:p>
    <w:p w:rsidR="00CF1B51" w:rsidRDefault="00CF1B51">
      <w:pPr>
        <w:jc w:val="center"/>
      </w:pPr>
      <w:r>
        <w:t>RONALD A. BRISÉ</w:t>
      </w:r>
    </w:p>
    <w:p w:rsidR="00CF1B51" w:rsidRDefault="00CF1B51">
      <w:pPr>
        <w:jc w:val="center"/>
      </w:pPr>
      <w:r>
        <w:t>JIMMY PATRONIS</w:t>
      </w:r>
    </w:p>
    <w:p w:rsidR="00CB5276" w:rsidRDefault="00CB5276">
      <w:pPr>
        <w:pStyle w:val="OrderBody"/>
      </w:pPr>
    </w:p>
    <w:p w:rsidR="002028CF" w:rsidRDefault="000274F1" w:rsidP="00052237">
      <w:pPr>
        <w:pStyle w:val="CenterUnderline"/>
      </w:pPr>
      <w:r>
        <w:t>NOTICE OF PROPOSED AGENCY ACTION</w:t>
      </w:r>
    </w:p>
    <w:p w:rsidR="00CF1B51" w:rsidRDefault="00CF1B51" w:rsidP="00052237">
      <w:pPr>
        <w:pStyle w:val="CenterUnderline"/>
      </w:pPr>
      <w:r>
        <w:t>ORDER</w:t>
      </w:r>
      <w:bookmarkStart w:id="4" w:name="OrderTitle"/>
      <w:r w:rsidR="000274F1">
        <w:t xml:space="preserve"> </w:t>
      </w:r>
      <w:r>
        <w:t>GRANTING</w:t>
      </w:r>
      <w:r w:rsidR="002028CF">
        <w:t xml:space="preserve"> </w:t>
      </w:r>
      <w:r>
        <w:t>INVESTOR-OWNED UTILITIES’ JOINT</w:t>
      </w:r>
      <w:r w:rsidR="000274F1">
        <w:tab/>
      </w:r>
      <w:r w:rsidR="001F0B4B">
        <w:t xml:space="preserve"> </w:t>
      </w:r>
      <w:r>
        <w:t>PETITION FOR APPROVAL OF MODIFICATIONS TO</w:t>
      </w:r>
      <w:r w:rsidR="000274F1">
        <w:t xml:space="preserve"> </w:t>
      </w:r>
      <w:r>
        <w:t>RISK MANAGEMENT PLANS</w:t>
      </w:r>
      <w:bookmarkEnd w:id="4"/>
    </w:p>
    <w:p w:rsidR="00CF1B51" w:rsidRDefault="00CF1B51" w:rsidP="00CF1B51">
      <w:pPr>
        <w:pStyle w:val="CenterUnderline"/>
      </w:pPr>
    </w:p>
    <w:p w:rsidR="00CF1B51" w:rsidRDefault="00CF1B51" w:rsidP="00CF1B51">
      <w:pPr>
        <w:pStyle w:val="OrderBody"/>
      </w:pPr>
      <w:r>
        <w:t>BY THE COMMISSION:</w:t>
      </w:r>
    </w:p>
    <w:p w:rsidR="00CF1B51" w:rsidRDefault="00CF1B51" w:rsidP="00CF1B51">
      <w:pPr>
        <w:pStyle w:val="OrderBody"/>
      </w:pPr>
    </w:p>
    <w:p w:rsidR="000274F1" w:rsidRDefault="000274F1" w:rsidP="00CF1B51">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0274F1" w:rsidRDefault="000274F1" w:rsidP="00CF1B51">
      <w:pPr>
        <w:pStyle w:val="OrderBody"/>
      </w:pPr>
    </w:p>
    <w:p w:rsidR="000274F1" w:rsidRDefault="000274F1" w:rsidP="000274F1">
      <w:pPr>
        <w:pStyle w:val="OrderBody"/>
        <w:jc w:val="center"/>
        <w:rPr>
          <w:u w:val="single"/>
        </w:rPr>
      </w:pPr>
      <w:r>
        <w:rPr>
          <w:u w:val="single"/>
        </w:rPr>
        <w:t>BACKGROUND</w:t>
      </w:r>
    </w:p>
    <w:p w:rsidR="000274F1" w:rsidRPr="000274F1" w:rsidRDefault="000274F1" w:rsidP="000274F1">
      <w:pPr>
        <w:pStyle w:val="OrderBody"/>
        <w:jc w:val="center"/>
        <w:rPr>
          <w:u w:val="single"/>
        </w:rPr>
      </w:pPr>
    </w:p>
    <w:p w:rsidR="00CF1B51" w:rsidRDefault="00CF1B51" w:rsidP="00CF1B51">
      <w:pPr>
        <w:pStyle w:val="BodyText"/>
        <w:jc w:val="both"/>
      </w:pPr>
      <w:bookmarkStart w:id="5" w:name="OrderText"/>
      <w:bookmarkEnd w:id="5"/>
      <w:r>
        <w:tab/>
      </w:r>
      <w:r w:rsidRPr="00C6798C">
        <w:t>On April 22, 2016</w:t>
      </w:r>
      <w:r>
        <w:t>,</w:t>
      </w:r>
      <w:r w:rsidRPr="00C6798C">
        <w:t xml:space="preserve"> Duke Energy Florida, LLC (DEF), Florida Power &amp; Light Company (FPL), Tampa Electric Company (TECO), and Gulf Pow</w:t>
      </w:r>
      <w:r>
        <w:t>er Company (Gulf) (Petitioners or IOUs</w:t>
      </w:r>
      <w:r w:rsidRPr="00C6798C">
        <w:t xml:space="preserve">) </w:t>
      </w:r>
      <w:r>
        <w:t>filed a joint petition</w:t>
      </w:r>
      <w:r w:rsidRPr="00C6798C">
        <w:t xml:space="preserve"> seek</w:t>
      </w:r>
      <w:r>
        <w:t>ing</w:t>
      </w:r>
      <w:r w:rsidRPr="00C6798C">
        <w:t xml:space="preserve"> approval of modifications to their respec</w:t>
      </w:r>
      <w:r>
        <w:t>tive Risk Management Plans (Joint Petition).  FPL, TECO, and Gulf are seekin</w:t>
      </w:r>
      <w:r w:rsidRPr="00C6798C">
        <w:t xml:space="preserve">g approval of modifications to their respective </w:t>
      </w:r>
      <w:r>
        <w:t xml:space="preserve">2016 </w:t>
      </w:r>
      <w:r w:rsidRPr="00C6798C">
        <w:t xml:space="preserve">Risk Management Plans, noting that the 2016 plans were approved in Order No. </w:t>
      </w:r>
      <w:r>
        <w:t>PSC-15-0586-FOF-EI (2</w:t>
      </w:r>
      <w:r w:rsidRPr="00997DCC">
        <w:t>015 Fuel Order).</w:t>
      </w:r>
      <w:r w:rsidRPr="00997DCC">
        <w:rPr>
          <w:vertAlign w:val="superscript"/>
        </w:rPr>
        <w:footnoteReference w:id="1"/>
      </w:r>
      <w:r w:rsidRPr="00997DCC">
        <w:t xml:space="preserve"> </w:t>
      </w:r>
      <w:r>
        <w:t xml:space="preserve"> </w:t>
      </w:r>
      <w:r w:rsidRPr="00997DCC">
        <w:t>DEF does not join in seeking to modify its 2016 Risk Management Plan, because DEF believes its</w:t>
      </w:r>
      <w:r>
        <w:t xml:space="preserve"> current </w:t>
      </w:r>
      <w:r w:rsidRPr="00997DCC">
        <w:t>Risk Management Plan affords it</w:t>
      </w:r>
      <w:r>
        <w:t xml:space="preserve"> the ability to meet the</w:t>
      </w:r>
      <w:r w:rsidRPr="00997DCC">
        <w:t xml:space="preserve"> goal</w:t>
      </w:r>
      <w:r>
        <w:t>s</w:t>
      </w:r>
      <w:r w:rsidRPr="00997DCC">
        <w:t xml:space="preserve"> </w:t>
      </w:r>
      <w:r>
        <w:t>proposed by the other petitioners.  The Petitioners</w:t>
      </w:r>
      <w:r w:rsidRPr="00997DCC">
        <w:t xml:space="preserve"> </w:t>
      </w:r>
      <w:r>
        <w:t>propose modifications to the 2017 Risk Management Plans, which will be considered for approval in November’s annual hearing in the Fuel Cost Recovery Clause docket (Docket No. 160001-EI).</w:t>
      </w:r>
    </w:p>
    <w:p w:rsidR="00CF1B51" w:rsidRPr="00C6798C" w:rsidRDefault="00CF1B51" w:rsidP="00CF1B51">
      <w:pPr>
        <w:pStyle w:val="BodyText"/>
        <w:jc w:val="both"/>
      </w:pPr>
      <w:r>
        <w:lastRenderedPageBreak/>
        <w:tab/>
        <w:t>The Petitioners state that</w:t>
      </w:r>
      <w:r w:rsidRPr="00C6798C">
        <w:t xml:space="preserve"> in the 2015 Fuel Order</w:t>
      </w:r>
      <w:r>
        <w:t>,</w:t>
      </w:r>
      <w:r>
        <w:rPr>
          <w:rStyle w:val="FootnoteReference"/>
        </w:rPr>
        <w:footnoteReference w:id="2"/>
      </w:r>
      <w:r w:rsidRPr="00C6798C">
        <w:t xml:space="preserve"> the Commission directed the Petitioners to explore possible changes </w:t>
      </w:r>
      <w:r>
        <w:t>to the current hedging protocol</w:t>
      </w:r>
      <w:r w:rsidRPr="00C6798C">
        <w:t xml:space="preserve"> in order to minimize potential losses to custo</w:t>
      </w:r>
      <w:r>
        <w:t xml:space="preserve">mers in periods of falling natural gas </w:t>
      </w:r>
      <w:r w:rsidRPr="00C6798C">
        <w:t xml:space="preserve">prices. </w:t>
      </w:r>
    </w:p>
    <w:p w:rsidR="00CF1B51" w:rsidRPr="00C6798C" w:rsidRDefault="00CF1B51" w:rsidP="00CF1B51">
      <w:pPr>
        <w:pStyle w:val="BodyText"/>
        <w:jc w:val="both"/>
      </w:pPr>
      <w:r>
        <w:tab/>
      </w:r>
      <w:r w:rsidRPr="00C6798C">
        <w:t xml:space="preserve">On January 25, 2016, an informal </w:t>
      </w:r>
      <w:r w:rsidR="002028CF">
        <w:t xml:space="preserve">noticed </w:t>
      </w:r>
      <w:r w:rsidRPr="00C6798C">
        <w:t xml:space="preserve">meeting between Commission staff and interested persons was held to discuss options and procedures for possible changes to the hedging process to minimize potential losses to customers. </w:t>
      </w:r>
      <w:r>
        <w:t xml:space="preserve"> </w:t>
      </w:r>
      <w:r w:rsidRPr="00C6798C">
        <w:t>Representatives from DEF, FPL, TECO, and Gulf participated in the meeting, although no specific actions we</w:t>
      </w:r>
      <w:r>
        <w:t>re developed</w:t>
      </w:r>
      <w:r w:rsidRPr="00C6798C">
        <w:t xml:space="preserve">. </w:t>
      </w:r>
    </w:p>
    <w:p w:rsidR="00CF1B51" w:rsidRPr="00C6798C" w:rsidRDefault="00CF1B51" w:rsidP="00CF1B51">
      <w:pPr>
        <w:pStyle w:val="BodyText"/>
        <w:jc w:val="both"/>
      </w:pPr>
      <w:r>
        <w:tab/>
      </w:r>
      <w:r w:rsidRPr="00C6798C">
        <w:t xml:space="preserve">The Petitioners contend this joint proposal achieves the objective expressed in the 2015 Fuel Order to bring forward possible changes </w:t>
      </w:r>
      <w:r>
        <w:t>to the current hedging protocol</w:t>
      </w:r>
      <w:r w:rsidRPr="00C6798C">
        <w:t xml:space="preserve"> in order to minimize potential losses to customers.</w:t>
      </w:r>
      <w:r>
        <w:t xml:space="preserve">  </w:t>
      </w:r>
      <w:r w:rsidRPr="00C6798C">
        <w:t xml:space="preserve">The Petitioners have identified company-specific commitments </w:t>
      </w:r>
      <w:r>
        <w:t xml:space="preserve">and each proposes </w:t>
      </w:r>
      <w:r w:rsidRPr="00C6798C">
        <w:t>to:</w:t>
      </w:r>
    </w:p>
    <w:p w:rsidR="00CF1B51" w:rsidRPr="00C6798C" w:rsidRDefault="00CF1B51" w:rsidP="00CF1B51">
      <w:pPr>
        <w:pStyle w:val="BodyText"/>
        <w:numPr>
          <w:ilvl w:val="0"/>
          <w:numId w:val="1"/>
        </w:numPr>
        <w:spacing w:after="240"/>
        <w:jc w:val="both"/>
      </w:pPr>
      <w:r w:rsidRPr="00C6798C">
        <w:t>Reduce their respective annual maximum percentage of fuel purchases targeted for hedges; and</w:t>
      </w:r>
    </w:p>
    <w:p w:rsidR="00CF1B51" w:rsidRPr="00C6798C" w:rsidRDefault="00CF1B51" w:rsidP="00CF1B51">
      <w:pPr>
        <w:pStyle w:val="BodyText"/>
        <w:numPr>
          <w:ilvl w:val="0"/>
          <w:numId w:val="1"/>
        </w:numPr>
        <w:spacing w:after="240"/>
        <w:jc w:val="both"/>
      </w:pPr>
      <w:r>
        <w:t>Reduce</w:t>
      </w:r>
      <w:r w:rsidRPr="00C6798C">
        <w:t xml:space="preserve"> the period of time over which hedges may be placed pursuant to each respective Risk Management Plan.</w:t>
      </w:r>
    </w:p>
    <w:p w:rsidR="00CF1B51" w:rsidRPr="00C6798C" w:rsidRDefault="00CF1B51" w:rsidP="00CF1B51">
      <w:pPr>
        <w:pStyle w:val="BodyText"/>
        <w:jc w:val="both"/>
      </w:pPr>
      <w:r>
        <w:tab/>
      </w:r>
      <w:r w:rsidRPr="00C6798C">
        <w:t xml:space="preserve">On April 26, 2016, the Office of Public Counsel </w:t>
      </w:r>
      <w:r>
        <w:t xml:space="preserve">(OPC) </w:t>
      </w:r>
      <w:r w:rsidRPr="00C6798C">
        <w:t xml:space="preserve">filed its Notice of Intervention. By Order No. PSC-16-0174-PCO-EI, issued April 29, 2016, </w:t>
      </w:r>
      <w:r>
        <w:t>the Commission acknowledged OPC’s</w:t>
      </w:r>
      <w:r w:rsidRPr="00C6798C">
        <w:t xml:space="preserve"> intervention.</w:t>
      </w:r>
      <w:r>
        <w:t xml:space="preserve">  On May 10, 2016, </w:t>
      </w:r>
      <w:r w:rsidRPr="00C6798C">
        <w:t>DEF</w:t>
      </w:r>
      <w:r>
        <w:t>, FPL</w:t>
      </w:r>
      <w:r w:rsidRPr="00C6798C">
        <w:t xml:space="preserve">, </w:t>
      </w:r>
      <w:r>
        <w:t>TECO</w:t>
      </w:r>
      <w:r w:rsidRPr="00C6798C">
        <w:t xml:space="preserve">, and Gulf </w:t>
      </w:r>
      <w:r>
        <w:t xml:space="preserve">filed responses to staff’s first data request.  </w:t>
      </w:r>
      <w:r w:rsidRPr="00C6798C">
        <w:t>The Petitioners propose that the Commission consider this Petition on</w:t>
      </w:r>
      <w:r>
        <w:t xml:space="preserve"> a proposed agency action (PAA) track and approve</w:t>
      </w:r>
      <w:r w:rsidRPr="00C6798C">
        <w:t xml:space="preserve"> the IOUs’ </w:t>
      </w:r>
      <w:r>
        <w:t xml:space="preserve">modified </w:t>
      </w:r>
      <w:r w:rsidRPr="00C6798C">
        <w:t>2016 Risk Management Plans,</w:t>
      </w:r>
      <w:r w:rsidRPr="00C6798C">
        <w:rPr>
          <w:vertAlign w:val="superscript"/>
        </w:rPr>
        <w:footnoteReference w:id="3"/>
      </w:r>
      <w:r w:rsidRPr="00C6798C">
        <w:t xml:space="preserve"> </w:t>
      </w:r>
      <w:r>
        <w:t>to be</w:t>
      </w:r>
      <w:r w:rsidRPr="00C6798C">
        <w:t xml:space="preserve"> effective within 15 days following the Commission vote and remain in effect during the pendency of any protest of the PAA Order. </w:t>
      </w:r>
    </w:p>
    <w:p w:rsidR="00CF1B51" w:rsidRDefault="00CF1B51" w:rsidP="00CF1B51">
      <w:pPr>
        <w:pStyle w:val="BodyText"/>
        <w:jc w:val="both"/>
      </w:pPr>
      <w:r>
        <w:tab/>
      </w:r>
      <w:r w:rsidR="00FC3E8B">
        <w:t xml:space="preserve">We have </w:t>
      </w:r>
      <w:r w:rsidRPr="00C6798C">
        <w:t xml:space="preserve">jurisdiction to consider this matter </w:t>
      </w:r>
      <w:r>
        <w:t>pursuant to Section 366.06, Florida Statutes (F.S.).</w:t>
      </w:r>
    </w:p>
    <w:p w:rsidR="00CF1B51" w:rsidRDefault="00B05DF5" w:rsidP="00B05DF5">
      <w:pPr>
        <w:pStyle w:val="BodyText"/>
        <w:jc w:val="center"/>
        <w:rPr>
          <w:u w:val="single"/>
        </w:rPr>
      </w:pPr>
      <w:r>
        <w:rPr>
          <w:u w:val="single"/>
        </w:rPr>
        <w:t>DECISION</w:t>
      </w:r>
    </w:p>
    <w:p w:rsidR="00B05DF5" w:rsidRDefault="00FC3E8B" w:rsidP="00B05DF5">
      <w:pPr>
        <w:rPr>
          <w:u w:val="single"/>
        </w:rPr>
      </w:pPr>
      <w:r>
        <w:tab/>
      </w:r>
      <w:r w:rsidR="00B05DF5" w:rsidRPr="00B05DF5">
        <w:rPr>
          <w:u w:val="single"/>
        </w:rPr>
        <w:t>Background on Fuel Hedging and Risk Management Plans</w:t>
      </w:r>
    </w:p>
    <w:p w:rsidR="00B05DF5" w:rsidRPr="00B05DF5" w:rsidRDefault="00B05DF5" w:rsidP="00B05DF5">
      <w:pPr>
        <w:rPr>
          <w:u w:val="single"/>
        </w:rPr>
      </w:pPr>
    </w:p>
    <w:p w:rsidR="00B05DF5" w:rsidRDefault="00B05DF5" w:rsidP="00B05DF5">
      <w:pPr>
        <w:jc w:val="both"/>
      </w:pPr>
      <w:r>
        <w:tab/>
        <w:t>Prior to 2001, IOUs carried out a small number of financial hedging transactions.  In response to significant fluctuations in the price of natural gas and fuel oil during 2000 and 2001, the Commission raised issues regarding the utilities’ management of fuel price risk as part of the 2001 Fuel Clause proceeding.  The specific issues raised involved the reasonableness of hedging as a tool to manage fuel price risk and the appropriate regulatory treatment of hedging gains and losses.  These issues were spun off to Docket No. 011605-EI for further investigation.</w:t>
      </w:r>
    </w:p>
    <w:p w:rsidR="00B05DF5" w:rsidRDefault="00B05DF5" w:rsidP="00B05DF5">
      <w:pPr>
        <w:jc w:val="both"/>
      </w:pPr>
    </w:p>
    <w:p w:rsidR="00B05DF5" w:rsidRDefault="00B05DF5" w:rsidP="00B05DF5">
      <w:pPr>
        <w:pStyle w:val="BodyText"/>
        <w:jc w:val="both"/>
      </w:pPr>
      <w:r>
        <w:tab/>
        <w:t>At the hearing for Docket No. 011605-EI, parties reached a settlement of all issues.  By Order No. PSC-02-1484-FOF-EI (Hedging Order),</w:t>
      </w:r>
      <w:r>
        <w:rPr>
          <w:rStyle w:val="FootnoteReference"/>
        </w:rPr>
        <w:footnoteReference w:id="4"/>
      </w:r>
      <w:r>
        <w:t xml:space="preserve"> the Commission approved a settlement that </w:t>
      </w:r>
      <w:r>
        <w:lastRenderedPageBreak/>
        <w:t xml:space="preserve">provided a framework that incorporated hedging activities into fuel procurement activities.  For natural gas, fuel oil, and purchased power, the settlement allowed Florida’s generating IOUs to charge prudently incurred hedging gains and losses to the fuel clause.  The Hedging Order specified that the Commission would review each IOU’s hedging activities as part of the annual fuel proceeding.  </w:t>
      </w:r>
    </w:p>
    <w:p w:rsidR="00B05DF5" w:rsidRDefault="00B05DF5" w:rsidP="00B05DF5">
      <w:pPr>
        <w:pStyle w:val="BodyText"/>
        <w:jc w:val="both"/>
      </w:pPr>
      <w:r>
        <w:tab/>
        <w:t>The Hedging Order required utilities to file Risk Management Plans as part of their true-up filings.  The intent of this requirement was to allow this Commission and parties to the Fuel Clause docket to monitor utility hedging activities.  As part of the annual final true-up filings,  utilities were required to state the volumes of fuel hedged, the type of hedging instruments, the average length of the term of the hedge positions, and fees associated with hedging transactions.</w:t>
      </w:r>
    </w:p>
    <w:p w:rsidR="00B05DF5" w:rsidRDefault="00B05DF5" w:rsidP="00B05DF5">
      <w:pPr>
        <w:pStyle w:val="BodyText"/>
        <w:jc w:val="both"/>
      </w:pPr>
      <w:r>
        <w:tab/>
        <w:t>Although the Hedging Order allowed utilities flexibility in the development of Risk Management Plans, the order also set forth guidelines utilities were to follow.  For example, the order required that Risk Management Plans identify the objectives of the hedging programs and the minimum quantities to be hedged.  The order also required that plans provide mechanisms and controls for the proper oversight of hedging activities within the utility, as well as include the method for assessing and monitoring fuel price risk.</w:t>
      </w:r>
    </w:p>
    <w:p w:rsidR="00B05DF5" w:rsidRDefault="00B05DF5" w:rsidP="00B05DF5">
      <w:pPr>
        <w:pStyle w:val="BodyText"/>
        <w:jc w:val="both"/>
      </w:pPr>
      <w:r>
        <w:tab/>
        <w:t xml:space="preserve">In tandem with Docket No. 011605-EI, Commission </w:t>
      </w:r>
      <w:r w:rsidRPr="00307A5C">
        <w:t>staff conducted a review of</w:t>
      </w:r>
      <w:r>
        <w:t xml:space="preserve"> the internal controls of the IOUs and published the findings in a report entitled</w:t>
      </w:r>
      <w:r w:rsidRPr="00307A5C">
        <w:t xml:space="preserve"> </w:t>
      </w:r>
      <w:r>
        <w:t>“</w:t>
      </w:r>
      <w:r w:rsidRPr="00307A5C">
        <w:t xml:space="preserve">Internal Controls of Florida’s Investor-Owned Utilities for Fuel and </w:t>
      </w:r>
      <w:r>
        <w:t xml:space="preserve">Wholesale Energy Transactions.”  </w:t>
      </w:r>
      <w:r w:rsidRPr="00307A5C">
        <w:t>This study examined the practices, procedures, controls, and policies these companies followed when purchasing foss</w:t>
      </w:r>
      <w:r>
        <w:t xml:space="preserve">il fuels and wholesale energy.  </w:t>
      </w:r>
      <w:r w:rsidRPr="00307A5C">
        <w:t>The study period looked at data from 1998 through 2001.</w:t>
      </w:r>
      <w:r>
        <w:t xml:space="preserve">  The study concluded that Florida’s IOUs had engaged in physical hedging in fuel procurement but very limited financial hedging.  At the time, the IOUs had not set up the proper controls to engage in extensive financial hedging. </w:t>
      </w:r>
    </w:p>
    <w:p w:rsidR="00B05DF5" w:rsidRPr="00307A5C" w:rsidRDefault="00B05DF5" w:rsidP="00B05DF5">
      <w:pPr>
        <w:pStyle w:val="BodyText"/>
        <w:jc w:val="both"/>
      </w:pPr>
      <w:r>
        <w:tab/>
        <w:t>The next time the Commission reviewed the policy on hedging was at the 2007 Fuel Clause hearing.   Parties raised questions regarding the period over which the Commission was determining the prudency of costs of hedging activities.  The Commission deferred the decision on the prudence of 2007 hedging activity costs to 2008 to allow for sufficient development of data and review of the matter.</w:t>
      </w:r>
    </w:p>
    <w:p w:rsidR="00B05DF5" w:rsidRDefault="00B05DF5" w:rsidP="00B05DF5">
      <w:pPr>
        <w:pStyle w:val="BodyText"/>
        <w:jc w:val="both"/>
      </w:pPr>
      <w:r>
        <w:tab/>
        <w:t>Following the 2007 Fuel Clause hearing, two audits of the IOUs’ hedging programs were conducted by Commission staff.  First, staff conducted a management audit reviewing the IOUs’ hedging programs to assess the costs and benefits realized since the entry of the Hedging Order. The IOUs’ accounting treatment of 2007 hedging activities was also audited to determine compliance with their risk management plans filed in 2006.</w:t>
      </w:r>
    </w:p>
    <w:p w:rsidR="00B05DF5" w:rsidRPr="00D551F6" w:rsidRDefault="00B05DF5" w:rsidP="00B05DF5">
      <w:pPr>
        <w:pStyle w:val="BodyText"/>
        <w:jc w:val="both"/>
      </w:pPr>
      <w:r>
        <w:tab/>
      </w:r>
      <w:r w:rsidRPr="00D551F6">
        <w:t>Th</w:t>
      </w:r>
      <w:r>
        <w:t xml:space="preserve">e management audit </w:t>
      </w:r>
      <w:r w:rsidRPr="00D551F6">
        <w:t xml:space="preserve">assessed the current and historical strategies of the fuel procurement hedging programs within each company at that time, evaluated hedging objectives set forth in each company’s </w:t>
      </w:r>
      <w:r>
        <w:t>R</w:t>
      </w:r>
      <w:r w:rsidRPr="00D551F6">
        <w:t xml:space="preserve">isk </w:t>
      </w:r>
      <w:r>
        <w:t>M</w:t>
      </w:r>
      <w:r w:rsidRPr="00D551F6">
        <w:t xml:space="preserve">anagement </w:t>
      </w:r>
      <w:r>
        <w:t>P</w:t>
      </w:r>
      <w:r w:rsidRPr="00D551F6">
        <w:t>lan, and quantified the net costs and benefits of</w:t>
      </w:r>
      <w:r>
        <w:t xml:space="preserve"> each company’s hedging program</w:t>
      </w:r>
      <w:r w:rsidRPr="00D551F6">
        <w:t>.</w:t>
      </w:r>
      <w:r>
        <w:t xml:space="preserve">  </w:t>
      </w:r>
      <w:r w:rsidRPr="00D551F6">
        <w:t>Specifically, the structure and performance of hedging natural gas and fuel oil through the use of physical purchases and/or financial instruments for the years 2003 through 2007</w:t>
      </w:r>
      <w:r>
        <w:t xml:space="preserve"> was examined</w:t>
      </w:r>
      <w:r w:rsidRPr="00D551F6">
        <w:t>.</w:t>
      </w:r>
      <w:r>
        <w:t xml:space="preserve">  I</w:t>
      </w:r>
      <w:r w:rsidRPr="00D551F6">
        <w:t xml:space="preserve">nformation </w:t>
      </w:r>
      <w:r>
        <w:t xml:space="preserve">was collected regarding </w:t>
      </w:r>
      <w:r w:rsidRPr="00D551F6">
        <w:t xml:space="preserve">each company’s policies and procedures, organizational charts, </w:t>
      </w:r>
      <w:r>
        <w:t>R</w:t>
      </w:r>
      <w:r w:rsidRPr="00D551F6">
        <w:t xml:space="preserve">isk </w:t>
      </w:r>
      <w:r>
        <w:t>M</w:t>
      </w:r>
      <w:r w:rsidRPr="00D551F6">
        <w:t xml:space="preserve">anagement </w:t>
      </w:r>
      <w:r>
        <w:t>P</w:t>
      </w:r>
      <w:r w:rsidRPr="00D551F6">
        <w:t>lans, and historical hedging transactions</w:t>
      </w:r>
      <w:r>
        <w:t>.</w:t>
      </w:r>
      <w:r w:rsidRPr="00D551F6">
        <w:t xml:space="preserve"> </w:t>
      </w:r>
      <w:r>
        <w:t xml:space="preserve"> A</w:t>
      </w:r>
      <w:r w:rsidRPr="00D551F6">
        <w:t xml:space="preserve">n analysis </w:t>
      </w:r>
      <w:r>
        <w:t xml:space="preserve">was conducted of </w:t>
      </w:r>
      <w:r w:rsidRPr="00D551F6">
        <w:t>each company</w:t>
      </w:r>
      <w:r>
        <w:t>’s hedging program</w:t>
      </w:r>
      <w:r w:rsidRPr="00D551F6">
        <w:t>.</w:t>
      </w:r>
      <w:r>
        <w:t xml:space="preserve"> </w:t>
      </w:r>
      <w:r w:rsidRPr="00D551F6">
        <w:t xml:space="preserve">In June 2008, </w:t>
      </w:r>
      <w:r>
        <w:t xml:space="preserve">a </w:t>
      </w:r>
      <w:r>
        <w:lastRenderedPageBreak/>
        <w:t>report was issued entitled “</w:t>
      </w:r>
      <w:r w:rsidRPr="00D551F6">
        <w:t>Fuel Procurement Hedging Practices of Florida’s Investor-Owned Electric Utilities.</w:t>
      </w:r>
      <w:r>
        <w:t>”</w:t>
      </w:r>
    </w:p>
    <w:p w:rsidR="00B05DF5" w:rsidRDefault="00B05DF5" w:rsidP="00B05DF5">
      <w:pPr>
        <w:pStyle w:val="BodyText"/>
        <w:jc w:val="both"/>
      </w:pPr>
      <w:r>
        <w:tab/>
      </w:r>
      <w:r w:rsidRPr="00D551F6">
        <w:t>In its 2008 re</w:t>
      </w:r>
      <w:r>
        <w:t>port</w:t>
      </w:r>
      <w:r w:rsidRPr="00D551F6">
        <w:t xml:space="preserve">, </w:t>
      </w:r>
      <w:r>
        <w:t xml:space="preserve">Commission </w:t>
      </w:r>
      <w:r w:rsidRPr="00D551F6">
        <w:t>staff found that each company sha</w:t>
      </w:r>
      <w:r>
        <w:t>red a universal goal in securing financial hedges for</w:t>
      </w:r>
      <w:r w:rsidRPr="00D551F6">
        <w:t xml:space="preserve"> fuel procurement; that </w:t>
      </w:r>
      <w:r>
        <w:t>is, to reduce the impacts of</w:t>
      </w:r>
      <w:r w:rsidRPr="00D551F6">
        <w:t xml:space="preserve"> price extremes that can occur in the natural gas and fuel markets.</w:t>
      </w:r>
      <w:r>
        <w:t xml:space="preserve">   I</w:t>
      </w:r>
      <w:r w:rsidRPr="00D551F6">
        <w:t xml:space="preserve">n their hedging activities, the companies were not attempting to </w:t>
      </w:r>
      <w:r>
        <w:t xml:space="preserve">speculate on price movements in the market.  </w:t>
      </w:r>
      <w:r w:rsidRPr="00D551F6">
        <w:t>Rather</w:t>
      </w:r>
      <w:r>
        <w:t>,</w:t>
      </w:r>
      <w:r w:rsidRPr="00D551F6">
        <w:t xml:space="preserve"> ea</w:t>
      </w:r>
      <w:r>
        <w:t xml:space="preserve">ch was working to stabilize </w:t>
      </w:r>
      <w:r w:rsidRPr="00D551F6">
        <w:t>annual fuel costs by initializing and settling financial hedging transactions through authorized financial counterparties.</w:t>
      </w:r>
      <w:r>
        <w:t xml:space="preserve">  The volumes of natural gas and fuel oil hedged were less than the total volumes expected to be purchased.  </w:t>
      </w:r>
      <w:r w:rsidRPr="00D551F6">
        <w:t>Overall, staff believed that the use of financial hedges for fuel purchases provided a benefit to utility customers.</w:t>
      </w:r>
    </w:p>
    <w:p w:rsidR="00B05DF5" w:rsidRDefault="00B05DF5" w:rsidP="00B05DF5">
      <w:pPr>
        <w:pStyle w:val="BodyText"/>
        <w:jc w:val="both"/>
      </w:pPr>
      <w:r>
        <w:tab/>
        <w:t>On January 31, 2008, in response to the deferral of the determination of prudence related to 2007 hedging costs, FPL filed a petition requesting that the Commission approve FPL’s proposed volatility mitigation mechanism (VMM) as an alternative to FPL’s hedging program. The VMM proposal involved FPL collecting under recoveries of fuel costs over two years instead of one year, as was, and is, the current practice.  On March 11, 2008, a workshop was held to get stakeholder input on this proposal.  All parties to the 2002 settlement attended.</w:t>
      </w:r>
    </w:p>
    <w:p w:rsidR="00B05DF5" w:rsidRDefault="00B05DF5" w:rsidP="00B05DF5">
      <w:pPr>
        <w:pStyle w:val="BodyText"/>
        <w:jc w:val="both"/>
      </w:pPr>
      <w:r>
        <w:tab/>
        <w:t>By Order No. PSC-08-0316-PAA-EI,</w:t>
      </w:r>
      <w:r>
        <w:rPr>
          <w:rStyle w:val="FootnoteReference"/>
        </w:rPr>
        <w:footnoteReference w:id="5"/>
      </w:r>
      <w:r>
        <w:t xml:space="preserve"> the Commission clarified the Hedging Order in several areas. IOUs were required to file a Hedging Information Report by August 15</w:t>
      </w:r>
      <w:r w:rsidRPr="000A4ACB">
        <w:rPr>
          <w:vertAlign w:val="superscript"/>
        </w:rPr>
        <w:t>th</w:t>
      </w:r>
      <w:r>
        <w:t xml:space="preserve"> of each year.  This order also specified that the Commission would make a determination of prudence of hedging results for the twelve month period ending July 31</w:t>
      </w:r>
      <w:r>
        <w:rPr>
          <w:vertAlign w:val="superscript"/>
        </w:rPr>
        <w:t xml:space="preserve"> </w:t>
      </w:r>
      <w:r>
        <w:t>of the current year.  Additional workshops were held on June 9, 2008, and June 24, 2008, regarding FPL’s VMM petition and guidelines for hedging programs. FPL withdrew its VMM petition on August 5, 2008.</w:t>
      </w:r>
    </w:p>
    <w:p w:rsidR="00B05DF5" w:rsidRDefault="00B05DF5" w:rsidP="00B05DF5">
      <w:pPr>
        <w:pStyle w:val="BodyText"/>
        <w:jc w:val="both"/>
      </w:pPr>
      <w:r>
        <w:tab/>
        <w:t>Following the workshops, the Commission established guidelines for Risk Management Plans by Order No. PSC-08-0667-PAA-EI.</w:t>
      </w:r>
      <w:r>
        <w:rPr>
          <w:rStyle w:val="FootnoteReference"/>
        </w:rPr>
        <w:footnoteReference w:id="6"/>
      </w:r>
      <w:r>
        <w:t xml:space="preserve">  At that time, the Commission determined that utility hedging programs provide benefits to customers.  The guidelines clarified the timing and content of regulatory filings for hedging activities, but allowed the IOUs flexibility in creating and implementing Risk Management Plans. </w:t>
      </w:r>
    </w:p>
    <w:p w:rsidR="00B05DF5" w:rsidRDefault="00B05DF5" w:rsidP="00B05DF5">
      <w:pPr>
        <w:pStyle w:val="BodyText"/>
        <w:jc w:val="both"/>
      </w:pPr>
      <w:r>
        <w:tab/>
        <w:t>Each year in the Fuel Clause, staff auditors review utility hedging results for the twelve month period ending July 31 of the current year.  In addition, each year th</w:t>
      </w:r>
      <w:r w:rsidR="002028CF">
        <w:t>is</w:t>
      </w:r>
      <w:r>
        <w:t xml:space="preserve"> Commission votes on the IOUs’ proposed Risk Management Plans for hedging transactions the utility will enter the following year and beyond.  As noted earlier, </w:t>
      </w:r>
      <w:r w:rsidR="002028CF">
        <w:t xml:space="preserve">we approved </w:t>
      </w:r>
      <w:r>
        <w:t>the 2016 Risk Management Plans in the 2015 Fuel Order, which found:</w:t>
      </w:r>
    </w:p>
    <w:p w:rsidR="00B05DF5" w:rsidRDefault="00B05DF5" w:rsidP="00B05DF5">
      <w:pPr>
        <w:pStyle w:val="BodyText"/>
        <w:ind w:left="720" w:right="720"/>
        <w:jc w:val="both"/>
      </w:pPr>
      <w:r>
        <w:t>Each plan provides the appropriate governance for a well-disciplined and prudently managed utility hedging program and is consistent with the Hedging Guidelines. These plans are structured to reduce price volatility risk in a structured manner.</w:t>
      </w:r>
      <w:r>
        <w:rPr>
          <w:rStyle w:val="FootnoteReference"/>
        </w:rPr>
        <w:footnoteReference w:id="7"/>
      </w:r>
    </w:p>
    <w:p w:rsidR="00B05DF5" w:rsidRDefault="00B05DF5" w:rsidP="00B05DF5">
      <w:pPr>
        <w:jc w:val="both"/>
      </w:pPr>
      <w:r>
        <w:lastRenderedPageBreak/>
        <w:tab/>
        <w:t xml:space="preserve">In the hearing for the 2015 Fuel Clause, the Commission evaluated the evidence presented in that  record, which in large part consisted of arguments to either completely eliminate hedging or to continue the hedging procedures in place at that time.  In the 2015 Fuel Order, the Commission decided to continue hedging with the specific directive to staff to explore possible changes to the current hedging protocol to minimize potential losses to customers. Additionally, the 2015 Fuel Order set forth that any changes to the hedging protocol should be prospective and that the current hedges should be allowed to terminate on their original contract dates.  </w:t>
      </w:r>
    </w:p>
    <w:p w:rsidR="00B05DF5" w:rsidRDefault="00B05DF5" w:rsidP="00B05DF5">
      <w:pPr>
        <w:jc w:val="both"/>
      </w:pPr>
    </w:p>
    <w:p w:rsidR="00854E43" w:rsidRDefault="00854E43" w:rsidP="00B05DF5">
      <w:pPr>
        <w:jc w:val="both"/>
        <w:rPr>
          <w:u w:val="single"/>
        </w:rPr>
      </w:pPr>
      <w:r>
        <w:tab/>
      </w:r>
      <w:r>
        <w:rPr>
          <w:u w:val="single"/>
        </w:rPr>
        <w:t>Petition</w:t>
      </w:r>
    </w:p>
    <w:p w:rsidR="00854E43" w:rsidRDefault="00854E43" w:rsidP="00B05DF5">
      <w:pPr>
        <w:jc w:val="both"/>
      </w:pPr>
    </w:p>
    <w:p w:rsidR="00854E43" w:rsidRPr="00BE0F6D" w:rsidRDefault="00854E43" w:rsidP="00854E43">
      <w:pPr>
        <w:pStyle w:val="BodyText"/>
        <w:jc w:val="both"/>
      </w:pPr>
      <w:r>
        <w:tab/>
        <w:t>As stated in the Joint Petition</w:t>
      </w:r>
      <w:r w:rsidRPr="00BE0F6D">
        <w:t>, DEF, FPL,</w:t>
      </w:r>
      <w:r>
        <w:t xml:space="preserve"> TECO and Gulf estimate that 66 percent, 71 percent, 50 percent, and 65 percent</w:t>
      </w:r>
      <w:r w:rsidRPr="00BE0F6D">
        <w:t>, respectively, of their forecas</w:t>
      </w:r>
      <w:r>
        <w:t>ted</w:t>
      </w:r>
      <w:r w:rsidRPr="00BE0F6D">
        <w:t xml:space="preserve"> genera</w:t>
      </w:r>
      <w:r>
        <w:t xml:space="preserve">tion in 2016 will be from natural gas.   This </w:t>
      </w:r>
      <w:r w:rsidRPr="00BE0F6D">
        <w:t>dependence on n</w:t>
      </w:r>
      <w:r>
        <w:t xml:space="preserve">atural gas means customers </w:t>
      </w:r>
      <w:r w:rsidRPr="00BE0F6D">
        <w:t>have significant exposure to the uncertainties of natural gas prices</w:t>
      </w:r>
      <w:r>
        <w:t>.  Even though</w:t>
      </w:r>
      <w:r w:rsidRPr="00BE0F6D">
        <w:t xml:space="preserve"> natural gas prices have trended downward in</w:t>
      </w:r>
      <w:r>
        <w:t xml:space="preserve"> </w:t>
      </w:r>
      <w:r w:rsidRPr="00BE0F6D">
        <w:t>recent years, neither future gas prices nor the level of price volatility can be predicted with any certainty</w:t>
      </w:r>
      <w:r>
        <w:t>.  The Petitioners believe</w:t>
      </w:r>
      <w:r w:rsidRPr="00BE0F6D">
        <w:t xml:space="preserve"> the recent downward trend in natural gas market prices cannot </w:t>
      </w:r>
      <w:r>
        <w:t>continue indefinitely, and f</w:t>
      </w:r>
      <w:r w:rsidRPr="00BE0F6D">
        <w:t>actors such as production costs, weather, environmental regulations</w:t>
      </w:r>
      <w:r>
        <w:t>,</w:t>
      </w:r>
      <w:r w:rsidRPr="00BE0F6D">
        <w:t xml:space="preserve"> and exportation </w:t>
      </w:r>
      <w:r>
        <w:t xml:space="preserve">will </w:t>
      </w:r>
      <w:r w:rsidRPr="00BE0F6D">
        <w:t xml:space="preserve">impact natural gas supply and demand, as well as natural gas price volatility.      </w:t>
      </w:r>
    </w:p>
    <w:p w:rsidR="00854E43" w:rsidRDefault="00854E43" w:rsidP="00854E43">
      <w:pPr>
        <w:pStyle w:val="BodyText"/>
        <w:jc w:val="both"/>
        <w:rPr>
          <w:shd w:val="clear" w:color="auto" w:fill="FFFFFF"/>
        </w:rPr>
      </w:pPr>
      <w:r>
        <w:tab/>
      </w:r>
      <w:r w:rsidRPr="00BE0F6D">
        <w:t xml:space="preserve">The </w:t>
      </w:r>
      <w:r>
        <w:t>Petitioners r</w:t>
      </w:r>
      <w:r w:rsidRPr="00BE0F6D">
        <w:t xml:space="preserve">ecognize that the amount of hedging undertaken by a utility is a matter of business judgment reflecting a necessary balance between the benefits of reduced fuel price volatility on customers’ bills through hedging and, the cost of those hedges if prices fall. </w:t>
      </w:r>
      <w:r>
        <w:t xml:space="preserve"> </w:t>
      </w:r>
      <w:r w:rsidRPr="00BE0F6D">
        <w:t>That balance is reflected</w:t>
      </w:r>
      <w:r>
        <w:t xml:space="preserve"> in the amount of fuel hedged.</w:t>
      </w:r>
      <w:r>
        <w:rPr>
          <w:rStyle w:val="FootnoteReference"/>
        </w:rPr>
        <w:footnoteReference w:id="8"/>
      </w:r>
      <w:r>
        <w:t xml:space="preserve">  </w:t>
      </w:r>
      <w:r w:rsidRPr="00BE0F6D">
        <w:t xml:space="preserve">Accordingly, </w:t>
      </w:r>
      <w:r>
        <w:t xml:space="preserve">and </w:t>
      </w:r>
      <w:r w:rsidRPr="00BE0F6D">
        <w:t>in response to the Commission's directive</w:t>
      </w:r>
      <w:r>
        <w:t xml:space="preserve"> to </w:t>
      </w:r>
      <w:r w:rsidRPr="00A240AA">
        <w:rPr>
          <w:shd w:val="clear" w:color="auto" w:fill="FFFFFF"/>
        </w:rPr>
        <w:t>explore possible changes to the current hedging protoco</w:t>
      </w:r>
      <w:r>
        <w:rPr>
          <w:shd w:val="clear" w:color="auto" w:fill="FFFFFF"/>
        </w:rPr>
        <w:t>l, the Petitioners propose</w:t>
      </w:r>
      <w:r w:rsidRPr="00A240AA">
        <w:rPr>
          <w:shd w:val="clear" w:color="auto" w:fill="FFFFFF"/>
        </w:rPr>
        <w:t xml:space="preserve"> a two-step initiative to minimize potential losses to customers in</w:t>
      </w:r>
      <w:r>
        <w:rPr>
          <w:shd w:val="clear" w:color="auto" w:fill="FFFFFF"/>
        </w:rPr>
        <w:t xml:space="preserve"> periods of falling fuel prices.</w:t>
      </w:r>
    </w:p>
    <w:p w:rsidR="00854E43" w:rsidRPr="00854E43" w:rsidRDefault="00854E43" w:rsidP="00854E43">
      <w:pPr>
        <w:pStyle w:val="Second-LevelSubheading"/>
        <w:rPr>
          <w:rFonts w:ascii="Times New Roman" w:hAnsi="Times New Roman" w:cs="Times New Roman"/>
          <w:b w:val="0"/>
          <w:i w:val="0"/>
          <w:u w:val="single"/>
        </w:rPr>
      </w:pPr>
      <w:r w:rsidRPr="00854E43">
        <w:rPr>
          <w:rFonts w:ascii="Times New Roman" w:hAnsi="Times New Roman" w:cs="Times New Roman"/>
          <w:b w:val="0"/>
          <w:i w:val="0"/>
          <w:u w:val="single"/>
        </w:rPr>
        <w:t>Targets</w:t>
      </w:r>
    </w:p>
    <w:p w:rsidR="00854E43" w:rsidRDefault="00854E43" w:rsidP="00854E43">
      <w:pPr>
        <w:pStyle w:val="BodyText"/>
        <w:spacing w:after="0"/>
        <w:jc w:val="both"/>
      </w:pPr>
    </w:p>
    <w:p w:rsidR="00854E43" w:rsidRDefault="00854E43" w:rsidP="00854E43">
      <w:pPr>
        <w:pStyle w:val="BodyText"/>
        <w:spacing w:after="0"/>
        <w:jc w:val="both"/>
      </w:pPr>
      <w:r>
        <w:tab/>
        <w:t>The Petitioners propose to a</w:t>
      </w:r>
      <w:r w:rsidRPr="006C5050">
        <w:t xml:space="preserve">djust </w:t>
      </w:r>
      <w:r>
        <w:t>hedging t</w:t>
      </w:r>
      <w:r w:rsidRPr="006C5050">
        <w:t xml:space="preserve">arget </w:t>
      </w:r>
      <w:r>
        <w:t>r</w:t>
      </w:r>
      <w:r w:rsidRPr="006C5050">
        <w:t>anges</w:t>
      </w:r>
      <w:r>
        <w:t>.</w:t>
      </w:r>
      <w:r w:rsidRPr="006C5050">
        <w:t xml:space="preserve"> </w:t>
      </w:r>
      <w:r>
        <w:t xml:space="preserve"> For </w:t>
      </w:r>
      <w:r w:rsidRPr="00BE0F6D">
        <w:t>fuel purchases in 2017 that would be hedged under the Commission-approved 2016 Risk Management Plan</w:t>
      </w:r>
      <w:r>
        <w:t>s, FPL, TECO and Gulf propose to r</w:t>
      </w:r>
      <w:r w:rsidRPr="00A240AA">
        <w:rPr>
          <w:shd w:val="clear" w:color="auto" w:fill="FFFFFF"/>
        </w:rPr>
        <w:t xml:space="preserve">educe by </w:t>
      </w:r>
      <w:r>
        <w:rPr>
          <w:shd w:val="clear" w:color="auto" w:fill="FFFFFF"/>
        </w:rPr>
        <w:t xml:space="preserve">up to </w:t>
      </w:r>
      <w:r w:rsidRPr="00A240AA">
        <w:rPr>
          <w:shd w:val="clear" w:color="auto" w:fill="FFFFFF"/>
        </w:rPr>
        <w:t>25 percent the max</w:t>
      </w:r>
      <w:r w:rsidRPr="00BE0F6D">
        <w:t>imum percentage</w:t>
      </w:r>
      <w:r>
        <w:t xml:space="preserve"> limits planned for procurement with hedging instruments.</w:t>
      </w:r>
      <w:r>
        <w:rPr>
          <w:rStyle w:val="FootnoteReference"/>
        </w:rPr>
        <w:footnoteReference w:id="9"/>
      </w:r>
      <w:r>
        <w:t xml:space="preserve">  As noted previously, DEF proposes to implement target reductions beginning with the targets that will be included in its 2017 Risk Management Plan. </w:t>
      </w:r>
      <w:r>
        <w:lastRenderedPageBreak/>
        <w:t>Acknowledging that</w:t>
      </w:r>
      <w:r w:rsidRPr="00BE0F6D">
        <w:t xml:space="preserve"> a portion of the</w:t>
      </w:r>
      <w:r>
        <w:t>se</w:t>
      </w:r>
      <w:r w:rsidRPr="00BE0F6D">
        <w:t xml:space="preserve"> hedges for 2017 have already been executed, this</w:t>
      </w:r>
      <w:r>
        <w:t xml:space="preserve"> proposed limitation only applies</w:t>
      </w:r>
      <w:r w:rsidRPr="00BE0F6D">
        <w:t xml:space="preserve"> to the portion that remains unhedged for 2017</w:t>
      </w:r>
      <w:r>
        <w:t>.</w:t>
      </w:r>
    </w:p>
    <w:p w:rsidR="00854E43" w:rsidRDefault="00854E43" w:rsidP="00854E43">
      <w:pPr>
        <w:pStyle w:val="BodyText"/>
        <w:spacing w:after="0"/>
        <w:ind w:left="720"/>
        <w:jc w:val="both"/>
      </w:pPr>
    </w:p>
    <w:p w:rsidR="00854E43" w:rsidRDefault="00854E43" w:rsidP="00854E43">
      <w:pPr>
        <w:pStyle w:val="BodyText"/>
        <w:spacing w:after="0"/>
        <w:jc w:val="both"/>
      </w:pPr>
      <w:r>
        <w:tab/>
        <w:t>For fuel purchases for 2018 and extending to future periods</w:t>
      </w:r>
      <w:r w:rsidRPr="00BE0F6D">
        <w:t xml:space="preserve"> that would be hedged under the Commission-approved 2016 Risk Management Plan</w:t>
      </w:r>
      <w:r>
        <w:t>s, all four Petitioners propose to r</w:t>
      </w:r>
      <w:r w:rsidRPr="006C5050">
        <w:rPr>
          <w:shd w:val="clear" w:color="auto" w:fill="FFFFFF"/>
        </w:rPr>
        <w:t xml:space="preserve">educe by 25 percent the upper limit targets and ranges </w:t>
      </w:r>
      <w:r>
        <w:t>planned for procurement with hedging instruments.</w:t>
      </w:r>
      <w:r>
        <w:rPr>
          <w:rStyle w:val="FootnoteReference"/>
        </w:rPr>
        <w:footnoteReference w:id="10"/>
      </w:r>
      <w:r>
        <w:t xml:space="preserve">  </w:t>
      </w:r>
      <w:r w:rsidRPr="00E37669">
        <w:t xml:space="preserve">Beginning with the 2017 Risk Management Plan for 2018 procurement and continuing thereafter, each of the IOUs will reduce the annual percentage of its fuel purchases for the ensuing 12-month period that </w:t>
      </w:r>
      <w:r>
        <w:t>are targeted to be hedged by 25 percent</w:t>
      </w:r>
      <w:r w:rsidRPr="00E37669">
        <w:t xml:space="preserve"> from the target and/or range approved in its 2016 Risk Management Plan</w:t>
      </w:r>
      <w:r>
        <w:t>.  Because the Petitioners have</w:t>
      </w:r>
      <w:r w:rsidRPr="00CB03CA">
        <w:t xml:space="preserve"> </w:t>
      </w:r>
      <w:r>
        <w:t>requested</w:t>
      </w:r>
      <w:r w:rsidRPr="00CB03CA">
        <w:t xml:space="preserve"> confidential classifica</w:t>
      </w:r>
      <w:r>
        <w:t>tion for the hedging target ranges identified in their 2016 Risk Management Plans, staff cannot disclose the actual ranges in those plans.</w:t>
      </w:r>
      <w:r>
        <w:rPr>
          <w:rStyle w:val="FootnoteReference"/>
        </w:rPr>
        <w:footnoteReference w:id="11"/>
      </w:r>
    </w:p>
    <w:p w:rsidR="00854E43" w:rsidRDefault="00854E43" w:rsidP="00854E43">
      <w:pPr>
        <w:pStyle w:val="BodyText"/>
        <w:spacing w:after="0"/>
        <w:jc w:val="both"/>
      </w:pPr>
    </w:p>
    <w:p w:rsidR="00854E43" w:rsidRDefault="00854E43" w:rsidP="00854E43">
      <w:pPr>
        <w:pStyle w:val="BodyText"/>
        <w:spacing w:after="0"/>
        <w:jc w:val="both"/>
      </w:pPr>
      <w:r>
        <w:tab/>
        <w:t>The Petitioners also propose commitments regarding the time horizon over which hedges are placed.  Generally speaking, the time horizon for hedging activities is a risk mitigation tool whereby the longer into the future that hedges are placed, the more price risk is attached.   The opposite is true as well, and each Petitioner evaluates risk versus reward</w:t>
      </w:r>
      <w:r w:rsidR="00906D06">
        <w:t xml:space="preserve"> </w:t>
      </w:r>
      <w:r>
        <w:t xml:space="preserve">considerations in executing their hedging programs in a non-speculative, structured manner.  The proposed commitments about time horizons varies by Petitioner. </w:t>
      </w:r>
    </w:p>
    <w:p w:rsidR="00854E43" w:rsidRPr="00812CAA" w:rsidRDefault="00854E43" w:rsidP="00854E43">
      <w:pPr>
        <w:pStyle w:val="First-LevelSubheading"/>
        <w:rPr>
          <w:rFonts w:ascii="Times New Roman" w:hAnsi="Times New Roman" w:cs="Times New Roman"/>
          <w:b w:val="0"/>
        </w:rPr>
      </w:pPr>
    </w:p>
    <w:p w:rsidR="00854E43" w:rsidRPr="00854E43" w:rsidRDefault="00854E43" w:rsidP="00854E43">
      <w:pPr>
        <w:pStyle w:val="Second-LevelSubheading"/>
        <w:rPr>
          <w:rFonts w:ascii="Times New Roman" w:hAnsi="Times New Roman" w:cs="Times New Roman"/>
          <w:b w:val="0"/>
          <w:i w:val="0"/>
          <w:u w:val="single"/>
        </w:rPr>
      </w:pPr>
      <w:r w:rsidRPr="00854E43">
        <w:rPr>
          <w:rFonts w:ascii="Times New Roman" w:hAnsi="Times New Roman" w:cs="Times New Roman"/>
          <w:b w:val="0"/>
          <w:i w:val="0"/>
          <w:u w:val="single"/>
        </w:rPr>
        <w:t>Duration</w:t>
      </w:r>
    </w:p>
    <w:p w:rsidR="00854E43" w:rsidRDefault="00854E43" w:rsidP="00854E43">
      <w:pPr>
        <w:pStyle w:val="BodyText"/>
        <w:spacing w:after="0"/>
        <w:jc w:val="both"/>
      </w:pPr>
    </w:p>
    <w:p w:rsidR="00854E43" w:rsidRDefault="00854E43" w:rsidP="00854E43">
      <w:pPr>
        <w:pStyle w:val="BodyText"/>
        <w:spacing w:after="0"/>
        <w:jc w:val="both"/>
      </w:pPr>
      <w:r>
        <w:tab/>
        <w:t xml:space="preserve">In concert with their proposal to reduce hedging targets, TECO and Gulf commit to shortening their respective time horizons for hedging, contending that this strategy shift carries some risk. </w:t>
      </w:r>
      <w:r w:rsidR="00906D06">
        <w:t xml:space="preserve"> </w:t>
      </w:r>
      <w:r>
        <w:t>TECO currently hedges into a 24 month time frame, and is proposing to reduce that to an 18 month period.  In its response to staff’s first data request, TECO states that a</w:t>
      </w:r>
      <w:r w:rsidR="002028CF">
        <w:t>n</w:t>
      </w:r>
      <w:r>
        <w:t xml:space="preserve"> 18 month window reduces the exposure to hedging losses during periods of declining natural gas prices, while still providing a measure of price stability, as well as some protection against price spikes. Gulf states that by reducing the time horizon for placing fixed priced swaps, the opportunity to lock in fixed prices in future years is  diminished. </w:t>
      </w:r>
    </w:p>
    <w:p w:rsidR="00854E43" w:rsidRDefault="00854E43" w:rsidP="00854E43">
      <w:pPr>
        <w:pStyle w:val="BodyText"/>
        <w:spacing w:after="0"/>
        <w:ind w:left="720"/>
        <w:jc w:val="both"/>
      </w:pPr>
    </w:p>
    <w:p w:rsidR="00854E43" w:rsidRDefault="00854E43" w:rsidP="00854E43">
      <w:pPr>
        <w:pStyle w:val="BodyText"/>
        <w:spacing w:after="0"/>
        <w:jc w:val="both"/>
      </w:pPr>
      <w:r>
        <w:tab/>
        <w:t xml:space="preserve">DEF and FPL acknowledge similar risk considerations, but do not propose specific commitments regarding the time horizon for placing hedges.  DEF currently hedges into a rolling 36 month time frame, and acknowledges that with lowered targets in each rolling period, its customers will bear a greater portion of fuel cost risk.  FPL states that its 2016 Risk Management Plan permits it to use hedging instruments for projected natural gas requirements up to, but not beyond, the end of the subsequent calendar year in which hedges are being placed (December 2017).  Although FPL is proposing to modify its hedging targets, FPL is not proposing any changes to its time horizon for placing hedges. </w:t>
      </w:r>
    </w:p>
    <w:p w:rsidR="002028CF" w:rsidRDefault="002028CF" w:rsidP="00854E43">
      <w:pPr>
        <w:pStyle w:val="BodyText"/>
        <w:spacing w:after="0"/>
        <w:jc w:val="both"/>
      </w:pPr>
    </w:p>
    <w:p w:rsidR="00854E43" w:rsidRDefault="00854E43" w:rsidP="00854E43">
      <w:pPr>
        <w:jc w:val="both"/>
        <w:rPr>
          <w:u w:val="single"/>
        </w:rPr>
      </w:pPr>
      <w:r>
        <w:rPr>
          <w:rFonts w:ascii="Arial" w:hAnsi="Arial" w:cs="Arial"/>
          <w:b/>
        </w:rPr>
        <w:lastRenderedPageBreak/>
        <w:tab/>
      </w:r>
      <w:r w:rsidRPr="00854E43">
        <w:rPr>
          <w:u w:val="single"/>
        </w:rPr>
        <w:t xml:space="preserve">Analysis </w:t>
      </w:r>
    </w:p>
    <w:p w:rsidR="00632EC9" w:rsidRPr="00854E43" w:rsidRDefault="00632EC9" w:rsidP="00854E43">
      <w:pPr>
        <w:jc w:val="both"/>
        <w:rPr>
          <w:u w:val="single"/>
        </w:rPr>
      </w:pPr>
    </w:p>
    <w:p w:rsidR="00854E43" w:rsidRPr="00A240AA" w:rsidRDefault="00854E43" w:rsidP="00854E43">
      <w:pPr>
        <w:jc w:val="both"/>
        <w:rPr>
          <w:shd w:val="clear" w:color="auto" w:fill="FFFFFF"/>
        </w:rPr>
      </w:pPr>
      <w:r>
        <w:tab/>
        <w:t xml:space="preserve">In the 2015 Fuel Order, the Commission approved the current (2016) Risk Management Plans each Petitioner filed, acknowledging, however, that the costs of the Petitioners’ hedging programs is significant and deserves further analysis to consider methods to minimize potential losses to customers on a prospective basis. </w:t>
      </w:r>
    </w:p>
    <w:p w:rsidR="00854E43" w:rsidRPr="00A240AA" w:rsidRDefault="00854E43" w:rsidP="00854E43">
      <w:pPr>
        <w:jc w:val="both"/>
        <w:rPr>
          <w:shd w:val="clear" w:color="auto" w:fill="FFFFFF"/>
        </w:rPr>
      </w:pPr>
    </w:p>
    <w:p w:rsidR="00854E43" w:rsidRDefault="00906D06" w:rsidP="00854E43">
      <w:pPr>
        <w:jc w:val="both"/>
      </w:pPr>
      <w:r>
        <w:rPr>
          <w:shd w:val="clear" w:color="auto" w:fill="FFFFFF"/>
        </w:rPr>
        <w:tab/>
      </w:r>
      <w:r w:rsidR="00854E43">
        <w:rPr>
          <w:shd w:val="clear" w:color="auto" w:fill="FFFFFF"/>
        </w:rPr>
        <w:t>T</w:t>
      </w:r>
      <w:r w:rsidR="00854E43" w:rsidRPr="00A240AA">
        <w:rPr>
          <w:shd w:val="clear" w:color="auto" w:fill="FFFFFF"/>
        </w:rPr>
        <w:t xml:space="preserve">he joint proposal the Petitioners are now advocating </w:t>
      </w:r>
      <w:r w:rsidR="00854E43">
        <w:rPr>
          <w:shd w:val="clear" w:color="auto" w:fill="FFFFFF"/>
        </w:rPr>
        <w:t xml:space="preserve">can reduce </w:t>
      </w:r>
      <w:r w:rsidR="00854E43" w:rsidRPr="00A240AA">
        <w:rPr>
          <w:shd w:val="clear" w:color="auto" w:fill="FFFFFF"/>
        </w:rPr>
        <w:t>potential losses to</w:t>
      </w:r>
      <w:r w:rsidR="00854E43">
        <w:rPr>
          <w:shd w:val="clear" w:color="auto" w:fill="FFFFFF"/>
        </w:rPr>
        <w:t xml:space="preserve"> be recovered from customers. </w:t>
      </w:r>
      <w:r>
        <w:rPr>
          <w:shd w:val="clear" w:color="auto" w:fill="FFFFFF"/>
        </w:rPr>
        <w:t xml:space="preserve"> </w:t>
      </w:r>
      <w:r w:rsidR="00854E43">
        <w:rPr>
          <w:shd w:val="clear" w:color="auto" w:fill="FFFFFF"/>
        </w:rPr>
        <w:t>R</w:t>
      </w:r>
      <w:r w:rsidR="00854E43" w:rsidRPr="00A240AA">
        <w:rPr>
          <w:shd w:val="clear" w:color="auto" w:fill="FFFFFF"/>
        </w:rPr>
        <w:t xml:space="preserve">educing the </w:t>
      </w:r>
      <w:r w:rsidR="00854E43">
        <w:t xml:space="preserve">respective annual maximum percentage of fuel purchases targeted for hedges and shortening the period of time over which hedges may be placed pursuant to each respective Risk Management Plan continues the Commission’s hedging objective, which is to reduce customers’ exposure to price volatility. </w:t>
      </w:r>
      <w:r>
        <w:t xml:space="preserve"> </w:t>
      </w:r>
      <w:r w:rsidR="00854E43">
        <w:t xml:space="preserve">Imposing these limiting parameters will shield customers during times when uncertain market prices for natural gas are lower than hedged prices. </w:t>
      </w:r>
      <w:r>
        <w:t xml:space="preserve"> </w:t>
      </w:r>
      <w:r w:rsidR="00854E43">
        <w:t>On balance, however, because hedging volumes will be reduced, customers may experience less price stability, and if natural gas prices increase, customers may experience higher overall fuel costs.</w:t>
      </w:r>
    </w:p>
    <w:p w:rsidR="00854E43" w:rsidRDefault="00854E43" w:rsidP="00854E43">
      <w:pPr>
        <w:jc w:val="both"/>
      </w:pPr>
    </w:p>
    <w:p w:rsidR="00CE6788" w:rsidRDefault="00906D06" w:rsidP="00854E43">
      <w:pPr>
        <w:jc w:val="both"/>
      </w:pPr>
      <w:r>
        <w:tab/>
        <w:t xml:space="preserve">The 25 percent proposal presented to us is </w:t>
      </w:r>
      <w:r w:rsidR="00AB2A1B">
        <w:t xml:space="preserve">based on </w:t>
      </w:r>
      <w:r>
        <w:t>a consensus arrived at by all of the investor-owned utilities with regard to the percentage of natural gas to be hedged for the remainder of 2016 and, for TECO and Gulf, similar percentage reductions in the duration of their 2016 hedges.</w:t>
      </w:r>
      <w:r w:rsidR="00AB2A1B">
        <w:t xml:space="preserve">  </w:t>
      </w:r>
      <w:r w:rsidR="00632EC9">
        <w:t xml:space="preserve">At our June 9, 2016 Agenda Conference, </w:t>
      </w:r>
      <w:r>
        <w:t xml:space="preserve">OPC and FIPUG </w:t>
      </w:r>
      <w:r w:rsidR="00632EC9">
        <w:t xml:space="preserve">stated that they </w:t>
      </w:r>
      <w:r w:rsidR="00E86021">
        <w:t xml:space="preserve">oppose a 25 percentage decrease in 2016 hedging and have </w:t>
      </w:r>
      <w:r>
        <w:t>reiterated their position that hedging should be eliminated completely</w:t>
      </w:r>
      <w:r w:rsidR="00E86021">
        <w:t xml:space="preserve">.  </w:t>
      </w:r>
      <w:r>
        <w:t xml:space="preserve"> FIP</w:t>
      </w:r>
      <w:r w:rsidR="00632EC9">
        <w:t>U</w:t>
      </w:r>
      <w:r>
        <w:t>G</w:t>
      </w:r>
      <w:r w:rsidR="00E86021">
        <w:t xml:space="preserve">, however, </w:t>
      </w:r>
      <w:r w:rsidR="00632EC9">
        <w:t xml:space="preserve">stated that it </w:t>
      </w:r>
      <w:r>
        <w:t xml:space="preserve">would accept a 50 percent reduction </w:t>
      </w:r>
      <w:r w:rsidR="00E86021">
        <w:t>as a more appropriate adjustment in light of the natural gas market as currently configured.</w:t>
      </w:r>
      <w:r w:rsidR="00AB2A1B">
        <w:t xml:space="preserve">  I</w:t>
      </w:r>
      <w:r w:rsidR="00E86021">
        <w:t>n light of our duty to balance the risk of a spike in natural gas prices</w:t>
      </w:r>
      <w:r w:rsidR="00CE6788">
        <w:t xml:space="preserve">, with its attendant steep increase in prices charged to ratepayers, </w:t>
      </w:r>
      <w:r w:rsidR="00E86021">
        <w:t xml:space="preserve">against the immediate past history of the natural gas market, </w:t>
      </w:r>
      <w:r w:rsidR="00CE6788">
        <w:t>which has evidenced consistent and lower natural gas prices</w:t>
      </w:r>
      <w:r w:rsidR="000274F1">
        <w:t xml:space="preserve"> over the last </w:t>
      </w:r>
      <w:r w:rsidR="00632EC9">
        <w:t xml:space="preserve">several </w:t>
      </w:r>
      <w:r w:rsidR="000274F1">
        <w:t>years</w:t>
      </w:r>
      <w:r w:rsidR="00CE6788">
        <w:t xml:space="preserve">, </w:t>
      </w:r>
      <w:r w:rsidR="00E86021">
        <w:t xml:space="preserve">we will grant the investor-owned utilities joint petition and approve their request to modify their 2016 Risk </w:t>
      </w:r>
      <w:r w:rsidR="00CE6788">
        <w:t>M</w:t>
      </w:r>
      <w:r w:rsidR="00E86021">
        <w:t>anagement Plans by lowering the percentage of natural gas to be hedged by 25</w:t>
      </w:r>
      <w:r w:rsidR="00632EC9">
        <w:t xml:space="preserve"> percent</w:t>
      </w:r>
      <w:r w:rsidR="00E86021">
        <w:t>.</w:t>
      </w:r>
      <w:r w:rsidR="00CE6788">
        <w:t xml:space="preserve">  Further, we will grant the request of TECO and Gulf to modify their 2016 Risk Management Plans to reduce the duration of their hedges by 25</w:t>
      </w:r>
      <w:r w:rsidR="00632EC9">
        <w:t xml:space="preserve"> percent</w:t>
      </w:r>
      <w:r w:rsidR="00CE6788">
        <w:t>.</w:t>
      </w:r>
      <w:r w:rsidR="00E86021">
        <w:t xml:space="preserve"> </w:t>
      </w:r>
    </w:p>
    <w:p w:rsidR="00CE6788" w:rsidRDefault="00CE6788" w:rsidP="00854E43">
      <w:pPr>
        <w:jc w:val="both"/>
      </w:pPr>
    </w:p>
    <w:p w:rsidR="000274F1" w:rsidRDefault="00CE6788" w:rsidP="00854E43">
      <w:pPr>
        <w:jc w:val="both"/>
      </w:pPr>
      <w:r>
        <w:tab/>
      </w:r>
      <w:r w:rsidR="00AB2A1B">
        <w:t>T</w:t>
      </w:r>
      <w:r>
        <w:t xml:space="preserve">his reduction in the percentage of natural gas hedged is a </w:t>
      </w:r>
      <w:r w:rsidR="001B7B0B">
        <w:t>first step</w:t>
      </w:r>
      <w:r>
        <w:t xml:space="preserve"> in the right direction</w:t>
      </w:r>
      <w:r w:rsidR="00AB2A1B">
        <w:t>.</w:t>
      </w:r>
      <w:r>
        <w:t xml:space="preserve"> </w:t>
      </w:r>
      <w:r w:rsidR="00AB2A1B">
        <w:t>However, w</w:t>
      </w:r>
      <w:r>
        <w:t>e continue to be concerned about this issue and the high costs experienced by electric ratepayers for natural gas in excess of the market price</w:t>
      </w:r>
      <w:r w:rsidR="00AB2A1B">
        <w:t xml:space="preserve">.  We </w:t>
      </w:r>
      <w:r>
        <w:t>urge the our staff</w:t>
      </w:r>
      <w:r w:rsidR="001B7B0B">
        <w:t>,</w:t>
      </w:r>
      <w:r w:rsidR="00AB2A1B">
        <w:t xml:space="preserve"> </w:t>
      </w:r>
      <w:r w:rsidR="001B7B0B">
        <w:t xml:space="preserve">the </w:t>
      </w:r>
      <w:r>
        <w:t>investor</w:t>
      </w:r>
      <w:r w:rsidR="000274F1">
        <w:t>-</w:t>
      </w:r>
      <w:r>
        <w:t>owned utilities</w:t>
      </w:r>
      <w:r w:rsidR="001B7B0B">
        <w:t xml:space="preserve">, and </w:t>
      </w:r>
      <w:r w:rsidR="007D2746">
        <w:t xml:space="preserve">the </w:t>
      </w:r>
      <w:r w:rsidR="001B7B0B">
        <w:t xml:space="preserve">parties </w:t>
      </w:r>
      <w:r>
        <w:t xml:space="preserve">to provide us with other </w:t>
      </w:r>
      <w:r w:rsidR="000274F1">
        <w:t xml:space="preserve">evidence-based </w:t>
      </w:r>
      <w:r>
        <w:t xml:space="preserve">options to </w:t>
      </w:r>
      <w:r w:rsidR="001B7B0B">
        <w:t xml:space="preserve">further limit customer exposure to risks of hedging in the </w:t>
      </w:r>
      <w:r w:rsidR="000274F1">
        <w:t>forthcoming fuel cost recovery docket, Docket No. 160001-EI, scheduled for November of this year.</w:t>
      </w:r>
    </w:p>
    <w:p w:rsidR="000274F1" w:rsidRDefault="000274F1" w:rsidP="00854E43">
      <w:pPr>
        <w:jc w:val="both"/>
      </w:pPr>
    </w:p>
    <w:p w:rsidR="000274F1" w:rsidRDefault="000274F1" w:rsidP="00854E43">
      <w:pPr>
        <w:jc w:val="both"/>
      </w:pPr>
      <w:r>
        <w:tab/>
        <w:t xml:space="preserve">Based on the foregoing, it is  </w:t>
      </w:r>
    </w:p>
    <w:p w:rsidR="000274F1" w:rsidRDefault="000274F1" w:rsidP="00854E43">
      <w:pPr>
        <w:jc w:val="both"/>
      </w:pPr>
    </w:p>
    <w:p w:rsidR="00906D06" w:rsidRDefault="000274F1" w:rsidP="00854E43">
      <w:pPr>
        <w:jc w:val="both"/>
      </w:pPr>
      <w:r>
        <w:tab/>
      </w:r>
      <w:r w:rsidR="00FC3E8B">
        <w:t>ORDERED by the Florida Public Service Commission that the Joint Petition by Investor-Owned Utilities for Approval of Modifications to Risk Management Plans is hereby approved.  Is is further</w:t>
      </w:r>
    </w:p>
    <w:p w:rsidR="00FC3E8B" w:rsidRDefault="00FC3E8B" w:rsidP="00854E43">
      <w:pPr>
        <w:jc w:val="both"/>
      </w:pPr>
    </w:p>
    <w:p w:rsidR="00FC3E8B" w:rsidRDefault="00FC3E8B" w:rsidP="00854E43">
      <w:pPr>
        <w:jc w:val="both"/>
      </w:pPr>
      <w:r>
        <w:lastRenderedPageBreak/>
        <w:tab/>
        <w:t>ORDERED that the provisions of this Order, issued as proposed agency action, shall become final and effective upon the issuance of a Consummating Order unless an appropriate petition, in the form provided by Rule 28-106.201, F.A.C., is received the Office of Commission Clerk, 2540 Shumard Oak Boulevard, Tallahassee, Florida 32399-0850, by the close of business on the date set forth in the “Notice of Further Proceedings” attached hereto.  It is further</w:t>
      </w:r>
    </w:p>
    <w:p w:rsidR="00FC3E8B" w:rsidRDefault="00FC3E8B" w:rsidP="00854E43">
      <w:pPr>
        <w:jc w:val="both"/>
      </w:pPr>
    </w:p>
    <w:p w:rsidR="00FC3E8B" w:rsidRDefault="00FC3E8B" w:rsidP="00854E43">
      <w:pPr>
        <w:jc w:val="both"/>
      </w:pPr>
      <w:r>
        <w:tab/>
        <w:t>ORDERED that if no protest if filed by a person whose substantial interests are affected within 21 days of the issuance of the Order, this docket shall be closed upon the issuance of a Consummating Order.</w:t>
      </w:r>
    </w:p>
    <w:p w:rsidR="00FC3E8B" w:rsidRDefault="00FC3E8B" w:rsidP="00854E43">
      <w:pPr>
        <w:jc w:val="both"/>
      </w:pPr>
    </w:p>
    <w:p w:rsidR="00FC3E8B" w:rsidRDefault="00FC3E8B" w:rsidP="00FC3E8B">
      <w:pPr>
        <w:keepNext/>
        <w:keepLines/>
        <w:jc w:val="both"/>
      </w:pPr>
      <w:r>
        <w:tab/>
        <w:t xml:space="preserve">By ORDER of the Florida Public Service Commission this </w:t>
      </w:r>
      <w:bookmarkStart w:id="6" w:name="replaceDate"/>
      <w:bookmarkEnd w:id="6"/>
      <w:r w:rsidR="007802B9">
        <w:rPr>
          <w:u w:val="single"/>
        </w:rPr>
        <w:t>27th</w:t>
      </w:r>
      <w:r w:rsidR="007802B9">
        <w:t xml:space="preserve"> day of </w:t>
      </w:r>
      <w:r w:rsidR="007802B9">
        <w:rPr>
          <w:u w:val="single"/>
        </w:rPr>
        <w:t>June</w:t>
      </w:r>
      <w:r w:rsidR="007802B9">
        <w:t xml:space="preserve">, </w:t>
      </w:r>
      <w:r w:rsidR="007802B9">
        <w:rPr>
          <w:u w:val="single"/>
        </w:rPr>
        <w:t>2016</w:t>
      </w:r>
      <w:r w:rsidR="007802B9">
        <w:t>.</w:t>
      </w:r>
    </w:p>
    <w:p w:rsidR="0065448C" w:rsidRDefault="0065448C" w:rsidP="00FC3E8B">
      <w:pPr>
        <w:keepNext/>
        <w:keepLines/>
        <w:jc w:val="both"/>
      </w:pPr>
      <w:bookmarkStart w:id="7" w:name="_GoBack"/>
      <w:bookmarkEnd w:id="7"/>
    </w:p>
    <w:p w:rsidR="007802B9" w:rsidRPr="007802B9" w:rsidRDefault="007802B9" w:rsidP="00FC3E8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C3E8B" w:rsidTr="00FC3E8B">
        <w:tc>
          <w:tcPr>
            <w:tcW w:w="686" w:type="dxa"/>
            <w:shd w:val="clear" w:color="auto" w:fill="auto"/>
          </w:tcPr>
          <w:p w:rsidR="00FC3E8B" w:rsidRDefault="00FC3E8B" w:rsidP="00FC3E8B">
            <w:pPr>
              <w:keepNext/>
              <w:keepLines/>
              <w:jc w:val="both"/>
            </w:pPr>
            <w:bookmarkStart w:id="8" w:name="bkmrkSignature" w:colFirst="0" w:colLast="0"/>
          </w:p>
        </w:tc>
        <w:tc>
          <w:tcPr>
            <w:tcW w:w="4034" w:type="dxa"/>
            <w:tcBorders>
              <w:bottom w:val="single" w:sz="4" w:space="0" w:color="auto"/>
            </w:tcBorders>
            <w:shd w:val="clear" w:color="auto" w:fill="auto"/>
          </w:tcPr>
          <w:p w:rsidR="00FC3E8B" w:rsidRDefault="007802B9" w:rsidP="00FC3E8B">
            <w:pPr>
              <w:keepNext/>
              <w:keepLines/>
              <w:jc w:val="both"/>
            </w:pPr>
            <w:r>
              <w:t>/s/ Carlotta S. Stauffer</w:t>
            </w:r>
          </w:p>
        </w:tc>
      </w:tr>
      <w:bookmarkEnd w:id="8"/>
      <w:tr w:rsidR="00FC3E8B" w:rsidTr="00FC3E8B">
        <w:tc>
          <w:tcPr>
            <w:tcW w:w="686" w:type="dxa"/>
            <w:shd w:val="clear" w:color="auto" w:fill="auto"/>
          </w:tcPr>
          <w:p w:rsidR="00FC3E8B" w:rsidRDefault="00FC3E8B" w:rsidP="00FC3E8B">
            <w:pPr>
              <w:keepNext/>
              <w:keepLines/>
              <w:jc w:val="both"/>
            </w:pPr>
          </w:p>
        </w:tc>
        <w:tc>
          <w:tcPr>
            <w:tcW w:w="4034" w:type="dxa"/>
            <w:tcBorders>
              <w:top w:val="single" w:sz="4" w:space="0" w:color="auto"/>
            </w:tcBorders>
            <w:shd w:val="clear" w:color="auto" w:fill="auto"/>
          </w:tcPr>
          <w:p w:rsidR="00FC3E8B" w:rsidRDefault="00FC3E8B" w:rsidP="00FC3E8B">
            <w:pPr>
              <w:keepNext/>
              <w:keepLines/>
              <w:jc w:val="both"/>
            </w:pPr>
            <w:r>
              <w:t>CARLOTTA S. STAUFFER</w:t>
            </w:r>
          </w:p>
          <w:p w:rsidR="00FC3E8B" w:rsidRDefault="00FC3E8B" w:rsidP="00FC3E8B">
            <w:pPr>
              <w:keepNext/>
              <w:keepLines/>
              <w:jc w:val="both"/>
            </w:pPr>
            <w:r>
              <w:t>Commission Clerk</w:t>
            </w:r>
          </w:p>
        </w:tc>
      </w:tr>
    </w:tbl>
    <w:p w:rsidR="00FC3E8B" w:rsidRDefault="00FC3E8B" w:rsidP="00FC3E8B">
      <w:pPr>
        <w:pStyle w:val="OrderSigInfo"/>
        <w:keepNext/>
        <w:keepLines/>
      </w:pPr>
      <w:r>
        <w:t>Florida Public Service Commission</w:t>
      </w:r>
    </w:p>
    <w:p w:rsidR="00FC3E8B" w:rsidRDefault="00FC3E8B" w:rsidP="00FC3E8B">
      <w:pPr>
        <w:pStyle w:val="OrderSigInfo"/>
        <w:keepNext/>
        <w:keepLines/>
      </w:pPr>
      <w:r>
        <w:t>2540 Shumard Oak Boulevard</w:t>
      </w:r>
    </w:p>
    <w:p w:rsidR="00FC3E8B" w:rsidRDefault="00FC3E8B" w:rsidP="00FC3E8B">
      <w:pPr>
        <w:pStyle w:val="OrderSigInfo"/>
        <w:keepNext/>
        <w:keepLines/>
      </w:pPr>
      <w:r>
        <w:t>Tallahassee, Florida  32399</w:t>
      </w:r>
    </w:p>
    <w:p w:rsidR="00FC3E8B" w:rsidRDefault="00FC3E8B" w:rsidP="00FC3E8B">
      <w:pPr>
        <w:pStyle w:val="OrderSigInfo"/>
        <w:keepNext/>
        <w:keepLines/>
      </w:pPr>
      <w:r>
        <w:t>(850) 413</w:t>
      </w:r>
      <w:r>
        <w:noBreakHyphen/>
        <w:t>6770</w:t>
      </w:r>
    </w:p>
    <w:p w:rsidR="00FC3E8B" w:rsidRDefault="00FC3E8B" w:rsidP="00FC3E8B">
      <w:pPr>
        <w:pStyle w:val="OrderSigInfo"/>
        <w:keepNext/>
        <w:keepLines/>
      </w:pPr>
      <w:r>
        <w:t>www.floridapsc.com</w:t>
      </w:r>
    </w:p>
    <w:p w:rsidR="00FC3E8B" w:rsidRDefault="00FC3E8B" w:rsidP="00FC3E8B">
      <w:pPr>
        <w:pStyle w:val="OrderSigInfo"/>
        <w:keepNext/>
        <w:keepLines/>
      </w:pPr>
    </w:p>
    <w:p w:rsidR="00FC3E8B" w:rsidRDefault="00FC3E8B" w:rsidP="00FC3E8B">
      <w:pPr>
        <w:pStyle w:val="OrderSigInfo"/>
        <w:keepNext/>
        <w:keepLines/>
      </w:pPr>
      <w:r>
        <w:t>Copies furnished:  A copy of this document is provided to the parties of record at the time of issuance and, if applicable, interested persons.</w:t>
      </w:r>
    </w:p>
    <w:p w:rsidR="00FC3E8B" w:rsidRDefault="00FC3E8B" w:rsidP="00854E43">
      <w:pPr>
        <w:jc w:val="both"/>
      </w:pPr>
      <w:r>
        <w:t>SBr</w:t>
      </w:r>
    </w:p>
    <w:p w:rsidR="00FC3E8B" w:rsidRDefault="00FC3E8B" w:rsidP="00854E43">
      <w:pPr>
        <w:jc w:val="both"/>
      </w:pPr>
    </w:p>
    <w:p w:rsidR="00FC3E8B" w:rsidRDefault="00FC3E8B" w:rsidP="00FC3E8B">
      <w:pPr>
        <w:pStyle w:val="CenterUnderline"/>
      </w:pPr>
      <w:r>
        <w:t>NOTICE OF FURTHER PROCEEDINGS OR JUDICIAL REVIEW</w:t>
      </w:r>
    </w:p>
    <w:p w:rsidR="00FC3E8B" w:rsidRDefault="00FC3E8B" w:rsidP="00FC3E8B">
      <w:pPr>
        <w:pStyle w:val="CenterUnderline"/>
      </w:pPr>
    </w:p>
    <w:p w:rsidR="00FC3E8B" w:rsidRDefault="00FC3E8B" w:rsidP="00FC3E8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C3E8B" w:rsidRDefault="00FC3E8B" w:rsidP="00FC3E8B">
      <w:pPr>
        <w:pStyle w:val="OrderBody"/>
      </w:pPr>
    </w:p>
    <w:p w:rsidR="00FC3E8B" w:rsidRDefault="00FC3E8B" w:rsidP="00FC3E8B">
      <w:pPr>
        <w:pStyle w:val="OrderBody"/>
      </w:pPr>
      <w:r>
        <w:tab/>
        <w:t>Mediation may be available on a case-by-case basis.  If mediation is conducted, it does not affect a substantially interested person's right to a hearing.</w:t>
      </w:r>
    </w:p>
    <w:p w:rsidR="00FC3E8B" w:rsidRDefault="00FC3E8B" w:rsidP="00FC3E8B">
      <w:pPr>
        <w:pStyle w:val="OrderBody"/>
      </w:pPr>
    </w:p>
    <w:p w:rsidR="00FC3E8B" w:rsidRDefault="00FC3E8B" w:rsidP="00FC3E8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802B9">
        <w:rPr>
          <w:u w:val="single"/>
        </w:rPr>
        <w:t>July 18, 2016</w:t>
      </w:r>
      <w:r>
        <w:t>.</w:t>
      </w:r>
    </w:p>
    <w:p w:rsidR="00FC3E8B" w:rsidRDefault="00FC3E8B" w:rsidP="00FC3E8B">
      <w:pPr>
        <w:pStyle w:val="OrderBody"/>
      </w:pPr>
    </w:p>
    <w:p w:rsidR="00FC3E8B" w:rsidRDefault="00FC3E8B" w:rsidP="00FC3E8B">
      <w:pPr>
        <w:pStyle w:val="OrderBody"/>
      </w:pPr>
      <w:r>
        <w:lastRenderedPageBreak/>
        <w:tab/>
        <w:t>In the absence of such a petition, this order shall become final and effective upon the issuance of a Consummating Order.</w:t>
      </w:r>
    </w:p>
    <w:p w:rsidR="00FC3E8B" w:rsidRDefault="00FC3E8B" w:rsidP="00FC3E8B">
      <w:pPr>
        <w:pStyle w:val="OrderBody"/>
      </w:pPr>
    </w:p>
    <w:p w:rsidR="00FC3E8B" w:rsidRDefault="00FC3E8B" w:rsidP="00FC3E8B">
      <w:pPr>
        <w:pStyle w:val="OrderBody"/>
      </w:pPr>
      <w:r>
        <w:tab/>
        <w:t>Any objection or protest filed in this/these docket(s) before the issuance date of this order is considered abandoned unless it satisfies the foregoing conditions and is renewed within the specified protest period.</w:t>
      </w:r>
    </w:p>
    <w:p w:rsidR="00FC3E8B" w:rsidRDefault="00FC3E8B" w:rsidP="00FC3E8B">
      <w:pPr>
        <w:pStyle w:val="OrderBody"/>
      </w:pPr>
    </w:p>
    <w:sectPr w:rsidR="00FC3E8B" w:rsidSect="00F037E5">
      <w:headerReference w:type="default" r:id="rId9"/>
      <w:footerReference w:type="firs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51" w:rsidRDefault="00CF1B51">
      <w:r>
        <w:separator/>
      </w:r>
    </w:p>
  </w:endnote>
  <w:endnote w:type="continuationSeparator" w:id="0">
    <w:p w:rsidR="00CF1B51" w:rsidRDefault="00CF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51" w:rsidRDefault="00CF1B51">
      <w:r>
        <w:separator/>
      </w:r>
    </w:p>
  </w:footnote>
  <w:footnote w:type="continuationSeparator" w:id="0">
    <w:p w:rsidR="00CF1B51" w:rsidRDefault="00CF1B51">
      <w:r>
        <w:continuationSeparator/>
      </w:r>
    </w:p>
  </w:footnote>
  <w:footnote w:id="1">
    <w:p w:rsidR="00CF1B51" w:rsidRDefault="00CF1B51" w:rsidP="00CF1B51">
      <w:pPr>
        <w:pStyle w:val="FootnoteText"/>
      </w:pPr>
      <w:r>
        <w:rPr>
          <w:rStyle w:val="FootnoteReference"/>
        </w:rPr>
        <w:footnoteRef/>
      </w:r>
      <w:r>
        <w:t>Order No. PSC-15-0586-FOF-EI, issued December 23, 2015, in Docket No: 150001-EI</w:t>
      </w:r>
      <w:r w:rsidR="002028CF">
        <w:t xml:space="preserve">, </w:t>
      </w:r>
      <w:r w:rsidRPr="00CF1B51">
        <w:rPr>
          <w:u w:val="single"/>
        </w:rPr>
        <w:t>In re: Fuel and Purchased Power Cost Recovery Clause with Generating Performance Incentive Factor</w:t>
      </w:r>
      <w:r>
        <w:t xml:space="preserve">. </w:t>
      </w:r>
    </w:p>
  </w:footnote>
  <w:footnote w:id="2">
    <w:p w:rsidR="00CF1B51" w:rsidRDefault="00CF1B51">
      <w:pPr>
        <w:pStyle w:val="FootnoteText"/>
      </w:pPr>
      <w:r>
        <w:rPr>
          <w:rStyle w:val="FootnoteReference"/>
        </w:rPr>
        <w:footnoteRef/>
      </w:r>
      <w:r>
        <w:t xml:space="preserve"> Order No. PSC-15-0586-FOF-EI at p. 9.</w:t>
      </w:r>
    </w:p>
  </w:footnote>
  <w:footnote w:id="3">
    <w:p w:rsidR="00CF1B51" w:rsidRDefault="00CF1B51" w:rsidP="00CF1B51">
      <w:pPr>
        <w:pStyle w:val="FootnoteText"/>
      </w:pPr>
      <w:r>
        <w:rPr>
          <w:rStyle w:val="FootnoteReference"/>
        </w:rPr>
        <w:footnoteRef/>
      </w:r>
      <w:r w:rsidRPr="00013433">
        <w:t xml:space="preserve">With the exception of DEF, as described in </w:t>
      </w:r>
      <w:r>
        <w:t xml:space="preserve">the </w:t>
      </w:r>
      <w:r w:rsidRPr="00013433">
        <w:t>Analysis to follow.</w:t>
      </w:r>
      <w:r w:rsidRPr="00C116AC">
        <w:rPr>
          <w:sz w:val="24"/>
          <w:szCs w:val="24"/>
        </w:rPr>
        <w:t xml:space="preserve"> </w:t>
      </w:r>
    </w:p>
  </w:footnote>
  <w:footnote w:id="4">
    <w:p w:rsidR="00B05DF5" w:rsidRPr="0093238E" w:rsidRDefault="00B05DF5" w:rsidP="00B05DF5">
      <w:pPr>
        <w:pStyle w:val="FootnoteText"/>
        <w:rPr>
          <w:i/>
        </w:rPr>
      </w:pPr>
      <w:r>
        <w:rPr>
          <w:rStyle w:val="FootnoteReference"/>
        </w:rPr>
        <w:footnoteRef/>
      </w:r>
      <w:r>
        <w:t xml:space="preserve">Order No. PSC-02-1484-FOF-EI, issued October 30, 2002, in Docket No. 011605-EI, </w:t>
      </w:r>
      <w:r w:rsidRPr="00B05DF5">
        <w:rPr>
          <w:u w:val="single"/>
        </w:rPr>
        <w:t>In re: Review of investor-owned electric utilities’ risk management policies and procedures</w:t>
      </w:r>
      <w:r w:rsidRPr="0093238E">
        <w:rPr>
          <w:i/>
        </w:rPr>
        <w:t>.</w:t>
      </w:r>
    </w:p>
  </w:footnote>
  <w:footnote w:id="5">
    <w:p w:rsidR="00B05DF5" w:rsidRPr="0093238E" w:rsidRDefault="00B05DF5" w:rsidP="00B05DF5">
      <w:pPr>
        <w:pStyle w:val="FootnoteText"/>
        <w:rPr>
          <w:i/>
        </w:rPr>
      </w:pPr>
      <w:r>
        <w:rPr>
          <w:rStyle w:val="FootnoteReference"/>
        </w:rPr>
        <w:footnoteRef/>
      </w:r>
      <w:r>
        <w:t xml:space="preserve">Order No. PSC-08-0316-PAA-EI, issued May 14, 2008, in Docket No. 080001-EI, </w:t>
      </w:r>
      <w:r w:rsidRPr="00B05DF5">
        <w:rPr>
          <w:u w:val="single"/>
        </w:rPr>
        <w:t>In re: Fuel and purchased power cost recovery clause with generating performance inventive factor</w:t>
      </w:r>
      <w:r w:rsidRPr="0093238E">
        <w:rPr>
          <w:i/>
        </w:rPr>
        <w:t>.</w:t>
      </w:r>
    </w:p>
  </w:footnote>
  <w:footnote w:id="6">
    <w:p w:rsidR="00B05DF5" w:rsidRPr="0093238E" w:rsidRDefault="00B05DF5" w:rsidP="00B05DF5">
      <w:pPr>
        <w:pStyle w:val="FootnoteText"/>
        <w:rPr>
          <w:i/>
        </w:rPr>
      </w:pPr>
      <w:r>
        <w:rPr>
          <w:rStyle w:val="FootnoteReference"/>
        </w:rPr>
        <w:footnoteRef/>
      </w:r>
      <w:r>
        <w:t xml:space="preserve">Order No. PSC-08-0667-PAA-EI, issued October 8, 2008, in Docket No. 080001-EI, </w:t>
      </w:r>
      <w:r w:rsidRPr="00B05DF5">
        <w:rPr>
          <w:u w:val="single"/>
        </w:rPr>
        <w:t>In re: Fuel and purchased power cost recovery clause with generating performance inventive factor.</w:t>
      </w:r>
    </w:p>
  </w:footnote>
  <w:footnote w:id="7">
    <w:p w:rsidR="00B05DF5" w:rsidRDefault="00B05DF5" w:rsidP="00B05DF5">
      <w:pPr>
        <w:pStyle w:val="FootnoteText"/>
      </w:pPr>
      <w:r>
        <w:rPr>
          <w:rStyle w:val="FootnoteReference"/>
        </w:rPr>
        <w:footnoteRef/>
      </w:r>
      <w:r>
        <w:t>2015 Fuel Order at 9.</w:t>
      </w:r>
    </w:p>
  </w:footnote>
  <w:footnote w:id="8">
    <w:p w:rsidR="00854E43" w:rsidRPr="00347E8A" w:rsidRDefault="00854E43" w:rsidP="00854E43">
      <w:pPr>
        <w:pStyle w:val="FootnoteText"/>
        <w:rPr>
          <w:i/>
        </w:rPr>
      </w:pPr>
      <w:r>
        <w:rPr>
          <w:rStyle w:val="FootnoteReference"/>
        </w:rPr>
        <w:footnoteRef/>
      </w:r>
      <w:r w:rsidRPr="00DA70E7">
        <w:t>FPL clarified that the reduced</w:t>
      </w:r>
      <w:r>
        <w:t xml:space="preserve"> hedging targets</w:t>
      </w:r>
      <w:r w:rsidRPr="00DA70E7">
        <w:t xml:space="preserve"> apply to the total targets </w:t>
      </w:r>
      <w:r>
        <w:t>and ranges for all hedges, and the</w:t>
      </w:r>
      <w:r w:rsidRPr="00DA70E7">
        <w:t xml:space="preserve"> reduced hedging targets and ranges have no impact on the gas reserves guidelines approved in Order Nos. PSC-15-0038-FOF-EI and PSC-15-0284-FOF-EI.</w:t>
      </w:r>
      <w:r>
        <w:t xml:space="preserve"> </w:t>
      </w:r>
      <w:r w:rsidRPr="00042E9C">
        <w:rPr>
          <w:u w:val="single"/>
        </w:rPr>
        <w:t>See</w:t>
      </w:r>
      <w:r>
        <w:t xml:space="preserve">: </w:t>
      </w:r>
      <w:r w:rsidRPr="004B614B">
        <w:t>Order No. PSC-15-0038-FOF-EI</w:t>
      </w:r>
      <w:r w:rsidRPr="00217B8C">
        <w:t>, issued January 12, 2015, in Docket No. 150001-EI</w:t>
      </w:r>
      <w:r>
        <w:t xml:space="preserve">, </w:t>
      </w:r>
      <w:r w:rsidRPr="00854E43">
        <w:rPr>
          <w:u w:val="single"/>
        </w:rPr>
        <w:t>In re: Fuel and purchased power cost recovery clause with generating performance incentive factor</w:t>
      </w:r>
      <w:r>
        <w:rPr>
          <w:i/>
        </w:rPr>
        <w:t xml:space="preserve">, </w:t>
      </w:r>
      <w:r>
        <w:t>and Order No. PSC-15-0284</w:t>
      </w:r>
      <w:r w:rsidRPr="004B614B">
        <w:t>-FOF-EI</w:t>
      </w:r>
      <w:r>
        <w:t>, issued July 14</w:t>
      </w:r>
      <w:r w:rsidRPr="00217B8C">
        <w:t>, 2015, in Docket No. 150001-EI</w:t>
      </w:r>
      <w:r>
        <w:t>,</w:t>
      </w:r>
      <w:r w:rsidRPr="00347E8A">
        <w:rPr>
          <w:i/>
        </w:rPr>
        <w:t xml:space="preserve"> </w:t>
      </w:r>
      <w:r w:rsidRPr="00854E43">
        <w:rPr>
          <w:u w:val="single"/>
        </w:rPr>
        <w:t>In re: Fuel and purchased power cost recovery clause with generating performance incentive factor</w:t>
      </w:r>
      <w:r w:rsidRPr="00347E8A">
        <w:rPr>
          <w:i/>
        </w:rPr>
        <w:t>.</w:t>
      </w:r>
    </w:p>
  </w:footnote>
  <w:footnote w:id="9">
    <w:p w:rsidR="00854E43" w:rsidRPr="00712F46" w:rsidRDefault="00854E43" w:rsidP="002028CF">
      <w:pPr>
        <w:pStyle w:val="BodyText"/>
        <w:spacing w:after="0"/>
        <w:jc w:val="both"/>
        <w:rPr>
          <w:sz w:val="20"/>
          <w:szCs w:val="20"/>
        </w:rPr>
      </w:pPr>
      <w:r>
        <w:rPr>
          <w:rStyle w:val="FootnoteReference"/>
        </w:rPr>
        <w:footnoteRef/>
      </w:r>
      <w:r w:rsidRPr="008253F7">
        <w:rPr>
          <w:sz w:val="20"/>
          <w:szCs w:val="20"/>
        </w:rPr>
        <w:t xml:space="preserve">DEF agrees with and joins </w:t>
      </w:r>
      <w:r>
        <w:rPr>
          <w:sz w:val="20"/>
          <w:szCs w:val="20"/>
        </w:rPr>
        <w:t>FPL, TECO, and Gulf</w:t>
      </w:r>
      <w:r w:rsidRPr="008253F7">
        <w:rPr>
          <w:sz w:val="20"/>
          <w:szCs w:val="20"/>
        </w:rPr>
        <w:t xml:space="preserve"> </w:t>
      </w:r>
      <w:r>
        <w:rPr>
          <w:sz w:val="20"/>
          <w:szCs w:val="20"/>
        </w:rPr>
        <w:t xml:space="preserve">in the proposed </w:t>
      </w:r>
      <w:r w:rsidRPr="008253F7">
        <w:rPr>
          <w:sz w:val="20"/>
          <w:szCs w:val="20"/>
        </w:rPr>
        <w:t>plan to reduce the maximum projected fuel purchases for calendar year 2017 that would be hedged during the remainder of 2016</w:t>
      </w:r>
      <w:r>
        <w:rPr>
          <w:sz w:val="20"/>
          <w:szCs w:val="20"/>
        </w:rPr>
        <w:t xml:space="preserve">. However, </w:t>
      </w:r>
      <w:r w:rsidRPr="008253F7">
        <w:rPr>
          <w:sz w:val="20"/>
          <w:szCs w:val="20"/>
        </w:rPr>
        <w:t xml:space="preserve"> DEF</w:t>
      </w:r>
      <w:r>
        <w:rPr>
          <w:sz w:val="20"/>
          <w:szCs w:val="20"/>
        </w:rPr>
        <w:t xml:space="preserve"> believes its</w:t>
      </w:r>
      <w:r w:rsidRPr="008253F7">
        <w:rPr>
          <w:sz w:val="20"/>
          <w:szCs w:val="20"/>
        </w:rPr>
        <w:t xml:space="preserve"> 2016 </w:t>
      </w:r>
      <w:r>
        <w:rPr>
          <w:sz w:val="20"/>
          <w:szCs w:val="20"/>
        </w:rPr>
        <w:t>Risk Management Plan affords it</w:t>
      </w:r>
      <w:r w:rsidRPr="008253F7">
        <w:rPr>
          <w:sz w:val="20"/>
          <w:szCs w:val="20"/>
        </w:rPr>
        <w:t xml:space="preserve"> the ability to meet this goal without amending its plan, </w:t>
      </w:r>
      <w:r>
        <w:rPr>
          <w:sz w:val="20"/>
          <w:szCs w:val="20"/>
        </w:rPr>
        <w:t xml:space="preserve">and for this reason, </w:t>
      </w:r>
      <w:r w:rsidRPr="008253F7">
        <w:rPr>
          <w:sz w:val="20"/>
          <w:szCs w:val="20"/>
        </w:rPr>
        <w:t xml:space="preserve">DEF does not join in the request to modify its 2016 </w:t>
      </w:r>
      <w:r>
        <w:rPr>
          <w:sz w:val="20"/>
          <w:szCs w:val="20"/>
        </w:rPr>
        <w:t xml:space="preserve">Risk Management </w:t>
      </w:r>
      <w:r w:rsidRPr="008253F7">
        <w:rPr>
          <w:sz w:val="20"/>
          <w:szCs w:val="20"/>
        </w:rPr>
        <w:t>Plan.</w:t>
      </w:r>
    </w:p>
  </w:footnote>
  <w:footnote w:id="10">
    <w:p w:rsidR="00854E43" w:rsidRDefault="002028CF" w:rsidP="00854E43">
      <w:pPr>
        <w:pStyle w:val="FootnoteText"/>
      </w:pPr>
      <w:r>
        <w:rPr>
          <w:sz w:val="16"/>
          <w:szCs w:val="16"/>
        </w:rPr>
        <w:t>10</w:t>
      </w:r>
      <w:r w:rsidR="00632EC9">
        <w:rPr>
          <w:sz w:val="16"/>
          <w:szCs w:val="16"/>
        </w:rPr>
        <w:t xml:space="preserve"> </w:t>
      </w:r>
      <w:r>
        <w:t>A</w:t>
      </w:r>
      <w:r w:rsidR="00854E43" w:rsidRPr="00FF2D3B">
        <w:t>lthough a small portion of these hedges for 2018 and extending to future periods may have already been executed under the applicable 2016 Risk Management Plan, this proposed limitation only ap</w:t>
      </w:r>
      <w:r w:rsidR="00854E43">
        <w:t xml:space="preserve">plies to the unhedged portions. </w:t>
      </w:r>
      <w:r w:rsidR="00854E43" w:rsidRPr="00FF2D3B">
        <w:t>The 2017 Risk Management Plans are due to be filed</w:t>
      </w:r>
      <w:r w:rsidR="00854E43">
        <w:t xml:space="preserve"> on August 4, 2016, in the Fuel C</w:t>
      </w:r>
      <w:r w:rsidR="00854E43" w:rsidRPr="00FF2D3B">
        <w:t>lause docket</w:t>
      </w:r>
      <w:r w:rsidR="00854E43">
        <w:t>.</w:t>
      </w:r>
    </w:p>
  </w:footnote>
  <w:footnote w:id="11">
    <w:p w:rsidR="00854E43" w:rsidRDefault="00854E43" w:rsidP="00854E43">
      <w:pPr>
        <w:pStyle w:val="FootnoteText"/>
      </w:pPr>
      <w:r>
        <w:rPr>
          <w:rStyle w:val="FootnoteReference"/>
        </w:rPr>
        <w:footnoteRef/>
      </w:r>
      <w:r>
        <w:t xml:space="preserve">The Petitioners individually requested confidential classification </w:t>
      </w:r>
      <w:r w:rsidRPr="00A053E6">
        <w:t>pursuant to Section 366.093, F.S., and Rule 25-22.0</w:t>
      </w:r>
      <w:r>
        <w:t xml:space="preserve">06, Florida Administrative Code.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5448C">
      <w:fldChar w:fldCharType="begin"/>
    </w:r>
    <w:r w:rsidR="0065448C">
      <w:instrText xml:space="preserve"> REF OrderNo0247 </w:instrText>
    </w:r>
    <w:r w:rsidR="0065448C">
      <w:fldChar w:fldCharType="separate"/>
    </w:r>
    <w:r w:rsidR="007802B9">
      <w:t>PSC-16-0247-PAA-EI</w:t>
    </w:r>
    <w:r w:rsidR="0065448C">
      <w:fldChar w:fldCharType="end"/>
    </w:r>
  </w:p>
  <w:p w:rsidR="00FA6EFD" w:rsidRDefault="00CF1B51">
    <w:pPr>
      <w:pStyle w:val="OrderHeader"/>
    </w:pPr>
    <w:bookmarkStart w:id="9" w:name="HeaderDocketNo"/>
    <w:bookmarkEnd w:id="9"/>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448C">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1961"/>
    <w:multiLevelType w:val="hybridMultilevel"/>
    <w:tmpl w:val="B3F0B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CF1B51"/>
    <w:rsid w:val="000022B8"/>
    <w:rsid w:val="000274F1"/>
    <w:rsid w:val="00052237"/>
    <w:rsid w:val="00053AB9"/>
    <w:rsid w:val="00056229"/>
    <w:rsid w:val="00065FC2"/>
    <w:rsid w:val="00083B25"/>
    <w:rsid w:val="00090AFC"/>
    <w:rsid w:val="000D06E8"/>
    <w:rsid w:val="000E344D"/>
    <w:rsid w:val="000F3B2C"/>
    <w:rsid w:val="000F7BE3"/>
    <w:rsid w:val="00116AD3"/>
    <w:rsid w:val="00126593"/>
    <w:rsid w:val="00142A96"/>
    <w:rsid w:val="00187E32"/>
    <w:rsid w:val="00194E81"/>
    <w:rsid w:val="001A33C9"/>
    <w:rsid w:val="001B7B0B"/>
    <w:rsid w:val="001D008A"/>
    <w:rsid w:val="001F0B4B"/>
    <w:rsid w:val="002002ED"/>
    <w:rsid w:val="002028CF"/>
    <w:rsid w:val="0022721A"/>
    <w:rsid w:val="00230BB9"/>
    <w:rsid w:val="00241CEF"/>
    <w:rsid w:val="00252B30"/>
    <w:rsid w:val="002A11AC"/>
    <w:rsid w:val="002A6F30"/>
    <w:rsid w:val="002D7D15"/>
    <w:rsid w:val="002E27EB"/>
    <w:rsid w:val="00303FDE"/>
    <w:rsid w:val="003140E8"/>
    <w:rsid w:val="003231C7"/>
    <w:rsid w:val="00331ED0"/>
    <w:rsid w:val="0035495B"/>
    <w:rsid w:val="00355648"/>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2EC9"/>
    <w:rsid w:val="0065448C"/>
    <w:rsid w:val="00660774"/>
    <w:rsid w:val="00665CC7"/>
    <w:rsid w:val="006A0BF3"/>
    <w:rsid w:val="006B0DA6"/>
    <w:rsid w:val="006C547E"/>
    <w:rsid w:val="00704C5D"/>
    <w:rsid w:val="00715275"/>
    <w:rsid w:val="00733B6B"/>
    <w:rsid w:val="00752742"/>
    <w:rsid w:val="0076170F"/>
    <w:rsid w:val="0076669C"/>
    <w:rsid w:val="007802B9"/>
    <w:rsid w:val="007865E9"/>
    <w:rsid w:val="00792383"/>
    <w:rsid w:val="007A060F"/>
    <w:rsid w:val="007D2746"/>
    <w:rsid w:val="007D3D20"/>
    <w:rsid w:val="007E3AFD"/>
    <w:rsid w:val="00803189"/>
    <w:rsid w:val="00804E7A"/>
    <w:rsid w:val="00805FBB"/>
    <w:rsid w:val="008169A4"/>
    <w:rsid w:val="008278FE"/>
    <w:rsid w:val="00832598"/>
    <w:rsid w:val="0083397E"/>
    <w:rsid w:val="0083534B"/>
    <w:rsid w:val="00854E43"/>
    <w:rsid w:val="00863A66"/>
    <w:rsid w:val="00874429"/>
    <w:rsid w:val="00883D9A"/>
    <w:rsid w:val="008919EF"/>
    <w:rsid w:val="008C6A5B"/>
    <w:rsid w:val="008E26A5"/>
    <w:rsid w:val="008E42D2"/>
    <w:rsid w:val="009040EE"/>
    <w:rsid w:val="009057FD"/>
    <w:rsid w:val="00906D06"/>
    <w:rsid w:val="00922A7F"/>
    <w:rsid w:val="00923A5E"/>
    <w:rsid w:val="009924CF"/>
    <w:rsid w:val="00994100"/>
    <w:rsid w:val="009D4C29"/>
    <w:rsid w:val="00A62DAB"/>
    <w:rsid w:val="00A726A6"/>
    <w:rsid w:val="00A95DEC"/>
    <w:rsid w:val="00A97535"/>
    <w:rsid w:val="00AA73F1"/>
    <w:rsid w:val="00AA79AF"/>
    <w:rsid w:val="00AB0E1A"/>
    <w:rsid w:val="00AB1A30"/>
    <w:rsid w:val="00AB2A1B"/>
    <w:rsid w:val="00AD1ED3"/>
    <w:rsid w:val="00B05DF5"/>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E6788"/>
    <w:rsid w:val="00CF1B51"/>
    <w:rsid w:val="00D30B48"/>
    <w:rsid w:val="00D46FAA"/>
    <w:rsid w:val="00D57BB2"/>
    <w:rsid w:val="00D8560E"/>
    <w:rsid w:val="00D8758F"/>
    <w:rsid w:val="00DC1D94"/>
    <w:rsid w:val="00DE057F"/>
    <w:rsid w:val="00DE2082"/>
    <w:rsid w:val="00DE2289"/>
    <w:rsid w:val="00E04410"/>
    <w:rsid w:val="00E11351"/>
    <w:rsid w:val="00E86021"/>
    <w:rsid w:val="00EA172C"/>
    <w:rsid w:val="00EA259B"/>
    <w:rsid w:val="00EA35A3"/>
    <w:rsid w:val="00EA3E6A"/>
    <w:rsid w:val="00EB18EF"/>
    <w:rsid w:val="00EE17DF"/>
    <w:rsid w:val="00EF4621"/>
    <w:rsid w:val="00F037E5"/>
    <w:rsid w:val="00F277B6"/>
    <w:rsid w:val="00F54380"/>
    <w:rsid w:val="00F54B47"/>
    <w:rsid w:val="00F70E84"/>
    <w:rsid w:val="00FA6EFD"/>
    <w:rsid w:val="00FB74EA"/>
    <w:rsid w:val="00FC3E8B"/>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CF1B51"/>
  </w:style>
  <w:style w:type="character" w:customStyle="1" w:styleId="FooterChar">
    <w:name w:val="Footer Char"/>
    <w:link w:val="Footer"/>
    <w:uiPriority w:val="99"/>
    <w:rsid w:val="00CF1B51"/>
    <w:rPr>
      <w:sz w:val="24"/>
      <w:szCs w:val="24"/>
    </w:rPr>
  </w:style>
  <w:style w:type="paragraph" w:customStyle="1" w:styleId="RecommendationMajorSectionHeading">
    <w:name w:val="Recommendation Major Section Heading"/>
    <w:basedOn w:val="Heading1"/>
    <w:next w:val="BodyText"/>
    <w:rsid w:val="00CF1B51"/>
    <w:pPr>
      <w:jc w:val="center"/>
    </w:pPr>
    <w:rPr>
      <w:rFonts w:ascii="Arial" w:hAnsi="Arial"/>
      <w:b/>
    </w:rPr>
  </w:style>
  <w:style w:type="character" w:customStyle="1" w:styleId="HeaderChar">
    <w:name w:val="Header Char"/>
    <w:link w:val="Header"/>
    <w:uiPriority w:val="99"/>
    <w:rsid w:val="00CF1B51"/>
    <w:rPr>
      <w:sz w:val="24"/>
      <w:szCs w:val="24"/>
    </w:rPr>
  </w:style>
  <w:style w:type="paragraph" w:styleId="BalloonText">
    <w:name w:val="Balloon Text"/>
    <w:basedOn w:val="Normal"/>
    <w:link w:val="BalloonTextChar"/>
    <w:rsid w:val="00CF1B51"/>
    <w:rPr>
      <w:rFonts w:ascii="Tahoma" w:hAnsi="Tahoma" w:cs="Tahoma"/>
      <w:sz w:val="16"/>
      <w:szCs w:val="16"/>
    </w:rPr>
  </w:style>
  <w:style w:type="character" w:customStyle="1" w:styleId="BalloonTextChar">
    <w:name w:val="Balloon Text Char"/>
    <w:link w:val="BalloonText"/>
    <w:rsid w:val="00CF1B51"/>
    <w:rPr>
      <w:rFonts w:ascii="Tahoma" w:hAnsi="Tahoma" w:cs="Tahoma"/>
      <w:sz w:val="16"/>
      <w:szCs w:val="16"/>
    </w:rPr>
  </w:style>
  <w:style w:type="paragraph" w:customStyle="1" w:styleId="IssueHeading">
    <w:name w:val="Issue Heading"/>
    <w:basedOn w:val="Heading1"/>
    <w:next w:val="BodyText"/>
    <w:link w:val="IssueHeadingChar"/>
    <w:qFormat/>
    <w:rsid w:val="00854E43"/>
    <w:pPr>
      <w:keepNext w:val="0"/>
    </w:pPr>
    <w:rPr>
      <w:rFonts w:ascii="Arial" w:hAnsi="Arial"/>
      <w:b/>
      <w:i/>
    </w:rPr>
  </w:style>
  <w:style w:type="character" w:customStyle="1" w:styleId="IssueHeadingChar">
    <w:name w:val="Issue Heading Char"/>
    <w:link w:val="IssueHeading"/>
    <w:rsid w:val="00854E43"/>
    <w:rPr>
      <w:rFonts w:ascii="Arial" w:hAnsi="Arial" w:cs="Arial"/>
      <w:b/>
      <w:bCs/>
      <w:i/>
      <w:kern w:val="32"/>
      <w:sz w:val="24"/>
      <w:szCs w:val="32"/>
    </w:rPr>
  </w:style>
  <w:style w:type="paragraph" w:customStyle="1" w:styleId="First-LevelSubheading">
    <w:name w:val="First-Level Subheading"/>
    <w:basedOn w:val="Normal"/>
    <w:next w:val="BodyText"/>
    <w:qFormat/>
    <w:rsid w:val="00854E43"/>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854E43"/>
    <w:pPr>
      <w:ind w:left="720"/>
      <w:outlineLvl w:val="3"/>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CF1B51"/>
  </w:style>
  <w:style w:type="character" w:customStyle="1" w:styleId="FooterChar">
    <w:name w:val="Footer Char"/>
    <w:link w:val="Footer"/>
    <w:uiPriority w:val="99"/>
    <w:rsid w:val="00CF1B51"/>
    <w:rPr>
      <w:sz w:val="24"/>
      <w:szCs w:val="24"/>
    </w:rPr>
  </w:style>
  <w:style w:type="paragraph" w:customStyle="1" w:styleId="RecommendationMajorSectionHeading">
    <w:name w:val="Recommendation Major Section Heading"/>
    <w:basedOn w:val="Heading1"/>
    <w:next w:val="BodyText"/>
    <w:rsid w:val="00CF1B51"/>
    <w:pPr>
      <w:jc w:val="center"/>
    </w:pPr>
    <w:rPr>
      <w:rFonts w:ascii="Arial" w:hAnsi="Arial"/>
      <w:b/>
    </w:rPr>
  </w:style>
  <w:style w:type="character" w:customStyle="1" w:styleId="HeaderChar">
    <w:name w:val="Header Char"/>
    <w:link w:val="Header"/>
    <w:uiPriority w:val="99"/>
    <w:rsid w:val="00CF1B51"/>
    <w:rPr>
      <w:sz w:val="24"/>
      <w:szCs w:val="24"/>
    </w:rPr>
  </w:style>
  <w:style w:type="paragraph" w:styleId="BalloonText">
    <w:name w:val="Balloon Text"/>
    <w:basedOn w:val="Normal"/>
    <w:link w:val="BalloonTextChar"/>
    <w:rsid w:val="00CF1B51"/>
    <w:rPr>
      <w:rFonts w:ascii="Tahoma" w:hAnsi="Tahoma" w:cs="Tahoma"/>
      <w:sz w:val="16"/>
      <w:szCs w:val="16"/>
    </w:rPr>
  </w:style>
  <w:style w:type="character" w:customStyle="1" w:styleId="BalloonTextChar">
    <w:name w:val="Balloon Text Char"/>
    <w:link w:val="BalloonText"/>
    <w:rsid w:val="00CF1B51"/>
    <w:rPr>
      <w:rFonts w:ascii="Tahoma" w:hAnsi="Tahoma" w:cs="Tahoma"/>
      <w:sz w:val="16"/>
      <w:szCs w:val="16"/>
    </w:rPr>
  </w:style>
  <w:style w:type="paragraph" w:customStyle="1" w:styleId="IssueHeading">
    <w:name w:val="Issue Heading"/>
    <w:basedOn w:val="Heading1"/>
    <w:next w:val="BodyText"/>
    <w:link w:val="IssueHeadingChar"/>
    <w:qFormat/>
    <w:rsid w:val="00854E43"/>
    <w:pPr>
      <w:keepNext w:val="0"/>
    </w:pPr>
    <w:rPr>
      <w:rFonts w:ascii="Arial" w:hAnsi="Arial"/>
      <w:b/>
      <w:i/>
    </w:rPr>
  </w:style>
  <w:style w:type="character" w:customStyle="1" w:styleId="IssueHeadingChar">
    <w:name w:val="Issue Heading Char"/>
    <w:link w:val="IssueHeading"/>
    <w:rsid w:val="00854E43"/>
    <w:rPr>
      <w:rFonts w:ascii="Arial" w:hAnsi="Arial" w:cs="Arial"/>
      <w:b/>
      <w:bCs/>
      <w:i/>
      <w:kern w:val="32"/>
      <w:sz w:val="24"/>
      <w:szCs w:val="32"/>
    </w:rPr>
  </w:style>
  <w:style w:type="paragraph" w:customStyle="1" w:styleId="First-LevelSubheading">
    <w:name w:val="First-Level Subheading"/>
    <w:basedOn w:val="Normal"/>
    <w:next w:val="BodyText"/>
    <w:qFormat/>
    <w:rsid w:val="00854E43"/>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854E43"/>
    <w:pPr>
      <w:ind w:left="720"/>
      <w:outlineLvl w:val="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3AD5-9E9E-4363-8851-9F215185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Pages>
  <Words>3391</Words>
  <Characters>18720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2016-06-27T14:19:00Z</dcterms:created>
  <dcterms:modified xsi:type="dcterms:W3CDTF">2016-06-27T14:59:00Z</dcterms:modified>
</cp:coreProperties>
</file>