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05129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051297" w:rsidP="00A958B5">
            <w:pPr>
              <w:pStyle w:val="MemoHeading"/>
            </w:pPr>
            <w:bookmarkStart w:id="1" w:name="FilingDate"/>
            <w:r>
              <w:t>Ju</w:t>
            </w:r>
            <w:r w:rsidR="00AC5C4A">
              <w:t xml:space="preserve">ly </w:t>
            </w:r>
            <w:r w:rsidR="00B42D72">
              <w:t>2</w:t>
            </w:r>
            <w:r w:rsidR="00A958B5">
              <w:t>8</w:t>
            </w:r>
            <w:r>
              <w:t>, 2016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051297" w:rsidRDefault="00051297">
            <w:pPr>
              <w:pStyle w:val="MemoHeading"/>
            </w:pPr>
            <w:bookmarkStart w:id="2" w:name="From"/>
            <w:r>
              <w:t>Office of the General Counsel (</w:t>
            </w:r>
            <w:r w:rsidR="00A958B5">
              <w:t>Harper</w:t>
            </w:r>
            <w:r>
              <w:t>)</w:t>
            </w:r>
          </w:p>
          <w:p w:rsidR="00051297" w:rsidRDefault="00051297">
            <w:pPr>
              <w:pStyle w:val="MemoHeading"/>
            </w:pPr>
            <w:r>
              <w:t xml:space="preserve">Division of Accounting and Finance (Barrett, </w:t>
            </w:r>
            <w:r w:rsidR="00A958B5">
              <w:t>Lester</w:t>
            </w:r>
            <w:r>
              <w:t>)</w:t>
            </w:r>
          </w:p>
          <w:bookmarkEnd w:id="2"/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34671D" w:rsidRDefault="0034671D">
            <w:pPr>
              <w:pStyle w:val="MemoHeadingRe"/>
            </w:pPr>
            <w:bookmarkStart w:id="3" w:name="Re"/>
            <w:r>
              <w:t xml:space="preserve">Docket No. 140001-EI – </w:t>
            </w:r>
            <w:r w:rsidRPr="0034671D">
              <w:t xml:space="preserve">Fuel and purchased power cost recovery clause with generating performance incentive </w:t>
            </w:r>
            <w:r w:rsidR="00EB18C8">
              <w:t>factor</w:t>
            </w:r>
            <w:r>
              <w:t>.</w:t>
            </w:r>
          </w:p>
          <w:p w:rsidR="001E4B33" w:rsidRDefault="001E4B33">
            <w:pPr>
              <w:pStyle w:val="MemoHeadingRe"/>
            </w:pPr>
          </w:p>
          <w:p w:rsidR="007C0528" w:rsidRDefault="00B05AA5">
            <w:pPr>
              <w:pStyle w:val="MemoHeadingRe"/>
            </w:pPr>
            <w:r>
              <w:t xml:space="preserve">Docket No. </w:t>
            </w:r>
            <w:r w:rsidR="00051297">
              <w:t>150001-EI – Fuel and purchased power cost recovery clause with generating performance incentive factor.</w:t>
            </w:r>
            <w:bookmarkEnd w:id="3"/>
          </w:p>
          <w:p w:rsidR="0034671D" w:rsidRDefault="0034671D">
            <w:pPr>
              <w:pStyle w:val="MemoHeadingRe"/>
            </w:pP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051297" w:rsidP="00B42D72">
            <w:pPr>
              <w:pStyle w:val="MemoHeading"/>
            </w:pPr>
            <w:bookmarkStart w:id="4" w:name="AgendaDate"/>
            <w:r>
              <w:t>0</w:t>
            </w:r>
            <w:r w:rsidR="00B42D72">
              <w:t>8</w:t>
            </w:r>
            <w:r>
              <w:t>/0</w:t>
            </w:r>
            <w:r w:rsidR="00B42D72">
              <w:t>9</w:t>
            </w:r>
            <w:r>
              <w:t>/16</w:t>
            </w:r>
            <w:bookmarkEnd w:id="4"/>
            <w:r w:rsidR="007C0528">
              <w:t xml:space="preserve"> – </w:t>
            </w:r>
            <w:bookmarkStart w:id="5" w:name="PermittedStatus"/>
            <w:r>
              <w:t>Regular Agenda – 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051297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051297">
            <w:pPr>
              <w:pStyle w:val="MemoHeading"/>
            </w:pPr>
            <w:bookmarkStart w:id="7" w:name="PrehearingOfficer"/>
            <w:r>
              <w:t>Graham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D12A68">
            <w:pPr>
              <w:pStyle w:val="MemoHeading"/>
            </w:pPr>
            <w:r>
              <w:t>9/26</w:t>
            </w:r>
            <w:r w:rsidR="00725875">
              <w:t>/16 – Court temporarily relinquished jurisdiction to the Commission until this date.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051297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1649D3" w:rsidRPr="009F429A" w:rsidRDefault="001649D3" w:rsidP="001649D3">
      <w:pPr>
        <w:jc w:val="both"/>
      </w:pPr>
      <w:r w:rsidRPr="009F429A">
        <w:t xml:space="preserve">On June 25, 2014, Florida Power and Light </w:t>
      </w:r>
      <w:r w:rsidR="00F65BB8">
        <w:t xml:space="preserve">Company </w:t>
      </w:r>
      <w:r w:rsidRPr="009F429A">
        <w:t>(F</w:t>
      </w:r>
      <w:r w:rsidR="006D08DD">
        <w:t>PL) filed a petition (Petition</w:t>
      </w:r>
      <w:r w:rsidRPr="009F429A">
        <w:t>) with the Commission for approval of FPL acquiring an interest</w:t>
      </w:r>
      <w:r w:rsidR="00DC6BD5">
        <w:t xml:space="preserve"> in and cost recovery for</w:t>
      </w:r>
      <w:r w:rsidRPr="009F429A">
        <w:t xml:space="preserve"> a natural gas res</w:t>
      </w:r>
      <w:r w:rsidR="00DC6BD5">
        <w:t>erve project (Woodford Project)</w:t>
      </w:r>
      <w:r w:rsidRPr="009F429A">
        <w:t>.  In the Petition, FPL further requested the Commission establish guidelines by which FPL could participate in future gas reserve projects without prior approval and recover the costs.</w:t>
      </w:r>
    </w:p>
    <w:p w:rsidR="00DC6BD5" w:rsidRDefault="00DC6BD5" w:rsidP="001649D3">
      <w:pPr>
        <w:jc w:val="both"/>
      </w:pPr>
    </w:p>
    <w:p w:rsidR="001649D3" w:rsidRDefault="00BA211D" w:rsidP="001649D3">
      <w:pPr>
        <w:jc w:val="both"/>
      </w:pPr>
      <w:r>
        <w:lastRenderedPageBreak/>
        <w:t>T</w:t>
      </w:r>
      <w:r w:rsidR="001649D3" w:rsidRPr="009F429A">
        <w:t xml:space="preserve">he Commission bifurcated FPL’s request to approve the Woodford Project from the portion </w:t>
      </w:r>
      <w:r w:rsidR="006D08DD">
        <w:t>of the petition requesting the g</w:t>
      </w:r>
      <w:r w:rsidR="001649D3" w:rsidRPr="009F429A">
        <w:t>uidel</w:t>
      </w:r>
      <w:r w:rsidR="00282610">
        <w:t>ines. The Woodford Project and g</w:t>
      </w:r>
      <w:r w:rsidR="001649D3" w:rsidRPr="009F429A">
        <w:t xml:space="preserve">uidelines </w:t>
      </w:r>
      <w:r w:rsidR="00282610">
        <w:t>request</w:t>
      </w:r>
      <w:r w:rsidR="001649D3" w:rsidRPr="009F429A">
        <w:t xml:space="preserve"> were scheduled to be heard at separate </w:t>
      </w:r>
      <w:r w:rsidR="00282610">
        <w:t>agenda conferences</w:t>
      </w:r>
      <w:r w:rsidR="001649D3" w:rsidRPr="009F429A">
        <w:t>.</w:t>
      </w:r>
    </w:p>
    <w:p w:rsidR="000167B0" w:rsidRPr="009F429A" w:rsidRDefault="000167B0" w:rsidP="001649D3">
      <w:pPr>
        <w:jc w:val="both"/>
      </w:pPr>
    </w:p>
    <w:p w:rsidR="001649D3" w:rsidRPr="009F429A" w:rsidRDefault="00E71563" w:rsidP="001649D3">
      <w:pPr>
        <w:jc w:val="both"/>
      </w:pPr>
      <w:r>
        <w:t>On January 12, 2015, t</w:t>
      </w:r>
      <w:r w:rsidR="001649D3" w:rsidRPr="009F429A">
        <w:t xml:space="preserve">he Commission </w:t>
      </w:r>
      <w:r w:rsidR="00DC6BD5">
        <w:t>issued</w:t>
      </w:r>
      <w:r w:rsidR="001649D3" w:rsidRPr="009F429A">
        <w:t xml:space="preserve"> Final Order No. </w:t>
      </w:r>
      <w:proofErr w:type="gramStart"/>
      <w:r w:rsidR="001649D3" w:rsidRPr="009F429A">
        <w:t>PSC-15-0038-FOF-EI</w:t>
      </w:r>
      <w:r w:rsidR="00165496">
        <w:t>, approving the Woodford Project</w:t>
      </w:r>
      <w:r w:rsidR="001649D3" w:rsidRPr="009F429A">
        <w:t xml:space="preserve"> (</w:t>
      </w:r>
      <w:r w:rsidR="00DC6BD5">
        <w:t xml:space="preserve">Woodford </w:t>
      </w:r>
      <w:r w:rsidR="006970DB">
        <w:t>Order</w:t>
      </w:r>
      <w:r w:rsidR="00DC6BD5">
        <w:t>)</w:t>
      </w:r>
      <w:r w:rsidR="001649D3" w:rsidRPr="009F429A">
        <w:t>.</w:t>
      </w:r>
      <w:proofErr w:type="gramEnd"/>
      <w:r w:rsidR="001649D3" w:rsidRPr="009F429A">
        <w:t xml:space="preserve"> Florida Industrial Power Users Group (FIPUG) and </w:t>
      </w:r>
      <w:r w:rsidR="00F65BB8">
        <w:t xml:space="preserve">the </w:t>
      </w:r>
      <w:r w:rsidR="001649D3" w:rsidRPr="009F429A">
        <w:t xml:space="preserve">Office of Public Counsel (OPC) appealed the Woodford </w:t>
      </w:r>
      <w:r w:rsidR="00165496">
        <w:t>Order</w:t>
      </w:r>
      <w:r w:rsidR="001649D3" w:rsidRPr="009F429A">
        <w:t xml:space="preserve">. </w:t>
      </w:r>
    </w:p>
    <w:p w:rsidR="001649D3" w:rsidRDefault="001649D3" w:rsidP="001649D3">
      <w:pPr>
        <w:jc w:val="both"/>
      </w:pPr>
    </w:p>
    <w:p w:rsidR="001649D3" w:rsidRPr="000D5A43" w:rsidRDefault="00BA211D" w:rsidP="000D5A43">
      <w:pPr>
        <w:jc w:val="both"/>
      </w:pPr>
      <w:r>
        <w:t>On July 14</w:t>
      </w:r>
      <w:r w:rsidR="001649D3" w:rsidRPr="009F429A">
        <w:t xml:space="preserve">, 2015, </w:t>
      </w:r>
      <w:r w:rsidR="00165496">
        <w:t>the Commission</w:t>
      </w:r>
      <w:r w:rsidR="006D08DD">
        <w:t xml:space="preserve"> issued</w:t>
      </w:r>
      <w:r w:rsidR="001649D3" w:rsidRPr="009F429A">
        <w:t xml:space="preserve"> </w:t>
      </w:r>
      <w:r w:rsidR="00876F7F">
        <w:t xml:space="preserve">Final </w:t>
      </w:r>
      <w:r w:rsidR="001649D3" w:rsidRPr="009F429A">
        <w:t xml:space="preserve">Order No. </w:t>
      </w:r>
      <w:proofErr w:type="gramStart"/>
      <w:r w:rsidR="001649D3" w:rsidRPr="009F429A">
        <w:t>PSC-15-0284-FOF-EI</w:t>
      </w:r>
      <w:r w:rsidR="00165496">
        <w:t xml:space="preserve">, approving </w:t>
      </w:r>
      <w:r w:rsidR="006D08DD">
        <w:t xml:space="preserve">modified </w:t>
      </w:r>
      <w:r w:rsidR="00165496">
        <w:t>gas reserve guidelines</w:t>
      </w:r>
      <w:r w:rsidR="001649D3" w:rsidRPr="009F429A">
        <w:t xml:space="preserve"> </w:t>
      </w:r>
      <w:r w:rsidR="006D08DD">
        <w:t xml:space="preserve">for FPL </w:t>
      </w:r>
      <w:r w:rsidR="001649D3" w:rsidRPr="009F429A">
        <w:t>(Guidelines Order).</w:t>
      </w:r>
      <w:proofErr w:type="gramEnd"/>
      <w:r w:rsidR="001649D3" w:rsidRPr="009F429A">
        <w:t xml:space="preserve">  OPC and FIPUG appealed the Guidelines Order. </w:t>
      </w:r>
      <w:r w:rsidR="000167B0">
        <w:t xml:space="preserve">The appeals were assigned Case Nos. </w:t>
      </w:r>
      <w:proofErr w:type="gramStart"/>
      <w:r w:rsidR="000167B0">
        <w:t>SC15-1515 and SC15-1517.</w:t>
      </w:r>
      <w:proofErr w:type="gramEnd"/>
      <w:r w:rsidR="000167B0">
        <w:t xml:space="preserve"> </w:t>
      </w:r>
      <w:r w:rsidR="005E6E3D">
        <w:t>O</w:t>
      </w:r>
      <w:r w:rsidR="005E6E3D" w:rsidRPr="009F429A">
        <w:t>n September 25, 2015</w:t>
      </w:r>
      <w:r w:rsidR="005E6E3D">
        <w:t>, t</w:t>
      </w:r>
      <w:r w:rsidR="001649D3" w:rsidRPr="000D5A43">
        <w:t xml:space="preserve">he Court </w:t>
      </w:r>
      <w:r w:rsidR="00165496">
        <w:t xml:space="preserve">stayed </w:t>
      </w:r>
      <w:r w:rsidR="001649D3" w:rsidRPr="000D5A43">
        <w:t xml:space="preserve">the </w:t>
      </w:r>
      <w:r w:rsidR="006D08DD">
        <w:t>appeal</w:t>
      </w:r>
      <w:r w:rsidR="000167B0">
        <w:t>s</w:t>
      </w:r>
      <w:r w:rsidR="006D08DD">
        <w:t xml:space="preserve"> of the </w:t>
      </w:r>
      <w:r w:rsidR="001649D3" w:rsidRPr="000D5A43">
        <w:t xml:space="preserve">Guidelines Order pending </w:t>
      </w:r>
      <w:r w:rsidR="00165496">
        <w:t>its</w:t>
      </w:r>
      <w:r w:rsidR="001649D3" w:rsidRPr="000D5A43">
        <w:t xml:space="preserve"> decision </w:t>
      </w:r>
      <w:r w:rsidR="00165496">
        <w:t>on the</w:t>
      </w:r>
      <w:r w:rsidR="001649D3" w:rsidRPr="000D5A43">
        <w:t xml:space="preserve"> Woodford </w:t>
      </w:r>
      <w:r w:rsidR="00165496">
        <w:t>Order</w:t>
      </w:r>
      <w:r w:rsidR="001649D3" w:rsidRPr="000D5A43">
        <w:t xml:space="preserve">. </w:t>
      </w:r>
    </w:p>
    <w:p w:rsidR="001649D3" w:rsidRDefault="001649D3" w:rsidP="001649D3">
      <w:pPr>
        <w:jc w:val="both"/>
      </w:pPr>
    </w:p>
    <w:p w:rsidR="00673487" w:rsidRPr="00E904D5" w:rsidRDefault="00F3067D" w:rsidP="001649D3">
      <w:pPr>
        <w:jc w:val="both"/>
      </w:pPr>
      <w:proofErr w:type="gramStart"/>
      <w:r>
        <w:t>I</w:t>
      </w:r>
      <w:r w:rsidR="00673487">
        <w:t xml:space="preserve">n </w:t>
      </w:r>
      <w:r w:rsidR="00673487" w:rsidRPr="006970DB">
        <w:rPr>
          <w:i/>
        </w:rPr>
        <w:t xml:space="preserve">Citizens of </w:t>
      </w:r>
      <w:r w:rsidR="00AA1953">
        <w:rPr>
          <w:i/>
        </w:rPr>
        <w:t xml:space="preserve">the </w:t>
      </w:r>
      <w:r w:rsidR="00673487" w:rsidRPr="006970DB">
        <w:rPr>
          <w:i/>
        </w:rPr>
        <w:t>State</w:t>
      </w:r>
      <w:r w:rsidR="00AA1953">
        <w:rPr>
          <w:i/>
        </w:rPr>
        <w:t xml:space="preserve"> of Florida</w:t>
      </w:r>
      <w:r w:rsidR="00673487" w:rsidRPr="006970DB">
        <w:rPr>
          <w:i/>
        </w:rPr>
        <w:t xml:space="preserve"> v. Graham</w:t>
      </w:r>
      <w:r>
        <w:t>, 191 So.</w:t>
      </w:r>
      <w:proofErr w:type="gramEnd"/>
      <w:r>
        <w:t xml:space="preserve"> 3d</w:t>
      </w:r>
      <w:r w:rsidR="00673487">
        <w:t xml:space="preserve"> 897</w:t>
      </w:r>
      <w:r w:rsidR="00E904D5">
        <w:t>, 902</w:t>
      </w:r>
      <w:r w:rsidR="00673487">
        <w:t xml:space="preserve"> (Fla. 2016)</w:t>
      </w:r>
      <w:r w:rsidR="00D9481D">
        <w:t xml:space="preserve"> (Woodford Opinion)</w:t>
      </w:r>
      <w:r w:rsidR="00673487">
        <w:t xml:space="preserve">, </w:t>
      </w:r>
      <w:r w:rsidR="001649D3" w:rsidRPr="009F429A">
        <w:t xml:space="preserve">the </w:t>
      </w:r>
      <w:r w:rsidR="00C1107B">
        <w:t xml:space="preserve">Court reversed the Commission’s </w:t>
      </w:r>
      <w:r w:rsidR="00673487">
        <w:t xml:space="preserve">Woodford </w:t>
      </w:r>
      <w:r>
        <w:t>Order</w:t>
      </w:r>
      <w:r w:rsidR="00673487">
        <w:t>. The Court</w:t>
      </w:r>
      <w:r w:rsidR="001649D3" w:rsidRPr="009F429A">
        <w:t xml:space="preserve"> </w:t>
      </w:r>
      <w:r w:rsidR="00673487">
        <w:t>held</w:t>
      </w:r>
      <w:r w:rsidR="001649D3" w:rsidRPr="009F429A">
        <w:t xml:space="preserve"> the Commission exceeded its statutory authority when approving cost recovery of FPL's costs and investment in the Woodford Project</w:t>
      </w:r>
      <w:r w:rsidR="00E904D5">
        <w:t xml:space="preserve">. </w:t>
      </w:r>
      <w:r w:rsidR="00E904D5">
        <w:rPr>
          <w:i/>
        </w:rPr>
        <w:t>Id.</w:t>
      </w:r>
    </w:p>
    <w:p w:rsidR="006D08DD" w:rsidRDefault="006D08DD" w:rsidP="001649D3">
      <w:pPr>
        <w:jc w:val="both"/>
      </w:pPr>
    </w:p>
    <w:p w:rsidR="007B041A" w:rsidRDefault="006D08DD" w:rsidP="00E71563">
      <w:pPr>
        <w:jc w:val="both"/>
      </w:pPr>
      <w:r>
        <w:t>Shortly after issuing its opinion on the Woodford Order, t</w:t>
      </w:r>
      <w:r w:rsidR="001649D3" w:rsidRPr="009F429A">
        <w:t xml:space="preserve">he Court lifted the stay </w:t>
      </w:r>
      <w:r w:rsidR="005E6E3D">
        <w:t>o</w:t>
      </w:r>
      <w:r>
        <w:t>f the appeal</w:t>
      </w:r>
      <w:r w:rsidR="000167B0">
        <w:t>s</w:t>
      </w:r>
      <w:r>
        <w:t xml:space="preserve"> of</w:t>
      </w:r>
      <w:r w:rsidR="005E6E3D">
        <w:t xml:space="preserve"> the </w:t>
      </w:r>
      <w:r>
        <w:t xml:space="preserve">Guidelines Order. </w:t>
      </w:r>
      <w:r w:rsidR="00E71563">
        <w:t>On June 15, 2016, the Commission, OPC, FIPUG, and FPL filed</w:t>
      </w:r>
      <w:r w:rsidR="001649D3">
        <w:t xml:space="preserve"> a </w:t>
      </w:r>
      <w:r w:rsidR="00E71563">
        <w:t xml:space="preserve">Joint </w:t>
      </w:r>
      <w:r w:rsidR="001649D3">
        <w:t>Motion to Relinquish Jurisdiction with the Court</w:t>
      </w:r>
      <w:r>
        <w:t>, requesting that the Court give jurisdiction back to the Commission,</w:t>
      </w:r>
      <w:r w:rsidR="001649D3">
        <w:t xml:space="preserve"> </w:t>
      </w:r>
      <w:r w:rsidR="005E6E3D">
        <w:t>so that</w:t>
      </w:r>
      <w:r w:rsidR="001649D3">
        <w:t xml:space="preserve"> the Commission </w:t>
      </w:r>
      <w:r w:rsidR="005E6E3D">
        <w:t>could</w:t>
      </w:r>
      <w:r w:rsidR="001649D3">
        <w:t xml:space="preserve"> vacate the Guidelines Order in accordance </w:t>
      </w:r>
      <w:r w:rsidR="006970DB">
        <w:t xml:space="preserve">with </w:t>
      </w:r>
      <w:r w:rsidR="00D9481D">
        <w:t>the Woodford Opinion</w:t>
      </w:r>
      <w:r w:rsidR="001649D3">
        <w:t>.</w:t>
      </w:r>
      <w:r w:rsidR="00354421">
        <w:t xml:space="preserve"> On June 28, 2016</w:t>
      </w:r>
      <w:r w:rsidR="00725875">
        <w:t>, t</w:t>
      </w:r>
      <w:r w:rsidR="000745F0">
        <w:t xml:space="preserve">he Court granted the </w:t>
      </w:r>
      <w:r w:rsidR="00E71563">
        <w:t>Joint Mot</w:t>
      </w:r>
      <w:r w:rsidR="007B041A">
        <w:t>ion to Relinquish Jurisdiction and gave the Commission 90 days to reconsider the Guidelines Order.</w:t>
      </w:r>
    </w:p>
    <w:p w:rsidR="00E71563" w:rsidRDefault="007B041A" w:rsidP="00E71563">
      <w:pPr>
        <w:jc w:val="both"/>
      </w:pPr>
      <w:r>
        <w:t xml:space="preserve"> </w:t>
      </w:r>
    </w:p>
    <w:p w:rsidR="007C0528" w:rsidRDefault="001649D3" w:rsidP="005E6E3D">
      <w:pPr>
        <w:pStyle w:val="BodyText"/>
      </w:pPr>
      <w:r>
        <w:t xml:space="preserve">This recommendation addresses </w:t>
      </w:r>
      <w:r w:rsidR="005E6E3D">
        <w:t xml:space="preserve">whether the </w:t>
      </w:r>
      <w:r>
        <w:t>Commission</w:t>
      </w:r>
      <w:r w:rsidR="005E6E3D">
        <w:t xml:space="preserve"> should</w:t>
      </w:r>
      <w:r w:rsidR="00B42D72">
        <w:t xml:space="preserve"> vacate</w:t>
      </w:r>
      <w:r w:rsidR="00542B91">
        <w:t xml:space="preserve"> </w:t>
      </w:r>
      <w:r w:rsidR="00B42D72">
        <w:t>the Guidelines Order</w:t>
      </w:r>
      <w:r w:rsidR="005E6E3D">
        <w:t>.</w:t>
      </w:r>
      <w:r>
        <w:t xml:space="preserve">  </w:t>
      </w:r>
    </w:p>
    <w:bookmarkEnd w:id="11"/>
    <w:p w:rsidR="00051297" w:rsidRPr="00051297" w:rsidRDefault="00051297" w:rsidP="00051297">
      <w:pPr>
        <w:pStyle w:val="BodyText"/>
        <w:sectPr w:rsidR="00051297" w:rsidRPr="00051297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5" w:name="DiscussionOfIssues"/>
      <w:r>
        <w:lastRenderedPageBreak/>
        <w:t>Discussion of Issues</w:t>
      </w:r>
    </w:p>
    <w:bookmarkEnd w:id="15"/>
    <w:p w:rsidR="00051297" w:rsidRDefault="00051297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614D28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614D28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051297" w:rsidRDefault="00051297">
      <w:pPr>
        <w:pStyle w:val="BodyText"/>
      </w:pPr>
      <w:r>
        <w:t> </w:t>
      </w:r>
      <w:r w:rsidR="001649D3">
        <w:t xml:space="preserve">Should </w:t>
      </w:r>
      <w:r w:rsidR="005E6E3D">
        <w:t>the Commission vacat</w:t>
      </w:r>
      <w:r w:rsidR="00542B91">
        <w:t>e</w:t>
      </w:r>
      <w:r w:rsidR="005E6E3D">
        <w:t xml:space="preserve"> the Guidelines Order</w:t>
      </w:r>
      <w:r w:rsidR="00542B91" w:rsidRPr="00542B91">
        <w:t xml:space="preserve"> </w:t>
      </w:r>
      <w:r w:rsidR="00542B91">
        <w:t>and d</w:t>
      </w:r>
      <w:r w:rsidR="007B041A">
        <w:t xml:space="preserve">ismiss </w:t>
      </w:r>
      <w:r w:rsidR="00F65BB8">
        <w:t xml:space="preserve">FPL’s </w:t>
      </w:r>
      <w:r w:rsidR="00542B91">
        <w:t>Petition</w:t>
      </w:r>
      <w:r w:rsidR="00AC5C4A">
        <w:t>?</w:t>
      </w:r>
    </w:p>
    <w:p w:rsidR="00051297" w:rsidRPr="004C3641" w:rsidRDefault="00051297">
      <w:pPr>
        <w:pStyle w:val="IssueSubsectionHeading"/>
        <w:rPr>
          <w:vanish/>
          <w:specVanish/>
        </w:rPr>
      </w:pPr>
      <w:r w:rsidRPr="004C3641">
        <w:t>Recommendation: </w:t>
      </w:r>
    </w:p>
    <w:p w:rsidR="00AA1953" w:rsidRDefault="00051297" w:rsidP="00AA1953">
      <w:pPr>
        <w:jc w:val="both"/>
      </w:pPr>
      <w:r>
        <w:t> </w:t>
      </w:r>
      <w:r w:rsidR="001649D3" w:rsidRPr="001649D3">
        <w:t xml:space="preserve">Yes. </w:t>
      </w:r>
      <w:r w:rsidR="006970DB">
        <w:t>In accordance with</w:t>
      </w:r>
      <w:r w:rsidR="00D9481D">
        <w:t xml:space="preserve"> the Woodford Opinion</w:t>
      </w:r>
      <w:r w:rsidR="006970DB">
        <w:t>,</w:t>
      </w:r>
      <w:r w:rsidR="0013425F">
        <w:t xml:space="preserve"> </w:t>
      </w:r>
      <w:r w:rsidR="006970DB">
        <w:t>the Guidelines</w:t>
      </w:r>
      <w:r w:rsidR="0013425F">
        <w:t xml:space="preserve"> Order</w:t>
      </w:r>
      <w:r w:rsidR="006970DB">
        <w:t xml:space="preserve"> </w:t>
      </w:r>
      <w:r w:rsidR="00FA7C94">
        <w:t>(</w:t>
      </w:r>
      <w:r w:rsidR="00FA7C94" w:rsidRPr="009F429A">
        <w:t>Order No. PSC-15-0284-FOF-EI</w:t>
      </w:r>
      <w:r w:rsidR="00FA7C94">
        <w:t xml:space="preserve">) </w:t>
      </w:r>
      <w:r w:rsidR="00046A6D">
        <w:t xml:space="preserve">should </w:t>
      </w:r>
      <w:r w:rsidR="0013425F">
        <w:t>be vacated</w:t>
      </w:r>
      <w:r w:rsidR="007B041A" w:rsidRPr="007B041A">
        <w:t xml:space="preserve"> </w:t>
      </w:r>
      <w:r w:rsidR="00F65BB8">
        <w:t xml:space="preserve">and FPL’s </w:t>
      </w:r>
      <w:r w:rsidR="007B041A">
        <w:t>Petition should be dismissed</w:t>
      </w:r>
      <w:r w:rsidR="00340B9A" w:rsidRPr="001649D3">
        <w:t>.</w:t>
      </w:r>
      <w:r w:rsidR="005E6E3D">
        <w:t xml:space="preserve"> </w:t>
      </w:r>
    </w:p>
    <w:p w:rsidR="00051297" w:rsidRDefault="00051297" w:rsidP="00AA1953">
      <w:pPr>
        <w:jc w:val="both"/>
      </w:pPr>
      <w:r>
        <w:t xml:space="preserve"> </w:t>
      </w:r>
    </w:p>
    <w:p w:rsidR="00051297" w:rsidRPr="004C3641" w:rsidRDefault="00051297">
      <w:pPr>
        <w:pStyle w:val="IssueSubsectionHeading"/>
        <w:rPr>
          <w:vanish/>
          <w:specVanish/>
        </w:rPr>
      </w:pPr>
      <w:r w:rsidRPr="004C3641">
        <w:t>Staff Analysis: </w:t>
      </w:r>
    </w:p>
    <w:p w:rsidR="006D08DD" w:rsidRDefault="00051297" w:rsidP="00B3627F">
      <w:pPr>
        <w:jc w:val="both"/>
      </w:pPr>
      <w:r>
        <w:t> </w:t>
      </w:r>
      <w:r w:rsidR="00B3627F">
        <w:t xml:space="preserve"> In</w:t>
      </w:r>
      <w:r w:rsidR="00EE27AC">
        <w:t xml:space="preserve"> the Woodford Opinion</w:t>
      </w:r>
      <w:r w:rsidR="006970DB">
        <w:t>, the</w:t>
      </w:r>
      <w:r w:rsidR="007B041A">
        <w:t xml:space="preserve"> Court held that </w:t>
      </w:r>
      <w:r w:rsidR="00B3627F" w:rsidRPr="001649D3">
        <w:t>the Commission exceeded its j</w:t>
      </w:r>
      <w:r w:rsidR="007B041A">
        <w:t>urisdiction when it</w:t>
      </w:r>
      <w:r w:rsidR="006970DB">
        <w:t xml:space="preserve"> approved the Woodford</w:t>
      </w:r>
      <w:r w:rsidR="00B3627F" w:rsidRPr="001649D3">
        <w:t xml:space="preserve"> natural gas reserves project</w:t>
      </w:r>
      <w:r w:rsidR="00B3627F">
        <w:t xml:space="preserve">. </w:t>
      </w:r>
      <w:r w:rsidR="006D08DD">
        <w:t>Accordingly, th</w:t>
      </w:r>
      <w:r w:rsidR="006F06C9">
        <w:t>e Woodford Order has no force or</w:t>
      </w:r>
      <w:r w:rsidR="006D08DD">
        <w:t xml:space="preserve"> effect.</w:t>
      </w:r>
      <w:r w:rsidR="006D08DD" w:rsidRPr="006D08DD">
        <w:t xml:space="preserve"> </w:t>
      </w:r>
      <w:proofErr w:type="gramStart"/>
      <w:r w:rsidR="006D08DD" w:rsidRPr="00CE3C82">
        <w:rPr>
          <w:i/>
        </w:rPr>
        <w:t>See, e.g., Savery v. Savery</w:t>
      </w:r>
      <w:r w:rsidR="002242B2">
        <w:t>, 870 So.</w:t>
      </w:r>
      <w:proofErr w:type="gramEnd"/>
      <w:r w:rsidR="002242B2">
        <w:t xml:space="preserve"> 2d 920, 921 (Fla. 4th</w:t>
      </w:r>
      <w:r w:rsidR="006D08DD">
        <w:t xml:space="preserve"> DCA 2004) (holding that when a judgment is entirely reversed by the appellate court, it is as if the judgment</w:t>
      </w:r>
      <w:r w:rsidR="00AA1953">
        <w:t xml:space="preserve"> had never been entered</w:t>
      </w:r>
      <w:r w:rsidR="006D08DD">
        <w:t>)</w:t>
      </w:r>
      <w:r w:rsidR="005D07DB">
        <w:t>.</w:t>
      </w:r>
      <w:r w:rsidR="006D08DD">
        <w:t xml:space="preserve"> </w:t>
      </w:r>
    </w:p>
    <w:p w:rsidR="006D08DD" w:rsidRDefault="006D08DD" w:rsidP="00B3627F">
      <w:pPr>
        <w:jc w:val="both"/>
      </w:pPr>
    </w:p>
    <w:p w:rsidR="00B3627F" w:rsidRDefault="007B041A" w:rsidP="00B3627F">
      <w:pPr>
        <w:jc w:val="both"/>
      </w:pPr>
      <w:r w:rsidRPr="00340B9A">
        <w:t>The Commission approved</w:t>
      </w:r>
      <w:r>
        <w:t xml:space="preserve"> FPL’s petition to establish guidelines to allow FPL to participate in future gas reserves projects </w:t>
      </w:r>
      <w:r w:rsidR="00340B9A" w:rsidRPr="00340B9A">
        <w:t xml:space="preserve">before the Court </w:t>
      </w:r>
      <w:r w:rsidR="00B85450">
        <w:t>issue</w:t>
      </w:r>
      <w:r w:rsidR="006D08DD">
        <w:t>d</w:t>
      </w:r>
      <w:r w:rsidR="00B85450">
        <w:t xml:space="preserve"> its opinion on </w:t>
      </w:r>
      <w:r>
        <w:t xml:space="preserve">the </w:t>
      </w:r>
      <w:r w:rsidR="00340B9A" w:rsidRPr="00340B9A">
        <w:t>Woodford</w:t>
      </w:r>
      <w:r>
        <w:t xml:space="preserve"> Order</w:t>
      </w:r>
      <w:r w:rsidR="00340B9A" w:rsidRPr="00340B9A">
        <w:t xml:space="preserve">.  </w:t>
      </w:r>
      <w:r w:rsidR="00B85450" w:rsidRPr="001649D3">
        <w:t>The basis for the Commission’</w:t>
      </w:r>
      <w:r w:rsidR="00AA1953">
        <w:t>s</w:t>
      </w:r>
      <w:r w:rsidR="00B85450" w:rsidRPr="001649D3">
        <w:t xml:space="preserve"> jurisdiction over the Woodford Order is the same basis for its jurisdiction over the Guidelines Order.</w:t>
      </w:r>
      <w:r w:rsidR="00B85450">
        <w:t xml:space="preserve"> </w:t>
      </w:r>
      <w:r w:rsidR="00EE27AC">
        <w:t>In accordance with the Woodford Opinion</w:t>
      </w:r>
      <w:r w:rsidR="00340B9A" w:rsidRPr="00340B9A">
        <w:t xml:space="preserve">, </w:t>
      </w:r>
      <w:r w:rsidR="00046A6D">
        <w:t>the</w:t>
      </w:r>
      <w:r w:rsidR="00340B9A" w:rsidRPr="00340B9A">
        <w:t xml:space="preserve"> </w:t>
      </w:r>
      <w:r w:rsidR="00046A6D">
        <w:t xml:space="preserve">Guidelines </w:t>
      </w:r>
      <w:r w:rsidR="00340B9A" w:rsidRPr="00340B9A">
        <w:t>Order</w:t>
      </w:r>
      <w:r w:rsidR="00B3627F">
        <w:t xml:space="preserve"> </w:t>
      </w:r>
      <w:r w:rsidR="00046A6D">
        <w:t>should</w:t>
      </w:r>
      <w:r w:rsidR="00B3627F">
        <w:t xml:space="preserve"> be vacated</w:t>
      </w:r>
      <w:r>
        <w:t xml:space="preserve"> and the Commission should dismiss </w:t>
      </w:r>
      <w:r w:rsidR="00F65BB8">
        <w:t xml:space="preserve">FPL’s </w:t>
      </w:r>
      <w:r>
        <w:t>Petition</w:t>
      </w:r>
      <w:r w:rsidR="006D08DD">
        <w:t xml:space="preserve"> because the Commission lacks jurisdiction</w:t>
      </w:r>
      <w:r w:rsidR="00AA1953">
        <w:t xml:space="preserve"> to approve the Woodford Project and implement guidelines for future gas reserve projects similar to the Woodford Project.</w:t>
      </w:r>
    </w:p>
    <w:p w:rsidR="00E71563" w:rsidRDefault="00E71563" w:rsidP="00340B9A">
      <w:pPr>
        <w:jc w:val="both"/>
      </w:pPr>
    </w:p>
    <w:p w:rsidR="00091BB4" w:rsidRDefault="00AA1953" w:rsidP="00091BB4">
      <w:pPr>
        <w:jc w:val="both"/>
      </w:pPr>
      <w:r>
        <w:t xml:space="preserve">Because the effect of reversal is to treat orders as if they had never been entered, </w:t>
      </w:r>
      <w:r w:rsidRPr="00AA1953">
        <w:rPr>
          <w:i/>
        </w:rPr>
        <w:t>Savery</w:t>
      </w:r>
      <w:r>
        <w:t xml:space="preserve">, 870 </w:t>
      </w:r>
      <w:proofErr w:type="gramStart"/>
      <w:r>
        <w:t>So</w:t>
      </w:r>
      <w:proofErr w:type="gramEnd"/>
      <w:r>
        <w:t xml:space="preserve">. 2d at 921, any costs that were allowed to be recovered based on the orders will need to be removed from rates. </w:t>
      </w:r>
      <w:r w:rsidR="00B85450">
        <w:t xml:space="preserve">No </w:t>
      </w:r>
      <w:r w:rsidR="00046A6D">
        <w:t xml:space="preserve">projects </w:t>
      </w:r>
      <w:r w:rsidR="00B85450">
        <w:t xml:space="preserve">were implemented </w:t>
      </w:r>
      <w:r w:rsidR="007B041A">
        <w:t>p</w:t>
      </w:r>
      <w:r w:rsidR="006D08DD">
        <w:t>ursuant to the Guidelines Order, so t</w:t>
      </w:r>
      <w:r w:rsidR="00046A6D">
        <w:t xml:space="preserve">here are no costs associated with the Guidelines </w:t>
      </w:r>
      <w:r w:rsidR="006D08DD">
        <w:t>Order</w:t>
      </w:r>
      <w:r w:rsidR="00046A6D">
        <w:t xml:space="preserve"> that need to be </w:t>
      </w:r>
      <w:r w:rsidR="007B041A">
        <w:t>removed from rates</w:t>
      </w:r>
      <w:r w:rsidR="00046A6D">
        <w:t xml:space="preserve">. </w:t>
      </w:r>
      <w:r w:rsidR="006D08DD">
        <w:t>A</w:t>
      </w:r>
      <w:r w:rsidR="007B041A">
        <w:t>ny costs associated with the Woodford Order that need to be removed from rates will be addressed in Docket No. 160</w:t>
      </w:r>
      <w:r w:rsidR="006D08DD">
        <w:t>0</w:t>
      </w:r>
      <w:r w:rsidR="00091BB4">
        <w:t>01-EI.</w:t>
      </w:r>
    </w:p>
    <w:p w:rsidR="00091BB4" w:rsidRDefault="00091BB4" w:rsidP="00091BB4">
      <w:pPr>
        <w:jc w:val="both"/>
      </w:pPr>
    </w:p>
    <w:p w:rsidR="00051297" w:rsidRDefault="00091BB4" w:rsidP="000167B0">
      <w:pPr>
        <w:jc w:val="both"/>
      </w:pPr>
      <w:r>
        <w:t>The Court temporarily relinquished jurisdiction to the Commission to reconsider the Guidelines Order. If the Commission votes to vacate the Guidelines Order and dismiss FPL’s Petition, staff counsel wil</w:t>
      </w:r>
      <w:r w:rsidR="00DA3A88">
        <w:t xml:space="preserve">l notify the Court of the Commission’s decision and take any additional steps necessary </w:t>
      </w:r>
      <w:r w:rsidR="000167B0">
        <w:t>to resolve the</w:t>
      </w:r>
      <w:r>
        <w:t xml:space="preserve"> </w:t>
      </w:r>
      <w:r w:rsidR="000167B0">
        <w:t xml:space="preserve">pending appeals in Case Nos. </w:t>
      </w:r>
      <w:proofErr w:type="gramStart"/>
      <w:r w:rsidR="000167B0">
        <w:t>SC15-1515 and SC15-1517.</w:t>
      </w:r>
      <w:proofErr w:type="gramEnd"/>
      <w:r w:rsidR="00051297" w:rsidRPr="004C3641">
        <w:br w:type="page"/>
      </w:r>
      <w:r w:rsidR="00051297" w:rsidRPr="000167B0">
        <w:rPr>
          <w:rFonts w:ascii="Arial" w:hAnsi="Arial" w:cs="Arial"/>
          <w:b/>
          <w:i/>
        </w:rPr>
        <w:t xml:space="preserve">Issue </w:t>
      </w:r>
      <w:r w:rsidR="00100A7B" w:rsidRPr="000167B0">
        <w:rPr>
          <w:rFonts w:ascii="Arial" w:hAnsi="Arial" w:cs="Arial"/>
          <w:b/>
          <w:i/>
        </w:rPr>
        <w:fldChar w:fldCharType="begin"/>
      </w:r>
      <w:r w:rsidR="00100A7B" w:rsidRPr="000167B0">
        <w:rPr>
          <w:rFonts w:ascii="Arial" w:hAnsi="Arial" w:cs="Arial"/>
          <w:b/>
          <w:i/>
        </w:rPr>
        <w:instrText xml:space="preserve"> SEQ Issue \* MERGEFORMAT </w:instrText>
      </w:r>
      <w:r w:rsidR="00100A7B" w:rsidRPr="000167B0">
        <w:rPr>
          <w:rFonts w:ascii="Arial" w:hAnsi="Arial" w:cs="Arial"/>
          <w:b/>
          <w:i/>
        </w:rPr>
        <w:fldChar w:fldCharType="separate"/>
      </w:r>
      <w:r w:rsidR="00614D28">
        <w:rPr>
          <w:rFonts w:ascii="Arial" w:hAnsi="Arial" w:cs="Arial"/>
          <w:b/>
          <w:i/>
          <w:noProof/>
        </w:rPr>
        <w:t>2</w:t>
      </w:r>
      <w:r w:rsidR="00100A7B" w:rsidRPr="000167B0">
        <w:rPr>
          <w:rFonts w:ascii="Arial" w:hAnsi="Arial" w:cs="Arial"/>
          <w:b/>
          <w:i/>
          <w:noProof/>
        </w:rPr>
        <w:fldChar w:fldCharType="end"/>
      </w:r>
      <w:r w:rsidR="00051297" w:rsidRPr="000167B0">
        <w:rPr>
          <w:rFonts w:ascii="Arial" w:hAnsi="Arial" w:cs="Arial"/>
          <w:b/>
          <w:i/>
        </w:rPr>
        <w:t>:</w:t>
      </w:r>
      <w:r w:rsidR="00051297">
        <w:fldChar w:fldCharType="begin"/>
      </w:r>
      <w:r w:rsidR="00051297">
        <w:instrText xml:space="preserve"> TC "</w:instrText>
      </w:r>
      <w:r w:rsidR="00051297">
        <w:fldChar w:fldCharType="begin"/>
      </w:r>
      <w:r w:rsidR="00051297">
        <w:instrText xml:space="preserve"> SEQ issue \c </w:instrText>
      </w:r>
      <w:r w:rsidR="00051297">
        <w:fldChar w:fldCharType="separate"/>
      </w:r>
      <w:r w:rsidR="00614D28">
        <w:rPr>
          <w:noProof/>
        </w:rPr>
        <w:instrText>2</w:instrText>
      </w:r>
      <w:r w:rsidR="00051297">
        <w:fldChar w:fldCharType="end"/>
      </w:r>
      <w:r w:rsidR="00051297">
        <w:tab/>
        <w:instrText xml:space="preserve">" \l 1 </w:instrText>
      </w:r>
      <w:r w:rsidR="00051297">
        <w:fldChar w:fldCharType="end"/>
      </w:r>
      <w:r w:rsidR="00051297">
        <w:t> </w:t>
      </w:r>
      <w:r w:rsidR="000167B0">
        <w:t xml:space="preserve">  </w:t>
      </w:r>
      <w:r w:rsidR="00A53071">
        <w:t xml:space="preserve">Should these </w:t>
      </w:r>
      <w:r w:rsidR="00051297">
        <w:t>docket</w:t>
      </w:r>
      <w:r w:rsidR="00A53071">
        <w:t>s</w:t>
      </w:r>
      <w:r w:rsidR="00051297">
        <w:t xml:space="preserve"> be closed?</w:t>
      </w:r>
    </w:p>
    <w:p w:rsidR="000167B0" w:rsidRDefault="000167B0" w:rsidP="000167B0">
      <w:pPr>
        <w:jc w:val="both"/>
      </w:pPr>
    </w:p>
    <w:p w:rsidR="00051297" w:rsidRPr="004C3641" w:rsidRDefault="00051297">
      <w:pPr>
        <w:pStyle w:val="IssueSubsectionHeading"/>
        <w:rPr>
          <w:vanish/>
          <w:specVanish/>
        </w:rPr>
      </w:pPr>
      <w:r w:rsidRPr="004C3641">
        <w:t>Recommendation: </w:t>
      </w:r>
    </w:p>
    <w:p w:rsidR="00051297" w:rsidRDefault="00051297">
      <w:pPr>
        <w:pStyle w:val="BodyText"/>
      </w:pPr>
      <w:r>
        <w:t> </w:t>
      </w:r>
      <w:r w:rsidR="002A2D3F">
        <w:t xml:space="preserve">Docket No. 140001-EI should be closed.  However, </w:t>
      </w:r>
      <w:r w:rsidR="00A53071">
        <w:t>Docket No. 150001-EI should remain open in litigati</w:t>
      </w:r>
      <w:r w:rsidR="002A2D3F">
        <w:t>on status.</w:t>
      </w:r>
    </w:p>
    <w:p w:rsidR="00051297" w:rsidRPr="004C3641" w:rsidRDefault="00051297">
      <w:pPr>
        <w:pStyle w:val="IssueSubsectionHeading"/>
        <w:rPr>
          <w:vanish/>
          <w:specVanish/>
        </w:rPr>
      </w:pPr>
      <w:r w:rsidRPr="004C3641">
        <w:t>Staff Analysis: </w:t>
      </w:r>
    </w:p>
    <w:p w:rsidR="002A2D3F" w:rsidRDefault="00051297" w:rsidP="00B57C4B">
      <w:pPr>
        <w:jc w:val="both"/>
      </w:pPr>
      <w:r>
        <w:t> </w:t>
      </w:r>
      <w:r w:rsidR="00091BB4">
        <w:t xml:space="preserve">No further action is needed in Docket No. 140001-EI, so Docket No. 140001-EI should be closed. However, </w:t>
      </w:r>
      <w:r w:rsidR="002A2D3F">
        <w:t xml:space="preserve">Docket No. 150001-EI should remain open in litigation status </w:t>
      </w:r>
      <w:r w:rsidR="00091BB4">
        <w:t xml:space="preserve">because </w:t>
      </w:r>
      <w:r w:rsidR="002A2D3F">
        <w:t>the appeal</w:t>
      </w:r>
      <w:r w:rsidR="000167B0">
        <w:t>s of the Guidelines Order</w:t>
      </w:r>
      <w:r w:rsidR="006F06C9">
        <w:t xml:space="preserve"> and another appeal </w:t>
      </w:r>
      <w:r w:rsidR="00905633">
        <w:t xml:space="preserve">in the docket </w:t>
      </w:r>
      <w:r w:rsidR="006F06C9">
        <w:t>unrelated to the Guidelines Order</w:t>
      </w:r>
      <w:r w:rsidR="000167B0">
        <w:t xml:space="preserve"> are</w:t>
      </w:r>
      <w:r w:rsidR="00091BB4">
        <w:t xml:space="preserve"> still pending before the Court.</w:t>
      </w:r>
      <w:r w:rsidR="006F06C9">
        <w:t xml:space="preserve"> </w:t>
      </w:r>
    </w:p>
    <w:p w:rsidR="002A2D3F" w:rsidRDefault="002A2D3F" w:rsidP="00B57C4B">
      <w:pPr>
        <w:jc w:val="both"/>
      </w:pPr>
    </w:p>
    <w:p w:rsidR="00051297" w:rsidRDefault="006F06C9" w:rsidP="00B57C4B">
      <w:pPr>
        <w:jc w:val="both"/>
      </w:pPr>
      <w:r>
        <w:t>As discussed</w:t>
      </w:r>
      <w:r w:rsidR="00091BB4">
        <w:t xml:space="preserve"> in Issue 1, t</w:t>
      </w:r>
      <w:r w:rsidR="00673487">
        <w:t xml:space="preserve">here are no costs associated with the Guidelines Order that need to be </w:t>
      </w:r>
      <w:r w:rsidR="007B041A">
        <w:t>removed from rates</w:t>
      </w:r>
      <w:r w:rsidR="00673487">
        <w:t xml:space="preserve">. </w:t>
      </w:r>
      <w:r w:rsidR="00B57C4B">
        <w:t>Any costs associated with the Woodford Order that need to be removed from rates will be addressed in Docket No. 16</w:t>
      </w:r>
      <w:r w:rsidR="006D08DD">
        <w:t>0</w:t>
      </w:r>
      <w:r w:rsidR="00B57C4B">
        <w:t xml:space="preserve">001-EI. 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97" w:rsidRDefault="00051297">
      <w:r>
        <w:separator/>
      </w:r>
    </w:p>
  </w:endnote>
  <w:endnote w:type="continuationSeparator" w:id="0">
    <w:p w:rsidR="00051297" w:rsidRDefault="0005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3EAF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97" w:rsidRDefault="00051297">
      <w:r>
        <w:separator/>
      </w:r>
    </w:p>
  </w:footnote>
  <w:footnote w:type="continuationSeparator" w:id="0">
    <w:p w:rsidR="00051297" w:rsidRDefault="00051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051297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4E330D">
      <w:t xml:space="preserve"> </w:t>
    </w:r>
    <w:bookmarkStart w:id="14" w:name="DocketList"/>
    <w:r>
      <w:t>150001-EI</w:t>
    </w:r>
    <w:bookmarkEnd w:id="14"/>
  </w:p>
  <w:p w:rsidR="004E330D" w:rsidRDefault="004E330D">
    <w:pPr>
      <w:pStyle w:val="Header"/>
    </w:pPr>
    <w:r>
      <w:t xml:space="preserve">Date: </w:t>
    </w:r>
    <w:r w:rsidR="00882F45">
      <w:fldChar w:fldCharType="begin"/>
    </w:r>
    <w:r w:rsidR="00882F45">
      <w:instrText xml:space="preserve"> REF FilingDate </w:instrText>
    </w:r>
    <w:r w:rsidR="00882F45">
      <w:fldChar w:fldCharType="separate"/>
    </w:r>
    <w:r w:rsidR="00614D28">
      <w:t>July 28, 2016</w:t>
    </w:r>
    <w:r w:rsidR="00882F45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614D28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614D28">
      <w:t>150001-EI</w:t>
    </w:r>
    <w:r>
      <w:fldChar w:fldCharType="end"/>
    </w:r>
    <w:r>
      <w:tab/>
      <w:t xml:space="preserve">Issue </w:t>
    </w:r>
    <w:r w:rsidR="00882F45">
      <w:fldChar w:fldCharType="begin"/>
    </w:r>
    <w:r w:rsidR="00882F45">
      <w:instrText xml:space="preserve"> Seq Issue \c \* Arabic </w:instrText>
    </w:r>
    <w:r w:rsidR="00882F45">
      <w:fldChar w:fldCharType="separate"/>
    </w:r>
    <w:r w:rsidR="00CE3EAF">
      <w:rPr>
        <w:noProof/>
      </w:rPr>
      <w:t>2</w:t>
    </w:r>
    <w:r w:rsidR="00882F45">
      <w:rPr>
        <w:noProof/>
      </w:rPr>
      <w:fldChar w:fldCharType="end"/>
    </w:r>
  </w:p>
  <w:p w:rsidR="004E330D" w:rsidRDefault="004E330D">
    <w:pPr>
      <w:pStyle w:val="Header"/>
    </w:pPr>
    <w:r>
      <w:t xml:space="preserve">Date: </w:t>
    </w:r>
    <w:r w:rsidR="00882F45">
      <w:fldChar w:fldCharType="begin"/>
    </w:r>
    <w:r w:rsidR="00882F45">
      <w:instrText xml:space="preserve"> REF FilingDate </w:instrText>
    </w:r>
    <w:r w:rsidR="00882F45">
      <w:fldChar w:fldCharType="separate"/>
    </w:r>
    <w:r w:rsidR="00614D28">
      <w:t>July 28, 2016</w:t>
    </w:r>
    <w:r w:rsidR="00882F45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051297"/>
    <w:rsid w:val="00001B25"/>
    <w:rsid w:val="00010E37"/>
    <w:rsid w:val="000164EF"/>
    <w:rsid w:val="000167B0"/>
    <w:rsid w:val="000247C5"/>
    <w:rsid w:val="000277C2"/>
    <w:rsid w:val="00035B48"/>
    <w:rsid w:val="00036CE2"/>
    <w:rsid w:val="000437FE"/>
    <w:rsid w:val="00046A6D"/>
    <w:rsid w:val="00051297"/>
    <w:rsid w:val="000513BE"/>
    <w:rsid w:val="00065A06"/>
    <w:rsid w:val="000666F3"/>
    <w:rsid w:val="00070DCB"/>
    <w:rsid w:val="00073120"/>
    <w:rsid w:val="000745F0"/>
    <w:rsid w:val="000764D0"/>
    <w:rsid w:val="000828D3"/>
    <w:rsid w:val="00091BB4"/>
    <w:rsid w:val="0009226B"/>
    <w:rsid w:val="000A2B57"/>
    <w:rsid w:val="000A418B"/>
    <w:rsid w:val="000C4431"/>
    <w:rsid w:val="000D4319"/>
    <w:rsid w:val="000D5A43"/>
    <w:rsid w:val="000F374A"/>
    <w:rsid w:val="00100A7B"/>
    <w:rsid w:val="00117C8C"/>
    <w:rsid w:val="00124E2E"/>
    <w:rsid w:val="00125ED4"/>
    <w:rsid w:val="001305E9"/>
    <w:rsid w:val="001307AF"/>
    <w:rsid w:val="0013425F"/>
    <w:rsid w:val="00135687"/>
    <w:rsid w:val="00151EAB"/>
    <w:rsid w:val="00163031"/>
    <w:rsid w:val="001649D3"/>
    <w:rsid w:val="00165496"/>
    <w:rsid w:val="00171A90"/>
    <w:rsid w:val="00180254"/>
    <w:rsid w:val="00191E1F"/>
    <w:rsid w:val="00192943"/>
    <w:rsid w:val="00193582"/>
    <w:rsid w:val="001A7406"/>
    <w:rsid w:val="001B4FEE"/>
    <w:rsid w:val="001B51C5"/>
    <w:rsid w:val="001B6F3F"/>
    <w:rsid w:val="001C52B5"/>
    <w:rsid w:val="001D0D3E"/>
    <w:rsid w:val="001E4B33"/>
    <w:rsid w:val="001F2245"/>
    <w:rsid w:val="001F6DA1"/>
    <w:rsid w:val="002044E6"/>
    <w:rsid w:val="00205C82"/>
    <w:rsid w:val="00205DC2"/>
    <w:rsid w:val="002163B6"/>
    <w:rsid w:val="00220732"/>
    <w:rsid w:val="00221D32"/>
    <w:rsid w:val="002242B2"/>
    <w:rsid w:val="00225C3F"/>
    <w:rsid w:val="0023021F"/>
    <w:rsid w:val="002562C4"/>
    <w:rsid w:val="0026323E"/>
    <w:rsid w:val="00263D44"/>
    <w:rsid w:val="002702AD"/>
    <w:rsid w:val="00282610"/>
    <w:rsid w:val="00292D82"/>
    <w:rsid w:val="002963CB"/>
    <w:rsid w:val="002A2D3F"/>
    <w:rsid w:val="002D226D"/>
    <w:rsid w:val="002F6030"/>
    <w:rsid w:val="003037E1"/>
    <w:rsid w:val="00306B7C"/>
    <w:rsid w:val="00307E51"/>
    <w:rsid w:val="003103EC"/>
    <w:rsid w:val="003144EF"/>
    <w:rsid w:val="00322F74"/>
    <w:rsid w:val="00340073"/>
    <w:rsid w:val="00340B9A"/>
    <w:rsid w:val="0034671D"/>
    <w:rsid w:val="00354421"/>
    <w:rsid w:val="00361082"/>
    <w:rsid w:val="00372805"/>
    <w:rsid w:val="00373180"/>
    <w:rsid w:val="00375AB9"/>
    <w:rsid w:val="00381C4C"/>
    <w:rsid w:val="003821A0"/>
    <w:rsid w:val="00385B04"/>
    <w:rsid w:val="003864CF"/>
    <w:rsid w:val="003A22A6"/>
    <w:rsid w:val="003A5494"/>
    <w:rsid w:val="003A5951"/>
    <w:rsid w:val="003B12C8"/>
    <w:rsid w:val="003B2510"/>
    <w:rsid w:val="003C2CC4"/>
    <w:rsid w:val="003C554E"/>
    <w:rsid w:val="003C788D"/>
    <w:rsid w:val="003E0EFC"/>
    <w:rsid w:val="003E4A2B"/>
    <w:rsid w:val="003E76C2"/>
    <w:rsid w:val="003F1679"/>
    <w:rsid w:val="003F4A35"/>
    <w:rsid w:val="003F7FDD"/>
    <w:rsid w:val="00402481"/>
    <w:rsid w:val="004042B4"/>
    <w:rsid w:val="00412DAE"/>
    <w:rsid w:val="00431598"/>
    <w:rsid w:val="004426B8"/>
    <w:rsid w:val="00444432"/>
    <w:rsid w:val="00444710"/>
    <w:rsid w:val="00471860"/>
    <w:rsid w:val="004B60BD"/>
    <w:rsid w:val="004C3150"/>
    <w:rsid w:val="004C3641"/>
    <w:rsid w:val="004C4390"/>
    <w:rsid w:val="004C4AF7"/>
    <w:rsid w:val="004C66F1"/>
    <w:rsid w:val="004D2881"/>
    <w:rsid w:val="004D385F"/>
    <w:rsid w:val="004D5B39"/>
    <w:rsid w:val="004E330D"/>
    <w:rsid w:val="004E5147"/>
    <w:rsid w:val="0050652D"/>
    <w:rsid w:val="00506C03"/>
    <w:rsid w:val="00516496"/>
    <w:rsid w:val="0052572A"/>
    <w:rsid w:val="00542B91"/>
    <w:rsid w:val="00543CB3"/>
    <w:rsid w:val="00560FF0"/>
    <w:rsid w:val="005614BD"/>
    <w:rsid w:val="0057154F"/>
    <w:rsid w:val="00581CA3"/>
    <w:rsid w:val="00583AE1"/>
    <w:rsid w:val="00587A44"/>
    <w:rsid w:val="0059147C"/>
    <w:rsid w:val="00597730"/>
    <w:rsid w:val="005977EC"/>
    <w:rsid w:val="00597DE7"/>
    <w:rsid w:val="005A4AA2"/>
    <w:rsid w:val="005B34B6"/>
    <w:rsid w:val="005B6C8F"/>
    <w:rsid w:val="005B6D12"/>
    <w:rsid w:val="005D07DB"/>
    <w:rsid w:val="005D0F74"/>
    <w:rsid w:val="005D2E7D"/>
    <w:rsid w:val="005D385F"/>
    <w:rsid w:val="005D4A8F"/>
    <w:rsid w:val="005D561B"/>
    <w:rsid w:val="005E6E3D"/>
    <w:rsid w:val="005F468D"/>
    <w:rsid w:val="005F69A3"/>
    <w:rsid w:val="00613B27"/>
    <w:rsid w:val="00614D28"/>
    <w:rsid w:val="00615423"/>
    <w:rsid w:val="006165B2"/>
    <w:rsid w:val="00617276"/>
    <w:rsid w:val="00625D97"/>
    <w:rsid w:val="00625F1C"/>
    <w:rsid w:val="00630CEB"/>
    <w:rsid w:val="00632264"/>
    <w:rsid w:val="006470BC"/>
    <w:rsid w:val="00667036"/>
    <w:rsid w:val="00673487"/>
    <w:rsid w:val="00673BDB"/>
    <w:rsid w:val="006771B8"/>
    <w:rsid w:val="0068481F"/>
    <w:rsid w:val="00696F5D"/>
    <w:rsid w:val="006970DB"/>
    <w:rsid w:val="00697249"/>
    <w:rsid w:val="006B3947"/>
    <w:rsid w:val="006B4293"/>
    <w:rsid w:val="006B624F"/>
    <w:rsid w:val="006C31E3"/>
    <w:rsid w:val="006D08DD"/>
    <w:rsid w:val="006E08CB"/>
    <w:rsid w:val="006E598D"/>
    <w:rsid w:val="006F06C9"/>
    <w:rsid w:val="0070437D"/>
    <w:rsid w:val="00705B04"/>
    <w:rsid w:val="00725875"/>
    <w:rsid w:val="00734820"/>
    <w:rsid w:val="007349DC"/>
    <w:rsid w:val="00741463"/>
    <w:rsid w:val="00742693"/>
    <w:rsid w:val="0074365E"/>
    <w:rsid w:val="007515FD"/>
    <w:rsid w:val="00760D80"/>
    <w:rsid w:val="00780C09"/>
    <w:rsid w:val="00780DDF"/>
    <w:rsid w:val="007834E9"/>
    <w:rsid w:val="00787DBC"/>
    <w:rsid w:val="00792935"/>
    <w:rsid w:val="007A04A1"/>
    <w:rsid w:val="007A1840"/>
    <w:rsid w:val="007A5552"/>
    <w:rsid w:val="007B041A"/>
    <w:rsid w:val="007C0528"/>
    <w:rsid w:val="007C3D38"/>
    <w:rsid w:val="007D0F35"/>
    <w:rsid w:val="007D4FEB"/>
    <w:rsid w:val="007D6146"/>
    <w:rsid w:val="007E0CE7"/>
    <w:rsid w:val="007F1193"/>
    <w:rsid w:val="007F417F"/>
    <w:rsid w:val="008042BD"/>
    <w:rsid w:val="00816624"/>
    <w:rsid w:val="00822427"/>
    <w:rsid w:val="00822562"/>
    <w:rsid w:val="00823663"/>
    <w:rsid w:val="00832DDC"/>
    <w:rsid w:val="00850BAC"/>
    <w:rsid w:val="00854A3E"/>
    <w:rsid w:val="00855D08"/>
    <w:rsid w:val="00874344"/>
    <w:rsid w:val="008767E8"/>
    <w:rsid w:val="00876F7F"/>
    <w:rsid w:val="00882155"/>
    <w:rsid w:val="0088233B"/>
    <w:rsid w:val="0088599E"/>
    <w:rsid w:val="00886C37"/>
    <w:rsid w:val="00892D99"/>
    <w:rsid w:val="008B62AE"/>
    <w:rsid w:val="008C04B5"/>
    <w:rsid w:val="008C14FA"/>
    <w:rsid w:val="008C6161"/>
    <w:rsid w:val="008D4057"/>
    <w:rsid w:val="008E1F19"/>
    <w:rsid w:val="008F2262"/>
    <w:rsid w:val="008F7736"/>
    <w:rsid w:val="0090019E"/>
    <w:rsid w:val="00901086"/>
    <w:rsid w:val="00901C8A"/>
    <w:rsid w:val="00905633"/>
    <w:rsid w:val="00905886"/>
    <w:rsid w:val="009070D6"/>
    <w:rsid w:val="009076C6"/>
    <w:rsid w:val="0091019E"/>
    <w:rsid w:val="009106F1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B0548"/>
    <w:rsid w:val="009C3DB9"/>
    <w:rsid w:val="009D46E5"/>
    <w:rsid w:val="009D568A"/>
    <w:rsid w:val="009F04EC"/>
    <w:rsid w:val="009F3B36"/>
    <w:rsid w:val="00A019B9"/>
    <w:rsid w:val="00A12508"/>
    <w:rsid w:val="00A1282B"/>
    <w:rsid w:val="00A13A27"/>
    <w:rsid w:val="00A175B6"/>
    <w:rsid w:val="00A21835"/>
    <w:rsid w:val="00A27D6E"/>
    <w:rsid w:val="00A328EC"/>
    <w:rsid w:val="00A33A51"/>
    <w:rsid w:val="00A352D2"/>
    <w:rsid w:val="00A41CA6"/>
    <w:rsid w:val="00A47927"/>
    <w:rsid w:val="00A47FFC"/>
    <w:rsid w:val="00A53071"/>
    <w:rsid w:val="00A54150"/>
    <w:rsid w:val="00A5442F"/>
    <w:rsid w:val="00A54FF9"/>
    <w:rsid w:val="00A56765"/>
    <w:rsid w:val="00A675AC"/>
    <w:rsid w:val="00A7581F"/>
    <w:rsid w:val="00A92FB1"/>
    <w:rsid w:val="00A958B5"/>
    <w:rsid w:val="00A95A0C"/>
    <w:rsid w:val="00AA1953"/>
    <w:rsid w:val="00AA2765"/>
    <w:rsid w:val="00AA77B5"/>
    <w:rsid w:val="00AB043E"/>
    <w:rsid w:val="00AB6C5D"/>
    <w:rsid w:val="00AC51A7"/>
    <w:rsid w:val="00AC5C4A"/>
    <w:rsid w:val="00AD444B"/>
    <w:rsid w:val="00AD6C78"/>
    <w:rsid w:val="00AE2EAB"/>
    <w:rsid w:val="00AF5F89"/>
    <w:rsid w:val="00AF73CB"/>
    <w:rsid w:val="00B002D6"/>
    <w:rsid w:val="00B05AA5"/>
    <w:rsid w:val="00B05B51"/>
    <w:rsid w:val="00B15370"/>
    <w:rsid w:val="00B17BEB"/>
    <w:rsid w:val="00B21A3C"/>
    <w:rsid w:val="00B223C0"/>
    <w:rsid w:val="00B234ED"/>
    <w:rsid w:val="00B25CA3"/>
    <w:rsid w:val="00B33728"/>
    <w:rsid w:val="00B3627F"/>
    <w:rsid w:val="00B42D72"/>
    <w:rsid w:val="00B57A6A"/>
    <w:rsid w:val="00B57C4B"/>
    <w:rsid w:val="00B760F1"/>
    <w:rsid w:val="00B7669E"/>
    <w:rsid w:val="00B77DA1"/>
    <w:rsid w:val="00B85450"/>
    <w:rsid w:val="00BA0D55"/>
    <w:rsid w:val="00BA211D"/>
    <w:rsid w:val="00BA37B3"/>
    <w:rsid w:val="00BA4CC6"/>
    <w:rsid w:val="00BB3493"/>
    <w:rsid w:val="00BB7468"/>
    <w:rsid w:val="00BC188A"/>
    <w:rsid w:val="00BF5010"/>
    <w:rsid w:val="00C1107B"/>
    <w:rsid w:val="00C13791"/>
    <w:rsid w:val="00C31BB3"/>
    <w:rsid w:val="00C36977"/>
    <w:rsid w:val="00C477D9"/>
    <w:rsid w:val="00C60BA3"/>
    <w:rsid w:val="00C623F7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2C8F"/>
    <w:rsid w:val="00CA30DA"/>
    <w:rsid w:val="00CA3A24"/>
    <w:rsid w:val="00CB1777"/>
    <w:rsid w:val="00CB33E9"/>
    <w:rsid w:val="00CC10A9"/>
    <w:rsid w:val="00CE2BF8"/>
    <w:rsid w:val="00CE3C82"/>
    <w:rsid w:val="00CE3EAF"/>
    <w:rsid w:val="00CE484E"/>
    <w:rsid w:val="00CF0DA8"/>
    <w:rsid w:val="00CF2E25"/>
    <w:rsid w:val="00CF4453"/>
    <w:rsid w:val="00CF5D94"/>
    <w:rsid w:val="00D034D7"/>
    <w:rsid w:val="00D04BE4"/>
    <w:rsid w:val="00D12565"/>
    <w:rsid w:val="00D12A68"/>
    <w:rsid w:val="00D14127"/>
    <w:rsid w:val="00D52B52"/>
    <w:rsid w:val="00D60F02"/>
    <w:rsid w:val="00D66E49"/>
    <w:rsid w:val="00D72F74"/>
    <w:rsid w:val="00D81563"/>
    <w:rsid w:val="00D85907"/>
    <w:rsid w:val="00D9073E"/>
    <w:rsid w:val="00D9221D"/>
    <w:rsid w:val="00D9481D"/>
    <w:rsid w:val="00D958DF"/>
    <w:rsid w:val="00D96DA1"/>
    <w:rsid w:val="00DA3A88"/>
    <w:rsid w:val="00DA51E7"/>
    <w:rsid w:val="00DB1C78"/>
    <w:rsid w:val="00DB7D96"/>
    <w:rsid w:val="00DC23FE"/>
    <w:rsid w:val="00DC59E6"/>
    <w:rsid w:val="00DC6BD5"/>
    <w:rsid w:val="00DD150B"/>
    <w:rsid w:val="00DD5025"/>
    <w:rsid w:val="00DF1510"/>
    <w:rsid w:val="00E06484"/>
    <w:rsid w:val="00E20A7D"/>
    <w:rsid w:val="00E275D8"/>
    <w:rsid w:val="00E375CA"/>
    <w:rsid w:val="00E53FD1"/>
    <w:rsid w:val="00E567E8"/>
    <w:rsid w:val="00E64679"/>
    <w:rsid w:val="00E65EBC"/>
    <w:rsid w:val="00E71563"/>
    <w:rsid w:val="00E73432"/>
    <w:rsid w:val="00E77B0C"/>
    <w:rsid w:val="00E77FB8"/>
    <w:rsid w:val="00E838B0"/>
    <w:rsid w:val="00E86A7C"/>
    <w:rsid w:val="00E878E1"/>
    <w:rsid w:val="00E87F2C"/>
    <w:rsid w:val="00E904D5"/>
    <w:rsid w:val="00E95278"/>
    <w:rsid w:val="00EA2273"/>
    <w:rsid w:val="00EB18C8"/>
    <w:rsid w:val="00EB2DB3"/>
    <w:rsid w:val="00EC3FBB"/>
    <w:rsid w:val="00EC6B7A"/>
    <w:rsid w:val="00ED3A87"/>
    <w:rsid w:val="00ED5B67"/>
    <w:rsid w:val="00EE27AC"/>
    <w:rsid w:val="00EF264C"/>
    <w:rsid w:val="00EF3FEE"/>
    <w:rsid w:val="00F04B59"/>
    <w:rsid w:val="00F11741"/>
    <w:rsid w:val="00F12B1C"/>
    <w:rsid w:val="00F13CF8"/>
    <w:rsid w:val="00F15855"/>
    <w:rsid w:val="00F3067D"/>
    <w:rsid w:val="00F32978"/>
    <w:rsid w:val="00F45CB2"/>
    <w:rsid w:val="00F544C0"/>
    <w:rsid w:val="00F55332"/>
    <w:rsid w:val="00F65519"/>
    <w:rsid w:val="00F65BB8"/>
    <w:rsid w:val="00F713C0"/>
    <w:rsid w:val="00F75DDC"/>
    <w:rsid w:val="00F7792F"/>
    <w:rsid w:val="00F842AA"/>
    <w:rsid w:val="00F8476F"/>
    <w:rsid w:val="00F853E1"/>
    <w:rsid w:val="00F94B7A"/>
    <w:rsid w:val="00FA17AC"/>
    <w:rsid w:val="00FA32DE"/>
    <w:rsid w:val="00FA3382"/>
    <w:rsid w:val="00FA59CD"/>
    <w:rsid w:val="00FA7C94"/>
    <w:rsid w:val="00FB1740"/>
    <w:rsid w:val="00FC5469"/>
    <w:rsid w:val="00FC6D7D"/>
    <w:rsid w:val="00FD16B0"/>
    <w:rsid w:val="00FD4FED"/>
    <w:rsid w:val="00FE0577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4</Pages>
  <Words>901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Julie Phillips</dc:creator>
  <cp:lastModifiedBy>Julie Phillips</cp:lastModifiedBy>
  <cp:revision>2</cp:revision>
  <cp:lastPrinted>2016-07-27T13:01:00Z</cp:lastPrinted>
  <dcterms:created xsi:type="dcterms:W3CDTF">2016-07-28T12:44:00Z</dcterms:created>
  <dcterms:modified xsi:type="dcterms:W3CDTF">2016-07-28T12:44:00Z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150001-EI</vt:lpwstr>
  </property>
  <property fmtid="{D5CDD505-2E9C-101B-9397-08002B2CF9AE}" pid="3" name="MasterDocument">
    <vt:bool>false</vt:bool>
  </property>
</Properties>
</file>