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2555D8">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B2560C" w:rsidRDefault="006A2F3B" w:rsidP="0071367C">
            <w:pPr>
              <w:pStyle w:val="MemoHeading"/>
              <w:rPr>
                <w:strike/>
              </w:rPr>
            </w:pPr>
            <w:r>
              <w:t>September 29</w:t>
            </w:r>
            <w:r w:rsidR="00B2560C">
              <w:t>, 2016</w:t>
            </w:r>
            <w:r w:rsidR="00B2560C">
              <w:rPr>
                <w:strike/>
              </w:rPr>
              <w:t xml:space="preserve"> </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555D8" w:rsidRDefault="002555D8">
            <w:pPr>
              <w:pStyle w:val="MemoHeading"/>
            </w:pPr>
            <w:bookmarkStart w:id="1" w:name="From"/>
            <w:r>
              <w:t>Division of Engineering (</w:t>
            </w:r>
            <w:r w:rsidR="00B7630F">
              <w:t xml:space="preserve">M. </w:t>
            </w:r>
            <w:r>
              <w:t>Watts)</w:t>
            </w:r>
          </w:p>
          <w:p w:rsidR="002555D8" w:rsidRDefault="002555D8">
            <w:pPr>
              <w:pStyle w:val="MemoHeading"/>
            </w:pPr>
            <w:r>
              <w:t>Division of Accounting and Finance (Frank, Norris)</w:t>
            </w:r>
          </w:p>
          <w:p w:rsidR="002555D8" w:rsidRDefault="002555D8">
            <w:pPr>
              <w:pStyle w:val="MemoHeading"/>
            </w:pPr>
            <w:r>
              <w:t>Division of Economics (Johnson)</w:t>
            </w:r>
          </w:p>
          <w:p w:rsidR="007C0528" w:rsidRDefault="002555D8">
            <w:pPr>
              <w:pStyle w:val="MemoHeading"/>
            </w:pPr>
            <w:r>
              <w:t>Office of the General Counsel (Janjic)</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555D8">
            <w:pPr>
              <w:pStyle w:val="MemoHeadingRe"/>
            </w:pPr>
            <w:bookmarkStart w:id="2" w:name="Re"/>
            <w:r>
              <w:t>Docket No. 150012-WU – Application for transfer of Certificate 390-W from County-Wide Utility Co., Inc. to Southwest Ocala Utility, Inc. in Marion County.</w:t>
            </w:r>
            <w:bookmarkEnd w:id="2"/>
          </w:p>
        </w:tc>
      </w:tr>
      <w:tr w:rsidR="007C0528" w:rsidTr="005A0D00">
        <w:trPr>
          <w:trHeight w:val="639"/>
        </w:trPr>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A2F3B" w:rsidP="0071367C">
            <w:pPr>
              <w:pStyle w:val="MemoHeading"/>
            </w:pPr>
            <w:r>
              <w:t>10/11/</w:t>
            </w:r>
            <w:r w:rsidR="00B2560C">
              <w:t>16</w:t>
            </w:r>
            <w:r w:rsidR="00B7630F">
              <w:t xml:space="preserve"> </w:t>
            </w:r>
            <w:r w:rsidR="007C0528">
              <w:t xml:space="preserve">– </w:t>
            </w:r>
            <w:r w:rsidR="00B7630F" w:rsidRPr="00B7630F">
              <w:t>Regular Agenda – Proposed Agency Action for Issues 2 and 3 –  Interested Persons May Participate</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555D8">
            <w:pPr>
              <w:pStyle w:val="MemoHeading"/>
            </w:pPr>
            <w:bookmarkStart w:id="3" w:name="CommissionersAssigned"/>
            <w:r>
              <w:t>All Commissioners</w:t>
            </w:r>
            <w:bookmarkEnd w:id="3"/>
          </w:p>
        </w:tc>
      </w:tr>
      <w:tr w:rsidR="007C0528" w:rsidTr="0071367C">
        <w:trPr>
          <w:trHeight w:val="684"/>
        </w:trPr>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555D8">
            <w:pPr>
              <w:pStyle w:val="MemoHeading"/>
            </w:pPr>
            <w:bookmarkStart w:id="4" w:name="PrehearingOfficer"/>
            <w:r>
              <w:t>Brisé</w:t>
            </w:r>
            <w:bookmarkEnd w:id="4"/>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5" w:name="CriticalDatesLabel"/>
            <w:r>
              <w:t>CRITICAL DATES:</w:t>
            </w:r>
            <w:bookmarkEnd w:id="5"/>
          </w:p>
        </w:tc>
        <w:tc>
          <w:tcPr>
            <w:tcW w:w="5785" w:type="dxa"/>
            <w:tcBorders>
              <w:top w:val="nil"/>
              <w:left w:val="nil"/>
              <w:bottom w:val="nil"/>
              <w:right w:val="nil"/>
            </w:tcBorders>
            <w:shd w:val="clear" w:color="auto" w:fill="auto"/>
          </w:tcPr>
          <w:p w:rsidR="007C0528" w:rsidRDefault="002555D8">
            <w:pPr>
              <w:pStyle w:val="MemoHeading"/>
            </w:pPr>
            <w:bookmarkStart w:id="6" w:name="CriticalDates"/>
            <w:r>
              <w:t>None</w:t>
            </w:r>
            <w:bookmarkEnd w:id="6"/>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555D8">
            <w:pPr>
              <w:pStyle w:val="MemoHeading"/>
            </w:pPr>
            <w:bookmarkStart w:id="7" w:name="SpecialInstructions"/>
            <w:r>
              <w:t>None</w:t>
            </w:r>
            <w:bookmarkEnd w:id="7"/>
          </w:p>
        </w:tc>
      </w:tr>
    </w:tbl>
    <w:p w:rsidR="007C0528" w:rsidRDefault="007C0528">
      <w:pPr>
        <w:pStyle w:val="BodyText"/>
      </w:pPr>
    </w:p>
    <w:p w:rsidR="007C0528" w:rsidRDefault="007C0528">
      <w:pPr>
        <w:pStyle w:val="RecommendationMajorSectionHeading"/>
      </w:pPr>
      <w:bookmarkStart w:id="8" w:name="RecToC"/>
      <w:bookmarkEnd w:id="8"/>
      <w:r>
        <w:t xml:space="preserve"> </w:t>
      </w:r>
      <w:bookmarkStart w:id="9" w:name="CaseBackground"/>
      <w:r>
        <w:t>Case Background</w:t>
      </w:r>
      <w:r>
        <w:fldChar w:fldCharType="begin"/>
      </w:r>
      <w:r>
        <w:instrText xml:space="preserve"> TC  "</w:instrText>
      </w:r>
      <w:r>
        <w:tab/>
      </w:r>
      <w:bookmarkStart w:id="10" w:name="_Toc94516455"/>
      <w:r>
        <w:instrText>Case Background</w:instrText>
      </w:r>
      <w:bookmarkEnd w:id="10"/>
      <w:r>
        <w:instrText xml:space="preserve">" \l 1 </w:instrText>
      </w:r>
      <w:r>
        <w:fldChar w:fldCharType="end"/>
      </w:r>
    </w:p>
    <w:p w:rsidR="00CB3FD3" w:rsidRPr="00CB3FD3" w:rsidRDefault="00CB3FD3" w:rsidP="00CB3FD3">
      <w:pPr>
        <w:pStyle w:val="BodyText"/>
      </w:pPr>
      <w:r w:rsidRPr="00CB3FD3">
        <w:t xml:space="preserve">On January 2, 2015, County-Wide Utility Co., Inc. (County-Wide or </w:t>
      </w:r>
      <w:r w:rsidR="00DA1326">
        <w:t>S</w:t>
      </w:r>
      <w:r w:rsidRPr="00CB3FD3">
        <w:t xml:space="preserve">eller) filed an application for the transfer of Certificate No. 390-W to Southwest Ocala Utility, Inc. (SOU, Utility, or </w:t>
      </w:r>
      <w:r w:rsidR="00DA1326">
        <w:t>B</w:t>
      </w:r>
      <w:r w:rsidRPr="00CB3FD3">
        <w:t>uyer) in Marion County. County-Wide is a Class C Utility which only provides water service. The service area is located in the St. Johns River Water Management District (SJRWMD), and is not in a water use caution area. According to County-Wide’s 2014 Annual Report, the Utility serves 539 residential customers, three general service customers, and had total revenues of $139,624.</w:t>
      </w:r>
    </w:p>
    <w:p w:rsidR="00CB3FD3" w:rsidRDefault="00CB3FD3" w:rsidP="00CB3FD3">
      <w:pPr>
        <w:pStyle w:val="BodyText"/>
      </w:pPr>
      <w:r w:rsidRPr="00CB3FD3">
        <w:lastRenderedPageBreak/>
        <w:t>Certificate No. 390-W was originally granted in 1983 under the name of Bahia Oaks, Inc. d/b/a County-Wide Utility Company, Inc.</w:t>
      </w:r>
      <w:r w:rsidRPr="00CB3FD3">
        <w:rPr>
          <w:vertAlign w:val="superscript"/>
        </w:rPr>
        <w:footnoteReference w:id="1"/>
      </w:r>
      <w:r w:rsidRPr="00CB3FD3">
        <w:t xml:space="preserve"> In 1997, the Commission extended County-Wide’s territory to include Units Three, Four, and Five of the Bahia Oaks Subdivision.</w:t>
      </w:r>
      <w:r w:rsidRPr="00CB3FD3">
        <w:rPr>
          <w:vertAlign w:val="superscript"/>
        </w:rPr>
        <w:footnoteReference w:id="2"/>
      </w:r>
      <w:r w:rsidRPr="00CB3FD3">
        <w:t xml:space="preserve"> Water rates for the Utility were last approved in a 200</w:t>
      </w:r>
      <w:r w:rsidR="00A46474">
        <w:t>5</w:t>
      </w:r>
      <w:r w:rsidRPr="00CB3FD3">
        <w:t xml:space="preserve"> staff assisted rate case</w:t>
      </w:r>
      <w:r w:rsidR="00A46474">
        <w:t xml:space="preserve"> (the 2005 SARC.)</w:t>
      </w:r>
      <w:r w:rsidRPr="00CB3FD3">
        <w:rPr>
          <w:vertAlign w:val="superscript"/>
        </w:rPr>
        <w:footnoteReference w:id="3"/>
      </w:r>
    </w:p>
    <w:p w:rsidR="00CB3FD3" w:rsidRPr="00CB3FD3" w:rsidRDefault="00CB3FD3" w:rsidP="00CB3FD3">
      <w:pPr>
        <w:pStyle w:val="BodyText"/>
      </w:pPr>
      <w:r w:rsidRPr="005F0E5E">
        <w:t xml:space="preserve">In order to address additional concerns regarding the Utility, staff deferred this item from the May 5, 2016 Agenda Conference. </w:t>
      </w:r>
      <w:r w:rsidR="00B7630F" w:rsidRPr="005F0E5E">
        <w:t>Staff he</w:t>
      </w:r>
      <w:r w:rsidRPr="005F0E5E">
        <w:t xml:space="preserve">ld an additional informal conference with the parties </w:t>
      </w:r>
      <w:r w:rsidR="00B7630F" w:rsidRPr="005F0E5E">
        <w:t>on May 17, 2016, to allow the Utility to more fully state its position for staff’s due consideration</w:t>
      </w:r>
      <w:r w:rsidRPr="005F0E5E">
        <w:t>.</w:t>
      </w:r>
    </w:p>
    <w:p w:rsidR="0068481F" w:rsidRDefault="00CB3FD3" w:rsidP="00CB3FD3">
      <w:pPr>
        <w:pStyle w:val="BodyText"/>
      </w:pPr>
      <w:r w:rsidRPr="00CB3FD3">
        <w:t xml:space="preserve">This </w:t>
      </w:r>
      <w:r w:rsidR="00A46474">
        <w:t xml:space="preserve">revised </w:t>
      </w:r>
      <w:r w:rsidRPr="00CB3FD3">
        <w:t>recommendation addresses the transfer of County-Wide’s water system under Certificate No. 390-W, the net book value of the water system at the time of transfer, and whether an acquisition adjustment should be approved. The Commission has jurisdiction pursuant to Section 367.071, Florida Statutes (F.S</w:t>
      </w:r>
      <w:r>
        <w:t>.).</w:t>
      </w:r>
    </w:p>
    <w:p w:rsidR="007C0528" w:rsidRDefault="007C0528" w:rsidP="0068481F"/>
    <w:bookmarkEnd w:id="9"/>
    <w:p w:rsidR="00EA2273" w:rsidRDefault="00EA2273">
      <w:pPr>
        <w:pStyle w:val="RecommendationMajorSectionHeading"/>
        <w:sectPr w:rsidR="00EA2273">
          <w:headerReference w:type="default" r:id="rId10"/>
          <w:footerReference w:type="default" r:id="rId11"/>
          <w:headerReference w:type="first" r:id="rId12"/>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3" w:name="DiscussionOfIssues"/>
      <w:r>
        <w:lastRenderedPageBreak/>
        <w:t>Discussion of Issues</w:t>
      </w:r>
    </w:p>
    <w:bookmarkEnd w:id="13"/>
    <w:p w:rsidR="002555D8" w:rsidRDefault="002555D8">
      <w:pPr>
        <w:pStyle w:val="IssueHeading"/>
        <w:rPr>
          <w:vanish/>
          <w:specVanish/>
        </w:rPr>
      </w:pPr>
      <w:r w:rsidRPr="004C3641">
        <w:t xml:space="preserve">Issue </w:t>
      </w:r>
      <w:fldSimple w:instr=" SEQ Issue \* MERGEFORMAT ">
        <w:r w:rsidR="00EE60A2">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EE60A2">
        <w:rPr>
          <w:noProof/>
        </w:rPr>
        <w:instrText>1</w:instrText>
      </w:r>
      <w:r>
        <w:fldChar w:fldCharType="end"/>
      </w:r>
      <w:r>
        <w:tab/>
        <w:instrText xml:space="preserve">" \l 1 </w:instrText>
      </w:r>
      <w:r>
        <w:fldChar w:fldCharType="end"/>
      </w:r>
      <w:r>
        <w:t> </w:t>
      </w:r>
    </w:p>
    <w:p w:rsidR="002555D8" w:rsidRDefault="002555D8">
      <w:pPr>
        <w:pStyle w:val="BodyText"/>
      </w:pPr>
      <w:r>
        <w:t> </w:t>
      </w:r>
      <w:r w:rsidR="006C69F7">
        <w:t>Should the Commission approve the transfer of County-Wide Utility Co., Inc.’s water system and Certificate No. 390-W to Southwest Ocala Utility, Inc</w:t>
      </w:r>
      <w:r w:rsidR="001929EA">
        <w:t>.</w:t>
      </w:r>
      <w:r w:rsidR="006C69F7">
        <w:t>?</w:t>
      </w:r>
    </w:p>
    <w:p w:rsidR="002555D8" w:rsidRPr="004C3641" w:rsidRDefault="002555D8">
      <w:pPr>
        <w:pStyle w:val="IssueSubsectionHeading"/>
        <w:rPr>
          <w:vanish/>
          <w:specVanish/>
        </w:rPr>
      </w:pPr>
      <w:r w:rsidRPr="004C3641">
        <w:t>Recommendation: </w:t>
      </w:r>
    </w:p>
    <w:p w:rsidR="002555D8" w:rsidRDefault="002555D8">
      <w:pPr>
        <w:pStyle w:val="BodyText"/>
      </w:pPr>
      <w:r>
        <w:t> </w:t>
      </w:r>
      <w:r w:rsidR="001929EA">
        <w:t xml:space="preserve">Yes. </w:t>
      </w:r>
      <w:r w:rsidR="001929EA" w:rsidRPr="00541C40">
        <w:t>The transfer of</w:t>
      </w:r>
      <w:r w:rsidR="001929EA">
        <w:t xml:space="preserve"> County-Wide’s water system and the transfer of Certificate No. 390-W to SOU </w:t>
      </w:r>
      <w:r w:rsidR="001929EA" w:rsidRPr="00541C40">
        <w:t xml:space="preserve">is in the public interest and should be approved effective the date of the Commission’s vote. </w:t>
      </w:r>
      <w:r w:rsidR="001929EA">
        <w:t xml:space="preserve">The resultant order should serve as </w:t>
      </w:r>
      <w:r w:rsidR="001929EA" w:rsidRPr="00B42F17">
        <w:t>SOU</w:t>
      </w:r>
      <w:r w:rsidR="001929EA">
        <w:t xml:space="preserve">’s certificate and should </w:t>
      </w:r>
      <w:r w:rsidR="001929EA" w:rsidRPr="00541C40">
        <w:t xml:space="preserve">be retained by the </w:t>
      </w:r>
      <w:r w:rsidR="001929EA">
        <w:t>U</w:t>
      </w:r>
      <w:r w:rsidR="001929EA" w:rsidRPr="00541C40">
        <w:t xml:space="preserve">tility. </w:t>
      </w:r>
      <w:r w:rsidR="001929EA" w:rsidRPr="000A548E">
        <w:t xml:space="preserve">The existing rates and charges should remain in effect until a change is authorized by the Commission in a subsequent proceeding. </w:t>
      </w:r>
      <w:r w:rsidR="001929EA">
        <w:t>The tariffs reflecting the transfer should be effective for services rendered or connections made on or after the stamped approval date on the tariffs pursuant to Rule 25-30.475,</w:t>
      </w:r>
      <w:r w:rsidR="001929EA" w:rsidRPr="00B92A5F">
        <w:t xml:space="preserve"> </w:t>
      </w:r>
      <w:r w:rsidR="001929EA">
        <w:t>Florida Administrative Code (F.A.C.)</w:t>
      </w:r>
      <w:r w:rsidR="00DA1326">
        <w:t>.</w:t>
      </w:r>
      <w:r w:rsidR="001929EA">
        <w:t xml:space="preserve"> </w:t>
      </w:r>
      <w:r w:rsidR="001929EA">
        <w:rPr>
          <w:rStyle w:val="CharChar"/>
        </w:rPr>
        <w:t>SOU</w:t>
      </w:r>
      <w:r w:rsidR="001929EA" w:rsidRPr="00132751">
        <w:rPr>
          <w:rStyle w:val="CharChar"/>
        </w:rPr>
        <w:t xml:space="preserve"> </w:t>
      </w:r>
      <w:r w:rsidR="001929EA">
        <w:rPr>
          <w:rStyle w:val="CharChar"/>
        </w:rPr>
        <w:t>should</w:t>
      </w:r>
      <w:r w:rsidR="001929EA" w:rsidRPr="00132751">
        <w:rPr>
          <w:rStyle w:val="CharChar"/>
        </w:rPr>
        <w:t xml:space="preserve"> be responsible for filing the </w:t>
      </w:r>
      <w:r w:rsidR="001929EA">
        <w:rPr>
          <w:rStyle w:val="CharChar"/>
        </w:rPr>
        <w:t>U</w:t>
      </w:r>
      <w:r w:rsidR="001929EA" w:rsidRPr="00132751">
        <w:rPr>
          <w:rStyle w:val="CharChar"/>
        </w:rPr>
        <w:t>tili</w:t>
      </w:r>
      <w:r w:rsidR="00DA1326">
        <w:rPr>
          <w:rStyle w:val="CharChar"/>
        </w:rPr>
        <w:t>ty’s annual reports and paying regulatory assessment fee</w:t>
      </w:r>
      <w:r w:rsidR="001929EA" w:rsidRPr="00132751">
        <w:rPr>
          <w:rStyle w:val="CharChar"/>
        </w:rPr>
        <w:t>s for 2015 and all future years</w:t>
      </w:r>
      <w:r w:rsidR="001929EA">
        <w:rPr>
          <w:rStyle w:val="CharChar"/>
        </w:rPr>
        <w:t>.</w:t>
      </w:r>
      <w:r w:rsidR="001929EA">
        <w:t xml:space="preserve"> (M. Watts, Frank, Johnson)</w:t>
      </w:r>
      <w:r>
        <w:t xml:space="preserve"> </w:t>
      </w:r>
    </w:p>
    <w:p w:rsidR="002555D8" w:rsidRPr="004C3641" w:rsidRDefault="002555D8">
      <w:pPr>
        <w:pStyle w:val="IssueSubsectionHeading"/>
        <w:rPr>
          <w:vanish/>
          <w:specVanish/>
        </w:rPr>
      </w:pPr>
      <w:r w:rsidRPr="004C3641">
        <w:t>Staff Analysis: </w:t>
      </w:r>
    </w:p>
    <w:p w:rsidR="001929EA" w:rsidRDefault="002555D8" w:rsidP="001929EA">
      <w:pPr>
        <w:pStyle w:val="BodyText"/>
      </w:pPr>
      <w:r>
        <w:t> </w:t>
      </w:r>
      <w:r w:rsidR="001929EA">
        <w:t>On January 2, 2015, County-Wide</w:t>
      </w:r>
      <w:r w:rsidR="001929EA" w:rsidRPr="00A158C4">
        <w:t xml:space="preserve"> filed an application for approval of the transfer of </w:t>
      </w:r>
      <w:r w:rsidR="001929EA">
        <w:t>its water system and</w:t>
      </w:r>
      <w:r w:rsidR="001929EA" w:rsidRPr="005C7E3E">
        <w:t xml:space="preserve"> Certificate No.</w:t>
      </w:r>
      <w:r w:rsidR="001929EA">
        <w:t xml:space="preserve"> 390</w:t>
      </w:r>
      <w:r w:rsidR="001929EA" w:rsidRPr="005C7E3E">
        <w:t xml:space="preserve">-W </w:t>
      </w:r>
      <w:r w:rsidR="001929EA">
        <w:t xml:space="preserve">to </w:t>
      </w:r>
      <w:r w:rsidR="001929EA" w:rsidRPr="00B42F17">
        <w:t>SOU</w:t>
      </w:r>
      <w:r w:rsidR="001929EA">
        <w:t>. The application is in compliance with the governing Statute, Section 367.071, F.S., and Administrative Rules concerning applications for transfer of certificates. However, as discussed below, there is disagreement between staff and the Utility over the appropriate purchase price.</w:t>
      </w:r>
    </w:p>
    <w:p w:rsidR="001929EA" w:rsidRPr="000C52D6" w:rsidRDefault="001929EA" w:rsidP="001929EA">
      <w:pPr>
        <w:jc w:val="both"/>
        <w:rPr>
          <w:rFonts w:ascii="Arial" w:hAnsi="Arial" w:cs="Arial"/>
          <w:b/>
        </w:rPr>
      </w:pPr>
      <w:r w:rsidRPr="000C52D6">
        <w:rPr>
          <w:rFonts w:ascii="Arial" w:hAnsi="Arial" w:cs="Arial"/>
          <w:b/>
        </w:rPr>
        <w:t>Noticing, Territory, and Land Ownership</w:t>
      </w:r>
    </w:p>
    <w:p w:rsidR="001929EA" w:rsidRPr="0062646B" w:rsidRDefault="001929EA" w:rsidP="001929EA">
      <w:pPr>
        <w:pStyle w:val="BodyText"/>
      </w:pPr>
      <w:r w:rsidRPr="000C52D6">
        <w:t xml:space="preserve">The application contains proof of compliance with the noticing provisions set forth in Section 367.071, F.S., and Rule 25-30.030, F.A.C. No objections to the transfer were filed with the Commission and the time for doing so has expired. The application contains a description of the Utility’s water service territory, which is appended to this recommendation as Attachment A. As the Utility is a reseller of bulk water purchased from the City of Ocala, it has no water treatment facilities. Therefore, no proof of land ownership pursuant to Rule 25-30.037(2)(s), F.A.C., is </w:t>
      </w:r>
      <w:r w:rsidRPr="0062646B">
        <w:t>required.</w:t>
      </w:r>
    </w:p>
    <w:p w:rsidR="001929EA" w:rsidRPr="0062646B" w:rsidRDefault="001929EA" w:rsidP="001929EA">
      <w:pPr>
        <w:jc w:val="both"/>
        <w:rPr>
          <w:rFonts w:ascii="Arial" w:hAnsi="Arial" w:cs="Arial"/>
          <w:b/>
        </w:rPr>
      </w:pPr>
      <w:r w:rsidRPr="0062646B">
        <w:rPr>
          <w:rFonts w:ascii="Arial" w:hAnsi="Arial" w:cs="Arial"/>
          <w:b/>
        </w:rPr>
        <w:t>Purchase Agreement and Financing</w:t>
      </w:r>
    </w:p>
    <w:p w:rsidR="00277C07" w:rsidRDefault="001929EA" w:rsidP="001929EA">
      <w:pPr>
        <w:jc w:val="both"/>
        <w:rPr>
          <w:rFonts w:eastAsiaTheme="minorHAnsi"/>
        </w:rPr>
      </w:pPr>
      <w:r w:rsidRPr="0062646B">
        <w:t>Pursuant to Rule</w:t>
      </w:r>
      <w:r w:rsidR="00233896">
        <w:t>s</w:t>
      </w:r>
      <w:r w:rsidRPr="0062646B">
        <w:t xml:space="preserve"> 25-30.037(2)(i) and (j), F.A.C., the application must contain a statement regarding financing and a copy of the Purchase Agreement, which includes the purchase price, terms of payment, and a list of the assets purchased. </w:t>
      </w:r>
      <w:r w:rsidRPr="0062646B">
        <w:rPr>
          <w:rFonts w:eastAsiaTheme="minorHAnsi"/>
        </w:rPr>
        <w:t>According to the application, Dirk and Donna Leeward own 100 percent of Brick City Management, LLC (BCM) which manages and owns 100 percent of Southwest Ocala Utility, Inc. (SOU). According</w:t>
      </w:r>
      <w:r w:rsidRPr="0062646B">
        <w:rPr>
          <w:rFonts w:eastAsiaTheme="minorHAnsi"/>
          <w:caps/>
        </w:rPr>
        <w:t xml:space="preserve"> </w:t>
      </w:r>
      <w:r w:rsidRPr="0062646B">
        <w:rPr>
          <w:rFonts w:eastAsiaTheme="minorHAnsi"/>
        </w:rPr>
        <w:t>to the application and subsequently filed support documents, on July 19, 2012, Mr. Leeward purchased, at a discount, an outstanding note from BBVA Compass Bank (Compass Bank) that</w:t>
      </w:r>
      <w:r w:rsidR="00364C30">
        <w:rPr>
          <w:rFonts w:eastAsiaTheme="minorHAnsi"/>
        </w:rPr>
        <w:t xml:space="preserve"> </w:t>
      </w:r>
      <w:r w:rsidRPr="0062646B">
        <w:rPr>
          <w:rFonts w:eastAsiaTheme="minorHAnsi"/>
        </w:rPr>
        <w:t xml:space="preserve">County-Wide owed </w:t>
      </w:r>
      <w:r w:rsidR="00233896">
        <w:rPr>
          <w:rFonts w:eastAsiaTheme="minorHAnsi"/>
        </w:rPr>
        <w:t xml:space="preserve">to </w:t>
      </w:r>
      <w:r w:rsidRPr="0062646B">
        <w:rPr>
          <w:rFonts w:eastAsiaTheme="minorHAnsi"/>
        </w:rPr>
        <w:t xml:space="preserve">Compass Bank. The note was comprised of principal, accrued interest, costs, and fees totaling $1,067,747. The amount Mr. Leeward paid for the note is unknown. </w:t>
      </w:r>
      <w:r w:rsidR="00277C07">
        <w:rPr>
          <w:rFonts w:eastAsiaTheme="minorHAnsi"/>
        </w:rPr>
        <w:t>After</w:t>
      </w:r>
      <w:r w:rsidRPr="0062646B">
        <w:rPr>
          <w:rFonts w:eastAsiaTheme="minorHAnsi"/>
        </w:rPr>
        <w:t xml:space="preserve"> purchasing the note, Mr. Leeward foreclosed on County-Wide on March 4, 2013. On April 8, 2013, Mr. Leeward acquired the Utility assets at a public foreclosure auction for a total of $301, which was comprised of the winning bid amount and associated documentary stamps. On January 1, 2014, the assets were transferred to SOU. </w:t>
      </w:r>
    </w:p>
    <w:p w:rsidR="000E5959" w:rsidRDefault="000E5959" w:rsidP="001929EA">
      <w:pPr>
        <w:jc w:val="both"/>
        <w:rPr>
          <w:rFonts w:eastAsiaTheme="minorHAnsi"/>
        </w:rPr>
      </w:pPr>
    </w:p>
    <w:p w:rsidR="000E5959" w:rsidRDefault="000E5959" w:rsidP="001929EA">
      <w:pPr>
        <w:jc w:val="both"/>
        <w:rPr>
          <w:rFonts w:eastAsiaTheme="minorHAnsi"/>
        </w:rPr>
      </w:pPr>
    </w:p>
    <w:p w:rsidR="00277C07" w:rsidRDefault="00277C07" w:rsidP="001929EA">
      <w:pPr>
        <w:jc w:val="both"/>
        <w:rPr>
          <w:rFonts w:eastAsiaTheme="minorHAnsi"/>
        </w:rPr>
      </w:pPr>
    </w:p>
    <w:p w:rsidR="001929EA" w:rsidRPr="0062646B" w:rsidRDefault="001929EA" w:rsidP="001929EA">
      <w:pPr>
        <w:jc w:val="both"/>
        <w:rPr>
          <w:rFonts w:eastAsiaTheme="minorHAnsi"/>
        </w:rPr>
      </w:pPr>
      <w:r w:rsidRPr="0062646B">
        <w:rPr>
          <w:rFonts w:eastAsiaTheme="minorHAnsi"/>
        </w:rPr>
        <w:lastRenderedPageBreak/>
        <w:t xml:space="preserve">Staff believes that the amount paid to Compass Bank </w:t>
      </w:r>
      <w:r w:rsidR="00277C07">
        <w:rPr>
          <w:rFonts w:eastAsiaTheme="minorHAnsi"/>
        </w:rPr>
        <w:t xml:space="preserve">by Mr. Leeward </w:t>
      </w:r>
      <w:r w:rsidRPr="0062646B">
        <w:rPr>
          <w:rFonts w:eastAsiaTheme="minorHAnsi"/>
        </w:rPr>
        <w:t xml:space="preserve">for the outstanding note should be included in determining the purchase price of the Utility. Staff made several attempts to obtain the </w:t>
      </w:r>
      <w:r w:rsidR="00277C07">
        <w:rPr>
          <w:rFonts w:eastAsiaTheme="minorHAnsi"/>
        </w:rPr>
        <w:t>purchase price of the note,</w:t>
      </w:r>
      <w:r w:rsidRPr="0062646B">
        <w:rPr>
          <w:rFonts w:eastAsiaTheme="minorHAnsi"/>
        </w:rPr>
        <w:t xml:space="preserve"> including stating that the information could be filed under a confidential request, but the Buyer did not provide the requested information.</w:t>
      </w:r>
    </w:p>
    <w:p w:rsidR="001929EA" w:rsidRPr="0062646B" w:rsidRDefault="001929EA" w:rsidP="001929EA">
      <w:pPr>
        <w:jc w:val="both"/>
        <w:rPr>
          <w:rFonts w:eastAsiaTheme="minorHAnsi"/>
        </w:rPr>
      </w:pPr>
    </w:p>
    <w:p w:rsidR="001929EA" w:rsidRPr="0062646B" w:rsidRDefault="001929EA" w:rsidP="001929EA">
      <w:pPr>
        <w:jc w:val="both"/>
        <w:rPr>
          <w:rFonts w:eastAsiaTheme="minorHAnsi"/>
        </w:rPr>
      </w:pPr>
      <w:r w:rsidRPr="0062646B">
        <w:rPr>
          <w:rFonts w:eastAsiaTheme="minorHAnsi"/>
        </w:rPr>
        <w:t xml:space="preserve">On November 19, 2015, the Buyer submitted a letter outlining its concerns with staff’s position on the purchase price, </w:t>
      </w:r>
      <w:r w:rsidR="00233896" w:rsidRPr="0062646B">
        <w:rPr>
          <w:rFonts w:eastAsiaTheme="minorHAnsi"/>
        </w:rPr>
        <w:t>net book value</w:t>
      </w:r>
      <w:r w:rsidRPr="0062646B">
        <w:rPr>
          <w:rFonts w:eastAsiaTheme="minorHAnsi"/>
        </w:rPr>
        <w:t xml:space="preserve"> (NBV), and application of an acquisition adjustment. In the letter, it states that the Buyer is unable to provide information regarding the amount paid to acquire the mortgage note from the bank because there is a non-disclosure and confidentiality agreement attached </w:t>
      </w:r>
      <w:r w:rsidR="00F63114">
        <w:rPr>
          <w:rFonts w:eastAsiaTheme="minorHAnsi"/>
        </w:rPr>
        <w:t>to the transaction between the B</w:t>
      </w:r>
      <w:r w:rsidRPr="0062646B">
        <w:rPr>
          <w:rFonts w:eastAsiaTheme="minorHAnsi"/>
        </w:rPr>
        <w:t>uyer and Compass Bank. Furthermore, the Buyer believes that the discounted amount paid for the mortgage note is irrelevant to the purchase price</w:t>
      </w:r>
      <w:r w:rsidR="00277C07">
        <w:rPr>
          <w:rFonts w:eastAsiaTheme="minorHAnsi"/>
        </w:rPr>
        <w:t>.</w:t>
      </w:r>
      <w:r w:rsidRPr="0062646B">
        <w:rPr>
          <w:rFonts w:eastAsiaTheme="minorHAnsi"/>
        </w:rPr>
        <w:t xml:space="preserve"> </w:t>
      </w:r>
      <w:r w:rsidR="00277C07">
        <w:rPr>
          <w:rFonts w:eastAsiaTheme="minorHAnsi"/>
        </w:rPr>
        <w:t>Instead, the Buyer argues</w:t>
      </w:r>
      <w:r w:rsidRPr="0062646B">
        <w:rPr>
          <w:rFonts w:eastAsiaTheme="minorHAnsi"/>
        </w:rPr>
        <w:t xml:space="preserve"> that staff should consider the full amount of the outstanding note as the purchase price</w:t>
      </w:r>
      <w:r w:rsidR="00277C07">
        <w:rPr>
          <w:rFonts w:eastAsiaTheme="minorHAnsi"/>
        </w:rPr>
        <w:t xml:space="preserve"> based upon a ruling by a </w:t>
      </w:r>
      <w:r w:rsidRPr="0062646B">
        <w:rPr>
          <w:rFonts w:eastAsiaTheme="minorHAnsi"/>
        </w:rPr>
        <w:t xml:space="preserve">Marion County Circuit Court </w:t>
      </w:r>
      <w:r w:rsidR="00277C07">
        <w:rPr>
          <w:rFonts w:eastAsiaTheme="minorHAnsi"/>
        </w:rPr>
        <w:t xml:space="preserve">that </w:t>
      </w:r>
      <w:r w:rsidRPr="0062646B">
        <w:rPr>
          <w:rFonts w:eastAsiaTheme="minorHAnsi"/>
        </w:rPr>
        <w:t>established that a note</w:t>
      </w:r>
      <w:r w:rsidR="00277C07">
        <w:rPr>
          <w:rFonts w:eastAsiaTheme="minorHAnsi"/>
        </w:rPr>
        <w:t>,</w:t>
      </w:r>
      <w:r w:rsidRPr="0062646B">
        <w:rPr>
          <w:rFonts w:eastAsiaTheme="minorHAnsi"/>
        </w:rPr>
        <w:t xml:space="preserve"> </w:t>
      </w:r>
      <w:r w:rsidR="00277C07">
        <w:rPr>
          <w:rFonts w:eastAsiaTheme="minorHAnsi"/>
        </w:rPr>
        <w:t>valued at</w:t>
      </w:r>
      <w:r w:rsidRPr="0062646B">
        <w:rPr>
          <w:rFonts w:eastAsiaTheme="minorHAnsi"/>
        </w:rPr>
        <w:t xml:space="preserve"> approximately $1,007,000</w:t>
      </w:r>
      <w:r w:rsidR="00277C07">
        <w:rPr>
          <w:rFonts w:eastAsiaTheme="minorHAnsi"/>
        </w:rPr>
        <w:t>,</w:t>
      </w:r>
      <w:r w:rsidRPr="0062646B">
        <w:rPr>
          <w:rFonts w:eastAsiaTheme="minorHAnsi"/>
        </w:rPr>
        <w:t xml:space="preserve"> was relinquished for County-Wide’s assets in the Summary Final Judgment of Foreclosure</w:t>
      </w:r>
      <w:r w:rsidR="00277C07">
        <w:rPr>
          <w:rFonts w:eastAsiaTheme="minorHAnsi"/>
        </w:rPr>
        <w:t>.</w:t>
      </w:r>
      <w:r w:rsidRPr="0062646B">
        <w:rPr>
          <w:rFonts w:eastAsiaTheme="minorHAnsi"/>
        </w:rPr>
        <w:t xml:space="preserve"> </w:t>
      </w:r>
      <w:r w:rsidR="00277C07">
        <w:rPr>
          <w:rFonts w:eastAsiaTheme="minorHAnsi"/>
        </w:rPr>
        <w:t>As a result, the Buyer claims that this value established</w:t>
      </w:r>
      <w:r w:rsidR="00243F25">
        <w:rPr>
          <w:rFonts w:eastAsiaTheme="minorHAnsi"/>
        </w:rPr>
        <w:t xml:space="preserve"> by the Court equates to the purchase price and</w:t>
      </w:r>
      <w:r w:rsidRPr="0062646B">
        <w:rPr>
          <w:rFonts w:eastAsiaTheme="minorHAnsi"/>
        </w:rPr>
        <w:t xml:space="preserve"> that the Commission </w:t>
      </w:r>
      <w:r w:rsidR="00243F25">
        <w:rPr>
          <w:rFonts w:eastAsiaTheme="minorHAnsi"/>
        </w:rPr>
        <w:t>cannot or should not</w:t>
      </w:r>
      <w:r w:rsidRPr="0062646B">
        <w:rPr>
          <w:rFonts w:eastAsiaTheme="minorHAnsi"/>
        </w:rPr>
        <w:t xml:space="preserve"> disregard the Court Order. However, the assets were not acquired when Mr. Leeward foreclosed on County-Wide. As stated above, the assets were acquired at the foreclosure auction. As a result, staff believes the foreclosure auction is the final transaction which led to the acquisition of the assets and that the amount </w:t>
      </w:r>
      <w:r w:rsidR="00243F25">
        <w:rPr>
          <w:rFonts w:eastAsiaTheme="minorHAnsi"/>
        </w:rPr>
        <w:t>of</w:t>
      </w:r>
      <w:r w:rsidR="0016582C">
        <w:rPr>
          <w:rFonts w:eastAsiaTheme="minorHAnsi"/>
        </w:rPr>
        <w:t xml:space="preserve"> the</w:t>
      </w:r>
      <w:r w:rsidRPr="0062646B">
        <w:rPr>
          <w:rFonts w:eastAsiaTheme="minorHAnsi"/>
        </w:rPr>
        <w:t xml:space="preserve"> </w:t>
      </w:r>
      <w:r w:rsidR="006A3851">
        <w:rPr>
          <w:rFonts w:eastAsiaTheme="minorHAnsi"/>
        </w:rPr>
        <w:t>final judgment</w:t>
      </w:r>
      <w:r w:rsidRPr="0062646B">
        <w:rPr>
          <w:rFonts w:eastAsiaTheme="minorHAnsi"/>
        </w:rPr>
        <w:t xml:space="preserve"> is irrelevant. </w:t>
      </w:r>
    </w:p>
    <w:p w:rsidR="001929EA" w:rsidRPr="0062646B" w:rsidRDefault="001929EA" w:rsidP="001929EA">
      <w:pPr>
        <w:jc w:val="both"/>
        <w:rPr>
          <w:rFonts w:eastAsiaTheme="minorHAnsi"/>
        </w:rPr>
      </w:pPr>
    </w:p>
    <w:p w:rsidR="001929EA" w:rsidRPr="0062646B" w:rsidRDefault="001929EA" w:rsidP="001929EA">
      <w:pPr>
        <w:jc w:val="both"/>
        <w:rPr>
          <w:sz w:val="32"/>
          <w:szCs w:val="32"/>
        </w:rPr>
      </w:pPr>
      <w:r w:rsidRPr="0062646B">
        <w:rPr>
          <w:rFonts w:eastAsiaTheme="minorHAnsi"/>
        </w:rPr>
        <w:t xml:space="preserve">Staff recognizes that in addition to the bid amount and associated fees, Mr. Leeward paid an undisclosed amount for the note which </w:t>
      </w:r>
      <w:r w:rsidR="00F63114">
        <w:rPr>
          <w:rFonts w:eastAsiaTheme="minorHAnsi"/>
        </w:rPr>
        <w:t xml:space="preserve">was necessary in order to </w:t>
      </w:r>
      <w:r w:rsidRPr="0062646B">
        <w:rPr>
          <w:rFonts w:eastAsiaTheme="minorHAnsi"/>
        </w:rPr>
        <w:t>obtain the assets. Staff believes that for this specific case it is appropriate to consider all compensation paid to acquire the assets, which would include the amount actually pai</w:t>
      </w:r>
      <w:r w:rsidR="00F63114">
        <w:rPr>
          <w:rFonts w:eastAsiaTheme="minorHAnsi"/>
        </w:rPr>
        <w:t>d for the mortgage note. In addition</w:t>
      </w:r>
      <w:r w:rsidRPr="0062646B">
        <w:rPr>
          <w:rFonts w:eastAsiaTheme="minorHAnsi"/>
        </w:rPr>
        <w:t>, staff does not believe that it is appropriate to consider the entire amount of the $1,007,000 mortgage note because it does not reflect the actual amount paid to acquire the assets. If staff were to consider the entire amount of the note</w:t>
      </w:r>
      <w:r w:rsidRPr="0062646B">
        <w:t xml:space="preserve"> for the purchase price</w:t>
      </w:r>
      <w:r w:rsidRPr="0062646B">
        <w:rPr>
          <w:rFonts w:eastAsiaTheme="minorHAnsi"/>
        </w:rPr>
        <w:t xml:space="preserve">, the Buyer would be earning a return </w:t>
      </w:r>
      <w:r w:rsidR="00F63114">
        <w:rPr>
          <w:rFonts w:eastAsiaTheme="minorHAnsi"/>
        </w:rPr>
        <w:t xml:space="preserve">on an amount greater </w:t>
      </w:r>
      <w:r w:rsidRPr="0062646B">
        <w:rPr>
          <w:rFonts w:eastAsiaTheme="minorHAnsi"/>
        </w:rPr>
        <w:t xml:space="preserve">than what was </w:t>
      </w:r>
      <w:r w:rsidRPr="0062646B">
        <w:t xml:space="preserve">truly </w:t>
      </w:r>
      <w:r w:rsidRPr="0062646B">
        <w:rPr>
          <w:rFonts w:eastAsiaTheme="minorHAnsi"/>
        </w:rPr>
        <w:t>invested in the assets.</w:t>
      </w:r>
      <w:r w:rsidRPr="0062646B">
        <w:t xml:space="preserve"> </w:t>
      </w:r>
      <w:r w:rsidR="00243F25">
        <w:t>Because staff is unable to determine any amount paid for the mortgage not</w:t>
      </w:r>
      <w:r w:rsidR="00233896">
        <w:t>e</w:t>
      </w:r>
      <w:r w:rsidR="00243F25">
        <w:t xml:space="preserve"> as additional compensation paid to acquire the assets, only the money paid </w:t>
      </w:r>
      <w:r w:rsidR="006A3851">
        <w:t>as a result of</w:t>
      </w:r>
      <w:r w:rsidR="00243F25">
        <w:t xml:space="preserve"> the foreclosure auction can be considered as the purchase price. </w:t>
      </w:r>
      <w:r w:rsidR="00193192">
        <w:rPr>
          <w:rFonts w:eastAsiaTheme="minorHAnsi"/>
        </w:rPr>
        <w:t>S</w:t>
      </w:r>
      <w:r w:rsidRPr="0062646B">
        <w:rPr>
          <w:rFonts w:eastAsiaTheme="minorHAnsi"/>
        </w:rPr>
        <w:t>taff notes that the primary purpose of an acquisition adjustment is to preserve the integrity of NBV by discouraging deliberately high purchase prices during transfers which would ultimately inflate the value of the assets. Staff addresses the impact of the</w:t>
      </w:r>
      <w:r w:rsidR="00F63114">
        <w:rPr>
          <w:rFonts w:eastAsiaTheme="minorHAnsi"/>
        </w:rPr>
        <w:t xml:space="preserve"> Buyer</w:t>
      </w:r>
      <w:r w:rsidRPr="0062646B">
        <w:rPr>
          <w:rFonts w:eastAsiaTheme="minorHAnsi"/>
        </w:rPr>
        <w:t>’s non-disclosure of this information on the purchase price and resulting acquisition adjustment in Issue 3.</w:t>
      </w:r>
    </w:p>
    <w:p w:rsidR="001929EA" w:rsidRPr="0062646B" w:rsidRDefault="001929EA" w:rsidP="001929EA">
      <w:pPr>
        <w:jc w:val="both"/>
        <w:rPr>
          <w:rFonts w:eastAsiaTheme="minorHAnsi"/>
        </w:rPr>
      </w:pPr>
    </w:p>
    <w:p w:rsidR="001929EA" w:rsidRPr="0062646B" w:rsidRDefault="001929EA" w:rsidP="001929EA">
      <w:pPr>
        <w:jc w:val="both"/>
        <w:rPr>
          <w:rFonts w:eastAsiaTheme="minorHAnsi"/>
        </w:rPr>
      </w:pPr>
      <w:r w:rsidRPr="0062646B">
        <w:rPr>
          <w:rFonts w:eastAsiaTheme="minorHAnsi"/>
        </w:rPr>
        <w:t>In light of the above, staff has calculated the resulting purchase price to be $227, which is the bid amount of $101, and documentary stamps of $200 less the value of the unregulated wastewater system that was included in the auctioned property. Staff has allocated $74 to the unregulated wastewater system based on the Utility’s suggested allocation of the regulated and unregulated assets that was provided in response to deficiencies to its transfer application.</w:t>
      </w:r>
    </w:p>
    <w:p w:rsidR="001929EA" w:rsidRPr="0062646B" w:rsidRDefault="001929EA" w:rsidP="001929EA">
      <w:pPr>
        <w:jc w:val="both"/>
        <w:rPr>
          <w:rFonts w:eastAsiaTheme="minorHAnsi"/>
        </w:rPr>
      </w:pPr>
    </w:p>
    <w:p w:rsidR="001929EA" w:rsidRDefault="001929EA" w:rsidP="001929EA">
      <w:pPr>
        <w:jc w:val="both"/>
        <w:rPr>
          <w:rFonts w:asciiTheme="minorHAnsi" w:eastAsiaTheme="minorHAnsi" w:hAnsiTheme="minorHAnsi"/>
        </w:rPr>
      </w:pPr>
      <w:r w:rsidRPr="0062646B">
        <w:rPr>
          <w:rFonts w:eastAsiaTheme="minorHAnsi"/>
        </w:rPr>
        <w:t>According to the application, there are no customer deposits, guaranteed revenue contracts, developer agreements, customer advances, or leases of County-Wide that must be disposed of with regard to the transfe</w:t>
      </w:r>
      <w:r w:rsidRPr="0062646B">
        <w:rPr>
          <w:rFonts w:asciiTheme="minorHAnsi" w:eastAsiaTheme="minorHAnsi" w:hAnsiTheme="minorHAnsi"/>
        </w:rPr>
        <w:t>r.</w:t>
      </w:r>
    </w:p>
    <w:p w:rsidR="00193192" w:rsidRDefault="00193192">
      <w:pPr>
        <w:rPr>
          <w:rFonts w:ascii="Arial" w:hAnsi="Arial" w:cs="Arial"/>
          <w:b/>
        </w:rPr>
      </w:pPr>
      <w:r>
        <w:rPr>
          <w:rFonts w:ascii="Arial" w:hAnsi="Arial" w:cs="Arial"/>
          <w:b/>
        </w:rPr>
        <w:br w:type="page"/>
      </w:r>
    </w:p>
    <w:p w:rsidR="001929EA" w:rsidRPr="00DC3708" w:rsidRDefault="001929EA" w:rsidP="001929EA">
      <w:pPr>
        <w:jc w:val="both"/>
        <w:rPr>
          <w:rFonts w:ascii="Arial" w:hAnsi="Arial" w:cs="Arial"/>
          <w:b/>
        </w:rPr>
      </w:pPr>
      <w:r w:rsidRPr="00DC3708">
        <w:rPr>
          <w:rFonts w:ascii="Arial" w:hAnsi="Arial" w:cs="Arial"/>
          <w:b/>
        </w:rPr>
        <w:lastRenderedPageBreak/>
        <w:t>Facility Description and Compliance</w:t>
      </w:r>
    </w:p>
    <w:p w:rsidR="001929EA" w:rsidRPr="009C4C99" w:rsidRDefault="001929EA" w:rsidP="001929EA">
      <w:pPr>
        <w:jc w:val="both"/>
        <w:rPr>
          <w:rFonts w:eastAsiaTheme="minorHAnsi"/>
        </w:rPr>
      </w:pPr>
      <w:r w:rsidRPr="009C4C99">
        <w:rPr>
          <w:rFonts w:eastAsiaTheme="minorHAnsi"/>
        </w:rPr>
        <w:t xml:space="preserve">SOU’s water system is </w:t>
      </w:r>
      <w:r>
        <w:rPr>
          <w:rFonts w:eastAsiaTheme="minorHAnsi"/>
        </w:rPr>
        <w:t xml:space="preserve">a consecutive system </w:t>
      </w:r>
      <w:r w:rsidRPr="009C4C99">
        <w:rPr>
          <w:rFonts w:eastAsiaTheme="minorHAnsi"/>
        </w:rPr>
        <w:t>composed of water mains</w:t>
      </w:r>
      <w:r>
        <w:rPr>
          <w:rFonts w:eastAsiaTheme="minorHAnsi"/>
        </w:rPr>
        <w:t>,</w:t>
      </w:r>
      <w:r w:rsidRPr="009C4C99">
        <w:rPr>
          <w:rFonts w:eastAsiaTheme="minorHAnsi"/>
        </w:rPr>
        <w:t xml:space="preserve"> as listed in Table 1</w:t>
      </w:r>
      <w:r>
        <w:rPr>
          <w:rFonts w:eastAsiaTheme="minorHAnsi"/>
        </w:rPr>
        <w:t>-1 below</w:t>
      </w:r>
      <w:r w:rsidRPr="009C4C99">
        <w:rPr>
          <w:rFonts w:eastAsiaTheme="minorHAnsi"/>
        </w:rPr>
        <w:t>, and nine fire hydrants.</w:t>
      </w:r>
      <w:r>
        <w:rPr>
          <w:rFonts w:eastAsiaTheme="minorHAnsi"/>
        </w:rPr>
        <w:t xml:space="preserve"> A consecutive system provides treated water purchased from another entity. Therefore, the City of Ocala is responsible for ensuring the water meets primary and secondary water quality standards. </w:t>
      </w:r>
      <w:r w:rsidRPr="009C4C99">
        <w:rPr>
          <w:rFonts w:eastAsiaTheme="minorHAnsi"/>
        </w:rPr>
        <w:t xml:space="preserve">On November 13, 2013, the Florida Department of Environmental Protection (DEP) conducted a Sanitary Survey </w:t>
      </w:r>
      <w:r>
        <w:rPr>
          <w:rFonts w:eastAsiaTheme="minorHAnsi"/>
        </w:rPr>
        <w:t>and found t</w:t>
      </w:r>
      <w:r w:rsidRPr="009C4C99">
        <w:rPr>
          <w:rFonts w:eastAsiaTheme="minorHAnsi"/>
        </w:rPr>
        <w:t xml:space="preserve">he </w:t>
      </w:r>
      <w:r>
        <w:rPr>
          <w:rFonts w:eastAsiaTheme="minorHAnsi"/>
        </w:rPr>
        <w:t>U</w:t>
      </w:r>
      <w:r w:rsidRPr="009C4C99">
        <w:rPr>
          <w:rFonts w:eastAsiaTheme="minorHAnsi"/>
        </w:rPr>
        <w:t xml:space="preserve">tility to be in compliance with </w:t>
      </w:r>
      <w:r>
        <w:rPr>
          <w:rFonts w:eastAsiaTheme="minorHAnsi"/>
        </w:rPr>
        <w:t>its</w:t>
      </w:r>
      <w:r w:rsidRPr="009C4C99">
        <w:rPr>
          <w:rFonts w:eastAsiaTheme="minorHAnsi"/>
        </w:rPr>
        <w:t xml:space="preserve"> rules and regulations.</w:t>
      </w:r>
    </w:p>
    <w:p w:rsidR="001929EA" w:rsidRDefault="001929EA" w:rsidP="001929EA">
      <w:pPr>
        <w:jc w:val="both"/>
        <w:rPr>
          <w:rFonts w:eastAsiaTheme="minorHAnsi"/>
        </w:rPr>
      </w:pPr>
    </w:p>
    <w:p w:rsidR="000C6C3F" w:rsidRDefault="000C6C3F" w:rsidP="001929EA">
      <w:pPr>
        <w:jc w:val="both"/>
        <w:rPr>
          <w:rFonts w:eastAsiaTheme="minorHAnsi"/>
        </w:rPr>
      </w:pPr>
    </w:p>
    <w:tbl>
      <w:tblPr>
        <w:tblW w:w="9375" w:type="dxa"/>
        <w:tblInd w:w="93" w:type="dxa"/>
        <w:tblLook w:val="04A0" w:firstRow="1" w:lastRow="0" w:firstColumn="1" w:lastColumn="0" w:noHBand="0" w:noVBand="1"/>
      </w:tblPr>
      <w:tblGrid>
        <w:gridCol w:w="1905"/>
        <w:gridCol w:w="3960"/>
        <w:gridCol w:w="3510"/>
      </w:tblGrid>
      <w:tr w:rsidR="001929EA" w:rsidRPr="000C52D6" w:rsidTr="001929EA">
        <w:trPr>
          <w:trHeight w:val="315"/>
        </w:trPr>
        <w:tc>
          <w:tcPr>
            <w:tcW w:w="9375" w:type="dxa"/>
            <w:gridSpan w:val="3"/>
            <w:tcBorders>
              <w:top w:val="nil"/>
              <w:left w:val="nil"/>
              <w:bottom w:val="nil"/>
              <w:right w:val="nil"/>
            </w:tcBorders>
            <w:shd w:val="clear" w:color="auto" w:fill="auto"/>
            <w:noWrap/>
            <w:vAlign w:val="bottom"/>
            <w:hideMark/>
          </w:tcPr>
          <w:p w:rsidR="001929EA" w:rsidRPr="000C52D6" w:rsidRDefault="001929EA" w:rsidP="001929EA">
            <w:pPr>
              <w:jc w:val="center"/>
              <w:rPr>
                <w:rFonts w:ascii="Arial" w:hAnsi="Arial" w:cs="Arial"/>
                <w:b/>
                <w:bCs/>
                <w:color w:val="000000"/>
              </w:rPr>
            </w:pPr>
            <w:r w:rsidRPr="000C52D6">
              <w:rPr>
                <w:rFonts w:ascii="Arial" w:hAnsi="Arial" w:cs="Arial"/>
                <w:b/>
                <w:bCs/>
                <w:color w:val="000000"/>
              </w:rPr>
              <w:t>Table 1-1</w:t>
            </w:r>
          </w:p>
        </w:tc>
      </w:tr>
      <w:tr w:rsidR="001929EA" w:rsidRPr="000C52D6" w:rsidTr="001929EA">
        <w:trPr>
          <w:trHeight w:val="315"/>
        </w:trPr>
        <w:tc>
          <w:tcPr>
            <w:tcW w:w="9375" w:type="dxa"/>
            <w:gridSpan w:val="3"/>
            <w:tcBorders>
              <w:top w:val="nil"/>
              <w:left w:val="nil"/>
              <w:bottom w:val="nil"/>
              <w:right w:val="nil"/>
            </w:tcBorders>
            <w:shd w:val="clear" w:color="auto" w:fill="auto"/>
            <w:noWrap/>
            <w:vAlign w:val="bottom"/>
            <w:hideMark/>
          </w:tcPr>
          <w:p w:rsidR="001929EA" w:rsidRPr="000C52D6" w:rsidRDefault="001929EA" w:rsidP="001929EA">
            <w:pPr>
              <w:jc w:val="center"/>
              <w:rPr>
                <w:rFonts w:ascii="Arial" w:hAnsi="Arial" w:cs="Arial"/>
                <w:b/>
                <w:bCs/>
                <w:color w:val="000000"/>
              </w:rPr>
            </w:pPr>
            <w:r w:rsidRPr="000C52D6">
              <w:rPr>
                <w:rFonts w:ascii="Arial" w:hAnsi="Arial" w:cs="Arial"/>
                <w:b/>
                <w:bCs/>
                <w:color w:val="000000"/>
              </w:rPr>
              <w:t>Southwest Ocala Utility, Inc. Water Mains</w:t>
            </w:r>
          </w:p>
        </w:tc>
      </w:tr>
      <w:tr w:rsidR="001929EA" w:rsidRPr="000C52D6" w:rsidTr="001929EA">
        <w:trPr>
          <w:trHeight w:val="315"/>
        </w:trPr>
        <w:tc>
          <w:tcPr>
            <w:tcW w:w="1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9EA" w:rsidRPr="000C52D6" w:rsidRDefault="001929EA" w:rsidP="001929EA">
            <w:pPr>
              <w:jc w:val="center"/>
              <w:rPr>
                <w:color w:val="000000"/>
              </w:rPr>
            </w:pPr>
            <w:r w:rsidRPr="000C52D6">
              <w:rPr>
                <w:color w:val="000000"/>
              </w:rPr>
              <w:t>Material</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1929EA" w:rsidRPr="000C52D6" w:rsidRDefault="001929EA" w:rsidP="001929EA">
            <w:pPr>
              <w:jc w:val="center"/>
              <w:rPr>
                <w:color w:val="000000"/>
              </w:rPr>
            </w:pPr>
            <w:r w:rsidRPr="000C52D6">
              <w:rPr>
                <w:color w:val="000000"/>
              </w:rPr>
              <w:t>Diameter Pipe (inches)</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rsidR="001929EA" w:rsidRPr="000C52D6" w:rsidRDefault="001929EA" w:rsidP="001929EA">
            <w:pPr>
              <w:jc w:val="center"/>
              <w:rPr>
                <w:color w:val="000000"/>
              </w:rPr>
            </w:pPr>
            <w:r w:rsidRPr="000C52D6">
              <w:rPr>
                <w:color w:val="000000"/>
              </w:rPr>
              <w:t>Length (linear feet)</w:t>
            </w:r>
          </w:p>
        </w:tc>
      </w:tr>
      <w:tr w:rsidR="001929EA" w:rsidRPr="000C52D6" w:rsidTr="001929EA">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1929EA" w:rsidRPr="000C52D6" w:rsidRDefault="001929EA" w:rsidP="001929EA">
            <w:pPr>
              <w:jc w:val="center"/>
              <w:rPr>
                <w:color w:val="000000"/>
              </w:rPr>
            </w:pPr>
            <w:r w:rsidRPr="000C52D6">
              <w:rPr>
                <w:color w:val="000000"/>
              </w:rPr>
              <w:t>PVC</w:t>
            </w:r>
          </w:p>
        </w:tc>
        <w:tc>
          <w:tcPr>
            <w:tcW w:w="3960" w:type="dxa"/>
            <w:tcBorders>
              <w:top w:val="nil"/>
              <w:left w:val="nil"/>
              <w:bottom w:val="single" w:sz="4" w:space="0" w:color="auto"/>
              <w:right w:val="single" w:sz="4" w:space="0" w:color="auto"/>
            </w:tcBorders>
            <w:shd w:val="clear" w:color="auto" w:fill="auto"/>
            <w:noWrap/>
            <w:vAlign w:val="bottom"/>
            <w:hideMark/>
          </w:tcPr>
          <w:p w:rsidR="001929EA" w:rsidRPr="000C52D6" w:rsidRDefault="001929EA" w:rsidP="001929EA">
            <w:pPr>
              <w:jc w:val="center"/>
              <w:rPr>
                <w:color w:val="000000"/>
              </w:rPr>
            </w:pPr>
            <w:r w:rsidRPr="000C52D6">
              <w:rPr>
                <w:color w:val="000000"/>
              </w:rPr>
              <w:t>1</w:t>
            </w:r>
          </w:p>
        </w:tc>
        <w:tc>
          <w:tcPr>
            <w:tcW w:w="3510" w:type="dxa"/>
            <w:tcBorders>
              <w:top w:val="nil"/>
              <w:left w:val="nil"/>
              <w:bottom w:val="single" w:sz="4" w:space="0" w:color="auto"/>
              <w:right w:val="single" w:sz="4" w:space="0" w:color="auto"/>
            </w:tcBorders>
            <w:shd w:val="clear" w:color="auto" w:fill="auto"/>
            <w:noWrap/>
            <w:vAlign w:val="bottom"/>
            <w:hideMark/>
          </w:tcPr>
          <w:p w:rsidR="001929EA" w:rsidRPr="000C52D6" w:rsidRDefault="001929EA" w:rsidP="001929EA">
            <w:pPr>
              <w:jc w:val="center"/>
              <w:rPr>
                <w:color w:val="000000"/>
              </w:rPr>
            </w:pPr>
            <w:r w:rsidRPr="000C52D6">
              <w:rPr>
                <w:color w:val="000000"/>
              </w:rPr>
              <w:t>100</w:t>
            </w:r>
          </w:p>
        </w:tc>
      </w:tr>
      <w:tr w:rsidR="001929EA" w:rsidRPr="000C52D6" w:rsidTr="001929EA">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1929EA" w:rsidRPr="000C52D6" w:rsidRDefault="001929EA" w:rsidP="001929EA">
            <w:pPr>
              <w:jc w:val="center"/>
              <w:rPr>
                <w:color w:val="000000"/>
              </w:rPr>
            </w:pPr>
            <w:r w:rsidRPr="000C52D6">
              <w:rPr>
                <w:color w:val="000000"/>
              </w:rPr>
              <w:t>PVC</w:t>
            </w:r>
          </w:p>
        </w:tc>
        <w:tc>
          <w:tcPr>
            <w:tcW w:w="3960" w:type="dxa"/>
            <w:tcBorders>
              <w:top w:val="nil"/>
              <w:left w:val="nil"/>
              <w:bottom w:val="single" w:sz="4" w:space="0" w:color="auto"/>
              <w:right w:val="single" w:sz="4" w:space="0" w:color="auto"/>
            </w:tcBorders>
            <w:shd w:val="clear" w:color="auto" w:fill="auto"/>
            <w:noWrap/>
            <w:vAlign w:val="bottom"/>
            <w:hideMark/>
          </w:tcPr>
          <w:p w:rsidR="001929EA" w:rsidRPr="000C52D6" w:rsidRDefault="001929EA" w:rsidP="001929EA">
            <w:pPr>
              <w:jc w:val="center"/>
              <w:rPr>
                <w:color w:val="000000"/>
              </w:rPr>
            </w:pPr>
            <w:r w:rsidRPr="000C52D6">
              <w:rPr>
                <w:color w:val="000000"/>
              </w:rPr>
              <w:t>2</w:t>
            </w:r>
          </w:p>
        </w:tc>
        <w:tc>
          <w:tcPr>
            <w:tcW w:w="3510" w:type="dxa"/>
            <w:tcBorders>
              <w:top w:val="nil"/>
              <w:left w:val="nil"/>
              <w:bottom w:val="single" w:sz="4" w:space="0" w:color="auto"/>
              <w:right w:val="single" w:sz="4" w:space="0" w:color="auto"/>
            </w:tcBorders>
            <w:shd w:val="clear" w:color="auto" w:fill="auto"/>
            <w:noWrap/>
            <w:vAlign w:val="bottom"/>
            <w:hideMark/>
          </w:tcPr>
          <w:p w:rsidR="001929EA" w:rsidRPr="000C52D6" w:rsidRDefault="001929EA" w:rsidP="001929EA">
            <w:pPr>
              <w:jc w:val="center"/>
              <w:rPr>
                <w:color w:val="000000"/>
              </w:rPr>
            </w:pPr>
            <w:r w:rsidRPr="000C52D6">
              <w:rPr>
                <w:color w:val="000000"/>
              </w:rPr>
              <w:t>5,630</w:t>
            </w:r>
          </w:p>
        </w:tc>
      </w:tr>
      <w:tr w:rsidR="001929EA" w:rsidRPr="000C52D6" w:rsidTr="001929EA">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1929EA" w:rsidRPr="000C52D6" w:rsidRDefault="001929EA" w:rsidP="001929EA">
            <w:pPr>
              <w:jc w:val="center"/>
              <w:rPr>
                <w:color w:val="000000"/>
              </w:rPr>
            </w:pPr>
            <w:r w:rsidRPr="000C52D6">
              <w:rPr>
                <w:color w:val="000000"/>
              </w:rPr>
              <w:t>PVC</w:t>
            </w:r>
          </w:p>
        </w:tc>
        <w:tc>
          <w:tcPr>
            <w:tcW w:w="3960" w:type="dxa"/>
            <w:tcBorders>
              <w:top w:val="nil"/>
              <w:left w:val="nil"/>
              <w:bottom w:val="single" w:sz="4" w:space="0" w:color="auto"/>
              <w:right w:val="single" w:sz="4" w:space="0" w:color="auto"/>
            </w:tcBorders>
            <w:shd w:val="clear" w:color="auto" w:fill="auto"/>
            <w:noWrap/>
            <w:vAlign w:val="bottom"/>
            <w:hideMark/>
          </w:tcPr>
          <w:p w:rsidR="001929EA" w:rsidRPr="000C52D6" w:rsidRDefault="001929EA" w:rsidP="001929EA">
            <w:pPr>
              <w:jc w:val="center"/>
              <w:rPr>
                <w:color w:val="000000"/>
              </w:rPr>
            </w:pPr>
            <w:r w:rsidRPr="000C52D6">
              <w:rPr>
                <w:color w:val="000000"/>
              </w:rPr>
              <w:t>2 1/2</w:t>
            </w:r>
          </w:p>
        </w:tc>
        <w:tc>
          <w:tcPr>
            <w:tcW w:w="3510" w:type="dxa"/>
            <w:tcBorders>
              <w:top w:val="nil"/>
              <w:left w:val="nil"/>
              <w:bottom w:val="single" w:sz="4" w:space="0" w:color="auto"/>
              <w:right w:val="single" w:sz="4" w:space="0" w:color="auto"/>
            </w:tcBorders>
            <w:shd w:val="clear" w:color="auto" w:fill="auto"/>
            <w:noWrap/>
            <w:vAlign w:val="bottom"/>
            <w:hideMark/>
          </w:tcPr>
          <w:p w:rsidR="001929EA" w:rsidRPr="000C52D6" w:rsidRDefault="001929EA" w:rsidP="001929EA">
            <w:pPr>
              <w:jc w:val="center"/>
              <w:rPr>
                <w:color w:val="000000"/>
              </w:rPr>
            </w:pPr>
            <w:r w:rsidRPr="000C52D6">
              <w:rPr>
                <w:color w:val="000000"/>
              </w:rPr>
              <w:t>4,300</w:t>
            </w:r>
          </w:p>
        </w:tc>
      </w:tr>
      <w:tr w:rsidR="001929EA" w:rsidRPr="000C52D6" w:rsidTr="001929EA">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1929EA" w:rsidRPr="000C52D6" w:rsidRDefault="001929EA" w:rsidP="001929EA">
            <w:pPr>
              <w:jc w:val="center"/>
              <w:rPr>
                <w:color w:val="000000"/>
              </w:rPr>
            </w:pPr>
            <w:r w:rsidRPr="000C52D6">
              <w:rPr>
                <w:color w:val="000000"/>
              </w:rPr>
              <w:t>PVC</w:t>
            </w:r>
          </w:p>
        </w:tc>
        <w:tc>
          <w:tcPr>
            <w:tcW w:w="3960" w:type="dxa"/>
            <w:tcBorders>
              <w:top w:val="nil"/>
              <w:left w:val="nil"/>
              <w:bottom w:val="single" w:sz="4" w:space="0" w:color="auto"/>
              <w:right w:val="single" w:sz="4" w:space="0" w:color="auto"/>
            </w:tcBorders>
            <w:shd w:val="clear" w:color="auto" w:fill="auto"/>
            <w:noWrap/>
            <w:vAlign w:val="bottom"/>
            <w:hideMark/>
          </w:tcPr>
          <w:p w:rsidR="001929EA" w:rsidRPr="000C52D6" w:rsidRDefault="001929EA" w:rsidP="001929EA">
            <w:pPr>
              <w:jc w:val="center"/>
              <w:rPr>
                <w:color w:val="000000"/>
              </w:rPr>
            </w:pPr>
            <w:r w:rsidRPr="000C52D6">
              <w:rPr>
                <w:color w:val="000000"/>
              </w:rPr>
              <w:t>4</w:t>
            </w:r>
          </w:p>
        </w:tc>
        <w:tc>
          <w:tcPr>
            <w:tcW w:w="3510" w:type="dxa"/>
            <w:tcBorders>
              <w:top w:val="nil"/>
              <w:left w:val="nil"/>
              <w:bottom w:val="single" w:sz="4" w:space="0" w:color="auto"/>
              <w:right w:val="single" w:sz="4" w:space="0" w:color="auto"/>
            </w:tcBorders>
            <w:shd w:val="clear" w:color="auto" w:fill="auto"/>
            <w:noWrap/>
            <w:vAlign w:val="bottom"/>
            <w:hideMark/>
          </w:tcPr>
          <w:p w:rsidR="001929EA" w:rsidRPr="000C52D6" w:rsidRDefault="001929EA" w:rsidP="001929EA">
            <w:pPr>
              <w:jc w:val="center"/>
              <w:rPr>
                <w:color w:val="000000"/>
              </w:rPr>
            </w:pPr>
            <w:r w:rsidRPr="000C52D6">
              <w:rPr>
                <w:color w:val="000000"/>
              </w:rPr>
              <w:t>4,360</w:t>
            </w:r>
          </w:p>
        </w:tc>
      </w:tr>
      <w:tr w:rsidR="001929EA" w:rsidRPr="000C52D6" w:rsidTr="001929EA">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1929EA" w:rsidRPr="000C52D6" w:rsidRDefault="001929EA" w:rsidP="001929EA">
            <w:pPr>
              <w:jc w:val="center"/>
              <w:rPr>
                <w:color w:val="000000"/>
              </w:rPr>
            </w:pPr>
            <w:r w:rsidRPr="000C52D6">
              <w:rPr>
                <w:color w:val="000000"/>
              </w:rPr>
              <w:t>PVC</w:t>
            </w:r>
          </w:p>
        </w:tc>
        <w:tc>
          <w:tcPr>
            <w:tcW w:w="3960" w:type="dxa"/>
            <w:tcBorders>
              <w:top w:val="nil"/>
              <w:left w:val="nil"/>
              <w:bottom w:val="single" w:sz="4" w:space="0" w:color="auto"/>
              <w:right w:val="single" w:sz="4" w:space="0" w:color="auto"/>
            </w:tcBorders>
            <w:shd w:val="clear" w:color="auto" w:fill="auto"/>
            <w:noWrap/>
            <w:vAlign w:val="bottom"/>
            <w:hideMark/>
          </w:tcPr>
          <w:p w:rsidR="001929EA" w:rsidRPr="000C52D6" w:rsidRDefault="001929EA" w:rsidP="001929EA">
            <w:pPr>
              <w:jc w:val="center"/>
              <w:rPr>
                <w:color w:val="000000"/>
              </w:rPr>
            </w:pPr>
            <w:r w:rsidRPr="000C52D6">
              <w:rPr>
                <w:color w:val="000000"/>
              </w:rPr>
              <w:t>6</w:t>
            </w:r>
          </w:p>
        </w:tc>
        <w:tc>
          <w:tcPr>
            <w:tcW w:w="3510" w:type="dxa"/>
            <w:tcBorders>
              <w:top w:val="nil"/>
              <w:left w:val="nil"/>
              <w:bottom w:val="single" w:sz="4" w:space="0" w:color="auto"/>
              <w:right w:val="single" w:sz="4" w:space="0" w:color="auto"/>
            </w:tcBorders>
            <w:shd w:val="clear" w:color="auto" w:fill="auto"/>
            <w:noWrap/>
            <w:vAlign w:val="bottom"/>
            <w:hideMark/>
          </w:tcPr>
          <w:p w:rsidR="001929EA" w:rsidRPr="000C52D6" w:rsidRDefault="001929EA" w:rsidP="001929EA">
            <w:pPr>
              <w:jc w:val="center"/>
              <w:rPr>
                <w:color w:val="000000"/>
              </w:rPr>
            </w:pPr>
            <w:r w:rsidRPr="000C52D6">
              <w:rPr>
                <w:color w:val="000000"/>
              </w:rPr>
              <w:t>750</w:t>
            </w:r>
          </w:p>
        </w:tc>
      </w:tr>
      <w:tr w:rsidR="001929EA" w:rsidRPr="000C52D6" w:rsidTr="001929EA">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1929EA" w:rsidRPr="000C52D6" w:rsidRDefault="001929EA" w:rsidP="001929EA">
            <w:pPr>
              <w:jc w:val="center"/>
              <w:rPr>
                <w:color w:val="000000"/>
              </w:rPr>
            </w:pPr>
            <w:r w:rsidRPr="000C52D6">
              <w:rPr>
                <w:color w:val="000000"/>
              </w:rPr>
              <w:t>PVC</w:t>
            </w:r>
          </w:p>
        </w:tc>
        <w:tc>
          <w:tcPr>
            <w:tcW w:w="3960" w:type="dxa"/>
            <w:tcBorders>
              <w:top w:val="nil"/>
              <w:left w:val="nil"/>
              <w:bottom w:val="single" w:sz="4" w:space="0" w:color="auto"/>
              <w:right w:val="single" w:sz="4" w:space="0" w:color="auto"/>
            </w:tcBorders>
            <w:shd w:val="clear" w:color="auto" w:fill="auto"/>
            <w:noWrap/>
            <w:vAlign w:val="bottom"/>
            <w:hideMark/>
          </w:tcPr>
          <w:p w:rsidR="001929EA" w:rsidRPr="000C52D6" w:rsidRDefault="001929EA" w:rsidP="001929EA">
            <w:pPr>
              <w:jc w:val="center"/>
              <w:rPr>
                <w:color w:val="000000"/>
              </w:rPr>
            </w:pPr>
            <w:r w:rsidRPr="000C52D6">
              <w:rPr>
                <w:color w:val="000000"/>
              </w:rPr>
              <w:t>8</w:t>
            </w:r>
          </w:p>
        </w:tc>
        <w:tc>
          <w:tcPr>
            <w:tcW w:w="3510" w:type="dxa"/>
            <w:tcBorders>
              <w:top w:val="nil"/>
              <w:left w:val="nil"/>
              <w:bottom w:val="single" w:sz="4" w:space="0" w:color="auto"/>
              <w:right w:val="single" w:sz="4" w:space="0" w:color="auto"/>
            </w:tcBorders>
            <w:shd w:val="clear" w:color="auto" w:fill="auto"/>
            <w:noWrap/>
            <w:vAlign w:val="bottom"/>
            <w:hideMark/>
          </w:tcPr>
          <w:p w:rsidR="001929EA" w:rsidRPr="000C52D6" w:rsidRDefault="001929EA" w:rsidP="001929EA">
            <w:pPr>
              <w:jc w:val="center"/>
              <w:rPr>
                <w:color w:val="000000"/>
              </w:rPr>
            </w:pPr>
            <w:r w:rsidRPr="000C52D6">
              <w:rPr>
                <w:color w:val="000000"/>
              </w:rPr>
              <w:t>750</w:t>
            </w:r>
          </w:p>
        </w:tc>
      </w:tr>
      <w:tr w:rsidR="001929EA" w:rsidRPr="000C52D6" w:rsidTr="001929EA">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1929EA" w:rsidRPr="000C52D6" w:rsidRDefault="001929EA" w:rsidP="001929EA">
            <w:pPr>
              <w:jc w:val="center"/>
              <w:rPr>
                <w:color w:val="000000"/>
              </w:rPr>
            </w:pPr>
            <w:r w:rsidRPr="000C52D6">
              <w:rPr>
                <w:color w:val="000000"/>
              </w:rPr>
              <w:t>PVC</w:t>
            </w:r>
          </w:p>
        </w:tc>
        <w:tc>
          <w:tcPr>
            <w:tcW w:w="3960" w:type="dxa"/>
            <w:tcBorders>
              <w:top w:val="nil"/>
              <w:left w:val="nil"/>
              <w:bottom w:val="single" w:sz="4" w:space="0" w:color="auto"/>
              <w:right w:val="single" w:sz="4" w:space="0" w:color="auto"/>
            </w:tcBorders>
            <w:shd w:val="clear" w:color="auto" w:fill="auto"/>
            <w:noWrap/>
            <w:vAlign w:val="bottom"/>
            <w:hideMark/>
          </w:tcPr>
          <w:p w:rsidR="001929EA" w:rsidRPr="000C52D6" w:rsidRDefault="001929EA" w:rsidP="001929EA">
            <w:pPr>
              <w:jc w:val="center"/>
              <w:rPr>
                <w:color w:val="000000"/>
              </w:rPr>
            </w:pPr>
            <w:r w:rsidRPr="000C52D6">
              <w:rPr>
                <w:color w:val="000000"/>
              </w:rPr>
              <w:t>12</w:t>
            </w:r>
          </w:p>
        </w:tc>
        <w:tc>
          <w:tcPr>
            <w:tcW w:w="3510" w:type="dxa"/>
            <w:tcBorders>
              <w:top w:val="nil"/>
              <w:left w:val="nil"/>
              <w:bottom w:val="single" w:sz="4" w:space="0" w:color="auto"/>
              <w:right w:val="single" w:sz="4" w:space="0" w:color="auto"/>
            </w:tcBorders>
            <w:shd w:val="clear" w:color="auto" w:fill="auto"/>
            <w:noWrap/>
            <w:vAlign w:val="bottom"/>
            <w:hideMark/>
          </w:tcPr>
          <w:p w:rsidR="001929EA" w:rsidRPr="000C52D6" w:rsidRDefault="001929EA" w:rsidP="001929EA">
            <w:pPr>
              <w:jc w:val="center"/>
              <w:rPr>
                <w:color w:val="000000"/>
              </w:rPr>
            </w:pPr>
            <w:r w:rsidRPr="000C52D6">
              <w:rPr>
                <w:color w:val="000000"/>
              </w:rPr>
              <w:t>100</w:t>
            </w:r>
          </w:p>
        </w:tc>
      </w:tr>
      <w:tr w:rsidR="001929EA" w:rsidRPr="000C52D6" w:rsidTr="001929EA">
        <w:trPr>
          <w:trHeight w:val="300"/>
        </w:trPr>
        <w:tc>
          <w:tcPr>
            <w:tcW w:w="9375" w:type="dxa"/>
            <w:gridSpan w:val="3"/>
            <w:tcBorders>
              <w:top w:val="nil"/>
              <w:left w:val="nil"/>
              <w:bottom w:val="nil"/>
              <w:right w:val="nil"/>
            </w:tcBorders>
            <w:shd w:val="clear" w:color="auto" w:fill="auto"/>
            <w:noWrap/>
            <w:vAlign w:val="bottom"/>
            <w:hideMark/>
          </w:tcPr>
          <w:p w:rsidR="001929EA" w:rsidRPr="00233896" w:rsidRDefault="001929EA" w:rsidP="001929EA">
            <w:pPr>
              <w:rPr>
                <w:color w:val="000000"/>
                <w:sz w:val="22"/>
              </w:rPr>
            </w:pPr>
            <w:r w:rsidRPr="00233896">
              <w:rPr>
                <w:color w:val="000000"/>
                <w:sz w:val="22"/>
              </w:rPr>
              <w:t>Source: County-Wide Utility Co., Inc. 2014 Annual Report</w:t>
            </w:r>
          </w:p>
        </w:tc>
      </w:tr>
    </w:tbl>
    <w:p w:rsidR="001929EA" w:rsidRDefault="001929EA" w:rsidP="001929EA">
      <w:pPr>
        <w:jc w:val="both"/>
        <w:rPr>
          <w:rFonts w:eastAsiaTheme="minorHAnsi"/>
        </w:rPr>
      </w:pPr>
    </w:p>
    <w:p w:rsidR="000C6C3F" w:rsidRPr="000C52D6" w:rsidRDefault="000C6C3F" w:rsidP="001929EA">
      <w:pPr>
        <w:jc w:val="both"/>
        <w:rPr>
          <w:rFonts w:eastAsiaTheme="minorHAnsi"/>
        </w:rPr>
      </w:pPr>
    </w:p>
    <w:p w:rsidR="001929EA" w:rsidRPr="000C52D6" w:rsidRDefault="001929EA" w:rsidP="001929EA">
      <w:pPr>
        <w:rPr>
          <w:rFonts w:ascii="Arial" w:hAnsi="Arial" w:cs="Arial"/>
          <w:b/>
        </w:rPr>
      </w:pPr>
      <w:r w:rsidRPr="000C52D6">
        <w:rPr>
          <w:rFonts w:ascii="Arial" w:hAnsi="Arial" w:cs="Arial"/>
          <w:b/>
        </w:rPr>
        <w:t>Technical and Financial Ability</w:t>
      </w:r>
    </w:p>
    <w:p w:rsidR="001929EA" w:rsidRPr="0062646B" w:rsidRDefault="001929EA" w:rsidP="001929EA">
      <w:pPr>
        <w:autoSpaceDE w:val="0"/>
        <w:autoSpaceDN w:val="0"/>
        <w:adjustRightInd w:val="0"/>
        <w:spacing w:after="240"/>
        <w:jc w:val="both"/>
      </w:pPr>
      <w:r w:rsidRPr="000C52D6">
        <w:t>Pursuant to Rule</w:t>
      </w:r>
      <w:r w:rsidR="00233896">
        <w:t>s</w:t>
      </w:r>
      <w:r w:rsidRPr="000C52D6">
        <w:t xml:space="preserve"> 25-30.037(1)(l) and (m), F.A.C., the application contains statements describing the technical and financial ability of the applicant to provide service to the proposed service area. </w:t>
      </w:r>
      <w:r w:rsidRPr="000C52D6">
        <w:rPr>
          <w:rStyle w:val="CharChar"/>
        </w:rPr>
        <w:t xml:space="preserve">According to the application, Mr. Leeward has been the general manager of County-Wide since 1986 and has extensive knowledge of the operations and management of the system. </w:t>
      </w:r>
      <w:r w:rsidRPr="000C52D6">
        <w:t xml:space="preserve">As referenced in the transfer application, SOU will fulfill the commitments, obligations and </w:t>
      </w:r>
      <w:r w:rsidRPr="0062646B">
        <w:t xml:space="preserve">representations of the </w:t>
      </w:r>
      <w:r w:rsidR="00DA1326">
        <w:t>S</w:t>
      </w:r>
      <w:r w:rsidRPr="0062646B">
        <w:t xml:space="preserve">eller with regards to utility matters. </w:t>
      </w:r>
    </w:p>
    <w:p w:rsidR="001929EA" w:rsidRPr="0062646B" w:rsidRDefault="001929EA" w:rsidP="001929EA">
      <w:pPr>
        <w:pStyle w:val="BodyText"/>
      </w:pPr>
      <w:r w:rsidRPr="0062646B">
        <w:rPr>
          <w:rStyle w:val="CharChar"/>
        </w:rPr>
        <w:t xml:space="preserve">Staff reviewed the financial statements of </w:t>
      </w:r>
      <w:r w:rsidRPr="0062646B">
        <w:t xml:space="preserve">BCM, </w:t>
      </w:r>
      <w:r w:rsidR="00F63114">
        <w:t xml:space="preserve">the </w:t>
      </w:r>
      <w:r w:rsidRPr="0062646B">
        <w:t>sole manager and owner of SOU. According to the application, BCM has provided working capital funding to the Utility and will ensure the availability of any necessary funds for future capital needs. Based on the above, SOU has demonstrated the technical and financial ability to provide service to the existing service territory.</w:t>
      </w:r>
    </w:p>
    <w:p w:rsidR="001929EA" w:rsidRPr="000C52D6" w:rsidRDefault="001929EA" w:rsidP="001929EA">
      <w:pPr>
        <w:jc w:val="both"/>
        <w:rPr>
          <w:rFonts w:ascii="Arial" w:hAnsi="Arial" w:cs="Arial"/>
          <w:b/>
        </w:rPr>
      </w:pPr>
      <w:r w:rsidRPr="0062646B">
        <w:rPr>
          <w:rFonts w:ascii="Arial" w:hAnsi="Arial" w:cs="Arial"/>
          <w:b/>
        </w:rPr>
        <w:t>Rates and Charges</w:t>
      </w:r>
      <w:r w:rsidRPr="000C52D6">
        <w:rPr>
          <w:rFonts w:ascii="Arial" w:hAnsi="Arial" w:cs="Arial"/>
          <w:b/>
        </w:rPr>
        <w:t xml:space="preserve"> </w:t>
      </w:r>
    </w:p>
    <w:p w:rsidR="001929EA" w:rsidRDefault="001929EA" w:rsidP="001929EA">
      <w:pPr>
        <w:jc w:val="both"/>
      </w:pPr>
      <w:r w:rsidRPr="000C52D6">
        <w:t>The Utility’s rates and charges were last approved in a staff-assisted rate case in 2007.</w:t>
      </w:r>
      <w:r w:rsidRPr="000C52D6">
        <w:rPr>
          <w:vertAlign w:val="superscript"/>
        </w:rPr>
        <w:footnoteReference w:id="4"/>
      </w:r>
      <w:r w:rsidRPr="000C52D6">
        <w:t xml:space="preserve"> The rates were subsequently amended to reflect a 4-year rate reduction required by Section 367.0816, F.S., in 2011</w:t>
      </w:r>
      <w:r w:rsidR="00233896">
        <w:t>,</w:t>
      </w:r>
      <w:r w:rsidRPr="000C52D6">
        <w:t xml:space="preserve"> and numerous price indexes. The Utility’s existing rates are shown on Schedule No. 1. Rule 25-9.044(1), F.A.C., provides that, in the case of a change of ownership or control of a utility, the rates, classifications, and regulations of the former owner must continue unless </w:t>
      </w:r>
      <w:r w:rsidRPr="000C52D6">
        <w:lastRenderedPageBreak/>
        <w:t>authorized to change by this Commission. Therefore, staff recommends that the Utility’s existing rates and charges remain in effect until a change is authorized by this Commission in a subsequent proceeding.</w:t>
      </w:r>
    </w:p>
    <w:p w:rsidR="001929EA" w:rsidRDefault="001929EA" w:rsidP="001929EA"/>
    <w:p w:rsidR="001929EA" w:rsidRPr="0062646B" w:rsidRDefault="001929EA" w:rsidP="001929EA">
      <w:pPr>
        <w:widowControl w:val="0"/>
        <w:jc w:val="both"/>
        <w:rPr>
          <w:rFonts w:ascii="Arial" w:hAnsi="Arial" w:cs="Arial"/>
          <w:b/>
        </w:rPr>
      </w:pPr>
      <w:r w:rsidRPr="0062646B">
        <w:rPr>
          <w:rFonts w:ascii="Arial" w:hAnsi="Arial" w:cs="Arial"/>
          <w:b/>
        </w:rPr>
        <w:t>Regulatory Assessment Fees (RAFs) and Annual Reports</w:t>
      </w:r>
    </w:p>
    <w:p w:rsidR="001929EA" w:rsidRDefault="001929EA" w:rsidP="001929EA">
      <w:pPr>
        <w:pStyle w:val="IssueHeading"/>
        <w:rPr>
          <w:rStyle w:val="CharChar"/>
          <w:rFonts w:ascii="Times New Roman" w:hAnsi="Times New Roman" w:cs="Times New Roman"/>
          <w:b w:val="0"/>
          <w:bCs w:val="0"/>
          <w:i w:val="0"/>
          <w:kern w:val="0"/>
        </w:rPr>
      </w:pPr>
      <w:r w:rsidRPr="0062646B">
        <w:rPr>
          <w:rFonts w:ascii="Times New Roman" w:hAnsi="Times New Roman" w:cs="Times New Roman"/>
          <w:b w:val="0"/>
          <w:bCs w:val="0"/>
          <w:i w:val="0"/>
          <w:kern w:val="0"/>
          <w:szCs w:val="24"/>
        </w:rPr>
        <w:t xml:space="preserve">Staff has verified that the Utility has filed annual reports and RAFs through December 31, 2014. However, </w:t>
      </w:r>
      <w:r w:rsidR="00F63114">
        <w:rPr>
          <w:rFonts w:ascii="Times New Roman" w:hAnsi="Times New Roman" w:cs="Times New Roman"/>
          <w:b w:val="0"/>
          <w:bCs w:val="0"/>
          <w:i w:val="0"/>
          <w:kern w:val="0"/>
          <w:szCs w:val="24"/>
        </w:rPr>
        <w:t xml:space="preserve">while 2015 RAFs have been paid, </w:t>
      </w:r>
      <w:r w:rsidRPr="0062646B">
        <w:rPr>
          <w:rFonts w:ascii="Times New Roman" w:hAnsi="Times New Roman" w:cs="Times New Roman"/>
          <w:b w:val="0"/>
          <w:bCs w:val="0"/>
          <w:i w:val="0"/>
          <w:kern w:val="0"/>
          <w:szCs w:val="24"/>
        </w:rPr>
        <w:t>the 2015 Annual Report has not been filed. SOU will be responsible for filing the Utility’s annual reports and paying RAFs for all future years.</w:t>
      </w:r>
    </w:p>
    <w:p w:rsidR="001929EA" w:rsidRPr="000C52D6" w:rsidRDefault="001929EA" w:rsidP="001929EA">
      <w:pPr>
        <w:jc w:val="both"/>
        <w:rPr>
          <w:rFonts w:ascii="Arial" w:hAnsi="Arial" w:cs="Arial"/>
          <w:b/>
        </w:rPr>
      </w:pPr>
      <w:r w:rsidRPr="000C52D6">
        <w:rPr>
          <w:rFonts w:ascii="Arial" w:hAnsi="Arial" w:cs="Arial"/>
          <w:b/>
        </w:rPr>
        <w:t>Conclusion</w:t>
      </w:r>
    </w:p>
    <w:p w:rsidR="002555D8" w:rsidRDefault="001929EA" w:rsidP="001929EA">
      <w:pPr>
        <w:pStyle w:val="BodyText"/>
      </w:pPr>
      <w:r w:rsidRPr="000C52D6">
        <w:t>The transfer of County-Wide’s water system and the transfer of Certificate No. 390-W to SOU is in the public interest and should be approved effective the date of the Commission’s vote. The resultant order should serve as SOU’s certificate and should be retained by the Utility. The existing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 25-30.475, F.A.C. SOU should be responsible for filing the Utility’s annual reports and paying RAFs for 2015 and all future years</w:t>
      </w:r>
      <w:r w:rsidR="000C3042">
        <w:t>.</w:t>
      </w:r>
    </w:p>
    <w:p w:rsidR="002555D8" w:rsidRDefault="002555D8">
      <w:pPr>
        <w:pStyle w:val="IssueHeading"/>
        <w:rPr>
          <w:vanish/>
          <w:specVanish/>
        </w:rPr>
      </w:pPr>
      <w:r w:rsidRPr="004C3641">
        <w:rPr>
          <w:b w:val="0"/>
          <w:i w:val="0"/>
        </w:rPr>
        <w:br w:type="page"/>
      </w:r>
      <w:r w:rsidRPr="004C3641">
        <w:lastRenderedPageBreak/>
        <w:t xml:space="preserve">Issue </w:t>
      </w:r>
      <w:fldSimple w:instr=" SEQ Issue \* MERGEFORMAT ">
        <w:r w:rsidR="00EE60A2">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EE60A2">
        <w:rPr>
          <w:noProof/>
        </w:rPr>
        <w:instrText>2</w:instrText>
      </w:r>
      <w:r>
        <w:fldChar w:fldCharType="end"/>
      </w:r>
      <w:r>
        <w:tab/>
        <w:instrText xml:space="preserve">" \l 1 </w:instrText>
      </w:r>
      <w:r>
        <w:fldChar w:fldCharType="end"/>
      </w:r>
      <w:r>
        <w:t> </w:t>
      </w:r>
    </w:p>
    <w:p w:rsidR="002555D8" w:rsidRDefault="002555D8">
      <w:pPr>
        <w:pStyle w:val="BodyText"/>
      </w:pPr>
      <w:r>
        <w:t> </w:t>
      </w:r>
      <w:r w:rsidR="00C242AE">
        <w:t>What is the appropriate net book value for the SOU water system for transfer purposes?</w:t>
      </w:r>
    </w:p>
    <w:p w:rsidR="002555D8" w:rsidRPr="004C3641" w:rsidRDefault="002555D8">
      <w:pPr>
        <w:pStyle w:val="IssueSubsectionHeading"/>
        <w:rPr>
          <w:vanish/>
          <w:specVanish/>
        </w:rPr>
      </w:pPr>
      <w:r w:rsidRPr="004C3641">
        <w:t>Recommendation: </w:t>
      </w:r>
    </w:p>
    <w:p w:rsidR="002555D8" w:rsidRDefault="002555D8">
      <w:pPr>
        <w:pStyle w:val="BodyText"/>
      </w:pPr>
      <w:r>
        <w:t> </w:t>
      </w:r>
      <w:r w:rsidR="001929EA" w:rsidRPr="0062646B">
        <w:t>The net book value of the water system for transfer purposes is $79,051, as of January 1, 2014. Within 90 days of the date of the final order, SOU should be required to notify the Commission</w:t>
      </w:r>
      <w:r w:rsidR="00233896">
        <w:t>,</w:t>
      </w:r>
      <w:r w:rsidR="001929EA" w:rsidRPr="0062646B">
        <w:t xml:space="preserve"> in writing, that it has adjusted its books in accordance with the Commission’s decision. The adjustments should be reflected in SOU’s 2015 Annual Report when filed. Specifically, the Utility should </w:t>
      </w:r>
      <w:r w:rsidR="00F63114">
        <w:t xml:space="preserve">confirm </w:t>
      </w:r>
      <w:r w:rsidR="001929EA" w:rsidRPr="0062646B">
        <w:t xml:space="preserve">that the adjustments to all applicable </w:t>
      </w:r>
      <w:r w:rsidR="00C00D46">
        <w:t>National Association of Regulatory Utility Commissioners, Uniform System of Accounts (</w:t>
      </w:r>
      <w:r w:rsidR="001929EA" w:rsidRPr="0062646B">
        <w:t>NARUC USOA</w:t>
      </w:r>
      <w:r w:rsidR="00C00D46">
        <w:t>)</w:t>
      </w:r>
      <w:r w:rsidR="001929EA" w:rsidRPr="0062646B">
        <w:t xml:space="preserve"> primary accounts as shown on Schedule No. 2, Page 3 of 3, have been made to SOU’s books and records. In the event the Utility needs additional time to complete the adjustments, notice should be provided within seven days prior to the deadline. Upon providing good cause, staff should be given administrative authority to grant an extension of up to 60 days.  (Frank, </w:t>
      </w:r>
      <w:r w:rsidR="001929EA">
        <w:t xml:space="preserve">M. </w:t>
      </w:r>
      <w:r w:rsidR="001929EA" w:rsidRPr="0062646B">
        <w:t>Watts</w:t>
      </w:r>
      <w:r w:rsidR="001929EA">
        <w:t>)</w:t>
      </w:r>
      <w:r>
        <w:t xml:space="preserve"> </w:t>
      </w:r>
    </w:p>
    <w:p w:rsidR="002555D8" w:rsidRPr="004C3641" w:rsidRDefault="002555D8">
      <w:pPr>
        <w:pStyle w:val="IssueSubsectionHeading"/>
        <w:rPr>
          <w:vanish/>
          <w:specVanish/>
        </w:rPr>
      </w:pPr>
      <w:r w:rsidRPr="004C3641">
        <w:t>Staff Analysis: </w:t>
      </w:r>
    </w:p>
    <w:p w:rsidR="001929EA" w:rsidRPr="0062646B" w:rsidRDefault="002555D8" w:rsidP="001929EA">
      <w:pPr>
        <w:pStyle w:val="BodyText"/>
      </w:pPr>
      <w:r>
        <w:t> </w:t>
      </w:r>
      <w:r w:rsidR="001929EA" w:rsidRPr="0062646B">
        <w:rPr>
          <w:rFonts w:cs="Calibri"/>
        </w:rPr>
        <w:t>Rate base was last established for the Utility as of December 31, 2005</w:t>
      </w:r>
      <w:r w:rsidR="00A46474">
        <w:rPr>
          <w:rFonts w:cs="Calibri"/>
        </w:rPr>
        <w:t>, in its 2005 SARC</w:t>
      </w:r>
      <w:r w:rsidR="001929EA" w:rsidRPr="0062646B">
        <w:rPr>
          <w:rFonts w:cs="Calibri"/>
        </w:rPr>
        <w:t>.</w:t>
      </w:r>
      <w:r w:rsidR="001929EA" w:rsidRPr="0062646B">
        <w:rPr>
          <w:rStyle w:val="FootnoteReference"/>
          <w:rFonts w:cs="Calibri"/>
        </w:rPr>
        <w:footnoteReference w:id="5"/>
      </w:r>
      <w:r w:rsidR="001929EA" w:rsidRPr="0062646B">
        <w:rPr>
          <w:rFonts w:cs="Calibri"/>
        </w:rPr>
        <w:t xml:space="preserve"> The purpose of establishing </w:t>
      </w:r>
      <w:r w:rsidR="00193192">
        <w:rPr>
          <w:rFonts w:cs="Calibri"/>
        </w:rPr>
        <w:t>NBV</w:t>
      </w:r>
      <w:r w:rsidR="001929EA" w:rsidRPr="0062646B">
        <w:rPr>
          <w:rStyle w:val="BodyTextChar2"/>
          <w:rFonts w:cs="Calibri"/>
          <w:bCs/>
        </w:rPr>
        <w:t xml:space="preserve"> for transfers is to determine whether an acquisition adjustment should be approved. The NBV does not </w:t>
      </w:r>
      <w:r w:rsidR="001929EA" w:rsidRPr="0062646B">
        <w:rPr>
          <w:rStyle w:val="BodyTextChar2"/>
          <w:rFonts w:cs="Calibri"/>
        </w:rPr>
        <w:t>include normal ratemaking adjustments for used and useful plant or working capital. The Utility’s NBV has been updated to reflect balances as of</w:t>
      </w:r>
      <w:r w:rsidR="001929EA" w:rsidRPr="0062646B">
        <w:t xml:space="preserve"> January 1, 2014</w:t>
      </w:r>
      <w:r w:rsidR="001929EA" w:rsidRPr="0062646B">
        <w:rPr>
          <w:rStyle w:val="BodyTextChar2"/>
          <w:rFonts w:cs="Calibri"/>
        </w:rPr>
        <w:t xml:space="preserve">. Staff’s recommended NBV, as described below, is shown on </w:t>
      </w:r>
      <w:r w:rsidR="001929EA" w:rsidRPr="0062646B">
        <w:rPr>
          <w:rStyle w:val="BodyTextChar1"/>
          <w:rFonts w:cs="Calibri"/>
        </w:rPr>
        <w:t>Schedule No. 2</w:t>
      </w:r>
      <w:r w:rsidR="001929EA" w:rsidRPr="0062646B">
        <w:rPr>
          <w:rStyle w:val="BodyTextChar2"/>
          <w:rFonts w:cs="Calibri"/>
        </w:rPr>
        <w:t>.</w:t>
      </w:r>
    </w:p>
    <w:p w:rsidR="001929EA" w:rsidRPr="0062646B" w:rsidRDefault="001929EA" w:rsidP="001929EA">
      <w:pPr>
        <w:widowControl w:val="0"/>
        <w:jc w:val="both"/>
        <w:rPr>
          <w:rFonts w:ascii="Arial" w:hAnsi="Arial" w:cs="Arial"/>
          <w:b/>
        </w:rPr>
      </w:pPr>
      <w:r w:rsidRPr="0062646B">
        <w:rPr>
          <w:rFonts w:ascii="Arial" w:hAnsi="Arial" w:cs="Arial"/>
          <w:b/>
        </w:rPr>
        <w:t xml:space="preserve">Utility Plant in Service (UPIS) </w:t>
      </w:r>
    </w:p>
    <w:p w:rsidR="001929EA" w:rsidRPr="0062646B" w:rsidRDefault="001929EA" w:rsidP="001929EA">
      <w:pPr>
        <w:autoSpaceDE w:val="0"/>
        <w:autoSpaceDN w:val="0"/>
        <w:adjustRightInd w:val="0"/>
        <w:jc w:val="both"/>
        <w:rPr>
          <w:color w:val="000000"/>
        </w:rPr>
      </w:pPr>
      <w:r w:rsidRPr="0062646B">
        <w:t xml:space="preserve">The Utility’s general ledger reflected a UPIS balance of $219,537, as of January 1, 2014. Staff reviewed UPIS additions since the last rate case and as a result has increased UPIS by $7,177. </w:t>
      </w:r>
    </w:p>
    <w:p w:rsidR="001929EA" w:rsidRPr="0062646B" w:rsidRDefault="001929EA" w:rsidP="001929EA">
      <w:pPr>
        <w:autoSpaceDE w:val="0"/>
        <w:autoSpaceDN w:val="0"/>
        <w:adjustRightInd w:val="0"/>
        <w:jc w:val="both"/>
        <w:rPr>
          <w:color w:val="000000"/>
        </w:rPr>
      </w:pPr>
    </w:p>
    <w:p w:rsidR="001929EA" w:rsidRPr="0062646B" w:rsidRDefault="006C3F45" w:rsidP="001929EA">
      <w:pPr>
        <w:jc w:val="both"/>
      </w:pPr>
      <w:r w:rsidRPr="005F0E5E">
        <w:t xml:space="preserve">The Utility had retired its wells and water treatment plant, and interconnected to the City of Ocala </w:t>
      </w:r>
      <w:r w:rsidR="00A46474">
        <w:t xml:space="preserve">on </w:t>
      </w:r>
      <w:r w:rsidRPr="005F0E5E">
        <w:t xml:space="preserve">October 29, 2005, </w:t>
      </w:r>
      <w:r w:rsidR="00A46474">
        <w:t xml:space="preserve">which was </w:t>
      </w:r>
      <w:r w:rsidRPr="005F0E5E">
        <w:t xml:space="preserve">prior to </w:t>
      </w:r>
      <w:r w:rsidR="00A46474">
        <w:t>the date</w:t>
      </w:r>
      <w:r w:rsidRPr="005F0E5E">
        <w:t xml:space="preserve"> it </w:t>
      </w:r>
      <w:r w:rsidR="00A46474">
        <w:t>filed its 2005 SARC</w:t>
      </w:r>
      <w:r w:rsidRPr="005F0E5E">
        <w:t xml:space="preserve"> (November 1</w:t>
      </w:r>
      <w:r w:rsidR="00A46474">
        <w:t>0</w:t>
      </w:r>
      <w:r w:rsidRPr="005F0E5E">
        <w:t>, 2005.)</w:t>
      </w:r>
      <w:r w:rsidR="00A46474">
        <w:rPr>
          <w:rStyle w:val="FootnoteReference"/>
        </w:rPr>
        <w:footnoteReference w:id="6"/>
      </w:r>
      <w:r w:rsidRPr="005F0E5E">
        <w:t xml:space="preserve"> After extensive investigation, the Commission </w:t>
      </w:r>
      <w:r w:rsidR="00193192">
        <w:t>found</w:t>
      </w:r>
      <w:r w:rsidRPr="005F0E5E">
        <w:t xml:space="preserve"> that the retired system would have been sufficient to continue to serve the existing customers, and the reason the Utility interconnect</w:t>
      </w:r>
      <w:r w:rsidR="00233896">
        <w:t>ed</w:t>
      </w:r>
      <w:r w:rsidRPr="005F0E5E">
        <w:t xml:space="preserve"> with the City of Ocala was to be able to serve anticipated development. </w:t>
      </w:r>
      <w:r w:rsidR="001929EA" w:rsidRPr="005F0E5E">
        <w:t>T</w:t>
      </w:r>
      <w:r w:rsidR="00DC4CF5" w:rsidRPr="005F0E5E">
        <w:t>herefore, t</w:t>
      </w:r>
      <w:r w:rsidR="001929EA" w:rsidRPr="005F0E5E">
        <w:t xml:space="preserve">he interconnection with the City of Ocala was disallowed from rate base during the Utility’s last rate case as imprudent since it was not deemed necessary to serve the Utility’s current (at the time) customers. </w:t>
      </w:r>
      <w:r w:rsidR="000E02CA" w:rsidRPr="005F0E5E">
        <w:t xml:space="preserve">Staff believes that it is appropriate in the instant docket to </w:t>
      </w:r>
      <w:r w:rsidRPr="005F0E5E">
        <w:t>continue to exclude</w:t>
      </w:r>
      <w:r w:rsidR="000E02CA" w:rsidRPr="005F0E5E">
        <w:t xml:space="preserve"> the interconnection from rate base</w:t>
      </w:r>
      <w:r w:rsidR="00DC4CF5" w:rsidRPr="005F0E5E">
        <w:t>,</w:t>
      </w:r>
      <w:r w:rsidRPr="005F0E5E">
        <w:t xml:space="preserve"> consistent with </w:t>
      </w:r>
      <w:r w:rsidR="006F686B">
        <w:rPr>
          <w:rFonts w:cs="Calibri"/>
        </w:rPr>
        <w:t>Order No. PSC-07-0604-PAA-WU</w:t>
      </w:r>
      <w:r w:rsidR="000E02CA" w:rsidRPr="005F0E5E">
        <w:t>.</w:t>
      </w:r>
      <w:r w:rsidR="006F686B">
        <w:rPr>
          <w:rStyle w:val="FootnoteReference"/>
        </w:rPr>
        <w:footnoteReference w:id="7"/>
      </w:r>
      <w:r w:rsidR="000E02CA" w:rsidRPr="005F0E5E">
        <w:t xml:space="preserve"> However, since the interconnection is now the only source of water to supply all current customers, it should be considered in future rate proceedings.</w:t>
      </w:r>
    </w:p>
    <w:p w:rsidR="001929EA" w:rsidRPr="0062646B" w:rsidRDefault="001929EA" w:rsidP="001929EA">
      <w:pPr>
        <w:autoSpaceDE w:val="0"/>
        <w:autoSpaceDN w:val="0"/>
        <w:adjustRightInd w:val="0"/>
        <w:jc w:val="both"/>
        <w:rPr>
          <w:color w:val="000000"/>
        </w:rPr>
      </w:pPr>
    </w:p>
    <w:p w:rsidR="001929EA" w:rsidRPr="0062646B" w:rsidRDefault="001929EA" w:rsidP="001929EA">
      <w:pPr>
        <w:autoSpaceDE w:val="0"/>
        <w:autoSpaceDN w:val="0"/>
        <w:adjustRightInd w:val="0"/>
        <w:jc w:val="both"/>
        <w:rPr>
          <w:color w:val="000000"/>
        </w:rPr>
      </w:pPr>
      <w:r w:rsidRPr="0062646B">
        <w:t>Staff recommends UPIS should be increased by $7,177 to reflect a UPIS balance of $</w:t>
      </w:r>
      <w:r w:rsidRPr="0062646B">
        <w:rPr>
          <w:color w:val="000000"/>
        </w:rPr>
        <w:t>226,714 as of January 1, 2014.</w:t>
      </w:r>
    </w:p>
    <w:p w:rsidR="00784B8E" w:rsidRDefault="00784B8E" w:rsidP="001929EA">
      <w:pPr>
        <w:widowControl w:val="0"/>
        <w:jc w:val="both"/>
        <w:rPr>
          <w:rFonts w:ascii="Arial" w:hAnsi="Arial" w:cs="Arial"/>
          <w:b/>
        </w:rPr>
      </w:pPr>
    </w:p>
    <w:p w:rsidR="001929EA" w:rsidRPr="0062646B" w:rsidRDefault="001929EA" w:rsidP="001929EA">
      <w:pPr>
        <w:widowControl w:val="0"/>
        <w:jc w:val="both"/>
        <w:rPr>
          <w:rFonts w:ascii="Arial" w:hAnsi="Arial" w:cs="Arial"/>
          <w:b/>
        </w:rPr>
      </w:pPr>
      <w:r w:rsidRPr="0062646B">
        <w:rPr>
          <w:rFonts w:ascii="Arial" w:hAnsi="Arial" w:cs="Arial"/>
          <w:b/>
        </w:rPr>
        <w:t xml:space="preserve">Land </w:t>
      </w:r>
    </w:p>
    <w:p w:rsidR="001929EA" w:rsidRPr="0062646B" w:rsidRDefault="001929EA" w:rsidP="001929EA">
      <w:pPr>
        <w:autoSpaceDE w:val="0"/>
        <w:autoSpaceDN w:val="0"/>
        <w:adjustRightInd w:val="0"/>
        <w:jc w:val="both"/>
        <w:rPr>
          <w:bCs/>
          <w:kern w:val="32"/>
        </w:rPr>
      </w:pPr>
      <w:r w:rsidRPr="0062646B">
        <w:t xml:space="preserve">The Utility’s general ledger reflected a land balance of $2,815, </w:t>
      </w:r>
      <w:r w:rsidR="00F63114">
        <w:t xml:space="preserve">as of January 1, 2014. In Order </w:t>
      </w:r>
      <w:r w:rsidRPr="0062646B">
        <w:t>No. PSC-07-0604-PAA-WU</w:t>
      </w:r>
      <w:r w:rsidR="00F63114">
        <w:t xml:space="preserve"> </w:t>
      </w:r>
      <w:r w:rsidRPr="0062646B">
        <w:t>the Commission established the value of the land to be $2,815. There have been no additions to land purchased since that order was issued.</w:t>
      </w:r>
      <w:r w:rsidRPr="0062646B">
        <w:rPr>
          <w:rFonts w:eastAsia="MS PGothic"/>
          <w:bCs/>
          <w:kern w:val="32"/>
          <w:szCs w:val="32"/>
        </w:rPr>
        <w:t xml:space="preserve"> </w:t>
      </w:r>
      <w:r w:rsidRPr="0062646B">
        <w:t xml:space="preserve">Therefore, staff recommends land of $2,815, as of January 1, 2014. </w:t>
      </w:r>
    </w:p>
    <w:p w:rsidR="001929EA" w:rsidRPr="0062646B" w:rsidRDefault="001929EA" w:rsidP="001929EA">
      <w:pPr>
        <w:autoSpaceDE w:val="0"/>
        <w:autoSpaceDN w:val="0"/>
        <w:adjustRightInd w:val="0"/>
        <w:ind w:firstLine="720"/>
        <w:jc w:val="both"/>
        <w:rPr>
          <w:bCs/>
          <w:kern w:val="32"/>
        </w:rPr>
      </w:pPr>
    </w:p>
    <w:p w:rsidR="001929EA" w:rsidRPr="0062646B" w:rsidRDefault="001929EA" w:rsidP="001929EA">
      <w:pPr>
        <w:widowControl w:val="0"/>
        <w:jc w:val="both"/>
        <w:rPr>
          <w:rFonts w:ascii="Arial" w:hAnsi="Arial" w:cs="Arial"/>
          <w:b/>
        </w:rPr>
      </w:pPr>
      <w:r w:rsidRPr="0062646B">
        <w:rPr>
          <w:rFonts w:ascii="Arial" w:hAnsi="Arial" w:cs="Arial"/>
          <w:b/>
        </w:rPr>
        <w:t>Accumulated Depreciation</w:t>
      </w:r>
    </w:p>
    <w:p w:rsidR="001929EA" w:rsidRDefault="001929EA" w:rsidP="001929EA">
      <w:pPr>
        <w:autoSpaceDE w:val="0"/>
        <w:autoSpaceDN w:val="0"/>
        <w:adjustRightInd w:val="0"/>
        <w:jc w:val="both"/>
      </w:pPr>
      <w:r w:rsidRPr="0062646B">
        <w:t xml:space="preserve">The Utility’s general ledger reflected an accumulated depreciation balance of $93,858, as of </w:t>
      </w:r>
      <w:r w:rsidRPr="0062646B">
        <w:rPr>
          <w:color w:val="000000"/>
        </w:rPr>
        <w:t xml:space="preserve">January 1, 2014. </w:t>
      </w:r>
      <w:r w:rsidRPr="0062646B">
        <w:t xml:space="preserve">Staff calculated the appropriate accumulated depreciation balance to be $93,655. As a result, accumulated depreciation should be decreased by $203. </w:t>
      </w:r>
    </w:p>
    <w:p w:rsidR="000C3042" w:rsidRPr="0062646B" w:rsidRDefault="000C3042" w:rsidP="001929EA">
      <w:pPr>
        <w:autoSpaceDE w:val="0"/>
        <w:autoSpaceDN w:val="0"/>
        <w:adjustRightInd w:val="0"/>
        <w:jc w:val="both"/>
      </w:pPr>
    </w:p>
    <w:p w:rsidR="001929EA" w:rsidRPr="0062646B" w:rsidRDefault="001929EA" w:rsidP="001929EA">
      <w:pPr>
        <w:widowControl w:val="0"/>
        <w:jc w:val="both"/>
        <w:rPr>
          <w:rFonts w:ascii="Arial" w:hAnsi="Arial" w:cs="Arial"/>
          <w:b/>
        </w:rPr>
      </w:pPr>
      <w:r w:rsidRPr="0062646B">
        <w:rPr>
          <w:rFonts w:ascii="Arial" w:hAnsi="Arial" w:cs="Arial"/>
          <w:b/>
        </w:rPr>
        <w:t xml:space="preserve">CIAC </w:t>
      </w:r>
    </w:p>
    <w:p w:rsidR="001929EA" w:rsidRPr="0062646B" w:rsidRDefault="001929EA" w:rsidP="001929EA">
      <w:pPr>
        <w:autoSpaceDE w:val="0"/>
        <w:autoSpaceDN w:val="0"/>
        <w:adjustRightInd w:val="0"/>
        <w:jc w:val="both"/>
        <w:rPr>
          <w:u w:val="single"/>
        </w:rPr>
      </w:pPr>
      <w:r w:rsidRPr="0062646B">
        <w:t>As of January 1, 2014, the Utility’s general ledger reflected a CIAC balance of $87,008; and an accumulated amortization of CIAC balance of $40,982.</w:t>
      </w:r>
      <w:r w:rsidRPr="0062646B">
        <w:rPr>
          <w:color w:val="000000"/>
        </w:rPr>
        <w:t xml:space="preserve"> </w:t>
      </w:r>
      <w:r w:rsidRPr="0062646B">
        <w:t xml:space="preserve">Staff increased CIAC by $10,839 based on audited receipts since the Commission approved beginning balances from its last rate case. Using a composite rate, staff also calculated and increased accumulated amortization of CIAC by $42. </w:t>
      </w:r>
      <w:r w:rsidRPr="0062646B">
        <w:rPr>
          <w:color w:val="000000"/>
        </w:rPr>
        <w:t>Therefore, staff recommends a CIAC balance of $</w:t>
      </w:r>
      <w:r w:rsidRPr="0062646B">
        <w:t xml:space="preserve">97,847 </w:t>
      </w:r>
      <w:r w:rsidRPr="0062646B">
        <w:rPr>
          <w:color w:val="000000"/>
        </w:rPr>
        <w:t>and an accumulated amortization of CIAC balance of $</w:t>
      </w:r>
      <w:r w:rsidRPr="0062646B">
        <w:t>41,024,</w:t>
      </w:r>
      <w:r w:rsidRPr="0062646B">
        <w:rPr>
          <w:color w:val="000000"/>
        </w:rPr>
        <w:t xml:space="preserve"> as of January 1, 2014</w:t>
      </w:r>
      <w:r w:rsidRPr="0062646B">
        <w:rPr>
          <w:bCs/>
          <w:kern w:val="32"/>
        </w:rPr>
        <w:t xml:space="preserve">. </w:t>
      </w:r>
    </w:p>
    <w:p w:rsidR="001929EA" w:rsidRPr="0062646B" w:rsidRDefault="001929EA" w:rsidP="001929EA">
      <w:pPr>
        <w:widowControl w:val="0"/>
        <w:jc w:val="both"/>
        <w:rPr>
          <w:u w:val="single"/>
        </w:rPr>
      </w:pPr>
    </w:p>
    <w:p w:rsidR="001929EA" w:rsidRPr="0062646B" w:rsidRDefault="001929EA" w:rsidP="001929EA">
      <w:pPr>
        <w:widowControl w:val="0"/>
        <w:jc w:val="both"/>
        <w:rPr>
          <w:rFonts w:ascii="Arial" w:hAnsi="Arial" w:cs="Arial"/>
          <w:b/>
        </w:rPr>
      </w:pPr>
      <w:r w:rsidRPr="0062646B">
        <w:rPr>
          <w:rFonts w:ascii="Arial" w:hAnsi="Arial" w:cs="Arial"/>
          <w:b/>
        </w:rPr>
        <w:t>Net Book Value</w:t>
      </w:r>
    </w:p>
    <w:p w:rsidR="001929EA" w:rsidRPr="0062646B" w:rsidRDefault="001929EA" w:rsidP="001929EA">
      <w:pPr>
        <w:widowControl w:val="0"/>
        <w:jc w:val="both"/>
      </w:pPr>
      <w:r w:rsidRPr="0062646B">
        <w:t xml:space="preserve">The Utility’s general ledger reflected a NBV of $82,468. Based on the adjustments described above, staff recommends that the NBV for the Utility’s water system, as of January 1, 2014, is $79,051 ($82,468 - $3,417). Staff’s recommended NBV and the </w:t>
      </w:r>
      <w:r w:rsidR="00784B8E">
        <w:t>NARUC USOA</w:t>
      </w:r>
      <w:r w:rsidRPr="0062646B">
        <w:t xml:space="preserve"> balances for UPIS and accumulated depreciation as of </w:t>
      </w:r>
      <w:r w:rsidRPr="0062646B">
        <w:rPr>
          <w:bCs/>
          <w:color w:val="000000"/>
        </w:rPr>
        <w:t xml:space="preserve">January 1, 2014, </w:t>
      </w:r>
      <w:r w:rsidRPr="0062646B">
        <w:t>are shown on Schedule No. 2, page 3 of 3.</w:t>
      </w:r>
    </w:p>
    <w:p w:rsidR="001929EA" w:rsidRPr="0062646B" w:rsidRDefault="001929EA" w:rsidP="001929EA">
      <w:pPr>
        <w:jc w:val="both"/>
        <w:outlineLvl w:val="0"/>
        <w:rPr>
          <w:rFonts w:eastAsia="MS PGothic"/>
          <w:bCs/>
          <w:kern w:val="32"/>
          <w:u w:val="single"/>
        </w:rPr>
      </w:pPr>
    </w:p>
    <w:p w:rsidR="001929EA" w:rsidRPr="0062646B" w:rsidRDefault="001929EA" w:rsidP="001929EA">
      <w:pPr>
        <w:widowControl w:val="0"/>
        <w:jc w:val="both"/>
        <w:rPr>
          <w:rFonts w:ascii="Arial" w:hAnsi="Arial" w:cs="Arial"/>
          <w:b/>
        </w:rPr>
      </w:pPr>
      <w:r w:rsidRPr="0062646B">
        <w:rPr>
          <w:rFonts w:ascii="Arial" w:hAnsi="Arial" w:cs="Arial"/>
          <w:b/>
        </w:rPr>
        <w:t>Conclusion</w:t>
      </w:r>
    </w:p>
    <w:p w:rsidR="002555D8" w:rsidRDefault="001929EA" w:rsidP="001929EA">
      <w:pPr>
        <w:pStyle w:val="BodyText"/>
      </w:pPr>
      <w:r w:rsidRPr="0062646B">
        <w:t>Based on the above, staff recommends that the NBV of the water system for transfer purposes is $79,051, as of January 1, 2014. SOU should be required to notify the Commission in writing, that it has adjusted its books in accordance with the Commission’s decision. Specifically the Utility should submit a letter within 90 days of the final order in this docket, confirming that the adjustments to all applicable NARUC USOA primary accounts as shown on Schedule No. 2, Page 3 of 3, have been made to SOU’s books and records. In the event the Utility needs additional time to complete the adjustments, notice should be provided within seven days prior to the deadline. Upon providing good cause, staff should be given administrative authority to grant an extension of up to 60 days. The adjustments should be reflected in SOU’s 2015 Annual Report when filed</w:t>
      </w:r>
      <w:r>
        <w:t>.</w:t>
      </w:r>
    </w:p>
    <w:p w:rsidR="002555D8" w:rsidRDefault="002555D8">
      <w:pPr>
        <w:pStyle w:val="IssueHeading"/>
        <w:rPr>
          <w:vanish/>
          <w:specVanish/>
        </w:rPr>
      </w:pPr>
      <w:r w:rsidRPr="004C3641">
        <w:rPr>
          <w:b w:val="0"/>
          <w:i w:val="0"/>
        </w:rPr>
        <w:br w:type="page"/>
      </w:r>
      <w:r w:rsidRPr="004C3641">
        <w:lastRenderedPageBreak/>
        <w:t xml:space="preserve">Issue </w:t>
      </w:r>
      <w:fldSimple w:instr=" SEQ Issue \* MERGEFORMAT ">
        <w:r w:rsidR="00EE60A2">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EE60A2">
        <w:rPr>
          <w:noProof/>
        </w:rPr>
        <w:instrText>3</w:instrText>
      </w:r>
      <w:r>
        <w:fldChar w:fldCharType="end"/>
      </w:r>
      <w:r>
        <w:tab/>
        <w:instrText xml:space="preserve">" \l 1 </w:instrText>
      </w:r>
      <w:r>
        <w:fldChar w:fldCharType="end"/>
      </w:r>
      <w:r>
        <w:t> </w:t>
      </w:r>
    </w:p>
    <w:p w:rsidR="002555D8" w:rsidRDefault="002555D8">
      <w:pPr>
        <w:pStyle w:val="BodyText"/>
      </w:pPr>
      <w:r>
        <w:t> </w:t>
      </w:r>
      <w:r w:rsidR="00B85263">
        <w:t>Should an acquisition adjustment be recognized for rate-making purposes?</w:t>
      </w:r>
    </w:p>
    <w:p w:rsidR="002555D8" w:rsidRPr="004C3641" w:rsidRDefault="002555D8">
      <w:pPr>
        <w:pStyle w:val="IssueSubsectionHeading"/>
        <w:rPr>
          <w:vanish/>
          <w:specVanish/>
        </w:rPr>
      </w:pPr>
      <w:r w:rsidRPr="004C3641">
        <w:t>Recommendation: </w:t>
      </w:r>
    </w:p>
    <w:p w:rsidR="002555D8" w:rsidRDefault="002555D8">
      <w:pPr>
        <w:pStyle w:val="BodyText"/>
      </w:pPr>
      <w:r>
        <w:t> </w:t>
      </w:r>
      <w:r w:rsidR="001929EA" w:rsidRPr="0062646B">
        <w:t>Yes. Pursuant to Rule 25-30.0371, F.A.C., a negative acquisition adjustment of $63,014 should be recognized for rate-making purposes. Beginning with the date of the issuance of the order approving the transfer, 50 percent of the negative acquisition, which is $31,507, should be amortized over a 7-year period and the remaining 50 percent should be amortized over the remaining 33-year life of the assets. (Frank</w:t>
      </w:r>
      <w:r w:rsidR="001929EA">
        <w:t>)</w:t>
      </w:r>
      <w:r>
        <w:t xml:space="preserve"> </w:t>
      </w:r>
    </w:p>
    <w:p w:rsidR="002555D8" w:rsidRPr="004C3641" w:rsidRDefault="002555D8">
      <w:pPr>
        <w:pStyle w:val="IssueSubsectionHeading"/>
        <w:rPr>
          <w:vanish/>
          <w:specVanish/>
        </w:rPr>
      </w:pPr>
      <w:r w:rsidRPr="004C3641">
        <w:t>Staff Analysis: </w:t>
      </w:r>
    </w:p>
    <w:p w:rsidR="001929EA" w:rsidRPr="0062646B" w:rsidRDefault="002555D8" w:rsidP="001929EA">
      <w:pPr>
        <w:pStyle w:val="BodyText"/>
        <w:spacing w:after="0"/>
      </w:pPr>
      <w:r>
        <w:t> </w:t>
      </w:r>
      <w:r w:rsidR="001929EA" w:rsidRPr="0062646B">
        <w:t xml:space="preserve">An acquisition adjustment results when the purchase price differs from the </w:t>
      </w:r>
      <w:r w:rsidR="001929EA" w:rsidRPr="0062646B">
        <w:rPr>
          <w:rStyle w:val="BodyTextChar2"/>
        </w:rPr>
        <w:t>original cost of the assets (net book value) adjusted to</w:t>
      </w:r>
      <w:r w:rsidR="001929EA" w:rsidRPr="0062646B">
        <w:t xml:space="preserve"> the time of the acquisition. Pursuant to Rule 25-30.0371(3), F.A.C., if the purchase price is equal to or less than 80 percent of net book value, a negative acquisition adjustment shall be included in rate base and will be equal to 80 percent of net book value less the purchase price. Pursuant to Rule 25-30.0371(4)(b)2., F.A.C.,  in setting the amortization period for an acquisition adjustment, if the purchase price is equal to or less than 50 percent of the net book value, then 50 percent of the negative acquisition adjustment is amortized over a 7-year period and 50 percent amortized over the remaining life of the assets, beginning with the date of the issuance of the order approving the transfer of assets. Staff calculated the remaining life of the applicable water assets to be 33 years. The calculation of the acquisition adjustment is shown below in table 3-1.</w:t>
      </w:r>
    </w:p>
    <w:p w:rsidR="001929EA" w:rsidRDefault="001929EA" w:rsidP="001929EA">
      <w:pPr>
        <w:pStyle w:val="BodyText"/>
        <w:spacing w:after="0"/>
      </w:pPr>
    </w:p>
    <w:p w:rsidR="00104234" w:rsidRPr="0062646B" w:rsidRDefault="00104234" w:rsidP="001929EA">
      <w:pPr>
        <w:pStyle w:val="BodyText"/>
        <w:spacing w:after="0"/>
      </w:pPr>
    </w:p>
    <w:p w:rsidR="001929EA" w:rsidRPr="0062646B" w:rsidRDefault="001929EA" w:rsidP="001929EA">
      <w:pPr>
        <w:pStyle w:val="TableNumber"/>
        <w:keepNext/>
        <w:spacing w:before="0"/>
      </w:pPr>
      <w:r w:rsidRPr="0062646B">
        <w:t xml:space="preserve">Table </w:t>
      </w:r>
      <w:fldSimple w:instr=" SEQ Issue \c ">
        <w:r w:rsidR="00EE60A2">
          <w:rPr>
            <w:noProof/>
          </w:rPr>
          <w:t>3</w:t>
        </w:r>
      </w:fldSimple>
      <w:r w:rsidRPr="0062646B">
        <w:t>-1</w:t>
      </w:r>
    </w:p>
    <w:p w:rsidR="001929EA" w:rsidRPr="0062646B" w:rsidRDefault="001929EA" w:rsidP="001929EA">
      <w:pPr>
        <w:pStyle w:val="TableTitle"/>
        <w:keepNext/>
      </w:pPr>
      <w:r w:rsidRPr="0062646B">
        <w:t>Calculation of Negative Acquisition Adjustment</w:t>
      </w:r>
    </w:p>
    <w:tbl>
      <w:tblPr>
        <w:tblW w:w="47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882"/>
        <w:gridCol w:w="996"/>
      </w:tblGrid>
      <w:tr w:rsidR="001929EA" w:rsidRPr="0062646B" w:rsidTr="001929EA">
        <w:trPr>
          <w:trHeight w:val="308"/>
          <w:jc w:val="center"/>
        </w:trPr>
        <w:tc>
          <w:tcPr>
            <w:tcW w:w="0" w:type="auto"/>
            <w:noWrap/>
            <w:vAlign w:val="bottom"/>
            <w:hideMark/>
          </w:tcPr>
          <w:p w:rsidR="001929EA" w:rsidRPr="0062646B" w:rsidRDefault="001929EA" w:rsidP="001929EA">
            <w:pPr>
              <w:jc w:val="both"/>
              <w:rPr>
                <w:rStyle w:val="BodyTextChar1"/>
              </w:rPr>
            </w:pPr>
            <w:r w:rsidRPr="0062646B">
              <w:rPr>
                <w:rStyle w:val="BodyTextChar1"/>
              </w:rPr>
              <w:t>Net Book Value as of January 1, 2014</w:t>
            </w:r>
          </w:p>
        </w:tc>
        <w:tc>
          <w:tcPr>
            <w:tcW w:w="0" w:type="auto"/>
            <w:noWrap/>
            <w:vAlign w:val="bottom"/>
            <w:hideMark/>
          </w:tcPr>
          <w:p w:rsidR="001929EA" w:rsidRPr="0062646B" w:rsidRDefault="001929EA" w:rsidP="001929EA">
            <w:pPr>
              <w:jc w:val="right"/>
              <w:rPr>
                <w:color w:val="000000"/>
              </w:rPr>
            </w:pPr>
            <w:r w:rsidRPr="0062646B">
              <w:rPr>
                <w:color w:val="000000"/>
              </w:rPr>
              <w:t xml:space="preserve">$79,051 </w:t>
            </w:r>
          </w:p>
        </w:tc>
      </w:tr>
      <w:tr w:rsidR="001929EA" w:rsidRPr="0062646B" w:rsidTr="001929EA">
        <w:trPr>
          <w:trHeight w:val="308"/>
          <w:jc w:val="center"/>
        </w:trPr>
        <w:tc>
          <w:tcPr>
            <w:tcW w:w="0" w:type="auto"/>
            <w:noWrap/>
            <w:vAlign w:val="bottom"/>
            <w:hideMark/>
          </w:tcPr>
          <w:p w:rsidR="001929EA" w:rsidRPr="0062646B" w:rsidRDefault="001929EA" w:rsidP="001929EA">
            <w:pPr>
              <w:jc w:val="both"/>
              <w:rPr>
                <w:rStyle w:val="BodyTextChar1"/>
              </w:rPr>
            </w:pPr>
            <w:r w:rsidRPr="0062646B">
              <w:rPr>
                <w:rStyle w:val="BodyTextChar1"/>
              </w:rPr>
              <w:t>80% of Net Book value</w:t>
            </w:r>
          </w:p>
        </w:tc>
        <w:tc>
          <w:tcPr>
            <w:tcW w:w="0" w:type="auto"/>
            <w:noWrap/>
            <w:vAlign w:val="bottom"/>
            <w:hideMark/>
          </w:tcPr>
          <w:p w:rsidR="001929EA" w:rsidRPr="0062646B" w:rsidRDefault="001929EA" w:rsidP="001929EA">
            <w:pPr>
              <w:jc w:val="right"/>
              <w:rPr>
                <w:color w:val="000000"/>
              </w:rPr>
            </w:pPr>
            <w:r w:rsidRPr="0062646B">
              <w:rPr>
                <w:color w:val="000000"/>
              </w:rPr>
              <w:t xml:space="preserve">$63,241 </w:t>
            </w:r>
          </w:p>
        </w:tc>
      </w:tr>
      <w:tr w:rsidR="001929EA" w:rsidRPr="0062646B" w:rsidTr="001929EA">
        <w:trPr>
          <w:trHeight w:val="308"/>
          <w:jc w:val="center"/>
        </w:trPr>
        <w:tc>
          <w:tcPr>
            <w:tcW w:w="0" w:type="auto"/>
            <w:noWrap/>
            <w:vAlign w:val="bottom"/>
            <w:hideMark/>
          </w:tcPr>
          <w:p w:rsidR="001929EA" w:rsidRPr="0062646B" w:rsidRDefault="001929EA" w:rsidP="001929EA">
            <w:pPr>
              <w:jc w:val="both"/>
              <w:rPr>
                <w:rStyle w:val="BodyTextChar1"/>
              </w:rPr>
            </w:pPr>
            <w:r w:rsidRPr="0062646B">
              <w:rPr>
                <w:rStyle w:val="BodyTextChar1"/>
              </w:rPr>
              <w:t>Purchase Price</w:t>
            </w:r>
          </w:p>
        </w:tc>
        <w:tc>
          <w:tcPr>
            <w:tcW w:w="0" w:type="auto"/>
            <w:noWrap/>
            <w:vAlign w:val="bottom"/>
            <w:hideMark/>
          </w:tcPr>
          <w:p w:rsidR="001929EA" w:rsidRPr="0062646B" w:rsidRDefault="001929EA" w:rsidP="001929EA">
            <w:pPr>
              <w:jc w:val="right"/>
              <w:rPr>
                <w:color w:val="000000"/>
              </w:rPr>
            </w:pPr>
            <w:r w:rsidRPr="0062646B">
              <w:rPr>
                <w:color w:val="000000"/>
              </w:rPr>
              <w:t xml:space="preserve">$227 </w:t>
            </w:r>
          </w:p>
        </w:tc>
      </w:tr>
      <w:tr w:rsidR="001929EA" w:rsidRPr="0062646B" w:rsidTr="001929EA">
        <w:trPr>
          <w:trHeight w:val="308"/>
          <w:jc w:val="center"/>
        </w:trPr>
        <w:tc>
          <w:tcPr>
            <w:tcW w:w="0" w:type="auto"/>
            <w:noWrap/>
            <w:vAlign w:val="bottom"/>
            <w:hideMark/>
          </w:tcPr>
          <w:p w:rsidR="001929EA" w:rsidRPr="0062646B" w:rsidRDefault="001929EA" w:rsidP="001929EA">
            <w:pPr>
              <w:jc w:val="both"/>
              <w:rPr>
                <w:rStyle w:val="BodyTextChar1"/>
              </w:rPr>
            </w:pPr>
            <w:r w:rsidRPr="0062646B">
              <w:rPr>
                <w:rStyle w:val="BodyTextChar1"/>
              </w:rPr>
              <w:t>Negative Acquisition Adjustment</w:t>
            </w:r>
          </w:p>
        </w:tc>
        <w:tc>
          <w:tcPr>
            <w:tcW w:w="0" w:type="auto"/>
            <w:noWrap/>
            <w:vAlign w:val="bottom"/>
            <w:hideMark/>
          </w:tcPr>
          <w:p w:rsidR="001929EA" w:rsidRPr="0062646B" w:rsidRDefault="001929EA" w:rsidP="001929EA">
            <w:pPr>
              <w:jc w:val="right"/>
              <w:rPr>
                <w:color w:val="000000"/>
              </w:rPr>
            </w:pPr>
            <w:r w:rsidRPr="0062646B">
              <w:rPr>
                <w:color w:val="000000"/>
              </w:rPr>
              <w:t xml:space="preserve">$63,014 </w:t>
            </w:r>
          </w:p>
        </w:tc>
      </w:tr>
    </w:tbl>
    <w:p w:rsidR="001929EA" w:rsidRDefault="001929EA" w:rsidP="001929EA">
      <w:pPr>
        <w:pStyle w:val="BodyText"/>
        <w:spacing w:after="0"/>
      </w:pPr>
    </w:p>
    <w:p w:rsidR="00104234" w:rsidRPr="0062646B" w:rsidRDefault="00104234" w:rsidP="001929EA">
      <w:pPr>
        <w:pStyle w:val="BodyText"/>
        <w:spacing w:after="0"/>
      </w:pPr>
    </w:p>
    <w:p w:rsidR="002555D8" w:rsidRDefault="001929EA" w:rsidP="001929EA">
      <w:pPr>
        <w:pStyle w:val="BodyText"/>
      </w:pPr>
      <w:r w:rsidRPr="0062646B">
        <w:t>Staff recommends that, pursuant to Rule 25-30.0371, F.A.C., a negative acquisi</w:t>
      </w:r>
      <w:r w:rsidR="00784B8E">
        <w:t xml:space="preserve">tion adjustment of $63,014 </w:t>
      </w:r>
      <w:r w:rsidRPr="0062646B">
        <w:t>be reco</w:t>
      </w:r>
      <w:r w:rsidR="00784B8E">
        <w:t>gnized for rate-making purposes.</w:t>
      </w:r>
      <w:r w:rsidRPr="0062646B">
        <w:t xml:space="preserve"> Beginning with the date of the issuance of the order approving the transfer, 50 percent of the negative acquisition adjustment, which is $31,507 shall be amortized over a 7-year period and the remaining 50 percent </w:t>
      </w:r>
      <w:r w:rsidRPr="0005381C">
        <w:t>shall be amortized over the 33-year</w:t>
      </w:r>
      <w:r w:rsidR="00F052BE">
        <w:t xml:space="preserve"> remaining life of the assets. If the interconnection is</w:t>
      </w:r>
      <w:r w:rsidRPr="0005381C">
        <w:t xml:space="preserve"> placed into rate base during a future rate case, the appropriateness of an acquisition adjustment should be add</w:t>
      </w:r>
      <w:r w:rsidR="00F052BE">
        <w:t>ressed</w:t>
      </w:r>
      <w:r w:rsidRPr="0005381C">
        <w:t xml:space="preserve"> at that time</w:t>
      </w:r>
      <w:r>
        <w:t>.</w:t>
      </w:r>
    </w:p>
    <w:p w:rsidR="002555D8" w:rsidRDefault="002555D8">
      <w:pPr>
        <w:pStyle w:val="IssueHeading"/>
        <w:rPr>
          <w:vanish/>
          <w:specVanish/>
        </w:rPr>
      </w:pPr>
      <w:r w:rsidRPr="004C3641">
        <w:rPr>
          <w:b w:val="0"/>
          <w:i w:val="0"/>
        </w:rPr>
        <w:br w:type="page"/>
      </w:r>
      <w:r w:rsidRPr="004C3641">
        <w:lastRenderedPageBreak/>
        <w:t xml:space="preserve">Issue </w:t>
      </w:r>
      <w:fldSimple w:instr=" SEQ Issue \* MERGEFORMAT ">
        <w:r w:rsidR="00EE60A2">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EE60A2">
        <w:rPr>
          <w:noProof/>
        </w:rPr>
        <w:instrText>4</w:instrText>
      </w:r>
      <w:r>
        <w:fldChar w:fldCharType="end"/>
      </w:r>
      <w:r>
        <w:tab/>
        <w:instrText xml:space="preserve">" \l 1 </w:instrText>
      </w:r>
      <w:r>
        <w:fldChar w:fldCharType="end"/>
      </w:r>
      <w:r>
        <w:t> </w:t>
      </w:r>
    </w:p>
    <w:p w:rsidR="002555D8" w:rsidRDefault="002555D8">
      <w:pPr>
        <w:pStyle w:val="BodyText"/>
      </w:pPr>
      <w:r>
        <w:t> Should this docket be closed?</w:t>
      </w:r>
    </w:p>
    <w:p w:rsidR="002555D8" w:rsidRPr="004C3641" w:rsidRDefault="002555D8">
      <w:pPr>
        <w:pStyle w:val="IssueSubsectionHeading"/>
        <w:rPr>
          <w:vanish/>
          <w:specVanish/>
        </w:rPr>
      </w:pPr>
      <w:r w:rsidRPr="004C3641">
        <w:t>Recommendation: </w:t>
      </w:r>
    </w:p>
    <w:p w:rsidR="002555D8" w:rsidRDefault="002555D8">
      <w:pPr>
        <w:pStyle w:val="BodyText"/>
      </w:pPr>
      <w:r>
        <w:t> </w:t>
      </w:r>
      <w:r w:rsidR="001929EA" w:rsidRPr="000C52D6">
        <w:t>Yes. If no protest to the proposed agency action is filed by a substantially affected person within 21 days of the date of the order, a consummating order should be issued and the docket should be closed administratively after SOU has provided proof that its general ledgers have been updated to reflect the Commission-approved balances as of January 1, 2014. (Janjic</w:t>
      </w:r>
      <w:r w:rsidR="001929EA">
        <w:t>)</w:t>
      </w:r>
      <w:r>
        <w:t xml:space="preserve"> </w:t>
      </w:r>
    </w:p>
    <w:p w:rsidR="002555D8" w:rsidRPr="004C3641" w:rsidRDefault="002555D8">
      <w:pPr>
        <w:pStyle w:val="IssueSubsectionHeading"/>
        <w:rPr>
          <w:vanish/>
          <w:specVanish/>
        </w:rPr>
      </w:pPr>
      <w:r w:rsidRPr="004C3641">
        <w:t>Staff Analysis: </w:t>
      </w:r>
    </w:p>
    <w:p w:rsidR="002555D8" w:rsidRDefault="002555D8">
      <w:pPr>
        <w:pStyle w:val="BodyText"/>
      </w:pPr>
      <w:r>
        <w:t> </w:t>
      </w:r>
      <w:r w:rsidR="001929EA" w:rsidRPr="000C52D6">
        <w:t>If no protest to the proposed agency action is filed by a substantially affected person within 21 days of the date of the order, a consummating order should be issued and the docket should be closed administratively after SOU has provided proof that its general ledgers have been updated to reflect the Commission-approved balances as of January 1, 2014</w:t>
      </w:r>
      <w:r w:rsidR="001929EA">
        <w:t>.</w:t>
      </w:r>
    </w:p>
    <w:p w:rsidR="002555D8" w:rsidRDefault="002555D8" w:rsidP="00E275D8">
      <w:pPr>
        <w:pStyle w:val="BodyText"/>
        <w:sectPr w:rsidR="002555D8"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p w:rsidR="001929EA" w:rsidRPr="000C52D6" w:rsidRDefault="001929EA" w:rsidP="001929EA">
      <w:pPr>
        <w:tabs>
          <w:tab w:val="left" w:pos="360"/>
          <w:tab w:val="left" w:pos="720"/>
        </w:tabs>
        <w:suppressAutoHyphens/>
        <w:overflowPunct w:val="0"/>
        <w:autoSpaceDE w:val="0"/>
        <w:autoSpaceDN w:val="0"/>
        <w:adjustRightInd w:val="0"/>
        <w:jc w:val="both"/>
        <w:rPr>
          <w:b/>
          <w:spacing w:val="-2"/>
        </w:rPr>
      </w:pPr>
      <w:r w:rsidRPr="000C52D6">
        <w:rPr>
          <w:b/>
          <w:spacing w:val="-2"/>
        </w:rPr>
        <w:lastRenderedPageBreak/>
        <w:t>Township 16 South, Range 21 East</w:t>
      </w:r>
    </w:p>
    <w:p w:rsidR="001929EA" w:rsidRPr="000C52D6" w:rsidRDefault="001929EA" w:rsidP="001929EA">
      <w:pPr>
        <w:tabs>
          <w:tab w:val="left" w:pos="360"/>
          <w:tab w:val="left" w:pos="720"/>
        </w:tabs>
        <w:suppressAutoHyphens/>
        <w:overflowPunct w:val="0"/>
        <w:autoSpaceDE w:val="0"/>
        <w:autoSpaceDN w:val="0"/>
        <w:adjustRightInd w:val="0"/>
        <w:jc w:val="both"/>
        <w:rPr>
          <w:spacing w:val="-2"/>
        </w:rPr>
      </w:pPr>
    </w:p>
    <w:p w:rsidR="001929EA" w:rsidRPr="000C52D6" w:rsidRDefault="001929EA" w:rsidP="001929EA">
      <w:pPr>
        <w:tabs>
          <w:tab w:val="left" w:pos="360"/>
          <w:tab w:val="left" w:pos="720"/>
        </w:tabs>
        <w:suppressAutoHyphens/>
        <w:overflowPunct w:val="0"/>
        <w:autoSpaceDE w:val="0"/>
        <w:autoSpaceDN w:val="0"/>
        <w:adjustRightInd w:val="0"/>
        <w:jc w:val="both"/>
        <w:rPr>
          <w:b/>
          <w:spacing w:val="-2"/>
        </w:rPr>
      </w:pPr>
      <w:r w:rsidRPr="000C52D6">
        <w:rPr>
          <w:spacing w:val="-2"/>
        </w:rPr>
        <w:tab/>
      </w:r>
      <w:r w:rsidRPr="000C52D6">
        <w:rPr>
          <w:spacing w:val="-2"/>
        </w:rPr>
        <w:tab/>
      </w:r>
      <w:r w:rsidRPr="000C52D6">
        <w:rPr>
          <w:b/>
          <w:spacing w:val="-2"/>
        </w:rPr>
        <w:t>Section 4</w:t>
      </w:r>
    </w:p>
    <w:p w:rsidR="001929EA" w:rsidRPr="000C52D6" w:rsidRDefault="001929EA" w:rsidP="001929EA">
      <w:pPr>
        <w:tabs>
          <w:tab w:val="left" w:pos="360"/>
          <w:tab w:val="left" w:pos="720"/>
        </w:tabs>
        <w:suppressAutoHyphens/>
        <w:overflowPunct w:val="0"/>
        <w:autoSpaceDE w:val="0"/>
        <w:autoSpaceDN w:val="0"/>
        <w:adjustRightInd w:val="0"/>
        <w:jc w:val="both"/>
        <w:rPr>
          <w:b/>
          <w:spacing w:val="-2"/>
        </w:rPr>
      </w:pPr>
    </w:p>
    <w:p w:rsidR="001929EA" w:rsidRPr="000C52D6" w:rsidRDefault="001929EA" w:rsidP="001929EA">
      <w:pPr>
        <w:tabs>
          <w:tab w:val="left" w:pos="360"/>
        </w:tabs>
        <w:suppressAutoHyphens/>
        <w:overflowPunct w:val="0"/>
        <w:autoSpaceDE w:val="0"/>
        <w:autoSpaceDN w:val="0"/>
        <w:adjustRightInd w:val="0"/>
        <w:ind w:left="720" w:hanging="720"/>
        <w:jc w:val="both"/>
        <w:rPr>
          <w:spacing w:val="-2"/>
        </w:rPr>
      </w:pPr>
      <w:r w:rsidRPr="000C52D6">
        <w:rPr>
          <w:spacing w:val="-2"/>
        </w:rPr>
        <w:tab/>
      </w:r>
      <w:r w:rsidRPr="000C52D6">
        <w:rPr>
          <w:spacing w:val="-2"/>
        </w:rPr>
        <w:tab/>
        <w:t>The Southwest ¼</w:t>
      </w:r>
    </w:p>
    <w:p w:rsidR="001929EA" w:rsidRPr="000C52D6" w:rsidRDefault="001929EA" w:rsidP="001929EA">
      <w:pPr>
        <w:tabs>
          <w:tab w:val="left" w:pos="360"/>
        </w:tabs>
        <w:suppressAutoHyphens/>
        <w:overflowPunct w:val="0"/>
        <w:autoSpaceDE w:val="0"/>
        <w:autoSpaceDN w:val="0"/>
        <w:adjustRightInd w:val="0"/>
        <w:ind w:left="720" w:hanging="720"/>
        <w:jc w:val="both"/>
        <w:rPr>
          <w:spacing w:val="-2"/>
        </w:rPr>
      </w:pPr>
    </w:p>
    <w:p w:rsidR="001929EA" w:rsidRPr="000C52D6" w:rsidRDefault="001929EA" w:rsidP="001929EA">
      <w:pPr>
        <w:tabs>
          <w:tab w:val="left" w:pos="360"/>
        </w:tabs>
        <w:suppressAutoHyphens/>
        <w:overflowPunct w:val="0"/>
        <w:autoSpaceDE w:val="0"/>
        <w:autoSpaceDN w:val="0"/>
        <w:adjustRightInd w:val="0"/>
        <w:ind w:left="720" w:hanging="720"/>
        <w:jc w:val="both"/>
        <w:rPr>
          <w:spacing w:val="-2"/>
        </w:rPr>
      </w:pPr>
      <w:r w:rsidRPr="000C52D6">
        <w:rPr>
          <w:spacing w:val="-2"/>
        </w:rPr>
        <w:tab/>
      </w:r>
      <w:r w:rsidRPr="000C52D6">
        <w:rPr>
          <w:spacing w:val="-2"/>
        </w:rPr>
        <w:tab/>
        <w:t>Less and except that portion of the Northeast ¼ of said Southwest ¼ of said Section 4 lying North and West of State Road 200</w:t>
      </w:r>
    </w:p>
    <w:p w:rsidR="001929EA" w:rsidRPr="000C52D6" w:rsidRDefault="001929EA" w:rsidP="001929EA">
      <w:pPr>
        <w:tabs>
          <w:tab w:val="left" w:pos="360"/>
        </w:tabs>
        <w:suppressAutoHyphens/>
        <w:overflowPunct w:val="0"/>
        <w:autoSpaceDE w:val="0"/>
        <w:autoSpaceDN w:val="0"/>
        <w:adjustRightInd w:val="0"/>
        <w:ind w:left="720" w:hanging="720"/>
        <w:jc w:val="both"/>
        <w:rPr>
          <w:spacing w:val="-2"/>
        </w:rPr>
      </w:pPr>
    </w:p>
    <w:p w:rsidR="001929EA" w:rsidRPr="000C52D6" w:rsidRDefault="001929EA" w:rsidP="001929EA">
      <w:pPr>
        <w:tabs>
          <w:tab w:val="left" w:pos="360"/>
        </w:tabs>
        <w:suppressAutoHyphens/>
        <w:overflowPunct w:val="0"/>
        <w:autoSpaceDE w:val="0"/>
        <w:autoSpaceDN w:val="0"/>
        <w:adjustRightInd w:val="0"/>
        <w:ind w:left="720" w:hanging="720"/>
        <w:jc w:val="both"/>
        <w:rPr>
          <w:spacing w:val="-2"/>
        </w:rPr>
      </w:pPr>
      <w:r w:rsidRPr="000C52D6">
        <w:rPr>
          <w:spacing w:val="-2"/>
        </w:rPr>
        <w:tab/>
      </w:r>
      <w:r w:rsidRPr="000C52D6">
        <w:rPr>
          <w:spacing w:val="-2"/>
        </w:rPr>
        <w:tab/>
        <w:t>and</w:t>
      </w:r>
    </w:p>
    <w:p w:rsidR="001929EA" w:rsidRPr="000C52D6" w:rsidRDefault="001929EA" w:rsidP="001929EA">
      <w:pPr>
        <w:tabs>
          <w:tab w:val="left" w:pos="360"/>
        </w:tabs>
        <w:suppressAutoHyphens/>
        <w:overflowPunct w:val="0"/>
        <w:autoSpaceDE w:val="0"/>
        <w:autoSpaceDN w:val="0"/>
        <w:adjustRightInd w:val="0"/>
        <w:ind w:left="720" w:hanging="720"/>
        <w:jc w:val="both"/>
        <w:rPr>
          <w:spacing w:val="-2"/>
        </w:rPr>
      </w:pPr>
    </w:p>
    <w:p w:rsidR="001929EA" w:rsidRPr="000C52D6" w:rsidRDefault="001929EA" w:rsidP="001929EA">
      <w:pPr>
        <w:tabs>
          <w:tab w:val="left" w:pos="360"/>
        </w:tabs>
        <w:suppressAutoHyphens/>
        <w:overflowPunct w:val="0"/>
        <w:autoSpaceDE w:val="0"/>
        <w:autoSpaceDN w:val="0"/>
        <w:adjustRightInd w:val="0"/>
        <w:ind w:left="720" w:hanging="720"/>
        <w:jc w:val="both"/>
        <w:rPr>
          <w:spacing w:val="-2"/>
        </w:rPr>
      </w:pPr>
      <w:r w:rsidRPr="000C52D6">
        <w:rPr>
          <w:spacing w:val="-2"/>
        </w:rPr>
        <w:tab/>
      </w:r>
      <w:r w:rsidRPr="000C52D6">
        <w:rPr>
          <w:spacing w:val="-2"/>
        </w:rPr>
        <w:tab/>
        <w:t>Less and except that portion of the Northeast ¼ of said Southeast ¼ of the Southwest ¼ of said Section 4 lying North and West of State Road 200.</w:t>
      </w:r>
    </w:p>
    <w:p w:rsidR="001929EA" w:rsidRPr="000C52D6" w:rsidRDefault="001929EA" w:rsidP="001929EA">
      <w:pPr>
        <w:tabs>
          <w:tab w:val="left" w:pos="360"/>
        </w:tabs>
        <w:suppressAutoHyphens/>
        <w:overflowPunct w:val="0"/>
        <w:autoSpaceDE w:val="0"/>
        <w:autoSpaceDN w:val="0"/>
        <w:adjustRightInd w:val="0"/>
        <w:jc w:val="both"/>
        <w:rPr>
          <w:spacing w:val="-2"/>
        </w:rPr>
      </w:pPr>
    </w:p>
    <w:p w:rsidR="001929EA" w:rsidRPr="000C52D6" w:rsidRDefault="001929EA" w:rsidP="001929EA">
      <w:pPr>
        <w:tabs>
          <w:tab w:val="left" w:pos="360"/>
          <w:tab w:val="left" w:pos="720"/>
        </w:tabs>
        <w:suppressAutoHyphens/>
        <w:overflowPunct w:val="0"/>
        <w:autoSpaceDE w:val="0"/>
        <w:autoSpaceDN w:val="0"/>
        <w:adjustRightInd w:val="0"/>
        <w:jc w:val="both"/>
        <w:rPr>
          <w:b/>
          <w:spacing w:val="-2"/>
        </w:rPr>
      </w:pPr>
      <w:r w:rsidRPr="000C52D6">
        <w:rPr>
          <w:spacing w:val="-2"/>
        </w:rPr>
        <w:tab/>
      </w:r>
      <w:r w:rsidRPr="000C52D6">
        <w:rPr>
          <w:spacing w:val="-2"/>
        </w:rPr>
        <w:tab/>
      </w:r>
      <w:r w:rsidRPr="000C52D6">
        <w:rPr>
          <w:b/>
          <w:spacing w:val="-2"/>
        </w:rPr>
        <w:t>Section 5</w:t>
      </w:r>
    </w:p>
    <w:p w:rsidR="001929EA" w:rsidRPr="000C52D6" w:rsidRDefault="001929EA" w:rsidP="001929EA">
      <w:pPr>
        <w:tabs>
          <w:tab w:val="left" w:pos="360"/>
          <w:tab w:val="left" w:pos="720"/>
        </w:tabs>
        <w:suppressAutoHyphens/>
        <w:overflowPunct w:val="0"/>
        <w:autoSpaceDE w:val="0"/>
        <w:autoSpaceDN w:val="0"/>
        <w:adjustRightInd w:val="0"/>
        <w:jc w:val="both"/>
        <w:rPr>
          <w:spacing w:val="-2"/>
        </w:rPr>
      </w:pPr>
    </w:p>
    <w:p w:rsidR="001929EA" w:rsidRPr="000C52D6" w:rsidRDefault="001929EA" w:rsidP="001929EA">
      <w:pPr>
        <w:tabs>
          <w:tab w:val="left" w:pos="360"/>
        </w:tabs>
        <w:suppressAutoHyphens/>
        <w:overflowPunct w:val="0"/>
        <w:autoSpaceDE w:val="0"/>
        <w:autoSpaceDN w:val="0"/>
        <w:adjustRightInd w:val="0"/>
        <w:jc w:val="both"/>
        <w:rPr>
          <w:spacing w:val="-2"/>
        </w:rPr>
      </w:pPr>
      <w:r w:rsidRPr="000C52D6">
        <w:rPr>
          <w:spacing w:val="-2"/>
        </w:rPr>
        <w:tab/>
      </w:r>
      <w:r w:rsidRPr="000C52D6">
        <w:rPr>
          <w:spacing w:val="-2"/>
        </w:rPr>
        <w:tab/>
        <w:t>The East ¾ of the South ½ of the Southeast ¼.</w:t>
      </w:r>
    </w:p>
    <w:p w:rsidR="001929EA" w:rsidRPr="000C52D6" w:rsidRDefault="001929EA" w:rsidP="001929EA">
      <w:pPr>
        <w:tabs>
          <w:tab w:val="left" w:pos="360"/>
        </w:tabs>
        <w:suppressAutoHyphens/>
        <w:overflowPunct w:val="0"/>
        <w:autoSpaceDE w:val="0"/>
        <w:autoSpaceDN w:val="0"/>
        <w:adjustRightInd w:val="0"/>
        <w:jc w:val="both"/>
        <w:rPr>
          <w:spacing w:val="-2"/>
        </w:rPr>
      </w:pPr>
    </w:p>
    <w:p w:rsidR="001929EA" w:rsidRPr="000C52D6" w:rsidRDefault="001929EA" w:rsidP="001929EA">
      <w:pPr>
        <w:tabs>
          <w:tab w:val="left" w:pos="360"/>
          <w:tab w:val="left" w:pos="720"/>
        </w:tabs>
        <w:suppressAutoHyphens/>
        <w:overflowPunct w:val="0"/>
        <w:autoSpaceDE w:val="0"/>
        <w:autoSpaceDN w:val="0"/>
        <w:adjustRightInd w:val="0"/>
        <w:jc w:val="both"/>
        <w:rPr>
          <w:b/>
          <w:spacing w:val="-2"/>
        </w:rPr>
      </w:pPr>
      <w:r w:rsidRPr="000C52D6">
        <w:rPr>
          <w:spacing w:val="-2"/>
        </w:rPr>
        <w:tab/>
      </w:r>
      <w:r w:rsidRPr="000C52D6">
        <w:rPr>
          <w:spacing w:val="-2"/>
        </w:rPr>
        <w:tab/>
      </w:r>
      <w:r w:rsidRPr="000C52D6">
        <w:rPr>
          <w:b/>
          <w:spacing w:val="-2"/>
        </w:rPr>
        <w:t>Section 8</w:t>
      </w:r>
    </w:p>
    <w:p w:rsidR="001929EA" w:rsidRPr="000C52D6" w:rsidRDefault="001929EA" w:rsidP="001929EA">
      <w:pPr>
        <w:tabs>
          <w:tab w:val="left" w:pos="360"/>
          <w:tab w:val="left" w:pos="720"/>
        </w:tabs>
        <w:suppressAutoHyphens/>
        <w:overflowPunct w:val="0"/>
        <w:autoSpaceDE w:val="0"/>
        <w:autoSpaceDN w:val="0"/>
        <w:adjustRightInd w:val="0"/>
        <w:jc w:val="both"/>
        <w:rPr>
          <w:spacing w:val="-2"/>
        </w:rPr>
      </w:pPr>
    </w:p>
    <w:p w:rsidR="001929EA" w:rsidRPr="000C52D6" w:rsidRDefault="001929EA" w:rsidP="001929EA">
      <w:pPr>
        <w:tabs>
          <w:tab w:val="left" w:pos="360"/>
        </w:tabs>
        <w:suppressAutoHyphens/>
        <w:overflowPunct w:val="0"/>
        <w:autoSpaceDE w:val="0"/>
        <w:autoSpaceDN w:val="0"/>
        <w:adjustRightInd w:val="0"/>
        <w:ind w:left="720" w:hanging="720"/>
        <w:jc w:val="both"/>
        <w:rPr>
          <w:rFonts w:asciiTheme="minorHAnsi" w:hAnsiTheme="minorHAnsi" w:cstheme="minorHAnsi"/>
          <w:spacing w:val="-2"/>
        </w:rPr>
      </w:pPr>
      <w:r w:rsidRPr="000C52D6">
        <w:rPr>
          <w:spacing w:val="-2"/>
        </w:rPr>
        <w:tab/>
      </w:r>
      <w:r w:rsidRPr="000C52D6">
        <w:rPr>
          <w:spacing w:val="-2"/>
        </w:rPr>
        <w:tab/>
        <w:t>That portion of the Northeast ¼ lying North and West of State Road 200. Except: Beginning at the intersection of the South boundary of the Northeast ¼ and the Northerly right-of-way of State Road 200; thence North 89° 53’ 23” West a distance of 1,458.52 feet; thence North 00° 00’ 34” East a  distance of 665.08 feet; thence North 89° 53’ 23” East a distance of 1,326.73 feet; thence South 69° 21’ 33” East a distance of 557.40 feet; thence Southwesterly along the Northwestern right-of-way line of State Road 200 to the POINT OF BEGINNING.</w:t>
      </w:r>
    </w:p>
    <w:p w:rsidR="001929EA" w:rsidRPr="000C52D6" w:rsidRDefault="001929EA" w:rsidP="001929EA">
      <w:pPr>
        <w:tabs>
          <w:tab w:val="left" w:pos="360"/>
        </w:tabs>
        <w:suppressAutoHyphens/>
        <w:overflowPunct w:val="0"/>
        <w:autoSpaceDE w:val="0"/>
        <w:autoSpaceDN w:val="0"/>
        <w:adjustRightInd w:val="0"/>
        <w:jc w:val="both"/>
        <w:rPr>
          <w:spacing w:val="-2"/>
        </w:rPr>
      </w:pPr>
    </w:p>
    <w:p w:rsidR="001929EA" w:rsidRPr="000C52D6" w:rsidRDefault="001929EA" w:rsidP="001929EA">
      <w:pPr>
        <w:tabs>
          <w:tab w:val="left" w:pos="360"/>
          <w:tab w:val="left" w:pos="720"/>
        </w:tabs>
        <w:suppressAutoHyphens/>
        <w:overflowPunct w:val="0"/>
        <w:autoSpaceDE w:val="0"/>
        <w:autoSpaceDN w:val="0"/>
        <w:adjustRightInd w:val="0"/>
        <w:jc w:val="both"/>
        <w:rPr>
          <w:b/>
          <w:spacing w:val="-2"/>
        </w:rPr>
      </w:pPr>
      <w:r w:rsidRPr="000C52D6">
        <w:rPr>
          <w:spacing w:val="-2"/>
        </w:rPr>
        <w:tab/>
      </w:r>
      <w:r w:rsidRPr="000C52D6">
        <w:rPr>
          <w:spacing w:val="-2"/>
        </w:rPr>
        <w:tab/>
      </w:r>
      <w:r w:rsidRPr="000C52D6">
        <w:rPr>
          <w:b/>
          <w:spacing w:val="-2"/>
        </w:rPr>
        <w:t>Section 9</w:t>
      </w:r>
    </w:p>
    <w:p w:rsidR="001929EA" w:rsidRPr="000C52D6" w:rsidRDefault="001929EA" w:rsidP="001929EA">
      <w:pPr>
        <w:tabs>
          <w:tab w:val="left" w:pos="360"/>
          <w:tab w:val="left" w:pos="720"/>
        </w:tabs>
        <w:suppressAutoHyphens/>
        <w:overflowPunct w:val="0"/>
        <w:autoSpaceDE w:val="0"/>
        <w:autoSpaceDN w:val="0"/>
        <w:adjustRightInd w:val="0"/>
        <w:jc w:val="both"/>
        <w:rPr>
          <w:b/>
          <w:spacing w:val="-2"/>
        </w:rPr>
      </w:pPr>
    </w:p>
    <w:p w:rsidR="00506393" w:rsidRDefault="001929EA" w:rsidP="001929EA">
      <w:pPr>
        <w:pStyle w:val="BodyText"/>
        <w:sectPr w:rsidR="00506393" w:rsidSect="0068481F">
          <w:headerReference w:type="default" r:id="rId16"/>
          <w:pgSz w:w="12240" w:h="15840" w:code="1"/>
          <w:pgMar w:top="1584" w:right="1440" w:bottom="1440" w:left="1440" w:header="720" w:footer="720" w:gutter="0"/>
          <w:cols w:space="720"/>
          <w:formProt w:val="0"/>
          <w:docGrid w:linePitch="360"/>
        </w:sectPr>
      </w:pPr>
      <w:r w:rsidRPr="000C52D6">
        <w:rPr>
          <w:spacing w:val="-2"/>
        </w:rPr>
        <w:tab/>
        <w:t>That portion of the Northwest ¼, lying North and West of State Road 20</w:t>
      </w:r>
      <w:r>
        <w:rPr>
          <w:spacing w:val="-2"/>
        </w:rPr>
        <w:t>0</w:t>
      </w:r>
    </w:p>
    <w:p w:rsidR="001929EA" w:rsidRPr="000C52D6" w:rsidRDefault="001929EA" w:rsidP="001929EA">
      <w:pPr>
        <w:jc w:val="center"/>
        <w:rPr>
          <w:b/>
        </w:rPr>
      </w:pPr>
      <w:r w:rsidRPr="000C52D6">
        <w:rPr>
          <w:b/>
        </w:rPr>
        <w:lastRenderedPageBreak/>
        <w:t>FLORIDA PUBLIC SERVICE COMMISSION</w:t>
      </w:r>
    </w:p>
    <w:p w:rsidR="001929EA" w:rsidRPr="000C52D6" w:rsidRDefault="001929EA" w:rsidP="001929EA">
      <w:pPr>
        <w:jc w:val="center"/>
        <w:rPr>
          <w:b/>
        </w:rPr>
      </w:pPr>
      <w:r w:rsidRPr="000C52D6">
        <w:rPr>
          <w:b/>
        </w:rPr>
        <w:t>authorizes</w:t>
      </w:r>
    </w:p>
    <w:p w:rsidR="001929EA" w:rsidRPr="000C52D6" w:rsidRDefault="001929EA" w:rsidP="001929EA">
      <w:pPr>
        <w:jc w:val="center"/>
        <w:rPr>
          <w:b/>
        </w:rPr>
      </w:pPr>
      <w:r w:rsidRPr="000C52D6">
        <w:rPr>
          <w:b/>
        </w:rPr>
        <w:t>Southwest Ocala Utility, Inc.</w:t>
      </w:r>
    </w:p>
    <w:p w:rsidR="001929EA" w:rsidRPr="000C52D6" w:rsidRDefault="001929EA" w:rsidP="001929EA">
      <w:pPr>
        <w:jc w:val="center"/>
        <w:rPr>
          <w:b/>
        </w:rPr>
      </w:pPr>
      <w:r w:rsidRPr="000C52D6">
        <w:rPr>
          <w:b/>
        </w:rPr>
        <w:t xml:space="preserve">pursuant to </w:t>
      </w:r>
    </w:p>
    <w:p w:rsidR="001929EA" w:rsidRPr="000C52D6" w:rsidRDefault="001929EA" w:rsidP="001929EA">
      <w:pPr>
        <w:jc w:val="center"/>
        <w:rPr>
          <w:b/>
        </w:rPr>
      </w:pPr>
      <w:r w:rsidRPr="000C52D6">
        <w:rPr>
          <w:b/>
        </w:rPr>
        <w:t>Certificate Number 390-W</w:t>
      </w:r>
    </w:p>
    <w:p w:rsidR="001929EA" w:rsidRPr="000C52D6" w:rsidRDefault="001929EA" w:rsidP="001929EA">
      <w:pPr>
        <w:jc w:val="both"/>
      </w:pPr>
    </w:p>
    <w:p w:rsidR="001929EA" w:rsidRPr="000C52D6" w:rsidRDefault="001929EA" w:rsidP="001929EA">
      <w:pPr>
        <w:jc w:val="both"/>
      </w:pPr>
      <w:r w:rsidRPr="000C52D6">
        <w:t xml:space="preserve">to provide water service in Marion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1929EA" w:rsidRPr="000C52D6" w:rsidRDefault="001929EA" w:rsidP="001929EA"/>
    <w:p w:rsidR="001929EA" w:rsidRPr="000C52D6" w:rsidRDefault="001929EA" w:rsidP="001929EA">
      <w:r w:rsidRPr="000C52D6">
        <w:rPr>
          <w:u w:val="single"/>
        </w:rPr>
        <w:t>Order Number</w:t>
      </w:r>
      <w:r w:rsidRPr="000C52D6">
        <w:tab/>
      </w:r>
      <w:r w:rsidRPr="000C52D6">
        <w:tab/>
      </w:r>
      <w:r w:rsidRPr="000C52D6">
        <w:tab/>
      </w:r>
      <w:r w:rsidRPr="000C52D6">
        <w:rPr>
          <w:u w:val="single"/>
        </w:rPr>
        <w:t>Date Issued</w:t>
      </w:r>
      <w:r w:rsidRPr="000C52D6">
        <w:tab/>
      </w:r>
      <w:r w:rsidRPr="000C52D6">
        <w:rPr>
          <w:u w:val="single"/>
        </w:rPr>
        <w:t>Docket Number</w:t>
      </w:r>
      <w:r w:rsidRPr="000C52D6">
        <w:tab/>
      </w:r>
      <w:r w:rsidRPr="000C52D6">
        <w:rPr>
          <w:u w:val="single"/>
        </w:rPr>
        <w:t>Filing Type</w:t>
      </w:r>
    </w:p>
    <w:p w:rsidR="001929EA" w:rsidRPr="000C52D6" w:rsidRDefault="001929EA" w:rsidP="001929EA"/>
    <w:p w:rsidR="001929EA" w:rsidRPr="000C52D6" w:rsidRDefault="001929EA" w:rsidP="001929EA">
      <w:pPr>
        <w:tabs>
          <w:tab w:val="right" w:pos="3870"/>
        </w:tabs>
      </w:pPr>
      <w:r w:rsidRPr="000C52D6">
        <w:t>11868</w:t>
      </w:r>
      <w:r w:rsidRPr="000C52D6">
        <w:tab/>
        <w:t>04/21/83</w:t>
      </w:r>
      <w:r w:rsidRPr="000C52D6">
        <w:tab/>
        <w:t>810369-W</w:t>
      </w:r>
      <w:r w:rsidRPr="000C52D6">
        <w:tab/>
      </w:r>
      <w:r w:rsidRPr="000C52D6">
        <w:tab/>
        <w:t>Grandfather Certificate</w:t>
      </w:r>
    </w:p>
    <w:p w:rsidR="001929EA" w:rsidRPr="000C52D6" w:rsidRDefault="001929EA" w:rsidP="001929EA">
      <w:pPr>
        <w:tabs>
          <w:tab w:val="right" w:pos="3870"/>
        </w:tabs>
      </w:pPr>
      <w:r w:rsidRPr="000C52D6">
        <w:t>PSC-97-0578-FOF-WU</w:t>
      </w:r>
      <w:r w:rsidRPr="000C52D6">
        <w:tab/>
        <w:t>05/20/97</w:t>
      </w:r>
      <w:r w:rsidRPr="000C52D6">
        <w:tab/>
        <w:t>970085-WU</w:t>
      </w:r>
      <w:r w:rsidRPr="000C52D6">
        <w:tab/>
      </w:r>
      <w:r w:rsidRPr="000C52D6">
        <w:tab/>
        <w:t>Amendment</w:t>
      </w:r>
    </w:p>
    <w:p w:rsidR="001929EA" w:rsidRPr="000C52D6" w:rsidRDefault="001929EA" w:rsidP="001929EA">
      <w:pPr>
        <w:tabs>
          <w:tab w:val="right" w:pos="3870"/>
        </w:tabs>
      </w:pPr>
      <w:r w:rsidRPr="000C52D6">
        <w:t>PSC-03-0792-FOF-WU</w:t>
      </w:r>
      <w:r w:rsidRPr="000C52D6">
        <w:tab/>
        <w:t>07/03/93</w:t>
      </w:r>
      <w:r w:rsidRPr="000C52D6">
        <w:tab/>
        <w:t>030453-WU</w:t>
      </w:r>
      <w:r w:rsidRPr="000C52D6">
        <w:tab/>
      </w:r>
      <w:r w:rsidRPr="000C52D6">
        <w:tab/>
        <w:t>Name Correction</w:t>
      </w:r>
    </w:p>
    <w:p w:rsidR="001929EA" w:rsidRPr="000C52D6" w:rsidRDefault="001929EA" w:rsidP="001929EA">
      <w:pPr>
        <w:rPr>
          <w:b/>
        </w:rPr>
      </w:pPr>
      <w:r w:rsidRPr="000C52D6">
        <w:t>*</w:t>
      </w:r>
      <w:r w:rsidRPr="000C52D6">
        <w:tab/>
      </w:r>
      <w:r w:rsidRPr="000C52D6">
        <w:tab/>
      </w:r>
      <w:r w:rsidRPr="000C52D6">
        <w:tab/>
      </w:r>
      <w:r w:rsidRPr="000C52D6">
        <w:tab/>
        <w:t>*</w:t>
      </w:r>
      <w:r w:rsidRPr="000C52D6">
        <w:tab/>
      </w:r>
      <w:r w:rsidRPr="000C52D6">
        <w:tab/>
        <w:t>150012-WU</w:t>
      </w:r>
      <w:r w:rsidRPr="000C52D6">
        <w:tab/>
      </w:r>
      <w:r w:rsidRPr="000C52D6">
        <w:tab/>
        <w:t>Transfer</w:t>
      </w:r>
    </w:p>
    <w:p w:rsidR="001929EA" w:rsidRPr="000C52D6" w:rsidRDefault="001929EA" w:rsidP="001929EA">
      <w:pPr>
        <w:rPr>
          <w:b/>
        </w:rPr>
      </w:pPr>
    </w:p>
    <w:p w:rsidR="002555D8" w:rsidRDefault="001929EA" w:rsidP="00E275D8">
      <w:pPr>
        <w:pStyle w:val="BodyText"/>
        <w:sectPr w:rsidR="002555D8" w:rsidSect="0068481F">
          <w:headerReference w:type="default" r:id="rId17"/>
          <w:pgSz w:w="12240" w:h="15840" w:code="1"/>
          <w:pgMar w:top="1584" w:right="1440" w:bottom="1440" w:left="1440" w:header="720" w:footer="720" w:gutter="0"/>
          <w:cols w:space="720"/>
          <w:formProt w:val="0"/>
          <w:docGrid w:linePitch="360"/>
        </w:sectPr>
      </w:pPr>
      <w:r w:rsidRPr="000C52D6">
        <w:rPr>
          <w:b/>
        </w:rPr>
        <w:t>*Order Numbers and dates to be provided at time of issuanc</w:t>
      </w:r>
      <w:r>
        <w:rPr>
          <w:b/>
        </w:rPr>
        <w:t>e</w:t>
      </w:r>
    </w:p>
    <w:p w:rsidR="001929EA" w:rsidRPr="000C52D6" w:rsidRDefault="001929EA" w:rsidP="001929EA">
      <w:pPr>
        <w:pStyle w:val="BodyText"/>
        <w:spacing w:after="0"/>
        <w:jc w:val="center"/>
        <w:rPr>
          <w:rFonts w:ascii="Arial" w:hAnsi="Arial" w:cs="Arial"/>
          <w:b/>
        </w:rPr>
      </w:pPr>
      <w:r w:rsidRPr="000C52D6">
        <w:rPr>
          <w:rFonts w:ascii="Arial" w:hAnsi="Arial" w:cs="Arial"/>
          <w:b/>
        </w:rPr>
        <w:lastRenderedPageBreak/>
        <w:t>Southwest Ocala Utility, Inc.</w:t>
      </w:r>
    </w:p>
    <w:p w:rsidR="001929EA" w:rsidRPr="000C52D6" w:rsidRDefault="001929EA" w:rsidP="001929EA">
      <w:pPr>
        <w:pStyle w:val="BodyText"/>
        <w:spacing w:after="0"/>
        <w:jc w:val="center"/>
        <w:rPr>
          <w:rFonts w:ascii="Arial" w:hAnsi="Arial" w:cs="Arial"/>
          <w:b/>
        </w:rPr>
      </w:pPr>
      <w:r w:rsidRPr="000C52D6">
        <w:rPr>
          <w:rFonts w:ascii="Arial" w:hAnsi="Arial" w:cs="Arial"/>
          <w:b/>
        </w:rPr>
        <w:t>Monthly Water Rates</w:t>
      </w:r>
    </w:p>
    <w:tbl>
      <w:tblPr>
        <w:tblW w:w="9540" w:type="dxa"/>
        <w:tblInd w:w="-72" w:type="dxa"/>
        <w:tblLook w:val="01E0" w:firstRow="1" w:lastRow="1" w:firstColumn="1" w:lastColumn="1" w:noHBand="0" w:noVBand="0"/>
      </w:tblPr>
      <w:tblGrid>
        <w:gridCol w:w="4500"/>
        <w:gridCol w:w="810"/>
        <w:gridCol w:w="4230"/>
      </w:tblGrid>
      <w:tr w:rsidR="001929EA" w:rsidRPr="000C52D6" w:rsidTr="001929EA">
        <w:trPr>
          <w:trHeight w:val="297"/>
        </w:trPr>
        <w:tc>
          <w:tcPr>
            <w:tcW w:w="450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0C52D6">
              <w:rPr>
                <w:rFonts w:ascii="Arial" w:hAnsi="Arial" w:cs="Arial"/>
                <w:b/>
              </w:rPr>
              <w:t>Residential and General Service</w:t>
            </w:r>
          </w:p>
        </w:tc>
        <w:tc>
          <w:tcPr>
            <w:tcW w:w="81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423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r>
      <w:tr w:rsidR="001929EA" w:rsidRPr="000C52D6" w:rsidTr="001929EA">
        <w:tc>
          <w:tcPr>
            <w:tcW w:w="450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0C52D6">
              <w:t>Base Facility Charge by Meter Size</w:t>
            </w:r>
          </w:p>
        </w:tc>
        <w:tc>
          <w:tcPr>
            <w:tcW w:w="81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929EA" w:rsidRPr="000C52D6" w:rsidTr="001929EA">
        <w:tc>
          <w:tcPr>
            <w:tcW w:w="450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0C52D6">
              <w:t>5/8” x 3/4"</w:t>
            </w:r>
          </w:p>
        </w:tc>
        <w:tc>
          <w:tcPr>
            <w:tcW w:w="81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$10.18</w:t>
            </w:r>
          </w:p>
        </w:tc>
      </w:tr>
      <w:tr w:rsidR="001929EA" w:rsidRPr="000C52D6" w:rsidTr="001929EA">
        <w:tc>
          <w:tcPr>
            <w:tcW w:w="450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0C52D6">
              <w:t>3/4"</w:t>
            </w:r>
          </w:p>
        </w:tc>
        <w:tc>
          <w:tcPr>
            <w:tcW w:w="81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$15.27</w:t>
            </w:r>
          </w:p>
        </w:tc>
      </w:tr>
      <w:tr w:rsidR="001929EA" w:rsidRPr="000C52D6" w:rsidTr="001929EA">
        <w:tc>
          <w:tcPr>
            <w:tcW w:w="450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0C52D6">
              <w:t>1"</w:t>
            </w:r>
          </w:p>
        </w:tc>
        <w:tc>
          <w:tcPr>
            <w:tcW w:w="81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$25.45</w:t>
            </w:r>
          </w:p>
        </w:tc>
      </w:tr>
      <w:tr w:rsidR="001929EA" w:rsidRPr="000C52D6" w:rsidTr="001929EA">
        <w:tc>
          <w:tcPr>
            <w:tcW w:w="450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0C52D6">
              <w:t>1 1/2"</w:t>
            </w:r>
          </w:p>
        </w:tc>
        <w:tc>
          <w:tcPr>
            <w:tcW w:w="81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$50.89</w:t>
            </w:r>
          </w:p>
        </w:tc>
      </w:tr>
      <w:tr w:rsidR="001929EA" w:rsidRPr="000C52D6" w:rsidTr="001929EA">
        <w:tc>
          <w:tcPr>
            <w:tcW w:w="450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0C52D6">
              <w:t>2"</w:t>
            </w:r>
          </w:p>
        </w:tc>
        <w:tc>
          <w:tcPr>
            <w:tcW w:w="81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$81.43</w:t>
            </w:r>
          </w:p>
        </w:tc>
      </w:tr>
      <w:tr w:rsidR="001929EA" w:rsidRPr="000C52D6" w:rsidTr="001929EA">
        <w:tc>
          <w:tcPr>
            <w:tcW w:w="450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0C52D6">
              <w:t>3"</w:t>
            </w:r>
          </w:p>
        </w:tc>
        <w:tc>
          <w:tcPr>
            <w:tcW w:w="81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$162.86</w:t>
            </w:r>
          </w:p>
        </w:tc>
      </w:tr>
      <w:tr w:rsidR="001929EA" w:rsidRPr="000C52D6" w:rsidTr="001929EA">
        <w:tc>
          <w:tcPr>
            <w:tcW w:w="450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0C52D6">
              <w:t>4"</w:t>
            </w:r>
          </w:p>
        </w:tc>
        <w:tc>
          <w:tcPr>
            <w:tcW w:w="81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$254.49</w:t>
            </w:r>
          </w:p>
        </w:tc>
      </w:tr>
      <w:tr w:rsidR="001929EA" w:rsidRPr="000C52D6" w:rsidTr="001929EA">
        <w:tc>
          <w:tcPr>
            <w:tcW w:w="450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0C52D6">
              <w:t>6"</w:t>
            </w:r>
          </w:p>
        </w:tc>
        <w:tc>
          <w:tcPr>
            <w:tcW w:w="81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$508.94</w:t>
            </w:r>
          </w:p>
        </w:tc>
      </w:tr>
      <w:tr w:rsidR="001929EA" w:rsidRPr="000C52D6" w:rsidTr="001929EA">
        <w:tc>
          <w:tcPr>
            <w:tcW w:w="450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929EA" w:rsidRPr="000C52D6" w:rsidTr="001929EA">
        <w:tc>
          <w:tcPr>
            <w:tcW w:w="450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0C52D6">
              <w:t>Charge per 1,000 gallons – Residential</w:t>
            </w:r>
          </w:p>
        </w:tc>
        <w:tc>
          <w:tcPr>
            <w:tcW w:w="81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929EA" w:rsidRPr="000C52D6" w:rsidTr="001929EA">
        <w:tc>
          <w:tcPr>
            <w:tcW w:w="450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0C52D6">
              <w:t>0-10,000 gallons</w:t>
            </w:r>
          </w:p>
        </w:tc>
        <w:tc>
          <w:tcPr>
            <w:tcW w:w="81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$2.55</w:t>
            </w:r>
          </w:p>
        </w:tc>
      </w:tr>
      <w:tr w:rsidR="001929EA" w:rsidRPr="000C52D6" w:rsidTr="001929EA">
        <w:tc>
          <w:tcPr>
            <w:tcW w:w="450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0C52D6">
              <w:t>10,001-20,000 gallons</w:t>
            </w:r>
          </w:p>
        </w:tc>
        <w:tc>
          <w:tcPr>
            <w:tcW w:w="81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$3.19</w:t>
            </w:r>
          </w:p>
        </w:tc>
      </w:tr>
      <w:tr w:rsidR="001929EA" w:rsidRPr="000C52D6" w:rsidTr="001929EA">
        <w:tc>
          <w:tcPr>
            <w:tcW w:w="450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0C52D6">
              <w:t>Over 20,000 gallons</w:t>
            </w:r>
          </w:p>
        </w:tc>
        <w:tc>
          <w:tcPr>
            <w:tcW w:w="81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$3.81</w:t>
            </w:r>
          </w:p>
        </w:tc>
      </w:tr>
      <w:tr w:rsidR="001929EA" w:rsidRPr="000C52D6" w:rsidTr="001929EA">
        <w:tc>
          <w:tcPr>
            <w:tcW w:w="450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929EA" w:rsidRPr="000C52D6" w:rsidTr="001929EA">
        <w:tc>
          <w:tcPr>
            <w:tcW w:w="450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0C52D6">
              <w:t>Charge Per 1,000 gallons – General Service</w:t>
            </w:r>
          </w:p>
        </w:tc>
        <w:tc>
          <w:tcPr>
            <w:tcW w:w="81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$2.70</w:t>
            </w:r>
          </w:p>
        </w:tc>
      </w:tr>
      <w:tr w:rsidR="001929EA" w:rsidRPr="000C52D6" w:rsidTr="001929EA">
        <w:tc>
          <w:tcPr>
            <w:tcW w:w="450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929EA" w:rsidRPr="000C52D6" w:rsidTr="001929EA">
        <w:trPr>
          <w:trHeight w:val="341"/>
        </w:trPr>
        <w:tc>
          <w:tcPr>
            <w:tcW w:w="450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r w:rsidRPr="000C52D6">
              <w:rPr>
                <w:rFonts w:ascii="Arial" w:hAnsi="Arial" w:cs="Arial"/>
                <w:b/>
              </w:rPr>
              <w:t>Private Fire Protection</w:t>
            </w:r>
          </w:p>
        </w:tc>
        <w:tc>
          <w:tcPr>
            <w:tcW w:w="81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929EA" w:rsidRPr="000C52D6" w:rsidTr="001929EA">
        <w:tc>
          <w:tcPr>
            <w:tcW w:w="450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0C52D6">
              <w:t>Base Facility Charge by Meter Size</w:t>
            </w:r>
          </w:p>
        </w:tc>
        <w:tc>
          <w:tcPr>
            <w:tcW w:w="81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929EA" w:rsidRPr="000C52D6" w:rsidTr="001929EA">
        <w:tc>
          <w:tcPr>
            <w:tcW w:w="450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0C52D6">
              <w:t>4"</w:t>
            </w:r>
          </w:p>
        </w:tc>
        <w:tc>
          <w:tcPr>
            <w:tcW w:w="81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$21.21</w:t>
            </w:r>
          </w:p>
        </w:tc>
      </w:tr>
      <w:tr w:rsidR="001929EA" w:rsidRPr="000C52D6" w:rsidTr="001929EA">
        <w:tc>
          <w:tcPr>
            <w:tcW w:w="450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0C52D6">
              <w:t>6"</w:t>
            </w:r>
          </w:p>
        </w:tc>
        <w:tc>
          <w:tcPr>
            <w:tcW w:w="81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$42.41</w:t>
            </w:r>
          </w:p>
        </w:tc>
      </w:tr>
      <w:tr w:rsidR="001929EA" w:rsidRPr="000C52D6" w:rsidTr="001929EA">
        <w:tc>
          <w:tcPr>
            <w:tcW w:w="450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0C52D6">
              <w:t>8”</w:t>
            </w:r>
          </w:p>
        </w:tc>
        <w:tc>
          <w:tcPr>
            <w:tcW w:w="81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$67.87</w:t>
            </w:r>
          </w:p>
        </w:tc>
      </w:tr>
      <w:tr w:rsidR="001929EA" w:rsidRPr="000C52D6" w:rsidTr="001929EA">
        <w:tc>
          <w:tcPr>
            <w:tcW w:w="450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0C52D6">
              <w:t>10”</w:t>
            </w:r>
          </w:p>
        </w:tc>
        <w:tc>
          <w:tcPr>
            <w:tcW w:w="81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$97.56</w:t>
            </w:r>
          </w:p>
        </w:tc>
      </w:tr>
    </w:tbl>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bl>
      <w:tblPr>
        <w:tblW w:w="9540" w:type="dxa"/>
        <w:tblInd w:w="-72" w:type="dxa"/>
        <w:tblLook w:val="01E0" w:firstRow="1" w:lastRow="1" w:firstColumn="1" w:lastColumn="1" w:noHBand="0" w:noVBand="0"/>
      </w:tblPr>
      <w:tblGrid>
        <w:gridCol w:w="4500"/>
        <w:gridCol w:w="5040"/>
      </w:tblGrid>
      <w:tr w:rsidR="001929EA" w:rsidRPr="000C52D6" w:rsidTr="001929EA">
        <w:tc>
          <w:tcPr>
            <w:tcW w:w="9540" w:type="dxa"/>
            <w:gridSpan w:val="2"/>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0C52D6">
              <w:rPr>
                <w:rFonts w:ascii="Arial" w:hAnsi="Arial" w:cs="Arial"/>
                <w:b/>
              </w:rPr>
              <w:t>Initial Customer Deposits</w:t>
            </w:r>
          </w:p>
        </w:tc>
      </w:tr>
      <w:tr w:rsidR="001929EA" w:rsidRPr="000C52D6" w:rsidTr="001929EA">
        <w:tc>
          <w:tcPr>
            <w:tcW w:w="450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504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929EA" w:rsidRPr="000C52D6" w:rsidTr="001929EA">
        <w:tc>
          <w:tcPr>
            <w:tcW w:w="9540" w:type="dxa"/>
            <w:gridSpan w:val="2"/>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0C52D6">
              <w:rPr>
                <w:rFonts w:ascii="Arial" w:hAnsi="Arial" w:cs="Arial"/>
                <w:b/>
              </w:rPr>
              <w:t>Residential Service and General Service</w:t>
            </w:r>
          </w:p>
        </w:tc>
      </w:tr>
      <w:tr w:rsidR="001929EA" w:rsidRPr="000C52D6" w:rsidTr="001929EA">
        <w:tc>
          <w:tcPr>
            <w:tcW w:w="450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0C52D6">
              <w:t>5/8” x 3/4”</w:t>
            </w:r>
          </w:p>
        </w:tc>
        <w:tc>
          <w:tcPr>
            <w:tcW w:w="504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$50.00</w:t>
            </w:r>
          </w:p>
        </w:tc>
      </w:tr>
      <w:tr w:rsidR="001929EA" w:rsidRPr="000C52D6" w:rsidTr="001929EA">
        <w:tc>
          <w:tcPr>
            <w:tcW w:w="450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0C52D6">
              <w:t>3/4"</w:t>
            </w:r>
          </w:p>
        </w:tc>
        <w:tc>
          <w:tcPr>
            <w:tcW w:w="504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$75.00</w:t>
            </w:r>
          </w:p>
        </w:tc>
      </w:tr>
      <w:tr w:rsidR="001929EA" w:rsidRPr="000C52D6" w:rsidTr="001929EA">
        <w:tc>
          <w:tcPr>
            <w:tcW w:w="450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0C52D6">
              <w:t>1”</w:t>
            </w:r>
          </w:p>
        </w:tc>
        <w:tc>
          <w:tcPr>
            <w:tcW w:w="504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$125.00</w:t>
            </w:r>
          </w:p>
        </w:tc>
      </w:tr>
      <w:tr w:rsidR="001929EA" w:rsidRPr="000C52D6" w:rsidTr="001929EA">
        <w:tc>
          <w:tcPr>
            <w:tcW w:w="450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0C52D6">
              <w:t>Over 1”</w:t>
            </w:r>
          </w:p>
        </w:tc>
        <w:tc>
          <w:tcPr>
            <w:tcW w:w="504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2 times the average estimated bill</w:t>
            </w:r>
          </w:p>
        </w:tc>
      </w:tr>
    </w:tbl>
    <w:p w:rsidR="001929EA" w:rsidRPr="000C52D6" w:rsidRDefault="001929EA" w:rsidP="001929EA">
      <w:pPr>
        <w:jc w:val="center"/>
        <w:rPr>
          <w:b/>
        </w:rPr>
      </w:pPr>
      <w:r w:rsidRPr="000C52D6">
        <w:rPr>
          <w:b/>
        </w:rPr>
        <w:t xml:space="preserve"> </w:t>
      </w:r>
    </w:p>
    <w:tbl>
      <w:tblPr>
        <w:tblW w:w="9630" w:type="dxa"/>
        <w:tblInd w:w="-72" w:type="dxa"/>
        <w:tblLook w:val="01E0" w:firstRow="1" w:lastRow="1" w:firstColumn="1" w:lastColumn="1" w:noHBand="0" w:noVBand="0"/>
      </w:tblPr>
      <w:tblGrid>
        <w:gridCol w:w="5670"/>
        <w:gridCol w:w="1980"/>
        <w:gridCol w:w="1980"/>
      </w:tblGrid>
      <w:tr w:rsidR="001929EA" w:rsidRPr="000C52D6" w:rsidTr="001929EA">
        <w:trPr>
          <w:trHeight w:val="144"/>
        </w:trPr>
        <w:tc>
          <w:tcPr>
            <w:tcW w:w="9630" w:type="dxa"/>
            <w:gridSpan w:val="3"/>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0C52D6">
              <w:rPr>
                <w:rFonts w:ascii="Arial" w:hAnsi="Arial" w:cs="Arial"/>
                <w:b/>
              </w:rPr>
              <w:t>Miscellaneous Service Charges</w:t>
            </w:r>
          </w:p>
        </w:tc>
      </w:tr>
      <w:tr w:rsidR="001929EA" w:rsidRPr="000C52D6" w:rsidTr="001929EA">
        <w:trPr>
          <w:trHeight w:val="144"/>
        </w:trPr>
        <w:tc>
          <w:tcPr>
            <w:tcW w:w="567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98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98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929EA" w:rsidRPr="000C52D6" w:rsidTr="001929EA">
        <w:trPr>
          <w:trHeight w:val="144"/>
        </w:trPr>
        <w:tc>
          <w:tcPr>
            <w:tcW w:w="567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98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0C52D6">
              <w:rPr>
                <w:u w:val="single"/>
              </w:rPr>
              <w:t xml:space="preserve">Business Hours </w:t>
            </w:r>
          </w:p>
        </w:tc>
        <w:tc>
          <w:tcPr>
            <w:tcW w:w="198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0C52D6">
              <w:rPr>
                <w:u w:val="single"/>
              </w:rPr>
              <w:t>After Hours</w:t>
            </w:r>
          </w:p>
        </w:tc>
      </w:tr>
      <w:tr w:rsidR="001929EA" w:rsidRPr="000C52D6" w:rsidTr="001929EA">
        <w:trPr>
          <w:trHeight w:val="144"/>
        </w:trPr>
        <w:tc>
          <w:tcPr>
            <w:tcW w:w="567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98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98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929EA" w:rsidRPr="000C52D6" w:rsidTr="001929EA">
        <w:trPr>
          <w:trHeight w:val="144"/>
        </w:trPr>
        <w:tc>
          <w:tcPr>
            <w:tcW w:w="567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0C52D6">
              <w:t>Initial Connection Charge</w:t>
            </w:r>
          </w:p>
        </w:tc>
        <w:tc>
          <w:tcPr>
            <w:tcW w:w="198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$21.00</w:t>
            </w:r>
          </w:p>
        </w:tc>
        <w:tc>
          <w:tcPr>
            <w:tcW w:w="198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N/A</w:t>
            </w:r>
          </w:p>
        </w:tc>
      </w:tr>
      <w:tr w:rsidR="001929EA" w:rsidRPr="000C52D6" w:rsidTr="001929EA">
        <w:trPr>
          <w:trHeight w:val="144"/>
        </w:trPr>
        <w:tc>
          <w:tcPr>
            <w:tcW w:w="567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0C52D6">
              <w:t>Normal Reconnection Charge</w:t>
            </w:r>
          </w:p>
        </w:tc>
        <w:tc>
          <w:tcPr>
            <w:tcW w:w="198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$21.00</w:t>
            </w:r>
          </w:p>
        </w:tc>
        <w:tc>
          <w:tcPr>
            <w:tcW w:w="198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$42.00</w:t>
            </w:r>
          </w:p>
        </w:tc>
      </w:tr>
      <w:tr w:rsidR="001929EA" w:rsidRPr="000C52D6" w:rsidTr="001929EA">
        <w:trPr>
          <w:trHeight w:val="144"/>
        </w:trPr>
        <w:tc>
          <w:tcPr>
            <w:tcW w:w="567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0C52D6">
              <w:t>Violation Reconnection Charge</w:t>
            </w:r>
          </w:p>
        </w:tc>
        <w:tc>
          <w:tcPr>
            <w:tcW w:w="198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$21.00</w:t>
            </w:r>
          </w:p>
        </w:tc>
        <w:tc>
          <w:tcPr>
            <w:tcW w:w="198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$42.00</w:t>
            </w:r>
          </w:p>
        </w:tc>
      </w:tr>
      <w:tr w:rsidR="001929EA" w:rsidRPr="000C52D6" w:rsidTr="001929EA">
        <w:trPr>
          <w:trHeight w:val="144"/>
        </w:trPr>
        <w:tc>
          <w:tcPr>
            <w:tcW w:w="567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0C52D6">
              <w:t>Premises Visit Charge (in lieu of disconnection)</w:t>
            </w:r>
          </w:p>
        </w:tc>
        <w:tc>
          <w:tcPr>
            <w:tcW w:w="198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$21.00</w:t>
            </w:r>
          </w:p>
        </w:tc>
        <w:tc>
          <w:tcPr>
            <w:tcW w:w="198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$42.00</w:t>
            </w:r>
          </w:p>
        </w:tc>
      </w:tr>
      <w:tr w:rsidR="001929EA" w:rsidRPr="000C52D6" w:rsidTr="001929EA">
        <w:trPr>
          <w:trHeight w:val="144"/>
        </w:trPr>
        <w:tc>
          <w:tcPr>
            <w:tcW w:w="5670"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0C52D6">
              <w:t xml:space="preserve">Late Payment Charge </w:t>
            </w:r>
          </w:p>
        </w:tc>
        <w:tc>
          <w:tcPr>
            <w:tcW w:w="198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tc>
        <w:tc>
          <w:tcPr>
            <w:tcW w:w="1980"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0C52D6">
              <w:t>$5.00</w:t>
            </w:r>
          </w:p>
        </w:tc>
      </w:tr>
    </w:tbl>
    <w:p w:rsidR="002555D8" w:rsidRDefault="002555D8" w:rsidP="00E275D8">
      <w:pPr>
        <w:pStyle w:val="BodyText"/>
        <w:sectPr w:rsidR="002555D8" w:rsidSect="0068481F">
          <w:headerReference w:type="default" r:id="rId18"/>
          <w:pgSz w:w="12240" w:h="15840" w:code="1"/>
          <w:pgMar w:top="1584" w:right="1440" w:bottom="1440" w:left="1440" w:header="720" w:footer="720" w:gutter="0"/>
          <w:cols w:space="720"/>
          <w:formProt w:val="0"/>
          <w:docGrid w:linePitch="360"/>
        </w:sectPr>
      </w:pPr>
    </w:p>
    <w:tbl>
      <w:tblPr>
        <w:tblW w:w="9594" w:type="dxa"/>
        <w:tblInd w:w="-72" w:type="dxa"/>
        <w:tblLook w:val="01E0" w:firstRow="1" w:lastRow="1" w:firstColumn="1" w:lastColumn="1" w:noHBand="0" w:noVBand="0"/>
      </w:tblPr>
      <w:tblGrid>
        <w:gridCol w:w="4568"/>
        <w:gridCol w:w="808"/>
        <w:gridCol w:w="4218"/>
      </w:tblGrid>
      <w:tr w:rsidR="001929EA" w:rsidRPr="000C52D6" w:rsidTr="001929EA">
        <w:tc>
          <w:tcPr>
            <w:tcW w:w="9594" w:type="dxa"/>
            <w:gridSpan w:val="3"/>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0C52D6">
              <w:rPr>
                <w:rFonts w:ascii="Arial" w:hAnsi="Arial" w:cs="Arial"/>
                <w:b/>
              </w:rPr>
              <w:lastRenderedPageBreak/>
              <w:t>Service Availability Charges</w:t>
            </w:r>
          </w:p>
        </w:tc>
      </w:tr>
      <w:tr w:rsidR="001929EA" w:rsidRPr="000C52D6" w:rsidTr="001929EA">
        <w:trPr>
          <w:trHeight w:val="162"/>
        </w:trPr>
        <w:tc>
          <w:tcPr>
            <w:tcW w:w="4568"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808"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929EA" w:rsidRPr="000C52D6" w:rsidTr="001929EA">
        <w:trPr>
          <w:trHeight w:val="162"/>
        </w:trPr>
        <w:tc>
          <w:tcPr>
            <w:tcW w:w="4568"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0C52D6">
              <w:rPr>
                <w:rFonts w:ascii="Arial" w:hAnsi="Arial" w:cs="Arial"/>
                <w:b/>
              </w:rPr>
              <w:t>Main Extension Charge</w:t>
            </w:r>
          </w:p>
        </w:tc>
        <w:tc>
          <w:tcPr>
            <w:tcW w:w="808"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929EA" w:rsidRPr="000C52D6" w:rsidTr="001929EA">
        <w:tc>
          <w:tcPr>
            <w:tcW w:w="4568"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0C52D6">
              <w:t xml:space="preserve">Residential – Per ERC </w:t>
            </w:r>
          </w:p>
        </w:tc>
        <w:tc>
          <w:tcPr>
            <w:tcW w:w="808" w:type="dxa"/>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hideMark/>
          </w:tcPr>
          <w:p w:rsidR="001929EA" w:rsidRPr="000C52D6" w:rsidRDefault="001929EA" w:rsidP="001929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C52D6">
              <w:t>$1,540.00</w:t>
            </w:r>
          </w:p>
        </w:tc>
      </w:tr>
    </w:tbl>
    <w:p w:rsidR="001929EA" w:rsidRPr="000C52D6" w:rsidRDefault="001929EA" w:rsidP="001929EA">
      <w:pPr>
        <w:tabs>
          <w:tab w:val="left" w:pos="7605"/>
        </w:tabs>
      </w:pPr>
    </w:p>
    <w:p w:rsidR="001929EA" w:rsidRPr="000C52D6" w:rsidRDefault="001929EA" w:rsidP="001929EA">
      <w:pPr>
        <w:tabs>
          <w:tab w:val="left" w:pos="7605"/>
        </w:tabs>
      </w:pPr>
    </w:p>
    <w:tbl>
      <w:tblPr>
        <w:tblW w:w="0" w:type="auto"/>
        <w:tblInd w:w="592" w:type="dxa"/>
        <w:tblLayout w:type="fixed"/>
        <w:tblLook w:val="04A0" w:firstRow="1" w:lastRow="0" w:firstColumn="1" w:lastColumn="0" w:noHBand="0" w:noVBand="1"/>
      </w:tblPr>
      <w:tblGrid>
        <w:gridCol w:w="468"/>
        <w:gridCol w:w="1350"/>
        <w:gridCol w:w="1080"/>
        <w:gridCol w:w="1350"/>
        <w:gridCol w:w="1330"/>
        <w:gridCol w:w="1339"/>
        <w:gridCol w:w="1273"/>
      </w:tblGrid>
      <w:tr w:rsidR="001929EA" w:rsidRPr="000C52D6" w:rsidTr="001929EA">
        <w:tc>
          <w:tcPr>
            <w:tcW w:w="8190" w:type="dxa"/>
            <w:gridSpan w:val="7"/>
            <w:shd w:val="clear" w:color="auto" w:fill="auto"/>
          </w:tcPr>
          <w:p w:rsidR="001929EA" w:rsidRPr="000C52D6" w:rsidRDefault="001929EA" w:rsidP="001929EA">
            <w:pPr>
              <w:tabs>
                <w:tab w:val="left" w:pos="7605"/>
              </w:tabs>
              <w:jc w:val="center"/>
              <w:rPr>
                <w:rFonts w:ascii="Arial" w:hAnsi="Arial" w:cs="Arial"/>
                <w:b/>
              </w:rPr>
            </w:pPr>
            <w:r w:rsidRPr="000C52D6">
              <w:rPr>
                <w:rFonts w:ascii="Arial" w:hAnsi="Arial" w:cs="Arial"/>
                <w:b/>
              </w:rPr>
              <w:t>Allowance for Funds Prudently Invested – Bahia Oaks</w:t>
            </w:r>
          </w:p>
          <w:p w:rsidR="001929EA" w:rsidRPr="000C52D6" w:rsidRDefault="001929EA" w:rsidP="001929EA">
            <w:pPr>
              <w:tabs>
                <w:tab w:val="left" w:pos="7605"/>
              </w:tabs>
              <w:jc w:val="center"/>
              <w:rPr>
                <w:rFonts w:ascii="Arial" w:hAnsi="Arial" w:cs="Arial"/>
                <w:b/>
              </w:rPr>
            </w:pPr>
            <w:r w:rsidRPr="000C52D6">
              <w:rPr>
                <w:rFonts w:ascii="Arial" w:hAnsi="Arial" w:cs="Arial"/>
                <w:b/>
              </w:rPr>
              <w:t>Transmission and Distribution</w:t>
            </w:r>
          </w:p>
        </w:tc>
      </w:tr>
      <w:tr w:rsidR="001929EA" w:rsidRPr="000C52D6" w:rsidTr="001929EA">
        <w:tc>
          <w:tcPr>
            <w:tcW w:w="8190" w:type="dxa"/>
            <w:gridSpan w:val="7"/>
            <w:shd w:val="clear" w:color="auto" w:fill="auto"/>
          </w:tcPr>
          <w:p w:rsidR="001929EA" w:rsidRPr="000C52D6" w:rsidRDefault="001929EA" w:rsidP="001929EA">
            <w:pPr>
              <w:tabs>
                <w:tab w:val="left" w:pos="7605"/>
              </w:tabs>
              <w:jc w:val="center"/>
              <w:rPr>
                <w:rFonts w:ascii="Arial" w:hAnsi="Arial" w:cs="Arial"/>
                <w:b/>
              </w:rPr>
            </w:pPr>
            <w:r w:rsidRPr="000C52D6">
              <w:rPr>
                <w:rFonts w:ascii="Arial" w:hAnsi="Arial" w:cs="Arial"/>
                <w:b/>
              </w:rPr>
              <w:t>Calculation of Carrying Cost per ERC by Month:</w:t>
            </w:r>
          </w:p>
        </w:tc>
      </w:tr>
      <w:tr w:rsidR="001929EA" w:rsidRPr="000C52D6" w:rsidTr="001929EA">
        <w:trPr>
          <w:trHeight w:val="207"/>
        </w:trPr>
        <w:tc>
          <w:tcPr>
            <w:tcW w:w="1818" w:type="dxa"/>
            <w:gridSpan w:val="2"/>
            <w:shd w:val="clear" w:color="auto" w:fill="auto"/>
          </w:tcPr>
          <w:p w:rsidR="001929EA" w:rsidRPr="000C52D6" w:rsidRDefault="001929EA" w:rsidP="001929EA">
            <w:pPr>
              <w:tabs>
                <w:tab w:val="left" w:pos="7605"/>
              </w:tabs>
            </w:pPr>
          </w:p>
        </w:tc>
        <w:tc>
          <w:tcPr>
            <w:tcW w:w="1080" w:type="dxa"/>
            <w:shd w:val="clear" w:color="auto" w:fill="auto"/>
          </w:tcPr>
          <w:p w:rsidR="001929EA" w:rsidRPr="000C52D6" w:rsidRDefault="001929EA" w:rsidP="001929EA">
            <w:pPr>
              <w:tabs>
                <w:tab w:val="left" w:pos="7605"/>
              </w:tabs>
              <w:jc w:val="center"/>
              <w:rPr>
                <w:u w:val="single"/>
              </w:rPr>
            </w:pPr>
          </w:p>
        </w:tc>
        <w:tc>
          <w:tcPr>
            <w:tcW w:w="1350" w:type="dxa"/>
            <w:shd w:val="clear" w:color="auto" w:fill="auto"/>
          </w:tcPr>
          <w:p w:rsidR="001929EA" w:rsidRPr="000C52D6" w:rsidRDefault="001929EA" w:rsidP="001929EA">
            <w:pPr>
              <w:tabs>
                <w:tab w:val="left" w:pos="7605"/>
              </w:tabs>
              <w:jc w:val="center"/>
              <w:rPr>
                <w:u w:val="single"/>
              </w:rPr>
            </w:pPr>
          </w:p>
        </w:tc>
        <w:tc>
          <w:tcPr>
            <w:tcW w:w="1330" w:type="dxa"/>
            <w:shd w:val="clear" w:color="auto" w:fill="auto"/>
          </w:tcPr>
          <w:p w:rsidR="001929EA" w:rsidRPr="000C52D6" w:rsidRDefault="001929EA" w:rsidP="001929EA">
            <w:pPr>
              <w:tabs>
                <w:tab w:val="left" w:pos="7605"/>
              </w:tabs>
              <w:jc w:val="center"/>
              <w:rPr>
                <w:u w:val="single"/>
              </w:rPr>
            </w:pPr>
          </w:p>
        </w:tc>
        <w:tc>
          <w:tcPr>
            <w:tcW w:w="1339" w:type="dxa"/>
            <w:shd w:val="clear" w:color="auto" w:fill="auto"/>
          </w:tcPr>
          <w:p w:rsidR="001929EA" w:rsidRPr="000C52D6" w:rsidRDefault="001929EA" w:rsidP="001929EA">
            <w:pPr>
              <w:tabs>
                <w:tab w:val="left" w:pos="7605"/>
              </w:tabs>
              <w:jc w:val="center"/>
              <w:rPr>
                <w:u w:val="single"/>
              </w:rPr>
            </w:pPr>
          </w:p>
        </w:tc>
        <w:tc>
          <w:tcPr>
            <w:tcW w:w="1273" w:type="dxa"/>
            <w:shd w:val="clear" w:color="auto" w:fill="auto"/>
          </w:tcPr>
          <w:p w:rsidR="001929EA" w:rsidRPr="000C52D6" w:rsidRDefault="001929EA" w:rsidP="001929EA">
            <w:pPr>
              <w:tabs>
                <w:tab w:val="left" w:pos="7605"/>
              </w:tabs>
              <w:jc w:val="center"/>
              <w:rPr>
                <w:u w:val="single"/>
              </w:rPr>
            </w:pPr>
          </w:p>
        </w:tc>
      </w:tr>
      <w:tr w:rsidR="001929EA" w:rsidRPr="000C52D6" w:rsidTr="001929EA">
        <w:trPr>
          <w:trHeight w:val="117"/>
        </w:trPr>
        <w:tc>
          <w:tcPr>
            <w:tcW w:w="1818" w:type="dxa"/>
            <w:gridSpan w:val="2"/>
            <w:shd w:val="clear" w:color="auto" w:fill="auto"/>
          </w:tcPr>
          <w:p w:rsidR="001929EA" w:rsidRPr="000C52D6" w:rsidRDefault="001929EA" w:rsidP="001929EA">
            <w:pPr>
              <w:tabs>
                <w:tab w:val="left" w:pos="7605"/>
              </w:tabs>
              <w:jc w:val="right"/>
            </w:pPr>
          </w:p>
        </w:tc>
        <w:tc>
          <w:tcPr>
            <w:tcW w:w="1080" w:type="dxa"/>
            <w:shd w:val="clear" w:color="auto" w:fill="auto"/>
          </w:tcPr>
          <w:p w:rsidR="001929EA" w:rsidRPr="000C52D6" w:rsidRDefault="001929EA" w:rsidP="001929EA">
            <w:pPr>
              <w:tabs>
                <w:tab w:val="left" w:pos="7605"/>
              </w:tabs>
              <w:jc w:val="right"/>
              <w:rPr>
                <w:u w:val="single"/>
              </w:rPr>
            </w:pPr>
            <w:r w:rsidRPr="000C52D6">
              <w:rPr>
                <w:u w:val="single"/>
              </w:rPr>
              <w:t>2006</w:t>
            </w:r>
          </w:p>
        </w:tc>
        <w:tc>
          <w:tcPr>
            <w:tcW w:w="1350" w:type="dxa"/>
            <w:shd w:val="clear" w:color="auto" w:fill="auto"/>
          </w:tcPr>
          <w:p w:rsidR="001929EA" w:rsidRPr="000C52D6" w:rsidRDefault="001929EA" w:rsidP="001929EA">
            <w:pPr>
              <w:tabs>
                <w:tab w:val="left" w:pos="7605"/>
              </w:tabs>
              <w:jc w:val="right"/>
              <w:rPr>
                <w:u w:val="single"/>
              </w:rPr>
            </w:pPr>
            <w:r w:rsidRPr="000C52D6">
              <w:rPr>
                <w:u w:val="single"/>
              </w:rPr>
              <w:t>2007</w:t>
            </w:r>
          </w:p>
        </w:tc>
        <w:tc>
          <w:tcPr>
            <w:tcW w:w="1330" w:type="dxa"/>
            <w:shd w:val="clear" w:color="auto" w:fill="auto"/>
          </w:tcPr>
          <w:p w:rsidR="001929EA" w:rsidRPr="000C52D6" w:rsidRDefault="001929EA" w:rsidP="001929EA">
            <w:pPr>
              <w:tabs>
                <w:tab w:val="left" w:pos="7605"/>
              </w:tabs>
              <w:jc w:val="right"/>
              <w:rPr>
                <w:u w:val="single"/>
              </w:rPr>
            </w:pPr>
            <w:r w:rsidRPr="000C52D6">
              <w:rPr>
                <w:u w:val="single"/>
              </w:rPr>
              <w:t>2008</w:t>
            </w:r>
          </w:p>
        </w:tc>
        <w:tc>
          <w:tcPr>
            <w:tcW w:w="1339" w:type="dxa"/>
            <w:shd w:val="clear" w:color="auto" w:fill="auto"/>
          </w:tcPr>
          <w:p w:rsidR="001929EA" w:rsidRPr="000C52D6" w:rsidRDefault="001929EA" w:rsidP="001929EA">
            <w:pPr>
              <w:tabs>
                <w:tab w:val="left" w:pos="7605"/>
              </w:tabs>
              <w:jc w:val="right"/>
              <w:rPr>
                <w:u w:val="single"/>
              </w:rPr>
            </w:pPr>
            <w:r w:rsidRPr="000C52D6">
              <w:rPr>
                <w:u w:val="single"/>
              </w:rPr>
              <w:t>2009</w:t>
            </w:r>
          </w:p>
        </w:tc>
        <w:tc>
          <w:tcPr>
            <w:tcW w:w="1273" w:type="dxa"/>
            <w:shd w:val="clear" w:color="auto" w:fill="auto"/>
          </w:tcPr>
          <w:p w:rsidR="001929EA" w:rsidRPr="000C52D6" w:rsidRDefault="001929EA" w:rsidP="001929EA">
            <w:pPr>
              <w:tabs>
                <w:tab w:val="left" w:pos="7605"/>
              </w:tabs>
              <w:jc w:val="right"/>
              <w:rPr>
                <w:u w:val="single"/>
              </w:rPr>
            </w:pPr>
            <w:r w:rsidRPr="000C52D6">
              <w:rPr>
                <w:u w:val="single"/>
              </w:rPr>
              <w:t>2010</w:t>
            </w:r>
          </w:p>
        </w:tc>
      </w:tr>
      <w:tr w:rsidR="001929EA" w:rsidRPr="000C52D6" w:rsidTr="001929EA">
        <w:tc>
          <w:tcPr>
            <w:tcW w:w="1818" w:type="dxa"/>
            <w:gridSpan w:val="2"/>
            <w:shd w:val="clear" w:color="auto" w:fill="auto"/>
          </w:tcPr>
          <w:p w:rsidR="001929EA" w:rsidRPr="000C52D6" w:rsidRDefault="001929EA" w:rsidP="001929EA">
            <w:pPr>
              <w:tabs>
                <w:tab w:val="left" w:pos="7605"/>
              </w:tabs>
            </w:pPr>
            <w:r w:rsidRPr="000C52D6">
              <w:t>January</w:t>
            </w:r>
          </w:p>
        </w:tc>
        <w:tc>
          <w:tcPr>
            <w:tcW w:w="1080" w:type="dxa"/>
            <w:shd w:val="clear" w:color="auto" w:fill="auto"/>
          </w:tcPr>
          <w:p w:rsidR="001929EA" w:rsidRPr="000C52D6" w:rsidRDefault="001929EA" w:rsidP="001929EA">
            <w:pPr>
              <w:tabs>
                <w:tab w:val="left" w:pos="7605"/>
              </w:tabs>
              <w:jc w:val="right"/>
            </w:pPr>
            <w:r w:rsidRPr="000C52D6">
              <w:t>$28</w:t>
            </w:r>
          </w:p>
        </w:tc>
        <w:tc>
          <w:tcPr>
            <w:tcW w:w="1350" w:type="dxa"/>
            <w:shd w:val="clear" w:color="auto" w:fill="auto"/>
          </w:tcPr>
          <w:p w:rsidR="001929EA" w:rsidRPr="000C52D6" w:rsidRDefault="001929EA" w:rsidP="001929EA">
            <w:pPr>
              <w:tabs>
                <w:tab w:val="left" w:pos="7605"/>
              </w:tabs>
              <w:jc w:val="right"/>
            </w:pPr>
            <w:r w:rsidRPr="000C52D6">
              <w:t>$360</w:t>
            </w:r>
          </w:p>
        </w:tc>
        <w:tc>
          <w:tcPr>
            <w:tcW w:w="1330" w:type="dxa"/>
            <w:shd w:val="clear" w:color="auto" w:fill="auto"/>
          </w:tcPr>
          <w:p w:rsidR="001929EA" w:rsidRPr="000C52D6" w:rsidRDefault="001929EA" w:rsidP="001929EA">
            <w:pPr>
              <w:tabs>
                <w:tab w:val="left" w:pos="7605"/>
              </w:tabs>
              <w:jc w:val="right"/>
            </w:pPr>
            <w:r w:rsidRPr="000C52D6">
              <w:t>$718</w:t>
            </w:r>
          </w:p>
        </w:tc>
        <w:tc>
          <w:tcPr>
            <w:tcW w:w="1339" w:type="dxa"/>
            <w:shd w:val="clear" w:color="auto" w:fill="auto"/>
          </w:tcPr>
          <w:p w:rsidR="001929EA" w:rsidRPr="000C52D6" w:rsidRDefault="001929EA" w:rsidP="001929EA">
            <w:pPr>
              <w:tabs>
                <w:tab w:val="left" w:pos="7605"/>
              </w:tabs>
              <w:jc w:val="right"/>
            </w:pPr>
            <w:r w:rsidRPr="000C52D6">
              <w:t>$1,103</w:t>
            </w:r>
          </w:p>
        </w:tc>
        <w:tc>
          <w:tcPr>
            <w:tcW w:w="1273" w:type="dxa"/>
            <w:shd w:val="clear" w:color="auto" w:fill="auto"/>
          </w:tcPr>
          <w:p w:rsidR="001929EA" w:rsidRPr="000C52D6" w:rsidRDefault="001929EA" w:rsidP="001929EA">
            <w:pPr>
              <w:tabs>
                <w:tab w:val="left" w:pos="7605"/>
              </w:tabs>
              <w:jc w:val="right"/>
            </w:pPr>
            <w:r w:rsidRPr="000C52D6">
              <w:t>$1,518</w:t>
            </w:r>
          </w:p>
        </w:tc>
      </w:tr>
      <w:tr w:rsidR="001929EA" w:rsidRPr="000C52D6" w:rsidTr="001929EA">
        <w:tc>
          <w:tcPr>
            <w:tcW w:w="1818" w:type="dxa"/>
            <w:gridSpan w:val="2"/>
            <w:shd w:val="clear" w:color="auto" w:fill="auto"/>
          </w:tcPr>
          <w:p w:rsidR="001929EA" w:rsidRPr="000C52D6" w:rsidRDefault="001929EA" w:rsidP="001929EA">
            <w:pPr>
              <w:tabs>
                <w:tab w:val="left" w:pos="7605"/>
              </w:tabs>
            </w:pPr>
            <w:r w:rsidRPr="000C52D6">
              <w:t>February</w:t>
            </w:r>
          </w:p>
        </w:tc>
        <w:tc>
          <w:tcPr>
            <w:tcW w:w="1080" w:type="dxa"/>
            <w:shd w:val="clear" w:color="auto" w:fill="auto"/>
          </w:tcPr>
          <w:p w:rsidR="001929EA" w:rsidRPr="000C52D6" w:rsidRDefault="001929EA" w:rsidP="001929EA">
            <w:pPr>
              <w:tabs>
                <w:tab w:val="left" w:pos="7605"/>
              </w:tabs>
              <w:jc w:val="right"/>
            </w:pPr>
            <w:r w:rsidRPr="000C52D6">
              <w:t>$55</w:t>
            </w:r>
          </w:p>
        </w:tc>
        <w:tc>
          <w:tcPr>
            <w:tcW w:w="1350" w:type="dxa"/>
            <w:shd w:val="clear" w:color="auto" w:fill="auto"/>
          </w:tcPr>
          <w:p w:rsidR="001929EA" w:rsidRPr="000C52D6" w:rsidRDefault="001929EA" w:rsidP="001929EA">
            <w:pPr>
              <w:tabs>
                <w:tab w:val="left" w:pos="7605"/>
              </w:tabs>
              <w:jc w:val="right"/>
            </w:pPr>
            <w:r w:rsidRPr="000C52D6">
              <w:t>$389</w:t>
            </w:r>
          </w:p>
        </w:tc>
        <w:tc>
          <w:tcPr>
            <w:tcW w:w="1330" w:type="dxa"/>
            <w:shd w:val="clear" w:color="auto" w:fill="auto"/>
          </w:tcPr>
          <w:p w:rsidR="001929EA" w:rsidRPr="000C52D6" w:rsidRDefault="001929EA" w:rsidP="001929EA">
            <w:pPr>
              <w:tabs>
                <w:tab w:val="left" w:pos="7605"/>
              </w:tabs>
              <w:jc w:val="right"/>
            </w:pPr>
            <w:r w:rsidRPr="000C52D6">
              <w:t>$750</w:t>
            </w:r>
          </w:p>
        </w:tc>
        <w:tc>
          <w:tcPr>
            <w:tcW w:w="1339" w:type="dxa"/>
            <w:shd w:val="clear" w:color="auto" w:fill="auto"/>
          </w:tcPr>
          <w:p w:rsidR="001929EA" w:rsidRPr="000C52D6" w:rsidRDefault="001929EA" w:rsidP="001929EA">
            <w:pPr>
              <w:tabs>
                <w:tab w:val="left" w:pos="7605"/>
              </w:tabs>
              <w:jc w:val="right"/>
            </w:pPr>
            <w:r w:rsidRPr="000C52D6">
              <w:t>$1,137</w:t>
            </w:r>
          </w:p>
        </w:tc>
        <w:tc>
          <w:tcPr>
            <w:tcW w:w="1273" w:type="dxa"/>
            <w:shd w:val="clear" w:color="auto" w:fill="auto"/>
          </w:tcPr>
          <w:p w:rsidR="001929EA" w:rsidRPr="000C52D6" w:rsidRDefault="001929EA" w:rsidP="001929EA">
            <w:pPr>
              <w:tabs>
                <w:tab w:val="left" w:pos="7605"/>
              </w:tabs>
              <w:jc w:val="right"/>
            </w:pPr>
            <w:r w:rsidRPr="000C52D6">
              <w:t>$1,555</w:t>
            </w:r>
          </w:p>
        </w:tc>
      </w:tr>
      <w:tr w:rsidR="001929EA" w:rsidRPr="000C52D6" w:rsidTr="001929EA">
        <w:tc>
          <w:tcPr>
            <w:tcW w:w="1818" w:type="dxa"/>
            <w:gridSpan w:val="2"/>
            <w:shd w:val="clear" w:color="auto" w:fill="auto"/>
          </w:tcPr>
          <w:p w:rsidR="001929EA" w:rsidRPr="000C52D6" w:rsidRDefault="001929EA" w:rsidP="001929EA">
            <w:pPr>
              <w:tabs>
                <w:tab w:val="left" w:pos="7605"/>
              </w:tabs>
            </w:pPr>
            <w:r w:rsidRPr="000C52D6">
              <w:t>March</w:t>
            </w:r>
          </w:p>
        </w:tc>
        <w:tc>
          <w:tcPr>
            <w:tcW w:w="1080" w:type="dxa"/>
            <w:shd w:val="clear" w:color="auto" w:fill="auto"/>
          </w:tcPr>
          <w:p w:rsidR="001929EA" w:rsidRPr="000C52D6" w:rsidRDefault="001929EA" w:rsidP="001929EA">
            <w:pPr>
              <w:tabs>
                <w:tab w:val="left" w:pos="7605"/>
              </w:tabs>
              <w:jc w:val="right"/>
            </w:pPr>
            <w:r w:rsidRPr="000C52D6">
              <w:t>$83</w:t>
            </w:r>
          </w:p>
        </w:tc>
        <w:tc>
          <w:tcPr>
            <w:tcW w:w="1350" w:type="dxa"/>
            <w:shd w:val="clear" w:color="auto" w:fill="auto"/>
          </w:tcPr>
          <w:p w:rsidR="001929EA" w:rsidRPr="000C52D6" w:rsidRDefault="001929EA" w:rsidP="001929EA">
            <w:pPr>
              <w:tabs>
                <w:tab w:val="left" w:pos="7605"/>
              </w:tabs>
              <w:jc w:val="right"/>
            </w:pPr>
            <w:r w:rsidRPr="000C52D6">
              <w:t>$419</w:t>
            </w:r>
          </w:p>
        </w:tc>
        <w:tc>
          <w:tcPr>
            <w:tcW w:w="1330" w:type="dxa"/>
            <w:shd w:val="clear" w:color="auto" w:fill="auto"/>
          </w:tcPr>
          <w:p w:rsidR="001929EA" w:rsidRPr="000C52D6" w:rsidRDefault="001929EA" w:rsidP="001929EA">
            <w:pPr>
              <w:tabs>
                <w:tab w:val="left" w:pos="7605"/>
              </w:tabs>
              <w:jc w:val="right"/>
            </w:pPr>
            <w:r w:rsidRPr="000C52D6">
              <w:t>$781</w:t>
            </w:r>
          </w:p>
        </w:tc>
        <w:tc>
          <w:tcPr>
            <w:tcW w:w="1339" w:type="dxa"/>
            <w:shd w:val="clear" w:color="auto" w:fill="auto"/>
          </w:tcPr>
          <w:p w:rsidR="001929EA" w:rsidRPr="000C52D6" w:rsidRDefault="001929EA" w:rsidP="001929EA">
            <w:pPr>
              <w:tabs>
                <w:tab w:val="left" w:pos="7605"/>
              </w:tabs>
              <w:jc w:val="right"/>
            </w:pPr>
            <w:r w:rsidRPr="000C52D6">
              <w:t>$1,172</w:t>
            </w:r>
          </w:p>
        </w:tc>
        <w:tc>
          <w:tcPr>
            <w:tcW w:w="1273" w:type="dxa"/>
            <w:shd w:val="clear" w:color="auto" w:fill="auto"/>
          </w:tcPr>
          <w:p w:rsidR="001929EA" w:rsidRPr="000C52D6" w:rsidRDefault="001929EA" w:rsidP="001929EA">
            <w:pPr>
              <w:tabs>
                <w:tab w:val="left" w:pos="7605"/>
              </w:tabs>
              <w:jc w:val="right"/>
            </w:pPr>
            <w:r w:rsidRPr="000C52D6">
              <w:t>$1,593</w:t>
            </w:r>
          </w:p>
        </w:tc>
      </w:tr>
      <w:tr w:rsidR="001929EA" w:rsidRPr="000C52D6" w:rsidTr="001929EA">
        <w:tc>
          <w:tcPr>
            <w:tcW w:w="1818" w:type="dxa"/>
            <w:gridSpan w:val="2"/>
            <w:shd w:val="clear" w:color="auto" w:fill="auto"/>
          </w:tcPr>
          <w:p w:rsidR="001929EA" w:rsidRPr="000C52D6" w:rsidRDefault="001929EA" w:rsidP="001929EA">
            <w:pPr>
              <w:tabs>
                <w:tab w:val="left" w:pos="7605"/>
              </w:tabs>
            </w:pPr>
            <w:r w:rsidRPr="000C52D6">
              <w:t>April</w:t>
            </w:r>
          </w:p>
        </w:tc>
        <w:tc>
          <w:tcPr>
            <w:tcW w:w="1080" w:type="dxa"/>
            <w:shd w:val="clear" w:color="auto" w:fill="auto"/>
          </w:tcPr>
          <w:p w:rsidR="001929EA" w:rsidRPr="000C52D6" w:rsidRDefault="001929EA" w:rsidP="001929EA">
            <w:pPr>
              <w:tabs>
                <w:tab w:val="left" w:pos="7605"/>
              </w:tabs>
              <w:jc w:val="right"/>
            </w:pPr>
            <w:r w:rsidRPr="000C52D6">
              <w:t>$110</w:t>
            </w:r>
          </w:p>
        </w:tc>
        <w:tc>
          <w:tcPr>
            <w:tcW w:w="1350" w:type="dxa"/>
            <w:shd w:val="clear" w:color="auto" w:fill="auto"/>
          </w:tcPr>
          <w:p w:rsidR="001929EA" w:rsidRPr="000C52D6" w:rsidRDefault="001929EA" w:rsidP="001929EA">
            <w:pPr>
              <w:tabs>
                <w:tab w:val="left" w:pos="7605"/>
              </w:tabs>
              <w:jc w:val="right"/>
            </w:pPr>
            <w:r w:rsidRPr="000C52D6">
              <w:t>$449</w:t>
            </w:r>
          </w:p>
        </w:tc>
        <w:tc>
          <w:tcPr>
            <w:tcW w:w="1330" w:type="dxa"/>
            <w:shd w:val="clear" w:color="auto" w:fill="auto"/>
          </w:tcPr>
          <w:p w:rsidR="001929EA" w:rsidRPr="000C52D6" w:rsidRDefault="001929EA" w:rsidP="001929EA">
            <w:pPr>
              <w:tabs>
                <w:tab w:val="left" w:pos="7605"/>
              </w:tabs>
              <w:jc w:val="right"/>
            </w:pPr>
            <w:r w:rsidRPr="000C52D6">
              <w:t>$813</w:t>
            </w:r>
          </w:p>
        </w:tc>
        <w:tc>
          <w:tcPr>
            <w:tcW w:w="1339" w:type="dxa"/>
            <w:shd w:val="clear" w:color="auto" w:fill="auto"/>
          </w:tcPr>
          <w:p w:rsidR="001929EA" w:rsidRPr="000C52D6" w:rsidRDefault="001929EA" w:rsidP="001929EA">
            <w:pPr>
              <w:tabs>
                <w:tab w:val="left" w:pos="7605"/>
              </w:tabs>
              <w:jc w:val="right"/>
            </w:pPr>
            <w:r w:rsidRPr="000C52D6">
              <w:t>$1,206</w:t>
            </w:r>
          </w:p>
        </w:tc>
        <w:tc>
          <w:tcPr>
            <w:tcW w:w="1273" w:type="dxa"/>
            <w:shd w:val="clear" w:color="auto" w:fill="auto"/>
          </w:tcPr>
          <w:p w:rsidR="001929EA" w:rsidRPr="000C52D6" w:rsidRDefault="001929EA" w:rsidP="001929EA">
            <w:pPr>
              <w:tabs>
                <w:tab w:val="left" w:pos="7605"/>
              </w:tabs>
              <w:jc w:val="right"/>
            </w:pPr>
            <w:r w:rsidRPr="000C52D6">
              <w:t>$1,630</w:t>
            </w:r>
          </w:p>
        </w:tc>
      </w:tr>
      <w:tr w:rsidR="001929EA" w:rsidRPr="000C52D6" w:rsidTr="001929EA">
        <w:tc>
          <w:tcPr>
            <w:tcW w:w="1818" w:type="dxa"/>
            <w:gridSpan w:val="2"/>
            <w:shd w:val="clear" w:color="auto" w:fill="auto"/>
          </w:tcPr>
          <w:p w:rsidR="001929EA" w:rsidRPr="000C52D6" w:rsidRDefault="001929EA" w:rsidP="001929EA">
            <w:pPr>
              <w:tabs>
                <w:tab w:val="left" w:pos="7605"/>
              </w:tabs>
            </w:pPr>
            <w:r w:rsidRPr="000C52D6">
              <w:t>May</w:t>
            </w:r>
          </w:p>
        </w:tc>
        <w:tc>
          <w:tcPr>
            <w:tcW w:w="1080" w:type="dxa"/>
            <w:shd w:val="clear" w:color="auto" w:fill="auto"/>
          </w:tcPr>
          <w:p w:rsidR="001929EA" w:rsidRPr="000C52D6" w:rsidRDefault="001929EA" w:rsidP="001929EA">
            <w:pPr>
              <w:tabs>
                <w:tab w:val="left" w:pos="7605"/>
              </w:tabs>
              <w:jc w:val="right"/>
            </w:pPr>
            <w:r w:rsidRPr="000C52D6">
              <w:t>$138</w:t>
            </w:r>
          </w:p>
        </w:tc>
        <w:tc>
          <w:tcPr>
            <w:tcW w:w="1350" w:type="dxa"/>
            <w:shd w:val="clear" w:color="auto" w:fill="auto"/>
          </w:tcPr>
          <w:p w:rsidR="001929EA" w:rsidRPr="000C52D6" w:rsidRDefault="001929EA" w:rsidP="001929EA">
            <w:pPr>
              <w:tabs>
                <w:tab w:val="left" w:pos="7605"/>
              </w:tabs>
              <w:jc w:val="right"/>
            </w:pPr>
            <w:r w:rsidRPr="000C52D6">
              <w:t>$478</w:t>
            </w:r>
          </w:p>
        </w:tc>
        <w:tc>
          <w:tcPr>
            <w:tcW w:w="1330" w:type="dxa"/>
            <w:shd w:val="clear" w:color="auto" w:fill="auto"/>
          </w:tcPr>
          <w:p w:rsidR="001929EA" w:rsidRPr="000C52D6" w:rsidRDefault="001929EA" w:rsidP="001929EA">
            <w:pPr>
              <w:tabs>
                <w:tab w:val="left" w:pos="7605"/>
              </w:tabs>
              <w:jc w:val="right"/>
            </w:pPr>
            <w:r w:rsidRPr="000C52D6">
              <w:t>$845</w:t>
            </w:r>
          </w:p>
        </w:tc>
        <w:tc>
          <w:tcPr>
            <w:tcW w:w="1339" w:type="dxa"/>
            <w:shd w:val="clear" w:color="auto" w:fill="auto"/>
          </w:tcPr>
          <w:p w:rsidR="001929EA" w:rsidRPr="000C52D6" w:rsidRDefault="001929EA" w:rsidP="001929EA">
            <w:pPr>
              <w:tabs>
                <w:tab w:val="left" w:pos="7605"/>
              </w:tabs>
              <w:jc w:val="right"/>
            </w:pPr>
            <w:r w:rsidRPr="000C52D6">
              <w:t>$1,241</w:t>
            </w:r>
          </w:p>
        </w:tc>
        <w:tc>
          <w:tcPr>
            <w:tcW w:w="1273" w:type="dxa"/>
            <w:shd w:val="clear" w:color="auto" w:fill="auto"/>
          </w:tcPr>
          <w:p w:rsidR="001929EA" w:rsidRPr="000C52D6" w:rsidRDefault="001929EA" w:rsidP="001929EA">
            <w:pPr>
              <w:tabs>
                <w:tab w:val="left" w:pos="7605"/>
              </w:tabs>
              <w:jc w:val="right"/>
            </w:pPr>
            <w:r w:rsidRPr="000C52D6">
              <w:t>$1,667</w:t>
            </w:r>
          </w:p>
        </w:tc>
      </w:tr>
      <w:tr w:rsidR="001929EA" w:rsidRPr="000C52D6" w:rsidTr="001929EA">
        <w:tc>
          <w:tcPr>
            <w:tcW w:w="1818" w:type="dxa"/>
            <w:gridSpan w:val="2"/>
            <w:shd w:val="clear" w:color="auto" w:fill="auto"/>
          </w:tcPr>
          <w:p w:rsidR="001929EA" w:rsidRPr="000C52D6" w:rsidRDefault="001929EA" w:rsidP="001929EA">
            <w:pPr>
              <w:tabs>
                <w:tab w:val="left" w:pos="7605"/>
              </w:tabs>
            </w:pPr>
            <w:r w:rsidRPr="000C52D6">
              <w:t>June</w:t>
            </w:r>
          </w:p>
        </w:tc>
        <w:tc>
          <w:tcPr>
            <w:tcW w:w="1080" w:type="dxa"/>
            <w:shd w:val="clear" w:color="auto" w:fill="auto"/>
          </w:tcPr>
          <w:p w:rsidR="001929EA" w:rsidRPr="000C52D6" w:rsidRDefault="001929EA" w:rsidP="001929EA">
            <w:pPr>
              <w:tabs>
                <w:tab w:val="left" w:pos="7605"/>
              </w:tabs>
              <w:jc w:val="right"/>
            </w:pPr>
            <w:r w:rsidRPr="000C52D6">
              <w:t>$165</w:t>
            </w:r>
          </w:p>
        </w:tc>
        <w:tc>
          <w:tcPr>
            <w:tcW w:w="1350" w:type="dxa"/>
            <w:shd w:val="clear" w:color="auto" w:fill="auto"/>
          </w:tcPr>
          <w:p w:rsidR="001929EA" w:rsidRPr="000C52D6" w:rsidRDefault="001929EA" w:rsidP="001929EA">
            <w:pPr>
              <w:tabs>
                <w:tab w:val="left" w:pos="7605"/>
              </w:tabs>
              <w:jc w:val="right"/>
            </w:pPr>
            <w:r w:rsidRPr="000C52D6">
              <w:t>$508</w:t>
            </w:r>
          </w:p>
        </w:tc>
        <w:tc>
          <w:tcPr>
            <w:tcW w:w="1330" w:type="dxa"/>
            <w:shd w:val="clear" w:color="auto" w:fill="auto"/>
          </w:tcPr>
          <w:p w:rsidR="001929EA" w:rsidRPr="000C52D6" w:rsidRDefault="001929EA" w:rsidP="001929EA">
            <w:pPr>
              <w:tabs>
                <w:tab w:val="left" w:pos="7605"/>
              </w:tabs>
              <w:jc w:val="right"/>
            </w:pPr>
            <w:r w:rsidRPr="000C52D6">
              <w:t>$877</w:t>
            </w:r>
          </w:p>
        </w:tc>
        <w:tc>
          <w:tcPr>
            <w:tcW w:w="1339" w:type="dxa"/>
            <w:shd w:val="clear" w:color="auto" w:fill="auto"/>
          </w:tcPr>
          <w:p w:rsidR="001929EA" w:rsidRPr="000C52D6" w:rsidRDefault="001929EA" w:rsidP="001929EA">
            <w:pPr>
              <w:tabs>
                <w:tab w:val="left" w:pos="7605"/>
              </w:tabs>
              <w:jc w:val="right"/>
            </w:pPr>
            <w:r w:rsidRPr="000C52D6">
              <w:t>$1,275</w:t>
            </w:r>
          </w:p>
        </w:tc>
        <w:tc>
          <w:tcPr>
            <w:tcW w:w="1273" w:type="dxa"/>
            <w:shd w:val="clear" w:color="auto" w:fill="auto"/>
          </w:tcPr>
          <w:p w:rsidR="001929EA" w:rsidRPr="000C52D6" w:rsidRDefault="001929EA" w:rsidP="001929EA">
            <w:pPr>
              <w:tabs>
                <w:tab w:val="left" w:pos="7605"/>
              </w:tabs>
              <w:jc w:val="right"/>
            </w:pPr>
            <w:r w:rsidRPr="000C52D6">
              <w:t>$1,704</w:t>
            </w:r>
          </w:p>
        </w:tc>
      </w:tr>
      <w:tr w:rsidR="001929EA" w:rsidRPr="000C52D6" w:rsidTr="001929EA">
        <w:tc>
          <w:tcPr>
            <w:tcW w:w="1818" w:type="dxa"/>
            <w:gridSpan w:val="2"/>
            <w:shd w:val="clear" w:color="auto" w:fill="auto"/>
          </w:tcPr>
          <w:p w:rsidR="001929EA" w:rsidRPr="000C52D6" w:rsidRDefault="001929EA" w:rsidP="001929EA">
            <w:pPr>
              <w:tabs>
                <w:tab w:val="left" w:pos="7605"/>
              </w:tabs>
            </w:pPr>
            <w:r w:rsidRPr="000C52D6">
              <w:t>July</w:t>
            </w:r>
          </w:p>
        </w:tc>
        <w:tc>
          <w:tcPr>
            <w:tcW w:w="1080" w:type="dxa"/>
            <w:shd w:val="clear" w:color="auto" w:fill="auto"/>
          </w:tcPr>
          <w:p w:rsidR="001929EA" w:rsidRPr="000C52D6" w:rsidRDefault="001929EA" w:rsidP="001929EA">
            <w:pPr>
              <w:tabs>
                <w:tab w:val="left" w:pos="7605"/>
              </w:tabs>
              <w:jc w:val="right"/>
            </w:pPr>
            <w:r w:rsidRPr="000C52D6">
              <w:t>$193</w:t>
            </w:r>
          </w:p>
        </w:tc>
        <w:tc>
          <w:tcPr>
            <w:tcW w:w="1350" w:type="dxa"/>
            <w:shd w:val="clear" w:color="auto" w:fill="auto"/>
          </w:tcPr>
          <w:p w:rsidR="001929EA" w:rsidRPr="000C52D6" w:rsidRDefault="001929EA" w:rsidP="001929EA">
            <w:pPr>
              <w:tabs>
                <w:tab w:val="left" w:pos="7605"/>
              </w:tabs>
              <w:jc w:val="right"/>
            </w:pPr>
            <w:r w:rsidRPr="000C52D6">
              <w:t>$538</w:t>
            </w:r>
          </w:p>
        </w:tc>
        <w:tc>
          <w:tcPr>
            <w:tcW w:w="1330" w:type="dxa"/>
            <w:shd w:val="clear" w:color="auto" w:fill="auto"/>
          </w:tcPr>
          <w:p w:rsidR="001929EA" w:rsidRPr="000C52D6" w:rsidRDefault="001929EA" w:rsidP="001929EA">
            <w:pPr>
              <w:tabs>
                <w:tab w:val="left" w:pos="7605"/>
              </w:tabs>
              <w:jc w:val="right"/>
            </w:pPr>
            <w:r w:rsidRPr="000C52D6">
              <w:t>$909</w:t>
            </w:r>
          </w:p>
        </w:tc>
        <w:tc>
          <w:tcPr>
            <w:tcW w:w="1339" w:type="dxa"/>
            <w:shd w:val="clear" w:color="auto" w:fill="auto"/>
          </w:tcPr>
          <w:p w:rsidR="001929EA" w:rsidRPr="000C52D6" w:rsidRDefault="001929EA" w:rsidP="001929EA">
            <w:pPr>
              <w:tabs>
                <w:tab w:val="left" w:pos="7605"/>
              </w:tabs>
              <w:jc w:val="right"/>
            </w:pPr>
            <w:r w:rsidRPr="000C52D6">
              <w:t>$1,309</w:t>
            </w:r>
          </w:p>
        </w:tc>
        <w:tc>
          <w:tcPr>
            <w:tcW w:w="1273" w:type="dxa"/>
            <w:shd w:val="clear" w:color="auto" w:fill="auto"/>
          </w:tcPr>
          <w:p w:rsidR="001929EA" w:rsidRPr="000C52D6" w:rsidRDefault="001929EA" w:rsidP="001929EA">
            <w:pPr>
              <w:tabs>
                <w:tab w:val="left" w:pos="7605"/>
              </w:tabs>
              <w:jc w:val="right"/>
            </w:pPr>
            <w:r w:rsidRPr="000C52D6">
              <w:t>$1,741</w:t>
            </w:r>
          </w:p>
        </w:tc>
      </w:tr>
      <w:tr w:rsidR="001929EA" w:rsidRPr="000C52D6" w:rsidTr="001929EA">
        <w:tc>
          <w:tcPr>
            <w:tcW w:w="1818" w:type="dxa"/>
            <w:gridSpan w:val="2"/>
            <w:shd w:val="clear" w:color="auto" w:fill="auto"/>
          </w:tcPr>
          <w:p w:rsidR="001929EA" w:rsidRPr="000C52D6" w:rsidRDefault="001929EA" w:rsidP="001929EA">
            <w:pPr>
              <w:tabs>
                <w:tab w:val="left" w:pos="7605"/>
              </w:tabs>
            </w:pPr>
            <w:r w:rsidRPr="000C52D6">
              <w:t>August</w:t>
            </w:r>
          </w:p>
        </w:tc>
        <w:tc>
          <w:tcPr>
            <w:tcW w:w="1080" w:type="dxa"/>
            <w:shd w:val="clear" w:color="auto" w:fill="auto"/>
          </w:tcPr>
          <w:p w:rsidR="001929EA" w:rsidRPr="000C52D6" w:rsidRDefault="001929EA" w:rsidP="001929EA">
            <w:pPr>
              <w:tabs>
                <w:tab w:val="left" w:pos="7605"/>
              </w:tabs>
              <w:jc w:val="right"/>
            </w:pPr>
            <w:r w:rsidRPr="000C52D6">
              <w:t>$220</w:t>
            </w:r>
          </w:p>
        </w:tc>
        <w:tc>
          <w:tcPr>
            <w:tcW w:w="1350" w:type="dxa"/>
            <w:shd w:val="clear" w:color="auto" w:fill="auto"/>
          </w:tcPr>
          <w:p w:rsidR="001929EA" w:rsidRPr="000C52D6" w:rsidRDefault="001929EA" w:rsidP="001929EA">
            <w:pPr>
              <w:tabs>
                <w:tab w:val="left" w:pos="7605"/>
              </w:tabs>
              <w:jc w:val="right"/>
            </w:pPr>
            <w:r w:rsidRPr="000C52D6">
              <w:t>$567</w:t>
            </w:r>
          </w:p>
        </w:tc>
        <w:tc>
          <w:tcPr>
            <w:tcW w:w="1330" w:type="dxa"/>
            <w:shd w:val="clear" w:color="auto" w:fill="auto"/>
          </w:tcPr>
          <w:p w:rsidR="001929EA" w:rsidRPr="000C52D6" w:rsidRDefault="001929EA" w:rsidP="001929EA">
            <w:pPr>
              <w:tabs>
                <w:tab w:val="left" w:pos="7605"/>
              </w:tabs>
              <w:jc w:val="right"/>
            </w:pPr>
            <w:r w:rsidRPr="000C52D6">
              <w:t>$941</w:t>
            </w:r>
          </w:p>
        </w:tc>
        <w:tc>
          <w:tcPr>
            <w:tcW w:w="1339" w:type="dxa"/>
            <w:shd w:val="clear" w:color="auto" w:fill="auto"/>
          </w:tcPr>
          <w:p w:rsidR="001929EA" w:rsidRPr="000C52D6" w:rsidRDefault="001929EA" w:rsidP="001929EA">
            <w:pPr>
              <w:tabs>
                <w:tab w:val="left" w:pos="7605"/>
              </w:tabs>
              <w:jc w:val="right"/>
            </w:pPr>
            <w:r w:rsidRPr="000C52D6">
              <w:t>$1,344</w:t>
            </w:r>
          </w:p>
        </w:tc>
        <w:tc>
          <w:tcPr>
            <w:tcW w:w="1273" w:type="dxa"/>
            <w:shd w:val="clear" w:color="auto" w:fill="auto"/>
          </w:tcPr>
          <w:p w:rsidR="001929EA" w:rsidRPr="000C52D6" w:rsidRDefault="001929EA" w:rsidP="001929EA">
            <w:pPr>
              <w:tabs>
                <w:tab w:val="left" w:pos="7605"/>
              </w:tabs>
              <w:jc w:val="right"/>
            </w:pPr>
            <w:r w:rsidRPr="000C52D6">
              <w:t>$1,778</w:t>
            </w:r>
          </w:p>
        </w:tc>
      </w:tr>
      <w:tr w:rsidR="001929EA" w:rsidRPr="000C52D6" w:rsidTr="001929EA">
        <w:tc>
          <w:tcPr>
            <w:tcW w:w="1818" w:type="dxa"/>
            <w:gridSpan w:val="2"/>
            <w:shd w:val="clear" w:color="auto" w:fill="auto"/>
          </w:tcPr>
          <w:p w:rsidR="001929EA" w:rsidRPr="000C52D6" w:rsidRDefault="001929EA" w:rsidP="001929EA">
            <w:pPr>
              <w:tabs>
                <w:tab w:val="left" w:pos="7605"/>
              </w:tabs>
            </w:pPr>
            <w:r w:rsidRPr="000C52D6">
              <w:t>September</w:t>
            </w:r>
          </w:p>
        </w:tc>
        <w:tc>
          <w:tcPr>
            <w:tcW w:w="1080" w:type="dxa"/>
            <w:shd w:val="clear" w:color="auto" w:fill="auto"/>
          </w:tcPr>
          <w:p w:rsidR="001929EA" w:rsidRPr="000C52D6" w:rsidRDefault="001929EA" w:rsidP="001929EA">
            <w:pPr>
              <w:tabs>
                <w:tab w:val="left" w:pos="7605"/>
              </w:tabs>
              <w:jc w:val="right"/>
            </w:pPr>
            <w:r w:rsidRPr="000C52D6">
              <w:t>$248</w:t>
            </w:r>
          </w:p>
        </w:tc>
        <w:tc>
          <w:tcPr>
            <w:tcW w:w="1350" w:type="dxa"/>
            <w:shd w:val="clear" w:color="auto" w:fill="auto"/>
          </w:tcPr>
          <w:p w:rsidR="001929EA" w:rsidRPr="000C52D6" w:rsidRDefault="001929EA" w:rsidP="001929EA">
            <w:pPr>
              <w:tabs>
                <w:tab w:val="left" w:pos="7605"/>
              </w:tabs>
              <w:jc w:val="right"/>
            </w:pPr>
            <w:r w:rsidRPr="000C52D6">
              <w:t>$597</w:t>
            </w:r>
          </w:p>
        </w:tc>
        <w:tc>
          <w:tcPr>
            <w:tcW w:w="1330" w:type="dxa"/>
            <w:shd w:val="clear" w:color="auto" w:fill="auto"/>
          </w:tcPr>
          <w:p w:rsidR="001929EA" w:rsidRPr="000C52D6" w:rsidRDefault="001929EA" w:rsidP="001929EA">
            <w:pPr>
              <w:tabs>
                <w:tab w:val="left" w:pos="7605"/>
              </w:tabs>
              <w:jc w:val="right"/>
            </w:pPr>
            <w:r w:rsidRPr="000C52D6">
              <w:t>$973</w:t>
            </w:r>
          </w:p>
        </w:tc>
        <w:tc>
          <w:tcPr>
            <w:tcW w:w="1339" w:type="dxa"/>
            <w:shd w:val="clear" w:color="auto" w:fill="auto"/>
          </w:tcPr>
          <w:p w:rsidR="001929EA" w:rsidRPr="000C52D6" w:rsidRDefault="001929EA" w:rsidP="001929EA">
            <w:pPr>
              <w:tabs>
                <w:tab w:val="left" w:pos="7605"/>
              </w:tabs>
              <w:jc w:val="right"/>
            </w:pPr>
            <w:r w:rsidRPr="000C52D6">
              <w:t>$1,378</w:t>
            </w:r>
          </w:p>
        </w:tc>
        <w:tc>
          <w:tcPr>
            <w:tcW w:w="1273" w:type="dxa"/>
            <w:shd w:val="clear" w:color="auto" w:fill="auto"/>
          </w:tcPr>
          <w:p w:rsidR="001929EA" w:rsidRPr="000C52D6" w:rsidRDefault="001929EA" w:rsidP="001929EA">
            <w:pPr>
              <w:tabs>
                <w:tab w:val="left" w:pos="7605"/>
              </w:tabs>
              <w:jc w:val="right"/>
            </w:pPr>
            <w:r w:rsidRPr="000C52D6">
              <w:t>$1,815</w:t>
            </w:r>
          </w:p>
        </w:tc>
      </w:tr>
      <w:tr w:rsidR="001929EA" w:rsidRPr="000C52D6" w:rsidTr="001929EA">
        <w:tc>
          <w:tcPr>
            <w:tcW w:w="1818" w:type="dxa"/>
            <w:gridSpan w:val="2"/>
            <w:shd w:val="clear" w:color="auto" w:fill="auto"/>
          </w:tcPr>
          <w:p w:rsidR="001929EA" w:rsidRPr="000C52D6" w:rsidRDefault="001929EA" w:rsidP="001929EA">
            <w:pPr>
              <w:tabs>
                <w:tab w:val="left" w:pos="7605"/>
              </w:tabs>
            </w:pPr>
            <w:r w:rsidRPr="000C52D6">
              <w:t>October</w:t>
            </w:r>
          </w:p>
        </w:tc>
        <w:tc>
          <w:tcPr>
            <w:tcW w:w="1080" w:type="dxa"/>
            <w:shd w:val="clear" w:color="auto" w:fill="auto"/>
          </w:tcPr>
          <w:p w:rsidR="001929EA" w:rsidRPr="000C52D6" w:rsidRDefault="001929EA" w:rsidP="001929EA">
            <w:pPr>
              <w:tabs>
                <w:tab w:val="left" w:pos="7605"/>
              </w:tabs>
              <w:jc w:val="right"/>
            </w:pPr>
            <w:r w:rsidRPr="000C52D6">
              <w:t>$275</w:t>
            </w:r>
          </w:p>
        </w:tc>
        <w:tc>
          <w:tcPr>
            <w:tcW w:w="1350" w:type="dxa"/>
            <w:shd w:val="clear" w:color="auto" w:fill="auto"/>
          </w:tcPr>
          <w:p w:rsidR="001929EA" w:rsidRPr="000C52D6" w:rsidRDefault="001929EA" w:rsidP="001929EA">
            <w:pPr>
              <w:tabs>
                <w:tab w:val="left" w:pos="7605"/>
              </w:tabs>
              <w:jc w:val="right"/>
            </w:pPr>
            <w:r w:rsidRPr="000C52D6">
              <w:t>$626</w:t>
            </w:r>
          </w:p>
        </w:tc>
        <w:tc>
          <w:tcPr>
            <w:tcW w:w="1330" w:type="dxa"/>
            <w:shd w:val="clear" w:color="auto" w:fill="auto"/>
          </w:tcPr>
          <w:p w:rsidR="001929EA" w:rsidRPr="000C52D6" w:rsidRDefault="001929EA" w:rsidP="001929EA">
            <w:pPr>
              <w:tabs>
                <w:tab w:val="left" w:pos="7605"/>
              </w:tabs>
              <w:jc w:val="right"/>
            </w:pPr>
            <w:r w:rsidRPr="000C52D6">
              <w:t>$1,005</w:t>
            </w:r>
          </w:p>
        </w:tc>
        <w:tc>
          <w:tcPr>
            <w:tcW w:w="1339" w:type="dxa"/>
            <w:shd w:val="clear" w:color="auto" w:fill="auto"/>
          </w:tcPr>
          <w:p w:rsidR="001929EA" w:rsidRPr="000C52D6" w:rsidRDefault="001929EA" w:rsidP="001929EA">
            <w:pPr>
              <w:tabs>
                <w:tab w:val="left" w:pos="7605"/>
              </w:tabs>
              <w:jc w:val="right"/>
            </w:pPr>
            <w:r w:rsidRPr="000C52D6">
              <w:t>$1,413</w:t>
            </w:r>
          </w:p>
        </w:tc>
        <w:tc>
          <w:tcPr>
            <w:tcW w:w="1273" w:type="dxa"/>
            <w:shd w:val="clear" w:color="auto" w:fill="auto"/>
          </w:tcPr>
          <w:p w:rsidR="001929EA" w:rsidRPr="000C52D6" w:rsidRDefault="001929EA" w:rsidP="001929EA">
            <w:pPr>
              <w:tabs>
                <w:tab w:val="left" w:pos="7605"/>
              </w:tabs>
              <w:jc w:val="right"/>
            </w:pPr>
            <w:r w:rsidRPr="000C52D6">
              <w:t>$1,852</w:t>
            </w:r>
          </w:p>
        </w:tc>
      </w:tr>
      <w:tr w:rsidR="001929EA" w:rsidRPr="000C52D6" w:rsidTr="001929EA">
        <w:tc>
          <w:tcPr>
            <w:tcW w:w="1818" w:type="dxa"/>
            <w:gridSpan w:val="2"/>
            <w:shd w:val="clear" w:color="auto" w:fill="auto"/>
          </w:tcPr>
          <w:p w:rsidR="001929EA" w:rsidRPr="000C52D6" w:rsidRDefault="001929EA" w:rsidP="001929EA">
            <w:pPr>
              <w:tabs>
                <w:tab w:val="left" w:pos="7605"/>
              </w:tabs>
            </w:pPr>
            <w:r w:rsidRPr="000C52D6">
              <w:t>November</w:t>
            </w:r>
          </w:p>
        </w:tc>
        <w:tc>
          <w:tcPr>
            <w:tcW w:w="1080" w:type="dxa"/>
            <w:shd w:val="clear" w:color="auto" w:fill="auto"/>
          </w:tcPr>
          <w:p w:rsidR="001929EA" w:rsidRPr="000C52D6" w:rsidRDefault="001929EA" w:rsidP="001929EA">
            <w:pPr>
              <w:tabs>
                <w:tab w:val="left" w:pos="7605"/>
              </w:tabs>
              <w:jc w:val="right"/>
            </w:pPr>
            <w:r w:rsidRPr="000C52D6">
              <w:t>$303</w:t>
            </w:r>
          </w:p>
        </w:tc>
        <w:tc>
          <w:tcPr>
            <w:tcW w:w="1350" w:type="dxa"/>
            <w:shd w:val="clear" w:color="auto" w:fill="auto"/>
          </w:tcPr>
          <w:p w:rsidR="001929EA" w:rsidRPr="000C52D6" w:rsidRDefault="001929EA" w:rsidP="001929EA">
            <w:pPr>
              <w:tabs>
                <w:tab w:val="left" w:pos="7605"/>
              </w:tabs>
              <w:jc w:val="right"/>
            </w:pPr>
            <w:r w:rsidRPr="000C52D6">
              <w:t>$656</w:t>
            </w:r>
          </w:p>
        </w:tc>
        <w:tc>
          <w:tcPr>
            <w:tcW w:w="1330" w:type="dxa"/>
            <w:shd w:val="clear" w:color="auto" w:fill="auto"/>
          </w:tcPr>
          <w:p w:rsidR="001929EA" w:rsidRPr="000C52D6" w:rsidRDefault="001929EA" w:rsidP="001929EA">
            <w:pPr>
              <w:tabs>
                <w:tab w:val="left" w:pos="7605"/>
              </w:tabs>
              <w:jc w:val="right"/>
            </w:pPr>
            <w:r w:rsidRPr="000C52D6">
              <w:t>$1,037</w:t>
            </w:r>
          </w:p>
        </w:tc>
        <w:tc>
          <w:tcPr>
            <w:tcW w:w="1339" w:type="dxa"/>
            <w:shd w:val="clear" w:color="auto" w:fill="auto"/>
          </w:tcPr>
          <w:p w:rsidR="001929EA" w:rsidRPr="000C52D6" w:rsidRDefault="001929EA" w:rsidP="001929EA">
            <w:pPr>
              <w:tabs>
                <w:tab w:val="left" w:pos="7605"/>
              </w:tabs>
              <w:jc w:val="right"/>
            </w:pPr>
            <w:r w:rsidRPr="000C52D6">
              <w:t>$1,447</w:t>
            </w:r>
          </w:p>
        </w:tc>
        <w:tc>
          <w:tcPr>
            <w:tcW w:w="1273" w:type="dxa"/>
            <w:shd w:val="clear" w:color="auto" w:fill="auto"/>
          </w:tcPr>
          <w:p w:rsidR="001929EA" w:rsidRPr="000C52D6" w:rsidRDefault="001929EA" w:rsidP="001929EA">
            <w:pPr>
              <w:tabs>
                <w:tab w:val="left" w:pos="7605"/>
              </w:tabs>
              <w:jc w:val="right"/>
            </w:pPr>
            <w:r w:rsidRPr="000C52D6">
              <w:t>$1,889</w:t>
            </w:r>
          </w:p>
        </w:tc>
      </w:tr>
      <w:tr w:rsidR="001929EA" w:rsidRPr="000C52D6" w:rsidTr="001929EA">
        <w:tc>
          <w:tcPr>
            <w:tcW w:w="1818" w:type="dxa"/>
            <w:gridSpan w:val="2"/>
            <w:shd w:val="clear" w:color="auto" w:fill="auto"/>
          </w:tcPr>
          <w:p w:rsidR="001929EA" w:rsidRPr="000C52D6" w:rsidRDefault="001929EA" w:rsidP="001929EA">
            <w:pPr>
              <w:tabs>
                <w:tab w:val="left" w:pos="7605"/>
              </w:tabs>
            </w:pPr>
            <w:r w:rsidRPr="000C52D6">
              <w:t>December</w:t>
            </w:r>
          </w:p>
        </w:tc>
        <w:tc>
          <w:tcPr>
            <w:tcW w:w="1080" w:type="dxa"/>
            <w:shd w:val="clear" w:color="auto" w:fill="auto"/>
          </w:tcPr>
          <w:p w:rsidR="001929EA" w:rsidRPr="000C52D6" w:rsidRDefault="001929EA" w:rsidP="001929EA">
            <w:pPr>
              <w:tabs>
                <w:tab w:val="left" w:pos="7605"/>
              </w:tabs>
              <w:jc w:val="right"/>
            </w:pPr>
            <w:r w:rsidRPr="000C52D6">
              <w:t>$330</w:t>
            </w:r>
          </w:p>
        </w:tc>
        <w:tc>
          <w:tcPr>
            <w:tcW w:w="1350" w:type="dxa"/>
            <w:shd w:val="clear" w:color="auto" w:fill="auto"/>
          </w:tcPr>
          <w:p w:rsidR="001929EA" w:rsidRPr="000C52D6" w:rsidRDefault="001929EA" w:rsidP="001929EA">
            <w:pPr>
              <w:tabs>
                <w:tab w:val="left" w:pos="7605"/>
              </w:tabs>
              <w:jc w:val="right"/>
            </w:pPr>
            <w:r w:rsidRPr="000C52D6">
              <w:t>$686</w:t>
            </w:r>
          </w:p>
        </w:tc>
        <w:tc>
          <w:tcPr>
            <w:tcW w:w="1330" w:type="dxa"/>
            <w:shd w:val="clear" w:color="auto" w:fill="auto"/>
          </w:tcPr>
          <w:p w:rsidR="001929EA" w:rsidRPr="000C52D6" w:rsidRDefault="001929EA" w:rsidP="001929EA">
            <w:pPr>
              <w:tabs>
                <w:tab w:val="left" w:pos="7605"/>
              </w:tabs>
              <w:jc w:val="right"/>
            </w:pPr>
            <w:r w:rsidRPr="000C52D6">
              <w:t>$1,069</w:t>
            </w:r>
          </w:p>
        </w:tc>
        <w:tc>
          <w:tcPr>
            <w:tcW w:w="1339" w:type="dxa"/>
            <w:shd w:val="clear" w:color="auto" w:fill="auto"/>
          </w:tcPr>
          <w:p w:rsidR="001929EA" w:rsidRPr="000C52D6" w:rsidRDefault="001929EA" w:rsidP="001929EA">
            <w:pPr>
              <w:tabs>
                <w:tab w:val="left" w:pos="7605"/>
              </w:tabs>
              <w:jc w:val="right"/>
            </w:pPr>
            <w:r w:rsidRPr="000C52D6">
              <w:t>$1,481</w:t>
            </w:r>
          </w:p>
        </w:tc>
        <w:tc>
          <w:tcPr>
            <w:tcW w:w="1273" w:type="dxa"/>
            <w:shd w:val="clear" w:color="auto" w:fill="auto"/>
          </w:tcPr>
          <w:p w:rsidR="001929EA" w:rsidRPr="000C52D6" w:rsidRDefault="001929EA" w:rsidP="001929EA">
            <w:pPr>
              <w:tabs>
                <w:tab w:val="left" w:pos="7605"/>
              </w:tabs>
              <w:jc w:val="right"/>
            </w:pPr>
            <w:r w:rsidRPr="000C52D6">
              <w:t>$1,926</w:t>
            </w:r>
          </w:p>
        </w:tc>
      </w:tr>
      <w:tr w:rsidR="001929EA" w:rsidRPr="000C52D6" w:rsidTr="001929EA">
        <w:tc>
          <w:tcPr>
            <w:tcW w:w="1818" w:type="dxa"/>
            <w:gridSpan w:val="2"/>
            <w:shd w:val="clear" w:color="auto" w:fill="auto"/>
          </w:tcPr>
          <w:p w:rsidR="001929EA" w:rsidRPr="000C52D6" w:rsidRDefault="001929EA" w:rsidP="001929EA">
            <w:pPr>
              <w:tabs>
                <w:tab w:val="left" w:pos="7605"/>
              </w:tabs>
            </w:pPr>
          </w:p>
        </w:tc>
        <w:tc>
          <w:tcPr>
            <w:tcW w:w="1080" w:type="dxa"/>
            <w:shd w:val="clear" w:color="auto" w:fill="auto"/>
          </w:tcPr>
          <w:p w:rsidR="001929EA" w:rsidRPr="000C52D6" w:rsidRDefault="001929EA" w:rsidP="001929EA">
            <w:pPr>
              <w:tabs>
                <w:tab w:val="left" w:pos="7605"/>
              </w:tabs>
              <w:jc w:val="right"/>
            </w:pPr>
          </w:p>
        </w:tc>
        <w:tc>
          <w:tcPr>
            <w:tcW w:w="1350" w:type="dxa"/>
            <w:shd w:val="clear" w:color="auto" w:fill="auto"/>
          </w:tcPr>
          <w:p w:rsidR="001929EA" w:rsidRPr="000C52D6" w:rsidRDefault="001929EA" w:rsidP="001929EA">
            <w:pPr>
              <w:tabs>
                <w:tab w:val="left" w:pos="7605"/>
              </w:tabs>
              <w:jc w:val="right"/>
            </w:pPr>
          </w:p>
        </w:tc>
        <w:tc>
          <w:tcPr>
            <w:tcW w:w="1330" w:type="dxa"/>
            <w:shd w:val="clear" w:color="auto" w:fill="auto"/>
          </w:tcPr>
          <w:p w:rsidR="001929EA" w:rsidRPr="000C52D6" w:rsidRDefault="001929EA" w:rsidP="001929EA">
            <w:pPr>
              <w:tabs>
                <w:tab w:val="left" w:pos="7605"/>
              </w:tabs>
              <w:jc w:val="right"/>
            </w:pPr>
          </w:p>
        </w:tc>
        <w:tc>
          <w:tcPr>
            <w:tcW w:w="1339" w:type="dxa"/>
            <w:shd w:val="clear" w:color="auto" w:fill="auto"/>
          </w:tcPr>
          <w:p w:rsidR="001929EA" w:rsidRPr="000C52D6" w:rsidRDefault="001929EA" w:rsidP="001929EA">
            <w:pPr>
              <w:tabs>
                <w:tab w:val="left" w:pos="7605"/>
              </w:tabs>
              <w:jc w:val="right"/>
            </w:pPr>
          </w:p>
        </w:tc>
        <w:tc>
          <w:tcPr>
            <w:tcW w:w="1273" w:type="dxa"/>
            <w:shd w:val="clear" w:color="auto" w:fill="auto"/>
          </w:tcPr>
          <w:p w:rsidR="001929EA" w:rsidRPr="000C52D6" w:rsidRDefault="001929EA" w:rsidP="001929EA">
            <w:pPr>
              <w:tabs>
                <w:tab w:val="left" w:pos="7605"/>
              </w:tabs>
              <w:jc w:val="right"/>
            </w:pPr>
          </w:p>
        </w:tc>
      </w:tr>
      <w:tr w:rsidR="001929EA" w:rsidRPr="000C52D6" w:rsidTr="001929EA">
        <w:trPr>
          <w:trHeight w:val="354"/>
        </w:trPr>
        <w:tc>
          <w:tcPr>
            <w:tcW w:w="468" w:type="dxa"/>
            <w:shd w:val="clear" w:color="auto" w:fill="auto"/>
          </w:tcPr>
          <w:p w:rsidR="001929EA" w:rsidRPr="000C52D6" w:rsidRDefault="001929EA" w:rsidP="001929EA">
            <w:pPr>
              <w:tabs>
                <w:tab w:val="left" w:pos="7605"/>
              </w:tabs>
            </w:pPr>
            <w:r w:rsidRPr="000C52D6">
              <w:t>1.</w:t>
            </w:r>
          </w:p>
        </w:tc>
        <w:tc>
          <w:tcPr>
            <w:tcW w:w="7722" w:type="dxa"/>
            <w:gridSpan w:val="6"/>
            <w:shd w:val="clear" w:color="auto" w:fill="auto"/>
          </w:tcPr>
          <w:p w:rsidR="001929EA" w:rsidRPr="000C52D6" w:rsidRDefault="001929EA" w:rsidP="001929EA">
            <w:pPr>
              <w:tabs>
                <w:tab w:val="left" w:pos="7605"/>
              </w:tabs>
            </w:pPr>
            <w:r w:rsidRPr="000C52D6">
              <w:t>The amounts indicated above are per ERC. (ERC=350)</w:t>
            </w:r>
          </w:p>
        </w:tc>
      </w:tr>
      <w:tr w:rsidR="001929EA" w:rsidRPr="000C52D6" w:rsidTr="001929EA">
        <w:trPr>
          <w:trHeight w:val="352"/>
        </w:trPr>
        <w:tc>
          <w:tcPr>
            <w:tcW w:w="468" w:type="dxa"/>
            <w:shd w:val="clear" w:color="auto" w:fill="auto"/>
          </w:tcPr>
          <w:p w:rsidR="001929EA" w:rsidRPr="000C52D6" w:rsidRDefault="001929EA" w:rsidP="001929EA">
            <w:pPr>
              <w:tabs>
                <w:tab w:val="left" w:pos="7605"/>
              </w:tabs>
            </w:pPr>
            <w:r w:rsidRPr="000C52D6">
              <w:t>2.</w:t>
            </w:r>
          </w:p>
        </w:tc>
        <w:tc>
          <w:tcPr>
            <w:tcW w:w="7722" w:type="dxa"/>
            <w:gridSpan w:val="6"/>
            <w:shd w:val="clear" w:color="auto" w:fill="auto"/>
          </w:tcPr>
          <w:p w:rsidR="001929EA" w:rsidRPr="000C52D6" w:rsidRDefault="001929EA" w:rsidP="001929EA">
            <w:pPr>
              <w:tabs>
                <w:tab w:val="left" w:pos="7605"/>
              </w:tabs>
            </w:pPr>
            <w:r w:rsidRPr="000C52D6">
              <w:t>The number of remaining ERCs is 422 as of 1/1/2006.</w:t>
            </w:r>
          </w:p>
        </w:tc>
      </w:tr>
      <w:tr w:rsidR="001929EA" w:rsidRPr="000C52D6" w:rsidTr="001929EA">
        <w:trPr>
          <w:trHeight w:val="352"/>
        </w:trPr>
        <w:tc>
          <w:tcPr>
            <w:tcW w:w="468" w:type="dxa"/>
            <w:shd w:val="clear" w:color="auto" w:fill="auto"/>
          </w:tcPr>
          <w:p w:rsidR="001929EA" w:rsidRPr="000C52D6" w:rsidRDefault="001929EA" w:rsidP="001929EA">
            <w:pPr>
              <w:tabs>
                <w:tab w:val="left" w:pos="7605"/>
              </w:tabs>
            </w:pPr>
            <w:r w:rsidRPr="000C52D6">
              <w:t>3.</w:t>
            </w:r>
          </w:p>
        </w:tc>
        <w:tc>
          <w:tcPr>
            <w:tcW w:w="7722" w:type="dxa"/>
            <w:gridSpan w:val="6"/>
            <w:shd w:val="clear" w:color="auto" w:fill="auto"/>
          </w:tcPr>
          <w:p w:rsidR="001929EA" w:rsidRPr="000C52D6" w:rsidRDefault="001929EA" w:rsidP="001929EA">
            <w:pPr>
              <w:tabs>
                <w:tab w:val="left" w:pos="7605"/>
              </w:tabs>
              <w:jc w:val="both"/>
            </w:pPr>
            <w:r w:rsidRPr="000C52D6">
              <w:t>If the number of the remaining ERCs has not connected by December 31, 2010, the maximum charge of $1,926 remains in effect after December 31, 2008.</w:t>
            </w:r>
          </w:p>
        </w:tc>
      </w:tr>
      <w:tr w:rsidR="001929EA" w:rsidRPr="00877C13" w:rsidTr="001929EA">
        <w:trPr>
          <w:trHeight w:val="352"/>
        </w:trPr>
        <w:tc>
          <w:tcPr>
            <w:tcW w:w="468" w:type="dxa"/>
            <w:shd w:val="clear" w:color="auto" w:fill="auto"/>
          </w:tcPr>
          <w:p w:rsidR="001929EA" w:rsidRPr="000C52D6" w:rsidRDefault="001929EA" w:rsidP="001929EA">
            <w:pPr>
              <w:tabs>
                <w:tab w:val="left" w:pos="7605"/>
              </w:tabs>
            </w:pPr>
            <w:r w:rsidRPr="000C52D6">
              <w:t>4.</w:t>
            </w:r>
          </w:p>
        </w:tc>
        <w:tc>
          <w:tcPr>
            <w:tcW w:w="7722" w:type="dxa"/>
            <w:gridSpan w:val="6"/>
            <w:shd w:val="clear" w:color="auto" w:fill="auto"/>
          </w:tcPr>
          <w:p w:rsidR="001929EA" w:rsidRPr="00877C13" w:rsidRDefault="001929EA" w:rsidP="001929EA">
            <w:pPr>
              <w:tabs>
                <w:tab w:val="left" w:pos="7605"/>
              </w:tabs>
            </w:pPr>
            <w:r w:rsidRPr="000C52D6">
              <w:t>When the number of remaining ERCs have connected, the charge will cease.</w:t>
            </w:r>
          </w:p>
        </w:tc>
      </w:tr>
    </w:tbl>
    <w:p w:rsidR="001929EA" w:rsidRPr="00877C13" w:rsidRDefault="001929EA" w:rsidP="001929EA">
      <w:pPr>
        <w:tabs>
          <w:tab w:val="left" w:pos="7605"/>
        </w:tabs>
      </w:pPr>
    </w:p>
    <w:p w:rsidR="002555D8" w:rsidRDefault="002555D8" w:rsidP="00E275D8">
      <w:pPr>
        <w:pStyle w:val="BodyText"/>
        <w:sectPr w:rsidR="002555D8" w:rsidSect="0068481F">
          <w:headerReference w:type="default" r:id="rId19"/>
          <w:footerReference w:type="default" r:id="rId20"/>
          <w:pgSz w:w="12240" w:h="15840" w:code="1"/>
          <w:pgMar w:top="1584" w:right="1440" w:bottom="1440" w:left="1440" w:header="720" w:footer="720" w:gutter="0"/>
          <w:cols w:space="720"/>
          <w:formProt w:val="0"/>
          <w:docGrid w:linePitch="360"/>
        </w:sectPr>
      </w:pPr>
    </w:p>
    <w:tbl>
      <w:tblPr>
        <w:tblW w:w="8575" w:type="dxa"/>
        <w:jc w:val="center"/>
        <w:tblInd w:w="93" w:type="dxa"/>
        <w:tblLook w:val="04A0" w:firstRow="1" w:lastRow="0" w:firstColumn="1" w:lastColumn="0" w:noHBand="0" w:noVBand="1"/>
      </w:tblPr>
      <w:tblGrid>
        <w:gridCol w:w="2812"/>
        <w:gridCol w:w="1840"/>
        <w:gridCol w:w="1643"/>
        <w:gridCol w:w="2280"/>
      </w:tblGrid>
      <w:tr w:rsidR="001929EA" w:rsidRPr="0062646B" w:rsidTr="001929EA">
        <w:trPr>
          <w:trHeight w:val="369"/>
          <w:jc w:val="center"/>
        </w:trPr>
        <w:tc>
          <w:tcPr>
            <w:tcW w:w="8575" w:type="dxa"/>
            <w:gridSpan w:val="4"/>
            <w:noWrap/>
            <w:vAlign w:val="center"/>
            <w:hideMark/>
          </w:tcPr>
          <w:p w:rsidR="001929EA" w:rsidRPr="0062646B" w:rsidRDefault="001929EA" w:rsidP="001929EA">
            <w:pPr>
              <w:jc w:val="center"/>
              <w:rPr>
                <w:rFonts w:ascii="Arial" w:hAnsi="Arial" w:cs="Arial"/>
                <w:b/>
                <w:bCs/>
                <w:color w:val="000000"/>
              </w:rPr>
            </w:pPr>
            <w:r w:rsidRPr="0062646B">
              <w:rPr>
                <w:rFonts w:ascii="Arial" w:hAnsi="Arial" w:cs="Arial"/>
                <w:b/>
                <w:bCs/>
                <w:color w:val="000000"/>
              </w:rPr>
              <w:lastRenderedPageBreak/>
              <w:t>Southwest Ocala Utility, Inc. Water System Schedule</w:t>
            </w:r>
          </w:p>
        </w:tc>
      </w:tr>
      <w:tr w:rsidR="001929EA" w:rsidRPr="0062646B" w:rsidTr="001929EA">
        <w:trPr>
          <w:trHeight w:val="278"/>
          <w:jc w:val="center"/>
        </w:trPr>
        <w:tc>
          <w:tcPr>
            <w:tcW w:w="8575" w:type="dxa"/>
            <w:gridSpan w:val="4"/>
            <w:vAlign w:val="center"/>
            <w:hideMark/>
          </w:tcPr>
          <w:p w:rsidR="001929EA" w:rsidRPr="0062646B" w:rsidRDefault="001929EA" w:rsidP="001929EA">
            <w:pPr>
              <w:jc w:val="center"/>
              <w:rPr>
                <w:rFonts w:ascii="Arial" w:hAnsi="Arial" w:cs="Arial"/>
                <w:b/>
                <w:bCs/>
                <w:color w:val="000000"/>
              </w:rPr>
            </w:pPr>
            <w:r w:rsidRPr="0062646B">
              <w:rPr>
                <w:rFonts w:ascii="Arial" w:hAnsi="Arial" w:cs="Arial"/>
                <w:b/>
                <w:bCs/>
                <w:color w:val="000000"/>
              </w:rPr>
              <w:t>Water System</w:t>
            </w:r>
          </w:p>
        </w:tc>
      </w:tr>
      <w:tr w:rsidR="001929EA" w:rsidRPr="0062646B" w:rsidTr="001929EA">
        <w:trPr>
          <w:trHeight w:val="350"/>
          <w:jc w:val="center"/>
        </w:trPr>
        <w:tc>
          <w:tcPr>
            <w:tcW w:w="8575" w:type="dxa"/>
            <w:gridSpan w:val="4"/>
            <w:vAlign w:val="center"/>
            <w:hideMark/>
          </w:tcPr>
          <w:p w:rsidR="001929EA" w:rsidRPr="0062646B" w:rsidRDefault="001929EA" w:rsidP="001929EA">
            <w:pPr>
              <w:jc w:val="center"/>
              <w:rPr>
                <w:rFonts w:ascii="Arial" w:hAnsi="Arial" w:cs="Arial"/>
                <w:b/>
                <w:bCs/>
                <w:color w:val="000000"/>
              </w:rPr>
            </w:pPr>
            <w:r w:rsidRPr="0062646B">
              <w:rPr>
                <w:rFonts w:ascii="Arial" w:hAnsi="Arial" w:cs="Arial"/>
                <w:b/>
                <w:bCs/>
                <w:color w:val="000000"/>
              </w:rPr>
              <w:t>Schedule of Net Book Value as of January 1, 2014</w:t>
            </w:r>
          </w:p>
        </w:tc>
      </w:tr>
      <w:tr w:rsidR="001929EA" w:rsidRPr="0062646B" w:rsidTr="001929EA">
        <w:trPr>
          <w:trHeight w:val="450"/>
          <w:jc w:val="center"/>
        </w:trPr>
        <w:tc>
          <w:tcPr>
            <w:tcW w:w="2812" w:type="dxa"/>
            <w:vAlign w:val="center"/>
            <w:hideMark/>
          </w:tcPr>
          <w:p w:rsidR="001929EA" w:rsidRPr="0062646B" w:rsidRDefault="001929EA" w:rsidP="001929EA">
            <w:pPr>
              <w:rPr>
                <w:rFonts w:asciiTheme="minorHAnsi" w:eastAsiaTheme="minorHAnsi" w:hAnsiTheme="minorHAnsi"/>
                <w:sz w:val="22"/>
                <w:szCs w:val="22"/>
              </w:rPr>
            </w:pPr>
          </w:p>
        </w:tc>
        <w:tc>
          <w:tcPr>
            <w:tcW w:w="1840" w:type="dxa"/>
            <w:vAlign w:val="center"/>
            <w:hideMark/>
          </w:tcPr>
          <w:p w:rsidR="001929EA" w:rsidRPr="0062646B" w:rsidRDefault="001929EA" w:rsidP="001929EA">
            <w:pPr>
              <w:rPr>
                <w:rFonts w:asciiTheme="minorHAnsi" w:eastAsiaTheme="minorHAnsi" w:hAnsiTheme="minorHAnsi"/>
                <w:sz w:val="22"/>
                <w:szCs w:val="22"/>
              </w:rPr>
            </w:pPr>
          </w:p>
        </w:tc>
        <w:tc>
          <w:tcPr>
            <w:tcW w:w="1643" w:type="dxa"/>
            <w:vAlign w:val="center"/>
            <w:hideMark/>
          </w:tcPr>
          <w:p w:rsidR="001929EA" w:rsidRPr="0062646B" w:rsidRDefault="001929EA" w:rsidP="001929EA">
            <w:pPr>
              <w:rPr>
                <w:rFonts w:asciiTheme="minorHAnsi" w:eastAsiaTheme="minorHAnsi" w:hAnsiTheme="minorHAnsi"/>
                <w:sz w:val="22"/>
                <w:szCs w:val="22"/>
              </w:rPr>
            </w:pPr>
          </w:p>
        </w:tc>
        <w:tc>
          <w:tcPr>
            <w:tcW w:w="2280" w:type="dxa"/>
            <w:vAlign w:val="center"/>
            <w:hideMark/>
          </w:tcPr>
          <w:p w:rsidR="001929EA" w:rsidRPr="0062646B" w:rsidRDefault="001929EA" w:rsidP="001929EA">
            <w:pPr>
              <w:rPr>
                <w:rFonts w:asciiTheme="minorHAnsi" w:eastAsiaTheme="minorHAnsi" w:hAnsiTheme="minorHAnsi"/>
                <w:sz w:val="22"/>
                <w:szCs w:val="22"/>
              </w:rPr>
            </w:pPr>
          </w:p>
        </w:tc>
      </w:tr>
      <w:tr w:rsidR="001929EA" w:rsidRPr="0062646B" w:rsidTr="001929EA">
        <w:trPr>
          <w:trHeight w:val="630"/>
          <w:jc w:val="center"/>
        </w:trPr>
        <w:tc>
          <w:tcPr>
            <w:tcW w:w="2812" w:type="dxa"/>
            <w:vAlign w:val="bottom"/>
            <w:hideMark/>
          </w:tcPr>
          <w:p w:rsidR="001929EA" w:rsidRPr="0062646B" w:rsidRDefault="001929EA" w:rsidP="001929EA">
            <w:pPr>
              <w:jc w:val="center"/>
              <w:rPr>
                <w:b/>
                <w:bCs/>
                <w:color w:val="000000"/>
                <w:u w:val="single"/>
              </w:rPr>
            </w:pPr>
            <w:r w:rsidRPr="0062646B">
              <w:rPr>
                <w:b/>
                <w:bCs/>
                <w:color w:val="000000"/>
                <w:u w:val="single"/>
              </w:rPr>
              <w:t>Description</w:t>
            </w:r>
          </w:p>
        </w:tc>
        <w:tc>
          <w:tcPr>
            <w:tcW w:w="1840" w:type="dxa"/>
            <w:vAlign w:val="bottom"/>
            <w:hideMark/>
          </w:tcPr>
          <w:p w:rsidR="001929EA" w:rsidRPr="0062646B" w:rsidRDefault="001929EA" w:rsidP="001929EA">
            <w:pPr>
              <w:tabs>
                <w:tab w:val="left" w:pos="1532"/>
              </w:tabs>
              <w:jc w:val="center"/>
              <w:rPr>
                <w:b/>
                <w:bCs/>
                <w:color w:val="000000"/>
                <w:u w:val="single"/>
              </w:rPr>
            </w:pPr>
            <w:r w:rsidRPr="0062646B">
              <w:rPr>
                <w:b/>
                <w:bCs/>
                <w:color w:val="000000"/>
              </w:rPr>
              <w:t xml:space="preserve">Balance Per </w:t>
            </w:r>
            <w:r w:rsidRPr="0062646B">
              <w:rPr>
                <w:b/>
                <w:bCs/>
                <w:color w:val="000000"/>
                <w:u w:val="single"/>
              </w:rPr>
              <w:t>Utility</w:t>
            </w:r>
          </w:p>
        </w:tc>
        <w:tc>
          <w:tcPr>
            <w:tcW w:w="1643" w:type="dxa"/>
            <w:vAlign w:val="bottom"/>
            <w:hideMark/>
          </w:tcPr>
          <w:p w:rsidR="001929EA" w:rsidRPr="0062646B" w:rsidRDefault="001929EA" w:rsidP="001929EA">
            <w:pPr>
              <w:jc w:val="center"/>
              <w:rPr>
                <w:b/>
                <w:bCs/>
                <w:color w:val="000000"/>
                <w:u w:val="single"/>
              </w:rPr>
            </w:pPr>
            <w:r w:rsidRPr="0062646B">
              <w:rPr>
                <w:b/>
                <w:bCs/>
                <w:color w:val="000000"/>
                <w:u w:val="single"/>
              </w:rPr>
              <w:t>Adjustments</w:t>
            </w:r>
            <w:r w:rsidRPr="0062646B">
              <w:rPr>
                <w:b/>
                <w:bCs/>
                <w:color w:val="000000"/>
              </w:rPr>
              <w:t>*</w:t>
            </w:r>
            <w:r w:rsidRPr="0062646B">
              <w:rPr>
                <w:b/>
                <w:bCs/>
                <w:color w:val="000000"/>
                <w:u w:val="single"/>
              </w:rPr>
              <w:t xml:space="preserve"> </w:t>
            </w:r>
          </w:p>
        </w:tc>
        <w:tc>
          <w:tcPr>
            <w:tcW w:w="2280" w:type="dxa"/>
            <w:vAlign w:val="bottom"/>
            <w:hideMark/>
          </w:tcPr>
          <w:p w:rsidR="001929EA" w:rsidRPr="0062646B" w:rsidRDefault="001929EA" w:rsidP="001929EA">
            <w:pPr>
              <w:jc w:val="center"/>
              <w:rPr>
                <w:b/>
                <w:bCs/>
                <w:color w:val="000000"/>
              </w:rPr>
            </w:pPr>
            <w:r w:rsidRPr="0062646B">
              <w:rPr>
                <w:b/>
                <w:bCs/>
                <w:color w:val="000000"/>
              </w:rPr>
              <w:t xml:space="preserve">Staff </w:t>
            </w:r>
            <w:r w:rsidRPr="0062646B">
              <w:rPr>
                <w:b/>
                <w:bCs/>
                <w:color w:val="000000"/>
                <w:u w:val="single"/>
              </w:rPr>
              <w:t>Recommendation</w:t>
            </w:r>
          </w:p>
        </w:tc>
      </w:tr>
      <w:tr w:rsidR="001929EA" w:rsidRPr="0062646B" w:rsidTr="001929EA">
        <w:trPr>
          <w:trHeight w:val="300"/>
          <w:jc w:val="center"/>
        </w:trPr>
        <w:tc>
          <w:tcPr>
            <w:tcW w:w="2812" w:type="dxa"/>
            <w:noWrap/>
            <w:vAlign w:val="bottom"/>
          </w:tcPr>
          <w:p w:rsidR="001929EA" w:rsidRPr="0062646B" w:rsidRDefault="001929EA" w:rsidP="001929EA">
            <w:pPr>
              <w:rPr>
                <w:color w:val="000000"/>
                <w:sz w:val="22"/>
                <w:szCs w:val="22"/>
              </w:rPr>
            </w:pPr>
          </w:p>
        </w:tc>
        <w:tc>
          <w:tcPr>
            <w:tcW w:w="1840" w:type="dxa"/>
            <w:noWrap/>
            <w:vAlign w:val="bottom"/>
          </w:tcPr>
          <w:p w:rsidR="001929EA" w:rsidRPr="0062646B" w:rsidRDefault="001929EA" w:rsidP="001929EA">
            <w:pPr>
              <w:tabs>
                <w:tab w:val="decimal" w:pos="1502"/>
              </w:tabs>
              <w:rPr>
                <w:color w:val="000000"/>
                <w:sz w:val="22"/>
                <w:szCs w:val="22"/>
              </w:rPr>
            </w:pPr>
          </w:p>
        </w:tc>
        <w:tc>
          <w:tcPr>
            <w:tcW w:w="1643" w:type="dxa"/>
            <w:noWrap/>
            <w:vAlign w:val="bottom"/>
          </w:tcPr>
          <w:p w:rsidR="001929EA" w:rsidRPr="0062646B" w:rsidRDefault="001929EA" w:rsidP="001929EA">
            <w:pPr>
              <w:tabs>
                <w:tab w:val="decimal" w:pos="994"/>
                <w:tab w:val="left" w:pos="1133"/>
              </w:tabs>
              <w:rPr>
                <w:color w:val="000000"/>
                <w:sz w:val="22"/>
                <w:szCs w:val="22"/>
              </w:rPr>
            </w:pPr>
          </w:p>
        </w:tc>
        <w:tc>
          <w:tcPr>
            <w:tcW w:w="2280" w:type="dxa"/>
            <w:noWrap/>
            <w:vAlign w:val="bottom"/>
          </w:tcPr>
          <w:p w:rsidR="001929EA" w:rsidRPr="0062646B" w:rsidRDefault="001929EA" w:rsidP="001929EA">
            <w:pPr>
              <w:tabs>
                <w:tab w:val="decimal" w:pos="1635"/>
              </w:tabs>
              <w:rPr>
                <w:color w:val="000000"/>
                <w:sz w:val="22"/>
                <w:szCs w:val="22"/>
              </w:rPr>
            </w:pPr>
          </w:p>
        </w:tc>
      </w:tr>
      <w:tr w:rsidR="001929EA" w:rsidRPr="0062646B" w:rsidTr="001929EA">
        <w:trPr>
          <w:trHeight w:val="300"/>
          <w:jc w:val="center"/>
        </w:trPr>
        <w:tc>
          <w:tcPr>
            <w:tcW w:w="2812" w:type="dxa"/>
            <w:noWrap/>
            <w:vAlign w:val="bottom"/>
            <w:hideMark/>
          </w:tcPr>
          <w:p w:rsidR="001929EA" w:rsidRPr="0062646B" w:rsidRDefault="001929EA" w:rsidP="001929EA">
            <w:pPr>
              <w:rPr>
                <w:color w:val="000000"/>
                <w:sz w:val="22"/>
                <w:szCs w:val="22"/>
              </w:rPr>
            </w:pPr>
            <w:r w:rsidRPr="0062646B">
              <w:rPr>
                <w:color w:val="000000"/>
                <w:sz w:val="22"/>
                <w:szCs w:val="22"/>
              </w:rPr>
              <w:t>Utility Plant in Service</w:t>
            </w:r>
          </w:p>
        </w:tc>
        <w:tc>
          <w:tcPr>
            <w:tcW w:w="1840" w:type="dxa"/>
            <w:noWrap/>
            <w:vAlign w:val="bottom"/>
            <w:hideMark/>
          </w:tcPr>
          <w:p w:rsidR="001929EA" w:rsidRPr="0062646B" w:rsidRDefault="001929EA" w:rsidP="001929EA">
            <w:pPr>
              <w:tabs>
                <w:tab w:val="decimal" w:pos="1502"/>
              </w:tabs>
              <w:rPr>
                <w:color w:val="000000"/>
                <w:sz w:val="22"/>
                <w:szCs w:val="22"/>
              </w:rPr>
            </w:pPr>
            <w:r w:rsidRPr="0062646B">
              <w:rPr>
                <w:color w:val="000000"/>
                <w:sz w:val="22"/>
                <w:szCs w:val="22"/>
              </w:rPr>
              <w:t xml:space="preserve">$219,537 </w:t>
            </w:r>
          </w:p>
        </w:tc>
        <w:tc>
          <w:tcPr>
            <w:tcW w:w="1643" w:type="dxa"/>
            <w:noWrap/>
            <w:vAlign w:val="bottom"/>
            <w:hideMark/>
          </w:tcPr>
          <w:p w:rsidR="001929EA" w:rsidRPr="0062646B" w:rsidRDefault="001929EA" w:rsidP="001929EA">
            <w:pPr>
              <w:tabs>
                <w:tab w:val="decimal" w:pos="994"/>
                <w:tab w:val="left" w:pos="1133"/>
              </w:tabs>
              <w:rPr>
                <w:color w:val="000000"/>
                <w:sz w:val="22"/>
                <w:szCs w:val="22"/>
              </w:rPr>
            </w:pPr>
            <w:r w:rsidRPr="0062646B">
              <w:rPr>
                <w:color w:val="000000"/>
                <w:sz w:val="22"/>
                <w:szCs w:val="22"/>
              </w:rPr>
              <w:tab/>
              <w:t>$7,177</w:t>
            </w:r>
            <w:r w:rsidRPr="0062646B">
              <w:rPr>
                <w:color w:val="000000"/>
                <w:sz w:val="22"/>
                <w:szCs w:val="22"/>
              </w:rPr>
              <w:tab/>
              <w:t>A</w:t>
            </w:r>
          </w:p>
        </w:tc>
        <w:tc>
          <w:tcPr>
            <w:tcW w:w="2280" w:type="dxa"/>
            <w:noWrap/>
            <w:vAlign w:val="bottom"/>
            <w:hideMark/>
          </w:tcPr>
          <w:p w:rsidR="001929EA" w:rsidRPr="0062646B" w:rsidRDefault="001929EA" w:rsidP="001929EA">
            <w:pPr>
              <w:tabs>
                <w:tab w:val="decimal" w:pos="1635"/>
              </w:tabs>
              <w:rPr>
                <w:color w:val="000000"/>
                <w:sz w:val="22"/>
                <w:szCs w:val="22"/>
              </w:rPr>
            </w:pPr>
            <w:r w:rsidRPr="0062646B">
              <w:rPr>
                <w:color w:val="000000"/>
                <w:sz w:val="22"/>
                <w:szCs w:val="22"/>
              </w:rPr>
              <w:t xml:space="preserve">$226,714 </w:t>
            </w:r>
          </w:p>
        </w:tc>
      </w:tr>
      <w:tr w:rsidR="001929EA" w:rsidRPr="0062646B" w:rsidTr="001929EA">
        <w:trPr>
          <w:trHeight w:val="300"/>
          <w:jc w:val="center"/>
        </w:trPr>
        <w:tc>
          <w:tcPr>
            <w:tcW w:w="2812" w:type="dxa"/>
            <w:noWrap/>
            <w:vAlign w:val="bottom"/>
            <w:hideMark/>
          </w:tcPr>
          <w:p w:rsidR="001929EA" w:rsidRPr="0062646B" w:rsidRDefault="001929EA" w:rsidP="001929EA">
            <w:pPr>
              <w:rPr>
                <w:color w:val="000000"/>
                <w:sz w:val="22"/>
                <w:szCs w:val="22"/>
              </w:rPr>
            </w:pPr>
            <w:r w:rsidRPr="0062646B">
              <w:rPr>
                <w:color w:val="000000"/>
                <w:sz w:val="22"/>
                <w:szCs w:val="22"/>
              </w:rPr>
              <w:t>Land &amp; Land Rights</w:t>
            </w:r>
          </w:p>
        </w:tc>
        <w:tc>
          <w:tcPr>
            <w:tcW w:w="1840" w:type="dxa"/>
            <w:noWrap/>
            <w:vAlign w:val="bottom"/>
            <w:hideMark/>
          </w:tcPr>
          <w:p w:rsidR="001929EA" w:rsidRPr="0062646B" w:rsidRDefault="001929EA" w:rsidP="001929EA">
            <w:pPr>
              <w:tabs>
                <w:tab w:val="decimal" w:pos="1502"/>
              </w:tabs>
              <w:rPr>
                <w:color w:val="000000"/>
                <w:sz w:val="22"/>
                <w:szCs w:val="22"/>
              </w:rPr>
            </w:pPr>
            <w:r w:rsidRPr="0062646B">
              <w:rPr>
                <w:color w:val="000000"/>
                <w:sz w:val="22"/>
                <w:szCs w:val="22"/>
              </w:rPr>
              <w:t>2,815</w:t>
            </w:r>
          </w:p>
        </w:tc>
        <w:tc>
          <w:tcPr>
            <w:tcW w:w="1643" w:type="dxa"/>
            <w:noWrap/>
            <w:vAlign w:val="bottom"/>
            <w:hideMark/>
          </w:tcPr>
          <w:p w:rsidR="001929EA" w:rsidRPr="0062646B" w:rsidRDefault="001929EA" w:rsidP="001929EA">
            <w:pPr>
              <w:tabs>
                <w:tab w:val="decimal" w:pos="994"/>
                <w:tab w:val="left" w:pos="1133"/>
              </w:tabs>
              <w:rPr>
                <w:color w:val="000000"/>
                <w:sz w:val="22"/>
                <w:szCs w:val="22"/>
              </w:rPr>
            </w:pPr>
            <w:r w:rsidRPr="0062646B">
              <w:rPr>
                <w:color w:val="000000"/>
                <w:sz w:val="22"/>
                <w:szCs w:val="22"/>
              </w:rPr>
              <w:tab/>
              <w:t>0</w:t>
            </w:r>
            <w:r w:rsidRPr="0062646B">
              <w:rPr>
                <w:color w:val="000000"/>
                <w:sz w:val="22"/>
                <w:szCs w:val="22"/>
              </w:rPr>
              <w:tab/>
            </w:r>
          </w:p>
        </w:tc>
        <w:tc>
          <w:tcPr>
            <w:tcW w:w="2280" w:type="dxa"/>
            <w:noWrap/>
            <w:vAlign w:val="bottom"/>
            <w:hideMark/>
          </w:tcPr>
          <w:p w:rsidR="001929EA" w:rsidRPr="0062646B" w:rsidRDefault="001929EA" w:rsidP="001929EA">
            <w:pPr>
              <w:tabs>
                <w:tab w:val="decimal" w:pos="1635"/>
              </w:tabs>
              <w:rPr>
                <w:color w:val="000000"/>
                <w:sz w:val="22"/>
                <w:szCs w:val="22"/>
              </w:rPr>
            </w:pPr>
            <w:r w:rsidRPr="0062646B">
              <w:rPr>
                <w:color w:val="000000"/>
                <w:sz w:val="22"/>
                <w:szCs w:val="22"/>
              </w:rPr>
              <w:t>2,815</w:t>
            </w:r>
          </w:p>
        </w:tc>
      </w:tr>
      <w:tr w:rsidR="001929EA" w:rsidRPr="0062646B" w:rsidTr="001929EA">
        <w:trPr>
          <w:trHeight w:val="300"/>
          <w:jc w:val="center"/>
        </w:trPr>
        <w:tc>
          <w:tcPr>
            <w:tcW w:w="2812" w:type="dxa"/>
            <w:noWrap/>
            <w:vAlign w:val="bottom"/>
            <w:hideMark/>
          </w:tcPr>
          <w:p w:rsidR="001929EA" w:rsidRPr="0062646B" w:rsidRDefault="001929EA" w:rsidP="001929EA">
            <w:pPr>
              <w:rPr>
                <w:color w:val="000000"/>
                <w:sz w:val="22"/>
                <w:szCs w:val="22"/>
              </w:rPr>
            </w:pPr>
            <w:r w:rsidRPr="0062646B">
              <w:rPr>
                <w:color w:val="000000"/>
                <w:sz w:val="22"/>
                <w:szCs w:val="22"/>
              </w:rPr>
              <w:t>Accumulated Depreciation</w:t>
            </w:r>
          </w:p>
        </w:tc>
        <w:tc>
          <w:tcPr>
            <w:tcW w:w="1840" w:type="dxa"/>
            <w:noWrap/>
            <w:vAlign w:val="bottom"/>
            <w:hideMark/>
          </w:tcPr>
          <w:p w:rsidR="001929EA" w:rsidRPr="0062646B" w:rsidRDefault="001929EA" w:rsidP="001929EA">
            <w:pPr>
              <w:tabs>
                <w:tab w:val="decimal" w:pos="1502"/>
              </w:tabs>
              <w:rPr>
                <w:color w:val="000000"/>
                <w:sz w:val="22"/>
                <w:szCs w:val="22"/>
              </w:rPr>
            </w:pPr>
            <w:r w:rsidRPr="0062646B">
              <w:rPr>
                <w:color w:val="000000"/>
                <w:sz w:val="22"/>
                <w:szCs w:val="22"/>
              </w:rPr>
              <w:t>(93,858)</w:t>
            </w:r>
          </w:p>
        </w:tc>
        <w:tc>
          <w:tcPr>
            <w:tcW w:w="1643" w:type="dxa"/>
            <w:noWrap/>
            <w:vAlign w:val="bottom"/>
            <w:hideMark/>
          </w:tcPr>
          <w:p w:rsidR="001929EA" w:rsidRPr="0062646B" w:rsidRDefault="001929EA" w:rsidP="001929EA">
            <w:pPr>
              <w:tabs>
                <w:tab w:val="decimal" w:pos="994"/>
                <w:tab w:val="left" w:pos="1133"/>
              </w:tabs>
              <w:rPr>
                <w:color w:val="000000"/>
                <w:sz w:val="22"/>
                <w:szCs w:val="22"/>
              </w:rPr>
            </w:pPr>
            <w:r w:rsidRPr="0062646B">
              <w:rPr>
                <w:color w:val="000000"/>
                <w:sz w:val="22"/>
                <w:szCs w:val="22"/>
              </w:rPr>
              <w:tab/>
              <w:t>203</w:t>
            </w:r>
            <w:r w:rsidRPr="0062646B">
              <w:rPr>
                <w:color w:val="000000"/>
                <w:sz w:val="22"/>
                <w:szCs w:val="22"/>
              </w:rPr>
              <w:tab/>
              <w:t>B</w:t>
            </w:r>
          </w:p>
        </w:tc>
        <w:tc>
          <w:tcPr>
            <w:tcW w:w="2280" w:type="dxa"/>
            <w:noWrap/>
            <w:vAlign w:val="bottom"/>
            <w:hideMark/>
          </w:tcPr>
          <w:p w:rsidR="001929EA" w:rsidRPr="0062646B" w:rsidRDefault="001929EA" w:rsidP="001929EA">
            <w:pPr>
              <w:tabs>
                <w:tab w:val="decimal" w:pos="1635"/>
              </w:tabs>
              <w:rPr>
                <w:color w:val="000000"/>
                <w:sz w:val="22"/>
                <w:szCs w:val="22"/>
              </w:rPr>
            </w:pPr>
            <w:r w:rsidRPr="0062646B">
              <w:rPr>
                <w:color w:val="000000"/>
                <w:sz w:val="22"/>
                <w:szCs w:val="22"/>
              </w:rPr>
              <w:t>(93,655)</w:t>
            </w:r>
          </w:p>
        </w:tc>
      </w:tr>
      <w:tr w:rsidR="001929EA" w:rsidRPr="0062646B" w:rsidTr="001929EA">
        <w:trPr>
          <w:trHeight w:val="300"/>
          <w:jc w:val="center"/>
        </w:trPr>
        <w:tc>
          <w:tcPr>
            <w:tcW w:w="2812" w:type="dxa"/>
            <w:noWrap/>
            <w:vAlign w:val="bottom"/>
            <w:hideMark/>
          </w:tcPr>
          <w:p w:rsidR="001929EA" w:rsidRPr="0062646B" w:rsidRDefault="001929EA" w:rsidP="001929EA">
            <w:pPr>
              <w:rPr>
                <w:color w:val="000000"/>
                <w:sz w:val="22"/>
                <w:szCs w:val="22"/>
              </w:rPr>
            </w:pPr>
            <w:r w:rsidRPr="0062646B">
              <w:rPr>
                <w:color w:val="000000"/>
                <w:sz w:val="22"/>
                <w:szCs w:val="22"/>
              </w:rPr>
              <w:t>CIAC</w:t>
            </w:r>
          </w:p>
        </w:tc>
        <w:tc>
          <w:tcPr>
            <w:tcW w:w="1840" w:type="dxa"/>
            <w:noWrap/>
            <w:vAlign w:val="bottom"/>
            <w:hideMark/>
          </w:tcPr>
          <w:p w:rsidR="001929EA" w:rsidRPr="0062646B" w:rsidRDefault="001929EA" w:rsidP="001929EA">
            <w:pPr>
              <w:tabs>
                <w:tab w:val="decimal" w:pos="1502"/>
              </w:tabs>
              <w:rPr>
                <w:color w:val="000000"/>
                <w:sz w:val="22"/>
                <w:szCs w:val="22"/>
              </w:rPr>
            </w:pPr>
            <w:r w:rsidRPr="0062646B">
              <w:rPr>
                <w:color w:val="000000"/>
                <w:sz w:val="22"/>
                <w:szCs w:val="22"/>
              </w:rPr>
              <w:t>(87,008)</w:t>
            </w:r>
          </w:p>
        </w:tc>
        <w:tc>
          <w:tcPr>
            <w:tcW w:w="1643" w:type="dxa"/>
            <w:noWrap/>
            <w:vAlign w:val="bottom"/>
            <w:hideMark/>
          </w:tcPr>
          <w:p w:rsidR="001929EA" w:rsidRPr="0062646B" w:rsidRDefault="001929EA" w:rsidP="001929EA">
            <w:pPr>
              <w:tabs>
                <w:tab w:val="decimal" w:pos="994"/>
                <w:tab w:val="left" w:pos="1133"/>
              </w:tabs>
              <w:rPr>
                <w:color w:val="000000"/>
                <w:sz w:val="22"/>
                <w:szCs w:val="22"/>
              </w:rPr>
            </w:pPr>
            <w:r w:rsidRPr="0062646B">
              <w:rPr>
                <w:color w:val="000000"/>
                <w:sz w:val="22"/>
                <w:szCs w:val="22"/>
              </w:rPr>
              <w:tab/>
              <w:t>(10,839)</w:t>
            </w:r>
            <w:r w:rsidRPr="0062646B">
              <w:rPr>
                <w:color w:val="000000"/>
                <w:sz w:val="22"/>
                <w:szCs w:val="22"/>
              </w:rPr>
              <w:tab/>
              <w:t>C</w:t>
            </w:r>
          </w:p>
        </w:tc>
        <w:tc>
          <w:tcPr>
            <w:tcW w:w="2280" w:type="dxa"/>
            <w:noWrap/>
            <w:vAlign w:val="bottom"/>
            <w:hideMark/>
          </w:tcPr>
          <w:p w:rsidR="001929EA" w:rsidRPr="0062646B" w:rsidRDefault="001929EA" w:rsidP="001929EA">
            <w:pPr>
              <w:tabs>
                <w:tab w:val="decimal" w:pos="1635"/>
              </w:tabs>
              <w:rPr>
                <w:color w:val="000000"/>
                <w:sz w:val="22"/>
                <w:szCs w:val="22"/>
              </w:rPr>
            </w:pPr>
            <w:r w:rsidRPr="0062646B">
              <w:rPr>
                <w:color w:val="000000"/>
                <w:sz w:val="22"/>
                <w:szCs w:val="22"/>
              </w:rPr>
              <w:t>(97,847)</w:t>
            </w:r>
          </w:p>
        </w:tc>
      </w:tr>
      <w:tr w:rsidR="001929EA" w:rsidRPr="0062646B" w:rsidTr="001929EA">
        <w:trPr>
          <w:trHeight w:val="300"/>
          <w:jc w:val="center"/>
        </w:trPr>
        <w:tc>
          <w:tcPr>
            <w:tcW w:w="2812" w:type="dxa"/>
            <w:noWrap/>
            <w:vAlign w:val="bottom"/>
            <w:hideMark/>
          </w:tcPr>
          <w:p w:rsidR="001929EA" w:rsidRPr="0062646B" w:rsidRDefault="001929EA" w:rsidP="001929EA">
            <w:pPr>
              <w:rPr>
                <w:color w:val="000000"/>
                <w:sz w:val="22"/>
                <w:szCs w:val="22"/>
              </w:rPr>
            </w:pPr>
            <w:r w:rsidRPr="0062646B">
              <w:rPr>
                <w:color w:val="000000"/>
                <w:sz w:val="22"/>
                <w:szCs w:val="22"/>
              </w:rPr>
              <w:t>Amortization of CIAC</w:t>
            </w:r>
          </w:p>
        </w:tc>
        <w:tc>
          <w:tcPr>
            <w:tcW w:w="1840" w:type="dxa"/>
            <w:noWrap/>
            <w:vAlign w:val="bottom"/>
            <w:hideMark/>
          </w:tcPr>
          <w:p w:rsidR="001929EA" w:rsidRPr="0062646B" w:rsidRDefault="001929EA" w:rsidP="001929EA">
            <w:pPr>
              <w:tabs>
                <w:tab w:val="decimal" w:pos="1502"/>
              </w:tabs>
              <w:rPr>
                <w:color w:val="000000"/>
                <w:sz w:val="22"/>
                <w:szCs w:val="22"/>
                <w:u w:val="single"/>
              </w:rPr>
            </w:pPr>
            <w:r w:rsidRPr="0062646B">
              <w:rPr>
                <w:color w:val="000000"/>
                <w:sz w:val="22"/>
                <w:szCs w:val="22"/>
                <w:u w:val="single"/>
              </w:rPr>
              <w:t>40,982</w:t>
            </w:r>
          </w:p>
        </w:tc>
        <w:tc>
          <w:tcPr>
            <w:tcW w:w="1643" w:type="dxa"/>
            <w:noWrap/>
            <w:vAlign w:val="bottom"/>
            <w:hideMark/>
          </w:tcPr>
          <w:p w:rsidR="001929EA" w:rsidRPr="0062646B" w:rsidRDefault="001929EA" w:rsidP="001929EA">
            <w:pPr>
              <w:tabs>
                <w:tab w:val="decimal" w:pos="994"/>
                <w:tab w:val="left" w:pos="1133"/>
              </w:tabs>
              <w:rPr>
                <w:color w:val="000000"/>
                <w:sz w:val="22"/>
                <w:szCs w:val="22"/>
              </w:rPr>
            </w:pPr>
            <w:r w:rsidRPr="0062646B">
              <w:rPr>
                <w:color w:val="000000"/>
                <w:sz w:val="22"/>
                <w:szCs w:val="22"/>
              </w:rPr>
              <w:tab/>
            </w:r>
            <w:r w:rsidRPr="0062646B">
              <w:rPr>
                <w:color w:val="000000"/>
                <w:sz w:val="22"/>
                <w:szCs w:val="22"/>
                <w:u w:val="single"/>
              </w:rPr>
              <w:t>42</w:t>
            </w:r>
            <w:r w:rsidRPr="0062646B">
              <w:rPr>
                <w:color w:val="000000"/>
                <w:sz w:val="22"/>
                <w:szCs w:val="22"/>
              </w:rPr>
              <w:tab/>
              <w:t>D</w:t>
            </w:r>
          </w:p>
        </w:tc>
        <w:tc>
          <w:tcPr>
            <w:tcW w:w="2280" w:type="dxa"/>
            <w:noWrap/>
            <w:vAlign w:val="bottom"/>
            <w:hideMark/>
          </w:tcPr>
          <w:p w:rsidR="001929EA" w:rsidRPr="0062646B" w:rsidRDefault="001929EA" w:rsidP="001929EA">
            <w:pPr>
              <w:tabs>
                <w:tab w:val="decimal" w:pos="1635"/>
              </w:tabs>
              <w:rPr>
                <w:color w:val="000000"/>
                <w:sz w:val="22"/>
                <w:szCs w:val="22"/>
                <w:u w:val="single"/>
              </w:rPr>
            </w:pPr>
            <w:r w:rsidRPr="0062646B">
              <w:rPr>
                <w:color w:val="000000"/>
                <w:sz w:val="22"/>
                <w:szCs w:val="22"/>
                <w:u w:val="single"/>
              </w:rPr>
              <w:t xml:space="preserve">41,024 </w:t>
            </w:r>
          </w:p>
        </w:tc>
      </w:tr>
      <w:tr w:rsidR="001929EA" w:rsidRPr="0062646B" w:rsidTr="001929EA">
        <w:trPr>
          <w:trHeight w:val="300"/>
          <w:jc w:val="center"/>
        </w:trPr>
        <w:tc>
          <w:tcPr>
            <w:tcW w:w="2812" w:type="dxa"/>
            <w:noWrap/>
            <w:vAlign w:val="bottom"/>
            <w:hideMark/>
          </w:tcPr>
          <w:p w:rsidR="001929EA" w:rsidRPr="0062646B" w:rsidRDefault="001929EA" w:rsidP="001929EA">
            <w:pPr>
              <w:rPr>
                <w:rFonts w:asciiTheme="minorHAnsi" w:eastAsiaTheme="minorHAnsi" w:hAnsiTheme="minorHAnsi"/>
                <w:sz w:val="22"/>
                <w:szCs w:val="22"/>
              </w:rPr>
            </w:pPr>
          </w:p>
        </w:tc>
        <w:tc>
          <w:tcPr>
            <w:tcW w:w="1840" w:type="dxa"/>
            <w:noWrap/>
            <w:vAlign w:val="bottom"/>
          </w:tcPr>
          <w:p w:rsidR="001929EA" w:rsidRPr="0062646B" w:rsidRDefault="001929EA" w:rsidP="001929EA">
            <w:pPr>
              <w:tabs>
                <w:tab w:val="decimal" w:pos="1502"/>
              </w:tabs>
              <w:rPr>
                <w:color w:val="000000"/>
                <w:sz w:val="22"/>
                <w:szCs w:val="22"/>
              </w:rPr>
            </w:pPr>
          </w:p>
        </w:tc>
        <w:tc>
          <w:tcPr>
            <w:tcW w:w="1643" w:type="dxa"/>
            <w:noWrap/>
            <w:vAlign w:val="bottom"/>
          </w:tcPr>
          <w:p w:rsidR="001929EA" w:rsidRPr="0062646B" w:rsidRDefault="001929EA" w:rsidP="001929EA">
            <w:pPr>
              <w:tabs>
                <w:tab w:val="decimal" w:pos="994"/>
                <w:tab w:val="left" w:pos="1133"/>
              </w:tabs>
              <w:rPr>
                <w:color w:val="000000"/>
                <w:sz w:val="22"/>
                <w:szCs w:val="22"/>
              </w:rPr>
            </w:pPr>
          </w:p>
        </w:tc>
        <w:tc>
          <w:tcPr>
            <w:tcW w:w="2280" w:type="dxa"/>
            <w:noWrap/>
            <w:vAlign w:val="bottom"/>
          </w:tcPr>
          <w:p w:rsidR="001929EA" w:rsidRPr="0062646B" w:rsidRDefault="001929EA" w:rsidP="001929EA">
            <w:pPr>
              <w:tabs>
                <w:tab w:val="decimal" w:pos="1635"/>
              </w:tabs>
              <w:rPr>
                <w:color w:val="000000"/>
                <w:sz w:val="22"/>
                <w:szCs w:val="22"/>
              </w:rPr>
            </w:pPr>
          </w:p>
        </w:tc>
      </w:tr>
      <w:tr w:rsidR="001929EA" w:rsidRPr="0062646B" w:rsidTr="001929EA">
        <w:trPr>
          <w:trHeight w:val="300"/>
          <w:jc w:val="center"/>
        </w:trPr>
        <w:tc>
          <w:tcPr>
            <w:tcW w:w="2812" w:type="dxa"/>
            <w:noWrap/>
            <w:vAlign w:val="bottom"/>
            <w:hideMark/>
          </w:tcPr>
          <w:p w:rsidR="001929EA" w:rsidRPr="0062646B" w:rsidRDefault="001929EA" w:rsidP="001929EA">
            <w:pPr>
              <w:rPr>
                <w:color w:val="000000"/>
                <w:sz w:val="22"/>
                <w:szCs w:val="22"/>
              </w:rPr>
            </w:pPr>
            <w:r w:rsidRPr="0062646B">
              <w:rPr>
                <w:color w:val="000000"/>
                <w:sz w:val="22"/>
                <w:szCs w:val="22"/>
              </w:rPr>
              <w:t>Total</w:t>
            </w:r>
          </w:p>
        </w:tc>
        <w:tc>
          <w:tcPr>
            <w:tcW w:w="1840" w:type="dxa"/>
            <w:noWrap/>
            <w:vAlign w:val="bottom"/>
            <w:hideMark/>
          </w:tcPr>
          <w:p w:rsidR="001929EA" w:rsidRPr="0062646B" w:rsidRDefault="001929EA" w:rsidP="001929EA">
            <w:pPr>
              <w:tabs>
                <w:tab w:val="decimal" w:pos="1502"/>
              </w:tabs>
              <w:rPr>
                <w:color w:val="000000"/>
                <w:sz w:val="22"/>
                <w:szCs w:val="22"/>
                <w:u w:val="double"/>
              </w:rPr>
            </w:pPr>
            <w:r w:rsidRPr="0062646B">
              <w:rPr>
                <w:color w:val="000000"/>
                <w:sz w:val="22"/>
                <w:szCs w:val="22"/>
                <w:u w:val="double"/>
              </w:rPr>
              <w:t xml:space="preserve">$82,468 </w:t>
            </w:r>
          </w:p>
        </w:tc>
        <w:tc>
          <w:tcPr>
            <w:tcW w:w="1643" w:type="dxa"/>
            <w:noWrap/>
            <w:vAlign w:val="bottom"/>
            <w:hideMark/>
          </w:tcPr>
          <w:p w:rsidR="001929EA" w:rsidRPr="0062646B" w:rsidRDefault="001929EA" w:rsidP="001929EA">
            <w:pPr>
              <w:tabs>
                <w:tab w:val="decimal" w:pos="994"/>
                <w:tab w:val="left" w:pos="1133"/>
              </w:tabs>
              <w:rPr>
                <w:color w:val="000000"/>
                <w:sz w:val="22"/>
                <w:szCs w:val="22"/>
                <w:u w:val="double"/>
              </w:rPr>
            </w:pPr>
            <w:r w:rsidRPr="0062646B">
              <w:rPr>
                <w:color w:val="000000"/>
                <w:sz w:val="22"/>
                <w:szCs w:val="22"/>
              </w:rPr>
              <w:tab/>
            </w:r>
            <w:r w:rsidRPr="0062646B">
              <w:rPr>
                <w:color w:val="000000"/>
                <w:sz w:val="22"/>
                <w:szCs w:val="22"/>
                <w:u w:val="double"/>
              </w:rPr>
              <w:t>($3,417)</w:t>
            </w:r>
          </w:p>
        </w:tc>
        <w:tc>
          <w:tcPr>
            <w:tcW w:w="2280" w:type="dxa"/>
            <w:noWrap/>
            <w:vAlign w:val="bottom"/>
            <w:hideMark/>
          </w:tcPr>
          <w:p w:rsidR="001929EA" w:rsidRPr="0062646B" w:rsidRDefault="001929EA" w:rsidP="001929EA">
            <w:pPr>
              <w:tabs>
                <w:tab w:val="decimal" w:pos="1635"/>
              </w:tabs>
              <w:rPr>
                <w:color w:val="000000"/>
                <w:sz w:val="22"/>
                <w:szCs w:val="22"/>
                <w:u w:val="double"/>
              </w:rPr>
            </w:pPr>
            <w:r w:rsidRPr="0062646B">
              <w:rPr>
                <w:color w:val="000000"/>
                <w:sz w:val="22"/>
                <w:szCs w:val="22"/>
                <w:u w:val="double"/>
              </w:rPr>
              <w:t xml:space="preserve">$79,051 </w:t>
            </w:r>
          </w:p>
        </w:tc>
      </w:tr>
    </w:tbl>
    <w:p w:rsidR="001929EA" w:rsidRPr="0062646B" w:rsidRDefault="001929EA" w:rsidP="001929EA">
      <w:pPr>
        <w:pStyle w:val="BodyText"/>
      </w:pPr>
    </w:p>
    <w:p w:rsidR="002555D8" w:rsidRDefault="001929EA" w:rsidP="001929EA">
      <w:pPr>
        <w:pStyle w:val="BodyText"/>
        <w:sectPr w:rsidR="002555D8" w:rsidSect="0068481F">
          <w:headerReference w:type="default" r:id="rId21"/>
          <w:pgSz w:w="12240" w:h="15840" w:code="1"/>
          <w:pgMar w:top="1584" w:right="1440" w:bottom="1440" w:left="1440" w:header="720" w:footer="720" w:gutter="0"/>
          <w:cols w:space="720"/>
          <w:formProt w:val="0"/>
          <w:docGrid w:linePitch="360"/>
        </w:sectPr>
      </w:pPr>
      <w:r w:rsidRPr="0062646B">
        <w:t>* Adjustments are shown on the following page, Schedule No. 2, page 2 of 3</w:t>
      </w:r>
      <w:r>
        <w:t>.</w:t>
      </w:r>
    </w:p>
    <w:tbl>
      <w:tblPr>
        <w:tblW w:w="9205" w:type="dxa"/>
        <w:jc w:val="center"/>
        <w:tblLook w:val="04A0" w:firstRow="1" w:lastRow="0" w:firstColumn="1" w:lastColumn="0" w:noHBand="0" w:noVBand="1"/>
      </w:tblPr>
      <w:tblGrid>
        <w:gridCol w:w="7759"/>
        <w:gridCol w:w="1446"/>
      </w:tblGrid>
      <w:tr w:rsidR="001929EA" w:rsidRPr="0062646B" w:rsidTr="001929EA">
        <w:trPr>
          <w:trHeight w:val="330"/>
          <w:jc w:val="center"/>
        </w:trPr>
        <w:tc>
          <w:tcPr>
            <w:tcW w:w="9205" w:type="dxa"/>
            <w:gridSpan w:val="2"/>
            <w:noWrap/>
            <w:vAlign w:val="bottom"/>
          </w:tcPr>
          <w:p w:rsidR="001929EA" w:rsidRPr="0062646B" w:rsidRDefault="001929EA" w:rsidP="001929EA">
            <w:pPr>
              <w:jc w:val="center"/>
              <w:rPr>
                <w:rFonts w:ascii="Arial" w:hAnsi="Arial" w:cs="Arial"/>
                <w:b/>
                <w:bCs/>
                <w:color w:val="000000"/>
              </w:rPr>
            </w:pPr>
          </w:p>
          <w:p w:rsidR="001929EA" w:rsidRPr="0062646B" w:rsidRDefault="001929EA" w:rsidP="001929EA">
            <w:pPr>
              <w:jc w:val="center"/>
              <w:rPr>
                <w:rFonts w:ascii="Arial" w:hAnsi="Arial" w:cs="Arial"/>
                <w:b/>
                <w:bCs/>
                <w:color w:val="000000"/>
              </w:rPr>
            </w:pPr>
            <w:r w:rsidRPr="0062646B">
              <w:rPr>
                <w:rFonts w:ascii="Arial" w:hAnsi="Arial" w:cs="Arial"/>
                <w:b/>
                <w:bCs/>
                <w:color w:val="000000"/>
              </w:rPr>
              <w:t>Explanation of Staff's Recommended</w:t>
            </w:r>
          </w:p>
        </w:tc>
      </w:tr>
      <w:tr w:rsidR="001929EA" w:rsidRPr="0062646B" w:rsidTr="001929EA">
        <w:trPr>
          <w:trHeight w:val="315"/>
          <w:jc w:val="center"/>
        </w:trPr>
        <w:tc>
          <w:tcPr>
            <w:tcW w:w="9205" w:type="dxa"/>
            <w:gridSpan w:val="2"/>
            <w:noWrap/>
            <w:vAlign w:val="bottom"/>
            <w:hideMark/>
          </w:tcPr>
          <w:p w:rsidR="001929EA" w:rsidRPr="0062646B" w:rsidRDefault="001929EA" w:rsidP="001929EA">
            <w:pPr>
              <w:jc w:val="center"/>
              <w:rPr>
                <w:rFonts w:ascii="Arial" w:hAnsi="Arial" w:cs="Arial"/>
                <w:b/>
                <w:bCs/>
                <w:color w:val="000000"/>
              </w:rPr>
            </w:pPr>
            <w:r w:rsidRPr="0062646B">
              <w:rPr>
                <w:rFonts w:ascii="Arial" w:hAnsi="Arial" w:cs="Arial"/>
                <w:b/>
                <w:bCs/>
                <w:color w:val="000000"/>
              </w:rPr>
              <w:t>Adjustments to Net Book Value as of January 1, 2014</w:t>
            </w:r>
          </w:p>
        </w:tc>
      </w:tr>
      <w:tr w:rsidR="001929EA" w:rsidRPr="0062646B" w:rsidTr="001929EA">
        <w:trPr>
          <w:trHeight w:val="315"/>
          <w:jc w:val="center"/>
        </w:trPr>
        <w:tc>
          <w:tcPr>
            <w:tcW w:w="9205" w:type="dxa"/>
            <w:gridSpan w:val="2"/>
            <w:noWrap/>
            <w:vAlign w:val="bottom"/>
            <w:hideMark/>
          </w:tcPr>
          <w:p w:rsidR="001929EA" w:rsidRPr="0062646B" w:rsidRDefault="001929EA" w:rsidP="001929EA">
            <w:pPr>
              <w:jc w:val="center"/>
              <w:rPr>
                <w:rFonts w:ascii="Arial" w:hAnsi="Arial" w:cs="Arial"/>
                <w:b/>
                <w:bCs/>
                <w:color w:val="000000"/>
              </w:rPr>
            </w:pPr>
            <w:r w:rsidRPr="0062646B">
              <w:rPr>
                <w:rFonts w:ascii="Arial" w:hAnsi="Arial" w:cs="Arial"/>
                <w:b/>
                <w:bCs/>
                <w:color w:val="000000"/>
              </w:rPr>
              <w:t>Water System</w:t>
            </w:r>
          </w:p>
        </w:tc>
      </w:tr>
      <w:tr w:rsidR="001929EA" w:rsidRPr="0062646B" w:rsidTr="001929EA">
        <w:trPr>
          <w:trHeight w:val="315"/>
          <w:jc w:val="center"/>
        </w:trPr>
        <w:tc>
          <w:tcPr>
            <w:tcW w:w="7759" w:type="dxa"/>
            <w:noWrap/>
            <w:vAlign w:val="bottom"/>
            <w:hideMark/>
          </w:tcPr>
          <w:p w:rsidR="001929EA" w:rsidRPr="0062646B" w:rsidRDefault="001929EA" w:rsidP="001929EA">
            <w:pPr>
              <w:rPr>
                <w:rFonts w:ascii="Arial" w:hAnsi="Arial" w:cs="Arial"/>
                <w:color w:val="000000"/>
              </w:rPr>
            </w:pPr>
            <w:r w:rsidRPr="0062646B">
              <w:rPr>
                <w:rFonts w:ascii="Arial" w:hAnsi="Arial" w:cs="Arial"/>
                <w:color w:val="000000"/>
              </w:rPr>
              <w:t> </w:t>
            </w:r>
          </w:p>
        </w:tc>
        <w:tc>
          <w:tcPr>
            <w:tcW w:w="1446" w:type="dxa"/>
            <w:noWrap/>
            <w:vAlign w:val="bottom"/>
            <w:hideMark/>
          </w:tcPr>
          <w:p w:rsidR="001929EA" w:rsidRPr="0062646B" w:rsidRDefault="001929EA" w:rsidP="001929EA">
            <w:pPr>
              <w:rPr>
                <w:color w:val="000000"/>
              </w:rPr>
            </w:pPr>
            <w:r w:rsidRPr="0062646B">
              <w:rPr>
                <w:color w:val="000000"/>
              </w:rPr>
              <w:t> </w:t>
            </w:r>
          </w:p>
        </w:tc>
      </w:tr>
      <w:tr w:rsidR="001929EA" w:rsidRPr="0062646B" w:rsidTr="001929EA">
        <w:trPr>
          <w:trHeight w:val="315"/>
          <w:jc w:val="center"/>
        </w:trPr>
        <w:tc>
          <w:tcPr>
            <w:tcW w:w="7759" w:type="dxa"/>
            <w:noWrap/>
            <w:vAlign w:val="bottom"/>
            <w:hideMark/>
          </w:tcPr>
          <w:p w:rsidR="001929EA" w:rsidRPr="0062646B" w:rsidRDefault="001929EA" w:rsidP="001929EA">
            <w:pPr>
              <w:rPr>
                <w:b/>
                <w:bCs/>
                <w:color w:val="000000"/>
                <w:u w:val="single"/>
              </w:rPr>
            </w:pPr>
            <w:r w:rsidRPr="0062646B">
              <w:rPr>
                <w:b/>
                <w:bCs/>
                <w:color w:val="000000"/>
                <w:u w:val="single"/>
              </w:rPr>
              <w:t>Explanation</w:t>
            </w:r>
          </w:p>
        </w:tc>
        <w:tc>
          <w:tcPr>
            <w:tcW w:w="1446" w:type="dxa"/>
            <w:noWrap/>
            <w:vAlign w:val="bottom"/>
            <w:hideMark/>
          </w:tcPr>
          <w:p w:rsidR="001929EA" w:rsidRPr="0062646B" w:rsidRDefault="001929EA" w:rsidP="001929EA">
            <w:pPr>
              <w:rPr>
                <w:b/>
                <w:bCs/>
                <w:color w:val="000000"/>
                <w:u w:val="single"/>
              </w:rPr>
            </w:pPr>
            <w:r w:rsidRPr="0062646B">
              <w:rPr>
                <w:b/>
                <w:bCs/>
                <w:color w:val="000000"/>
                <w:u w:val="single"/>
              </w:rPr>
              <w:t>Amount</w:t>
            </w:r>
          </w:p>
        </w:tc>
      </w:tr>
      <w:tr w:rsidR="001929EA" w:rsidRPr="0062646B" w:rsidTr="001929EA">
        <w:trPr>
          <w:trHeight w:val="315"/>
          <w:jc w:val="center"/>
        </w:trPr>
        <w:tc>
          <w:tcPr>
            <w:tcW w:w="7759" w:type="dxa"/>
            <w:noWrap/>
            <w:vAlign w:val="bottom"/>
          </w:tcPr>
          <w:p w:rsidR="001929EA" w:rsidRPr="0062646B" w:rsidRDefault="001929EA" w:rsidP="001929EA">
            <w:pPr>
              <w:rPr>
                <w:color w:val="000000"/>
              </w:rPr>
            </w:pPr>
          </w:p>
          <w:p w:rsidR="001929EA" w:rsidRPr="0062646B" w:rsidRDefault="001929EA" w:rsidP="001929EA">
            <w:pPr>
              <w:rPr>
                <w:color w:val="000000"/>
              </w:rPr>
            </w:pPr>
            <w:r w:rsidRPr="0062646B">
              <w:rPr>
                <w:color w:val="000000"/>
              </w:rPr>
              <w:t>A.  Utility Plant In Service</w:t>
            </w:r>
          </w:p>
        </w:tc>
        <w:tc>
          <w:tcPr>
            <w:tcW w:w="1446" w:type="dxa"/>
            <w:noWrap/>
            <w:vAlign w:val="bottom"/>
            <w:hideMark/>
          </w:tcPr>
          <w:p w:rsidR="001929EA" w:rsidRPr="0062646B" w:rsidRDefault="001929EA" w:rsidP="001929EA">
            <w:pPr>
              <w:rPr>
                <w:rFonts w:asciiTheme="minorHAnsi" w:eastAsiaTheme="minorHAnsi" w:hAnsiTheme="minorHAnsi"/>
                <w:sz w:val="22"/>
                <w:szCs w:val="22"/>
              </w:rPr>
            </w:pPr>
          </w:p>
        </w:tc>
      </w:tr>
      <w:tr w:rsidR="001929EA" w:rsidRPr="0062646B" w:rsidTr="001929EA">
        <w:trPr>
          <w:trHeight w:val="315"/>
          <w:jc w:val="center"/>
        </w:trPr>
        <w:tc>
          <w:tcPr>
            <w:tcW w:w="7759" w:type="dxa"/>
            <w:noWrap/>
            <w:vAlign w:val="bottom"/>
            <w:hideMark/>
          </w:tcPr>
          <w:p w:rsidR="001929EA" w:rsidRPr="0062646B" w:rsidRDefault="001929EA" w:rsidP="001929EA">
            <w:pPr>
              <w:pStyle w:val="ListParagraph"/>
              <w:numPr>
                <w:ilvl w:val="0"/>
                <w:numId w:val="11"/>
              </w:numPr>
              <w:ind w:right="-419"/>
              <w:rPr>
                <w:color w:val="000000"/>
              </w:rPr>
            </w:pPr>
            <w:r w:rsidRPr="0062646B">
              <w:rPr>
                <w:color w:val="000000"/>
              </w:rPr>
              <w:t>To reflect appropriate amount of utility plant in service.</w:t>
            </w:r>
          </w:p>
        </w:tc>
        <w:tc>
          <w:tcPr>
            <w:tcW w:w="1446" w:type="dxa"/>
            <w:noWrap/>
            <w:vAlign w:val="bottom"/>
            <w:hideMark/>
          </w:tcPr>
          <w:p w:rsidR="001929EA" w:rsidRPr="0062646B" w:rsidRDefault="001929EA" w:rsidP="001929EA">
            <w:pPr>
              <w:tabs>
                <w:tab w:val="decimal" w:pos="1150"/>
              </w:tabs>
              <w:rPr>
                <w:color w:val="000000"/>
                <w:u w:val="double"/>
              </w:rPr>
            </w:pPr>
            <w:r w:rsidRPr="0062646B">
              <w:rPr>
                <w:color w:val="000000"/>
                <w:u w:val="double"/>
              </w:rPr>
              <w:t>$7,177</w:t>
            </w:r>
          </w:p>
        </w:tc>
      </w:tr>
      <w:tr w:rsidR="001929EA" w:rsidRPr="0062646B" w:rsidTr="001929EA">
        <w:trPr>
          <w:trHeight w:val="315"/>
          <w:jc w:val="center"/>
        </w:trPr>
        <w:tc>
          <w:tcPr>
            <w:tcW w:w="7759" w:type="dxa"/>
            <w:noWrap/>
            <w:vAlign w:val="bottom"/>
            <w:hideMark/>
          </w:tcPr>
          <w:p w:rsidR="001929EA" w:rsidRPr="0062646B" w:rsidRDefault="001929EA" w:rsidP="001929EA">
            <w:pPr>
              <w:rPr>
                <w:color w:val="000000"/>
              </w:rPr>
            </w:pPr>
            <w:r w:rsidRPr="0062646B">
              <w:rPr>
                <w:color w:val="000000"/>
              </w:rPr>
              <w:t> </w:t>
            </w:r>
          </w:p>
        </w:tc>
        <w:tc>
          <w:tcPr>
            <w:tcW w:w="1446" w:type="dxa"/>
            <w:noWrap/>
            <w:vAlign w:val="bottom"/>
            <w:hideMark/>
          </w:tcPr>
          <w:p w:rsidR="001929EA" w:rsidRPr="0062646B" w:rsidRDefault="001929EA" w:rsidP="001929EA">
            <w:pPr>
              <w:tabs>
                <w:tab w:val="decimal" w:pos="1150"/>
              </w:tabs>
              <w:rPr>
                <w:color w:val="000000"/>
              </w:rPr>
            </w:pPr>
            <w:r w:rsidRPr="0062646B">
              <w:rPr>
                <w:color w:val="000000"/>
              </w:rPr>
              <w:t> </w:t>
            </w:r>
          </w:p>
        </w:tc>
      </w:tr>
      <w:tr w:rsidR="001929EA" w:rsidRPr="0062646B" w:rsidTr="001929EA">
        <w:trPr>
          <w:trHeight w:val="315"/>
          <w:jc w:val="center"/>
        </w:trPr>
        <w:tc>
          <w:tcPr>
            <w:tcW w:w="7759" w:type="dxa"/>
            <w:noWrap/>
            <w:vAlign w:val="bottom"/>
            <w:hideMark/>
          </w:tcPr>
          <w:p w:rsidR="001929EA" w:rsidRPr="0062646B" w:rsidRDefault="001929EA" w:rsidP="001929EA">
            <w:pPr>
              <w:rPr>
                <w:color w:val="000000"/>
              </w:rPr>
            </w:pPr>
            <w:r w:rsidRPr="0062646B">
              <w:rPr>
                <w:color w:val="000000"/>
              </w:rPr>
              <w:t xml:space="preserve">B.  </w:t>
            </w:r>
            <w:r w:rsidRPr="0062646B">
              <w:t>Accumulated Depreciation</w:t>
            </w:r>
          </w:p>
        </w:tc>
        <w:tc>
          <w:tcPr>
            <w:tcW w:w="1446" w:type="dxa"/>
            <w:noWrap/>
            <w:vAlign w:val="bottom"/>
            <w:hideMark/>
          </w:tcPr>
          <w:p w:rsidR="001929EA" w:rsidRPr="0062646B" w:rsidRDefault="001929EA" w:rsidP="001929EA">
            <w:pPr>
              <w:tabs>
                <w:tab w:val="decimal" w:pos="1150"/>
              </w:tabs>
              <w:rPr>
                <w:color w:val="000000"/>
                <w:u w:val="double"/>
              </w:rPr>
            </w:pPr>
            <w:r w:rsidRPr="0062646B">
              <w:rPr>
                <w:color w:val="000000"/>
              </w:rPr>
              <w:t> </w:t>
            </w:r>
          </w:p>
        </w:tc>
      </w:tr>
      <w:tr w:rsidR="001929EA" w:rsidRPr="0062646B" w:rsidTr="001929EA">
        <w:trPr>
          <w:trHeight w:val="315"/>
          <w:jc w:val="center"/>
        </w:trPr>
        <w:tc>
          <w:tcPr>
            <w:tcW w:w="7759" w:type="dxa"/>
            <w:noWrap/>
            <w:vAlign w:val="bottom"/>
            <w:hideMark/>
          </w:tcPr>
          <w:p w:rsidR="001929EA" w:rsidRPr="0062646B" w:rsidRDefault="001929EA" w:rsidP="001929EA">
            <w:pPr>
              <w:pStyle w:val="ListParagraph"/>
              <w:numPr>
                <w:ilvl w:val="0"/>
                <w:numId w:val="12"/>
              </w:numPr>
              <w:rPr>
                <w:color w:val="000000"/>
              </w:rPr>
            </w:pPr>
            <w:r w:rsidRPr="0062646B">
              <w:rPr>
                <w:color w:val="000000"/>
              </w:rPr>
              <w:t>To reflect appropriate amount of accumulated depreciation.</w:t>
            </w:r>
          </w:p>
        </w:tc>
        <w:tc>
          <w:tcPr>
            <w:tcW w:w="1446" w:type="dxa"/>
            <w:noWrap/>
            <w:vAlign w:val="bottom"/>
            <w:hideMark/>
          </w:tcPr>
          <w:p w:rsidR="001929EA" w:rsidRPr="0062646B" w:rsidRDefault="001929EA" w:rsidP="001929EA">
            <w:pPr>
              <w:tabs>
                <w:tab w:val="decimal" w:pos="1150"/>
              </w:tabs>
              <w:rPr>
                <w:color w:val="000000"/>
                <w:u w:val="double"/>
              </w:rPr>
            </w:pPr>
            <w:r w:rsidRPr="0062646B">
              <w:rPr>
                <w:color w:val="000000"/>
                <w:u w:val="double"/>
              </w:rPr>
              <w:t>$203</w:t>
            </w:r>
          </w:p>
        </w:tc>
      </w:tr>
      <w:tr w:rsidR="001929EA" w:rsidRPr="0062646B" w:rsidTr="001929EA">
        <w:trPr>
          <w:trHeight w:val="315"/>
          <w:jc w:val="center"/>
        </w:trPr>
        <w:tc>
          <w:tcPr>
            <w:tcW w:w="7759" w:type="dxa"/>
            <w:noWrap/>
            <w:vAlign w:val="bottom"/>
          </w:tcPr>
          <w:p w:rsidR="001929EA" w:rsidRPr="0062646B" w:rsidRDefault="001929EA" w:rsidP="001929EA">
            <w:pPr>
              <w:rPr>
                <w:color w:val="000000"/>
              </w:rPr>
            </w:pPr>
          </w:p>
          <w:p w:rsidR="001929EA" w:rsidRPr="0062646B" w:rsidRDefault="001929EA" w:rsidP="001929EA">
            <w:pPr>
              <w:rPr>
                <w:color w:val="000000"/>
              </w:rPr>
            </w:pPr>
            <w:r w:rsidRPr="0062646B">
              <w:rPr>
                <w:color w:val="000000"/>
              </w:rPr>
              <w:t xml:space="preserve">C.  </w:t>
            </w:r>
            <w:r w:rsidRPr="0062646B">
              <w:t>Contributions-in-Aid-of-Construction (CIAC)</w:t>
            </w:r>
          </w:p>
        </w:tc>
        <w:tc>
          <w:tcPr>
            <w:tcW w:w="1446" w:type="dxa"/>
            <w:noWrap/>
            <w:vAlign w:val="bottom"/>
            <w:hideMark/>
          </w:tcPr>
          <w:p w:rsidR="001929EA" w:rsidRPr="0062646B" w:rsidRDefault="001929EA" w:rsidP="001929EA">
            <w:pPr>
              <w:tabs>
                <w:tab w:val="decimal" w:pos="1150"/>
              </w:tabs>
              <w:rPr>
                <w:color w:val="000000"/>
              </w:rPr>
            </w:pPr>
            <w:r w:rsidRPr="0062646B">
              <w:rPr>
                <w:color w:val="000000"/>
              </w:rPr>
              <w:t> </w:t>
            </w:r>
          </w:p>
        </w:tc>
      </w:tr>
      <w:tr w:rsidR="001929EA" w:rsidRPr="0062646B" w:rsidTr="001929EA">
        <w:trPr>
          <w:trHeight w:val="315"/>
          <w:jc w:val="center"/>
        </w:trPr>
        <w:tc>
          <w:tcPr>
            <w:tcW w:w="7759" w:type="dxa"/>
            <w:noWrap/>
            <w:vAlign w:val="bottom"/>
            <w:hideMark/>
          </w:tcPr>
          <w:p w:rsidR="001929EA" w:rsidRPr="0062646B" w:rsidRDefault="001929EA" w:rsidP="001929EA">
            <w:pPr>
              <w:pStyle w:val="ListParagraph"/>
              <w:numPr>
                <w:ilvl w:val="0"/>
                <w:numId w:val="13"/>
              </w:numPr>
              <w:rPr>
                <w:color w:val="000000"/>
              </w:rPr>
            </w:pPr>
            <w:r w:rsidRPr="0062646B">
              <w:rPr>
                <w:color w:val="000000"/>
              </w:rPr>
              <w:t>To reflect appropriate amount of CIAC.</w:t>
            </w:r>
          </w:p>
        </w:tc>
        <w:tc>
          <w:tcPr>
            <w:tcW w:w="1446" w:type="dxa"/>
            <w:noWrap/>
            <w:vAlign w:val="bottom"/>
            <w:hideMark/>
          </w:tcPr>
          <w:p w:rsidR="001929EA" w:rsidRPr="0062646B" w:rsidRDefault="001929EA" w:rsidP="001929EA">
            <w:pPr>
              <w:tabs>
                <w:tab w:val="decimal" w:pos="1150"/>
              </w:tabs>
              <w:rPr>
                <w:color w:val="000000"/>
                <w:u w:val="double"/>
              </w:rPr>
            </w:pPr>
            <w:r w:rsidRPr="0062646B">
              <w:rPr>
                <w:color w:val="000000"/>
                <w:u w:val="double"/>
              </w:rPr>
              <w:t>($10,839)</w:t>
            </w:r>
          </w:p>
        </w:tc>
      </w:tr>
      <w:tr w:rsidR="001929EA" w:rsidRPr="0062646B" w:rsidTr="001929EA">
        <w:trPr>
          <w:trHeight w:val="612"/>
          <w:jc w:val="center"/>
        </w:trPr>
        <w:tc>
          <w:tcPr>
            <w:tcW w:w="7759" w:type="dxa"/>
            <w:noWrap/>
            <w:vAlign w:val="bottom"/>
          </w:tcPr>
          <w:p w:rsidR="001929EA" w:rsidRPr="0062646B" w:rsidRDefault="001929EA" w:rsidP="001929EA">
            <w:pPr>
              <w:spacing w:after="120"/>
            </w:pPr>
          </w:p>
          <w:p w:rsidR="001929EA" w:rsidRPr="0062646B" w:rsidRDefault="001929EA" w:rsidP="001929EA">
            <w:pPr>
              <w:spacing w:after="120"/>
            </w:pPr>
            <w:r w:rsidRPr="0062646B">
              <w:t>D. Accumulated Amortization of CIAC</w:t>
            </w:r>
          </w:p>
        </w:tc>
        <w:tc>
          <w:tcPr>
            <w:tcW w:w="1446" w:type="dxa"/>
            <w:noWrap/>
            <w:vAlign w:val="bottom"/>
            <w:hideMark/>
          </w:tcPr>
          <w:p w:rsidR="001929EA" w:rsidRPr="0062646B" w:rsidRDefault="001929EA" w:rsidP="001929EA">
            <w:pPr>
              <w:rPr>
                <w:rFonts w:asciiTheme="minorHAnsi" w:eastAsiaTheme="minorHAnsi" w:hAnsiTheme="minorHAnsi"/>
                <w:sz w:val="22"/>
                <w:szCs w:val="22"/>
              </w:rPr>
            </w:pPr>
          </w:p>
        </w:tc>
      </w:tr>
      <w:tr w:rsidR="001929EA" w:rsidRPr="0062646B" w:rsidTr="001929EA">
        <w:trPr>
          <w:trHeight w:val="180"/>
          <w:jc w:val="center"/>
        </w:trPr>
        <w:tc>
          <w:tcPr>
            <w:tcW w:w="7759" w:type="dxa"/>
            <w:noWrap/>
            <w:vAlign w:val="bottom"/>
            <w:hideMark/>
          </w:tcPr>
          <w:p w:rsidR="001929EA" w:rsidRPr="0062646B" w:rsidRDefault="001929EA" w:rsidP="001929EA">
            <w:pPr>
              <w:pStyle w:val="ListParagraph"/>
              <w:numPr>
                <w:ilvl w:val="0"/>
                <w:numId w:val="14"/>
              </w:numPr>
              <w:ind w:left="758" w:hanging="403"/>
              <w:rPr>
                <w:color w:val="000000"/>
              </w:rPr>
            </w:pPr>
            <w:r w:rsidRPr="0062646B">
              <w:t>To reflect appropriate amount of accumulated amortization of CIAC.</w:t>
            </w:r>
            <w:r w:rsidRPr="0062646B">
              <w:rPr>
                <w:color w:val="000000"/>
              </w:rPr>
              <w:t xml:space="preserve"> </w:t>
            </w:r>
          </w:p>
        </w:tc>
        <w:tc>
          <w:tcPr>
            <w:tcW w:w="1446" w:type="dxa"/>
            <w:noWrap/>
            <w:vAlign w:val="bottom"/>
            <w:hideMark/>
          </w:tcPr>
          <w:p w:rsidR="001929EA" w:rsidRPr="0062646B" w:rsidRDefault="001929EA" w:rsidP="001929EA">
            <w:pPr>
              <w:tabs>
                <w:tab w:val="decimal" w:pos="1150"/>
              </w:tabs>
              <w:rPr>
                <w:color w:val="000000"/>
                <w:u w:val="double"/>
              </w:rPr>
            </w:pPr>
            <w:r w:rsidRPr="0062646B">
              <w:rPr>
                <w:color w:val="000000"/>
                <w:u w:val="double"/>
              </w:rPr>
              <w:t>$42</w:t>
            </w:r>
          </w:p>
        </w:tc>
      </w:tr>
      <w:tr w:rsidR="001929EA" w:rsidRPr="0062646B" w:rsidTr="001929EA">
        <w:trPr>
          <w:trHeight w:val="330"/>
          <w:jc w:val="center"/>
        </w:trPr>
        <w:tc>
          <w:tcPr>
            <w:tcW w:w="7759" w:type="dxa"/>
            <w:noWrap/>
            <w:vAlign w:val="bottom"/>
          </w:tcPr>
          <w:p w:rsidR="001929EA" w:rsidRPr="0062646B" w:rsidRDefault="001929EA" w:rsidP="001929EA">
            <w:pPr>
              <w:rPr>
                <w:color w:val="000000"/>
              </w:rPr>
            </w:pPr>
          </w:p>
          <w:p w:rsidR="001929EA" w:rsidRPr="0062646B" w:rsidRDefault="001929EA" w:rsidP="001929EA">
            <w:pPr>
              <w:rPr>
                <w:color w:val="000000"/>
              </w:rPr>
            </w:pPr>
            <w:r w:rsidRPr="0062646B">
              <w:rPr>
                <w:color w:val="000000"/>
              </w:rPr>
              <w:t xml:space="preserve">Total Adjustments to Net Book Value as of </w:t>
            </w:r>
            <w:r w:rsidRPr="0062646B">
              <w:rPr>
                <w:bCs/>
                <w:color w:val="000000"/>
              </w:rPr>
              <w:t>January 1, 2014</w:t>
            </w:r>
            <w:r w:rsidRPr="0062646B">
              <w:rPr>
                <w:color w:val="000000"/>
              </w:rPr>
              <w:t>.</w:t>
            </w:r>
          </w:p>
        </w:tc>
        <w:tc>
          <w:tcPr>
            <w:tcW w:w="1446" w:type="dxa"/>
            <w:noWrap/>
            <w:vAlign w:val="bottom"/>
            <w:hideMark/>
          </w:tcPr>
          <w:p w:rsidR="001929EA" w:rsidRPr="0062646B" w:rsidRDefault="001929EA" w:rsidP="001929EA">
            <w:pPr>
              <w:tabs>
                <w:tab w:val="decimal" w:pos="1150"/>
              </w:tabs>
              <w:rPr>
                <w:color w:val="000000"/>
                <w:u w:val="double"/>
              </w:rPr>
            </w:pPr>
            <w:r w:rsidRPr="0062646B">
              <w:rPr>
                <w:color w:val="000000"/>
                <w:u w:val="double"/>
              </w:rPr>
              <w:t>($3,417)</w:t>
            </w:r>
          </w:p>
        </w:tc>
      </w:tr>
      <w:tr w:rsidR="001929EA" w:rsidTr="001929EA">
        <w:trPr>
          <w:trHeight w:val="330"/>
          <w:jc w:val="center"/>
        </w:trPr>
        <w:tc>
          <w:tcPr>
            <w:tcW w:w="7759" w:type="dxa"/>
            <w:noWrap/>
            <w:vAlign w:val="bottom"/>
          </w:tcPr>
          <w:p w:rsidR="001929EA" w:rsidRDefault="001929EA" w:rsidP="001929EA">
            <w:pPr>
              <w:rPr>
                <w:color w:val="000000"/>
              </w:rPr>
            </w:pPr>
          </w:p>
        </w:tc>
        <w:tc>
          <w:tcPr>
            <w:tcW w:w="1446" w:type="dxa"/>
            <w:noWrap/>
            <w:vAlign w:val="bottom"/>
          </w:tcPr>
          <w:p w:rsidR="001929EA" w:rsidRDefault="001929EA" w:rsidP="001929EA">
            <w:pPr>
              <w:tabs>
                <w:tab w:val="decimal" w:pos="1150"/>
              </w:tabs>
              <w:rPr>
                <w:color w:val="000000"/>
              </w:rPr>
            </w:pPr>
          </w:p>
        </w:tc>
      </w:tr>
    </w:tbl>
    <w:p w:rsidR="002555D8" w:rsidRDefault="002555D8" w:rsidP="00E275D8">
      <w:pPr>
        <w:pStyle w:val="BodyText"/>
        <w:sectPr w:rsidR="002555D8" w:rsidSect="0068481F">
          <w:headerReference w:type="default" r:id="rId22"/>
          <w:pgSz w:w="12240" w:h="15840" w:code="1"/>
          <w:pgMar w:top="1584" w:right="1440" w:bottom="1440" w:left="1440" w:header="720" w:footer="720" w:gutter="0"/>
          <w:cols w:space="720"/>
          <w:formProt w:val="0"/>
          <w:docGrid w:linePitch="360"/>
        </w:sectPr>
      </w:pPr>
    </w:p>
    <w:tbl>
      <w:tblPr>
        <w:tblpPr w:leftFromText="180" w:rightFromText="180" w:vertAnchor="text" w:tblpY="1"/>
        <w:tblOverlap w:val="never"/>
        <w:tblW w:w="8385" w:type="dxa"/>
        <w:tblInd w:w="601" w:type="dxa"/>
        <w:tblLook w:val="04A0" w:firstRow="1" w:lastRow="0" w:firstColumn="1" w:lastColumn="0" w:noHBand="0" w:noVBand="1"/>
      </w:tblPr>
      <w:tblGrid>
        <w:gridCol w:w="1070"/>
        <w:gridCol w:w="4221"/>
        <w:gridCol w:w="1116"/>
        <w:gridCol w:w="1978"/>
      </w:tblGrid>
      <w:tr w:rsidR="001929EA" w:rsidRPr="0062646B" w:rsidTr="001929EA">
        <w:trPr>
          <w:trHeight w:val="315"/>
        </w:trPr>
        <w:tc>
          <w:tcPr>
            <w:tcW w:w="8385" w:type="dxa"/>
            <w:gridSpan w:val="4"/>
            <w:noWrap/>
            <w:vAlign w:val="bottom"/>
          </w:tcPr>
          <w:p w:rsidR="001929EA" w:rsidRPr="0062646B" w:rsidRDefault="001929EA" w:rsidP="001929EA">
            <w:pPr>
              <w:tabs>
                <w:tab w:val="left" w:pos="8006"/>
                <w:tab w:val="left" w:pos="8291"/>
              </w:tabs>
              <w:jc w:val="center"/>
              <w:rPr>
                <w:b/>
                <w:bCs/>
              </w:rPr>
            </w:pPr>
          </w:p>
          <w:p w:rsidR="001929EA" w:rsidRPr="0062646B" w:rsidRDefault="001929EA" w:rsidP="001929EA">
            <w:pPr>
              <w:tabs>
                <w:tab w:val="left" w:pos="8006"/>
                <w:tab w:val="left" w:pos="8291"/>
              </w:tabs>
              <w:jc w:val="center"/>
              <w:rPr>
                <w:rFonts w:ascii="Arial" w:hAnsi="Arial" w:cs="Arial"/>
                <w:b/>
                <w:bCs/>
                <w:color w:val="000000"/>
              </w:rPr>
            </w:pPr>
            <w:r w:rsidRPr="0062646B">
              <w:rPr>
                <w:rFonts w:ascii="Arial" w:hAnsi="Arial" w:cs="Arial"/>
                <w:b/>
                <w:bCs/>
              </w:rPr>
              <w:t>Southwest Ocala Utility, Inc.</w:t>
            </w:r>
            <w:r w:rsidRPr="0062646B">
              <w:rPr>
                <w:rFonts w:ascii="Arial" w:hAnsi="Arial" w:cs="Arial"/>
                <w:b/>
                <w:bCs/>
                <w:color w:val="000000"/>
              </w:rPr>
              <w:t xml:space="preserve"> </w:t>
            </w:r>
          </w:p>
        </w:tc>
      </w:tr>
      <w:tr w:rsidR="001929EA" w:rsidRPr="0062646B" w:rsidTr="001929EA">
        <w:trPr>
          <w:trHeight w:val="315"/>
        </w:trPr>
        <w:tc>
          <w:tcPr>
            <w:tcW w:w="8385" w:type="dxa"/>
            <w:gridSpan w:val="4"/>
            <w:noWrap/>
            <w:vAlign w:val="bottom"/>
            <w:hideMark/>
          </w:tcPr>
          <w:p w:rsidR="001929EA" w:rsidRPr="0062646B" w:rsidRDefault="001929EA" w:rsidP="001929EA">
            <w:pPr>
              <w:jc w:val="center"/>
              <w:rPr>
                <w:b/>
                <w:bCs/>
                <w:color w:val="000000"/>
              </w:rPr>
            </w:pPr>
            <w:r w:rsidRPr="0062646B">
              <w:rPr>
                <w:rFonts w:ascii="Arial" w:hAnsi="Arial" w:cs="Arial"/>
                <w:b/>
                <w:bCs/>
                <w:color w:val="000000"/>
              </w:rPr>
              <w:t>Water System</w:t>
            </w:r>
          </w:p>
        </w:tc>
      </w:tr>
      <w:tr w:rsidR="001929EA" w:rsidRPr="0062646B" w:rsidTr="001929EA">
        <w:trPr>
          <w:trHeight w:val="315"/>
        </w:trPr>
        <w:tc>
          <w:tcPr>
            <w:tcW w:w="8385" w:type="dxa"/>
            <w:gridSpan w:val="4"/>
            <w:noWrap/>
            <w:vAlign w:val="bottom"/>
            <w:hideMark/>
          </w:tcPr>
          <w:p w:rsidR="001929EA" w:rsidRPr="0062646B" w:rsidRDefault="001929EA" w:rsidP="001929EA">
            <w:pPr>
              <w:jc w:val="center"/>
              <w:rPr>
                <w:rFonts w:ascii="Arial" w:hAnsi="Arial" w:cs="Arial"/>
                <w:b/>
                <w:bCs/>
                <w:color w:val="000000"/>
                <w:sz w:val="22"/>
                <w:szCs w:val="22"/>
              </w:rPr>
            </w:pPr>
            <w:r w:rsidRPr="0062646B">
              <w:rPr>
                <w:rFonts w:ascii="Arial" w:hAnsi="Arial" w:cs="Arial"/>
                <w:b/>
                <w:bCs/>
                <w:color w:val="000000"/>
                <w:sz w:val="22"/>
                <w:szCs w:val="22"/>
              </w:rPr>
              <w:t>Schedule of Staff Recommended Account Balances as of January 1, 2014</w:t>
            </w:r>
          </w:p>
        </w:tc>
      </w:tr>
      <w:tr w:rsidR="001929EA" w:rsidRPr="0062646B" w:rsidTr="001929EA">
        <w:trPr>
          <w:trHeight w:val="315"/>
        </w:trPr>
        <w:tc>
          <w:tcPr>
            <w:tcW w:w="1070" w:type="dxa"/>
            <w:noWrap/>
            <w:vAlign w:val="bottom"/>
            <w:hideMark/>
          </w:tcPr>
          <w:p w:rsidR="001929EA" w:rsidRPr="0062646B" w:rsidRDefault="001929EA" w:rsidP="001929EA">
            <w:pPr>
              <w:rPr>
                <w:b/>
                <w:bCs/>
                <w:color w:val="000000"/>
              </w:rPr>
            </w:pPr>
            <w:r w:rsidRPr="0062646B">
              <w:rPr>
                <w:b/>
                <w:bCs/>
                <w:color w:val="000000"/>
              </w:rPr>
              <w:t> </w:t>
            </w:r>
          </w:p>
        </w:tc>
        <w:tc>
          <w:tcPr>
            <w:tcW w:w="4221" w:type="dxa"/>
            <w:noWrap/>
            <w:vAlign w:val="bottom"/>
            <w:hideMark/>
          </w:tcPr>
          <w:p w:rsidR="001929EA" w:rsidRPr="0062646B" w:rsidRDefault="001929EA" w:rsidP="001929EA">
            <w:pPr>
              <w:rPr>
                <w:rFonts w:asciiTheme="minorHAnsi" w:eastAsiaTheme="minorHAnsi" w:hAnsiTheme="minorHAnsi"/>
                <w:sz w:val="22"/>
                <w:szCs w:val="22"/>
              </w:rPr>
            </w:pPr>
          </w:p>
        </w:tc>
        <w:tc>
          <w:tcPr>
            <w:tcW w:w="1116" w:type="dxa"/>
            <w:noWrap/>
            <w:vAlign w:val="bottom"/>
            <w:hideMark/>
          </w:tcPr>
          <w:p w:rsidR="001929EA" w:rsidRPr="0062646B" w:rsidRDefault="001929EA" w:rsidP="001929EA">
            <w:pPr>
              <w:rPr>
                <w:rFonts w:asciiTheme="minorHAnsi" w:eastAsiaTheme="minorHAnsi" w:hAnsiTheme="minorHAnsi"/>
                <w:sz w:val="22"/>
                <w:szCs w:val="22"/>
              </w:rPr>
            </w:pPr>
          </w:p>
        </w:tc>
        <w:tc>
          <w:tcPr>
            <w:tcW w:w="1978" w:type="dxa"/>
            <w:noWrap/>
            <w:vAlign w:val="bottom"/>
            <w:hideMark/>
          </w:tcPr>
          <w:p w:rsidR="001929EA" w:rsidRPr="0062646B" w:rsidRDefault="001929EA" w:rsidP="001929EA">
            <w:pPr>
              <w:rPr>
                <w:b/>
                <w:bCs/>
                <w:color w:val="000000"/>
              </w:rPr>
            </w:pPr>
            <w:r w:rsidRPr="0062646B">
              <w:rPr>
                <w:b/>
                <w:bCs/>
                <w:color w:val="000000"/>
              </w:rPr>
              <w:t> </w:t>
            </w:r>
          </w:p>
        </w:tc>
      </w:tr>
      <w:tr w:rsidR="001929EA" w:rsidRPr="0062646B" w:rsidTr="001929EA">
        <w:trPr>
          <w:trHeight w:val="315"/>
        </w:trPr>
        <w:tc>
          <w:tcPr>
            <w:tcW w:w="1070" w:type="dxa"/>
            <w:noWrap/>
            <w:vAlign w:val="bottom"/>
            <w:hideMark/>
          </w:tcPr>
          <w:p w:rsidR="001929EA" w:rsidRPr="0062646B" w:rsidRDefault="001929EA" w:rsidP="001929EA">
            <w:pPr>
              <w:jc w:val="center"/>
              <w:rPr>
                <w:b/>
                <w:bCs/>
                <w:color w:val="000000"/>
              </w:rPr>
            </w:pPr>
            <w:r w:rsidRPr="0062646B">
              <w:rPr>
                <w:b/>
                <w:bCs/>
                <w:color w:val="000000"/>
              </w:rPr>
              <w:t xml:space="preserve">Account </w:t>
            </w:r>
          </w:p>
        </w:tc>
        <w:tc>
          <w:tcPr>
            <w:tcW w:w="4221" w:type="dxa"/>
            <w:noWrap/>
            <w:vAlign w:val="bottom"/>
            <w:hideMark/>
          </w:tcPr>
          <w:p w:rsidR="001929EA" w:rsidRPr="0062646B" w:rsidRDefault="001929EA" w:rsidP="001929EA">
            <w:pPr>
              <w:rPr>
                <w:rFonts w:asciiTheme="minorHAnsi" w:eastAsiaTheme="minorHAnsi" w:hAnsiTheme="minorHAnsi"/>
                <w:sz w:val="22"/>
                <w:szCs w:val="22"/>
              </w:rPr>
            </w:pPr>
          </w:p>
        </w:tc>
        <w:tc>
          <w:tcPr>
            <w:tcW w:w="1116" w:type="dxa"/>
            <w:noWrap/>
            <w:vAlign w:val="bottom"/>
            <w:hideMark/>
          </w:tcPr>
          <w:p w:rsidR="001929EA" w:rsidRPr="0062646B" w:rsidRDefault="001929EA" w:rsidP="001929EA">
            <w:pPr>
              <w:rPr>
                <w:rFonts w:asciiTheme="minorHAnsi" w:eastAsiaTheme="minorHAnsi" w:hAnsiTheme="minorHAnsi"/>
                <w:sz w:val="22"/>
                <w:szCs w:val="22"/>
              </w:rPr>
            </w:pPr>
          </w:p>
        </w:tc>
        <w:tc>
          <w:tcPr>
            <w:tcW w:w="1978" w:type="dxa"/>
            <w:noWrap/>
            <w:vAlign w:val="bottom"/>
            <w:hideMark/>
          </w:tcPr>
          <w:p w:rsidR="001929EA" w:rsidRPr="0062646B" w:rsidRDefault="001929EA" w:rsidP="001929EA">
            <w:pPr>
              <w:jc w:val="right"/>
              <w:rPr>
                <w:b/>
                <w:bCs/>
                <w:color w:val="000000"/>
              </w:rPr>
            </w:pPr>
            <w:r w:rsidRPr="0062646B">
              <w:rPr>
                <w:b/>
                <w:bCs/>
                <w:color w:val="000000"/>
              </w:rPr>
              <w:t>Accumulated</w:t>
            </w:r>
          </w:p>
        </w:tc>
      </w:tr>
      <w:tr w:rsidR="001929EA" w:rsidRPr="0062646B" w:rsidTr="001929EA">
        <w:trPr>
          <w:trHeight w:val="315"/>
        </w:trPr>
        <w:tc>
          <w:tcPr>
            <w:tcW w:w="1070" w:type="dxa"/>
            <w:noWrap/>
            <w:vAlign w:val="bottom"/>
            <w:hideMark/>
          </w:tcPr>
          <w:p w:rsidR="001929EA" w:rsidRPr="0062646B" w:rsidRDefault="001929EA" w:rsidP="001929EA">
            <w:pPr>
              <w:jc w:val="center"/>
              <w:rPr>
                <w:b/>
                <w:bCs/>
                <w:color w:val="000000"/>
                <w:u w:val="single"/>
              </w:rPr>
            </w:pPr>
            <w:r w:rsidRPr="0062646B">
              <w:rPr>
                <w:b/>
                <w:bCs/>
                <w:color w:val="000000"/>
                <w:u w:val="single"/>
              </w:rPr>
              <w:t>No.</w:t>
            </w:r>
          </w:p>
        </w:tc>
        <w:tc>
          <w:tcPr>
            <w:tcW w:w="4221" w:type="dxa"/>
            <w:noWrap/>
            <w:vAlign w:val="bottom"/>
            <w:hideMark/>
          </w:tcPr>
          <w:p w:rsidR="001929EA" w:rsidRPr="0062646B" w:rsidRDefault="001929EA" w:rsidP="001929EA">
            <w:pPr>
              <w:rPr>
                <w:b/>
                <w:bCs/>
                <w:color w:val="000000"/>
                <w:u w:val="single"/>
              </w:rPr>
            </w:pPr>
            <w:r w:rsidRPr="0062646B">
              <w:rPr>
                <w:b/>
                <w:bCs/>
                <w:color w:val="000000"/>
                <w:u w:val="single"/>
              </w:rPr>
              <w:t>Description</w:t>
            </w:r>
          </w:p>
        </w:tc>
        <w:tc>
          <w:tcPr>
            <w:tcW w:w="1116" w:type="dxa"/>
            <w:noWrap/>
            <w:vAlign w:val="bottom"/>
            <w:hideMark/>
          </w:tcPr>
          <w:p w:rsidR="001929EA" w:rsidRPr="0062646B" w:rsidRDefault="001929EA" w:rsidP="001929EA">
            <w:pPr>
              <w:jc w:val="center"/>
              <w:rPr>
                <w:b/>
                <w:bCs/>
                <w:color w:val="000000"/>
                <w:u w:val="single"/>
              </w:rPr>
            </w:pPr>
            <w:r w:rsidRPr="0062646B">
              <w:rPr>
                <w:b/>
                <w:bCs/>
                <w:color w:val="000000"/>
                <w:u w:val="single"/>
              </w:rPr>
              <w:t>UPIS</w:t>
            </w:r>
          </w:p>
        </w:tc>
        <w:tc>
          <w:tcPr>
            <w:tcW w:w="1978" w:type="dxa"/>
            <w:noWrap/>
            <w:vAlign w:val="bottom"/>
            <w:hideMark/>
          </w:tcPr>
          <w:p w:rsidR="001929EA" w:rsidRPr="0062646B" w:rsidRDefault="001929EA" w:rsidP="001929EA">
            <w:pPr>
              <w:jc w:val="right"/>
              <w:rPr>
                <w:b/>
                <w:bCs/>
                <w:color w:val="000000"/>
                <w:u w:val="single"/>
              </w:rPr>
            </w:pPr>
            <w:r w:rsidRPr="0062646B">
              <w:rPr>
                <w:b/>
                <w:bCs/>
                <w:color w:val="000000"/>
                <w:u w:val="single"/>
              </w:rPr>
              <w:t>Depreciation</w:t>
            </w:r>
          </w:p>
        </w:tc>
      </w:tr>
      <w:tr w:rsidR="001929EA" w:rsidRPr="0062646B" w:rsidTr="001929EA">
        <w:trPr>
          <w:trHeight w:val="315"/>
        </w:trPr>
        <w:tc>
          <w:tcPr>
            <w:tcW w:w="1070" w:type="dxa"/>
            <w:noWrap/>
            <w:vAlign w:val="bottom"/>
          </w:tcPr>
          <w:p w:rsidR="001929EA" w:rsidRPr="0062646B" w:rsidRDefault="001929EA" w:rsidP="001929EA">
            <w:pPr>
              <w:jc w:val="center"/>
              <w:rPr>
                <w:bCs/>
                <w:color w:val="000000"/>
              </w:rPr>
            </w:pPr>
          </w:p>
        </w:tc>
        <w:tc>
          <w:tcPr>
            <w:tcW w:w="4221" w:type="dxa"/>
            <w:noWrap/>
            <w:vAlign w:val="bottom"/>
          </w:tcPr>
          <w:p w:rsidR="001929EA" w:rsidRPr="0062646B" w:rsidRDefault="001929EA" w:rsidP="001929EA">
            <w:pPr>
              <w:rPr>
                <w:bCs/>
                <w:color w:val="000000"/>
              </w:rPr>
            </w:pPr>
          </w:p>
        </w:tc>
        <w:tc>
          <w:tcPr>
            <w:tcW w:w="1116" w:type="dxa"/>
            <w:noWrap/>
            <w:vAlign w:val="bottom"/>
          </w:tcPr>
          <w:p w:rsidR="001929EA" w:rsidRPr="0062646B" w:rsidRDefault="001929EA" w:rsidP="001929EA">
            <w:pPr>
              <w:tabs>
                <w:tab w:val="decimal" w:pos="750"/>
              </w:tabs>
              <w:jc w:val="right"/>
              <w:rPr>
                <w:bCs/>
                <w:color w:val="000000"/>
              </w:rPr>
            </w:pPr>
          </w:p>
        </w:tc>
        <w:tc>
          <w:tcPr>
            <w:tcW w:w="1978" w:type="dxa"/>
            <w:noWrap/>
            <w:vAlign w:val="bottom"/>
          </w:tcPr>
          <w:p w:rsidR="001929EA" w:rsidRPr="0062646B" w:rsidRDefault="001929EA" w:rsidP="001929EA">
            <w:pPr>
              <w:tabs>
                <w:tab w:val="decimal" w:pos="1592"/>
              </w:tabs>
              <w:rPr>
                <w:bCs/>
                <w:color w:val="000000"/>
              </w:rPr>
            </w:pPr>
          </w:p>
        </w:tc>
      </w:tr>
      <w:tr w:rsidR="001929EA" w:rsidRPr="0062646B" w:rsidTr="001929EA">
        <w:trPr>
          <w:trHeight w:val="315"/>
        </w:trPr>
        <w:tc>
          <w:tcPr>
            <w:tcW w:w="1070" w:type="dxa"/>
            <w:noWrap/>
            <w:vAlign w:val="bottom"/>
            <w:hideMark/>
          </w:tcPr>
          <w:p w:rsidR="001929EA" w:rsidRPr="0062646B" w:rsidRDefault="001929EA" w:rsidP="001929EA">
            <w:pPr>
              <w:jc w:val="center"/>
              <w:rPr>
                <w:bCs/>
                <w:color w:val="000000"/>
              </w:rPr>
            </w:pPr>
            <w:r w:rsidRPr="0062646B">
              <w:rPr>
                <w:bCs/>
                <w:color w:val="000000"/>
              </w:rPr>
              <w:t>331</w:t>
            </w:r>
          </w:p>
        </w:tc>
        <w:tc>
          <w:tcPr>
            <w:tcW w:w="4221" w:type="dxa"/>
            <w:noWrap/>
            <w:vAlign w:val="bottom"/>
            <w:hideMark/>
          </w:tcPr>
          <w:p w:rsidR="001929EA" w:rsidRPr="0062646B" w:rsidRDefault="001929EA" w:rsidP="001929EA">
            <w:pPr>
              <w:rPr>
                <w:bCs/>
                <w:color w:val="000000"/>
              </w:rPr>
            </w:pPr>
            <w:r w:rsidRPr="0062646B">
              <w:rPr>
                <w:bCs/>
                <w:color w:val="000000"/>
              </w:rPr>
              <w:t>Transmission &amp; Distribution Mains</w:t>
            </w:r>
          </w:p>
        </w:tc>
        <w:tc>
          <w:tcPr>
            <w:tcW w:w="1116" w:type="dxa"/>
            <w:noWrap/>
            <w:vAlign w:val="bottom"/>
            <w:hideMark/>
          </w:tcPr>
          <w:p w:rsidR="001929EA" w:rsidRPr="0062646B" w:rsidRDefault="001929EA" w:rsidP="001929EA">
            <w:pPr>
              <w:tabs>
                <w:tab w:val="decimal" w:pos="750"/>
              </w:tabs>
              <w:jc w:val="right"/>
              <w:rPr>
                <w:bCs/>
                <w:color w:val="000000"/>
              </w:rPr>
            </w:pPr>
            <w:r w:rsidRPr="0062646B">
              <w:rPr>
                <w:bCs/>
                <w:color w:val="000000"/>
              </w:rPr>
              <w:t xml:space="preserve">$167,931 </w:t>
            </w:r>
          </w:p>
        </w:tc>
        <w:tc>
          <w:tcPr>
            <w:tcW w:w="1978" w:type="dxa"/>
            <w:noWrap/>
            <w:vAlign w:val="bottom"/>
            <w:hideMark/>
          </w:tcPr>
          <w:p w:rsidR="001929EA" w:rsidRPr="0062646B" w:rsidRDefault="001929EA" w:rsidP="001929EA">
            <w:pPr>
              <w:tabs>
                <w:tab w:val="decimal" w:pos="1592"/>
              </w:tabs>
              <w:rPr>
                <w:bCs/>
                <w:color w:val="000000"/>
              </w:rPr>
            </w:pPr>
            <w:r w:rsidRPr="0062646B">
              <w:rPr>
                <w:bCs/>
                <w:color w:val="000000"/>
              </w:rPr>
              <w:t xml:space="preserve">$(56,649) </w:t>
            </w:r>
          </w:p>
        </w:tc>
      </w:tr>
      <w:tr w:rsidR="001929EA" w:rsidRPr="0062646B" w:rsidTr="001929EA">
        <w:trPr>
          <w:trHeight w:val="315"/>
        </w:trPr>
        <w:tc>
          <w:tcPr>
            <w:tcW w:w="1070" w:type="dxa"/>
            <w:noWrap/>
            <w:vAlign w:val="bottom"/>
            <w:hideMark/>
          </w:tcPr>
          <w:p w:rsidR="001929EA" w:rsidRPr="0062646B" w:rsidRDefault="001929EA" w:rsidP="001929EA">
            <w:pPr>
              <w:jc w:val="center"/>
              <w:rPr>
                <w:bCs/>
                <w:color w:val="000000"/>
              </w:rPr>
            </w:pPr>
            <w:r w:rsidRPr="0062646B">
              <w:rPr>
                <w:bCs/>
                <w:color w:val="000000"/>
              </w:rPr>
              <w:t>334</w:t>
            </w:r>
          </w:p>
        </w:tc>
        <w:tc>
          <w:tcPr>
            <w:tcW w:w="4221" w:type="dxa"/>
            <w:noWrap/>
            <w:vAlign w:val="bottom"/>
            <w:hideMark/>
          </w:tcPr>
          <w:p w:rsidR="001929EA" w:rsidRPr="0062646B" w:rsidRDefault="001929EA" w:rsidP="001929EA">
            <w:pPr>
              <w:rPr>
                <w:bCs/>
                <w:color w:val="000000"/>
              </w:rPr>
            </w:pPr>
            <w:r w:rsidRPr="0062646B">
              <w:rPr>
                <w:bCs/>
                <w:color w:val="000000"/>
              </w:rPr>
              <w:t>Meters &amp; Meter Installations</w:t>
            </w:r>
          </w:p>
        </w:tc>
        <w:tc>
          <w:tcPr>
            <w:tcW w:w="1116" w:type="dxa"/>
            <w:noWrap/>
            <w:vAlign w:val="bottom"/>
            <w:hideMark/>
          </w:tcPr>
          <w:p w:rsidR="001929EA" w:rsidRPr="0062646B" w:rsidRDefault="001929EA" w:rsidP="001929EA">
            <w:pPr>
              <w:tabs>
                <w:tab w:val="decimal" w:pos="750"/>
              </w:tabs>
              <w:jc w:val="right"/>
              <w:rPr>
                <w:bCs/>
                <w:color w:val="000000"/>
              </w:rPr>
            </w:pPr>
            <w:r w:rsidRPr="0062646B">
              <w:rPr>
                <w:bCs/>
                <w:color w:val="000000"/>
              </w:rPr>
              <w:t xml:space="preserve">49,545 </w:t>
            </w:r>
          </w:p>
        </w:tc>
        <w:tc>
          <w:tcPr>
            <w:tcW w:w="1978" w:type="dxa"/>
            <w:noWrap/>
            <w:vAlign w:val="bottom"/>
            <w:hideMark/>
          </w:tcPr>
          <w:p w:rsidR="001929EA" w:rsidRPr="0062646B" w:rsidRDefault="001929EA" w:rsidP="001929EA">
            <w:pPr>
              <w:tabs>
                <w:tab w:val="decimal" w:pos="1592"/>
              </w:tabs>
              <w:rPr>
                <w:bCs/>
                <w:color w:val="000000"/>
              </w:rPr>
            </w:pPr>
            <w:r w:rsidRPr="0062646B">
              <w:rPr>
                <w:bCs/>
                <w:color w:val="000000"/>
              </w:rPr>
              <w:t xml:space="preserve">(32,598) </w:t>
            </w:r>
          </w:p>
        </w:tc>
      </w:tr>
      <w:tr w:rsidR="001929EA" w:rsidRPr="0062646B" w:rsidTr="001929EA">
        <w:trPr>
          <w:trHeight w:val="315"/>
        </w:trPr>
        <w:tc>
          <w:tcPr>
            <w:tcW w:w="1070" w:type="dxa"/>
            <w:noWrap/>
            <w:vAlign w:val="bottom"/>
            <w:hideMark/>
          </w:tcPr>
          <w:p w:rsidR="001929EA" w:rsidRPr="0062646B" w:rsidRDefault="001929EA" w:rsidP="001929EA">
            <w:pPr>
              <w:jc w:val="center"/>
              <w:rPr>
                <w:bCs/>
                <w:color w:val="000000"/>
              </w:rPr>
            </w:pPr>
            <w:r w:rsidRPr="0062646B">
              <w:rPr>
                <w:bCs/>
                <w:color w:val="000000"/>
              </w:rPr>
              <w:t>335</w:t>
            </w:r>
          </w:p>
        </w:tc>
        <w:tc>
          <w:tcPr>
            <w:tcW w:w="4221" w:type="dxa"/>
            <w:noWrap/>
            <w:vAlign w:val="bottom"/>
            <w:hideMark/>
          </w:tcPr>
          <w:p w:rsidR="001929EA" w:rsidRPr="0062646B" w:rsidRDefault="001929EA" w:rsidP="001929EA">
            <w:pPr>
              <w:rPr>
                <w:bCs/>
                <w:color w:val="000000"/>
              </w:rPr>
            </w:pPr>
            <w:r w:rsidRPr="0062646B">
              <w:rPr>
                <w:bCs/>
                <w:color w:val="000000"/>
              </w:rPr>
              <w:t>Hydrants</w:t>
            </w:r>
          </w:p>
        </w:tc>
        <w:tc>
          <w:tcPr>
            <w:tcW w:w="1116" w:type="dxa"/>
            <w:noWrap/>
            <w:vAlign w:val="bottom"/>
            <w:hideMark/>
          </w:tcPr>
          <w:p w:rsidR="001929EA" w:rsidRPr="0062646B" w:rsidRDefault="001929EA" w:rsidP="001929EA">
            <w:pPr>
              <w:tabs>
                <w:tab w:val="decimal" w:pos="750"/>
              </w:tabs>
              <w:jc w:val="right"/>
              <w:rPr>
                <w:bCs/>
                <w:color w:val="000000"/>
              </w:rPr>
            </w:pPr>
            <w:r w:rsidRPr="0062646B">
              <w:rPr>
                <w:bCs/>
                <w:color w:val="000000"/>
              </w:rPr>
              <w:t xml:space="preserve">2,551 </w:t>
            </w:r>
          </w:p>
        </w:tc>
        <w:tc>
          <w:tcPr>
            <w:tcW w:w="1978" w:type="dxa"/>
            <w:noWrap/>
            <w:vAlign w:val="bottom"/>
            <w:hideMark/>
          </w:tcPr>
          <w:p w:rsidR="001929EA" w:rsidRPr="0062646B" w:rsidRDefault="001929EA" w:rsidP="001929EA">
            <w:pPr>
              <w:tabs>
                <w:tab w:val="decimal" w:pos="1592"/>
              </w:tabs>
              <w:rPr>
                <w:bCs/>
                <w:color w:val="000000"/>
              </w:rPr>
            </w:pPr>
            <w:r w:rsidRPr="0062646B">
              <w:rPr>
                <w:bCs/>
                <w:color w:val="000000"/>
              </w:rPr>
              <w:t xml:space="preserve">(479) </w:t>
            </w:r>
          </w:p>
        </w:tc>
      </w:tr>
      <w:tr w:rsidR="001929EA" w:rsidRPr="0062646B" w:rsidTr="001929EA">
        <w:trPr>
          <w:trHeight w:val="315"/>
        </w:trPr>
        <w:tc>
          <w:tcPr>
            <w:tcW w:w="1070" w:type="dxa"/>
            <w:noWrap/>
            <w:vAlign w:val="bottom"/>
            <w:hideMark/>
          </w:tcPr>
          <w:p w:rsidR="001929EA" w:rsidRPr="0062646B" w:rsidRDefault="001929EA" w:rsidP="001929EA">
            <w:pPr>
              <w:jc w:val="center"/>
              <w:rPr>
                <w:bCs/>
                <w:color w:val="000000"/>
              </w:rPr>
            </w:pPr>
            <w:r w:rsidRPr="0062646B">
              <w:rPr>
                <w:bCs/>
                <w:color w:val="000000"/>
              </w:rPr>
              <w:t>336</w:t>
            </w:r>
          </w:p>
        </w:tc>
        <w:tc>
          <w:tcPr>
            <w:tcW w:w="4221" w:type="dxa"/>
            <w:noWrap/>
            <w:vAlign w:val="bottom"/>
            <w:hideMark/>
          </w:tcPr>
          <w:p w:rsidR="001929EA" w:rsidRPr="0062646B" w:rsidRDefault="001929EA" w:rsidP="001929EA">
            <w:pPr>
              <w:rPr>
                <w:bCs/>
                <w:color w:val="000000"/>
              </w:rPr>
            </w:pPr>
            <w:r w:rsidRPr="0062646B">
              <w:rPr>
                <w:bCs/>
                <w:color w:val="000000"/>
              </w:rPr>
              <w:t>Backflow Prevention Devices</w:t>
            </w:r>
          </w:p>
        </w:tc>
        <w:tc>
          <w:tcPr>
            <w:tcW w:w="1116" w:type="dxa"/>
            <w:noWrap/>
            <w:vAlign w:val="bottom"/>
            <w:hideMark/>
          </w:tcPr>
          <w:p w:rsidR="001929EA" w:rsidRPr="0062646B" w:rsidRDefault="001929EA" w:rsidP="001929EA">
            <w:pPr>
              <w:tabs>
                <w:tab w:val="decimal" w:pos="750"/>
              </w:tabs>
              <w:jc w:val="right"/>
              <w:rPr>
                <w:bCs/>
                <w:color w:val="000000"/>
              </w:rPr>
            </w:pPr>
            <w:r w:rsidRPr="0062646B">
              <w:rPr>
                <w:bCs/>
                <w:color w:val="000000"/>
              </w:rPr>
              <w:t xml:space="preserve">4,400 </w:t>
            </w:r>
          </w:p>
        </w:tc>
        <w:tc>
          <w:tcPr>
            <w:tcW w:w="1978" w:type="dxa"/>
            <w:noWrap/>
            <w:vAlign w:val="bottom"/>
            <w:hideMark/>
          </w:tcPr>
          <w:p w:rsidR="001929EA" w:rsidRPr="0062646B" w:rsidRDefault="001929EA" w:rsidP="001929EA">
            <w:pPr>
              <w:tabs>
                <w:tab w:val="decimal" w:pos="1592"/>
              </w:tabs>
              <w:rPr>
                <w:bCs/>
                <w:color w:val="000000"/>
              </w:rPr>
            </w:pPr>
            <w:r w:rsidRPr="0062646B">
              <w:rPr>
                <w:bCs/>
                <w:color w:val="000000"/>
              </w:rPr>
              <w:t xml:space="preserve">(3,300) </w:t>
            </w:r>
          </w:p>
        </w:tc>
      </w:tr>
      <w:tr w:rsidR="001929EA" w:rsidRPr="0062646B" w:rsidTr="001929EA">
        <w:trPr>
          <w:trHeight w:val="315"/>
        </w:trPr>
        <w:tc>
          <w:tcPr>
            <w:tcW w:w="1070" w:type="dxa"/>
            <w:noWrap/>
            <w:vAlign w:val="bottom"/>
            <w:hideMark/>
          </w:tcPr>
          <w:p w:rsidR="001929EA" w:rsidRPr="0062646B" w:rsidRDefault="001929EA" w:rsidP="001929EA">
            <w:pPr>
              <w:jc w:val="center"/>
              <w:rPr>
                <w:bCs/>
                <w:color w:val="000000"/>
              </w:rPr>
            </w:pPr>
            <w:r w:rsidRPr="0062646B">
              <w:rPr>
                <w:bCs/>
                <w:color w:val="000000"/>
              </w:rPr>
              <w:t>339</w:t>
            </w:r>
          </w:p>
        </w:tc>
        <w:tc>
          <w:tcPr>
            <w:tcW w:w="4221" w:type="dxa"/>
            <w:noWrap/>
            <w:vAlign w:val="bottom"/>
            <w:hideMark/>
          </w:tcPr>
          <w:p w:rsidR="001929EA" w:rsidRPr="0062646B" w:rsidRDefault="001929EA" w:rsidP="001929EA">
            <w:pPr>
              <w:rPr>
                <w:bCs/>
                <w:color w:val="000000"/>
              </w:rPr>
            </w:pPr>
            <w:r w:rsidRPr="0062646B">
              <w:rPr>
                <w:bCs/>
                <w:color w:val="000000"/>
              </w:rPr>
              <w:t>Other Plant &amp; Misc.</w:t>
            </w:r>
          </w:p>
        </w:tc>
        <w:tc>
          <w:tcPr>
            <w:tcW w:w="1116" w:type="dxa"/>
            <w:noWrap/>
            <w:vAlign w:val="bottom"/>
            <w:hideMark/>
          </w:tcPr>
          <w:p w:rsidR="001929EA" w:rsidRPr="0062646B" w:rsidRDefault="001929EA" w:rsidP="001929EA">
            <w:pPr>
              <w:tabs>
                <w:tab w:val="decimal" w:pos="750"/>
              </w:tabs>
              <w:jc w:val="right"/>
              <w:rPr>
                <w:bCs/>
                <w:color w:val="000000"/>
              </w:rPr>
            </w:pPr>
            <w:r w:rsidRPr="0062646B">
              <w:rPr>
                <w:bCs/>
                <w:color w:val="000000"/>
              </w:rPr>
              <w:t xml:space="preserve">2,287 </w:t>
            </w:r>
          </w:p>
        </w:tc>
        <w:tc>
          <w:tcPr>
            <w:tcW w:w="1978" w:type="dxa"/>
            <w:noWrap/>
            <w:vAlign w:val="bottom"/>
            <w:hideMark/>
          </w:tcPr>
          <w:p w:rsidR="001929EA" w:rsidRPr="0062646B" w:rsidRDefault="001929EA" w:rsidP="001929EA">
            <w:pPr>
              <w:tabs>
                <w:tab w:val="decimal" w:pos="1592"/>
              </w:tabs>
              <w:rPr>
                <w:bCs/>
                <w:color w:val="000000"/>
              </w:rPr>
            </w:pPr>
            <w:r w:rsidRPr="0062646B">
              <w:rPr>
                <w:bCs/>
                <w:color w:val="000000"/>
              </w:rPr>
              <w:t xml:space="preserve">(629) </w:t>
            </w:r>
          </w:p>
        </w:tc>
      </w:tr>
      <w:tr w:rsidR="001929EA" w:rsidRPr="0062646B" w:rsidTr="001929EA">
        <w:trPr>
          <w:trHeight w:val="315"/>
        </w:trPr>
        <w:tc>
          <w:tcPr>
            <w:tcW w:w="1070" w:type="dxa"/>
            <w:noWrap/>
            <w:vAlign w:val="bottom"/>
            <w:hideMark/>
          </w:tcPr>
          <w:p w:rsidR="001929EA" w:rsidRPr="0062646B" w:rsidRDefault="001929EA" w:rsidP="001929EA">
            <w:pPr>
              <w:jc w:val="center"/>
              <w:rPr>
                <w:bCs/>
                <w:color w:val="000000"/>
              </w:rPr>
            </w:pPr>
            <w:r w:rsidRPr="0062646B">
              <w:rPr>
                <w:bCs/>
                <w:color w:val="000000"/>
              </w:rPr>
              <w:t>340</w:t>
            </w:r>
          </w:p>
        </w:tc>
        <w:tc>
          <w:tcPr>
            <w:tcW w:w="4221" w:type="dxa"/>
            <w:noWrap/>
            <w:vAlign w:val="bottom"/>
            <w:hideMark/>
          </w:tcPr>
          <w:p w:rsidR="001929EA" w:rsidRPr="0062646B" w:rsidRDefault="001929EA" w:rsidP="001929EA">
            <w:pPr>
              <w:rPr>
                <w:bCs/>
                <w:color w:val="000000"/>
              </w:rPr>
            </w:pPr>
            <w:r w:rsidRPr="0062646B">
              <w:rPr>
                <w:bCs/>
                <w:color w:val="000000"/>
              </w:rPr>
              <w:t>Office Furniture &amp; Equipment</w:t>
            </w:r>
          </w:p>
        </w:tc>
        <w:tc>
          <w:tcPr>
            <w:tcW w:w="1116" w:type="dxa"/>
            <w:noWrap/>
            <w:vAlign w:val="bottom"/>
            <w:hideMark/>
          </w:tcPr>
          <w:p w:rsidR="001929EA" w:rsidRPr="0062646B" w:rsidRDefault="001929EA" w:rsidP="001929EA">
            <w:pPr>
              <w:tabs>
                <w:tab w:val="decimal" w:pos="750"/>
              </w:tabs>
              <w:jc w:val="right"/>
              <w:rPr>
                <w:bCs/>
                <w:color w:val="000000"/>
                <w:u w:val="single"/>
              </w:rPr>
            </w:pPr>
            <w:r w:rsidRPr="0062646B">
              <w:rPr>
                <w:bCs/>
                <w:color w:val="000000"/>
                <w:u w:val="single"/>
              </w:rPr>
              <w:t>0</w:t>
            </w:r>
          </w:p>
        </w:tc>
        <w:tc>
          <w:tcPr>
            <w:tcW w:w="1978" w:type="dxa"/>
            <w:noWrap/>
            <w:vAlign w:val="bottom"/>
            <w:hideMark/>
          </w:tcPr>
          <w:p w:rsidR="001929EA" w:rsidRPr="0062646B" w:rsidRDefault="001929EA" w:rsidP="001929EA">
            <w:pPr>
              <w:tabs>
                <w:tab w:val="decimal" w:pos="1592"/>
              </w:tabs>
              <w:rPr>
                <w:bCs/>
                <w:color w:val="000000"/>
                <w:u w:val="single"/>
              </w:rPr>
            </w:pPr>
            <w:r w:rsidRPr="0062646B">
              <w:rPr>
                <w:bCs/>
                <w:color w:val="000000"/>
                <w:u w:val="single"/>
              </w:rPr>
              <w:t>0</w:t>
            </w:r>
          </w:p>
        </w:tc>
      </w:tr>
      <w:tr w:rsidR="001929EA" w:rsidRPr="0062646B" w:rsidTr="001929EA">
        <w:trPr>
          <w:trHeight w:val="315"/>
        </w:trPr>
        <w:tc>
          <w:tcPr>
            <w:tcW w:w="1070" w:type="dxa"/>
            <w:noWrap/>
            <w:vAlign w:val="bottom"/>
            <w:hideMark/>
          </w:tcPr>
          <w:p w:rsidR="001929EA" w:rsidRPr="0062646B" w:rsidRDefault="001929EA" w:rsidP="001929EA">
            <w:pPr>
              <w:rPr>
                <w:rFonts w:asciiTheme="minorHAnsi" w:eastAsiaTheme="minorHAnsi" w:hAnsiTheme="minorHAnsi"/>
                <w:sz w:val="22"/>
                <w:szCs w:val="22"/>
              </w:rPr>
            </w:pPr>
          </w:p>
        </w:tc>
        <w:tc>
          <w:tcPr>
            <w:tcW w:w="4221" w:type="dxa"/>
            <w:noWrap/>
            <w:vAlign w:val="bottom"/>
            <w:hideMark/>
          </w:tcPr>
          <w:p w:rsidR="001929EA" w:rsidRPr="0062646B" w:rsidRDefault="001929EA" w:rsidP="001929EA">
            <w:pPr>
              <w:rPr>
                <w:rFonts w:asciiTheme="minorHAnsi" w:eastAsiaTheme="minorHAnsi" w:hAnsiTheme="minorHAnsi"/>
                <w:sz w:val="22"/>
                <w:szCs w:val="22"/>
              </w:rPr>
            </w:pPr>
          </w:p>
        </w:tc>
        <w:tc>
          <w:tcPr>
            <w:tcW w:w="1116" w:type="dxa"/>
            <w:noWrap/>
            <w:vAlign w:val="bottom"/>
            <w:hideMark/>
          </w:tcPr>
          <w:p w:rsidR="001929EA" w:rsidRPr="0062646B" w:rsidRDefault="001929EA" w:rsidP="001929EA">
            <w:pPr>
              <w:rPr>
                <w:rFonts w:asciiTheme="minorHAnsi" w:eastAsiaTheme="minorHAnsi" w:hAnsiTheme="minorHAnsi"/>
                <w:sz w:val="22"/>
                <w:szCs w:val="22"/>
              </w:rPr>
            </w:pPr>
          </w:p>
        </w:tc>
        <w:tc>
          <w:tcPr>
            <w:tcW w:w="1978" w:type="dxa"/>
            <w:noWrap/>
            <w:vAlign w:val="bottom"/>
            <w:hideMark/>
          </w:tcPr>
          <w:p w:rsidR="001929EA" w:rsidRPr="0062646B" w:rsidRDefault="001929EA" w:rsidP="001929EA">
            <w:pPr>
              <w:rPr>
                <w:rFonts w:asciiTheme="minorHAnsi" w:eastAsiaTheme="minorHAnsi" w:hAnsiTheme="minorHAnsi"/>
                <w:sz w:val="22"/>
                <w:szCs w:val="22"/>
              </w:rPr>
            </w:pPr>
          </w:p>
        </w:tc>
      </w:tr>
      <w:tr w:rsidR="001929EA" w:rsidRPr="0062646B" w:rsidTr="001929EA">
        <w:trPr>
          <w:trHeight w:val="315"/>
        </w:trPr>
        <w:tc>
          <w:tcPr>
            <w:tcW w:w="1070" w:type="dxa"/>
            <w:noWrap/>
            <w:vAlign w:val="bottom"/>
            <w:hideMark/>
          </w:tcPr>
          <w:p w:rsidR="001929EA" w:rsidRPr="0062646B" w:rsidRDefault="001929EA" w:rsidP="001929EA">
            <w:pPr>
              <w:rPr>
                <w:rFonts w:asciiTheme="minorHAnsi" w:eastAsiaTheme="minorHAnsi" w:hAnsiTheme="minorHAnsi"/>
                <w:sz w:val="22"/>
                <w:szCs w:val="22"/>
              </w:rPr>
            </w:pPr>
          </w:p>
        </w:tc>
        <w:tc>
          <w:tcPr>
            <w:tcW w:w="4221" w:type="dxa"/>
            <w:noWrap/>
            <w:vAlign w:val="bottom"/>
            <w:hideMark/>
          </w:tcPr>
          <w:p w:rsidR="001929EA" w:rsidRPr="0062646B" w:rsidRDefault="001929EA" w:rsidP="001929EA">
            <w:pPr>
              <w:rPr>
                <w:bCs/>
                <w:color w:val="000000"/>
              </w:rPr>
            </w:pPr>
            <w:r w:rsidRPr="0062646B">
              <w:rPr>
                <w:bCs/>
                <w:color w:val="000000"/>
              </w:rPr>
              <w:t>Total</w:t>
            </w:r>
          </w:p>
        </w:tc>
        <w:tc>
          <w:tcPr>
            <w:tcW w:w="1116" w:type="dxa"/>
            <w:noWrap/>
            <w:vAlign w:val="bottom"/>
            <w:hideMark/>
          </w:tcPr>
          <w:p w:rsidR="001929EA" w:rsidRPr="0062646B" w:rsidRDefault="001929EA" w:rsidP="001929EA">
            <w:pPr>
              <w:tabs>
                <w:tab w:val="decimal" w:pos="750"/>
              </w:tabs>
              <w:jc w:val="right"/>
              <w:rPr>
                <w:bCs/>
                <w:color w:val="000000"/>
              </w:rPr>
            </w:pPr>
            <w:r w:rsidRPr="0062646B">
              <w:rPr>
                <w:bCs/>
                <w:color w:val="000000"/>
                <w:u w:val="double"/>
              </w:rPr>
              <w:t xml:space="preserve">$226,714 </w:t>
            </w:r>
          </w:p>
        </w:tc>
        <w:tc>
          <w:tcPr>
            <w:tcW w:w="1978" w:type="dxa"/>
            <w:noWrap/>
            <w:vAlign w:val="bottom"/>
            <w:hideMark/>
          </w:tcPr>
          <w:p w:rsidR="001929EA" w:rsidRPr="0062646B" w:rsidRDefault="001929EA" w:rsidP="001929EA">
            <w:pPr>
              <w:tabs>
                <w:tab w:val="decimal" w:pos="1592"/>
              </w:tabs>
              <w:rPr>
                <w:bCs/>
                <w:color w:val="000000"/>
              </w:rPr>
            </w:pPr>
            <w:r w:rsidRPr="0062646B">
              <w:rPr>
                <w:bCs/>
                <w:color w:val="000000"/>
                <w:u w:val="double"/>
              </w:rPr>
              <w:t xml:space="preserve">($93,655) </w:t>
            </w:r>
          </w:p>
        </w:tc>
      </w:tr>
      <w:tr w:rsidR="001929EA" w:rsidTr="001929EA">
        <w:trPr>
          <w:trHeight w:val="315"/>
        </w:trPr>
        <w:tc>
          <w:tcPr>
            <w:tcW w:w="1070" w:type="dxa"/>
            <w:noWrap/>
            <w:vAlign w:val="bottom"/>
            <w:hideMark/>
          </w:tcPr>
          <w:p w:rsidR="001929EA" w:rsidRDefault="001929EA" w:rsidP="001929EA">
            <w:pPr>
              <w:rPr>
                <w:rFonts w:asciiTheme="minorHAnsi" w:eastAsiaTheme="minorHAnsi" w:hAnsiTheme="minorHAnsi"/>
                <w:sz w:val="22"/>
                <w:szCs w:val="22"/>
              </w:rPr>
            </w:pPr>
          </w:p>
        </w:tc>
        <w:tc>
          <w:tcPr>
            <w:tcW w:w="4221" w:type="dxa"/>
            <w:noWrap/>
            <w:vAlign w:val="bottom"/>
            <w:hideMark/>
          </w:tcPr>
          <w:p w:rsidR="001929EA" w:rsidRDefault="001929EA" w:rsidP="001929EA">
            <w:pPr>
              <w:rPr>
                <w:rFonts w:asciiTheme="minorHAnsi" w:eastAsiaTheme="minorHAnsi" w:hAnsiTheme="minorHAnsi"/>
                <w:sz w:val="22"/>
                <w:szCs w:val="22"/>
              </w:rPr>
            </w:pPr>
          </w:p>
        </w:tc>
        <w:tc>
          <w:tcPr>
            <w:tcW w:w="1116" w:type="dxa"/>
            <w:noWrap/>
            <w:vAlign w:val="bottom"/>
            <w:hideMark/>
          </w:tcPr>
          <w:p w:rsidR="001929EA" w:rsidRDefault="001929EA" w:rsidP="001929EA">
            <w:pPr>
              <w:rPr>
                <w:rFonts w:asciiTheme="minorHAnsi" w:eastAsiaTheme="minorHAnsi" w:hAnsiTheme="minorHAnsi"/>
                <w:sz w:val="22"/>
                <w:szCs w:val="22"/>
              </w:rPr>
            </w:pPr>
          </w:p>
        </w:tc>
        <w:tc>
          <w:tcPr>
            <w:tcW w:w="1978" w:type="dxa"/>
            <w:noWrap/>
            <w:vAlign w:val="bottom"/>
            <w:hideMark/>
          </w:tcPr>
          <w:p w:rsidR="001929EA" w:rsidRDefault="001929EA" w:rsidP="001929EA">
            <w:pPr>
              <w:rPr>
                <w:rFonts w:asciiTheme="minorHAnsi" w:eastAsiaTheme="minorHAnsi" w:hAnsiTheme="minorHAnsi"/>
                <w:sz w:val="22"/>
                <w:szCs w:val="22"/>
              </w:rPr>
            </w:pPr>
          </w:p>
        </w:tc>
      </w:tr>
      <w:tr w:rsidR="001929EA" w:rsidTr="001929EA">
        <w:trPr>
          <w:trHeight w:val="315"/>
        </w:trPr>
        <w:tc>
          <w:tcPr>
            <w:tcW w:w="1070" w:type="dxa"/>
            <w:noWrap/>
            <w:vAlign w:val="bottom"/>
          </w:tcPr>
          <w:p w:rsidR="001929EA" w:rsidRDefault="001929EA" w:rsidP="001929EA">
            <w:pPr>
              <w:jc w:val="center"/>
              <w:rPr>
                <w:bCs/>
                <w:color w:val="000000"/>
              </w:rPr>
            </w:pPr>
          </w:p>
        </w:tc>
        <w:tc>
          <w:tcPr>
            <w:tcW w:w="4221" w:type="dxa"/>
            <w:noWrap/>
            <w:vAlign w:val="bottom"/>
          </w:tcPr>
          <w:p w:rsidR="001929EA" w:rsidRDefault="001929EA" w:rsidP="001929EA">
            <w:pPr>
              <w:rPr>
                <w:bCs/>
                <w:color w:val="000000"/>
              </w:rPr>
            </w:pPr>
          </w:p>
        </w:tc>
        <w:tc>
          <w:tcPr>
            <w:tcW w:w="1116" w:type="dxa"/>
            <w:noWrap/>
            <w:vAlign w:val="bottom"/>
          </w:tcPr>
          <w:p w:rsidR="001929EA" w:rsidRDefault="001929EA" w:rsidP="001929EA">
            <w:pPr>
              <w:tabs>
                <w:tab w:val="decimal" w:pos="750"/>
              </w:tabs>
              <w:jc w:val="right"/>
              <w:rPr>
                <w:bCs/>
                <w:color w:val="000000"/>
              </w:rPr>
            </w:pPr>
          </w:p>
        </w:tc>
        <w:tc>
          <w:tcPr>
            <w:tcW w:w="1978" w:type="dxa"/>
            <w:noWrap/>
            <w:vAlign w:val="bottom"/>
          </w:tcPr>
          <w:p w:rsidR="001929EA" w:rsidRDefault="001929EA" w:rsidP="001929EA">
            <w:pPr>
              <w:tabs>
                <w:tab w:val="decimal" w:pos="1592"/>
              </w:tabs>
              <w:rPr>
                <w:bCs/>
                <w:color w:val="000000"/>
              </w:rPr>
            </w:pPr>
          </w:p>
        </w:tc>
      </w:tr>
      <w:tr w:rsidR="001929EA" w:rsidTr="001929EA">
        <w:trPr>
          <w:trHeight w:val="315"/>
        </w:trPr>
        <w:tc>
          <w:tcPr>
            <w:tcW w:w="1070" w:type="dxa"/>
            <w:noWrap/>
            <w:vAlign w:val="bottom"/>
          </w:tcPr>
          <w:p w:rsidR="001929EA" w:rsidRDefault="001929EA" w:rsidP="001929EA">
            <w:pPr>
              <w:jc w:val="center"/>
              <w:rPr>
                <w:bCs/>
                <w:color w:val="000000"/>
              </w:rPr>
            </w:pPr>
          </w:p>
        </w:tc>
        <w:tc>
          <w:tcPr>
            <w:tcW w:w="4221" w:type="dxa"/>
            <w:noWrap/>
            <w:vAlign w:val="bottom"/>
          </w:tcPr>
          <w:p w:rsidR="001929EA" w:rsidRDefault="001929EA" w:rsidP="001929EA">
            <w:pPr>
              <w:rPr>
                <w:bCs/>
                <w:color w:val="000000"/>
              </w:rPr>
            </w:pPr>
          </w:p>
        </w:tc>
        <w:tc>
          <w:tcPr>
            <w:tcW w:w="1116" w:type="dxa"/>
            <w:noWrap/>
            <w:vAlign w:val="bottom"/>
          </w:tcPr>
          <w:p w:rsidR="001929EA" w:rsidRDefault="001929EA" w:rsidP="001929EA">
            <w:pPr>
              <w:tabs>
                <w:tab w:val="decimal" w:pos="750"/>
              </w:tabs>
              <w:jc w:val="right"/>
              <w:rPr>
                <w:bCs/>
                <w:color w:val="000000"/>
                <w:u w:val="single"/>
              </w:rPr>
            </w:pPr>
          </w:p>
        </w:tc>
        <w:tc>
          <w:tcPr>
            <w:tcW w:w="1978" w:type="dxa"/>
            <w:noWrap/>
            <w:vAlign w:val="bottom"/>
          </w:tcPr>
          <w:p w:rsidR="001929EA" w:rsidRDefault="001929EA" w:rsidP="001929EA">
            <w:pPr>
              <w:tabs>
                <w:tab w:val="decimal" w:pos="1592"/>
              </w:tabs>
              <w:rPr>
                <w:bCs/>
                <w:color w:val="000000"/>
                <w:u w:val="single"/>
              </w:rPr>
            </w:pPr>
          </w:p>
        </w:tc>
      </w:tr>
      <w:tr w:rsidR="001929EA" w:rsidTr="001929EA">
        <w:trPr>
          <w:trHeight w:val="315"/>
        </w:trPr>
        <w:tc>
          <w:tcPr>
            <w:tcW w:w="1070" w:type="dxa"/>
            <w:noWrap/>
            <w:vAlign w:val="bottom"/>
          </w:tcPr>
          <w:p w:rsidR="001929EA" w:rsidRDefault="001929EA" w:rsidP="001929EA">
            <w:pPr>
              <w:jc w:val="center"/>
              <w:rPr>
                <w:bCs/>
                <w:color w:val="000000"/>
              </w:rPr>
            </w:pPr>
          </w:p>
        </w:tc>
        <w:tc>
          <w:tcPr>
            <w:tcW w:w="4221" w:type="dxa"/>
            <w:noWrap/>
            <w:vAlign w:val="bottom"/>
          </w:tcPr>
          <w:p w:rsidR="001929EA" w:rsidRDefault="001929EA" w:rsidP="001929EA">
            <w:pPr>
              <w:rPr>
                <w:bCs/>
                <w:color w:val="000000"/>
              </w:rPr>
            </w:pPr>
          </w:p>
        </w:tc>
        <w:tc>
          <w:tcPr>
            <w:tcW w:w="1116" w:type="dxa"/>
            <w:noWrap/>
            <w:vAlign w:val="bottom"/>
          </w:tcPr>
          <w:p w:rsidR="001929EA" w:rsidRDefault="001929EA" w:rsidP="001929EA">
            <w:pPr>
              <w:tabs>
                <w:tab w:val="decimal" w:pos="750"/>
              </w:tabs>
              <w:jc w:val="right"/>
              <w:rPr>
                <w:bCs/>
                <w:color w:val="000000"/>
              </w:rPr>
            </w:pPr>
          </w:p>
        </w:tc>
        <w:tc>
          <w:tcPr>
            <w:tcW w:w="1978" w:type="dxa"/>
            <w:noWrap/>
            <w:vAlign w:val="bottom"/>
          </w:tcPr>
          <w:p w:rsidR="001929EA" w:rsidRDefault="001929EA" w:rsidP="001929EA">
            <w:pPr>
              <w:tabs>
                <w:tab w:val="decimal" w:pos="1592"/>
              </w:tabs>
              <w:rPr>
                <w:bCs/>
                <w:color w:val="000000"/>
              </w:rPr>
            </w:pPr>
          </w:p>
        </w:tc>
      </w:tr>
      <w:tr w:rsidR="001929EA" w:rsidTr="001929EA">
        <w:trPr>
          <w:trHeight w:val="315"/>
        </w:trPr>
        <w:tc>
          <w:tcPr>
            <w:tcW w:w="1070" w:type="dxa"/>
            <w:noWrap/>
            <w:vAlign w:val="bottom"/>
          </w:tcPr>
          <w:p w:rsidR="001929EA" w:rsidRDefault="001929EA" w:rsidP="001929EA">
            <w:pPr>
              <w:jc w:val="center"/>
              <w:rPr>
                <w:bCs/>
                <w:color w:val="000000"/>
              </w:rPr>
            </w:pPr>
          </w:p>
        </w:tc>
        <w:tc>
          <w:tcPr>
            <w:tcW w:w="4221" w:type="dxa"/>
            <w:noWrap/>
            <w:vAlign w:val="bottom"/>
          </w:tcPr>
          <w:p w:rsidR="001929EA" w:rsidRDefault="001929EA" w:rsidP="001929EA">
            <w:pPr>
              <w:rPr>
                <w:bCs/>
                <w:color w:val="000000"/>
              </w:rPr>
            </w:pPr>
          </w:p>
        </w:tc>
        <w:tc>
          <w:tcPr>
            <w:tcW w:w="1116" w:type="dxa"/>
            <w:noWrap/>
            <w:vAlign w:val="bottom"/>
          </w:tcPr>
          <w:p w:rsidR="001929EA" w:rsidRDefault="001929EA" w:rsidP="001929EA">
            <w:pPr>
              <w:tabs>
                <w:tab w:val="decimal" w:pos="750"/>
              </w:tabs>
              <w:jc w:val="right"/>
              <w:rPr>
                <w:bCs/>
                <w:color w:val="000000"/>
                <w:u w:val="double"/>
              </w:rPr>
            </w:pPr>
          </w:p>
        </w:tc>
        <w:tc>
          <w:tcPr>
            <w:tcW w:w="1978" w:type="dxa"/>
            <w:noWrap/>
            <w:vAlign w:val="bottom"/>
          </w:tcPr>
          <w:p w:rsidR="001929EA" w:rsidRDefault="001929EA" w:rsidP="001929EA">
            <w:pPr>
              <w:tabs>
                <w:tab w:val="decimal" w:pos="1592"/>
              </w:tabs>
              <w:rPr>
                <w:bCs/>
                <w:color w:val="000000"/>
                <w:u w:val="double"/>
              </w:rPr>
            </w:pPr>
          </w:p>
        </w:tc>
      </w:tr>
    </w:tbl>
    <w:p w:rsidR="00E06484" w:rsidRDefault="001929EA" w:rsidP="00E275D8">
      <w:pPr>
        <w:pStyle w:val="BodyText"/>
      </w:pPr>
      <w:r>
        <w:br w:type="textWrapping" w:clear="all"/>
      </w:r>
    </w:p>
    <w:sectPr w:rsidR="00E06484" w:rsidSect="0068481F">
      <w:headerReference w:type="default" r:id="rId2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C9B" w:rsidRDefault="00901C9B">
      <w:r>
        <w:separator/>
      </w:r>
    </w:p>
  </w:endnote>
  <w:endnote w:type="continuationSeparator" w:id="0">
    <w:p w:rsidR="00901C9B" w:rsidRDefault="0090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9B" w:rsidRDefault="00901C9B">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0173A">
      <w:rPr>
        <w:rStyle w:val="PageNumber"/>
        <w:noProof/>
      </w:rPr>
      <w:t>13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9B" w:rsidRDefault="00901C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9B" w:rsidRDefault="00901C9B">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0173A">
      <w:rPr>
        <w:rStyle w:val="PageNumber"/>
        <w:noProof/>
      </w:rPr>
      <w:t>17</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C9B" w:rsidRDefault="00901C9B">
      <w:r>
        <w:separator/>
      </w:r>
    </w:p>
  </w:footnote>
  <w:footnote w:type="continuationSeparator" w:id="0">
    <w:p w:rsidR="00901C9B" w:rsidRDefault="00901C9B">
      <w:r>
        <w:continuationSeparator/>
      </w:r>
    </w:p>
  </w:footnote>
  <w:footnote w:id="1">
    <w:p w:rsidR="00901C9B" w:rsidRPr="00D77F9A" w:rsidRDefault="00901C9B" w:rsidP="00CB3FD3">
      <w:pPr>
        <w:pStyle w:val="FootnoteText"/>
      </w:pPr>
      <w:r>
        <w:rPr>
          <w:rStyle w:val="FootnoteReference"/>
        </w:rPr>
        <w:footnoteRef/>
      </w:r>
      <w:r>
        <w:t xml:space="preserve">Order No. </w:t>
      </w:r>
      <w:r w:rsidRPr="00891222">
        <w:t>11868</w:t>
      </w:r>
      <w:r>
        <w:t xml:space="preserve">, issued April 21, 1983, in Docket No. 810369-WU, </w:t>
      </w:r>
      <w:r w:rsidRPr="00B42F17">
        <w:rPr>
          <w:i/>
        </w:rPr>
        <w:t>In re: Application of Bahia Oaks, Inc. d/b/a County-Wide Utility Company, Inc. for a certificate to operate a water utility in Marion County.</w:t>
      </w:r>
    </w:p>
  </w:footnote>
  <w:footnote w:id="2">
    <w:p w:rsidR="00901C9B" w:rsidRDefault="00901C9B" w:rsidP="00CB3FD3">
      <w:pPr>
        <w:pStyle w:val="FootnoteText"/>
      </w:pPr>
      <w:r>
        <w:rPr>
          <w:rStyle w:val="FootnoteReference"/>
        </w:rPr>
        <w:footnoteRef/>
      </w:r>
      <w:r>
        <w:t xml:space="preserve">Order No. </w:t>
      </w:r>
      <w:r w:rsidRPr="00EA527E">
        <w:t>PSC-97-0578-FOF-WU</w:t>
      </w:r>
      <w:r>
        <w:t xml:space="preserve">, issued May 20, 1997, in Docket No. 970085-WU, </w:t>
      </w:r>
      <w:r w:rsidRPr="00B42F17">
        <w:rPr>
          <w:i/>
        </w:rPr>
        <w:t>In re: Application for amendment of Certificate No. 390-W to extend service territory to include unit numbers 3, 4, and 5 of Bahia Oaks Subdivision in Marion County by Countywide Utility Company</w:t>
      </w:r>
      <w:r>
        <w:rPr>
          <w:i/>
        </w:rPr>
        <w:t>.</w:t>
      </w:r>
    </w:p>
  </w:footnote>
  <w:footnote w:id="3">
    <w:p w:rsidR="00901C9B" w:rsidRPr="00D77F9A" w:rsidRDefault="00901C9B" w:rsidP="00CB3FD3">
      <w:pPr>
        <w:pStyle w:val="FootnoteText"/>
      </w:pPr>
      <w:r>
        <w:rPr>
          <w:rStyle w:val="FootnoteReference"/>
        </w:rPr>
        <w:footnoteRef/>
      </w:r>
      <w:r>
        <w:t xml:space="preserve">Order No. </w:t>
      </w:r>
      <w:r w:rsidRPr="00B42F17">
        <w:t>PSC-07-0604-PAA-WU</w:t>
      </w:r>
      <w:r>
        <w:t xml:space="preserve">, issued </w:t>
      </w:r>
      <w:r w:rsidRPr="00B42F17">
        <w:t>July 30, 2007</w:t>
      </w:r>
      <w:r>
        <w:t xml:space="preserve">, in Docket No. 050862-WU, </w:t>
      </w:r>
      <w:r w:rsidRPr="00B42F17">
        <w:rPr>
          <w:i/>
        </w:rPr>
        <w:t>In re: Application for staff-assisted rate case in Marion County by County-Wide Utility Co., Inc.</w:t>
      </w:r>
    </w:p>
  </w:footnote>
  <w:footnote w:id="4">
    <w:p w:rsidR="00901C9B" w:rsidRDefault="00901C9B" w:rsidP="001929EA">
      <w:pPr>
        <w:pStyle w:val="FootnoteText"/>
      </w:pPr>
      <w:r>
        <w:rPr>
          <w:rStyle w:val="FootnoteReference"/>
        </w:rPr>
        <w:footnoteRef/>
      </w:r>
      <w:r>
        <w:t xml:space="preserve">Order No. PSC-07-0604-PAA-WU, issued July 30, 2007, in Docket No. 050862-WU, </w:t>
      </w:r>
      <w:r w:rsidRPr="00270C29">
        <w:rPr>
          <w:i/>
        </w:rPr>
        <w:t xml:space="preserve">In re: Application for staff-assisted rate case in </w:t>
      </w:r>
      <w:r>
        <w:rPr>
          <w:i/>
        </w:rPr>
        <w:t>Marion County by County-Wide Utility Co., Inc.</w:t>
      </w:r>
      <w:r w:rsidRPr="00270C29">
        <w:rPr>
          <w:i/>
        </w:rPr>
        <w:t xml:space="preserve"> </w:t>
      </w:r>
    </w:p>
  </w:footnote>
  <w:footnote w:id="5">
    <w:p w:rsidR="00901C9B" w:rsidRDefault="00901C9B" w:rsidP="001929EA">
      <w:pPr>
        <w:pStyle w:val="FootnoteText"/>
      </w:pPr>
      <w:r>
        <w:rPr>
          <w:rStyle w:val="FootnoteReference"/>
        </w:rPr>
        <w:footnoteRef/>
      </w:r>
      <w:r>
        <w:rPr>
          <w:rFonts w:cs="Calibri"/>
        </w:rPr>
        <w:t>Order No. PSC-07-0604-PAA-WU, issued July 30, 2007, in Docket No. 050862-WU</w:t>
      </w:r>
      <w:r w:rsidRPr="000241C5">
        <w:rPr>
          <w:rFonts w:cs="Calibri"/>
        </w:rPr>
        <w:t xml:space="preserve">, </w:t>
      </w:r>
      <w:r w:rsidRPr="000241C5">
        <w:rPr>
          <w:rFonts w:cs="Calibri"/>
          <w:i/>
        </w:rPr>
        <w:t xml:space="preserve">In re: </w:t>
      </w:r>
      <w:r w:rsidRPr="00FD3894">
        <w:rPr>
          <w:bCs/>
          <w:i/>
        </w:rPr>
        <w:t>Application for a staf</w:t>
      </w:r>
      <w:r>
        <w:rPr>
          <w:bCs/>
          <w:i/>
        </w:rPr>
        <w:t>f-assisted rate case in Marion County by County-Wide Utility Co., Inc</w:t>
      </w:r>
      <w:r w:rsidRPr="000241C5">
        <w:rPr>
          <w:rFonts w:cs="Calibri"/>
          <w:i/>
        </w:rPr>
        <w:t>.</w:t>
      </w:r>
    </w:p>
  </w:footnote>
  <w:footnote w:id="6">
    <w:p w:rsidR="00901C9B" w:rsidRDefault="00901C9B">
      <w:pPr>
        <w:pStyle w:val="FootnoteText"/>
      </w:pPr>
      <w:r>
        <w:rPr>
          <w:rStyle w:val="FootnoteReference"/>
        </w:rPr>
        <w:footnoteRef/>
      </w:r>
      <w:r>
        <w:t xml:space="preserve">Document No. 10900-05, filed on November 10, 2005, in Docket No. </w:t>
      </w:r>
      <w:r>
        <w:rPr>
          <w:rFonts w:cs="Calibri"/>
        </w:rPr>
        <w:t>050862-WU</w:t>
      </w:r>
      <w:r w:rsidRPr="000241C5">
        <w:rPr>
          <w:rFonts w:cs="Calibri"/>
        </w:rPr>
        <w:t xml:space="preserve">, </w:t>
      </w:r>
      <w:r w:rsidRPr="000241C5">
        <w:rPr>
          <w:rFonts w:cs="Calibri"/>
          <w:i/>
        </w:rPr>
        <w:t xml:space="preserve">In re: </w:t>
      </w:r>
      <w:r w:rsidRPr="00FD3894">
        <w:rPr>
          <w:bCs/>
          <w:i/>
        </w:rPr>
        <w:t>Application for a staf</w:t>
      </w:r>
      <w:r>
        <w:rPr>
          <w:bCs/>
          <w:i/>
        </w:rPr>
        <w:t>f-assisted rate case in Marion County by County-Wide Utility Co., Inc</w:t>
      </w:r>
      <w:r w:rsidRPr="000241C5">
        <w:rPr>
          <w:rFonts w:cs="Calibri"/>
          <w:i/>
        </w:rPr>
        <w:t>.</w:t>
      </w:r>
    </w:p>
  </w:footnote>
  <w:footnote w:id="7">
    <w:p w:rsidR="00901C9B" w:rsidRDefault="00901C9B">
      <w:pPr>
        <w:pStyle w:val="FootnoteText"/>
      </w:pPr>
      <w:r>
        <w:rPr>
          <w:rStyle w:val="FootnoteReference"/>
        </w:rPr>
        <w:footnoteRef/>
      </w:r>
      <w:r>
        <w:rPr>
          <w:rFonts w:cs="Calibri"/>
        </w:rPr>
        <w:t>Order No. PSC-07-0604-PAA-WU, issued July 30, 2007, in Docket No. 050862-WU</w:t>
      </w:r>
      <w:r w:rsidRPr="000241C5">
        <w:rPr>
          <w:rFonts w:cs="Calibri"/>
        </w:rPr>
        <w:t xml:space="preserve">, </w:t>
      </w:r>
      <w:r w:rsidRPr="000241C5">
        <w:rPr>
          <w:rFonts w:cs="Calibri"/>
          <w:i/>
        </w:rPr>
        <w:t xml:space="preserve">In re: </w:t>
      </w:r>
      <w:r w:rsidRPr="00FD3894">
        <w:rPr>
          <w:bCs/>
          <w:i/>
        </w:rPr>
        <w:t>Application for a staf</w:t>
      </w:r>
      <w:r>
        <w:rPr>
          <w:bCs/>
          <w:i/>
        </w:rPr>
        <w:t>f-assisted rate case in Marion County by County-Wide Utility Co., Inc</w:t>
      </w:r>
      <w:r w:rsidRPr="000241C5">
        <w:rPr>
          <w:rFonts w:cs="Calibri"/>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9B" w:rsidRDefault="00901C9B" w:rsidP="00220732">
    <w:pPr>
      <w:pStyle w:val="Header"/>
      <w:tabs>
        <w:tab w:val="clear" w:pos="4320"/>
        <w:tab w:val="clear" w:pos="8640"/>
        <w:tab w:val="right" w:pos="9360"/>
      </w:tabs>
    </w:pPr>
    <w:bookmarkStart w:id="11" w:name="DocketLabel"/>
    <w:r>
      <w:t>Docket No.</w:t>
    </w:r>
    <w:bookmarkEnd w:id="11"/>
    <w:r>
      <w:t xml:space="preserve"> </w:t>
    </w:r>
    <w:bookmarkStart w:id="12" w:name="DocketList"/>
    <w:r>
      <w:t>150012-WU</w:t>
    </w:r>
    <w:bookmarkEnd w:id="12"/>
  </w:p>
  <w:p w:rsidR="00901C9B" w:rsidRDefault="00901C9B">
    <w:pPr>
      <w:pStyle w:val="Header"/>
    </w:pPr>
    <w:r>
      <w:t>Date: September 29, 2016</w:t>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9B" w:rsidRDefault="00901C9B" w:rsidP="005D4C03">
    <w:pPr>
      <w:pStyle w:val="Header"/>
      <w:tabs>
        <w:tab w:val="clear" w:pos="4320"/>
        <w:tab w:val="clear" w:pos="8640"/>
        <w:tab w:val="left" w:pos="7050"/>
        <w:tab w:val="left" w:pos="7170"/>
        <w:tab w:val="left" w:pos="7500"/>
        <w:tab w:val="right" w:pos="10800"/>
      </w:tabs>
    </w:pPr>
    <w:r>
      <w:fldChar w:fldCharType="begin"/>
    </w:r>
    <w:r>
      <w:instrText xml:space="preserve"> REF DocketLabel</w:instrText>
    </w:r>
    <w:r>
      <w:fldChar w:fldCharType="separate"/>
    </w:r>
    <w:r w:rsidR="00EE60A2">
      <w:t>Docket No.</w:t>
    </w:r>
    <w:r>
      <w:fldChar w:fldCharType="end"/>
    </w:r>
    <w:r>
      <w:t xml:space="preserve"> </w:t>
    </w:r>
    <w:r>
      <w:fldChar w:fldCharType="begin"/>
    </w:r>
    <w:r>
      <w:instrText xml:space="preserve"> REF DocketList</w:instrText>
    </w:r>
    <w:r>
      <w:fldChar w:fldCharType="separate"/>
    </w:r>
    <w:r w:rsidR="00EE60A2">
      <w:t>150012-WU</w:t>
    </w:r>
    <w:r>
      <w:fldChar w:fldCharType="end"/>
    </w:r>
    <w:r w:rsidR="004B5EA6">
      <w:tab/>
      <w:t xml:space="preserve"> S</w:t>
    </w:r>
    <w:r>
      <w:t>chedule No. 2</w:t>
    </w:r>
  </w:p>
  <w:p w:rsidR="00901C9B" w:rsidRDefault="00901C9B" w:rsidP="00901C9B">
    <w:pPr>
      <w:pStyle w:val="Header"/>
      <w:tabs>
        <w:tab w:val="right" w:pos="9360"/>
      </w:tabs>
    </w:pPr>
    <w:r>
      <w:t>Date: September 29, 2016</w:t>
    </w:r>
    <w:r>
      <w:tab/>
    </w:r>
    <w:r>
      <w:tab/>
      <w:t xml:space="preserve">          </w:t>
    </w:r>
    <w:r w:rsidR="004B5EA6">
      <w:t xml:space="preserve">   </w:t>
    </w:r>
    <w:r>
      <w:t xml:space="preserve">  </w:t>
    </w:r>
    <w:r w:rsidR="004B5EA6">
      <w:t xml:space="preserve">  </w:t>
    </w:r>
    <w:r>
      <w:t>2 of 3</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9B" w:rsidRDefault="00901C9B" w:rsidP="00E76CE8">
    <w:pPr>
      <w:pStyle w:val="Header"/>
      <w:tabs>
        <w:tab w:val="clear" w:pos="4320"/>
        <w:tab w:val="clear" w:pos="8640"/>
        <w:tab w:val="left" w:pos="6840"/>
        <w:tab w:val="left" w:pos="7215"/>
        <w:tab w:val="right" w:pos="9360"/>
      </w:tabs>
    </w:pPr>
    <w:r>
      <w:fldChar w:fldCharType="begin"/>
    </w:r>
    <w:r>
      <w:instrText xml:space="preserve"> REF DocketLabel</w:instrText>
    </w:r>
    <w:r>
      <w:fldChar w:fldCharType="separate"/>
    </w:r>
    <w:r w:rsidR="00EE60A2">
      <w:t>Docket No.</w:t>
    </w:r>
    <w:r>
      <w:fldChar w:fldCharType="end"/>
    </w:r>
    <w:r>
      <w:t xml:space="preserve"> </w:t>
    </w:r>
    <w:r>
      <w:fldChar w:fldCharType="begin"/>
    </w:r>
    <w:r>
      <w:instrText xml:space="preserve"> REF DocketList</w:instrText>
    </w:r>
    <w:r>
      <w:fldChar w:fldCharType="separate"/>
    </w:r>
    <w:r w:rsidR="00EE60A2">
      <w:t>150012-WU</w:t>
    </w:r>
    <w:r>
      <w:fldChar w:fldCharType="end"/>
    </w:r>
    <w:r>
      <w:t xml:space="preserve">   </w:t>
    </w:r>
    <w:r>
      <w:tab/>
      <w:t xml:space="preserve">     Schedule No. 2</w:t>
    </w:r>
  </w:p>
  <w:p w:rsidR="00901C9B" w:rsidRDefault="00901C9B">
    <w:pPr>
      <w:pStyle w:val="Header"/>
    </w:pPr>
    <w:r>
      <w:t>Date:</w:t>
    </w:r>
    <w:r w:rsidRPr="00506393">
      <w:t xml:space="preserve"> </w:t>
    </w:r>
    <w:r>
      <w:t>September 29, 2016</w:t>
    </w:r>
    <w:r>
      <w:tab/>
    </w:r>
    <w:r>
      <w:tab/>
      <w:t>3 of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9B" w:rsidRDefault="00901C9B">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9B" w:rsidRDefault="00901C9B" w:rsidP="00220732">
    <w:pPr>
      <w:pStyle w:val="Header"/>
      <w:tabs>
        <w:tab w:val="clear" w:pos="4320"/>
        <w:tab w:val="clear" w:pos="8640"/>
        <w:tab w:val="right" w:pos="9360"/>
      </w:tabs>
    </w:pPr>
    <w:r>
      <w:fldChar w:fldCharType="begin"/>
    </w:r>
    <w:r>
      <w:instrText xml:space="preserve"> REF DocketLabel</w:instrText>
    </w:r>
    <w:r>
      <w:fldChar w:fldCharType="separate"/>
    </w:r>
    <w:r w:rsidR="00EE60A2">
      <w:t>Docket No.</w:t>
    </w:r>
    <w:r>
      <w:fldChar w:fldCharType="end"/>
    </w:r>
    <w:r>
      <w:t xml:space="preserve"> </w:t>
    </w:r>
    <w:r>
      <w:fldChar w:fldCharType="begin"/>
    </w:r>
    <w:r>
      <w:instrText xml:space="preserve"> REF DocketList</w:instrText>
    </w:r>
    <w:r>
      <w:fldChar w:fldCharType="separate"/>
    </w:r>
    <w:r w:rsidR="00EE60A2">
      <w:t>150012-WU</w:t>
    </w:r>
    <w:r>
      <w:fldChar w:fldCharType="end"/>
    </w:r>
    <w:r>
      <w:tab/>
      <w:t xml:space="preserve">Issue </w:t>
    </w:r>
    <w:fldSimple w:instr=" Seq Issue \c \* Arabic ">
      <w:r w:rsidR="00E0173A">
        <w:rPr>
          <w:noProof/>
        </w:rPr>
        <w:t>4</w:t>
      </w:r>
    </w:fldSimple>
  </w:p>
  <w:p w:rsidR="00901C9B" w:rsidRDefault="00901C9B">
    <w:pPr>
      <w:pStyle w:val="Header"/>
    </w:pPr>
    <w:r>
      <w:t>Date: September 29, 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9B" w:rsidRDefault="00901C9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9B" w:rsidRDefault="00901C9B" w:rsidP="00E76CE8">
    <w:pPr>
      <w:pStyle w:val="Header"/>
      <w:tabs>
        <w:tab w:val="clear" w:pos="4320"/>
        <w:tab w:val="clear" w:pos="8640"/>
        <w:tab w:val="left" w:pos="7095"/>
        <w:tab w:val="right" w:pos="9360"/>
      </w:tabs>
    </w:pPr>
    <w:r>
      <w:fldChar w:fldCharType="begin"/>
    </w:r>
    <w:r>
      <w:instrText xml:space="preserve"> REF DocketLabel</w:instrText>
    </w:r>
    <w:r>
      <w:fldChar w:fldCharType="separate"/>
    </w:r>
    <w:r w:rsidR="00EE60A2">
      <w:t>Docket No.</w:t>
    </w:r>
    <w:r>
      <w:fldChar w:fldCharType="end"/>
    </w:r>
    <w:r>
      <w:t xml:space="preserve"> </w:t>
    </w:r>
    <w:r>
      <w:fldChar w:fldCharType="begin"/>
    </w:r>
    <w:r>
      <w:instrText xml:space="preserve"> REF DocketList</w:instrText>
    </w:r>
    <w:r>
      <w:fldChar w:fldCharType="separate"/>
    </w:r>
    <w:r w:rsidR="00EE60A2">
      <w:t>150012-WU</w:t>
    </w:r>
    <w:r>
      <w:fldChar w:fldCharType="end"/>
    </w:r>
    <w:r>
      <w:t xml:space="preserve"> </w:t>
    </w:r>
    <w:r>
      <w:tab/>
      <w:t xml:space="preserve">   Attachment A</w:t>
    </w:r>
    <w:r>
      <w:tab/>
    </w:r>
  </w:p>
  <w:p w:rsidR="00901C9B" w:rsidRDefault="00901C9B" w:rsidP="008C1C49">
    <w:pPr>
      <w:pStyle w:val="Header"/>
      <w:tabs>
        <w:tab w:val="right" w:pos="9360"/>
      </w:tabs>
    </w:pPr>
    <w:r>
      <w:t>Date: September 29, 2016</w:t>
    </w:r>
    <w:r>
      <w:tab/>
      <w:t xml:space="preserve">                                                                                            1 of 2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9B" w:rsidRDefault="00901C9B" w:rsidP="00E76CE8">
    <w:pPr>
      <w:pStyle w:val="Header"/>
      <w:tabs>
        <w:tab w:val="clear" w:pos="4320"/>
        <w:tab w:val="clear" w:pos="8640"/>
        <w:tab w:val="left" w:pos="7095"/>
        <w:tab w:val="right" w:pos="9360"/>
      </w:tabs>
    </w:pPr>
    <w:r>
      <w:fldChar w:fldCharType="begin"/>
    </w:r>
    <w:r>
      <w:instrText xml:space="preserve"> REF DocketLabel</w:instrText>
    </w:r>
    <w:r>
      <w:fldChar w:fldCharType="separate"/>
    </w:r>
    <w:r w:rsidR="00EE60A2">
      <w:t>Docket No.</w:t>
    </w:r>
    <w:r>
      <w:fldChar w:fldCharType="end"/>
    </w:r>
    <w:r>
      <w:t xml:space="preserve"> </w:t>
    </w:r>
    <w:r>
      <w:fldChar w:fldCharType="begin"/>
    </w:r>
    <w:r>
      <w:instrText xml:space="preserve"> REF DocketList</w:instrText>
    </w:r>
    <w:r>
      <w:fldChar w:fldCharType="separate"/>
    </w:r>
    <w:r w:rsidR="00EE60A2">
      <w:t>150012-WU</w:t>
    </w:r>
    <w:r>
      <w:fldChar w:fldCharType="end"/>
    </w:r>
    <w:r>
      <w:t xml:space="preserve"> </w:t>
    </w:r>
    <w:r>
      <w:tab/>
      <w:t xml:space="preserve">   Attachment A</w:t>
    </w:r>
    <w:r>
      <w:tab/>
    </w:r>
  </w:p>
  <w:p w:rsidR="00901C9B" w:rsidRDefault="00901C9B" w:rsidP="008C1C49">
    <w:pPr>
      <w:pStyle w:val="Header"/>
      <w:tabs>
        <w:tab w:val="right" w:pos="9360"/>
      </w:tabs>
    </w:pPr>
    <w:r>
      <w:t>Date: September 29, 2016</w:t>
    </w:r>
    <w:r>
      <w:tab/>
    </w:r>
    <w:r>
      <w:tab/>
      <w:t xml:space="preserve">                        2 of 2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9B" w:rsidRDefault="00901C9B" w:rsidP="00E76CE8">
    <w:pPr>
      <w:pStyle w:val="Header"/>
      <w:tabs>
        <w:tab w:val="clear" w:pos="4320"/>
        <w:tab w:val="clear" w:pos="8640"/>
        <w:tab w:val="left" w:pos="7185"/>
        <w:tab w:val="left" w:pos="7410"/>
        <w:tab w:val="right" w:pos="9360"/>
      </w:tabs>
    </w:pPr>
    <w:r>
      <w:fldChar w:fldCharType="begin"/>
    </w:r>
    <w:r>
      <w:instrText xml:space="preserve"> REF DocketLabel</w:instrText>
    </w:r>
    <w:r>
      <w:fldChar w:fldCharType="separate"/>
    </w:r>
    <w:r w:rsidR="00EE60A2">
      <w:t>Docket No.</w:t>
    </w:r>
    <w:r>
      <w:fldChar w:fldCharType="end"/>
    </w:r>
    <w:r>
      <w:t xml:space="preserve"> </w:t>
    </w:r>
    <w:r>
      <w:fldChar w:fldCharType="begin"/>
    </w:r>
    <w:r>
      <w:instrText xml:space="preserve"> REF DocketList</w:instrText>
    </w:r>
    <w:r>
      <w:fldChar w:fldCharType="separate"/>
    </w:r>
    <w:r w:rsidR="00EE60A2">
      <w:t>150012-WU</w:t>
    </w:r>
    <w:r>
      <w:fldChar w:fldCharType="end"/>
    </w:r>
    <w:r>
      <w:tab/>
      <w:t>Schedule No. 1</w:t>
    </w:r>
  </w:p>
  <w:p w:rsidR="00901C9B" w:rsidRDefault="00901C9B" w:rsidP="002D0346">
    <w:pPr>
      <w:pStyle w:val="Header"/>
      <w:tabs>
        <w:tab w:val="right" w:pos="9360"/>
      </w:tabs>
    </w:pPr>
    <w:r>
      <w:t>Date: September 29, 2016</w:t>
    </w:r>
    <w:r>
      <w:tab/>
    </w:r>
    <w:r>
      <w:tab/>
      <w:t xml:space="preserve">                    1 of 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9B" w:rsidRDefault="00901C9B" w:rsidP="00E76CE8">
    <w:pPr>
      <w:pStyle w:val="Header"/>
      <w:tabs>
        <w:tab w:val="clear" w:pos="4320"/>
        <w:tab w:val="clear" w:pos="8640"/>
        <w:tab w:val="left" w:pos="7740"/>
        <w:tab w:val="right" w:pos="9360"/>
      </w:tabs>
    </w:pPr>
    <w:r>
      <w:fldChar w:fldCharType="begin"/>
    </w:r>
    <w:r>
      <w:instrText xml:space="preserve"> REF DocketLabel</w:instrText>
    </w:r>
    <w:r>
      <w:fldChar w:fldCharType="separate"/>
    </w:r>
    <w:r w:rsidR="00EE60A2">
      <w:t>Docket No.</w:t>
    </w:r>
    <w:r>
      <w:fldChar w:fldCharType="end"/>
    </w:r>
    <w:r>
      <w:t xml:space="preserve"> </w:t>
    </w:r>
    <w:r>
      <w:fldChar w:fldCharType="begin"/>
    </w:r>
    <w:r>
      <w:instrText xml:space="preserve"> REF DocketList</w:instrText>
    </w:r>
    <w:r>
      <w:fldChar w:fldCharType="separate"/>
    </w:r>
    <w:r w:rsidR="00EE60A2">
      <w:t>150012-WU</w:t>
    </w:r>
    <w:r>
      <w:fldChar w:fldCharType="end"/>
    </w:r>
    <w:r>
      <w:tab/>
      <w:t>Schedule No. 1</w:t>
    </w:r>
  </w:p>
  <w:p w:rsidR="00901C9B" w:rsidRDefault="00901C9B" w:rsidP="00E76CE8">
    <w:pPr>
      <w:pStyle w:val="Header"/>
      <w:tabs>
        <w:tab w:val="left" w:pos="7860"/>
      </w:tabs>
    </w:pPr>
    <w:r>
      <w:t>Date:</w:t>
    </w:r>
    <w:r w:rsidRPr="00506393">
      <w:t xml:space="preserve"> </w:t>
    </w:r>
    <w:r>
      <w:t>September 29, 2016</w:t>
    </w:r>
    <w:r>
      <w:tab/>
    </w:r>
    <w:r>
      <w:tab/>
    </w:r>
    <w:r>
      <w:tab/>
      <w:t xml:space="preserve">             2 of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9B" w:rsidRDefault="00901C9B" w:rsidP="004B5EA6">
    <w:pPr>
      <w:pStyle w:val="Header"/>
      <w:tabs>
        <w:tab w:val="clear" w:pos="4320"/>
        <w:tab w:val="clear" w:pos="8640"/>
        <w:tab w:val="left" w:pos="6990"/>
        <w:tab w:val="left" w:pos="7245"/>
        <w:tab w:val="left" w:pos="7455"/>
        <w:tab w:val="left" w:pos="7575"/>
        <w:tab w:val="right" w:pos="9360"/>
      </w:tabs>
    </w:pPr>
    <w:r>
      <w:fldChar w:fldCharType="begin"/>
    </w:r>
    <w:r>
      <w:instrText xml:space="preserve"> REF DocketLabel</w:instrText>
    </w:r>
    <w:r>
      <w:fldChar w:fldCharType="separate"/>
    </w:r>
    <w:r w:rsidR="00EE60A2">
      <w:t>Docket No.</w:t>
    </w:r>
    <w:r>
      <w:fldChar w:fldCharType="end"/>
    </w:r>
    <w:r>
      <w:t xml:space="preserve"> </w:t>
    </w:r>
    <w:r>
      <w:fldChar w:fldCharType="begin"/>
    </w:r>
    <w:r>
      <w:instrText xml:space="preserve"> REF DocketList</w:instrText>
    </w:r>
    <w:r>
      <w:fldChar w:fldCharType="separate"/>
    </w:r>
    <w:r w:rsidR="00EE60A2">
      <w:t>150012-WU</w:t>
    </w:r>
    <w:r>
      <w:fldChar w:fldCharType="end"/>
    </w:r>
    <w:r w:rsidR="004B5EA6">
      <w:t xml:space="preserve"> </w:t>
    </w:r>
    <w:r w:rsidR="004B5EA6">
      <w:tab/>
      <w:t xml:space="preserve">   </w:t>
    </w:r>
    <w:r>
      <w:t>Schedule No. 2</w:t>
    </w:r>
  </w:p>
  <w:p w:rsidR="00901C9B" w:rsidRDefault="00901C9B">
    <w:pPr>
      <w:pStyle w:val="Header"/>
    </w:pPr>
    <w:r>
      <w:t>Date: September 29, 2016</w:t>
    </w:r>
    <w:r>
      <w:tab/>
    </w:r>
    <w:r>
      <w:tab/>
      <w:t xml:space="preserve"> </w:t>
    </w:r>
    <w:r w:rsidR="004B5EA6">
      <w:t xml:space="preserve">   </w:t>
    </w:r>
    <w:r>
      <w:t xml:space="preserve"> 1 of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4D80E7F"/>
    <w:multiLevelType w:val="hybridMultilevel"/>
    <w:tmpl w:val="C1B2747C"/>
    <w:lvl w:ilvl="0" w:tplc="932ED9D8">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D7D228F"/>
    <w:multiLevelType w:val="hybridMultilevel"/>
    <w:tmpl w:val="FCC22FC2"/>
    <w:lvl w:ilvl="0" w:tplc="C0C4ADE2">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F0C1956"/>
    <w:multiLevelType w:val="hybridMultilevel"/>
    <w:tmpl w:val="B3241B22"/>
    <w:lvl w:ilvl="0" w:tplc="C0C4ADE2">
      <w:start w:val="1"/>
      <w:numFmt w:val="upperRoman"/>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nsid w:val="668F4E3A"/>
    <w:multiLevelType w:val="hybridMultilevel"/>
    <w:tmpl w:val="C1B2747C"/>
    <w:lvl w:ilvl="0" w:tplc="932ED9D8">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555D8"/>
    <w:rsid w:val="00003BB1"/>
    <w:rsid w:val="00010E37"/>
    <w:rsid w:val="000247C5"/>
    <w:rsid w:val="000277C2"/>
    <w:rsid w:val="00035B48"/>
    <w:rsid w:val="00036CE2"/>
    <w:rsid w:val="000437FE"/>
    <w:rsid w:val="000513BE"/>
    <w:rsid w:val="00052A85"/>
    <w:rsid w:val="00065A06"/>
    <w:rsid w:val="000666F3"/>
    <w:rsid w:val="00070DCB"/>
    <w:rsid w:val="00073120"/>
    <w:rsid w:val="000764D0"/>
    <w:rsid w:val="000828D3"/>
    <w:rsid w:val="00090C09"/>
    <w:rsid w:val="000A2B57"/>
    <w:rsid w:val="000A418B"/>
    <w:rsid w:val="000C3042"/>
    <w:rsid w:val="000C4431"/>
    <w:rsid w:val="000C6C3F"/>
    <w:rsid w:val="000D4319"/>
    <w:rsid w:val="000E02CA"/>
    <w:rsid w:val="000E5959"/>
    <w:rsid w:val="000F374A"/>
    <w:rsid w:val="00104234"/>
    <w:rsid w:val="00117C8C"/>
    <w:rsid w:val="00124E2E"/>
    <w:rsid w:val="00125ED4"/>
    <w:rsid w:val="001305E9"/>
    <w:rsid w:val="001307AF"/>
    <w:rsid w:val="00135687"/>
    <w:rsid w:val="0015506E"/>
    <w:rsid w:val="00163031"/>
    <w:rsid w:val="0016582C"/>
    <w:rsid w:val="00171A90"/>
    <w:rsid w:val="00180254"/>
    <w:rsid w:val="00191E1F"/>
    <w:rsid w:val="00192943"/>
    <w:rsid w:val="001929EA"/>
    <w:rsid w:val="00193192"/>
    <w:rsid w:val="001A7406"/>
    <w:rsid w:val="001B4FEE"/>
    <w:rsid w:val="001B51C5"/>
    <w:rsid w:val="001B6F3F"/>
    <w:rsid w:val="001C52B5"/>
    <w:rsid w:val="001D0D3E"/>
    <w:rsid w:val="001F2245"/>
    <w:rsid w:val="001F6DA1"/>
    <w:rsid w:val="002044E6"/>
    <w:rsid w:val="00205C82"/>
    <w:rsid w:val="00205DC2"/>
    <w:rsid w:val="00212B17"/>
    <w:rsid w:val="002163B6"/>
    <w:rsid w:val="00220732"/>
    <w:rsid w:val="00221D32"/>
    <w:rsid w:val="00225C3F"/>
    <w:rsid w:val="00233896"/>
    <w:rsid w:val="00243F25"/>
    <w:rsid w:val="002555D8"/>
    <w:rsid w:val="00263D44"/>
    <w:rsid w:val="002702AD"/>
    <w:rsid w:val="00277C07"/>
    <w:rsid w:val="00292D82"/>
    <w:rsid w:val="002963CB"/>
    <w:rsid w:val="002D0346"/>
    <w:rsid w:val="002D226D"/>
    <w:rsid w:val="002F6030"/>
    <w:rsid w:val="003037E1"/>
    <w:rsid w:val="00307E51"/>
    <w:rsid w:val="003103EC"/>
    <w:rsid w:val="003144EF"/>
    <w:rsid w:val="00322F74"/>
    <w:rsid w:val="00340073"/>
    <w:rsid w:val="00364C30"/>
    <w:rsid w:val="00372805"/>
    <w:rsid w:val="00373180"/>
    <w:rsid w:val="00375AB9"/>
    <w:rsid w:val="003821A0"/>
    <w:rsid w:val="00385B04"/>
    <w:rsid w:val="003864CF"/>
    <w:rsid w:val="003A22A6"/>
    <w:rsid w:val="003A5494"/>
    <w:rsid w:val="003B2510"/>
    <w:rsid w:val="003C2CC4"/>
    <w:rsid w:val="003E0EFC"/>
    <w:rsid w:val="003E4A2B"/>
    <w:rsid w:val="003E76C2"/>
    <w:rsid w:val="003F1679"/>
    <w:rsid w:val="003F4A35"/>
    <w:rsid w:val="003F7FDD"/>
    <w:rsid w:val="00402481"/>
    <w:rsid w:val="004042B4"/>
    <w:rsid w:val="0040510E"/>
    <w:rsid w:val="00412DAE"/>
    <w:rsid w:val="00431598"/>
    <w:rsid w:val="004367D3"/>
    <w:rsid w:val="004426B8"/>
    <w:rsid w:val="00444432"/>
    <w:rsid w:val="00461A57"/>
    <w:rsid w:val="00471860"/>
    <w:rsid w:val="00484F69"/>
    <w:rsid w:val="004B5EA6"/>
    <w:rsid w:val="004B60BD"/>
    <w:rsid w:val="004C3150"/>
    <w:rsid w:val="004C3641"/>
    <w:rsid w:val="004C4390"/>
    <w:rsid w:val="004C4AF7"/>
    <w:rsid w:val="004D2881"/>
    <w:rsid w:val="004D385F"/>
    <w:rsid w:val="004D5B39"/>
    <w:rsid w:val="004E330D"/>
    <w:rsid w:val="004E5147"/>
    <w:rsid w:val="00506393"/>
    <w:rsid w:val="0050652D"/>
    <w:rsid w:val="0050686B"/>
    <w:rsid w:val="00506C03"/>
    <w:rsid w:val="00516496"/>
    <w:rsid w:val="0052572A"/>
    <w:rsid w:val="00543CB3"/>
    <w:rsid w:val="00552A6B"/>
    <w:rsid w:val="00554692"/>
    <w:rsid w:val="00560FF0"/>
    <w:rsid w:val="005614BD"/>
    <w:rsid w:val="0057154F"/>
    <w:rsid w:val="00581CA3"/>
    <w:rsid w:val="00587A44"/>
    <w:rsid w:val="00597730"/>
    <w:rsid w:val="005977EC"/>
    <w:rsid w:val="00597DE7"/>
    <w:rsid w:val="005A0D00"/>
    <w:rsid w:val="005A4AA2"/>
    <w:rsid w:val="005B34B6"/>
    <w:rsid w:val="005B6C8F"/>
    <w:rsid w:val="005D0F74"/>
    <w:rsid w:val="005D2E7D"/>
    <w:rsid w:val="005D4A8F"/>
    <w:rsid w:val="005D4C03"/>
    <w:rsid w:val="005D561B"/>
    <w:rsid w:val="005F0E5E"/>
    <w:rsid w:val="005F468D"/>
    <w:rsid w:val="005F69A3"/>
    <w:rsid w:val="00605E85"/>
    <w:rsid w:val="00606BBF"/>
    <w:rsid w:val="00615423"/>
    <w:rsid w:val="006165B2"/>
    <w:rsid w:val="00617276"/>
    <w:rsid w:val="00625D97"/>
    <w:rsid w:val="00625F1C"/>
    <w:rsid w:val="00630CEB"/>
    <w:rsid w:val="00632264"/>
    <w:rsid w:val="006470BC"/>
    <w:rsid w:val="00667036"/>
    <w:rsid w:val="00673BDB"/>
    <w:rsid w:val="006771B8"/>
    <w:rsid w:val="006843B6"/>
    <w:rsid w:val="0068481F"/>
    <w:rsid w:val="00696F5D"/>
    <w:rsid w:val="00697249"/>
    <w:rsid w:val="00697472"/>
    <w:rsid w:val="006A2F3B"/>
    <w:rsid w:val="006A3851"/>
    <w:rsid w:val="006B3947"/>
    <w:rsid w:val="006B4293"/>
    <w:rsid w:val="006B624F"/>
    <w:rsid w:val="006C31E3"/>
    <w:rsid w:val="006C3F45"/>
    <w:rsid w:val="006C69F7"/>
    <w:rsid w:val="006D18D3"/>
    <w:rsid w:val="006E08CB"/>
    <w:rsid w:val="006E598D"/>
    <w:rsid w:val="006F488B"/>
    <w:rsid w:val="006F686B"/>
    <w:rsid w:val="0070437D"/>
    <w:rsid w:val="00705B04"/>
    <w:rsid w:val="0071367C"/>
    <w:rsid w:val="00734820"/>
    <w:rsid w:val="007349DC"/>
    <w:rsid w:val="0074365E"/>
    <w:rsid w:val="007515FD"/>
    <w:rsid w:val="00760D80"/>
    <w:rsid w:val="00780C09"/>
    <w:rsid w:val="00780DDF"/>
    <w:rsid w:val="007834E9"/>
    <w:rsid w:val="00784B8E"/>
    <w:rsid w:val="00787DBC"/>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B62AE"/>
    <w:rsid w:val="008C04B5"/>
    <w:rsid w:val="008C14FA"/>
    <w:rsid w:val="008C1C49"/>
    <w:rsid w:val="008D2F3A"/>
    <w:rsid w:val="008D4057"/>
    <w:rsid w:val="008E1F19"/>
    <w:rsid w:val="008F2262"/>
    <w:rsid w:val="008F7736"/>
    <w:rsid w:val="0090019E"/>
    <w:rsid w:val="00901086"/>
    <w:rsid w:val="00901C8A"/>
    <w:rsid w:val="00901C9B"/>
    <w:rsid w:val="00905886"/>
    <w:rsid w:val="009070D6"/>
    <w:rsid w:val="009076C6"/>
    <w:rsid w:val="0091019E"/>
    <w:rsid w:val="009106F1"/>
    <w:rsid w:val="009145D6"/>
    <w:rsid w:val="00920E64"/>
    <w:rsid w:val="00922002"/>
    <w:rsid w:val="00924020"/>
    <w:rsid w:val="009271A7"/>
    <w:rsid w:val="0093658B"/>
    <w:rsid w:val="00937102"/>
    <w:rsid w:val="009429FF"/>
    <w:rsid w:val="00945BD6"/>
    <w:rsid w:val="009479FB"/>
    <w:rsid w:val="00951C45"/>
    <w:rsid w:val="009656F2"/>
    <w:rsid w:val="00966A08"/>
    <w:rsid w:val="00971207"/>
    <w:rsid w:val="00975CB4"/>
    <w:rsid w:val="009863B0"/>
    <w:rsid w:val="00987DE1"/>
    <w:rsid w:val="00990571"/>
    <w:rsid w:val="0099673A"/>
    <w:rsid w:val="009A3330"/>
    <w:rsid w:val="009A6E1F"/>
    <w:rsid w:val="009A7C96"/>
    <w:rsid w:val="009B5083"/>
    <w:rsid w:val="009C3DB9"/>
    <w:rsid w:val="009D46E5"/>
    <w:rsid w:val="009D568A"/>
    <w:rsid w:val="009F04EC"/>
    <w:rsid w:val="009F3B36"/>
    <w:rsid w:val="00A019B9"/>
    <w:rsid w:val="00A12508"/>
    <w:rsid w:val="00A1282B"/>
    <w:rsid w:val="00A13A27"/>
    <w:rsid w:val="00A175B6"/>
    <w:rsid w:val="00A21835"/>
    <w:rsid w:val="00A27D6E"/>
    <w:rsid w:val="00A328EC"/>
    <w:rsid w:val="00A33A51"/>
    <w:rsid w:val="00A41CA6"/>
    <w:rsid w:val="00A46474"/>
    <w:rsid w:val="00A47927"/>
    <w:rsid w:val="00A47FFC"/>
    <w:rsid w:val="00A5442F"/>
    <w:rsid w:val="00A54FF9"/>
    <w:rsid w:val="00A56765"/>
    <w:rsid w:val="00A675AC"/>
    <w:rsid w:val="00A7581F"/>
    <w:rsid w:val="00A92FB1"/>
    <w:rsid w:val="00A94AF8"/>
    <w:rsid w:val="00A95A0C"/>
    <w:rsid w:val="00AA2765"/>
    <w:rsid w:val="00AA77B5"/>
    <w:rsid w:val="00AB6C5D"/>
    <w:rsid w:val="00AC51A7"/>
    <w:rsid w:val="00AD2621"/>
    <w:rsid w:val="00AD444B"/>
    <w:rsid w:val="00AD6C78"/>
    <w:rsid w:val="00AE2EAB"/>
    <w:rsid w:val="00AF5F89"/>
    <w:rsid w:val="00AF73CB"/>
    <w:rsid w:val="00B002D6"/>
    <w:rsid w:val="00B05B51"/>
    <w:rsid w:val="00B14E5A"/>
    <w:rsid w:val="00B15370"/>
    <w:rsid w:val="00B17BEB"/>
    <w:rsid w:val="00B21A3C"/>
    <w:rsid w:val="00B223C0"/>
    <w:rsid w:val="00B234ED"/>
    <w:rsid w:val="00B249B2"/>
    <w:rsid w:val="00B2560C"/>
    <w:rsid w:val="00B25CA3"/>
    <w:rsid w:val="00B56639"/>
    <w:rsid w:val="00B57A6A"/>
    <w:rsid w:val="00B760F1"/>
    <w:rsid w:val="00B7630F"/>
    <w:rsid w:val="00B7669E"/>
    <w:rsid w:val="00B77DA1"/>
    <w:rsid w:val="00B85263"/>
    <w:rsid w:val="00B9545E"/>
    <w:rsid w:val="00BA0D55"/>
    <w:rsid w:val="00BA37B3"/>
    <w:rsid w:val="00BA4CC6"/>
    <w:rsid w:val="00BB3493"/>
    <w:rsid w:val="00BB7468"/>
    <w:rsid w:val="00BC188A"/>
    <w:rsid w:val="00BF5010"/>
    <w:rsid w:val="00C00CD8"/>
    <w:rsid w:val="00C00D46"/>
    <w:rsid w:val="00C13791"/>
    <w:rsid w:val="00C22A71"/>
    <w:rsid w:val="00C242AE"/>
    <w:rsid w:val="00C31BB3"/>
    <w:rsid w:val="00C36977"/>
    <w:rsid w:val="00C40878"/>
    <w:rsid w:val="00C477D9"/>
    <w:rsid w:val="00C60BA3"/>
    <w:rsid w:val="00C623F7"/>
    <w:rsid w:val="00C81670"/>
    <w:rsid w:val="00C81773"/>
    <w:rsid w:val="00C82861"/>
    <w:rsid w:val="00C86896"/>
    <w:rsid w:val="00C907A8"/>
    <w:rsid w:val="00C918D8"/>
    <w:rsid w:val="00C93211"/>
    <w:rsid w:val="00C942EC"/>
    <w:rsid w:val="00C96047"/>
    <w:rsid w:val="00C979D0"/>
    <w:rsid w:val="00CA0818"/>
    <w:rsid w:val="00CA2C8F"/>
    <w:rsid w:val="00CA30DA"/>
    <w:rsid w:val="00CA3A24"/>
    <w:rsid w:val="00CB1777"/>
    <w:rsid w:val="00CB33E9"/>
    <w:rsid w:val="00CB3FD3"/>
    <w:rsid w:val="00CC10A9"/>
    <w:rsid w:val="00CE2BF8"/>
    <w:rsid w:val="00CE484E"/>
    <w:rsid w:val="00CF0DA8"/>
    <w:rsid w:val="00CF2E25"/>
    <w:rsid w:val="00CF4453"/>
    <w:rsid w:val="00CF5D94"/>
    <w:rsid w:val="00D034D7"/>
    <w:rsid w:val="00D04BE4"/>
    <w:rsid w:val="00D12565"/>
    <w:rsid w:val="00D14127"/>
    <w:rsid w:val="00D60F02"/>
    <w:rsid w:val="00D66E49"/>
    <w:rsid w:val="00D72F74"/>
    <w:rsid w:val="00D81563"/>
    <w:rsid w:val="00D85907"/>
    <w:rsid w:val="00D9073E"/>
    <w:rsid w:val="00D9221D"/>
    <w:rsid w:val="00D958DF"/>
    <w:rsid w:val="00D96DA1"/>
    <w:rsid w:val="00DA1326"/>
    <w:rsid w:val="00DA51E7"/>
    <w:rsid w:val="00DB1C78"/>
    <w:rsid w:val="00DB7D96"/>
    <w:rsid w:val="00DC23FE"/>
    <w:rsid w:val="00DC4CF5"/>
    <w:rsid w:val="00DC59E6"/>
    <w:rsid w:val="00DC67E1"/>
    <w:rsid w:val="00DD150B"/>
    <w:rsid w:val="00DD5025"/>
    <w:rsid w:val="00DF1510"/>
    <w:rsid w:val="00DF706D"/>
    <w:rsid w:val="00E0173A"/>
    <w:rsid w:val="00E06484"/>
    <w:rsid w:val="00E20A7D"/>
    <w:rsid w:val="00E275D8"/>
    <w:rsid w:val="00E375CA"/>
    <w:rsid w:val="00E567E8"/>
    <w:rsid w:val="00E64679"/>
    <w:rsid w:val="00E65EBC"/>
    <w:rsid w:val="00E73432"/>
    <w:rsid w:val="00E76CE8"/>
    <w:rsid w:val="00E77B0C"/>
    <w:rsid w:val="00E77FB8"/>
    <w:rsid w:val="00E838B0"/>
    <w:rsid w:val="00E86A7C"/>
    <w:rsid w:val="00E878E1"/>
    <w:rsid w:val="00E87F2C"/>
    <w:rsid w:val="00E95278"/>
    <w:rsid w:val="00EA2273"/>
    <w:rsid w:val="00EB2DB3"/>
    <w:rsid w:val="00EC3FBB"/>
    <w:rsid w:val="00EC6B7A"/>
    <w:rsid w:val="00ED3A87"/>
    <w:rsid w:val="00ED5B67"/>
    <w:rsid w:val="00EE60A2"/>
    <w:rsid w:val="00EF264C"/>
    <w:rsid w:val="00EF3FEE"/>
    <w:rsid w:val="00F04B59"/>
    <w:rsid w:val="00F052BE"/>
    <w:rsid w:val="00F11741"/>
    <w:rsid w:val="00F12B1C"/>
    <w:rsid w:val="00F13CF8"/>
    <w:rsid w:val="00F15855"/>
    <w:rsid w:val="00F32978"/>
    <w:rsid w:val="00F45CB2"/>
    <w:rsid w:val="00F544C0"/>
    <w:rsid w:val="00F55332"/>
    <w:rsid w:val="00F63114"/>
    <w:rsid w:val="00F65519"/>
    <w:rsid w:val="00F713C0"/>
    <w:rsid w:val="00F75DDC"/>
    <w:rsid w:val="00F7792F"/>
    <w:rsid w:val="00F842AA"/>
    <w:rsid w:val="00F8476F"/>
    <w:rsid w:val="00F853E1"/>
    <w:rsid w:val="00F94B7A"/>
    <w:rsid w:val="00FA17AC"/>
    <w:rsid w:val="00FA32DE"/>
    <w:rsid w:val="00FA3382"/>
    <w:rsid w:val="00FA59CD"/>
    <w:rsid w:val="00FB1740"/>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CB3FD3"/>
    <w:rPr>
      <w:vertAlign w:val="superscript"/>
    </w:rPr>
  </w:style>
  <w:style w:type="character" w:customStyle="1" w:styleId="CharChar">
    <w:name w:val="Char Char"/>
    <w:locked/>
    <w:rsid w:val="001929EA"/>
    <w:rPr>
      <w:sz w:val="24"/>
      <w:szCs w:val="24"/>
      <w:lang w:val="en-US" w:eastAsia="en-US" w:bidi="ar-SA"/>
    </w:rPr>
  </w:style>
  <w:style w:type="character" w:customStyle="1" w:styleId="FootnoteTextChar">
    <w:name w:val="Footnote Text Char"/>
    <w:link w:val="FootnoteText"/>
    <w:rsid w:val="001929EA"/>
  </w:style>
  <w:style w:type="character" w:customStyle="1" w:styleId="BodyTextChar2">
    <w:name w:val="Body Text Char2"/>
    <w:rsid w:val="001929EA"/>
    <w:rPr>
      <w:sz w:val="24"/>
      <w:szCs w:val="24"/>
    </w:rPr>
  </w:style>
  <w:style w:type="character" w:customStyle="1" w:styleId="BodyTextChar1">
    <w:name w:val="Body Text Char1"/>
    <w:locked/>
    <w:rsid w:val="001929EA"/>
    <w:rPr>
      <w:rFonts w:cs="Times New Roman"/>
      <w:sz w:val="24"/>
      <w:szCs w:val="24"/>
      <w:lang w:val="en-US" w:eastAsia="en-US" w:bidi="ar-SA"/>
    </w:rPr>
  </w:style>
  <w:style w:type="paragraph" w:styleId="ListParagraph">
    <w:name w:val="List Paragraph"/>
    <w:basedOn w:val="Normal"/>
    <w:uiPriority w:val="34"/>
    <w:qFormat/>
    <w:rsid w:val="001929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CB3FD3"/>
    <w:rPr>
      <w:vertAlign w:val="superscript"/>
    </w:rPr>
  </w:style>
  <w:style w:type="character" w:customStyle="1" w:styleId="CharChar">
    <w:name w:val="Char Char"/>
    <w:locked/>
    <w:rsid w:val="001929EA"/>
    <w:rPr>
      <w:sz w:val="24"/>
      <w:szCs w:val="24"/>
      <w:lang w:val="en-US" w:eastAsia="en-US" w:bidi="ar-SA"/>
    </w:rPr>
  </w:style>
  <w:style w:type="character" w:customStyle="1" w:styleId="FootnoteTextChar">
    <w:name w:val="Footnote Text Char"/>
    <w:link w:val="FootnoteText"/>
    <w:rsid w:val="001929EA"/>
  </w:style>
  <w:style w:type="character" w:customStyle="1" w:styleId="BodyTextChar2">
    <w:name w:val="Body Text Char2"/>
    <w:rsid w:val="001929EA"/>
    <w:rPr>
      <w:sz w:val="24"/>
      <w:szCs w:val="24"/>
    </w:rPr>
  </w:style>
  <w:style w:type="character" w:customStyle="1" w:styleId="BodyTextChar1">
    <w:name w:val="Body Text Char1"/>
    <w:locked/>
    <w:rsid w:val="001929EA"/>
    <w:rPr>
      <w:rFonts w:cs="Times New Roman"/>
      <w:sz w:val="24"/>
      <w:szCs w:val="24"/>
      <w:lang w:val="en-US" w:eastAsia="en-US" w:bidi="ar-SA"/>
    </w:rPr>
  </w:style>
  <w:style w:type="paragraph" w:styleId="ListParagraph">
    <w:name w:val="List Paragraph"/>
    <w:basedOn w:val="Normal"/>
    <w:uiPriority w:val="34"/>
    <w:qFormat/>
    <w:rsid w:val="00192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F03C3-0EAA-4388-B2FE-D0616DFFF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17</Pages>
  <Words>4169</Words>
  <Characters>22912</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2016-09-29T14:31:00Z</cp:lastPrinted>
  <dcterms:created xsi:type="dcterms:W3CDTF">2016-09-29T15:19:00Z</dcterms:created>
  <dcterms:modified xsi:type="dcterms:W3CDTF">2016-09-29T15:19:00Z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150012-WU</vt:lpwstr>
  </property>
  <property fmtid="{D5CDD505-2E9C-101B-9397-08002B2CF9AE}" pid="3" name="MasterDocument">
    <vt:bool>false</vt:bool>
  </property>
</Properties>
</file>