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7569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95345">
            <w:pPr>
              <w:pStyle w:val="MemoHeading"/>
            </w:pPr>
            <w:bookmarkStart w:id="1" w:name="FilingDate"/>
            <w:r>
              <w:t>September 29,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95345" w:rsidRDefault="00195345">
            <w:pPr>
              <w:pStyle w:val="MemoHeading"/>
            </w:pPr>
            <w:bookmarkStart w:id="2" w:name="From"/>
            <w:r>
              <w:t xml:space="preserve">Office of the General Counsel (Tan, </w:t>
            </w:r>
            <w:r w:rsidR="00243A84">
              <w:t>Cuello</w:t>
            </w:r>
            <w:r>
              <w:t>)</w:t>
            </w:r>
          </w:p>
          <w:p w:rsidR="007C0528" w:rsidRDefault="00195345" w:rsidP="00243A84">
            <w:pPr>
              <w:pStyle w:val="MemoHeading"/>
            </w:pPr>
            <w:r>
              <w:t>Division of E</w:t>
            </w:r>
            <w:r w:rsidR="00243A84">
              <w:t>conomics (Lingo, Coston, Harlow</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95345">
            <w:pPr>
              <w:pStyle w:val="MemoHeadingRe"/>
            </w:pPr>
            <w:bookmarkStart w:id="3" w:name="Re"/>
            <w:r>
              <w:t>Docket No. 160002-EG – Energy conservation cost recovery clause.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95345">
            <w:pPr>
              <w:pStyle w:val="MemoHeading"/>
            </w:pPr>
            <w:bookmarkStart w:id="4" w:name="AgendaDate"/>
            <w:r>
              <w:t>10/11/16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9534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95345">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B3F0F">
            <w:pPr>
              <w:pStyle w:val="MemoHeading"/>
            </w:pPr>
            <w:r>
              <w:t>Nov. 17, 2016 (Petition Deemed Approved if Not Granted or Denied within 90 Days of Receipt pursuant to Section 120.542(8),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9534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26EDC" w:rsidRDefault="003C4347" w:rsidP="00CC7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Pursuant to Rule 25-17.0</w:t>
      </w:r>
      <w:r w:rsidR="00FB5836">
        <w:t>15</w:t>
      </w:r>
      <w:r>
        <w:t>(1), Florida Administrative Code (F.A.C.), the Florida Public Service Commission (Commission) sets a</w:t>
      </w:r>
      <w:r w:rsidR="00C05791">
        <w:t>n</w:t>
      </w:r>
      <w:r>
        <w:t xml:space="preserve"> annual </w:t>
      </w:r>
      <w:r w:rsidR="00F11E65">
        <w:t xml:space="preserve">evidentiary </w:t>
      </w:r>
      <w:r>
        <w:t>hearing in its continuing Energy Conservation Cost Recovery (ECCR) docket pursuant to Sections 366.80-366.8</w:t>
      </w:r>
      <w:r w:rsidR="00FB5836">
        <w:t>3</w:t>
      </w:r>
      <w:r>
        <w:t xml:space="preserve">, Florida Statutes (F.S.), to approve conservation cost recovery. </w:t>
      </w:r>
      <w:r w:rsidR="00F11E65">
        <w:t>The evidentiary hearing is set for November 2 – 4, 2016</w:t>
      </w:r>
      <w:r w:rsidR="00B26EDC">
        <w:t>.</w:t>
      </w:r>
    </w:p>
    <w:p w:rsidR="00B26EDC" w:rsidRDefault="00B26EDC" w:rsidP="00CC7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C7A1B" w:rsidRDefault="00F11E65" w:rsidP="00CC7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On August 19, 2016, Florida Power &amp; Light Company (FPL), Duke Energy Florida, LLC, (DEF)</w:t>
      </w:r>
      <w:r w:rsidR="00FB5836">
        <w:t>,</w:t>
      </w:r>
      <w:r>
        <w:t xml:space="preserve"> Tampa Electric Company (TECO)</w:t>
      </w:r>
      <w:r w:rsidR="00886B66">
        <w:t>,</w:t>
      </w:r>
      <w:r>
        <w:t xml:space="preserve"> and Gulf Power Company (Gulf) filed a Joint Petition for a Waiver of Rule 25-17.015(1)(b</w:t>
      </w:r>
      <w:r w:rsidR="00886B66">
        <w:t>), F.A.C.</w:t>
      </w:r>
      <w:r w:rsidR="00FB5836">
        <w:t>,</w:t>
      </w:r>
      <w:r w:rsidR="002A52CC">
        <w:t xml:space="preserve"> </w:t>
      </w:r>
      <w:r>
        <w:t xml:space="preserve">(Joint Petition). On the same day, Florida Public Utilities Company (FPUC) filed a Notice of Joinder </w:t>
      </w:r>
      <w:r w:rsidR="002A52CC">
        <w:t>of</w:t>
      </w:r>
      <w:r>
        <w:t xml:space="preserve"> the Joint Petition. </w:t>
      </w:r>
    </w:p>
    <w:p w:rsidR="00CC7A1B" w:rsidRDefault="00CC7A1B" w:rsidP="00CC7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05791" w:rsidRDefault="00C05791">
      <w:pPr>
        <w:pStyle w:val="BodyText"/>
      </w:pPr>
      <w:r>
        <w:lastRenderedPageBreak/>
        <w:t xml:space="preserve">Notice of </w:t>
      </w:r>
      <w:r w:rsidR="002A52CC">
        <w:t>Joint P</w:t>
      </w:r>
      <w:r>
        <w:t xml:space="preserve">etition was published in the Florida Administrative Register </w:t>
      </w:r>
      <w:r w:rsidRPr="00723092">
        <w:t>on August 24, 2016.</w:t>
      </w:r>
      <w:r>
        <w:t xml:space="preserve"> </w:t>
      </w:r>
      <w:r w:rsidRPr="00723092">
        <w:t>No comments were received</w:t>
      </w:r>
      <w:r>
        <w:t>, and the</w:t>
      </w:r>
      <w:r w:rsidR="002A52CC">
        <w:t xml:space="preserve"> time for filing comments </w:t>
      </w:r>
      <w:r>
        <w:t>expired o</w:t>
      </w:r>
      <w:r w:rsidRPr="00723092">
        <w:t>n September 7, 2016</w:t>
      </w:r>
      <w:r>
        <w:t xml:space="preserve">.  The Commission has </w:t>
      </w:r>
      <w:r w:rsidR="001A620A">
        <w:t>jurisdiction</w:t>
      </w:r>
      <w:r w:rsidR="002A52CC">
        <w:t xml:space="preserve"> pursuant to S</w:t>
      </w:r>
      <w:r>
        <w:t>ections 366.04, 366.0</w:t>
      </w:r>
      <w:r w:rsidR="002A52CC">
        <w:t>5, and 366.06, F.S.</w:t>
      </w:r>
      <w:r w:rsidR="00FB5836">
        <w:t>,</w:t>
      </w:r>
      <w:r w:rsidR="002A52CC">
        <w:t xml:space="preserve"> as well as S</w:t>
      </w:r>
      <w:r>
        <w:t>ection 120.542,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95345" w:rsidRDefault="00195345">
      <w:pPr>
        <w:pStyle w:val="IssueHeading"/>
        <w:rPr>
          <w:vanish/>
          <w:specVanish/>
        </w:rPr>
      </w:pPr>
      <w:r w:rsidRPr="004C3641">
        <w:t xml:space="preserve">Issue </w:t>
      </w:r>
      <w:r w:rsidR="00603AAC">
        <w:fldChar w:fldCharType="begin"/>
      </w:r>
      <w:r w:rsidR="00603AAC">
        <w:instrText xml:space="preserve"> SEQ Issue \* MERGEFORMAT </w:instrText>
      </w:r>
      <w:r w:rsidR="00603AAC">
        <w:fldChar w:fldCharType="separate"/>
      </w:r>
      <w:r w:rsidR="008771A1">
        <w:rPr>
          <w:noProof/>
        </w:rPr>
        <w:t>1</w:t>
      </w:r>
      <w:r w:rsidR="00603A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771A1">
        <w:rPr>
          <w:noProof/>
        </w:rPr>
        <w:instrText>1</w:instrText>
      </w:r>
      <w:r>
        <w:fldChar w:fldCharType="end"/>
      </w:r>
      <w:r>
        <w:tab/>
        <w:instrText xml:space="preserve">(Tan, Lherrison, Lingo, Margolis)" \l 1 </w:instrText>
      </w:r>
      <w:r>
        <w:fldChar w:fldCharType="end"/>
      </w:r>
      <w:r>
        <w:t> </w:t>
      </w:r>
    </w:p>
    <w:p w:rsidR="00195345" w:rsidRDefault="00195345">
      <w:pPr>
        <w:pStyle w:val="BodyText"/>
      </w:pPr>
      <w:r>
        <w:t> Should the Commission grant Florida Power &amp; Light Company, Duke Energy Florida LLC, Tampa Electric Company, Gulf Power Company, and Florida Public Utilities Company</w:t>
      </w:r>
      <w:r w:rsidR="00886B66">
        <w:t>’s</w:t>
      </w:r>
      <w:r>
        <w:t xml:space="preserve"> petition for waiver of Rule 25-17</w:t>
      </w:r>
      <w:r w:rsidR="00C2000A">
        <w:t>.015</w:t>
      </w:r>
      <w:r>
        <w:t>(1)(b)</w:t>
      </w:r>
      <w:r w:rsidR="00F11E65">
        <w:t xml:space="preserve">, </w:t>
      </w:r>
      <w:r>
        <w:t xml:space="preserve">Florida </w:t>
      </w:r>
      <w:r w:rsidR="001A620A">
        <w:t>Administrative</w:t>
      </w:r>
      <w:r>
        <w:t xml:space="preserve"> Code?</w:t>
      </w:r>
    </w:p>
    <w:p w:rsidR="00195345" w:rsidRPr="004C3641" w:rsidRDefault="00195345">
      <w:pPr>
        <w:pStyle w:val="IssueSubsectionHeading"/>
        <w:rPr>
          <w:vanish/>
          <w:specVanish/>
        </w:rPr>
      </w:pPr>
      <w:r w:rsidRPr="004C3641">
        <w:t>Recommendation: </w:t>
      </w:r>
    </w:p>
    <w:p w:rsidR="00195345" w:rsidRDefault="00195345">
      <w:pPr>
        <w:pStyle w:val="BodyText"/>
      </w:pPr>
      <w:r>
        <w:t> </w:t>
      </w:r>
      <w:r w:rsidR="00F11E65">
        <w:t xml:space="preserve">Yes. </w:t>
      </w:r>
      <w:r w:rsidR="00886B66">
        <w:t>Staff recommends that the Commission</w:t>
      </w:r>
      <w:r w:rsidR="001A620A">
        <w:t xml:space="preserve"> find it appropriate to grant the </w:t>
      </w:r>
      <w:r w:rsidR="002A52CC">
        <w:t>Joint P</w:t>
      </w:r>
      <w:r w:rsidR="001A620A">
        <w:t xml:space="preserve">etition for waiver of Rule 25-17.015(1)(b), </w:t>
      </w:r>
      <w:r w:rsidR="00886B66">
        <w:t>F.A.C.</w:t>
      </w:r>
      <w:r w:rsidR="00B26EDC">
        <w:t>,</w:t>
      </w:r>
      <w:r w:rsidR="001A620A">
        <w:t xml:space="preserve"> requested by Florida Power &amp; Light Company, Duke Energy Florida LLC, Tampa Electric Company, Gulf Power Company, and Florida Public Utilities Company, and allow </w:t>
      </w:r>
      <w:r w:rsidR="001A620A" w:rsidRPr="00723092">
        <w:t xml:space="preserve">annual estimated/actual true-up filing </w:t>
      </w:r>
      <w:r w:rsidR="001A620A">
        <w:t>of six month actual and six months of projected data.</w:t>
      </w:r>
      <w:r>
        <w:t xml:space="preserve"> </w:t>
      </w:r>
      <w:r w:rsidR="00C2000A">
        <w:t xml:space="preserve">(Tan, </w:t>
      </w:r>
      <w:r w:rsidR="00B670F3">
        <w:t>Cuello</w:t>
      </w:r>
      <w:r w:rsidR="001A620A">
        <w:t>, Lingo</w:t>
      </w:r>
      <w:r>
        <w:t>)</w:t>
      </w:r>
    </w:p>
    <w:p w:rsidR="00195345" w:rsidRPr="004C3641" w:rsidRDefault="00195345">
      <w:pPr>
        <w:pStyle w:val="IssueSubsectionHeading"/>
        <w:rPr>
          <w:vanish/>
          <w:specVanish/>
        </w:rPr>
      </w:pPr>
      <w:r w:rsidRPr="004C3641">
        <w:t>Staff Analysis: </w:t>
      </w:r>
    </w:p>
    <w:p w:rsidR="00195345" w:rsidRDefault="00195345">
      <w:pPr>
        <w:pStyle w:val="BodyText"/>
      </w:pPr>
      <w:r>
        <w:t> </w:t>
      </w:r>
      <w:r w:rsidR="00DC40C0">
        <w:t xml:space="preserve"> </w:t>
      </w:r>
    </w:p>
    <w:p w:rsidR="00071BBA" w:rsidRPr="003B7700" w:rsidRDefault="00071BBA">
      <w:pPr>
        <w:pStyle w:val="IssueHeading"/>
        <w:rPr>
          <w:i w:val="0"/>
        </w:rPr>
      </w:pPr>
      <w:r w:rsidRPr="003B7700">
        <w:rPr>
          <w:i w:val="0"/>
        </w:rPr>
        <w:t>Petition</w:t>
      </w:r>
    </w:p>
    <w:p w:rsidR="00852B57" w:rsidRPr="00723092" w:rsidRDefault="002A52CC" w:rsidP="00852B57">
      <w:pPr>
        <w:pStyle w:val="BodyText"/>
      </w:pPr>
      <w:r>
        <w:t xml:space="preserve">As stated, </w:t>
      </w:r>
      <w:r w:rsidR="00852B57" w:rsidRPr="00723092">
        <w:t>FPL, DEF, TECO, Gulf</w:t>
      </w:r>
      <w:r w:rsidR="00B26EDC">
        <w:t>,</w:t>
      </w:r>
      <w:r w:rsidR="00852B57" w:rsidRPr="00723092">
        <w:t xml:space="preserve"> and FPUC</w:t>
      </w:r>
      <w:r w:rsidR="007E456E">
        <w:t xml:space="preserve">, </w:t>
      </w:r>
      <w:r w:rsidR="00B26EDC">
        <w:t>all of the investor owned u</w:t>
      </w:r>
      <w:r w:rsidR="00886B66">
        <w:t xml:space="preserve">tilities </w:t>
      </w:r>
      <w:r w:rsidR="007E456E">
        <w:t>(I</w:t>
      </w:r>
      <w:r w:rsidR="000854CA">
        <w:t>OUs</w:t>
      </w:r>
      <w:r w:rsidR="00F11E65">
        <w:t xml:space="preserve">) </w:t>
      </w:r>
      <w:r w:rsidR="00B26EDC">
        <w:t>in Florida</w:t>
      </w:r>
      <w:r w:rsidR="00FB5836">
        <w:t>,</w:t>
      </w:r>
      <w:r w:rsidR="00B26EDC">
        <w:t xml:space="preserve"> </w:t>
      </w:r>
      <w:r w:rsidR="00F11E65">
        <w:t>request</w:t>
      </w:r>
      <w:r w:rsidR="00852B57" w:rsidRPr="00723092">
        <w:t xml:space="preserve"> a rule waiver of</w:t>
      </w:r>
      <w:r w:rsidR="00F11E65">
        <w:t xml:space="preserve"> the requirements </w:t>
      </w:r>
      <w:r w:rsidR="001A620A">
        <w:t xml:space="preserve">of </w:t>
      </w:r>
      <w:r w:rsidR="001A620A" w:rsidRPr="00723092">
        <w:t>Rule</w:t>
      </w:r>
      <w:r w:rsidR="00852B57" w:rsidRPr="00723092">
        <w:t xml:space="preserve"> 25-17.015(1)(b)</w:t>
      </w:r>
      <w:r w:rsidR="00F11E65">
        <w:t>, F</w:t>
      </w:r>
      <w:r w:rsidR="00886B66">
        <w:t>.</w:t>
      </w:r>
      <w:r w:rsidR="00F11E65">
        <w:t xml:space="preserve">A.C. The rule </w:t>
      </w:r>
      <w:r w:rsidR="00F11E65" w:rsidRPr="00723092">
        <w:t>requires the electric utilities</w:t>
      </w:r>
      <w:r w:rsidR="00F11E65">
        <w:t xml:space="preserve"> to make actual and estimated f</w:t>
      </w:r>
      <w:r w:rsidR="00F11E65" w:rsidRPr="00723092">
        <w:t>ilings, based upon eight months of actual data and four months of projected common costs, individual program costs</w:t>
      </w:r>
      <w:r w:rsidR="00B26EDC">
        <w:t>,</w:t>
      </w:r>
      <w:r w:rsidR="00F11E65" w:rsidRPr="00723092">
        <w:t xml:space="preserve"> and any </w:t>
      </w:r>
      <w:r w:rsidR="00CC7A1B">
        <w:t xml:space="preserve">colleced </w:t>
      </w:r>
      <w:r w:rsidR="00F11E65">
        <w:t xml:space="preserve">revenues. The </w:t>
      </w:r>
      <w:r w:rsidR="000854CA">
        <w:t xml:space="preserve">IOUs </w:t>
      </w:r>
      <w:r w:rsidR="00F11E65">
        <w:t>state that</w:t>
      </w:r>
      <w:r w:rsidR="00DA5101" w:rsidRPr="00723092">
        <w:t xml:space="preserve"> the due date for the actual/estimates true-up filing of August 19, 2016, does not allow </w:t>
      </w:r>
      <w:r w:rsidR="00F11E65">
        <w:t>the companies</w:t>
      </w:r>
      <w:r w:rsidR="00DA5101" w:rsidRPr="00723092">
        <w:t xml:space="preserve"> to prepare the actual/estimated filing based on eight months of actual and four months of projected data.  </w:t>
      </w:r>
      <w:r w:rsidR="00F11E65">
        <w:t xml:space="preserve">The </w:t>
      </w:r>
      <w:r w:rsidR="000854CA">
        <w:t>IOUs</w:t>
      </w:r>
      <w:r w:rsidR="000854CA" w:rsidRPr="00723092">
        <w:t xml:space="preserve"> </w:t>
      </w:r>
      <w:r w:rsidR="00DA5101" w:rsidRPr="00723092">
        <w:t xml:space="preserve">indicated that they </w:t>
      </w:r>
      <w:r w:rsidR="001A620A" w:rsidRPr="00723092">
        <w:t>can prepare</w:t>
      </w:r>
      <w:r w:rsidR="00DA5101" w:rsidRPr="00723092">
        <w:t xml:space="preserve"> their filings on</w:t>
      </w:r>
      <w:r w:rsidR="001A620A">
        <w:t xml:space="preserve"> the basis of six months actual and </w:t>
      </w:r>
      <w:r w:rsidR="00886B66">
        <w:t xml:space="preserve">six months </w:t>
      </w:r>
      <w:r w:rsidR="001A620A">
        <w:t>projected</w:t>
      </w:r>
      <w:r w:rsidR="00DA5101" w:rsidRPr="00723092">
        <w:t xml:space="preserve"> data.  </w:t>
      </w:r>
      <w:r w:rsidR="00F11E65">
        <w:t xml:space="preserve">The </w:t>
      </w:r>
      <w:r w:rsidR="000854CA">
        <w:t>IOUs</w:t>
      </w:r>
      <w:r w:rsidR="000854CA" w:rsidRPr="00723092">
        <w:t xml:space="preserve"> </w:t>
      </w:r>
      <w:r w:rsidR="00DA5101" w:rsidRPr="00723092">
        <w:t xml:space="preserve">request a waiver </w:t>
      </w:r>
      <w:r w:rsidR="00B26EDC">
        <w:t>of</w:t>
      </w:r>
      <w:r w:rsidR="00DA5101" w:rsidRPr="00723092">
        <w:t xml:space="preserve"> Rule 25-17.015(1)(b), F.A.C.</w:t>
      </w:r>
      <w:r w:rsidR="00886B66">
        <w:t>,</w:t>
      </w:r>
      <w:r w:rsidR="00371146" w:rsidRPr="00723092">
        <w:t xml:space="preserve">  to allow their filing to be </w:t>
      </w:r>
      <w:r w:rsidR="001A620A">
        <w:t>based on six months of actual and six months of projected data.</w:t>
      </w:r>
      <w:r w:rsidR="00DA5101" w:rsidRPr="00723092">
        <w:t xml:space="preserve"> </w:t>
      </w:r>
    </w:p>
    <w:p w:rsidR="00DA5101" w:rsidRPr="00723092" w:rsidRDefault="00F11E65" w:rsidP="00852B57">
      <w:pPr>
        <w:pStyle w:val="BodyText"/>
      </w:pPr>
      <w:r>
        <w:t xml:space="preserve">The </w:t>
      </w:r>
      <w:r w:rsidR="000854CA">
        <w:t>IOUs</w:t>
      </w:r>
      <w:r w:rsidR="000854CA" w:rsidRPr="00723092">
        <w:t xml:space="preserve"> </w:t>
      </w:r>
      <w:r w:rsidR="002A52CC">
        <w:t>assert</w:t>
      </w:r>
      <w:r w:rsidR="00DA5101" w:rsidRPr="00723092">
        <w:t xml:space="preserve"> that filings based on six months of actual and six months of projected data are a reasonable means of achieving the purpose of the statutes implemented by Rule 25-17.015(1)(b),</w:t>
      </w:r>
      <w:r>
        <w:t xml:space="preserve"> F.A.C</w:t>
      </w:r>
      <w:r w:rsidR="00DA5101" w:rsidRPr="00723092">
        <w:t xml:space="preserve">. </w:t>
      </w:r>
      <w:r>
        <w:t xml:space="preserve">The </w:t>
      </w:r>
      <w:r w:rsidR="000854CA">
        <w:t>IOUs</w:t>
      </w:r>
      <w:r w:rsidR="000854CA" w:rsidRPr="00723092">
        <w:t xml:space="preserve"> </w:t>
      </w:r>
      <w:r w:rsidR="002A52CC">
        <w:t>contend</w:t>
      </w:r>
      <w:r w:rsidR="00DA5101" w:rsidRPr="00723092">
        <w:t xml:space="preserve"> that the impossibility of submitting th</w:t>
      </w:r>
      <w:r>
        <w:t>e</w:t>
      </w:r>
      <w:r w:rsidR="00B26EDC">
        <w:t>ir filings on</w:t>
      </w:r>
      <w:r w:rsidR="00DA5101" w:rsidRPr="00723092">
        <w:t xml:space="preserve"> </w:t>
      </w:r>
      <w:r w:rsidR="00886B66">
        <w:t xml:space="preserve">eight months of actual data and four months of projected data </w:t>
      </w:r>
      <w:r w:rsidR="00DA5101" w:rsidRPr="00723092">
        <w:t>basis by the due date established in the Order Establishing Procedure</w:t>
      </w:r>
      <w:r w:rsidR="00B26EDC">
        <w:t>,</w:t>
      </w:r>
      <w:r w:rsidR="00DA5101" w:rsidRPr="00723092">
        <w:t xml:space="preserve"> </w:t>
      </w:r>
      <w:r w:rsidR="00B26EDC">
        <w:t xml:space="preserve">Order No. </w:t>
      </w:r>
      <w:r w:rsidR="00B26EDC" w:rsidRPr="00F11E65">
        <w:t>PSC-16-0102-PCO-EG</w:t>
      </w:r>
      <w:r w:rsidR="00B26EDC">
        <w:t xml:space="preserve">, issued March 11, 2016, </w:t>
      </w:r>
      <w:r w:rsidR="00DA5101" w:rsidRPr="00723092">
        <w:t xml:space="preserve">creates a substantial hardship for each of them. </w:t>
      </w:r>
      <w:r w:rsidR="000854CA">
        <w:t xml:space="preserve"> The IOUs further request that the waiver be granted for a period of two years to cover the August 2016 filing and the 2017 fili</w:t>
      </w:r>
      <w:r w:rsidR="001A620A">
        <w:t>ng.</w:t>
      </w:r>
    </w:p>
    <w:p w:rsidR="00071BBA" w:rsidRPr="003B7700" w:rsidRDefault="00071BBA">
      <w:pPr>
        <w:pStyle w:val="IssueHeading"/>
        <w:rPr>
          <w:i w:val="0"/>
        </w:rPr>
      </w:pPr>
      <w:r w:rsidRPr="003B7700">
        <w:rPr>
          <w:i w:val="0"/>
        </w:rPr>
        <w:t>The Facts</w:t>
      </w:r>
    </w:p>
    <w:p w:rsidR="00071BBA" w:rsidRPr="00723092" w:rsidRDefault="00852B57">
      <w:pPr>
        <w:pStyle w:val="IssueHeading"/>
        <w:rPr>
          <w:rFonts w:ascii="Times New Roman" w:hAnsi="Times New Roman" w:cs="Times New Roman"/>
          <w:b w:val="0"/>
          <w:i w:val="0"/>
        </w:rPr>
      </w:pPr>
      <w:r w:rsidRPr="00723092">
        <w:rPr>
          <w:rFonts w:ascii="Times New Roman" w:hAnsi="Times New Roman" w:cs="Times New Roman"/>
          <w:b w:val="0"/>
          <w:i w:val="0"/>
        </w:rPr>
        <w:t>Rule 25-17.015</w:t>
      </w:r>
      <w:r w:rsidR="00886B66">
        <w:rPr>
          <w:rFonts w:ascii="Times New Roman" w:hAnsi="Times New Roman" w:cs="Times New Roman"/>
          <w:b w:val="0"/>
          <w:i w:val="0"/>
        </w:rPr>
        <w:t>,</w:t>
      </w:r>
      <w:r w:rsidRPr="00723092">
        <w:rPr>
          <w:rFonts w:ascii="Times New Roman" w:hAnsi="Times New Roman" w:cs="Times New Roman"/>
          <w:b w:val="0"/>
          <w:i w:val="0"/>
        </w:rPr>
        <w:t xml:space="preserve"> F.A.C.</w:t>
      </w:r>
      <w:r w:rsidR="00886B66">
        <w:rPr>
          <w:rFonts w:ascii="Times New Roman" w:hAnsi="Times New Roman" w:cs="Times New Roman"/>
          <w:b w:val="0"/>
          <w:i w:val="0"/>
        </w:rPr>
        <w:t>,</w:t>
      </w:r>
      <w:r w:rsidRPr="00723092">
        <w:rPr>
          <w:rFonts w:ascii="Times New Roman" w:hAnsi="Times New Roman" w:cs="Times New Roman"/>
          <w:b w:val="0"/>
          <w:i w:val="0"/>
        </w:rPr>
        <w:t xml:space="preserve"> requires the Commission to co</w:t>
      </w:r>
      <w:r w:rsidR="000854CA">
        <w:rPr>
          <w:rFonts w:ascii="Times New Roman" w:hAnsi="Times New Roman" w:cs="Times New Roman"/>
          <w:b w:val="0"/>
          <w:i w:val="0"/>
        </w:rPr>
        <w:t>n</w:t>
      </w:r>
      <w:r w:rsidRPr="00723092">
        <w:rPr>
          <w:rFonts w:ascii="Times New Roman" w:hAnsi="Times New Roman" w:cs="Times New Roman"/>
          <w:b w:val="0"/>
          <w:i w:val="0"/>
        </w:rPr>
        <w:t xml:space="preserve">duct annual </w:t>
      </w:r>
      <w:r w:rsidR="00886B66">
        <w:rPr>
          <w:rFonts w:ascii="Times New Roman" w:hAnsi="Times New Roman" w:cs="Times New Roman"/>
          <w:b w:val="0"/>
          <w:i w:val="0"/>
        </w:rPr>
        <w:t>ECCR</w:t>
      </w:r>
      <w:r w:rsidRPr="00723092">
        <w:rPr>
          <w:rFonts w:ascii="Times New Roman" w:hAnsi="Times New Roman" w:cs="Times New Roman"/>
          <w:b w:val="0"/>
          <w:i w:val="0"/>
        </w:rPr>
        <w:t xml:space="preserve"> proceedings</w:t>
      </w:r>
      <w:r w:rsidR="000854CA">
        <w:rPr>
          <w:rFonts w:ascii="Times New Roman" w:hAnsi="Times New Roman" w:cs="Times New Roman"/>
          <w:b w:val="0"/>
          <w:i w:val="0"/>
        </w:rPr>
        <w:t xml:space="preserve"> </w:t>
      </w:r>
      <w:r w:rsidRPr="00723092">
        <w:rPr>
          <w:rFonts w:ascii="Times New Roman" w:hAnsi="Times New Roman" w:cs="Times New Roman"/>
          <w:b w:val="0"/>
          <w:i w:val="0"/>
        </w:rPr>
        <w:t xml:space="preserve">in November of each year. </w:t>
      </w:r>
      <w:r w:rsidR="000854CA">
        <w:rPr>
          <w:rFonts w:ascii="Times New Roman" w:hAnsi="Times New Roman" w:cs="Times New Roman"/>
          <w:b w:val="0"/>
          <w:i w:val="0"/>
        </w:rPr>
        <w:t>The IOUs</w:t>
      </w:r>
      <w:r w:rsidR="003A21FC">
        <w:rPr>
          <w:rFonts w:ascii="Times New Roman" w:hAnsi="Times New Roman" w:cs="Times New Roman"/>
          <w:b w:val="0"/>
          <w:i w:val="0"/>
        </w:rPr>
        <w:t xml:space="preserve"> who participate</w:t>
      </w:r>
      <w:r w:rsidRPr="00723092">
        <w:rPr>
          <w:rFonts w:ascii="Times New Roman" w:hAnsi="Times New Roman" w:cs="Times New Roman"/>
          <w:b w:val="0"/>
          <w:i w:val="0"/>
        </w:rPr>
        <w:t xml:space="preserve"> in annual energy conservation programs over which the Comm</w:t>
      </w:r>
      <w:r w:rsidR="00B26EDC">
        <w:rPr>
          <w:rFonts w:ascii="Times New Roman" w:hAnsi="Times New Roman" w:cs="Times New Roman"/>
          <w:b w:val="0"/>
          <w:i w:val="0"/>
        </w:rPr>
        <w:t>ission has ratemaking authority</w:t>
      </w:r>
      <w:r w:rsidR="000854CA">
        <w:rPr>
          <w:rFonts w:ascii="Times New Roman" w:hAnsi="Times New Roman" w:cs="Times New Roman"/>
          <w:b w:val="0"/>
          <w:i w:val="0"/>
        </w:rPr>
        <w:t xml:space="preserve"> </w:t>
      </w:r>
      <w:r w:rsidRPr="00723092">
        <w:rPr>
          <w:rFonts w:ascii="Times New Roman" w:hAnsi="Times New Roman" w:cs="Times New Roman"/>
          <w:b w:val="0"/>
          <w:i w:val="0"/>
        </w:rPr>
        <w:t xml:space="preserve">may seek to recover </w:t>
      </w:r>
      <w:r w:rsidR="00B26EDC">
        <w:rPr>
          <w:rFonts w:ascii="Times New Roman" w:hAnsi="Times New Roman" w:cs="Times New Roman"/>
          <w:b w:val="0"/>
          <w:i w:val="0"/>
        </w:rPr>
        <w:t>their</w:t>
      </w:r>
      <w:r w:rsidRPr="00723092">
        <w:rPr>
          <w:rFonts w:ascii="Times New Roman" w:hAnsi="Times New Roman" w:cs="Times New Roman"/>
          <w:b w:val="0"/>
          <w:i w:val="0"/>
        </w:rPr>
        <w:t xml:space="preserve"> costs for energy conservation programs</w:t>
      </w:r>
      <w:r w:rsidR="00886B66">
        <w:rPr>
          <w:rFonts w:ascii="Times New Roman" w:hAnsi="Times New Roman" w:cs="Times New Roman"/>
          <w:b w:val="0"/>
          <w:i w:val="0"/>
        </w:rPr>
        <w:t xml:space="preserve">, </w:t>
      </w:r>
      <w:r w:rsidR="000854CA">
        <w:rPr>
          <w:rFonts w:ascii="Times New Roman" w:hAnsi="Times New Roman" w:cs="Times New Roman"/>
          <w:b w:val="0"/>
          <w:i w:val="0"/>
        </w:rPr>
        <w:t xml:space="preserve">and </w:t>
      </w:r>
      <w:r w:rsidR="00B26EDC">
        <w:rPr>
          <w:rFonts w:ascii="Times New Roman" w:hAnsi="Times New Roman" w:cs="Times New Roman"/>
          <w:b w:val="0"/>
          <w:i w:val="0"/>
        </w:rPr>
        <w:t xml:space="preserve">they </w:t>
      </w:r>
      <w:r w:rsidR="000854CA">
        <w:rPr>
          <w:rFonts w:ascii="Times New Roman" w:hAnsi="Times New Roman" w:cs="Times New Roman"/>
          <w:b w:val="0"/>
          <w:i w:val="0"/>
        </w:rPr>
        <w:t>must demonstrate tha</w:t>
      </w:r>
      <w:r w:rsidR="00CC7A1B">
        <w:rPr>
          <w:rFonts w:ascii="Times New Roman" w:hAnsi="Times New Roman" w:cs="Times New Roman"/>
          <w:b w:val="0"/>
          <w:i w:val="0"/>
        </w:rPr>
        <w:t xml:space="preserve">t </w:t>
      </w:r>
      <w:r w:rsidR="00B04AF2">
        <w:rPr>
          <w:rFonts w:ascii="Times New Roman" w:hAnsi="Times New Roman" w:cs="Times New Roman"/>
          <w:b w:val="0"/>
          <w:i w:val="0"/>
        </w:rPr>
        <w:t>their</w:t>
      </w:r>
      <w:r w:rsidR="00CC7A1B">
        <w:rPr>
          <w:rFonts w:ascii="Times New Roman" w:hAnsi="Times New Roman" w:cs="Times New Roman"/>
          <w:b w:val="0"/>
          <w:i w:val="0"/>
        </w:rPr>
        <w:t xml:space="preserve"> expenditures to implement</w:t>
      </w:r>
      <w:r w:rsidR="000854CA">
        <w:rPr>
          <w:rFonts w:ascii="Times New Roman" w:hAnsi="Times New Roman" w:cs="Times New Roman"/>
          <w:b w:val="0"/>
          <w:i w:val="0"/>
        </w:rPr>
        <w:t xml:space="preserve"> energy conservation programs are </w:t>
      </w:r>
      <w:r w:rsidR="001A620A">
        <w:rPr>
          <w:rFonts w:ascii="Times New Roman" w:hAnsi="Times New Roman" w:cs="Times New Roman"/>
          <w:b w:val="0"/>
          <w:i w:val="0"/>
        </w:rPr>
        <w:t>reasonable</w:t>
      </w:r>
      <w:r w:rsidR="000854CA">
        <w:rPr>
          <w:rFonts w:ascii="Times New Roman" w:hAnsi="Times New Roman" w:cs="Times New Roman"/>
          <w:b w:val="0"/>
          <w:i w:val="0"/>
        </w:rPr>
        <w:t xml:space="preserve"> and prudent. </w:t>
      </w:r>
      <w:r w:rsidRPr="00723092">
        <w:rPr>
          <w:rFonts w:ascii="Times New Roman" w:hAnsi="Times New Roman" w:cs="Times New Roman"/>
          <w:b w:val="0"/>
          <w:i w:val="0"/>
        </w:rPr>
        <w:t>Rule 25-17.015(1)(b), F.A.C.</w:t>
      </w:r>
      <w:r w:rsidR="00886B66">
        <w:rPr>
          <w:rFonts w:ascii="Times New Roman" w:hAnsi="Times New Roman" w:cs="Times New Roman"/>
          <w:b w:val="0"/>
          <w:i w:val="0"/>
        </w:rPr>
        <w:t>,</w:t>
      </w:r>
      <w:r w:rsidRPr="00723092">
        <w:rPr>
          <w:rFonts w:ascii="Times New Roman" w:hAnsi="Times New Roman" w:cs="Times New Roman"/>
          <w:b w:val="0"/>
          <w:i w:val="0"/>
        </w:rPr>
        <w:t xml:space="preserve"> requires</w:t>
      </w:r>
      <w:r w:rsidR="000854CA">
        <w:rPr>
          <w:rFonts w:ascii="Times New Roman" w:hAnsi="Times New Roman" w:cs="Times New Roman"/>
          <w:b w:val="0"/>
          <w:i w:val="0"/>
        </w:rPr>
        <w:t xml:space="preserve"> that</w:t>
      </w:r>
      <w:r w:rsidRPr="00723092">
        <w:rPr>
          <w:rFonts w:ascii="Times New Roman" w:hAnsi="Times New Roman" w:cs="Times New Roman"/>
          <w:b w:val="0"/>
          <w:i w:val="0"/>
        </w:rPr>
        <w:t xml:space="preserve"> the electric utilitie</w:t>
      </w:r>
      <w:r w:rsidR="00723092">
        <w:rPr>
          <w:rFonts w:ascii="Times New Roman" w:hAnsi="Times New Roman" w:cs="Times New Roman"/>
          <w:b w:val="0"/>
          <w:i w:val="0"/>
        </w:rPr>
        <w:t xml:space="preserve">s make actual and estimated </w:t>
      </w:r>
      <w:r w:rsidRPr="00723092">
        <w:rPr>
          <w:rFonts w:ascii="Times New Roman" w:hAnsi="Times New Roman" w:cs="Times New Roman"/>
          <w:b w:val="0"/>
          <w:i w:val="0"/>
        </w:rPr>
        <w:t>filings, based upon eight months of actual data an</w:t>
      </w:r>
      <w:r w:rsidR="003A5467">
        <w:rPr>
          <w:rFonts w:ascii="Times New Roman" w:hAnsi="Times New Roman" w:cs="Times New Roman"/>
          <w:b w:val="0"/>
          <w:i w:val="0"/>
        </w:rPr>
        <w:t>d four months of projected data to be used in the annual ECCR proceedings.</w:t>
      </w:r>
      <w:r w:rsidRPr="00723092">
        <w:rPr>
          <w:rFonts w:ascii="Times New Roman" w:hAnsi="Times New Roman" w:cs="Times New Roman"/>
          <w:b w:val="0"/>
          <w:i w:val="0"/>
        </w:rPr>
        <w:t xml:space="preserve"> </w:t>
      </w:r>
      <w:r w:rsidR="00724073">
        <w:rPr>
          <w:rFonts w:ascii="Times New Roman" w:hAnsi="Times New Roman" w:cs="Times New Roman"/>
          <w:b w:val="0"/>
          <w:i w:val="0"/>
        </w:rPr>
        <w:t xml:space="preserve"> </w:t>
      </w:r>
    </w:p>
    <w:p w:rsidR="001A620A" w:rsidRDefault="001A620A">
      <w:pPr>
        <w:pStyle w:val="IssueHeading"/>
        <w:rPr>
          <w:rFonts w:ascii="Times New Roman" w:hAnsi="Times New Roman" w:cs="Times New Roman"/>
          <w:b w:val="0"/>
          <w:i w:val="0"/>
        </w:rPr>
      </w:pPr>
    </w:p>
    <w:p w:rsidR="00071BBA" w:rsidRPr="003B7700" w:rsidRDefault="00071BBA">
      <w:pPr>
        <w:pStyle w:val="IssueHeading"/>
        <w:rPr>
          <w:i w:val="0"/>
        </w:rPr>
      </w:pPr>
      <w:r w:rsidRPr="003B7700">
        <w:rPr>
          <w:i w:val="0"/>
        </w:rPr>
        <w:lastRenderedPageBreak/>
        <w:t>Requirements of Section 120.542, F.S.</w:t>
      </w:r>
    </w:p>
    <w:p w:rsidR="00071BBA" w:rsidRPr="00886B66" w:rsidRDefault="00C2000A" w:rsidP="00886B66">
      <w:pPr>
        <w:spacing w:after="240"/>
        <w:jc w:val="both"/>
      </w:pPr>
      <w:r w:rsidRPr="00723092">
        <w:t>Section 120.542(2), F.S., authorizes th</w:t>
      </w:r>
      <w:r w:rsidR="000854CA">
        <w:t xml:space="preserve">e </w:t>
      </w:r>
      <w:r w:rsidRPr="00723092">
        <w:t xml:space="preserve">Commission to grant variances or waivers from agency rules where the person subject to the rule has demonstrated that the purpose of the underlying statute will be or has been achieved by other means, and strict application of the rule would cause </w:t>
      </w:r>
      <w:r w:rsidR="00B04AF2">
        <w:t>the person substantial hardship. As defined by Section 120.542(2), F.S., “s</w:t>
      </w:r>
      <w:r w:rsidRPr="00723092">
        <w:t>ubstantial hardship” as defined in the statute means demonstrated economic, technologic</w:t>
      </w:r>
      <w:r w:rsidR="00B04AF2">
        <w:t xml:space="preserve">al, legal, or other hardship. </w:t>
      </w:r>
    </w:p>
    <w:p w:rsidR="00071BBA" w:rsidRPr="003B7700" w:rsidRDefault="00071BBA">
      <w:pPr>
        <w:pStyle w:val="IssueHeading"/>
        <w:rPr>
          <w:i w:val="0"/>
        </w:rPr>
      </w:pPr>
      <w:r w:rsidRPr="003B7700">
        <w:rPr>
          <w:i w:val="0"/>
        </w:rPr>
        <w:t>Purpose of the Underlying Statutes</w:t>
      </w:r>
    </w:p>
    <w:p w:rsidR="00071BBA" w:rsidRPr="00723092" w:rsidRDefault="001A620A" w:rsidP="00886B66">
      <w:pPr>
        <w:spacing w:after="240"/>
        <w:jc w:val="both"/>
      </w:pPr>
      <w:r>
        <w:t>Sections 3</w:t>
      </w:r>
      <w:r w:rsidR="00886B66">
        <w:t xml:space="preserve">66.80-366.83, F.S., </w:t>
      </w:r>
      <w:r w:rsidR="00F11E65">
        <w:t>are</w:t>
      </w:r>
      <w:r w:rsidR="007E456E">
        <w:t xml:space="preserve"> known collectively as the Flor</w:t>
      </w:r>
      <w:r w:rsidR="00F11E65">
        <w:t>ida Energy Effici</w:t>
      </w:r>
      <w:r w:rsidR="007E456E">
        <w:t xml:space="preserve">ency and </w:t>
      </w:r>
      <w:r>
        <w:t>Conservation</w:t>
      </w:r>
      <w:r w:rsidR="007E456E">
        <w:t xml:space="preserve"> Act (FEECA)</w:t>
      </w:r>
      <w:r w:rsidR="00F11E65">
        <w:t xml:space="preserve">.  The purpose of these </w:t>
      </w:r>
      <w:r>
        <w:t>statutes</w:t>
      </w:r>
      <w:r w:rsidR="00F11E65">
        <w:t xml:space="preserve"> </w:t>
      </w:r>
      <w:r w:rsidR="00C2000A" w:rsidRPr="00723092">
        <w:t xml:space="preserve">is to </w:t>
      </w:r>
      <w:r w:rsidR="00F11E65">
        <w:t xml:space="preserve">direct </w:t>
      </w:r>
      <w:r w:rsidR="007E456E">
        <w:t xml:space="preserve">the Commission to </w:t>
      </w:r>
      <w:r w:rsidR="00C2000A" w:rsidRPr="00723092">
        <w:t xml:space="preserve">adopt goals and </w:t>
      </w:r>
      <w:r>
        <w:t xml:space="preserve">approve </w:t>
      </w:r>
      <w:r w:rsidRPr="00723092">
        <w:t>plans</w:t>
      </w:r>
      <w:r w:rsidR="00C2000A" w:rsidRPr="00723092">
        <w:t xml:space="preserve"> related to the promotion of demand-side renewable energy systems and the conservation of electric energy.  </w:t>
      </w:r>
      <w:r w:rsidR="00B26EDC">
        <w:t>The IOUs</w:t>
      </w:r>
      <w:r w:rsidR="00B26EDC" w:rsidRPr="00723092">
        <w:t xml:space="preserve"> are asking to waive the eight months actual and four month projected aspect of the rule and provide actual and estimated true-up filings that are six month</w:t>
      </w:r>
      <w:r w:rsidR="00B26EDC">
        <w:t>s actual and six months projections of</w:t>
      </w:r>
      <w:r w:rsidR="00B26EDC" w:rsidRPr="00723092">
        <w:t xml:space="preserve"> common costs, individual program costs and any revenues collected. </w:t>
      </w:r>
      <w:r w:rsidR="00A4661B">
        <w:t>In their ECCR filings,</w:t>
      </w:r>
      <w:r w:rsidR="00A4661B" w:rsidRPr="00723092">
        <w:t xml:space="preserve"> the </w:t>
      </w:r>
      <w:r w:rsidR="00A4661B">
        <w:t>IOUs</w:t>
      </w:r>
      <w:r w:rsidR="00B04AF2">
        <w:t xml:space="preserve"> continue to </w:t>
      </w:r>
      <w:r w:rsidR="00A4661B" w:rsidRPr="00723092">
        <w:t xml:space="preserve">provide actual and estimated true-up projections. </w:t>
      </w:r>
      <w:r w:rsidR="00B26EDC">
        <w:t xml:space="preserve">The IOUs assert that a </w:t>
      </w:r>
      <w:r w:rsidR="00C2000A" w:rsidRPr="00723092">
        <w:t xml:space="preserve">waiver of Rule 25-17.015(1)(b), F.A.C., as proposed in the instant </w:t>
      </w:r>
      <w:r w:rsidR="00FB5836">
        <w:t>docket</w:t>
      </w:r>
      <w:r w:rsidR="004624D2">
        <w:t>,</w:t>
      </w:r>
      <w:r w:rsidR="00C2000A" w:rsidRPr="00723092">
        <w:t xml:space="preserve"> will not prevent</w:t>
      </w:r>
      <w:r w:rsidR="00786872">
        <w:t xml:space="preserve"> meeting</w:t>
      </w:r>
      <w:r w:rsidR="00C2000A" w:rsidRPr="00723092">
        <w:t xml:space="preserve"> </w:t>
      </w:r>
      <w:r w:rsidR="00CC7A1B">
        <w:t>the</w:t>
      </w:r>
      <w:r w:rsidR="00C2000A" w:rsidRPr="00723092">
        <w:t xml:space="preserve"> statutory requirements under Section</w:t>
      </w:r>
      <w:r w:rsidR="00CC7A1B">
        <w:t>s</w:t>
      </w:r>
      <w:r w:rsidR="00C2000A" w:rsidRPr="00723092">
        <w:t xml:space="preserve"> 366.80-366.83</w:t>
      </w:r>
      <w:r w:rsidR="00643C0A">
        <w:t>,</w:t>
      </w:r>
      <w:r w:rsidR="00C2000A" w:rsidRPr="00723092">
        <w:t xml:space="preserve"> F.S.</w:t>
      </w:r>
      <w:r w:rsidR="00CC7A1B">
        <w:t xml:space="preserve">, </w:t>
      </w:r>
      <w:r w:rsidR="00B26EDC">
        <w:t>because th</w:t>
      </w:r>
      <w:r w:rsidR="00724073">
        <w:t>e</w:t>
      </w:r>
      <w:r w:rsidR="00B26EDC">
        <w:t xml:space="preserve"> six month actual and six month projections of </w:t>
      </w:r>
      <w:r w:rsidR="00B26EDC" w:rsidRPr="00723092">
        <w:t xml:space="preserve">information </w:t>
      </w:r>
      <w:r w:rsidR="004624D2">
        <w:t>will</w:t>
      </w:r>
      <w:r w:rsidR="00B26EDC" w:rsidRPr="00723092">
        <w:t xml:space="preserve"> satisfy the purpose of Section</w:t>
      </w:r>
      <w:r w:rsidR="00B26EDC">
        <w:t xml:space="preserve"> 366.05(1), F.S.</w:t>
      </w:r>
      <w:r w:rsidR="00FB5836">
        <w:t>,</w:t>
      </w:r>
      <w:r w:rsidR="00B26EDC">
        <w:t xml:space="preserve"> for this year.</w:t>
      </w:r>
      <w:r w:rsidR="00C2000A" w:rsidRPr="00723092">
        <w:t xml:space="preserve"> </w:t>
      </w:r>
    </w:p>
    <w:p w:rsidR="00071BBA" w:rsidRPr="003B7700" w:rsidRDefault="00071BBA" w:rsidP="00071BBA">
      <w:pPr>
        <w:pStyle w:val="BodyText"/>
        <w:rPr>
          <w:rFonts w:ascii="Arial" w:hAnsi="Arial" w:cs="Arial"/>
          <w:b/>
        </w:rPr>
      </w:pPr>
      <w:r w:rsidRPr="003B7700">
        <w:rPr>
          <w:rFonts w:ascii="Arial" w:hAnsi="Arial" w:cs="Arial"/>
          <w:b/>
        </w:rPr>
        <w:t>Su</w:t>
      </w:r>
      <w:r w:rsidR="00CC7A1B">
        <w:rPr>
          <w:rFonts w:ascii="Arial" w:hAnsi="Arial" w:cs="Arial"/>
          <w:b/>
        </w:rPr>
        <w:t xml:space="preserve">bstantial Hardship </w:t>
      </w:r>
    </w:p>
    <w:p w:rsidR="00A4661B" w:rsidRPr="00B04AF2" w:rsidRDefault="00B04AF2" w:rsidP="00B04AF2">
      <w:pPr>
        <w:spacing w:after="240"/>
        <w:jc w:val="both"/>
      </w:pPr>
      <w:r>
        <w:t>As stated, p</w:t>
      </w:r>
      <w:r w:rsidR="007E456E">
        <w:t xml:space="preserve">ursuant </w:t>
      </w:r>
      <w:r w:rsidR="001A620A">
        <w:t>to Section</w:t>
      </w:r>
      <w:r w:rsidR="007E456E">
        <w:t xml:space="preserve"> 120.542</w:t>
      </w:r>
      <w:r w:rsidR="004624D2">
        <w:t>(2)</w:t>
      </w:r>
      <w:r w:rsidR="007E456E">
        <w:t>, F.S.</w:t>
      </w:r>
      <w:r w:rsidR="00886B66">
        <w:t>,</w:t>
      </w:r>
      <w:r w:rsidR="007E456E">
        <w:t xml:space="preserve"> the petition must demonstrate that application of the rule would create a substantial hardship</w:t>
      </w:r>
      <w:r w:rsidR="00A4661B">
        <w:t xml:space="preserve">. </w:t>
      </w:r>
      <w:r w:rsidR="00724073">
        <w:t>Further, Section 120.</w:t>
      </w:r>
      <w:r w:rsidR="00B26EDC">
        <w:t>542</w:t>
      </w:r>
      <w:r w:rsidR="004624D2">
        <w:t>(2)</w:t>
      </w:r>
      <w:r w:rsidR="00B26EDC">
        <w:t xml:space="preserve">, F.S., </w:t>
      </w:r>
      <w:r w:rsidR="00CC6F64">
        <w:t>defines</w:t>
      </w:r>
      <w:r w:rsidR="00B26EDC">
        <w:t xml:space="preserve"> su</w:t>
      </w:r>
      <w:r w:rsidR="007E456E">
        <w:t xml:space="preserve">bstantial hardship </w:t>
      </w:r>
      <w:r w:rsidR="001A620A">
        <w:t>as demonstrated</w:t>
      </w:r>
      <w:r w:rsidR="007E456E">
        <w:t xml:space="preserve">, </w:t>
      </w:r>
      <w:r w:rsidR="001A620A">
        <w:t>economic</w:t>
      </w:r>
      <w:r w:rsidR="007E456E">
        <w:t xml:space="preserve">, </w:t>
      </w:r>
      <w:r w:rsidR="001A620A">
        <w:t>technological</w:t>
      </w:r>
      <w:r w:rsidR="007E456E">
        <w:t>, legal, or other type of hardship to the</w:t>
      </w:r>
      <w:r w:rsidR="003046EB">
        <w:t xml:space="preserve"> entity requesting the waiver</w:t>
      </w:r>
      <w:r w:rsidR="00A4661B">
        <w:t>.</w:t>
      </w:r>
      <w:r>
        <w:t xml:space="preserve"> Here the</w:t>
      </w:r>
      <w:r w:rsidRPr="00723092">
        <w:t xml:space="preserve"> </w:t>
      </w:r>
      <w:r>
        <w:t>IOUs</w:t>
      </w:r>
      <w:r w:rsidRPr="00723092">
        <w:t xml:space="preserve"> </w:t>
      </w:r>
      <w:r>
        <w:t>assert</w:t>
      </w:r>
      <w:r w:rsidRPr="00723092">
        <w:t xml:space="preserve"> that application of the rule would create a subs</w:t>
      </w:r>
      <w:r>
        <w:t xml:space="preserve">tantial hardship to the IOUs </w:t>
      </w:r>
      <w:r w:rsidRPr="00723092">
        <w:t xml:space="preserve">due to the </w:t>
      </w:r>
      <w:r>
        <w:t>impossibility of submitting their filing on the basis of eight months of actual data and four months of projected data as required by the rule and by the due date set by the Order Establishing Procedure.</w:t>
      </w:r>
      <w:r w:rsidRPr="00723092">
        <w:t xml:space="preserve">  Staff recommends that the </w:t>
      </w:r>
      <w:r w:rsidR="00FB5836">
        <w:t xml:space="preserve">Commission finds that the </w:t>
      </w:r>
      <w:r w:rsidRPr="00723092">
        <w:t>strict application of Rule 25-17.015, F.A</w:t>
      </w:r>
      <w:r>
        <w:t>.</w:t>
      </w:r>
      <w:r w:rsidRPr="00723092">
        <w:t xml:space="preserve">C., in the instant docket would create a substantial hardship for </w:t>
      </w:r>
      <w:r>
        <w:t xml:space="preserve">the IOUs based on the unavailability of the financial information. Staff believes that the information that the IOUs provided will allow the Commission to determine the IOUs’ recovery of </w:t>
      </w:r>
      <w:r w:rsidRPr="00723092">
        <w:t>costs for energy conservation programs</w:t>
      </w:r>
      <w:r>
        <w:t xml:space="preserve"> pursuant to the annual ECCR program and that the information complies with the underlying statutes. Therefore, s</w:t>
      </w:r>
      <w:r w:rsidR="002A52CC">
        <w:t>taff recommends</w:t>
      </w:r>
      <w:r w:rsidR="002B3F0F">
        <w:t xml:space="preserve"> that </w:t>
      </w:r>
      <w:r w:rsidR="002A52CC">
        <w:t xml:space="preserve">the </w:t>
      </w:r>
      <w:r w:rsidR="002B3F0F">
        <w:t>IOUs</w:t>
      </w:r>
      <w:r w:rsidR="00C2000A" w:rsidRPr="00723092">
        <w:t xml:space="preserve"> have demonstrated that application of the rule would create a substantial hardship under the current timeline as set forth in the current hearing schedule.</w:t>
      </w:r>
      <w:r w:rsidR="000854CA">
        <w:t xml:space="preserve"> </w:t>
      </w:r>
    </w:p>
    <w:p w:rsidR="00071BBA" w:rsidRPr="003B7700" w:rsidRDefault="00071BBA" w:rsidP="00071BBA">
      <w:pPr>
        <w:pStyle w:val="BodyText"/>
        <w:rPr>
          <w:rFonts w:ascii="Arial" w:hAnsi="Arial" w:cs="Arial"/>
          <w:b/>
        </w:rPr>
      </w:pPr>
      <w:r w:rsidRPr="003B7700">
        <w:rPr>
          <w:rFonts w:ascii="Arial" w:hAnsi="Arial" w:cs="Arial"/>
          <w:b/>
        </w:rPr>
        <w:t>Conclusion</w:t>
      </w:r>
    </w:p>
    <w:p w:rsidR="00C2000A" w:rsidRPr="00723092" w:rsidRDefault="007E456E" w:rsidP="007E456E">
      <w:pPr>
        <w:spacing w:after="240"/>
        <w:jc w:val="both"/>
      </w:pPr>
      <w:r>
        <w:t>Section 120.542, F.S.</w:t>
      </w:r>
      <w:r w:rsidR="00886B66">
        <w:t>,</w:t>
      </w:r>
      <w:r>
        <w:t xml:space="preserve"> requires companies to demonstrate that the purpose of the underlying statute will be or has been achieved by other means by the companies and that application of the rule would create a substantial hardship</w:t>
      </w:r>
      <w:r w:rsidR="00A4661B">
        <w:t xml:space="preserve">. </w:t>
      </w:r>
      <w:r w:rsidR="001A620A">
        <w:t>Staff recommends tha</w:t>
      </w:r>
      <w:r w:rsidR="002A52CC">
        <w:t>t the</w:t>
      </w:r>
      <w:r w:rsidR="00FB5836">
        <w:t xml:space="preserve"> IOUs </w:t>
      </w:r>
      <w:r w:rsidR="00FB5836" w:rsidRPr="00723092">
        <w:t>have demonstrated</w:t>
      </w:r>
      <w:r w:rsidR="002A52CC">
        <w:t xml:space="preserve"> </w:t>
      </w:r>
      <w:r w:rsidR="00FB5836">
        <w:t xml:space="preserve"> that a substantial hardship would be created with a application of Rule 25-17.015, F.A.C. Staff further recommends, that the </w:t>
      </w:r>
      <w:r w:rsidR="002A52CC">
        <w:t xml:space="preserve">Commission find </w:t>
      </w:r>
      <w:r w:rsidR="00FB5836">
        <w:t xml:space="preserve">that </w:t>
      </w:r>
      <w:r w:rsidR="002A52CC">
        <w:t>the IOUs</w:t>
      </w:r>
      <w:r w:rsidR="00C2000A" w:rsidRPr="00723092">
        <w:t xml:space="preserve"> have demonstrated that the purpose </w:t>
      </w:r>
      <w:r w:rsidR="00C2000A" w:rsidRPr="00723092">
        <w:lastRenderedPageBreak/>
        <w:t xml:space="preserve">of the underlying statute will be achieved </w:t>
      </w:r>
      <w:r w:rsidR="003A5467">
        <w:t>with a</w:t>
      </w:r>
      <w:r w:rsidR="00C2000A" w:rsidRPr="00723092">
        <w:t xml:space="preserve"> waiver of the appli</w:t>
      </w:r>
      <w:r w:rsidR="003A5467">
        <w:t>cation of Rule 25-17</w:t>
      </w:r>
      <w:r w:rsidR="004624D2">
        <w:t>.</w:t>
      </w:r>
      <w:r w:rsidR="003A5467">
        <w:t>015, F.A.C.</w:t>
      </w:r>
      <w:r w:rsidR="004624D2">
        <w:t xml:space="preserve"> </w:t>
      </w:r>
      <w:r w:rsidR="001A620A" w:rsidRPr="00723092">
        <w:t xml:space="preserve">Therefore, </w:t>
      </w:r>
      <w:r w:rsidR="001A620A">
        <w:t xml:space="preserve">staff recommends that the Commission find it appropriate to grant the </w:t>
      </w:r>
      <w:r w:rsidR="002A52CC">
        <w:t>IOUs’ Joint P</w:t>
      </w:r>
      <w:r w:rsidR="001A620A">
        <w:t xml:space="preserve">etition for waiver of Rule 25-17.015(1)(b), </w:t>
      </w:r>
      <w:r w:rsidR="002A52CC">
        <w:t>F.A.C.</w:t>
      </w:r>
      <w:r w:rsidR="001A620A">
        <w:t xml:space="preserve">, and allow </w:t>
      </w:r>
      <w:r w:rsidR="001A620A" w:rsidRPr="00723092">
        <w:t>annual estimated/actual true-up filing</w:t>
      </w:r>
      <w:r w:rsidR="003A21FC">
        <w:t>s</w:t>
      </w:r>
      <w:r w:rsidR="001A620A" w:rsidRPr="00723092">
        <w:t xml:space="preserve"> </w:t>
      </w:r>
      <w:r w:rsidR="001A620A">
        <w:t>of six month actual and six months of projected data.</w:t>
      </w:r>
    </w:p>
    <w:p w:rsidR="003C4347" w:rsidRDefault="003C4347">
      <w:pPr>
        <w:pStyle w:val="IssueHeading"/>
        <w:rPr>
          <w:vanish/>
          <w:specVanish/>
        </w:rPr>
      </w:pPr>
      <w:r w:rsidRPr="00723092">
        <w:rPr>
          <w:rFonts w:ascii="Times New Roman" w:hAnsi="Times New Roman" w:cs="Times New Roman"/>
          <w:b w:val="0"/>
          <w:i w:val="0"/>
        </w:rPr>
        <w:br w:type="page"/>
      </w:r>
      <w:r w:rsidRPr="004C3641">
        <w:lastRenderedPageBreak/>
        <w:t xml:space="preserve">Issue </w:t>
      </w:r>
      <w:r w:rsidR="00603AAC">
        <w:fldChar w:fldCharType="begin"/>
      </w:r>
      <w:r w:rsidR="00603AAC">
        <w:instrText xml:space="preserve"> SEQ Issue \* MERGEFORMAT </w:instrText>
      </w:r>
      <w:r w:rsidR="00603AAC">
        <w:fldChar w:fldCharType="separate"/>
      </w:r>
      <w:r w:rsidR="008771A1">
        <w:rPr>
          <w:noProof/>
        </w:rPr>
        <w:t>2</w:t>
      </w:r>
      <w:r w:rsidR="00603A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771A1">
        <w:rPr>
          <w:noProof/>
        </w:rPr>
        <w:instrText>2</w:instrText>
      </w:r>
      <w:r>
        <w:fldChar w:fldCharType="end"/>
      </w:r>
      <w:r>
        <w:tab/>
        <w:instrText xml:space="preserve">(Tan, Lherrison)" \l 1 </w:instrText>
      </w:r>
      <w:r>
        <w:fldChar w:fldCharType="end"/>
      </w:r>
      <w:r>
        <w:t> </w:t>
      </w:r>
    </w:p>
    <w:p w:rsidR="003C4347" w:rsidRDefault="003C4347">
      <w:pPr>
        <w:pStyle w:val="BodyText"/>
      </w:pPr>
      <w:r>
        <w:t> Should this docket be closed?</w:t>
      </w:r>
    </w:p>
    <w:p w:rsidR="003C4347" w:rsidRPr="004C3641" w:rsidRDefault="003C4347">
      <w:pPr>
        <w:pStyle w:val="IssueSubsectionHeading"/>
        <w:rPr>
          <w:vanish/>
          <w:specVanish/>
        </w:rPr>
      </w:pPr>
      <w:r w:rsidRPr="004C3641">
        <w:t>Recommendation: </w:t>
      </w:r>
    </w:p>
    <w:p w:rsidR="003C4347" w:rsidRDefault="003C4347">
      <w:pPr>
        <w:pStyle w:val="BodyText"/>
      </w:pPr>
      <w:r>
        <w:t> </w:t>
      </w:r>
      <w:bookmarkStart w:id="16" w:name="IssueRecommendation"/>
      <w:r>
        <w:t xml:space="preserve">No. </w:t>
      </w:r>
      <w:r w:rsidR="00786872">
        <w:t xml:space="preserve">If no person whose substantial interests are affected by the proposed agency action files a protest within 21 days of the issuance of the order, this docket should not be closed upon the issuance of a consummating order. </w:t>
      </w:r>
      <w:r>
        <w:t>The Energy Conservation Cost Recovery C</w:t>
      </w:r>
      <w:r w:rsidR="000854CA">
        <w:t>lause docket is ongoing and this</w:t>
      </w:r>
      <w:r>
        <w:t xml:space="preserve"> docket should remain open for further Commission action</w:t>
      </w:r>
      <w:bookmarkEnd w:id="16"/>
      <w:r>
        <w:t xml:space="preserve">. (Tan, </w:t>
      </w:r>
      <w:r w:rsidR="00B670F3">
        <w:t>Cuello</w:t>
      </w:r>
      <w:r>
        <w:t>)</w:t>
      </w:r>
    </w:p>
    <w:p w:rsidR="003C4347" w:rsidRPr="004C3641" w:rsidRDefault="003C4347">
      <w:pPr>
        <w:pStyle w:val="IssueSubsectionHeading"/>
        <w:rPr>
          <w:vanish/>
          <w:specVanish/>
        </w:rPr>
      </w:pPr>
      <w:r w:rsidRPr="004C3641">
        <w:t>Staff Analysis: </w:t>
      </w:r>
    </w:p>
    <w:p w:rsidR="003C4347" w:rsidRDefault="003C4347">
      <w:pPr>
        <w:pStyle w:val="BodyText"/>
      </w:pPr>
      <w:r>
        <w:t> </w:t>
      </w:r>
      <w:r w:rsidR="00786872">
        <w:t xml:space="preserve">If no person whose substantial interests are affected by the proposed agency action files a protest within 21 days of the issuance of the order, this docket should not be closed upon the issuance of a consummating order. </w:t>
      </w:r>
      <w:r>
        <w:t>The Energy Conservation Cost Recovery Clause docket is ongoing and thi</w:t>
      </w:r>
      <w:r w:rsidR="000854CA">
        <w:t>s</w:t>
      </w:r>
      <w:r>
        <w:t xml:space="preserve"> docket should remain open for further Commission action.</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45" w:rsidRDefault="00195345">
      <w:r>
        <w:separator/>
      </w:r>
    </w:p>
  </w:endnote>
  <w:endnote w:type="continuationSeparator" w:id="0">
    <w:p w:rsidR="00195345" w:rsidRDefault="001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C5E37">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45" w:rsidRDefault="00195345">
      <w:r>
        <w:separator/>
      </w:r>
    </w:p>
  </w:footnote>
  <w:footnote w:type="continuationSeparator" w:id="0">
    <w:p w:rsidR="00195345" w:rsidRDefault="00195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195345"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160002-EG</w:t>
    </w:r>
    <w:bookmarkEnd w:id="14"/>
  </w:p>
  <w:p w:rsidR="00212B17" w:rsidRDefault="00212B17">
    <w:pPr>
      <w:pStyle w:val="Header"/>
    </w:pPr>
    <w:r>
      <w:t xml:space="preserve">Date: </w:t>
    </w:r>
    <w:r w:rsidR="00603AAC">
      <w:fldChar w:fldCharType="begin"/>
    </w:r>
    <w:r w:rsidR="00603AAC">
      <w:instrText xml:space="preserve"> REF FilingDate </w:instrText>
    </w:r>
    <w:r w:rsidR="00603AAC">
      <w:fldChar w:fldCharType="separate"/>
    </w:r>
    <w:r w:rsidR="008771A1">
      <w:t>September 29, 2016</w:t>
    </w:r>
    <w:r w:rsidR="00603AA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8771A1">
      <w:t>Docket No.</w:t>
    </w:r>
    <w:r>
      <w:fldChar w:fldCharType="end"/>
    </w:r>
    <w:r>
      <w:t xml:space="preserve"> </w:t>
    </w:r>
    <w:r>
      <w:fldChar w:fldCharType="begin"/>
    </w:r>
    <w:r>
      <w:instrText xml:space="preserve"> REF DocketList</w:instrText>
    </w:r>
    <w:r>
      <w:fldChar w:fldCharType="separate"/>
    </w:r>
    <w:r w:rsidR="008771A1">
      <w:t>160002-EG</w:t>
    </w:r>
    <w:r>
      <w:fldChar w:fldCharType="end"/>
    </w:r>
    <w:r>
      <w:tab/>
      <w:t xml:space="preserve">Issue </w:t>
    </w:r>
    <w:r w:rsidR="00603AAC">
      <w:fldChar w:fldCharType="begin"/>
    </w:r>
    <w:r w:rsidR="00603AAC">
      <w:instrText xml:space="preserve"> Seq Issue \c \* Arabic </w:instrText>
    </w:r>
    <w:r w:rsidR="00603AAC">
      <w:fldChar w:fldCharType="separate"/>
    </w:r>
    <w:r w:rsidR="006C5E37">
      <w:rPr>
        <w:noProof/>
      </w:rPr>
      <w:t>2</w:t>
    </w:r>
    <w:r w:rsidR="00603AAC">
      <w:rPr>
        <w:noProof/>
      </w:rPr>
      <w:fldChar w:fldCharType="end"/>
    </w:r>
  </w:p>
  <w:p w:rsidR="00212B17" w:rsidRDefault="00212B17">
    <w:pPr>
      <w:pStyle w:val="Header"/>
    </w:pPr>
    <w:r>
      <w:t xml:space="preserve">Date: </w:t>
    </w:r>
    <w:r w:rsidR="00603AAC">
      <w:fldChar w:fldCharType="begin"/>
    </w:r>
    <w:r w:rsidR="00603AAC">
      <w:instrText xml:space="preserve"> REF FilingDate </w:instrText>
    </w:r>
    <w:r w:rsidR="00603AAC">
      <w:fldChar w:fldCharType="separate"/>
    </w:r>
    <w:r w:rsidR="008771A1">
      <w:t>September 29, 2016</w:t>
    </w:r>
    <w:r w:rsidR="00603AA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95345"/>
    <w:rsid w:val="00010E37"/>
    <w:rsid w:val="000247C5"/>
    <w:rsid w:val="000277C2"/>
    <w:rsid w:val="00035B48"/>
    <w:rsid w:val="00036CE2"/>
    <w:rsid w:val="000437FE"/>
    <w:rsid w:val="000513BE"/>
    <w:rsid w:val="00065A06"/>
    <w:rsid w:val="000666F3"/>
    <w:rsid w:val="00070DCB"/>
    <w:rsid w:val="00071BBA"/>
    <w:rsid w:val="00073120"/>
    <w:rsid w:val="000764D0"/>
    <w:rsid w:val="000828D3"/>
    <w:rsid w:val="000854CA"/>
    <w:rsid w:val="000A2B57"/>
    <w:rsid w:val="000A418B"/>
    <w:rsid w:val="000C4431"/>
    <w:rsid w:val="000D4319"/>
    <w:rsid w:val="000F374A"/>
    <w:rsid w:val="00114C47"/>
    <w:rsid w:val="00117C8C"/>
    <w:rsid w:val="00124E2E"/>
    <w:rsid w:val="00125ED4"/>
    <w:rsid w:val="001305E9"/>
    <w:rsid w:val="001307AF"/>
    <w:rsid w:val="00135687"/>
    <w:rsid w:val="001430A6"/>
    <w:rsid w:val="0015506E"/>
    <w:rsid w:val="00163031"/>
    <w:rsid w:val="00171A90"/>
    <w:rsid w:val="00180254"/>
    <w:rsid w:val="00191E1F"/>
    <w:rsid w:val="00192943"/>
    <w:rsid w:val="00195345"/>
    <w:rsid w:val="001A620A"/>
    <w:rsid w:val="001A7406"/>
    <w:rsid w:val="001B4FEE"/>
    <w:rsid w:val="001B51C5"/>
    <w:rsid w:val="001B6F3F"/>
    <w:rsid w:val="001B7386"/>
    <w:rsid w:val="001C13D9"/>
    <w:rsid w:val="001C52B5"/>
    <w:rsid w:val="001D0D3E"/>
    <w:rsid w:val="001F2245"/>
    <w:rsid w:val="001F6DA1"/>
    <w:rsid w:val="002044E6"/>
    <w:rsid w:val="00205C82"/>
    <w:rsid w:val="00205DC2"/>
    <w:rsid w:val="00212B17"/>
    <w:rsid w:val="002163B6"/>
    <w:rsid w:val="00220732"/>
    <w:rsid w:val="00221D32"/>
    <w:rsid w:val="00225C3F"/>
    <w:rsid w:val="00243A84"/>
    <w:rsid w:val="00263D44"/>
    <w:rsid w:val="002702AD"/>
    <w:rsid w:val="00292D82"/>
    <w:rsid w:val="002963CB"/>
    <w:rsid w:val="002A52CC"/>
    <w:rsid w:val="002A70C7"/>
    <w:rsid w:val="002B3F0F"/>
    <w:rsid w:val="002D226D"/>
    <w:rsid w:val="002F6030"/>
    <w:rsid w:val="003037E1"/>
    <w:rsid w:val="003046EB"/>
    <w:rsid w:val="00307E51"/>
    <w:rsid w:val="003103EC"/>
    <w:rsid w:val="003144EF"/>
    <w:rsid w:val="00322F74"/>
    <w:rsid w:val="00340073"/>
    <w:rsid w:val="00371146"/>
    <w:rsid w:val="00372805"/>
    <w:rsid w:val="00373180"/>
    <w:rsid w:val="00375699"/>
    <w:rsid w:val="00375AB9"/>
    <w:rsid w:val="003821A0"/>
    <w:rsid w:val="00385B04"/>
    <w:rsid w:val="003864CF"/>
    <w:rsid w:val="003A21FC"/>
    <w:rsid w:val="003A22A6"/>
    <w:rsid w:val="003A5467"/>
    <w:rsid w:val="003A5494"/>
    <w:rsid w:val="003B2510"/>
    <w:rsid w:val="003B7700"/>
    <w:rsid w:val="003C2CC4"/>
    <w:rsid w:val="003C4347"/>
    <w:rsid w:val="003E0EFC"/>
    <w:rsid w:val="003E4A2B"/>
    <w:rsid w:val="003E76C2"/>
    <w:rsid w:val="003F1679"/>
    <w:rsid w:val="003F4A35"/>
    <w:rsid w:val="003F7FDD"/>
    <w:rsid w:val="00402481"/>
    <w:rsid w:val="004042B4"/>
    <w:rsid w:val="004071ED"/>
    <w:rsid w:val="00412DAE"/>
    <w:rsid w:val="00431598"/>
    <w:rsid w:val="004426B8"/>
    <w:rsid w:val="00444432"/>
    <w:rsid w:val="004624D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C777B"/>
    <w:rsid w:val="005D0F74"/>
    <w:rsid w:val="005D2E7D"/>
    <w:rsid w:val="005D4A8F"/>
    <w:rsid w:val="005D561B"/>
    <w:rsid w:val="005F468D"/>
    <w:rsid w:val="005F69A3"/>
    <w:rsid w:val="00615423"/>
    <w:rsid w:val="006165B2"/>
    <w:rsid w:val="00617276"/>
    <w:rsid w:val="00625D97"/>
    <w:rsid w:val="00625F1C"/>
    <w:rsid w:val="00630CEB"/>
    <w:rsid w:val="00632264"/>
    <w:rsid w:val="00643C0A"/>
    <w:rsid w:val="006470BC"/>
    <w:rsid w:val="00667036"/>
    <w:rsid w:val="00673BDB"/>
    <w:rsid w:val="006771B8"/>
    <w:rsid w:val="006843B6"/>
    <w:rsid w:val="0068481F"/>
    <w:rsid w:val="00696F5D"/>
    <w:rsid w:val="00697249"/>
    <w:rsid w:val="006B3947"/>
    <w:rsid w:val="006B4293"/>
    <w:rsid w:val="006B624F"/>
    <w:rsid w:val="006C31E3"/>
    <w:rsid w:val="006C5E37"/>
    <w:rsid w:val="006D18D3"/>
    <w:rsid w:val="006D682E"/>
    <w:rsid w:val="006E08CB"/>
    <w:rsid w:val="006E598D"/>
    <w:rsid w:val="0070437D"/>
    <w:rsid w:val="00705B04"/>
    <w:rsid w:val="00723092"/>
    <w:rsid w:val="00724073"/>
    <w:rsid w:val="00734820"/>
    <w:rsid w:val="007349DC"/>
    <w:rsid w:val="0074365E"/>
    <w:rsid w:val="007515FD"/>
    <w:rsid w:val="00760D80"/>
    <w:rsid w:val="00780C09"/>
    <w:rsid w:val="00780DDF"/>
    <w:rsid w:val="007834E9"/>
    <w:rsid w:val="00786872"/>
    <w:rsid w:val="00787DBC"/>
    <w:rsid w:val="00792935"/>
    <w:rsid w:val="007A04A1"/>
    <w:rsid w:val="007A1840"/>
    <w:rsid w:val="007B69C5"/>
    <w:rsid w:val="007C0528"/>
    <w:rsid w:val="007C3D38"/>
    <w:rsid w:val="007D0F35"/>
    <w:rsid w:val="007D4FEB"/>
    <w:rsid w:val="007D6146"/>
    <w:rsid w:val="007E0CE7"/>
    <w:rsid w:val="007E456E"/>
    <w:rsid w:val="007E58D8"/>
    <w:rsid w:val="007F1193"/>
    <w:rsid w:val="007F417F"/>
    <w:rsid w:val="008042BD"/>
    <w:rsid w:val="00816624"/>
    <w:rsid w:val="00822427"/>
    <w:rsid w:val="00822562"/>
    <w:rsid w:val="00823663"/>
    <w:rsid w:val="00832DDC"/>
    <w:rsid w:val="00833AB1"/>
    <w:rsid w:val="00850BAC"/>
    <w:rsid w:val="00852B57"/>
    <w:rsid w:val="00854A3E"/>
    <w:rsid w:val="00855D08"/>
    <w:rsid w:val="00874344"/>
    <w:rsid w:val="008771A1"/>
    <w:rsid w:val="00882155"/>
    <w:rsid w:val="0088233B"/>
    <w:rsid w:val="0088599E"/>
    <w:rsid w:val="00886B66"/>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5483"/>
    <w:rsid w:val="00A4661B"/>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4AF2"/>
    <w:rsid w:val="00B05B51"/>
    <w:rsid w:val="00B14E5A"/>
    <w:rsid w:val="00B15370"/>
    <w:rsid w:val="00B17BEB"/>
    <w:rsid w:val="00B21A3C"/>
    <w:rsid w:val="00B223C0"/>
    <w:rsid w:val="00B234ED"/>
    <w:rsid w:val="00B249B2"/>
    <w:rsid w:val="00B25CA3"/>
    <w:rsid w:val="00B26EDC"/>
    <w:rsid w:val="00B57A6A"/>
    <w:rsid w:val="00B670F3"/>
    <w:rsid w:val="00B760F1"/>
    <w:rsid w:val="00B7669E"/>
    <w:rsid w:val="00B77DA1"/>
    <w:rsid w:val="00BA0D55"/>
    <w:rsid w:val="00BA37B3"/>
    <w:rsid w:val="00BA4CC6"/>
    <w:rsid w:val="00BB3493"/>
    <w:rsid w:val="00BB7468"/>
    <w:rsid w:val="00BC188A"/>
    <w:rsid w:val="00BD15D3"/>
    <w:rsid w:val="00BF5010"/>
    <w:rsid w:val="00C05791"/>
    <w:rsid w:val="00C13791"/>
    <w:rsid w:val="00C2000A"/>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83"/>
    <w:rsid w:val="00CB33E9"/>
    <w:rsid w:val="00CC10A9"/>
    <w:rsid w:val="00CC6F64"/>
    <w:rsid w:val="00CC7A1B"/>
    <w:rsid w:val="00CE2BF8"/>
    <w:rsid w:val="00CE484E"/>
    <w:rsid w:val="00CF0DA8"/>
    <w:rsid w:val="00CF2E25"/>
    <w:rsid w:val="00CF4453"/>
    <w:rsid w:val="00CF5D94"/>
    <w:rsid w:val="00D034D7"/>
    <w:rsid w:val="00D04BE4"/>
    <w:rsid w:val="00D1118C"/>
    <w:rsid w:val="00D12565"/>
    <w:rsid w:val="00D14127"/>
    <w:rsid w:val="00D60F02"/>
    <w:rsid w:val="00D66E49"/>
    <w:rsid w:val="00D72F74"/>
    <w:rsid w:val="00D81563"/>
    <w:rsid w:val="00D85907"/>
    <w:rsid w:val="00D9073E"/>
    <w:rsid w:val="00D9221D"/>
    <w:rsid w:val="00D958DF"/>
    <w:rsid w:val="00D96DA1"/>
    <w:rsid w:val="00DA5101"/>
    <w:rsid w:val="00DA51E7"/>
    <w:rsid w:val="00DB1C78"/>
    <w:rsid w:val="00DB7D96"/>
    <w:rsid w:val="00DC23FE"/>
    <w:rsid w:val="00DC40C0"/>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1E65"/>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B5836"/>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1397</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Eng Tan</dc:creator>
  <cp:lastModifiedBy>Carolyn Craig</cp:lastModifiedBy>
  <cp:revision>2</cp:revision>
  <cp:lastPrinted>2016-09-29T16:22:00Z</cp:lastPrinted>
  <dcterms:created xsi:type="dcterms:W3CDTF">2016-09-29T17:17:00Z</dcterms:created>
  <dcterms:modified xsi:type="dcterms:W3CDTF">2016-09-29T17:17:00Z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160002-EG</vt:lpwstr>
  </property>
  <property fmtid="{D5CDD505-2E9C-101B-9397-08002B2CF9AE}" pid="3" name="MasterDocument">
    <vt:bool>false</vt:bool>
  </property>
</Properties>
</file>