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85B7B">
            <w:pPr>
              <w:jc w:val="center"/>
            </w:pPr>
            <w:r>
              <w:rPr>
                <w:noProof/>
              </w:rPr>
              <w:drawing>
                <wp:inline distT="0" distB="0" distL="0" distR="0" wp14:anchorId="189D2EEB" wp14:editId="611D9A8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9E2D76">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4643B" w:rsidP="00C4643B">
            <w:pPr>
              <w:pStyle w:val="MemoHeading"/>
            </w:pPr>
            <w:bookmarkStart w:id="1" w:name="FilingDate"/>
            <w:r>
              <w:t>October 20, 2016</w:t>
            </w:r>
            <w:bookmarkEnd w:id="1"/>
          </w:p>
        </w:tc>
      </w:tr>
      <w:tr w:rsidR="007C0528" w:rsidTr="009E2D76">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rsidTr="009E2D76">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4643B" w:rsidRDefault="00C4643B">
            <w:pPr>
              <w:pStyle w:val="MemoHeading"/>
            </w:pPr>
            <w:bookmarkStart w:id="2" w:name="From"/>
            <w:r>
              <w:t>Division of Engineering (Lee)</w:t>
            </w:r>
          </w:p>
          <w:p w:rsidR="00C4643B" w:rsidRDefault="00C4643B">
            <w:pPr>
              <w:pStyle w:val="MemoHeading"/>
            </w:pPr>
            <w:r>
              <w:t>Division of Accounting and Finance (Slemkewicz)</w:t>
            </w:r>
          </w:p>
          <w:p w:rsidR="00C4643B" w:rsidRDefault="00C4643B">
            <w:pPr>
              <w:pStyle w:val="MemoHeading"/>
            </w:pPr>
            <w:r>
              <w:t>Division of Economics (Guffey, Wu)</w:t>
            </w:r>
          </w:p>
          <w:p w:rsidR="007C0528" w:rsidRDefault="00C4643B">
            <w:pPr>
              <w:pStyle w:val="MemoHeading"/>
            </w:pPr>
            <w:r>
              <w:t>Office of the General Counsel (Janjic)</w:t>
            </w:r>
            <w:bookmarkEnd w:id="2"/>
          </w:p>
        </w:tc>
      </w:tr>
      <w:tr w:rsidR="007C0528" w:rsidTr="009E2D76">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9E2D76" w:rsidRDefault="009E2D76">
            <w:pPr>
              <w:pStyle w:val="MemoHeadingRe"/>
            </w:pPr>
            <w:bookmarkStart w:id="3" w:name="Re"/>
            <w:r>
              <w:t>Docket No. 160128-EI – Petition for approval to include in base rates the revenue requirement for the Hines Chillers Uprate Project, by Duke Energy Florida, LLC.</w:t>
            </w:r>
          </w:p>
          <w:p w:rsidR="009E2D76" w:rsidRDefault="009E2D76">
            <w:pPr>
              <w:pStyle w:val="MemoHeadingRe"/>
            </w:pPr>
          </w:p>
          <w:p w:rsidR="007C0528" w:rsidRDefault="00C4643B">
            <w:pPr>
              <w:pStyle w:val="MemoHeadingRe"/>
            </w:pPr>
            <w:r>
              <w:t>Docket No. 160178-EI – Petition for limited proceeding for approval to include in base rates the revenue requirement associated with the acquisition of the Osprey Plant and Phase 2 of the Hines chiller uprate project, by Duke Energy Florida, LLC.</w:t>
            </w:r>
            <w:bookmarkEnd w:id="3"/>
          </w:p>
        </w:tc>
      </w:tr>
      <w:tr w:rsidR="007C0528" w:rsidTr="009E2D76">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4643B">
            <w:pPr>
              <w:pStyle w:val="MemoHeading"/>
            </w:pPr>
            <w:bookmarkStart w:id="4" w:name="AgendaDate"/>
            <w:r>
              <w:t>11/1/16</w:t>
            </w:r>
            <w:bookmarkEnd w:id="4"/>
            <w:r w:rsidR="007C0528">
              <w:t xml:space="preserve"> – </w:t>
            </w:r>
            <w:r w:rsidR="008A0078" w:rsidRPr="008A0078">
              <w:t>Regular Agenda – Tariff Filing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4643B">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4643B">
            <w:pPr>
              <w:pStyle w:val="MemoHeading"/>
            </w:pPr>
            <w:bookmarkStart w:id="6" w:name="PrehearingOfficer"/>
            <w:r>
              <w:t>Edgar</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9E2D76" w:rsidP="00926004">
            <w:pPr>
              <w:pStyle w:val="MemoHeading"/>
            </w:pPr>
            <w:r>
              <w:t xml:space="preserve">Docket No. 160178-EI: </w:t>
            </w:r>
            <w:r w:rsidR="008A0078" w:rsidRPr="008A0078">
              <w:t>Waiver of 60</w:t>
            </w:r>
            <w:r w:rsidR="00926004">
              <w:t>-</w:t>
            </w:r>
            <w:r w:rsidR="008A0078" w:rsidRPr="008A0078">
              <w:t>day time limit (DN 07427-16)</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4643B">
            <w:pPr>
              <w:pStyle w:val="MemoHeading"/>
            </w:pPr>
            <w:bookmarkStart w:id="8" w:name="SpecialInstructions"/>
            <w:r>
              <w:t>None</w:t>
            </w:r>
            <w:bookmarkEnd w:id="8"/>
          </w:p>
        </w:tc>
      </w:tr>
    </w:tbl>
    <w:p w:rsidR="001918AA" w:rsidRDefault="001918AA" w:rsidP="00C4643B">
      <w:pPr>
        <w:pStyle w:val="RecommendationMajorSectionHeading"/>
      </w:pPr>
      <w:bookmarkStart w:id="9" w:name="RecToC"/>
      <w:bookmarkStart w:id="10" w:name="CaseBackground"/>
      <w:bookmarkEnd w:id="9"/>
    </w:p>
    <w:p w:rsidR="00C4643B" w:rsidRDefault="00C4643B" w:rsidP="00C4643B">
      <w:pPr>
        <w:pStyle w:val="RecommendationMajorSectionHeading"/>
      </w:pPr>
      <w:r>
        <w:t>Case Background</w:t>
      </w:r>
      <w:r>
        <w:fldChar w:fldCharType="begin"/>
      </w:r>
      <w:r>
        <w:instrText xml:space="preserve"> TC  "</w:instrText>
      </w:r>
      <w:r>
        <w:tab/>
        <w:instrText xml:space="preserve">Case Background" \l 1 </w:instrText>
      </w:r>
      <w:r>
        <w:fldChar w:fldCharType="end"/>
      </w:r>
    </w:p>
    <w:p w:rsidR="006B0AD2" w:rsidRDefault="006B0AD2" w:rsidP="006B0AD2">
      <w:pPr>
        <w:pStyle w:val="BodyText"/>
        <w:spacing w:after="0"/>
      </w:pPr>
      <w:r w:rsidRPr="003D1416">
        <w:t>By Order No. PSC-13-0598-FOF-EI, the Commission approved the Revised and Restated Stipulation and Settlement Agreement (RRSSA).</w:t>
      </w:r>
      <w:r w:rsidRPr="003D1416">
        <w:rPr>
          <w:rStyle w:val="FootnoteReference"/>
        </w:rPr>
        <w:footnoteReference w:id="1"/>
      </w:r>
      <w:r>
        <w:t xml:space="preserve"> Paragraph 16(a) of the RRSSA includes </w:t>
      </w:r>
      <w:r>
        <w:lastRenderedPageBreak/>
        <w:t xml:space="preserve">provisions for </w:t>
      </w:r>
      <w:r w:rsidRPr="006B0AD2">
        <w:t xml:space="preserve">Duke Energy Florida, LLC (DEF) </w:t>
      </w:r>
      <w:r>
        <w:t>to seek recovery of the prudently incurred revenue requirement of power uprates to existing DEF units, which may be placed in-service prior to year-end 2017, through a separate base rate increase at the time each unit is placed in service.</w:t>
      </w:r>
    </w:p>
    <w:p w:rsidR="007375A5" w:rsidRDefault="007375A5" w:rsidP="009A7FEC">
      <w:pPr>
        <w:pStyle w:val="BodyText"/>
        <w:spacing w:after="0"/>
      </w:pPr>
    </w:p>
    <w:p w:rsidR="001C3384" w:rsidRDefault="009A7FEC" w:rsidP="001918AA">
      <w:pPr>
        <w:pStyle w:val="BodyText"/>
        <w:spacing w:after="0"/>
      </w:pPr>
      <w:r w:rsidRPr="009A7FEC">
        <w:t>On October 18, 2016, DEF</w:t>
      </w:r>
      <w:r w:rsidR="007375A5">
        <w:t xml:space="preserve"> filed a motion requesting withdrawal of the tariffs </w:t>
      </w:r>
      <w:r w:rsidR="001C3384">
        <w:t xml:space="preserve">for </w:t>
      </w:r>
      <w:r w:rsidR="001C3384" w:rsidRPr="001C3384">
        <w:t xml:space="preserve">Phase 1 of </w:t>
      </w:r>
      <w:r w:rsidR="001C3384">
        <w:t xml:space="preserve">the </w:t>
      </w:r>
      <w:r w:rsidR="001C3384" w:rsidRPr="001C3384">
        <w:t xml:space="preserve">Hines Project </w:t>
      </w:r>
      <w:r w:rsidR="007375A5">
        <w:t>approved in Docket 160128-EI</w:t>
      </w:r>
      <w:r w:rsidR="00A62680">
        <w:t>.</w:t>
      </w:r>
      <w:r w:rsidR="00B62894" w:rsidRPr="00B62894">
        <w:t xml:space="preserve"> </w:t>
      </w:r>
      <w:r w:rsidR="00B62894">
        <w:t>The motion is addressed in Issue 3 of the recommendation.</w:t>
      </w:r>
      <w:r w:rsidR="001C3384">
        <w:t xml:space="preserve"> </w:t>
      </w:r>
      <w:r w:rsidR="007375A5" w:rsidRPr="007375A5">
        <w:t>Phase 1 work on Hines Units 1-3 and the common equipment was expected to be completed and placed into comm</w:t>
      </w:r>
      <w:r w:rsidR="001C3384">
        <w:t>ercial service in October 2016,</w:t>
      </w:r>
      <w:r w:rsidR="001C3384" w:rsidRPr="001C3384">
        <w:t xml:space="preserve"> </w:t>
      </w:r>
      <w:r w:rsidR="001C3384">
        <w:t>w</w:t>
      </w:r>
      <w:r w:rsidR="001C3384" w:rsidRPr="001C3384">
        <w:t>hile Phase 2 work on Hines Unit 4 was expected to be completed in January 2017</w:t>
      </w:r>
      <w:r w:rsidR="001C3384">
        <w:t>. In its motion, DEF stated that a portion of the common equipment required for both phases will not be completed as previously expected. Therefore, DEF requests</w:t>
      </w:r>
      <w:r w:rsidR="001C3384" w:rsidRPr="001C3384">
        <w:t xml:space="preserve"> withdrawal of the </w:t>
      </w:r>
      <w:r w:rsidR="001C3384">
        <w:t xml:space="preserve">approved </w:t>
      </w:r>
      <w:r w:rsidR="001C3384" w:rsidRPr="001C3384">
        <w:t xml:space="preserve">tariffs </w:t>
      </w:r>
      <w:r w:rsidR="001C3384">
        <w:t xml:space="preserve">until it </w:t>
      </w:r>
      <w:r w:rsidR="00BB53AB">
        <w:t xml:space="preserve">files another request </w:t>
      </w:r>
      <w:r w:rsidR="001C3384" w:rsidRPr="001C3384">
        <w:t xml:space="preserve">for </w:t>
      </w:r>
      <w:r w:rsidR="00BB53AB">
        <w:t>both phases</w:t>
      </w:r>
      <w:r w:rsidR="001C3384" w:rsidRPr="001C3384">
        <w:t xml:space="preserve"> of the Hines Project</w:t>
      </w:r>
      <w:r w:rsidR="00BB53AB">
        <w:t>.</w:t>
      </w:r>
      <w:r w:rsidR="002F281D">
        <w:t xml:space="preserve"> O</w:t>
      </w:r>
      <w:r w:rsidR="002F281D" w:rsidRPr="002F281D">
        <w:t>n October 19, 2016</w:t>
      </w:r>
      <w:r w:rsidR="002F281D">
        <w:t>, DEF filed revis</w:t>
      </w:r>
      <w:r w:rsidR="002F281D" w:rsidRPr="002F281D">
        <w:t>ed tariffs</w:t>
      </w:r>
      <w:r w:rsidR="002F281D">
        <w:t xml:space="preserve"> to reflect the </w:t>
      </w:r>
      <w:r w:rsidR="00CD2AA7" w:rsidRPr="00CD2AA7">
        <w:t>withdrawal</w:t>
      </w:r>
      <w:r w:rsidR="002F281D" w:rsidRPr="002F281D">
        <w:t xml:space="preserve"> </w:t>
      </w:r>
      <w:r w:rsidR="002F281D">
        <w:t>of</w:t>
      </w:r>
      <w:r w:rsidR="002F281D" w:rsidRPr="002F281D">
        <w:t xml:space="preserve"> Phase 2 of the Hines Project</w:t>
      </w:r>
      <w:r w:rsidR="002F281D">
        <w:t xml:space="preserve"> from the instant petition</w:t>
      </w:r>
      <w:r w:rsidR="007141DF">
        <w:t>.</w:t>
      </w:r>
    </w:p>
    <w:p w:rsidR="006B0AD2" w:rsidRDefault="006B0AD2" w:rsidP="001918AA">
      <w:pPr>
        <w:pStyle w:val="BodyText"/>
        <w:spacing w:after="0"/>
      </w:pPr>
    </w:p>
    <w:p w:rsidR="00C4643B" w:rsidRDefault="00C4643B" w:rsidP="001918AA">
      <w:pPr>
        <w:pStyle w:val="BodyText"/>
        <w:spacing w:after="0"/>
      </w:pPr>
      <w:r w:rsidRPr="003D1416">
        <w:rPr>
          <w:szCs w:val="20"/>
        </w:rPr>
        <w:t>The Hines Project consists of installation of chiller modules for the existing Hines Energy Center power block units, a large chilled water storage tank, an auxiliary power system, pumps and chilled water supply and return piping, and gas turbine air inlet chiller coils. The installation of the chiller system on the existing Hines Energy Center power block units (Hines Units 1</w:t>
      </w:r>
      <w:r>
        <w:rPr>
          <w:szCs w:val="20"/>
        </w:rPr>
        <w:t xml:space="preserve"> - 4</w:t>
      </w:r>
      <w:r w:rsidRPr="003D1416">
        <w:rPr>
          <w:szCs w:val="20"/>
        </w:rPr>
        <w:t>) is designed to cool the gas turbine inlet air</w:t>
      </w:r>
      <w:r>
        <w:rPr>
          <w:szCs w:val="20"/>
        </w:rPr>
        <w:t>,</w:t>
      </w:r>
      <w:r w:rsidRPr="003D1416">
        <w:rPr>
          <w:szCs w:val="20"/>
        </w:rPr>
        <w:t xml:space="preserve"> thus increasing the capacity of each power block while maintaining fuel efficiency. Hines Units</w:t>
      </w:r>
      <w:r>
        <w:rPr>
          <w:szCs w:val="20"/>
        </w:rPr>
        <w:t xml:space="preserve"> 1 - 4 </w:t>
      </w:r>
      <w:r w:rsidRPr="003D1416">
        <w:rPr>
          <w:szCs w:val="20"/>
        </w:rPr>
        <w:t>have a total installed capacity of approximately 1,900 megawatt</w:t>
      </w:r>
      <w:r>
        <w:rPr>
          <w:szCs w:val="20"/>
        </w:rPr>
        <w:t>s</w:t>
      </w:r>
      <w:r w:rsidRPr="003D1416">
        <w:rPr>
          <w:szCs w:val="20"/>
        </w:rPr>
        <w:t xml:space="preserve"> (MW). </w:t>
      </w:r>
      <w:r>
        <w:rPr>
          <w:szCs w:val="20"/>
        </w:rPr>
        <w:t>The</w:t>
      </w:r>
      <w:r w:rsidRPr="003D1416">
        <w:rPr>
          <w:szCs w:val="20"/>
        </w:rPr>
        <w:t xml:space="preserve"> project is expected to increase the summer capacity of thos</w:t>
      </w:r>
      <w:r>
        <w:rPr>
          <w:szCs w:val="20"/>
        </w:rPr>
        <w:t>e units by approximately 220 MW to meet the summer peak demand, which DEF</w:t>
      </w:r>
      <w:r w:rsidRPr="004F0E03">
        <w:rPr>
          <w:szCs w:val="20"/>
        </w:rPr>
        <w:t xml:space="preserve"> projected to grow to 9,439 MW</w:t>
      </w:r>
      <w:r>
        <w:rPr>
          <w:szCs w:val="20"/>
        </w:rPr>
        <w:t xml:space="preserve"> b</w:t>
      </w:r>
      <w:r w:rsidRPr="004F0E03">
        <w:rPr>
          <w:szCs w:val="20"/>
        </w:rPr>
        <w:t>y the summer of 2018</w:t>
      </w:r>
      <w:r>
        <w:rPr>
          <w:szCs w:val="20"/>
        </w:rPr>
        <w:t>.</w:t>
      </w:r>
      <w:r>
        <w:t xml:space="preserve"> By </w:t>
      </w:r>
      <w:r w:rsidRPr="003D1416">
        <w:t>Order No. PSC-14-0590-FOF-EI, the Commission granted DEF a determination of need for the Hines Project.</w:t>
      </w:r>
      <w:r w:rsidRPr="003D1416">
        <w:rPr>
          <w:rStyle w:val="FootnoteReference"/>
        </w:rPr>
        <w:footnoteReference w:id="2"/>
      </w:r>
      <w:r>
        <w:t xml:space="preserve"> B</w:t>
      </w:r>
      <w:r w:rsidRPr="00E56274">
        <w:t>y Order No. PSC-16-0362-TRF-EI</w:t>
      </w:r>
      <w:r>
        <w:t xml:space="preserve">, </w:t>
      </w:r>
      <w:r w:rsidRPr="001119A4">
        <w:t>issued August 29, 2016</w:t>
      </w:r>
      <w:r>
        <w:t xml:space="preserve">, </w:t>
      </w:r>
      <w:r w:rsidRPr="00380462">
        <w:t>the Commission</w:t>
      </w:r>
      <w:r>
        <w:t xml:space="preserve"> determined </w:t>
      </w:r>
      <w:r w:rsidRPr="001119A4">
        <w:t>DEF</w:t>
      </w:r>
      <w:r>
        <w:t>’s cost for the</w:t>
      </w:r>
      <w:r w:rsidRPr="001119A4">
        <w:t xml:space="preserve"> Hines Project </w:t>
      </w:r>
      <w:r>
        <w:t xml:space="preserve">to be reasonable and approved the </w:t>
      </w:r>
      <w:r w:rsidRPr="00380462">
        <w:t xml:space="preserve">revenue requirement </w:t>
      </w:r>
      <w:r>
        <w:t>for Phase 1</w:t>
      </w:r>
      <w:r w:rsidRPr="00380462">
        <w:t xml:space="preserve"> of the </w:t>
      </w:r>
      <w:r>
        <w:t>Hines Project</w:t>
      </w:r>
      <w:r w:rsidRPr="00380462">
        <w:t>.</w:t>
      </w:r>
      <w:r w:rsidRPr="003D1416">
        <w:rPr>
          <w:rStyle w:val="FootnoteReference"/>
        </w:rPr>
        <w:footnoteReference w:id="3"/>
      </w:r>
      <w:r>
        <w:t xml:space="preserve"> The order was not </w:t>
      </w:r>
      <w:r w:rsidRPr="00F767C9">
        <w:t>protest</w:t>
      </w:r>
      <w:r>
        <w:t>ed</w:t>
      </w:r>
      <w:r w:rsidRPr="00F767C9">
        <w:t xml:space="preserve"> </w:t>
      </w:r>
      <w:r>
        <w:t>and the consummating o</w:t>
      </w:r>
      <w:r w:rsidRPr="00F767C9">
        <w:t>rder</w:t>
      </w:r>
      <w:r>
        <w:t xml:space="preserve"> </w:t>
      </w:r>
      <w:r w:rsidRPr="00627CFF">
        <w:t>was issued on September 29, 2016.</w:t>
      </w:r>
      <w:r>
        <w:t xml:space="preserve"> </w:t>
      </w:r>
      <w:r w:rsidR="0042077B" w:rsidRPr="00DF0E1B">
        <w:t xml:space="preserve">On </w:t>
      </w:r>
      <w:r w:rsidR="0042077B">
        <w:t>August 2</w:t>
      </w:r>
      <w:r w:rsidR="0042077B" w:rsidRPr="00DF0E1B">
        <w:t xml:space="preserve">, 2016, </w:t>
      </w:r>
      <w:r w:rsidR="0042077B">
        <w:t>DEF</w:t>
      </w:r>
      <w:r w:rsidR="0042077B" w:rsidRPr="00DF0E1B">
        <w:t xml:space="preserve"> filed a petition for approval to in</w:t>
      </w:r>
      <w:r w:rsidR="0042077B">
        <w:t xml:space="preserve">clude in base rates the revenue </w:t>
      </w:r>
      <w:r w:rsidR="0042077B" w:rsidRPr="00DF0E1B">
        <w:t xml:space="preserve">requirement </w:t>
      </w:r>
      <w:r w:rsidR="0042077B" w:rsidRPr="00A46C74">
        <w:t xml:space="preserve">associated with the </w:t>
      </w:r>
      <w:r w:rsidR="0042077B">
        <w:t xml:space="preserve">acquisition of the Osprey Plant and </w:t>
      </w:r>
      <w:r w:rsidR="0042077B" w:rsidRPr="00A46C74">
        <w:t>Phase 2 of the</w:t>
      </w:r>
      <w:r w:rsidR="0042077B" w:rsidRPr="007375A5">
        <w:t xml:space="preserve"> Hines Project.</w:t>
      </w:r>
    </w:p>
    <w:p w:rsidR="00C1368D" w:rsidRDefault="00C1368D" w:rsidP="001918AA">
      <w:pPr>
        <w:pStyle w:val="BodyText"/>
        <w:spacing w:after="0"/>
      </w:pPr>
    </w:p>
    <w:p w:rsidR="00C4643B" w:rsidRPr="003D1416" w:rsidRDefault="00C4643B" w:rsidP="00C4643B">
      <w:pPr>
        <w:pStyle w:val="BodyText"/>
      </w:pPr>
      <w:r w:rsidRPr="00560C15">
        <w:t>The Osprey Plant is an existing 599 MW natural gas fired combined cycle generation facility in Auburndale, Florida</w:t>
      </w:r>
      <w:r w:rsidR="00E04403">
        <w:t>,</w:t>
      </w:r>
      <w:r w:rsidRPr="00560C15">
        <w:t xml:space="preserve"> that was originally put </w:t>
      </w:r>
      <w:r>
        <w:t>in service in 2004. The plant has been</w:t>
      </w:r>
      <w:r w:rsidRPr="00560C15">
        <w:t xml:space="preserve"> </w:t>
      </w:r>
      <w:r>
        <w:t>provid</w:t>
      </w:r>
      <w:r w:rsidR="00CB6C23">
        <w:t>ing</w:t>
      </w:r>
      <w:r w:rsidR="0013483C">
        <w:t xml:space="preserve"> its </w:t>
      </w:r>
      <w:r w:rsidRPr="00560C15">
        <w:t xml:space="preserve">capacity and energy to DEF under </w:t>
      </w:r>
      <w:r>
        <w:t>a power purchase agreement. The</w:t>
      </w:r>
      <w:r w:rsidRPr="003545E7">
        <w:t xml:space="preserve"> Osprey Plant </w:t>
      </w:r>
      <w:r w:rsidR="00FD2862">
        <w:t>a</w:t>
      </w:r>
      <w:r w:rsidR="00D72E0E" w:rsidRPr="00D72E0E">
        <w:t xml:space="preserve">cquisition </w:t>
      </w:r>
      <w:r>
        <w:t xml:space="preserve">was </w:t>
      </w:r>
      <w:r w:rsidRPr="00EB4B0B">
        <w:t>granted</w:t>
      </w:r>
      <w:r>
        <w:t xml:space="preserve"> by </w:t>
      </w:r>
      <w:r w:rsidRPr="00EB4B0B">
        <w:t>the Commission</w:t>
      </w:r>
      <w:r w:rsidR="00627796">
        <w:t xml:space="preserve"> in</w:t>
      </w:r>
      <w:r w:rsidRPr="00AE40EC">
        <w:t xml:space="preserve"> </w:t>
      </w:r>
      <w:r w:rsidRPr="00EB4B0B">
        <w:t xml:space="preserve">a determination of need </w:t>
      </w:r>
      <w:r>
        <w:t xml:space="preserve">by </w:t>
      </w:r>
      <w:r w:rsidRPr="00D64A47">
        <w:t>Order No. PSC-15-0312-AS-EI</w:t>
      </w:r>
      <w:r w:rsidRPr="00AE40EC">
        <w:t xml:space="preserve"> in Docket No. 150043-EI</w:t>
      </w:r>
      <w:r w:rsidRPr="00EB4B0B">
        <w:t>.</w:t>
      </w:r>
      <w:r w:rsidRPr="003D1416">
        <w:rPr>
          <w:rStyle w:val="FootnoteReference"/>
        </w:rPr>
        <w:footnoteReference w:id="4"/>
      </w:r>
      <w:r>
        <w:t xml:space="preserve"> The decision was based on</w:t>
      </w:r>
      <w:r w:rsidR="008A0078">
        <w:t xml:space="preserve"> a</w:t>
      </w:r>
      <w:r>
        <w:t xml:space="preserve"> stipulation reached by p</w:t>
      </w:r>
      <w:r w:rsidRPr="00EB4B0B">
        <w:t>ar</w:t>
      </w:r>
      <w:r>
        <w:t>ties in that proceeding</w:t>
      </w:r>
      <w:r w:rsidR="00627796">
        <w:t>,</w:t>
      </w:r>
      <w:r>
        <w:t xml:space="preserve"> including</w:t>
      </w:r>
      <w:r w:rsidRPr="00EB4B0B">
        <w:t xml:space="preserve"> the Office of Public Counsel (OPC), Florida Industrial Power Users Group (FIPUG),</w:t>
      </w:r>
      <w:r w:rsidRPr="009F370F">
        <w:t xml:space="preserve"> Osprey Energy Center</w:t>
      </w:r>
      <w:r>
        <w:t>,</w:t>
      </w:r>
      <w:r w:rsidRPr="00613B95">
        <w:t xml:space="preserve"> PC</w:t>
      </w:r>
      <w:r>
        <w:t xml:space="preserve">S Phosphate-White Springs (PCS), and DEF. Based on </w:t>
      </w:r>
      <w:r w:rsidR="008A0078">
        <w:t>information</w:t>
      </w:r>
      <w:r>
        <w:t xml:space="preserve"> in the docket, the a</w:t>
      </w:r>
      <w:r w:rsidRPr="002F679F">
        <w:t>cquisition</w:t>
      </w:r>
      <w:r>
        <w:t xml:space="preserve"> cost</w:t>
      </w:r>
      <w:r w:rsidRPr="002F679F">
        <w:t xml:space="preserve"> </w:t>
      </w:r>
      <w:r w:rsidRPr="00AE5F4E">
        <w:t xml:space="preserve">for the Osprey Plant </w:t>
      </w:r>
      <w:r w:rsidRPr="002F679F">
        <w:t>was $166 million, subject t</w:t>
      </w:r>
      <w:r>
        <w:t xml:space="preserve">o </w:t>
      </w:r>
      <w:r>
        <w:lastRenderedPageBreak/>
        <w:t>certain specified adjustments based on the asset purchase a</w:t>
      </w:r>
      <w:r w:rsidRPr="00562E69">
        <w:t>greement</w:t>
      </w:r>
      <w:r>
        <w:t>. DEF also provided estimates for additional</w:t>
      </w:r>
      <w:r w:rsidRPr="00562E69">
        <w:t xml:space="preserve"> cost </w:t>
      </w:r>
      <w:r>
        <w:t>after the acquisition including integration, maintenance,</w:t>
      </w:r>
      <w:r w:rsidRPr="00562E69">
        <w:t xml:space="preserve"> </w:t>
      </w:r>
      <w:r>
        <w:t xml:space="preserve">and </w:t>
      </w:r>
      <w:r w:rsidRPr="00562E69">
        <w:t>inventory.</w:t>
      </w:r>
      <w:r>
        <w:t xml:space="preserve"> These costs and time frame for the work were taken into account in the cumulative present value revenue requirements (CPVRR) analysis</w:t>
      </w:r>
      <w:r w:rsidR="000A0898">
        <w:t>,</w:t>
      </w:r>
      <w:r>
        <w:t xml:space="preserve"> to show the cost effectiveness of acquiring the Osprey Plant in comparison with</w:t>
      </w:r>
      <w:r w:rsidRPr="00727B6C">
        <w:t xml:space="preserve"> </w:t>
      </w:r>
      <w:r>
        <w:t>the</w:t>
      </w:r>
      <w:r w:rsidRPr="00727B6C">
        <w:t xml:space="preserve"> alternative</w:t>
      </w:r>
      <w:r>
        <w:t xml:space="preserve"> of the </w:t>
      </w:r>
      <w:r w:rsidRPr="00727B6C">
        <w:t>construction of the Suwannee Simple Cycle Project</w:t>
      </w:r>
      <w:r>
        <w:t>. The</w:t>
      </w:r>
      <w:r w:rsidR="008A0078">
        <w:t xml:space="preserve"> order approving</w:t>
      </w:r>
      <w:r>
        <w:t xml:space="preserve"> the stipulation</w:t>
      </w:r>
      <w:r w:rsidR="008A0078">
        <w:t xml:space="preserve"> stated</w:t>
      </w:r>
      <w:r>
        <w:t xml:space="preserve"> that the </w:t>
      </w:r>
      <w:r w:rsidRPr="00613B95">
        <w:t>acquisition of the Osprey Plant is the most cost effective way</w:t>
      </w:r>
      <w:r>
        <w:t xml:space="preserve"> </w:t>
      </w:r>
      <w:r w:rsidRPr="00613B95">
        <w:t>to meet DEF’</w:t>
      </w:r>
      <w:r>
        <w:t>s generation need prior to 2018.</w:t>
      </w:r>
      <w:r w:rsidRPr="004A28D5">
        <w:t xml:space="preserve"> </w:t>
      </w:r>
      <w:r>
        <w:t xml:space="preserve">The closing for the Osprey Plant acquisition is expected to occur on January 3, 2017. </w:t>
      </w:r>
    </w:p>
    <w:p w:rsidR="0068481F" w:rsidRDefault="00C4643B" w:rsidP="00C4643B">
      <w:pPr>
        <w:pStyle w:val="BodyText"/>
      </w:pPr>
      <w:r>
        <w:t>The Commission has jurisdiction pursuant to Section 366.06, Florida Statutes</w:t>
      </w:r>
      <w:r w:rsidR="00DE7A87">
        <w:t xml:space="preserve"> </w:t>
      </w:r>
      <w:r w:rsidR="00DE7A87" w:rsidRPr="00DE7A87">
        <w:t>(F.S.)</w:t>
      </w:r>
      <w:r w:rsidR="00DE7A87">
        <w:t>.</w:t>
      </w: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9E2D76" w:rsidRDefault="009E2D76">
      <w:pPr>
        <w:rPr>
          <w:rFonts w:ascii="Arial" w:hAnsi="Arial" w:cs="Arial"/>
          <w:b/>
          <w:bCs/>
          <w:i/>
          <w:kern w:val="32"/>
          <w:szCs w:val="32"/>
        </w:rPr>
      </w:pPr>
    </w:p>
    <w:p w:rsidR="00C4643B" w:rsidRDefault="00C4643B">
      <w:pPr>
        <w:pStyle w:val="IssueHeading"/>
        <w:rPr>
          <w:vanish/>
          <w:specVanish/>
        </w:rPr>
      </w:pPr>
      <w:r w:rsidRPr="004C3641">
        <w:t xml:space="preserve">Issue </w:t>
      </w:r>
      <w:fldSimple w:instr=" SEQ Issue \* MERGEFORMAT ">
        <w:r w:rsidR="0025002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5002B">
        <w:rPr>
          <w:noProof/>
        </w:rPr>
        <w:instrText>1</w:instrText>
      </w:r>
      <w:r>
        <w:fldChar w:fldCharType="end"/>
      </w:r>
      <w:r>
        <w:tab/>
        <w:instrText xml:space="preserve">" \l 1 </w:instrText>
      </w:r>
      <w:r>
        <w:fldChar w:fldCharType="end"/>
      </w:r>
      <w:r>
        <w:t> </w:t>
      </w:r>
    </w:p>
    <w:p w:rsidR="00C4643B" w:rsidRDefault="00C4643B">
      <w:pPr>
        <w:pStyle w:val="BodyText"/>
      </w:pPr>
      <w:r>
        <w:t> </w:t>
      </w:r>
      <w:r w:rsidRPr="00FC696F">
        <w:t>Should the Commission approve DEF’s proposed revenue requirement</w:t>
      </w:r>
      <w:r w:rsidR="005330D1">
        <w:t xml:space="preserve"> of </w:t>
      </w:r>
      <w:r w:rsidR="005330D1" w:rsidRPr="005330D1">
        <w:t>$47,982,181 for Osprey Plant, along with the proposed depreciation rate and methodology for the Osprey Plant</w:t>
      </w:r>
      <w:r>
        <w:t>?</w:t>
      </w:r>
    </w:p>
    <w:p w:rsidR="00C4643B" w:rsidRPr="004C3641" w:rsidRDefault="00C4643B">
      <w:pPr>
        <w:pStyle w:val="IssueSubsectionHeading"/>
        <w:rPr>
          <w:vanish/>
          <w:specVanish/>
        </w:rPr>
      </w:pPr>
      <w:r w:rsidRPr="004C3641">
        <w:t>Recommendation: </w:t>
      </w:r>
    </w:p>
    <w:p w:rsidR="00C4643B" w:rsidRDefault="00C4643B">
      <w:pPr>
        <w:pStyle w:val="BodyText"/>
      </w:pPr>
      <w:r>
        <w:t> </w:t>
      </w:r>
      <w:r w:rsidR="00B64763">
        <w:t xml:space="preserve">No. </w:t>
      </w:r>
      <w:r w:rsidR="00793E3F">
        <w:t>The</w:t>
      </w:r>
      <w:r w:rsidRPr="00D9509E">
        <w:t xml:space="preserve"> revenue</w:t>
      </w:r>
      <w:r w:rsidR="00D72E0E">
        <w:t xml:space="preserve"> requirement for </w:t>
      </w:r>
      <w:r w:rsidR="00406932">
        <w:t xml:space="preserve">the </w:t>
      </w:r>
      <w:r w:rsidR="00793E3F" w:rsidRPr="00793E3F">
        <w:t xml:space="preserve">Osprey Plant </w:t>
      </w:r>
      <w:r w:rsidR="00793E3F">
        <w:t xml:space="preserve">should be </w:t>
      </w:r>
      <w:r w:rsidR="00793E3F" w:rsidRPr="00793E3F">
        <w:t>$47,836,801</w:t>
      </w:r>
      <w:r w:rsidR="00D10F1A">
        <w:t xml:space="preserve">. </w:t>
      </w:r>
      <w:r w:rsidR="00D10F1A" w:rsidRPr="00D10F1A">
        <w:t xml:space="preserve">The proposed depreciation rate and methodology for the Osprey Plant should be approved. </w:t>
      </w:r>
      <w:r w:rsidR="003E4036">
        <w:t>In addition</w:t>
      </w:r>
      <w:r w:rsidRPr="00D9509E">
        <w:t xml:space="preserve">, DEF </w:t>
      </w:r>
      <w:r w:rsidR="003E4036">
        <w:t xml:space="preserve">should be required to </w:t>
      </w:r>
      <w:r w:rsidRPr="00D9509E">
        <w:t>file annual reports</w:t>
      </w:r>
      <w:r w:rsidR="00256A92">
        <w:t xml:space="preserve"> with the Commission</w:t>
      </w:r>
      <w:r w:rsidRPr="00D9509E">
        <w:t xml:space="preserve">, detailing the actual outage costs incurred and the accounting treatment associated with the </w:t>
      </w:r>
      <w:r w:rsidR="008A2E21" w:rsidRPr="008A2E21">
        <w:t>Osprey outage cost deferral</w:t>
      </w:r>
      <w:r w:rsidRPr="00D9509E">
        <w:t>, in its year-end earn</w:t>
      </w:r>
      <w:r w:rsidR="00D72E0E">
        <w:t>ings surveillance reports for</w:t>
      </w:r>
      <w:r w:rsidRPr="00D9509E">
        <w:t xml:space="preserve"> </w:t>
      </w:r>
      <w:r w:rsidR="008A2E21">
        <w:t xml:space="preserve">2017 through </w:t>
      </w:r>
      <w:r w:rsidRPr="00CC54B4">
        <w:t>2019</w:t>
      </w:r>
      <w:r w:rsidRPr="00D9509E">
        <w:t>.</w:t>
      </w:r>
      <w:r>
        <w:t xml:space="preserve"> (Lee, </w:t>
      </w:r>
      <w:r w:rsidRPr="008A1040">
        <w:t>Slemkewicz</w:t>
      </w:r>
      <w:r>
        <w:t xml:space="preserve">, Wu) </w:t>
      </w:r>
    </w:p>
    <w:p w:rsidR="00C4643B" w:rsidRPr="004C3641" w:rsidRDefault="00C4643B">
      <w:pPr>
        <w:pStyle w:val="IssueSubsectionHeading"/>
        <w:rPr>
          <w:vanish/>
          <w:specVanish/>
        </w:rPr>
      </w:pPr>
      <w:r w:rsidRPr="004C3641">
        <w:t>Staff Analysis: </w:t>
      </w:r>
    </w:p>
    <w:p w:rsidR="00C4643B" w:rsidRDefault="00C4643B" w:rsidP="00C4643B">
      <w:pPr>
        <w:pStyle w:val="BodyText"/>
      </w:pPr>
      <w:r>
        <w:t> </w:t>
      </w:r>
      <w:r w:rsidRPr="00074AAF">
        <w:t xml:space="preserve">DEF </w:t>
      </w:r>
      <w:r>
        <w:t xml:space="preserve">is seeking to recover </w:t>
      </w:r>
      <w:r w:rsidRPr="00074AAF">
        <w:t xml:space="preserve">the full, prudently incurred revenue requirement </w:t>
      </w:r>
      <w:r>
        <w:t>for the</w:t>
      </w:r>
      <w:r w:rsidRPr="00074AAF">
        <w:t xml:space="preserve"> </w:t>
      </w:r>
      <w:r>
        <w:t xml:space="preserve">asset </w:t>
      </w:r>
      <w:r w:rsidR="00D72E0E">
        <w:t>purchase and additional cost associated with</w:t>
      </w:r>
      <w:r w:rsidRPr="00355BD8">
        <w:t xml:space="preserve"> the Osprey Plant</w:t>
      </w:r>
      <w:r>
        <w:t xml:space="preserve"> </w:t>
      </w:r>
      <w:r w:rsidR="00C43718">
        <w:t>a</w:t>
      </w:r>
      <w:r w:rsidR="00D72E0E">
        <w:t>cquisition</w:t>
      </w:r>
      <w:r>
        <w:t xml:space="preserve">, pursuant to </w:t>
      </w:r>
      <w:r w:rsidRPr="004B08D1">
        <w:t>Paragraph 16(a) of the RRSSA</w:t>
      </w:r>
      <w:r>
        <w:t>. DEF requests that the revenue</w:t>
      </w:r>
      <w:r w:rsidR="00C43718">
        <w:t xml:space="preserve"> requirement of </w:t>
      </w:r>
      <w:r w:rsidRPr="0093652C">
        <w:t>$47,982,181</w:t>
      </w:r>
      <w:r>
        <w:t xml:space="preserve"> for</w:t>
      </w:r>
      <w:r w:rsidR="00055C20">
        <w:t xml:space="preserve"> the</w:t>
      </w:r>
      <w:r>
        <w:t xml:space="preserve"> </w:t>
      </w:r>
      <w:r w:rsidR="00C43718">
        <w:t>O</w:t>
      </w:r>
      <w:r w:rsidR="00C43718" w:rsidRPr="00FF5200">
        <w:t>sprey Plant acquisition</w:t>
      </w:r>
      <w:r w:rsidRPr="00FF5200">
        <w:t xml:space="preserve"> be approved</w:t>
      </w:r>
      <w:r w:rsidR="00FF5200" w:rsidRPr="00FF5200">
        <w:t>.</w:t>
      </w:r>
      <w:r w:rsidRPr="00FF5200">
        <w:t xml:space="preserve"> DE</w:t>
      </w:r>
      <w:r w:rsidRPr="00B550FB">
        <w:t>F</w:t>
      </w:r>
      <w:r>
        <w:t xml:space="preserve"> also request</w:t>
      </w:r>
      <w:r w:rsidRPr="00B550FB">
        <w:t>s</w:t>
      </w:r>
      <w:r>
        <w:t xml:space="preserve"> that its</w:t>
      </w:r>
      <w:r w:rsidRPr="00B550FB">
        <w:t xml:space="preserve"> proposed depreciation rate </w:t>
      </w:r>
      <w:r w:rsidR="00C43718">
        <w:t>and methodology for the Osprey P</w:t>
      </w:r>
      <w:r w:rsidRPr="00B550FB">
        <w:t>lant</w:t>
      </w:r>
      <w:r>
        <w:t xml:space="preserve"> be approved.</w:t>
      </w:r>
    </w:p>
    <w:p w:rsidR="00C4643B" w:rsidRDefault="00C4643B" w:rsidP="00C4643B">
      <w:pPr>
        <w:jc w:val="both"/>
        <w:rPr>
          <w:rFonts w:ascii="Arial" w:hAnsi="Arial" w:cs="Arial"/>
          <w:b/>
        </w:rPr>
      </w:pPr>
      <w:r>
        <w:rPr>
          <w:rFonts w:ascii="Arial" w:hAnsi="Arial" w:cs="Arial"/>
          <w:b/>
        </w:rPr>
        <w:t xml:space="preserve">Cost Estimates for the </w:t>
      </w:r>
      <w:r w:rsidR="00C43718">
        <w:rPr>
          <w:rFonts w:ascii="Arial" w:hAnsi="Arial" w:cs="Arial"/>
          <w:b/>
        </w:rPr>
        <w:t>Osprey Plant Acquisition</w:t>
      </w:r>
      <w:r w:rsidRPr="00683B03">
        <w:rPr>
          <w:rFonts w:ascii="Arial" w:hAnsi="Arial" w:cs="Arial"/>
          <w:b/>
        </w:rPr>
        <w:t xml:space="preserve"> </w:t>
      </w:r>
    </w:p>
    <w:p w:rsidR="00861EF3" w:rsidRDefault="003978F6" w:rsidP="00C4643B">
      <w:pPr>
        <w:pStyle w:val="BodyText"/>
      </w:pPr>
      <w:r>
        <w:t>T</w:t>
      </w:r>
      <w:r w:rsidR="00C4643B" w:rsidRPr="00693E16">
        <w:t xml:space="preserve">he acquisition of the </w:t>
      </w:r>
      <w:r w:rsidR="00C4643B" w:rsidRPr="00613B95">
        <w:t xml:space="preserve">599 MW combined cycle </w:t>
      </w:r>
      <w:r w:rsidR="00C4643B" w:rsidRPr="00693E16">
        <w:t xml:space="preserve">Osprey Plant was </w:t>
      </w:r>
      <w:r w:rsidR="00C4643B" w:rsidRPr="006D5218">
        <w:t>approved</w:t>
      </w:r>
      <w:r w:rsidR="00C4643B" w:rsidRPr="00693E16">
        <w:t xml:space="preserve"> by the Commission </w:t>
      </w:r>
      <w:r w:rsidR="00C4643B" w:rsidRPr="006D5218">
        <w:t xml:space="preserve">in Docket No. 150043-EI </w:t>
      </w:r>
      <w:r w:rsidR="00C4643B">
        <w:t xml:space="preserve">as </w:t>
      </w:r>
      <w:r w:rsidR="00C4643B" w:rsidRPr="006D5218">
        <w:t>the most cost effective way to meet DEF’</w:t>
      </w:r>
      <w:r w:rsidR="00C4643B">
        <w:t xml:space="preserve">s generation need prior to 2018. DEF’s </w:t>
      </w:r>
      <w:r w:rsidR="00C43718">
        <w:t>testimony and documents presented</w:t>
      </w:r>
      <w:r w:rsidR="00C4643B">
        <w:t xml:space="preserve"> in that docket included</w:t>
      </w:r>
      <w:r w:rsidR="00C4643B" w:rsidRPr="00693E16">
        <w:t xml:space="preserve"> the acquis</w:t>
      </w:r>
      <w:r w:rsidR="00C4643B">
        <w:t xml:space="preserve">ition cost for the Osprey Plant and </w:t>
      </w:r>
      <w:r w:rsidR="00C4643B" w:rsidRPr="00693E16">
        <w:t>estimates for additional cost after the acquisition</w:t>
      </w:r>
      <w:r w:rsidR="00C4643B">
        <w:t>, which</w:t>
      </w:r>
      <w:r w:rsidR="00C4643B" w:rsidRPr="00693E16">
        <w:t xml:space="preserve"> were taken into account in the </w:t>
      </w:r>
      <w:r w:rsidR="00C43718">
        <w:t>CPVRR</w:t>
      </w:r>
      <w:r w:rsidR="00C4643B" w:rsidRPr="00693E16">
        <w:t xml:space="preserve"> analysis to show the cost effectiveness of acquiring the Osprey Plant.</w:t>
      </w:r>
    </w:p>
    <w:p w:rsidR="00C4643B" w:rsidRDefault="00C4643B" w:rsidP="00513F26">
      <w:pPr>
        <w:pStyle w:val="BodyText"/>
      </w:pPr>
      <w:r w:rsidRPr="00104783">
        <w:t xml:space="preserve">In response to staff’s data request, DEF </w:t>
      </w:r>
      <w:r w:rsidR="00E21BFC">
        <w:t xml:space="preserve">compared </w:t>
      </w:r>
      <w:r w:rsidR="00DA7CFC">
        <w:t xml:space="preserve">current </w:t>
      </w:r>
      <w:r w:rsidR="00E21BFC">
        <w:t xml:space="preserve">cost </w:t>
      </w:r>
      <w:r w:rsidR="003978F6">
        <w:t>information</w:t>
      </w:r>
      <w:r w:rsidRPr="00104783">
        <w:t xml:space="preserve"> estimates with those provided in Docket No. 150043-EI. </w:t>
      </w:r>
      <w:r w:rsidR="00836C84" w:rsidRPr="00836C84">
        <w:t xml:space="preserve">DEF’s $198.2 million capital cost estimate </w:t>
      </w:r>
      <w:r w:rsidR="00756AF2">
        <w:t xml:space="preserve">in </w:t>
      </w:r>
      <w:r w:rsidR="00836C84" w:rsidRPr="00836C84">
        <w:t xml:space="preserve">this docket </w:t>
      </w:r>
      <w:r w:rsidR="00836C84">
        <w:t xml:space="preserve">is composed of </w:t>
      </w:r>
      <w:r w:rsidR="00836C84" w:rsidRPr="00836C84">
        <w:t xml:space="preserve">$166 million </w:t>
      </w:r>
      <w:r w:rsidR="00836C84">
        <w:t xml:space="preserve">for </w:t>
      </w:r>
      <w:r w:rsidR="00836C84" w:rsidRPr="00836C84">
        <w:t>Osprey Plant acquisition cost</w:t>
      </w:r>
      <w:r w:rsidR="00836C84">
        <w:t>,</w:t>
      </w:r>
      <w:r w:rsidR="00836C84" w:rsidRPr="00836C84">
        <w:t xml:space="preserve"> $1.8 million for integration cost</w:t>
      </w:r>
      <w:r w:rsidR="00331C6C">
        <w:t>,</w:t>
      </w:r>
      <w:r w:rsidR="00836C84" w:rsidRPr="00836C84">
        <w:t xml:space="preserve"> and $30.4 million for capital investment in 2017</w:t>
      </w:r>
      <w:r w:rsidR="00331C6C">
        <w:t xml:space="preserve">. </w:t>
      </w:r>
      <w:r w:rsidR="00DA7CFC">
        <w:t>The</w:t>
      </w:r>
      <w:r w:rsidR="00DA7CFC" w:rsidRPr="00DA7CFC">
        <w:t xml:space="preserve"> </w:t>
      </w:r>
      <w:r w:rsidR="00513F26">
        <w:t xml:space="preserve">integration capital </w:t>
      </w:r>
      <w:r w:rsidR="0049670D">
        <w:t>is necessary</w:t>
      </w:r>
      <w:r w:rsidR="00513F26">
        <w:t xml:space="preserve"> for the continued operation of the Osprey Plant on DEF's system consistent with DEF's standard policies and practices,</w:t>
      </w:r>
      <w:r w:rsidR="0049670D" w:rsidRPr="0049670D">
        <w:t xml:space="preserve"> such as</w:t>
      </w:r>
      <w:r w:rsidR="0049670D">
        <w:t xml:space="preserve"> costs</w:t>
      </w:r>
      <w:r w:rsidR="0049670D" w:rsidRPr="0049670D">
        <w:t xml:space="preserve"> to re-stock and maintain equipment and material inventory</w:t>
      </w:r>
      <w:r w:rsidR="0049670D">
        <w:t xml:space="preserve"> for this purpose</w:t>
      </w:r>
      <w:r w:rsidR="00E64138">
        <w:t xml:space="preserve">. The </w:t>
      </w:r>
      <w:r w:rsidR="00E64138" w:rsidRPr="00E64138">
        <w:t>capital investment in 2017</w:t>
      </w:r>
      <w:r w:rsidR="00E64138">
        <w:t xml:space="preserve"> consists of </w:t>
      </w:r>
      <w:r w:rsidR="00513F26">
        <w:t xml:space="preserve">the capital work </w:t>
      </w:r>
      <w:r w:rsidR="00513F26" w:rsidRPr="00513F26">
        <w:t xml:space="preserve">scheduled for </w:t>
      </w:r>
      <w:r w:rsidR="00513F26">
        <w:t>the</w:t>
      </w:r>
      <w:r w:rsidR="000B4242">
        <w:t xml:space="preserve"> maintenance outage</w:t>
      </w:r>
      <w:r w:rsidR="00513F26" w:rsidRPr="00513F26">
        <w:t xml:space="preserve"> in 2017</w:t>
      </w:r>
      <w:r w:rsidR="00513F26">
        <w:t xml:space="preserve">, including work on the combustion turbines and steam turbines that will be coming up on their major maintenance intervals. </w:t>
      </w:r>
      <w:r w:rsidR="00557C96">
        <w:t>While t</w:t>
      </w:r>
      <w:r w:rsidR="00557C96" w:rsidRPr="00557C96">
        <w:t>he Osprey Plant acquisition cost has not changed</w:t>
      </w:r>
      <w:r w:rsidR="00557C96">
        <w:t>, the</w:t>
      </w:r>
      <w:r w:rsidR="00836C84">
        <w:t xml:space="preserve"> revised estimates for </w:t>
      </w:r>
      <w:r w:rsidR="00557C96" w:rsidRPr="00557C96">
        <w:t>integration cost and capital investment in 2017</w:t>
      </w:r>
      <w:r w:rsidR="00557C96">
        <w:t xml:space="preserve"> have reduced by </w:t>
      </w:r>
      <w:r w:rsidR="00836C84">
        <w:t>$3.1 million and $1.3 million respectively.</w:t>
      </w:r>
      <w:r w:rsidR="00557C96" w:rsidRPr="00557C96">
        <w:t xml:space="preserve"> </w:t>
      </w:r>
    </w:p>
    <w:p w:rsidR="00474973" w:rsidRDefault="00C4643B" w:rsidP="00C4643B">
      <w:pPr>
        <w:autoSpaceDE w:val="0"/>
        <w:autoSpaceDN w:val="0"/>
        <w:adjustRightInd w:val="0"/>
        <w:jc w:val="both"/>
      </w:pPr>
      <w:r>
        <w:t xml:space="preserve">In addition, DEF lowered its major capital cost estimate in 2018 by </w:t>
      </w:r>
      <w:r w:rsidRPr="00B66DD1">
        <w:t xml:space="preserve">approximately $3.6 million </w:t>
      </w:r>
      <w:r>
        <w:t xml:space="preserve">based on </w:t>
      </w:r>
      <w:r w:rsidRPr="00946214">
        <w:t xml:space="preserve">updated </w:t>
      </w:r>
      <w:r>
        <w:t>cost projection and</w:t>
      </w:r>
      <w:r w:rsidRPr="00946214">
        <w:t xml:space="preserve"> vendor </w:t>
      </w:r>
      <w:r>
        <w:t>estimates.</w:t>
      </w:r>
      <w:r>
        <w:rPr>
          <w:rStyle w:val="FootnoteReference"/>
        </w:rPr>
        <w:footnoteReference w:id="5"/>
      </w:r>
      <w:r>
        <w:t xml:space="preserve"> On the other hand, </w:t>
      </w:r>
      <w:r w:rsidRPr="00B66DD1">
        <w:t>DEF increase</w:t>
      </w:r>
      <w:r>
        <w:t>d</w:t>
      </w:r>
      <w:r w:rsidRPr="00B66DD1">
        <w:t xml:space="preserve"> its </w:t>
      </w:r>
      <w:r>
        <w:t>cost estimates for m</w:t>
      </w:r>
      <w:r w:rsidRPr="00946214">
        <w:t xml:space="preserve">ajor </w:t>
      </w:r>
      <w:r w:rsidR="008A2E21" w:rsidRPr="008A2E21">
        <w:t xml:space="preserve">Operation and Maintenance </w:t>
      </w:r>
      <w:r w:rsidR="008A2E21">
        <w:t>(</w:t>
      </w:r>
      <w:r w:rsidRPr="00946214">
        <w:t>O&amp;M</w:t>
      </w:r>
      <w:r w:rsidR="008A2E21">
        <w:t>)</w:t>
      </w:r>
      <w:r w:rsidRPr="00946214">
        <w:t xml:space="preserve"> cost estimates</w:t>
      </w:r>
      <w:r>
        <w:t xml:space="preserve"> for work</w:t>
      </w:r>
      <w:r w:rsidRPr="0040536C">
        <w:t xml:space="preserve"> </w:t>
      </w:r>
      <w:r>
        <w:t>scheduled for two major maintenance outages in 2017 and 2018</w:t>
      </w:r>
      <w:r w:rsidR="00067676">
        <w:t>,</w:t>
      </w:r>
      <w:r>
        <w:t xml:space="preserve"> which were anticipated and addressed in Docket No. 150043-EI. In 2017, the outage</w:t>
      </w:r>
      <w:r w:rsidRPr="004F0A40">
        <w:t xml:space="preserve"> O&amp;M cost estimate is $4.3 million higher in the </w:t>
      </w:r>
      <w:r w:rsidRPr="004F0A40">
        <w:lastRenderedPageBreak/>
        <w:t>instant docket than in Docket No. 150043-EI.</w:t>
      </w:r>
      <w:r>
        <w:rPr>
          <w:rStyle w:val="FootnoteReference"/>
        </w:rPr>
        <w:footnoteReference w:id="6"/>
      </w:r>
      <w:r w:rsidRPr="004F0A40">
        <w:t xml:space="preserve"> This increase is driven primarily by updated cost estimates and work scope resulting from DEF’s ongoing due diligence and int</w:t>
      </w:r>
      <w:r>
        <w:t xml:space="preserve">egration planning and analysis. </w:t>
      </w:r>
      <w:r w:rsidRPr="004F0A40">
        <w:t>The updated cost estimates</w:t>
      </w:r>
      <w:r>
        <w:t xml:space="preserve"> </w:t>
      </w:r>
      <w:r w:rsidRPr="004F0A40">
        <w:t>are driven by actual quotes from vendors and executed contracts.</w:t>
      </w:r>
      <w:r>
        <w:rPr>
          <w:rStyle w:val="FootnoteReference"/>
        </w:rPr>
        <w:footnoteReference w:id="7"/>
      </w:r>
      <w:r>
        <w:t xml:space="preserve"> </w:t>
      </w:r>
      <w:r w:rsidRPr="00946214">
        <w:t xml:space="preserve">DEF </w:t>
      </w:r>
      <w:r>
        <w:t xml:space="preserve">provided </w:t>
      </w:r>
      <w:r w:rsidR="00067676">
        <w:t xml:space="preserve">a </w:t>
      </w:r>
      <w:r>
        <w:t>cost breakdown of these major</w:t>
      </w:r>
      <w:r w:rsidRPr="00946214">
        <w:t xml:space="preserve"> </w:t>
      </w:r>
      <w:r w:rsidRPr="00E63954">
        <w:t xml:space="preserve">outage </w:t>
      </w:r>
      <w:r w:rsidRPr="00946214">
        <w:t>O&amp;M cost</w:t>
      </w:r>
      <w:r w:rsidR="00067676">
        <w:t>s</w:t>
      </w:r>
      <w:r>
        <w:t>,</w:t>
      </w:r>
      <w:r w:rsidRPr="00946214">
        <w:t xml:space="preserve"> </w:t>
      </w:r>
      <w:r w:rsidRPr="00147878">
        <w:t>projected at approximately</w:t>
      </w:r>
      <w:r w:rsidRPr="00946214">
        <w:t xml:space="preserve"> </w:t>
      </w:r>
      <w:r w:rsidRPr="0040536C">
        <w:t>$14.3 million</w:t>
      </w:r>
      <w:r>
        <w:t xml:space="preserve">, </w:t>
      </w:r>
      <w:r w:rsidRPr="00147878">
        <w:t>$5.1 million</w:t>
      </w:r>
      <w:r>
        <w:t xml:space="preserve">, and </w:t>
      </w:r>
      <w:r w:rsidRPr="00147878">
        <w:t xml:space="preserve">$2.5 million </w:t>
      </w:r>
      <w:r w:rsidRPr="00946214">
        <w:t>for 2017, 2018,</w:t>
      </w:r>
      <w:r w:rsidRPr="00B66DD1">
        <w:t xml:space="preserve"> and 2019</w:t>
      </w:r>
      <w:r>
        <w:t>, respectively.</w:t>
      </w:r>
      <w:r>
        <w:rPr>
          <w:rStyle w:val="FootnoteReference"/>
        </w:rPr>
        <w:footnoteReference w:id="8"/>
      </w:r>
      <w:r w:rsidRPr="00F926F8">
        <w:t xml:space="preserve"> </w:t>
      </w:r>
    </w:p>
    <w:p w:rsidR="00474973" w:rsidRDefault="00474973" w:rsidP="00C4643B">
      <w:pPr>
        <w:autoSpaceDE w:val="0"/>
        <w:autoSpaceDN w:val="0"/>
        <w:adjustRightInd w:val="0"/>
        <w:jc w:val="both"/>
      </w:pPr>
    </w:p>
    <w:p w:rsidR="00803E61" w:rsidRDefault="004227BF" w:rsidP="00C4643B">
      <w:pPr>
        <w:autoSpaceDE w:val="0"/>
        <w:autoSpaceDN w:val="0"/>
        <w:adjustRightInd w:val="0"/>
        <w:jc w:val="both"/>
      </w:pPr>
      <w:r>
        <w:t xml:space="preserve">Staff asked DEF to </w:t>
      </w:r>
      <w:r w:rsidR="00923706">
        <w:t>demonstrate t</w:t>
      </w:r>
      <w:r w:rsidR="00C4643B">
        <w:t xml:space="preserve">he </w:t>
      </w:r>
      <w:r w:rsidR="0052010D">
        <w:t xml:space="preserve">net effect of </w:t>
      </w:r>
      <w:r w:rsidR="00B35EE2">
        <w:t xml:space="preserve">the </w:t>
      </w:r>
      <w:r w:rsidR="00C4643B">
        <w:t>variance</w:t>
      </w:r>
      <w:r w:rsidR="00923706">
        <w:t xml:space="preserve"> in capital and operating costs</w:t>
      </w:r>
      <w:r w:rsidR="00923706" w:rsidRPr="00923706">
        <w:t xml:space="preserve"> </w:t>
      </w:r>
      <w:r w:rsidR="00923706">
        <w:t xml:space="preserve">using the same </w:t>
      </w:r>
      <w:r w:rsidR="00923706" w:rsidRPr="00923706">
        <w:t>CPVRR analysis performed in Docket No. 150043-EI</w:t>
      </w:r>
      <w:r w:rsidR="00923706">
        <w:t>.</w:t>
      </w:r>
      <w:r w:rsidR="00C4643B">
        <w:t xml:space="preserve"> </w:t>
      </w:r>
      <w:r w:rsidR="003F0CA7">
        <w:t xml:space="preserve">DEF’s response shows </w:t>
      </w:r>
      <w:r w:rsidR="00DD2DF2">
        <w:t>$72</w:t>
      </w:r>
      <w:r w:rsidR="00DD2DF2" w:rsidRPr="00DD2DF2">
        <w:t xml:space="preserve"> million </w:t>
      </w:r>
      <w:r w:rsidR="003F0CA7" w:rsidRPr="003F0CA7">
        <w:t xml:space="preserve">CPVRR </w:t>
      </w:r>
      <w:r w:rsidR="003F0CA7">
        <w:t xml:space="preserve">savings </w:t>
      </w:r>
      <w:r w:rsidR="00474973" w:rsidRPr="00474973">
        <w:t xml:space="preserve">in comparison </w:t>
      </w:r>
      <w:r w:rsidR="000B4242">
        <w:t>to the previous estimate</w:t>
      </w:r>
      <w:r w:rsidR="003F0CA7">
        <w:t xml:space="preserve"> </w:t>
      </w:r>
      <w:r w:rsidR="000B4242">
        <w:t xml:space="preserve">of </w:t>
      </w:r>
      <w:r w:rsidR="000B4242" w:rsidRPr="000B4242">
        <w:t>$61 million</w:t>
      </w:r>
      <w:r w:rsidR="000B4242">
        <w:t>,</w:t>
      </w:r>
      <w:r w:rsidR="000B4242" w:rsidRPr="000B4242">
        <w:t xml:space="preserve"> </w:t>
      </w:r>
      <w:r w:rsidR="000B4242">
        <w:t xml:space="preserve">an increase of </w:t>
      </w:r>
      <w:r w:rsidR="00227F2B">
        <w:t>$11 million</w:t>
      </w:r>
      <w:r w:rsidR="000B4242">
        <w:t>.</w:t>
      </w:r>
      <w:r w:rsidR="00C4643B">
        <w:rPr>
          <w:rStyle w:val="FootnoteReference"/>
        </w:rPr>
        <w:footnoteReference w:id="9"/>
      </w:r>
      <w:r w:rsidR="0052010D">
        <w:t xml:space="preserve"> </w:t>
      </w:r>
    </w:p>
    <w:p w:rsidR="00803E61" w:rsidRDefault="00803E61" w:rsidP="00C4643B">
      <w:pPr>
        <w:autoSpaceDE w:val="0"/>
        <w:autoSpaceDN w:val="0"/>
        <w:adjustRightInd w:val="0"/>
        <w:jc w:val="both"/>
      </w:pPr>
    </w:p>
    <w:p w:rsidR="004227BF" w:rsidRDefault="00FF0803" w:rsidP="00C4643B">
      <w:pPr>
        <w:autoSpaceDE w:val="0"/>
        <w:autoSpaceDN w:val="0"/>
        <w:adjustRightInd w:val="0"/>
        <w:jc w:val="both"/>
      </w:pPr>
      <w:r>
        <w:t xml:space="preserve">While </w:t>
      </w:r>
      <w:r w:rsidR="00E01375">
        <w:t>the cumulative effect is favorable to customers, t</w:t>
      </w:r>
      <w:r w:rsidR="00ED02BC" w:rsidRPr="00ED02BC">
        <w:t>he</w:t>
      </w:r>
      <w:r w:rsidR="00ED02BC">
        <w:t xml:space="preserve">re is an immediate </w:t>
      </w:r>
      <w:r w:rsidR="00ED02BC" w:rsidRPr="00ED02BC">
        <w:t>revenue requirement</w:t>
      </w:r>
      <w:r w:rsidR="00ED02BC">
        <w:t xml:space="preserve"> impact by the</w:t>
      </w:r>
      <w:r w:rsidR="00ED02BC" w:rsidRPr="00ED02BC">
        <w:t xml:space="preserve"> </w:t>
      </w:r>
      <w:r w:rsidR="00ED02BC">
        <w:t xml:space="preserve">2017 </w:t>
      </w:r>
      <w:r w:rsidR="00ED02BC" w:rsidRPr="00ED02BC">
        <w:t xml:space="preserve">outage O&amp;M cost </w:t>
      </w:r>
      <w:r w:rsidR="00ED02BC">
        <w:t xml:space="preserve">of </w:t>
      </w:r>
      <w:r w:rsidR="00A575F7">
        <w:t>$</w:t>
      </w:r>
      <w:r w:rsidR="00ED02BC" w:rsidRPr="00ED02BC">
        <w:t>14.3 million</w:t>
      </w:r>
      <w:r w:rsidR="00ED02BC">
        <w:t xml:space="preserve">, which is </w:t>
      </w:r>
      <w:r w:rsidR="00ED02BC" w:rsidRPr="00ED02BC">
        <w:t xml:space="preserve">$4.3 million higher </w:t>
      </w:r>
      <w:r w:rsidR="00ED02BC">
        <w:t>than previously estimated</w:t>
      </w:r>
      <w:r w:rsidR="00ED02BC" w:rsidRPr="00ED02BC">
        <w:t>.</w:t>
      </w:r>
      <w:r w:rsidR="00ED02BC">
        <w:t xml:space="preserve"> To mitigate this adverse impact to customers, </w:t>
      </w:r>
      <w:r w:rsidR="00021729">
        <w:t>D</w:t>
      </w:r>
      <w:r w:rsidR="004227BF">
        <w:t>EF</w:t>
      </w:r>
      <w:r w:rsidR="00021729">
        <w:t xml:space="preserve"> proposed</w:t>
      </w:r>
      <w:r w:rsidR="00E01375">
        <w:t xml:space="preserve"> to defer</w:t>
      </w:r>
      <w:r w:rsidR="00E01375" w:rsidRPr="00E01375">
        <w:t xml:space="preserve"> </w:t>
      </w:r>
      <w:r w:rsidR="00E01375">
        <w:t xml:space="preserve">a portion of the </w:t>
      </w:r>
      <w:r w:rsidR="00E01375" w:rsidRPr="00E01375">
        <w:t>outage cost</w:t>
      </w:r>
      <w:r w:rsidR="00E01375">
        <w:t xml:space="preserve"> with the creation of a</w:t>
      </w:r>
      <w:r w:rsidR="00803E61" w:rsidRPr="00803E61">
        <w:t xml:space="preserve"> regulatory asset</w:t>
      </w:r>
      <w:r w:rsidR="00E01375">
        <w:t>. As further discussed in the next section,</w:t>
      </w:r>
      <w:r w:rsidR="00803E61" w:rsidRPr="00803E61">
        <w:t xml:space="preserve"> </w:t>
      </w:r>
      <w:r w:rsidR="00E01375">
        <w:t xml:space="preserve">this </w:t>
      </w:r>
      <w:r w:rsidR="00803E61" w:rsidRPr="00803E61">
        <w:t xml:space="preserve">lowers the first year revenue requirement by approximately $6.5 million on a jurisdictional basis. </w:t>
      </w:r>
      <w:r w:rsidR="00021729" w:rsidRPr="00021729">
        <w:t xml:space="preserve">Based on the above, </w:t>
      </w:r>
      <w:r w:rsidR="0052010D">
        <w:t>s</w:t>
      </w:r>
      <w:r w:rsidR="0052010D" w:rsidRPr="0052010D">
        <w:t xml:space="preserve">taff recommends that the cost estimate for the </w:t>
      </w:r>
      <w:r w:rsidR="00C43718">
        <w:t>Osprey Plant acquisition</w:t>
      </w:r>
      <w:r w:rsidR="0052010D" w:rsidRPr="0052010D">
        <w:t xml:space="preserve"> be considered reasonable.</w:t>
      </w:r>
    </w:p>
    <w:p w:rsidR="00474973" w:rsidRDefault="00474973" w:rsidP="00C4643B">
      <w:pPr>
        <w:autoSpaceDE w:val="0"/>
        <w:autoSpaceDN w:val="0"/>
        <w:adjustRightInd w:val="0"/>
        <w:jc w:val="both"/>
      </w:pPr>
    </w:p>
    <w:p w:rsidR="00C4643B" w:rsidRPr="002E5F34" w:rsidRDefault="00C4643B" w:rsidP="00C4643B">
      <w:pPr>
        <w:jc w:val="both"/>
        <w:rPr>
          <w:rFonts w:ascii="Arial" w:hAnsi="Arial" w:cs="Arial"/>
          <w:b/>
        </w:rPr>
      </w:pPr>
      <w:r w:rsidRPr="002E5F34">
        <w:rPr>
          <w:rFonts w:ascii="Arial" w:hAnsi="Arial" w:cs="Arial"/>
          <w:b/>
        </w:rPr>
        <w:t xml:space="preserve">Osprey </w:t>
      </w:r>
      <w:r w:rsidR="00021729">
        <w:rPr>
          <w:rFonts w:ascii="Arial" w:hAnsi="Arial" w:cs="Arial"/>
          <w:b/>
        </w:rPr>
        <w:t xml:space="preserve">Plant </w:t>
      </w:r>
      <w:r w:rsidRPr="002E5F34">
        <w:rPr>
          <w:rFonts w:ascii="Arial" w:hAnsi="Arial" w:cs="Arial"/>
          <w:b/>
        </w:rPr>
        <w:t xml:space="preserve">Outage O&amp;M </w:t>
      </w:r>
      <w:r>
        <w:rPr>
          <w:rFonts w:ascii="Arial" w:hAnsi="Arial" w:cs="Arial"/>
          <w:b/>
        </w:rPr>
        <w:t>Cost Deferral</w:t>
      </w:r>
      <w:r w:rsidRPr="00683B03">
        <w:rPr>
          <w:rFonts w:ascii="Arial" w:hAnsi="Arial" w:cs="Arial"/>
          <w:b/>
        </w:rPr>
        <w:t xml:space="preserve"> </w:t>
      </w:r>
    </w:p>
    <w:p w:rsidR="00174A7C" w:rsidRDefault="00C4643B" w:rsidP="00C4643B">
      <w:pPr>
        <w:autoSpaceDE w:val="0"/>
        <w:autoSpaceDN w:val="0"/>
        <w:adjustRightInd w:val="0"/>
        <w:jc w:val="both"/>
      </w:pPr>
      <w:r>
        <w:t xml:space="preserve">The </w:t>
      </w:r>
      <w:r w:rsidRPr="005E38AA">
        <w:t xml:space="preserve">average </w:t>
      </w:r>
      <w:r>
        <w:t>of the estimated outage</w:t>
      </w:r>
      <w:r w:rsidRPr="005E38AA">
        <w:t xml:space="preserve"> O&amp;M cost for 2017</w:t>
      </w:r>
      <w:r w:rsidR="00954BEC">
        <w:t xml:space="preserve"> through</w:t>
      </w:r>
      <w:r w:rsidRPr="005E38AA">
        <w:t xml:space="preserve"> 2019</w:t>
      </w:r>
      <w:r>
        <w:t xml:space="preserve"> is </w:t>
      </w:r>
      <w:r w:rsidRPr="005E38AA">
        <w:t>$7,282,687</w:t>
      </w:r>
      <w:r>
        <w:t xml:space="preserve">, which is </w:t>
      </w:r>
      <w:r w:rsidRPr="00162B2A">
        <w:t xml:space="preserve">$7,011,732 </w:t>
      </w:r>
      <w:r>
        <w:t xml:space="preserve">lower than the </w:t>
      </w:r>
      <w:r w:rsidRPr="00162B2A">
        <w:t xml:space="preserve">estimated </w:t>
      </w:r>
      <w:r>
        <w:t xml:space="preserve">outage O&amp;M cost for 2017. </w:t>
      </w:r>
      <w:r w:rsidRPr="0040536C">
        <w:t>Bec</w:t>
      </w:r>
      <w:r>
        <w:t xml:space="preserve">ause rates are set based on the </w:t>
      </w:r>
      <w:r w:rsidRPr="0040536C">
        <w:t>first-year revenue</w:t>
      </w:r>
      <w:r>
        <w:t xml:space="preserve"> </w:t>
      </w:r>
      <w:r w:rsidR="00B35EE2">
        <w:t>requirement</w:t>
      </w:r>
      <w:r w:rsidRPr="0040536C">
        <w:t xml:space="preserve">, including the 2017 </w:t>
      </w:r>
      <w:r w:rsidRPr="002E5F34">
        <w:t xml:space="preserve">major maintenance </w:t>
      </w:r>
      <w:r w:rsidRPr="0040536C">
        <w:t>outage, DEF proposes to defer a portion of the</w:t>
      </w:r>
      <w:r>
        <w:t xml:space="preserve"> 2017 o</w:t>
      </w:r>
      <w:r w:rsidRPr="0040536C">
        <w:t xml:space="preserve">utage O&amp;M costs and charge that amount to a </w:t>
      </w:r>
      <w:r w:rsidR="00174A7C" w:rsidRPr="0040536C">
        <w:t>regulatory asset</w:t>
      </w:r>
      <w:r w:rsidRPr="0040536C">
        <w:t>. Rather</w:t>
      </w:r>
      <w:r>
        <w:t xml:space="preserve"> </w:t>
      </w:r>
      <w:r w:rsidRPr="0040536C">
        <w:t>than using the $14.3 million amount</w:t>
      </w:r>
      <w:r w:rsidRPr="00162B2A">
        <w:t xml:space="preserve"> </w:t>
      </w:r>
      <w:r>
        <w:t xml:space="preserve">to </w:t>
      </w:r>
      <w:r w:rsidRPr="00162B2A">
        <w:t>set rates</w:t>
      </w:r>
      <w:r>
        <w:t>, DEF proposes to use the 3-year</w:t>
      </w:r>
      <w:r w:rsidRPr="0040536C">
        <w:t xml:space="preserve"> average of</w:t>
      </w:r>
      <w:r>
        <w:t xml:space="preserve"> </w:t>
      </w:r>
      <w:r w:rsidRPr="0040536C">
        <w:t>$7,282,687. In 2017,</w:t>
      </w:r>
      <w:r>
        <w:t xml:space="preserve"> </w:t>
      </w:r>
      <w:r w:rsidRPr="0040536C">
        <w:t xml:space="preserve">DEF would defer up to $7,011,732 and debit that amount to a </w:t>
      </w:r>
      <w:r w:rsidR="00174A7C" w:rsidRPr="0040536C">
        <w:t>regulatory asset</w:t>
      </w:r>
      <w:r w:rsidRPr="0040536C">
        <w:t>.</w:t>
      </w:r>
      <w:r>
        <w:t xml:space="preserve"> </w:t>
      </w:r>
      <w:r w:rsidRPr="0040536C">
        <w:t xml:space="preserve">DEF would amortize the </w:t>
      </w:r>
      <w:r w:rsidR="00174A7C" w:rsidRPr="0040536C">
        <w:t xml:space="preserve">regulatory asset </w:t>
      </w:r>
      <w:r w:rsidRPr="0040536C">
        <w:t>in 2018 and 2019, when outage costs</w:t>
      </w:r>
      <w:r>
        <w:t xml:space="preserve"> </w:t>
      </w:r>
      <w:r w:rsidRPr="0040536C">
        <w:t xml:space="preserve">are lower, fully amortizing the </w:t>
      </w:r>
      <w:r w:rsidR="00174A7C" w:rsidRPr="0040536C">
        <w:t>regulatory ass</w:t>
      </w:r>
      <w:r w:rsidR="00174A7C">
        <w:t>et</w:t>
      </w:r>
      <w:r>
        <w:t xml:space="preserve"> balance by the end of 2019. </w:t>
      </w:r>
    </w:p>
    <w:p w:rsidR="00174A7C" w:rsidRDefault="00174A7C" w:rsidP="00C4643B">
      <w:pPr>
        <w:autoSpaceDE w:val="0"/>
        <w:autoSpaceDN w:val="0"/>
        <w:adjustRightInd w:val="0"/>
        <w:jc w:val="both"/>
      </w:pPr>
    </w:p>
    <w:p w:rsidR="00C4643B" w:rsidRPr="0040536C" w:rsidRDefault="00C4643B" w:rsidP="00C4643B">
      <w:pPr>
        <w:autoSpaceDE w:val="0"/>
        <w:autoSpaceDN w:val="0"/>
        <w:adjustRightInd w:val="0"/>
        <w:jc w:val="both"/>
      </w:pPr>
      <w:r>
        <w:t>Staff agrees with DEF that t</w:t>
      </w:r>
      <w:r w:rsidRPr="0040536C">
        <w:t>his</w:t>
      </w:r>
      <w:r>
        <w:t xml:space="preserve"> </w:t>
      </w:r>
      <w:r w:rsidRPr="0040536C">
        <w:t xml:space="preserve">proposed </w:t>
      </w:r>
      <w:r w:rsidR="00174A7C" w:rsidRPr="0040536C">
        <w:t xml:space="preserve">regulatory asset </w:t>
      </w:r>
      <w:r w:rsidRPr="0040536C">
        <w:t>treatment reduc</w:t>
      </w:r>
      <w:r>
        <w:t xml:space="preserve">es the impact to customers, while allowing </w:t>
      </w:r>
      <w:r w:rsidRPr="0040536C">
        <w:t xml:space="preserve">DEF </w:t>
      </w:r>
      <w:r>
        <w:t xml:space="preserve">an opportunity </w:t>
      </w:r>
      <w:r w:rsidRPr="0040536C">
        <w:t>to account for its full cost of integrating the Osprey Plant into its system.</w:t>
      </w:r>
      <w:r w:rsidR="00174A7C" w:rsidRPr="00174A7C">
        <w:t xml:space="preserve"> The creation of the regulatory asset lowers the first year revenue requirement by approximately $6.5 million on a jurisdictional basis.</w:t>
      </w:r>
      <w:r>
        <w:t xml:space="preserve"> Consistent with Commission practice, staff recommends that DEF should file annual reports</w:t>
      </w:r>
      <w:r w:rsidR="007B3B1F" w:rsidRPr="007B3B1F">
        <w:t xml:space="preserve"> with the Commission</w:t>
      </w:r>
      <w:r>
        <w:t xml:space="preserve">, detailing the actual outage </w:t>
      </w:r>
      <w:r w:rsidRPr="00471B38">
        <w:t xml:space="preserve">O&amp;M </w:t>
      </w:r>
      <w:r>
        <w:t xml:space="preserve">costs incurred and the accounting treatment associated with the </w:t>
      </w:r>
      <w:r w:rsidR="00174A7C" w:rsidRPr="00471B38">
        <w:t>regulatory asset</w:t>
      </w:r>
      <w:r>
        <w:t xml:space="preserve">, in conjunction with its year-end </w:t>
      </w:r>
      <w:r w:rsidRPr="00471B38">
        <w:t>earnings surveillance report</w:t>
      </w:r>
      <w:r>
        <w:t xml:space="preserve">s during the three years. This ensures that only the actual cost deferral, subject to a cap of </w:t>
      </w:r>
      <w:r w:rsidRPr="002E73AE">
        <w:t>$7,011,732</w:t>
      </w:r>
      <w:r>
        <w:t xml:space="preserve">, be amortized with </w:t>
      </w:r>
      <w:r w:rsidRPr="009D0675">
        <w:t xml:space="preserve">this proposed </w:t>
      </w:r>
      <w:r w:rsidR="00174A7C" w:rsidRPr="009D0675">
        <w:t xml:space="preserve">regulatory asset </w:t>
      </w:r>
      <w:r w:rsidRPr="009D0675">
        <w:t>treatment</w:t>
      </w:r>
      <w:r>
        <w:t>.</w:t>
      </w:r>
    </w:p>
    <w:p w:rsidR="00C4643B" w:rsidRDefault="00C4643B" w:rsidP="00C4643B">
      <w:pPr>
        <w:jc w:val="both"/>
        <w:rPr>
          <w:rFonts w:ascii="Arial" w:hAnsi="Arial" w:cs="Arial"/>
          <w:b/>
        </w:rPr>
      </w:pPr>
    </w:p>
    <w:p w:rsidR="008F02A6" w:rsidRDefault="008F02A6" w:rsidP="00C4643B">
      <w:pPr>
        <w:jc w:val="both"/>
        <w:rPr>
          <w:rFonts w:ascii="Arial" w:hAnsi="Arial" w:cs="Arial"/>
          <w:b/>
        </w:rPr>
      </w:pPr>
    </w:p>
    <w:p w:rsidR="008F02A6" w:rsidRDefault="008F02A6" w:rsidP="00C4643B">
      <w:pPr>
        <w:jc w:val="both"/>
        <w:rPr>
          <w:rFonts w:ascii="Arial" w:hAnsi="Arial" w:cs="Arial"/>
          <w:b/>
        </w:rPr>
      </w:pPr>
    </w:p>
    <w:p w:rsidR="00C4643B" w:rsidRDefault="00C4643B" w:rsidP="00C4643B">
      <w:pPr>
        <w:jc w:val="both"/>
        <w:rPr>
          <w:rFonts w:ascii="Arial" w:hAnsi="Arial" w:cs="Arial"/>
          <w:b/>
        </w:rPr>
      </w:pPr>
      <w:r w:rsidRPr="00636F4D">
        <w:rPr>
          <w:rFonts w:ascii="Arial" w:hAnsi="Arial" w:cs="Arial"/>
          <w:b/>
        </w:rPr>
        <w:lastRenderedPageBreak/>
        <w:t xml:space="preserve">Osprey </w:t>
      </w:r>
      <w:r w:rsidR="006B544F">
        <w:rPr>
          <w:rFonts w:ascii="Arial" w:hAnsi="Arial" w:cs="Arial"/>
          <w:b/>
        </w:rPr>
        <w:t xml:space="preserve">Plant </w:t>
      </w:r>
      <w:r>
        <w:rPr>
          <w:rFonts w:ascii="Arial" w:hAnsi="Arial" w:cs="Arial"/>
          <w:b/>
        </w:rPr>
        <w:t>Depreciation Rate a</w:t>
      </w:r>
      <w:r w:rsidRPr="00636F4D">
        <w:rPr>
          <w:rFonts w:ascii="Arial" w:hAnsi="Arial" w:cs="Arial"/>
          <w:b/>
        </w:rPr>
        <w:t xml:space="preserve">nd Methodology </w:t>
      </w:r>
    </w:p>
    <w:p w:rsidR="00C4643B" w:rsidRDefault="00C4643B" w:rsidP="00C4643B">
      <w:pPr>
        <w:jc w:val="both"/>
      </w:pPr>
      <w:r w:rsidRPr="00E067C7">
        <w:t>In determining the revenue requirements associated with acquisition of the Osprey Plant, DEF needs a Commission-approved depreciation rate for the plant.</w:t>
      </w:r>
      <w:r w:rsidR="001814BE">
        <w:t xml:space="preserve"> By</w:t>
      </w:r>
      <w:r w:rsidRPr="00E067C7">
        <w:t xml:space="preserve"> </w:t>
      </w:r>
      <w:r w:rsidR="001814BE">
        <w:t>a</w:t>
      </w:r>
      <w:r w:rsidRPr="00E067C7">
        <w:t xml:space="preserve">pplying this rate, DEF can calculate the annual depreciation expense and accumulated depreciation reserve so that the operation expense and the net plant as of December 31, 2017, can be derived. </w:t>
      </w:r>
    </w:p>
    <w:p w:rsidR="00AE744D" w:rsidRPr="00E067C7" w:rsidRDefault="00AE744D" w:rsidP="00C4643B">
      <w:pPr>
        <w:jc w:val="both"/>
      </w:pPr>
    </w:p>
    <w:p w:rsidR="00C4643B" w:rsidRDefault="00C4643B" w:rsidP="00C4643B">
      <w:pPr>
        <w:jc w:val="both"/>
      </w:pPr>
      <w:r w:rsidRPr="00E067C7">
        <w:t>DEF witness Foster testified that the Federal Energy Regulatory Commission (FERC) requires DEF to apply the approved depreciation rate to the original cost of the Osprey Plant of $359 million, rather than the ne</w:t>
      </w:r>
      <w:r w:rsidR="0088123F">
        <w:t xml:space="preserve">t acquisition cost of the plant of </w:t>
      </w:r>
      <w:r w:rsidRPr="00E067C7">
        <w:t>$168 million</w:t>
      </w:r>
      <w:r w:rsidR="00331C6C">
        <w:t xml:space="preserve">, which is </w:t>
      </w:r>
      <w:r w:rsidR="00331C6C" w:rsidRPr="00331C6C">
        <w:t xml:space="preserve">composed of </w:t>
      </w:r>
      <w:r w:rsidR="00F76D1C">
        <w:t xml:space="preserve">acquisition cost and </w:t>
      </w:r>
      <w:r w:rsidR="00CB741C">
        <w:t>integration cost</w:t>
      </w:r>
      <w:r w:rsidRPr="00E067C7">
        <w:t>. To resolve this unique problem of depreciation accounting, DEF proposed a method to calculate the effective depreciation rate. On page 4, Item 10, of its petition, DEF requested specific approval of the rate and methodology from the Commission.</w:t>
      </w:r>
    </w:p>
    <w:p w:rsidR="00AE744D" w:rsidRPr="00E067C7" w:rsidRDefault="00AE744D" w:rsidP="00C4643B">
      <w:pPr>
        <w:jc w:val="both"/>
      </w:pPr>
    </w:p>
    <w:p w:rsidR="00C4643B" w:rsidRDefault="00C4643B" w:rsidP="00C4643B">
      <w:pPr>
        <w:jc w:val="both"/>
      </w:pPr>
      <w:r w:rsidRPr="00E067C7">
        <w:t>DEF has assumed a 26-year remaining life (or until 2042) for the generating unit at Osprey.</w:t>
      </w:r>
      <w:r w:rsidRPr="00E067C7">
        <w:rPr>
          <w:vertAlign w:val="superscript"/>
        </w:rPr>
        <w:footnoteReference w:id="10"/>
      </w:r>
      <w:r w:rsidRPr="00E067C7">
        <w:t xml:space="preserve"> Staff believes this assumption is reasonable based on its review of the reasons and justifications provided by the Company.</w:t>
      </w:r>
      <w:r w:rsidRPr="00E067C7">
        <w:rPr>
          <w:vertAlign w:val="superscript"/>
        </w:rPr>
        <w:footnoteReference w:id="11"/>
      </w:r>
      <w:r w:rsidRPr="00E067C7">
        <w:t xml:space="preserve"> Based on this assumed plant remaining life, a remaining</w:t>
      </w:r>
      <w:r w:rsidR="00B15496">
        <w:t xml:space="preserve"> life depreciation rate of 3.85 percent</w:t>
      </w:r>
      <w:r w:rsidRPr="00E067C7">
        <w:t xml:space="preserve"> results in accordance with Rule 25-60436(1)(e), F.A.C. Applying this rate to the net acquisition cost of $168 million, the actually required annual depreciation expense of $6.456 million is derived for recovering the plant investment of the Osprey unit within its service life.</w:t>
      </w:r>
    </w:p>
    <w:p w:rsidR="00CB741C" w:rsidRDefault="00CB741C" w:rsidP="00C4643B">
      <w:pPr>
        <w:jc w:val="both"/>
      </w:pPr>
    </w:p>
    <w:p w:rsidR="00C4643B" w:rsidRDefault="00C4643B" w:rsidP="00C4643B">
      <w:pPr>
        <w:jc w:val="both"/>
      </w:pPr>
      <w:r w:rsidRPr="00E067C7">
        <w:t>To satisfy FERC’s accounting and book keeping requirement, DEF must determine a rate to be applied to the original plant cost of $359 million. Using this original plant cost</w:t>
      </w:r>
      <w:r w:rsidR="005D7CA2">
        <w:t>,</w:t>
      </w:r>
      <w:r w:rsidRPr="00E067C7">
        <w:t xml:space="preserve"> divided by the actual annual depreciation expense of $6.456 million, an effe</w:t>
      </w:r>
      <w:r w:rsidR="00914053">
        <w:t>ctive depreciation rate of 1.80 percent</w:t>
      </w:r>
      <w:r w:rsidRPr="00E067C7">
        <w:t xml:space="preserve"> is derived. This is the methodology DEF proposed. Detailed step-by-step calculations are reflected in Attachment </w:t>
      </w:r>
      <w:r w:rsidR="00722410">
        <w:t>A</w:t>
      </w:r>
      <w:r w:rsidRPr="00E067C7">
        <w:t>.</w:t>
      </w:r>
    </w:p>
    <w:p w:rsidR="00AE744D" w:rsidRPr="00E067C7" w:rsidRDefault="00AE744D" w:rsidP="00C4643B">
      <w:pPr>
        <w:jc w:val="both"/>
      </w:pPr>
    </w:p>
    <w:p w:rsidR="00C4643B" w:rsidRDefault="00C4643B" w:rsidP="00C4643B">
      <w:pPr>
        <w:jc w:val="both"/>
      </w:pPr>
      <w:r w:rsidRPr="00E067C7">
        <w:t>Staff believes that DEF’s proposed method for deriving the effective depreciation rate is appropriate. Using the resulting rate of 1.80% to apply to the original costs of the Osprey Plant, the actual acquisition cost will be recovered within the plant’s service life in accordance with the aforementioned depreciation rule. Staff notes that the Osprey Plant will be included in DEF’s next depreciation study, to be filed on or before March 31, 2019, in accordance with the same  rule. At that time, the Company’s proposed remaining life and depreciation rate associated with the Osprey Plant will be further reviewed by the Commission.</w:t>
      </w:r>
    </w:p>
    <w:p w:rsidR="00AE744D" w:rsidRPr="00E067C7" w:rsidRDefault="00AE744D" w:rsidP="00C4643B">
      <w:pPr>
        <w:jc w:val="both"/>
      </w:pPr>
    </w:p>
    <w:p w:rsidR="00CD6A8D" w:rsidRDefault="00C4643B" w:rsidP="00C4643B">
      <w:pPr>
        <w:jc w:val="both"/>
      </w:pPr>
      <w:r w:rsidRPr="00E067C7">
        <w:t>Based on the above, staff recommends approval of DEF’s proposed depreciation methodology and rate.</w:t>
      </w:r>
    </w:p>
    <w:p w:rsidR="008F02A6" w:rsidRDefault="008F02A6" w:rsidP="00C4643B">
      <w:pPr>
        <w:jc w:val="both"/>
      </w:pPr>
    </w:p>
    <w:p w:rsidR="00CD6A8D" w:rsidRPr="0068088A" w:rsidRDefault="00CD6A8D" w:rsidP="00CD6A8D">
      <w:pPr>
        <w:jc w:val="both"/>
        <w:rPr>
          <w:rFonts w:ascii="Arial" w:hAnsi="Arial" w:cs="Arial"/>
          <w:b/>
        </w:rPr>
      </w:pPr>
      <w:r w:rsidRPr="00CD6A8D">
        <w:rPr>
          <w:rFonts w:ascii="Arial" w:hAnsi="Arial" w:cs="Arial"/>
          <w:b/>
        </w:rPr>
        <w:t>Osprey Plant Revenue Requirement</w:t>
      </w:r>
    </w:p>
    <w:p w:rsidR="00CD6A8D" w:rsidRPr="003D06C5" w:rsidRDefault="003D06C5" w:rsidP="003D06C5">
      <w:pPr>
        <w:spacing w:after="240"/>
        <w:jc w:val="both"/>
      </w:pPr>
      <w:r w:rsidRPr="003D06C5">
        <w:t>Based on the estimated cost of the Osprey Plant acquisition, DEF calculated a revenue requirement of $47,982,181.</w:t>
      </w:r>
      <w:r w:rsidRPr="003D06C5">
        <w:rPr>
          <w:vertAlign w:val="superscript"/>
        </w:rPr>
        <w:footnoteReference w:id="12"/>
      </w:r>
      <w:r w:rsidRPr="003D06C5">
        <w:t xml:space="preserve"> In accordance with paragraph 16(a) of the RRSSA, DEF utilized the capital structure from its most recent actual </w:t>
      </w:r>
      <w:r w:rsidR="0042077B">
        <w:t>Earnings Surveillance Report (</w:t>
      </w:r>
      <w:r w:rsidR="00E520F2" w:rsidRPr="00E520F2">
        <w:t>ESR</w:t>
      </w:r>
      <w:r w:rsidR="0042077B">
        <w:t>)</w:t>
      </w:r>
      <w:r w:rsidR="00154AD7">
        <w:t xml:space="preserve"> </w:t>
      </w:r>
      <w:r w:rsidRPr="003D06C5">
        <w:t xml:space="preserve">available at </w:t>
      </w:r>
      <w:r w:rsidRPr="003D06C5">
        <w:lastRenderedPageBreak/>
        <w:t>the time of its filing and a 10.50 percent return on equity to calculate the revenue requirement.</w:t>
      </w:r>
      <w:r w:rsidR="0042077B" w:rsidRPr="003D06C5">
        <w:rPr>
          <w:vertAlign w:val="superscript"/>
        </w:rPr>
        <w:footnoteReference w:id="13"/>
      </w:r>
      <w:r w:rsidRPr="003D06C5">
        <w:t xml:space="preserve"> The revenue requirement calculation also includes the recovery of O&amp;M expenses, depreciation expense, property insurance, property tax, and income tax. Subsequent to the filing of its petition using the May 2016 ESR, DEF has submitted more current ESRs with the most recent being for August 2016. Staff has calculated a revised revenue requirement of $47,836,801 based on the capital structure provided in the August 2016 ESR. This represents a $145,380 revenue requirement reduction. Staff recommends that the $47,836,801 revenue requirement based on the most recently available ESR is the appropriate amount as shown on Attachment B.</w:t>
      </w:r>
    </w:p>
    <w:p w:rsidR="00C4643B" w:rsidRPr="0068088A" w:rsidRDefault="00C4643B" w:rsidP="00C4643B">
      <w:pPr>
        <w:jc w:val="both"/>
        <w:rPr>
          <w:rFonts w:ascii="Arial" w:hAnsi="Arial" w:cs="Arial"/>
          <w:b/>
        </w:rPr>
      </w:pPr>
      <w:r w:rsidRPr="0068088A">
        <w:rPr>
          <w:rFonts w:ascii="Arial" w:hAnsi="Arial" w:cs="Arial"/>
          <w:b/>
        </w:rPr>
        <w:t>Conclusion</w:t>
      </w:r>
    </w:p>
    <w:p w:rsidR="00C4643B" w:rsidRDefault="00BB48FA" w:rsidP="00604887">
      <w:pPr>
        <w:pStyle w:val="BodyText"/>
        <w:rPr>
          <w:vanish/>
          <w:specVanish/>
        </w:rPr>
      </w:pPr>
      <w:r w:rsidRPr="00BB48FA">
        <w:t xml:space="preserve">The revenue requirement for the Osprey Plant should be $47,836,801. The proposed depreciation rate and methodology for the Osprey Plant should be approved. In addition, DEF should be required to file annual reports with the Commission, detailing the actual outage costs incurred and the accounting treatment associated with the Osprey outage cost deferral, in its year-end earnings surveillance reports for 2017 through 2019. </w:t>
      </w:r>
      <w:r w:rsidR="00C4643B" w:rsidRPr="004C3641">
        <w:rPr>
          <w:b/>
          <w:i/>
        </w:rPr>
        <w:br w:type="page"/>
      </w:r>
      <w:r w:rsidR="00C4643B" w:rsidRPr="00C4643B">
        <w:rPr>
          <w:rFonts w:ascii="Arial" w:hAnsi="Arial" w:cs="Arial"/>
          <w:b/>
          <w:i/>
        </w:rPr>
        <w:lastRenderedPageBreak/>
        <w:t xml:space="preserve">Issue </w:t>
      </w:r>
      <w:r w:rsidR="00C4643B" w:rsidRPr="00C4643B">
        <w:rPr>
          <w:rFonts w:ascii="Arial" w:hAnsi="Arial" w:cs="Arial"/>
          <w:b/>
          <w:i/>
        </w:rPr>
        <w:fldChar w:fldCharType="begin"/>
      </w:r>
      <w:r w:rsidR="00C4643B" w:rsidRPr="00C4643B">
        <w:rPr>
          <w:rFonts w:ascii="Arial" w:hAnsi="Arial" w:cs="Arial"/>
          <w:b/>
          <w:i/>
        </w:rPr>
        <w:instrText xml:space="preserve"> SEQ Issue \* MERGEFORMAT </w:instrText>
      </w:r>
      <w:r w:rsidR="00C4643B" w:rsidRPr="00C4643B">
        <w:rPr>
          <w:rFonts w:ascii="Arial" w:hAnsi="Arial" w:cs="Arial"/>
          <w:b/>
          <w:i/>
        </w:rPr>
        <w:fldChar w:fldCharType="separate"/>
      </w:r>
      <w:r w:rsidR="0025002B">
        <w:rPr>
          <w:rFonts w:ascii="Arial" w:hAnsi="Arial" w:cs="Arial"/>
          <w:b/>
          <w:i/>
          <w:noProof/>
        </w:rPr>
        <w:t>2</w:t>
      </w:r>
      <w:r w:rsidR="00C4643B" w:rsidRPr="00C4643B">
        <w:rPr>
          <w:rFonts w:ascii="Arial" w:hAnsi="Arial" w:cs="Arial"/>
          <w:b/>
          <w:i/>
        </w:rPr>
        <w:fldChar w:fldCharType="end"/>
      </w:r>
      <w:r w:rsidR="00C4643B" w:rsidRPr="00C4643B">
        <w:rPr>
          <w:rFonts w:ascii="Arial" w:hAnsi="Arial" w:cs="Arial"/>
          <w:b/>
          <w:i/>
        </w:rPr>
        <w:t>:</w:t>
      </w:r>
      <w:r w:rsidR="00C4643B">
        <w:fldChar w:fldCharType="begin"/>
      </w:r>
      <w:r w:rsidR="00C4643B">
        <w:instrText xml:space="preserve"> TC "</w:instrText>
      </w:r>
      <w:r w:rsidR="00C4643B">
        <w:fldChar w:fldCharType="begin"/>
      </w:r>
      <w:r w:rsidR="00C4643B">
        <w:instrText xml:space="preserve"> SEQ issue \c </w:instrText>
      </w:r>
      <w:r w:rsidR="00C4643B">
        <w:fldChar w:fldCharType="separate"/>
      </w:r>
      <w:r w:rsidR="0025002B">
        <w:rPr>
          <w:noProof/>
        </w:rPr>
        <w:instrText>2</w:instrText>
      </w:r>
      <w:r w:rsidR="00C4643B">
        <w:fldChar w:fldCharType="end"/>
      </w:r>
      <w:r w:rsidR="00C4643B">
        <w:tab/>
        <w:instrText xml:space="preserve">" \l 1 </w:instrText>
      </w:r>
      <w:r w:rsidR="00C4643B">
        <w:fldChar w:fldCharType="end"/>
      </w:r>
      <w:r w:rsidR="00C4643B">
        <w:t> </w:t>
      </w:r>
    </w:p>
    <w:p w:rsidR="00C4643B" w:rsidRDefault="00C4643B">
      <w:pPr>
        <w:pStyle w:val="BodyText"/>
      </w:pPr>
      <w:r>
        <w:t> </w:t>
      </w:r>
      <w:r w:rsidRPr="00FC696F">
        <w:t>Should the Commission approve DEF’s proposed tariffs and associated charges</w:t>
      </w:r>
      <w:r>
        <w:t>?</w:t>
      </w:r>
    </w:p>
    <w:p w:rsidR="00C4643B" w:rsidRPr="004C3641" w:rsidRDefault="00C4643B">
      <w:pPr>
        <w:pStyle w:val="IssueSubsectionHeading"/>
        <w:rPr>
          <w:vanish/>
          <w:specVanish/>
        </w:rPr>
      </w:pPr>
      <w:r w:rsidRPr="004C3641">
        <w:t>Recommendation: </w:t>
      </w:r>
    </w:p>
    <w:p w:rsidR="00C4643B" w:rsidRDefault="00C4643B">
      <w:pPr>
        <w:pStyle w:val="BodyText"/>
      </w:pPr>
      <w:r>
        <w:t> </w:t>
      </w:r>
      <w:r w:rsidR="000A7F08" w:rsidRPr="000A7F08">
        <w:t>Yes. If the Commission approves Issue 1, the Commission should give staff administrative authority to approve tariffs and associated charges that implement the Commission vote</w:t>
      </w:r>
      <w:r w:rsidR="000E4632" w:rsidRPr="000E4632">
        <w:t xml:space="preserve"> </w:t>
      </w:r>
      <w:r w:rsidR="000E4632">
        <w:t xml:space="preserve">regarding </w:t>
      </w:r>
      <w:r w:rsidR="000E4632" w:rsidRPr="000E4632">
        <w:t>the Osprey Plant</w:t>
      </w:r>
      <w:r w:rsidR="000A7F08" w:rsidRPr="000A7F08">
        <w:t>. The charges should go into effect with the first billing cycle in February 2017.</w:t>
      </w:r>
      <w:r w:rsidR="002133BD">
        <w:t xml:space="preserve"> If the acquisition of the Osprey Plant is delayed, then the tariffs should become effective at the time the Osprey Plant is acquired.</w:t>
      </w:r>
      <w:r w:rsidR="000A7F08" w:rsidRPr="000A7F08">
        <w:t xml:space="preserve"> (Guffey)</w:t>
      </w:r>
    </w:p>
    <w:p w:rsidR="00C4643B" w:rsidRPr="004C3641" w:rsidRDefault="00C4643B">
      <w:pPr>
        <w:pStyle w:val="IssueSubsectionHeading"/>
        <w:rPr>
          <w:vanish/>
          <w:specVanish/>
        </w:rPr>
      </w:pPr>
      <w:r w:rsidRPr="004C3641">
        <w:t>Staff Analysis: </w:t>
      </w:r>
    </w:p>
    <w:p w:rsidR="00845146" w:rsidRDefault="00C4643B" w:rsidP="00845146">
      <w:pPr>
        <w:pStyle w:val="BodyText"/>
      </w:pPr>
      <w:r>
        <w:t> </w:t>
      </w:r>
      <w:r w:rsidR="00845146">
        <w:t xml:space="preserve">As discussed in Issue 1, staff is recommending a reduction in the revenue requirement for the Osprey Plant. DEF provided work papers showing the allocation of the DEF proposed revenue requirements to all its rate classes at a uniform percentage (2.84 percent) as shown in revised Exhibit D filed on October 19, 2016. Under DEF’s proposal, a residential customer who uses 1,000 kilowatt-hours will see a $1.41 increase on the monthly bill (excluding Gross Receipt Tax). The DEF proposed base rates are shown in revised Exhibit E of the revised filing and DEF’s proposed tariffs are shown in revised Exhibits F and G. </w:t>
      </w:r>
      <w:r w:rsidR="002133BD">
        <w:t>DEF requested that the tariffs become effective with the first billing cycle of February 2017.</w:t>
      </w:r>
    </w:p>
    <w:p w:rsidR="00845146" w:rsidRDefault="00845146" w:rsidP="00845146">
      <w:pPr>
        <w:pStyle w:val="First-LevelSubheading"/>
      </w:pPr>
      <w:r>
        <w:t>Conclusion</w:t>
      </w:r>
    </w:p>
    <w:p w:rsidR="00845146" w:rsidRDefault="00845146" w:rsidP="00845146">
      <w:pPr>
        <w:pStyle w:val="BodyText"/>
      </w:pPr>
      <w:r>
        <w:t>If the Commission approves the staff recommendation in Issue 1 to reduce the revenue requirement for the Osprey Plant, DEF should recalculate the rates, and file revised tariff sheets (if DEF’s proposed rates are affected by the decrease in the revenue requirements approved in Issue 1) for administrative approval by staff. The charges should go into effect with the first billing cycle in February 2017.</w:t>
      </w:r>
      <w:r w:rsidR="002133BD">
        <w:t xml:space="preserve"> If the acquisition of the Osprey Plant is delayed, then the tariffs should become effective at the time the Osprey Plant is acquired.</w:t>
      </w:r>
    </w:p>
    <w:p w:rsidR="00C4643B" w:rsidRDefault="00C4643B" w:rsidP="00845146">
      <w:pPr>
        <w:pStyle w:val="BodyText"/>
      </w:pPr>
    </w:p>
    <w:p w:rsidR="009E2D76" w:rsidRDefault="009E2D76">
      <w:pPr>
        <w:pStyle w:val="IssueHeading"/>
        <w:rPr>
          <w:vanish/>
          <w:specVanish/>
        </w:rPr>
      </w:pPr>
      <w:r w:rsidRPr="004C3641">
        <w:rPr>
          <w:b w:val="0"/>
          <w:i w:val="0"/>
        </w:rPr>
        <w:br w:type="page"/>
      </w:r>
      <w:r w:rsidRPr="004C3641">
        <w:lastRenderedPageBreak/>
        <w:t xml:space="preserve">Issue </w:t>
      </w:r>
      <w:fldSimple w:instr=" SEQ Issue \* MERGEFORMAT ">
        <w:r w:rsidR="0025002B">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25002B">
        <w:rPr>
          <w:noProof/>
        </w:rPr>
        <w:instrText>3</w:instrText>
      </w:r>
      <w:r>
        <w:fldChar w:fldCharType="end"/>
      </w:r>
      <w:r>
        <w:tab/>
        <w:instrText xml:space="preserve">(X)" \l 1 </w:instrText>
      </w:r>
      <w:r>
        <w:fldChar w:fldCharType="end"/>
      </w:r>
      <w:r>
        <w:t> </w:t>
      </w:r>
    </w:p>
    <w:p w:rsidR="009E2D76" w:rsidRDefault="009E2D76">
      <w:pPr>
        <w:pStyle w:val="BodyText"/>
      </w:pPr>
      <w:r>
        <w:t> </w:t>
      </w:r>
      <w:r w:rsidR="00A62680" w:rsidRPr="00A62680">
        <w:t>Should DEF’s motion requesting withdrawal of the tariffs for Phase 1 of the Hines Project approved in Docket 160128-EI be approved</w:t>
      </w:r>
      <w:r w:rsidR="00A62680">
        <w:t>?</w:t>
      </w:r>
    </w:p>
    <w:p w:rsidR="009E2D76" w:rsidRPr="004C3641" w:rsidRDefault="009E2D76">
      <w:pPr>
        <w:pStyle w:val="IssueSubsectionHeading"/>
        <w:rPr>
          <w:vanish/>
          <w:specVanish/>
        </w:rPr>
      </w:pPr>
      <w:r w:rsidRPr="004C3641">
        <w:t>Recommendation: </w:t>
      </w:r>
    </w:p>
    <w:p w:rsidR="009E2D76" w:rsidRDefault="009E2D76">
      <w:pPr>
        <w:pStyle w:val="BodyText"/>
      </w:pPr>
      <w:r>
        <w:t> </w:t>
      </w:r>
      <w:r w:rsidR="00A62680">
        <w:t xml:space="preserve">Yes, DEF’s motion requesting withdrawal of the tariffs for </w:t>
      </w:r>
      <w:r w:rsidR="00A62680" w:rsidRPr="001C3384">
        <w:t xml:space="preserve">Phase 1 of </w:t>
      </w:r>
      <w:r w:rsidR="00A62680">
        <w:t xml:space="preserve">the </w:t>
      </w:r>
      <w:r w:rsidR="00A62680" w:rsidRPr="001C3384">
        <w:t xml:space="preserve">Hines Project </w:t>
      </w:r>
      <w:r w:rsidR="00A62680">
        <w:t>approved in Docket 160128-EI should be approved.</w:t>
      </w:r>
      <w:r>
        <w:t xml:space="preserve"> (</w:t>
      </w:r>
      <w:r w:rsidRPr="000A7F08">
        <w:t>Guffey</w:t>
      </w:r>
      <w:r>
        <w:t>)</w:t>
      </w:r>
    </w:p>
    <w:p w:rsidR="009E2D76" w:rsidRPr="004C3641" w:rsidRDefault="009E2D76">
      <w:pPr>
        <w:pStyle w:val="IssueSubsectionHeading"/>
        <w:rPr>
          <w:vanish/>
          <w:specVanish/>
        </w:rPr>
      </w:pPr>
      <w:r w:rsidRPr="004C3641">
        <w:t>Staff Analysis: </w:t>
      </w:r>
    </w:p>
    <w:p w:rsidR="009E2D76" w:rsidRDefault="009E2D76">
      <w:pPr>
        <w:pStyle w:val="BodyText"/>
        <w:rPr>
          <w:bCs/>
        </w:rPr>
      </w:pPr>
      <w:r>
        <w:t> </w:t>
      </w:r>
      <w:r w:rsidR="00A62680" w:rsidRPr="007375A5">
        <w:t>Phase 1 work on Hines Units 1-3 and the common equipment was expected to be completed and placed into comm</w:t>
      </w:r>
      <w:r w:rsidR="00A62680">
        <w:t>ercial service in October 2016. Therefore, in Order No. PSC-16-0362-TRF-EI, the Commission approved that the tariffs for Phase 1 of the Hines project a</w:t>
      </w:r>
      <w:r w:rsidR="00A62680">
        <w:rPr>
          <w:bCs/>
        </w:rPr>
        <w:t xml:space="preserve">nd associated charges shall go into effect with the first billing </w:t>
      </w:r>
      <w:r w:rsidR="00A62680" w:rsidRPr="003E7F4C">
        <w:rPr>
          <w:bCs/>
        </w:rPr>
        <w:t>cycle in November 2016</w:t>
      </w:r>
      <w:r w:rsidR="00F030D9">
        <w:rPr>
          <w:bCs/>
        </w:rPr>
        <w:t>.</w:t>
      </w:r>
    </w:p>
    <w:p w:rsidR="00F030D9" w:rsidRPr="00F030D9" w:rsidRDefault="00F030D9" w:rsidP="00F030D9">
      <w:pPr>
        <w:pStyle w:val="IssueHeading"/>
        <w:rPr>
          <w:rFonts w:ascii="Times New Roman" w:hAnsi="Times New Roman" w:cs="Times New Roman"/>
          <w:b w:val="0"/>
          <w:bCs w:val="0"/>
          <w:i w:val="0"/>
          <w:kern w:val="0"/>
          <w:szCs w:val="24"/>
        </w:rPr>
      </w:pPr>
      <w:r w:rsidRPr="00F030D9">
        <w:rPr>
          <w:rFonts w:ascii="Times New Roman" w:hAnsi="Times New Roman" w:cs="Times New Roman"/>
          <w:b w:val="0"/>
          <w:bCs w:val="0"/>
          <w:i w:val="0"/>
          <w:kern w:val="0"/>
          <w:szCs w:val="24"/>
        </w:rPr>
        <w:t>As stated in the case background, DEF stated in its motion requesting withdrawal of the tariffs that a portion of the common equipment required for both phases will not be completed as previously expected. Therefore, DEF requests withdrawal of the approved tariffs until it files another request for both phases of the Hines Project. DEF will continue billing customers consistent with the tariffs that are currently in effect and not the tariffs approved i</w:t>
      </w:r>
      <w:r w:rsidR="00D56AED">
        <w:rPr>
          <w:rFonts w:ascii="Times New Roman" w:hAnsi="Times New Roman" w:cs="Times New Roman"/>
          <w:b w:val="0"/>
          <w:bCs w:val="0"/>
          <w:i w:val="0"/>
          <w:kern w:val="0"/>
          <w:szCs w:val="24"/>
        </w:rPr>
        <w:t xml:space="preserve">n Docket 160128-EI. This is consistent with provision under </w:t>
      </w:r>
      <w:r w:rsidR="00D56AED" w:rsidRPr="00D56AED">
        <w:rPr>
          <w:rFonts w:ascii="Times New Roman" w:hAnsi="Times New Roman" w:cs="Times New Roman"/>
          <w:b w:val="0"/>
          <w:bCs w:val="0"/>
          <w:i w:val="0"/>
          <w:kern w:val="0"/>
          <w:szCs w:val="24"/>
        </w:rPr>
        <w:t>Paragraph 16(a) of the RRSSA</w:t>
      </w:r>
      <w:r w:rsidR="00D56AED">
        <w:rPr>
          <w:rFonts w:ascii="Times New Roman" w:hAnsi="Times New Roman" w:cs="Times New Roman"/>
          <w:b w:val="0"/>
          <w:bCs w:val="0"/>
          <w:i w:val="0"/>
          <w:kern w:val="0"/>
          <w:szCs w:val="24"/>
        </w:rPr>
        <w:t>, which contemplates that customers would not be charged for the project cost until such project is placed into service.</w:t>
      </w:r>
    </w:p>
    <w:p w:rsidR="00C4643B" w:rsidRDefault="00F030D9" w:rsidP="00F030D9">
      <w:pPr>
        <w:pStyle w:val="IssueHeading"/>
        <w:rPr>
          <w:vanish/>
          <w:specVanish/>
        </w:rPr>
      </w:pPr>
      <w:r w:rsidRPr="00F030D9">
        <w:rPr>
          <w:rFonts w:ascii="Times New Roman" w:hAnsi="Times New Roman" w:cs="Times New Roman"/>
          <w:b w:val="0"/>
          <w:bCs w:val="0"/>
          <w:i w:val="0"/>
          <w:kern w:val="0"/>
          <w:szCs w:val="24"/>
        </w:rPr>
        <w:t xml:space="preserve">Therefore, </w:t>
      </w:r>
      <w:r w:rsidR="00D56AED">
        <w:rPr>
          <w:rFonts w:ascii="Times New Roman" w:hAnsi="Times New Roman" w:cs="Times New Roman"/>
          <w:b w:val="0"/>
          <w:bCs w:val="0"/>
          <w:i w:val="0"/>
          <w:kern w:val="0"/>
          <w:szCs w:val="24"/>
        </w:rPr>
        <w:t xml:space="preserve">staff recommends that </w:t>
      </w:r>
      <w:r w:rsidRPr="00F030D9">
        <w:rPr>
          <w:rFonts w:ascii="Times New Roman" w:hAnsi="Times New Roman" w:cs="Times New Roman"/>
          <w:b w:val="0"/>
          <w:bCs w:val="0"/>
          <w:i w:val="0"/>
          <w:kern w:val="0"/>
          <w:szCs w:val="24"/>
        </w:rPr>
        <w:t>DEF’s motion requesting withdrawal of the tariffs for Phase 1 of the Hines Project approved in Docket 160128-EI should be approved</w:t>
      </w:r>
      <w:r>
        <w:rPr>
          <w:rFonts w:ascii="Times New Roman" w:hAnsi="Times New Roman" w:cs="Times New Roman"/>
          <w:b w:val="0"/>
          <w:bCs w:val="0"/>
          <w:i w:val="0"/>
          <w:kern w:val="0"/>
          <w:szCs w:val="24"/>
        </w:rPr>
        <w:t>.</w:t>
      </w:r>
      <w:r w:rsidR="00C4643B" w:rsidRPr="00F030D9">
        <w:rPr>
          <w:rFonts w:ascii="Times New Roman" w:hAnsi="Times New Roman" w:cs="Times New Roman"/>
          <w:b w:val="0"/>
          <w:bCs w:val="0"/>
          <w:i w:val="0"/>
          <w:kern w:val="0"/>
          <w:szCs w:val="24"/>
        </w:rPr>
        <w:br w:type="page"/>
      </w:r>
      <w:r w:rsidR="00C4643B" w:rsidRPr="004C3641">
        <w:lastRenderedPageBreak/>
        <w:t xml:space="preserve">Issue </w:t>
      </w:r>
      <w:fldSimple w:instr=" SEQ Issue \* MERGEFORMAT ">
        <w:r w:rsidR="0025002B">
          <w:rPr>
            <w:noProof/>
          </w:rPr>
          <w:t>4</w:t>
        </w:r>
      </w:fldSimple>
      <w:r w:rsidR="00C4643B" w:rsidRPr="004C3641">
        <w:t>:</w:t>
      </w:r>
      <w:r w:rsidR="00C4643B">
        <w:fldChar w:fldCharType="begin"/>
      </w:r>
      <w:r w:rsidR="00C4643B">
        <w:instrText xml:space="preserve"> TC "</w:instrText>
      </w:r>
      <w:r w:rsidR="00C4643B">
        <w:fldChar w:fldCharType="begin"/>
      </w:r>
      <w:r w:rsidR="00C4643B">
        <w:instrText xml:space="preserve"> SEQ issue \c </w:instrText>
      </w:r>
      <w:r w:rsidR="00C4643B">
        <w:fldChar w:fldCharType="separate"/>
      </w:r>
      <w:r w:rsidR="0025002B">
        <w:rPr>
          <w:noProof/>
        </w:rPr>
        <w:instrText>4</w:instrText>
      </w:r>
      <w:r w:rsidR="00C4643B">
        <w:fldChar w:fldCharType="end"/>
      </w:r>
      <w:r w:rsidR="00C4643B">
        <w:tab/>
        <w:instrText xml:space="preserve">" \l 1 </w:instrText>
      </w:r>
      <w:r w:rsidR="00C4643B">
        <w:fldChar w:fldCharType="end"/>
      </w:r>
      <w:r w:rsidR="00C4643B">
        <w:t> </w:t>
      </w:r>
    </w:p>
    <w:p w:rsidR="00C4643B" w:rsidRDefault="00A27B06">
      <w:pPr>
        <w:pStyle w:val="BodyText"/>
      </w:pPr>
      <w:r>
        <w:t> Should these</w:t>
      </w:r>
      <w:r w:rsidR="00C4643B">
        <w:t xml:space="preserve"> docket</w:t>
      </w:r>
      <w:r>
        <w:t>s</w:t>
      </w:r>
      <w:r w:rsidR="00C4643B">
        <w:t xml:space="preserve"> be closed?</w:t>
      </w:r>
    </w:p>
    <w:p w:rsidR="00C4643B" w:rsidRPr="004C3641" w:rsidRDefault="00C4643B">
      <w:pPr>
        <w:pStyle w:val="IssueSubsectionHeading"/>
        <w:rPr>
          <w:vanish/>
          <w:specVanish/>
        </w:rPr>
      </w:pPr>
      <w:r w:rsidRPr="004C3641">
        <w:t>Recommendation: </w:t>
      </w:r>
    </w:p>
    <w:p w:rsidR="00C4643B" w:rsidRDefault="00C4643B">
      <w:pPr>
        <w:pStyle w:val="BodyText"/>
      </w:pPr>
      <w:r>
        <w:t> </w:t>
      </w:r>
      <w:r w:rsidRPr="00E31FCA">
        <w:t xml:space="preserve">Yes. If Issues 1 and 2 are approved, the tariff </w:t>
      </w:r>
      <w:r w:rsidR="00C4185F">
        <w:t xml:space="preserve">related to the Osprey acquisition </w:t>
      </w:r>
      <w:r w:rsidRPr="00E31FCA">
        <w:t>should go into effect with the firs</w:t>
      </w:r>
      <w:r>
        <w:t>t billing cycle in February 2017</w:t>
      </w:r>
      <w:r w:rsidRPr="00E31FCA">
        <w:t>. If a protest is filed within 21 days of the issuance of the order, the tariff should remain in effect, with any revenues held subject to refund, pending resolution of the protest. If no timely protest is filed</w:t>
      </w:r>
      <w:r w:rsidR="00A27B06">
        <w:t xml:space="preserve">, </w:t>
      </w:r>
      <w:r w:rsidR="005E50B7" w:rsidRPr="005E50B7">
        <w:t xml:space="preserve">Docket No. 160178-EI </w:t>
      </w:r>
      <w:r w:rsidRPr="00E31FCA">
        <w:t>should be closed upon the issuance of a consummating or</w:t>
      </w:r>
      <w:r>
        <w:t>der.</w:t>
      </w:r>
      <w:r w:rsidR="005E50B7">
        <w:t xml:space="preserve"> </w:t>
      </w:r>
      <w:r w:rsidR="00C4185F">
        <w:t>If Issue</w:t>
      </w:r>
      <w:r w:rsidR="005E50B7" w:rsidRPr="005E50B7">
        <w:t xml:space="preserve"> 3 is approved, Docket No. 160128-EI should be closed.</w:t>
      </w:r>
      <w:r>
        <w:t xml:space="preserve"> (Janjic) </w:t>
      </w:r>
    </w:p>
    <w:p w:rsidR="00C4643B" w:rsidRPr="004C3641" w:rsidRDefault="00C4643B">
      <w:pPr>
        <w:pStyle w:val="IssueSubsectionHeading"/>
        <w:rPr>
          <w:vanish/>
          <w:specVanish/>
        </w:rPr>
      </w:pPr>
      <w:r w:rsidRPr="004C3641">
        <w:t>Staff Analysis: </w:t>
      </w:r>
    </w:p>
    <w:p w:rsidR="00C4643B" w:rsidRDefault="00C4643B" w:rsidP="00E275D8">
      <w:pPr>
        <w:pStyle w:val="BodyText"/>
        <w:sectPr w:rsidR="00C4643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Pr="00E31FCA">
        <w:t xml:space="preserve">If Issues 1 and 2 are approved, the tariff </w:t>
      </w:r>
      <w:r w:rsidR="00C4185F" w:rsidRPr="00C4185F">
        <w:t xml:space="preserve">related to the Osprey acquisition </w:t>
      </w:r>
      <w:r w:rsidRPr="00E31FCA">
        <w:t xml:space="preserve">should go into effect with the first billing cycle in </w:t>
      </w:r>
      <w:r w:rsidRPr="00D86F31">
        <w:t>February 2017</w:t>
      </w:r>
      <w:r w:rsidRPr="00E31FCA">
        <w:t xml:space="preserve">. If a protest is filed within 21 days of the issuance of the order, the tariff should remain in effect, with any revenues held subject to refund, pending resolution of the protest. If </w:t>
      </w:r>
      <w:r w:rsidR="00A27B06">
        <w:t>no timely protest is filed, these</w:t>
      </w:r>
      <w:r w:rsidRPr="00E31FCA">
        <w:t xml:space="preserve"> docket</w:t>
      </w:r>
      <w:r w:rsidR="00A27B06">
        <w:t>s</w:t>
      </w:r>
      <w:r w:rsidRPr="00E31FCA">
        <w:t xml:space="preserve"> should be closed upon the issuance of a consummating order</w:t>
      </w:r>
      <w:r>
        <w:t>.</w:t>
      </w:r>
      <w:r w:rsidR="00C4185F">
        <w:t xml:space="preserve"> If Issue</w:t>
      </w:r>
      <w:r w:rsidR="005E50B7">
        <w:t xml:space="preserve"> 3 is</w:t>
      </w:r>
      <w:r w:rsidR="005E50B7" w:rsidRPr="005E50B7">
        <w:t xml:space="preserve"> approved, </w:t>
      </w:r>
      <w:r w:rsidR="005E50B7">
        <w:t>Docket No. 16012</w:t>
      </w:r>
      <w:r w:rsidR="005E50B7" w:rsidRPr="005E50B7">
        <w:t>8-EI should be closed</w:t>
      </w:r>
      <w:r w:rsidR="005E50B7">
        <w:t>.</w:t>
      </w:r>
    </w:p>
    <w:p w:rsidR="00C4643B" w:rsidRPr="00C75E1A" w:rsidRDefault="00C4643B" w:rsidP="00C4643B">
      <w:pPr>
        <w:autoSpaceDE w:val="0"/>
        <w:autoSpaceDN w:val="0"/>
        <w:adjustRightInd w:val="0"/>
        <w:rPr>
          <w:b/>
          <w:bCs/>
        </w:rPr>
      </w:pPr>
    </w:p>
    <w:p w:rsidR="00C4643B" w:rsidRPr="00C75E1A" w:rsidRDefault="00C4643B" w:rsidP="00C4643B">
      <w:pPr>
        <w:autoSpaceDE w:val="0"/>
        <w:autoSpaceDN w:val="0"/>
        <w:adjustRightInd w:val="0"/>
        <w:rPr>
          <w:bCs/>
        </w:rPr>
      </w:pPr>
      <w:r w:rsidRPr="00C75E1A">
        <w:rPr>
          <w:bCs/>
        </w:rPr>
        <w:t>Duke Energy Florida, LLC</w:t>
      </w:r>
    </w:p>
    <w:p w:rsidR="00C4643B" w:rsidRPr="00C75E1A" w:rsidRDefault="00C4643B" w:rsidP="00C4643B">
      <w:pPr>
        <w:autoSpaceDE w:val="0"/>
        <w:autoSpaceDN w:val="0"/>
        <w:adjustRightInd w:val="0"/>
        <w:rPr>
          <w:bCs/>
        </w:rPr>
      </w:pPr>
      <w:r w:rsidRPr="00C75E1A">
        <w:rPr>
          <w:bCs/>
        </w:rPr>
        <w:t xml:space="preserve">Estimated First Year Revenue Requirements </w:t>
      </w:r>
      <w:r>
        <w:rPr>
          <w:bCs/>
        </w:rPr>
        <w:t>– Osprey Plant</w:t>
      </w:r>
    </w:p>
    <w:p w:rsidR="00C4643B" w:rsidRDefault="00C4643B" w:rsidP="00C4643B">
      <w:pPr>
        <w:autoSpaceDE w:val="0"/>
        <w:autoSpaceDN w:val="0"/>
        <w:adjustRightInd w:val="0"/>
        <w:rPr>
          <w:bCs/>
        </w:rPr>
      </w:pPr>
    </w:p>
    <w:p w:rsidR="00C4643B" w:rsidRPr="009E552C" w:rsidRDefault="00C4643B" w:rsidP="00C4643B">
      <w:pPr>
        <w:autoSpaceDE w:val="0"/>
        <w:autoSpaceDN w:val="0"/>
        <w:adjustRightInd w:val="0"/>
        <w:rPr>
          <w:b/>
          <w:bCs/>
        </w:rPr>
      </w:pPr>
      <w:r w:rsidRPr="009E552C">
        <w:rPr>
          <w:b/>
          <w:bCs/>
        </w:rPr>
        <w:t>Proposed Acquisition Journal Entries ($ in 000s):</w:t>
      </w:r>
    </w:p>
    <w:p w:rsidR="00C4643B" w:rsidRPr="00C75E1A" w:rsidRDefault="00C4643B" w:rsidP="00C4643B">
      <w:pPr>
        <w:autoSpaceDE w:val="0"/>
        <w:autoSpaceDN w:val="0"/>
        <w:adjustRightInd w:val="0"/>
        <w:rPr>
          <w:b/>
          <w:bCs/>
        </w:rPr>
      </w:pPr>
    </w:p>
    <w:p w:rsidR="00C4643B" w:rsidRPr="00C75E1A" w:rsidRDefault="00C4643B" w:rsidP="00C4643B">
      <w:pPr>
        <w:autoSpaceDE w:val="0"/>
        <w:autoSpaceDN w:val="0"/>
        <w:adjustRightInd w:val="0"/>
      </w:pPr>
      <w:r w:rsidRPr="00C75E1A">
        <w:t>1 Original Plant cost (101)</w:t>
      </w:r>
      <w:r>
        <w:tab/>
      </w:r>
      <w:r>
        <w:tab/>
      </w:r>
      <w:r>
        <w:tab/>
      </w:r>
      <w:r>
        <w:tab/>
      </w:r>
      <w:r>
        <w:tab/>
      </w:r>
      <w:r>
        <w:tab/>
      </w:r>
      <w:r w:rsidRPr="00C75E1A">
        <w:t xml:space="preserve"> </w:t>
      </w:r>
      <w:r>
        <w:tab/>
      </w:r>
      <w:r w:rsidRPr="00C75E1A">
        <w:t>358,787</w:t>
      </w:r>
    </w:p>
    <w:p w:rsidR="00C4643B" w:rsidRPr="00C75E1A" w:rsidRDefault="00C4643B" w:rsidP="00C4643B">
      <w:pPr>
        <w:autoSpaceDE w:val="0"/>
        <w:autoSpaceDN w:val="0"/>
        <w:adjustRightInd w:val="0"/>
      </w:pPr>
      <w:r w:rsidRPr="00C75E1A">
        <w:t>2 Accum</w:t>
      </w:r>
      <w:r>
        <w:t>ulated</w:t>
      </w:r>
      <w:r w:rsidRPr="00C75E1A">
        <w:t xml:space="preserve"> Depreciation (108) </w:t>
      </w:r>
      <w:r>
        <w:tab/>
      </w:r>
      <w:r>
        <w:tab/>
      </w:r>
      <w:r>
        <w:tab/>
      </w:r>
      <w:r>
        <w:tab/>
      </w:r>
      <w:r>
        <w:tab/>
      </w:r>
      <w:r>
        <w:tab/>
      </w:r>
      <w:r w:rsidRPr="00C75E1A">
        <w:t>(108,900)</w:t>
      </w:r>
    </w:p>
    <w:p w:rsidR="00C4643B" w:rsidRPr="009E552C" w:rsidRDefault="00C4643B" w:rsidP="00C4643B">
      <w:pPr>
        <w:autoSpaceDE w:val="0"/>
        <w:autoSpaceDN w:val="0"/>
        <w:adjustRightInd w:val="0"/>
        <w:rPr>
          <w:u w:val="thick"/>
        </w:rPr>
      </w:pPr>
      <w:r w:rsidRPr="00C75E1A">
        <w:t>3 Negative acquisition Adj</w:t>
      </w:r>
      <w:r>
        <w:t>ustment</w:t>
      </w:r>
      <w:r w:rsidRPr="00C75E1A">
        <w:t xml:space="preserve"> (114-108) </w:t>
      </w:r>
      <w:r>
        <w:tab/>
      </w:r>
      <w:r>
        <w:tab/>
      </w:r>
      <w:r>
        <w:tab/>
      </w:r>
      <w:r>
        <w:tab/>
      </w:r>
      <w:r w:rsidRPr="009E552C">
        <w:rPr>
          <w:u w:val="thick"/>
        </w:rPr>
        <w:t>(83,887)</w:t>
      </w:r>
    </w:p>
    <w:p w:rsidR="00C4643B" w:rsidRPr="00C75E1A" w:rsidRDefault="00C4643B" w:rsidP="00C4643B">
      <w:pPr>
        <w:autoSpaceDE w:val="0"/>
        <w:autoSpaceDN w:val="0"/>
        <w:adjustRightInd w:val="0"/>
      </w:pPr>
      <w:r w:rsidRPr="00C75E1A">
        <w:t xml:space="preserve">4 Net purchase price (Line 1 + 2 + 3) </w:t>
      </w:r>
      <w:r>
        <w:tab/>
      </w:r>
      <w:r>
        <w:tab/>
      </w:r>
      <w:r>
        <w:tab/>
      </w:r>
      <w:r>
        <w:tab/>
      </w:r>
      <w:r>
        <w:tab/>
      </w:r>
      <w:r w:rsidRPr="00C75E1A">
        <w:t>166,000</w:t>
      </w:r>
    </w:p>
    <w:p w:rsidR="00C4643B" w:rsidRDefault="00C4643B" w:rsidP="00C4643B">
      <w:pPr>
        <w:autoSpaceDE w:val="0"/>
        <w:autoSpaceDN w:val="0"/>
        <w:adjustRightInd w:val="0"/>
        <w:rPr>
          <w:b/>
          <w:bCs/>
        </w:rPr>
      </w:pPr>
    </w:p>
    <w:p w:rsidR="00C4643B" w:rsidRPr="009E552C" w:rsidRDefault="00C4643B" w:rsidP="00C4643B">
      <w:pPr>
        <w:autoSpaceDE w:val="0"/>
        <w:autoSpaceDN w:val="0"/>
        <w:adjustRightInd w:val="0"/>
        <w:rPr>
          <w:b/>
          <w:bCs/>
        </w:rPr>
      </w:pPr>
      <w:r w:rsidRPr="009E552C">
        <w:rPr>
          <w:b/>
          <w:bCs/>
        </w:rPr>
        <w:t>Equivalent Depreciation Rate Calculation:</w:t>
      </w:r>
    </w:p>
    <w:p w:rsidR="00C4643B" w:rsidRDefault="00C4643B" w:rsidP="00C4643B">
      <w:pPr>
        <w:autoSpaceDE w:val="0"/>
        <w:autoSpaceDN w:val="0"/>
        <w:adjustRightInd w:val="0"/>
      </w:pPr>
    </w:p>
    <w:p w:rsidR="00C4643B" w:rsidRPr="00C75E1A" w:rsidRDefault="00C4643B" w:rsidP="00C4643B">
      <w:pPr>
        <w:autoSpaceDE w:val="0"/>
        <w:autoSpaceDN w:val="0"/>
        <w:adjustRightInd w:val="0"/>
      </w:pPr>
      <w:r w:rsidRPr="00C75E1A">
        <w:t xml:space="preserve">5 Net purchase price (Line 4) </w:t>
      </w:r>
      <w:r>
        <w:tab/>
      </w:r>
      <w:r>
        <w:tab/>
      </w:r>
      <w:r>
        <w:tab/>
      </w:r>
      <w:r>
        <w:tab/>
      </w:r>
      <w:r>
        <w:tab/>
      </w:r>
      <w:r>
        <w:tab/>
      </w:r>
      <w:r>
        <w:tab/>
      </w:r>
      <w:r w:rsidRPr="00C75E1A">
        <w:t>166,000</w:t>
      </w:r>
    </w:p>
    <w:p w:rsidR="00C4643B" w:rsidRPr="009E552C" w:rsidRDefault="00C4643B" w:rsidP="00C4643B">
      <w:pPr>
        <w:autoSpaceDE w:val="0"/>
        <w:autoSpaceDN w:val="0"/>
        <w:adjustRightInd w:val="0"/>
        <w:rPr>
          <w:u w:val="single"/>
        </w:rPr>
      </w:pPr>
      <w:r w:rsidRPr="00C75E1A">
        <w:t xml:space="preserve">6 Integration Capital &amp; Transaction Costs </w:t>
      </w:r>
      <w:r>
        <w:tab/>
      </w:r>
      <w:r>
        <w:tab/>
      </w:r>
      <w:r>
        <w:tab/>
      </w:r>
      <w:r>
        <w:tab/>
      </w:r>
      <w:r>
        <w:tab/>
      </w:r>
      <w:r w:rsidRPr="009E552C">
        <w:rPr>
          <w:u w:val="thick"/>
        </w:rPr>
        <w:t>1,845</w:t>
      </w:r>
    </w:p>
    <w:p w:rsidR="00C4643B" w:rsidRPr="00C75E1A" w:rsidRDefault="00C4643B" w:rsidP="00C4643B">
      <w:pPr>
        <w:autoSpaceDE w:val="0"/>
        <w:autoSpaceDN w:val="0"/>
        <w:adjustRightInd w:val="0"/>
      </w:pPr>
      <w:r w:rsidRPr="00C75E1A">
        <w:t xml:space="preserve">7 Net Acquisition Cost (Line 5 + 6) </w:t>
      </w:r>
      <w:r>
        <w:tab/>
      </w:r>
      <w:r>
        <w:tab/>
      </w:r>
      <w:r>
        <w:tab/>
      </w:r>
      <w:r>
        <w:tab/>
      </w:r>
      <w:r>
        <w:tab/>
      </w:r>
      <w:r>
        <w:tab/>
      </w:r>
      <w:r w:rsidRPr="00C75E1A">
        <w:t>167,845</w:t>
      </w:r>
    </w:p>
    <w:p w:rsidR="00C4643B" w:rsidRPr="009E552C" w:rsidRDefault="00C4643B" w:rsidP="00C4643B">
      <w:pPr>
        <w:autoSpaceDE w:val="0"/>
        <w:autoSpaceDN w:val="0"/>
        <w:adjustRightInd w:val="0"/>
        <w:rPr>
          <w:u w:val="thick"/>
        </w:rPr>
      </w:pPr>
      <w:r w:rsidRPr="00C75E1A">
        <w:t xml:space="preserve">8 Expected Life (26 years) </w:t>
      </w:r>
      <w:r>
        <w:tab/>
      </w:r>
      <w:r>
        <w:tab/>
      </w:r>
      <w:r>
        <w:tab/>
      </w:r>
      <w:r>
        <w:tab/>
      </w:r>
      <w:r>
        <w:tab/>
      </w:r>
      <w:r>
        <w:tab/>
      </w:r>
      <w:r>
        <w:tab/>
      </w:r>
      <w:r w:rsidRPr="009E552C">
        <w:rPr>
          <w:u w:val="thick"/>
        </w:rPr>
        <w:t>3.85%</w:t>
      </w:r>
    </w:p>
    <w:p w:rsidR="00C4643B" w:rsidRPr="00C75E1A" w:rsidRDefault="00C4643B" w:rsidP="00C4643B">
      <w:pPr>
        <w:autoSpaceDE w:val="0"/>
        <w:autoSpaceDN w:val="0"/>
        <w:adjustRightInd w:val="0"/>
      </w:pPr>
      <w:r w:rsidRPr="00C75E1A">
        <w:t xml:space="preserve">9 Annual Depreciation Expense (Line 7 x 8) </w:t>
      </w:r>
      <w:r>
        <w:tab/>
      </w:r>
      <w:r>
        <w:tab/>
      </w:r>
      <w:r>
        <w:tab/>
      </w:r>
      <w:r>
        <w:tab/>
      </w:r>
      <w:r>
        <w:tab/>
      </w:r>
      <w:r w:rsidRPr="00C75E1A">
        <w:t>6,456</w:t>
      </w:r>
    </w:p>
    <w:p w:rsidR="00C4643B" w:rsidRDefault="00C4643B" w:rsidP="00C4643B">
      <w:pPr>
        <w:autoSpaceDE w:val="0"/>
        <w:autoSpaceDN w:val="0"/>
        <w:adjustRightInd w:val="0"/>
      </w:pPr>
    </w:p>
    <w:p w:rsidR="00C4643B" w:rsidRPr="00C75E1A" w:rsidRDefault="00C4643B" w:rsidP="00C4643B">
      <w:pPr>
        <w:autoSpaceDE w:val="0"/>
        <w:autoSpaceDN w:val="0"/>
        <w:adjustRightInd w:val="0"/>
      </w:pPr>
      <w:r w:rsidRPr="00C75E1A">
        <w:t xml:space="preserve">10 Original Plant cost (101) (Line 1) </w:t>
      </w:r>
      <w:r>
        <w:tab/>
      </w:r>
      <w:r>
        <w:tab/>
      </w:r>
      <w:r>
        <w:tab/>
      </w:r>
      <w:r>
        <w:tab/>
      </w:r>
      <w:r>
        <w:tab/>
      </w:r>
      <w:r>
        <w:tab/>
      </w:r>
      <w:r w:rsidRPr="00C75E1A">
        <w:t>358,787</w:t>
      </w:r>
    </w:p>
    <w:p w:rsidR="00C4643B" w:rsidRPr="00C75E1A" w:rsidRDefault="00C4643B" w:rsidP="00C4643B">
      <w:pPr>
        <w:autoSpaceDE w:val="0"/>
        <w:autoSpaceDN w:val="0"/>
        <w:adjustRightInd w:val="0"/>
      </w:pPr>
      <w:r w:rsidRPr="00C75E1A">
        <w:t xml:space="preserve">11 Effective Depreciation Expense (Line 9) </w:t>
      </w:r>
      <w:r>
        <w:tab/>
      </w:r>
      <w:r>
        <w:tab/>
      </w:r>
      <w:r>
        <w:tab/>
      </w:r>
      <w:r>
        <w:tab/>
      </w:r>
      <w:r>
        <w:tab/>
      </w:r>
      <w:r w:rsidRPr="00C75E1A">
        <w:t>6,456</w:t>
      </w:r>
    </w:p>
    <w:p w:rsidR="00606B9A" w:rsidRDefault="00C4643B" w:rsidP="00606B9A">
      <w:pPr>
        <w:tabs>
          <w:tab w:val="left" w:pos="7215"/>
        </w:tabs>
        <w:autoSpaceDE w:val="0"/>
        <w:autoSpaceDN w:val="0"/>
        <w:adjustRightInd w:val="0"/>
      </w:pPr>
      <w:r w:rsidRPr="00C75E1A">
        <w:t xml:space="preserve">12 Equivalent Depreciation Rate (Line 11 / 10) </w:t>
      </w:r>
      <w:r w:rsidR="00606B9A">
        <w:tab/>
      </w:r>
      <w:r w:rsidR="00606B9A" w:rsidRPr="00C75E1A">
        <w:t>1.80%</w:t>
      </w:r>
      <w:r w:rsidR="00606B9A">
        <w:tab/>
      </w:r>
    </w:p>
    <w:p w:rsidR="00C4643B" w:rsidRDefault="007C0C7B" w:rsidP="007C0C7B">
      <w:pPr>
        <w:tabs>
          <w:tab w:val="left" w:pos="7215"/>
          <w:tab w:val="left" w:pos="7815"/>
        </w:tabs>
        <w:autoSpaceDE w:val="0"/>
        <w:autoSpaceDN w:val="0"/>
        <w:adjustRightInd w:val="0"/>
        <w:rPr>
          <w:b/>
          <w:bCs/>
        </w:rPr>
      </w:pPr>
      <w:r>
        <w:tab/>
      </w:r>
    </w:p>
    <w:p w:rsidR="00C4643B" w:rsidRPr="009E552C" w:rsidRDefault="00C4643B" w:rsidP="00C4643B">
      <w:pPr>
        <w:autoSpaceDE w:val="0"/>
        <w:autoSpaceDN w:val="0"/>
        <w:adjustRightInd w:val="0"/>
        <w:rPr>
          <w:b/>
          <w:bCs/>
        </w:rPr>
      </w:pPr>
      <w:r w:rsidRPr="009E552C">
        <w:rPr>
          <w:b/>
          <w:bCs/>
        </w:rPr>
        <w:t>Depreciation Expense in Revenue Requirement:</w:t>
      </w:r>
    </w:p>
    <w:p w:rsidR="00C4643B" w:rsidRDefault="00C4643B" w:rsidP="00C4643B">
      <w:pPr>
        <w:autoSpaceDE w:val="0"/>
        <w:autoSpaceDN w:val="0"/>
        <w:adjustRightInd w:val="0"/>
      </w:pPr>
    </w:p>
    <w:p w:rsidR="00C4643B" w:rsidRPr="00C75E1A" w:rsidRDefault="00C4643B" w:rsidP="00C4643B">
      <w:pPr>
        <w:autoSpaceDE w:val="0"/>
        <w:autoSpaceDN w:val="0"/>
        <w:adjustRightInd w:val="0"/>
      </w:pPr>
      <w:r w:rsidRPr="00C75E1A">
        <w:t xml:space="preserve">13 Original Plant cost (101) (Line 1) </w:t>
      </w:r>
      <w:r>
        <w:tab/>
      </w:r>
      <w:r>
        <w:tab/>
      </w:r>
      <w:r>
        <w:tab/>
      </w:r>
      <w:r>
        <w:tab/>
      </w:r>
      <w:r>
        <w:tab/>
      </w:r>
      <w:r>
        <w:tab/>
      </w:r>
      <w:r w:rsidRPr="00C75E1A">
        <w:t>358,787</w:t>
      </w:r>
    </w:p>
    <w:p w:rsidR="00C4643B" w:rsidRPr="009E552C" w:rsidRDefault="00C4643B" w:rsidP="00C4643B">
      <w:pPr>
        <w:autoSpaceDE w:val="0"/>
        <w:autoSpaceDN w:val="0"/>
        <w:adjustRightInd w:val="0"/>
        <w:rPr>
          <w:u w:val="thick"/>
        </w:rPr>
      </w:pPr>
      <w:r w:rsidRPr="00C75E1A">
        <w:t xml:space="preserve">14 2017 Capital Investment </w:t>
      </w:r>
      <w:r>
        <w:tab/>
      </w:r>
      <w:r>
        <w:tab/>
      </w:r>
      <w:r>
        <w:tab/>
      </w:r>
      <w:r>
        <w:tab/>
      </w:r>
      <w:r>
        <w:tab/>
      </w:r>
      <w:r>
        <w:tab/>
      </w:r>
      <w:r>
        <w:tab/>
      </w:r>
      <w:r w:rsidRPr="009E552C">
        <w:rPr>
          <w:u w:val="thick"/>
        </w:rPr>
        <w:t>30,379</w:t>
      </w:r>
    </w:p>
    <w:p w:rsidR="00C4643B" w:rsidRPr="00C75E1A" w:rsidRDefault="00C4643B" w:rsidP="00C4643B">
      <w:pPr>
        <w:autoSpaceDE w:val="0"/>
        <w:autoSpaceDN w:val="0"/>
        <w:adjustRightInd w:val="0"/>
      </w:pPr>
      <w:r w:rsidRPr="00C75E1A">
        <w:t xml:space="preserve">15 Ending Balance (Line 13 + Line 14) </w:t>
      </w:r>
      <w:r>
        <w:tab/>
      </w:r>
      <w:r>
        <w:tab/>
      </w:r>
      <w:r>
        <w:tab/>
      </w:r>
      <w:r>
        <w:tab/>
      </w:r>
      <w:r>
        <w:tab/>
      </w:r>
      <w:r w:rsidRPr="00C75E1A">
        <w:t>389,166</w:t>
      </w:r>
    </w:p>
    <w:p w:rsidR="00C4643B" w:rsidRDefault="00C4643B" w:rsidP="00C4643B">
      <w:pPr>
        <w:autoSpaceDE w:val="0"/>
        <w:autoSpaceDN w:val="0"/>
        <w:adjustRightInd w:val="0"/>
      </w:pPr>
    </w:p>
    <w:p w:rsidR="00C4643B" w:rsidRPr="00C75E1A" w:rsidRDefault="00C4643B" w:rsidP="00C4643B">
      <w:pPr>
        <w:autoSpaceDE w:val="0"/>
        <w:autoSpaceDN w:val="0"/>
        <w:adjustRightInd w:val="0"/>
      </w:pPr>
      <w:r w:rsidRPr="00C75E1A">
        <w:t xml:space="preserve">16 Average Balance (Line 13 + 15) / 2 </w:t>
      </w:r>
      <w:r>
        <w:tab/>
      </w:r>
      <w:r>
        <w:tab/>
      </w:r>
      <w:r>
        <w:tab/>
      </w:r>
      <w:r>
        <w:tab/>
      </w:r>
      <w:r>
        <w:tab/>
      </w:r>
      <w:r w:rsidRPr="00C75E1A">
        <w:t>373,977</w:t>
      </w:r>
    </w:p>
    <w:p w:rsidR="00C4643B" w:rsidRPr="00C75E1A" w:rsidRDefault="00C4643B" w:rsidP="00C4643B">
      <w:pPr>
        <w:autoSpaceDE w:val="0"/>
        <w:autoSpaceDN w:val="0"/>
        <w:adjustRightInd w:val="0"/>
      </w:pPr>
      <w:r w:rsidRPr="00C75E1A">
        <w:t xml:space="preserve">17 Equivalent Depreciation Rate (Line 12) </w:t>
      </w:r>
      <w:r>
        <w:tab/>
      </w:r>
      <w:r>
        <w:tab/>
      </w:r>
      <w:r>
        <w:tab/>
      </w:r>
      <w:r>
        <w:tab/>
      </w:r>
      <w:r>
        <w:tab/>
      </w:r>
      <w:r w:rsidRPr="009E552C">
        <w:rPr>
          <w:u w:val="thick"/>
        </w:rPr>
        <w:t xml:space="preserve">1.80% </w:t>
      </w:r>
      <w:r>
        <w:t xml:space="preserve">    (Note 1)</w:t>
      </w:r>
    </w:p>
    <w:p w:rsidR="00C4643B" w:rsidRPr="009E552C" w:rsidRDefault="00C4643B" w:rsidP="00C4643B">
      <w:pPr>
        <w:autoSpaceDE w:val="0"/>
        <w:autoSpaceDN w:val="0"/>
        <w:adjustRightInd w:val="0"/>
        <w:rPr>
          <w:b/>
        </w:rPr>
      </w:pPr>
      <w:r w:rsidRPr="00C75E1A">
        <w:t xml:space="preserve">18 Annual Depreciation Expense (Line 16 x 17) </w:t>
      </w:r>
      <w:r>
        <w:tab/>
      </w:r>
      <w:r>
        <w:tab/>
      </w:r>
      <w:r>
        <w:tab/>
      </w:r>
      <w:r>
        <w:tab/>
      </w:r>
      <w:r w:rsidRPr="009E552C">
        <w:rPr>
          <w:b/>
          <w:u w:val="double"/>
        </w:rPr>
        <w:t>6,729</w:t>
      </w:r>
    </w:p>
    <w:p w:rsidR="00C4643B" w:rsidRDefault="00C4643B" w:rsidP="00C4643B">
      <w:pPr>
        <w:autoSpaceDE w:val="0"/>
        <w:autoSpaceDN w:val="0"/>
        <w:adjustRightInd w:val="0"/>
      </w:pPr>
    </w:p>
    <w:p w:rsidR="0016757A" w:rsidRDefault="00C4643B" w:rsidP="00C4643B">
      <w:pPr>
        <w:pStyle w:val="BodyText"/>
        <w:rPr>
          <w:sz w:val="20"/>
          <w:szCs w:val="20"/>
        </w:rPr>
        <w:sectPr w:rsidR="0016757A" w:rsidSect="0068481F">
          <w:headerReference w:type="default" r:id="rId15"/>
          <w:pgSz w:w="12240" w:h="15840" w:code="1"/>
          <w:pgMar w:top="1584" w:right="1440" w:bottom="1440" w:left="1440" w:header="720" w:footer="720" w:gutter="0"/>
          <w:cols w:space="720"/>
          <w:formProt w:val="0"/>
          <w:docGrid w:linePitch="360"/>
        </w:sectPr>
      </w:pPr>
      <w:r w:rsidRPr="009E552C">
        <w:rPr>
          <w:sz w:val="20"/>
          <w:szCs w:val="20"/>
          <w:u w:val="single"/>
        </w:rPr>
        <w:t>Note 1</w:t>
      </w:r>
      <w:r w:rsidRPr="009E552C">
        <w:rPr>
          <w:sz w:val="20"/>
          <w:szCs w:val="20"/>
        </w:rPr>
        <w:t>: The depreciation rate recovers the book cost of the Osprey asset only</w:t>
      </w:r>
      <w:r w:rsidR="00BA5747">
        <w:rPr>
          <w:sz w:val="20"/>
          <w:szCs w:val="20"/>
        </w:rPr>
        <w:t>,</w:t>
      </w:r>
      <w:r w:rsidRPr="009E552C">
        <w:rPr>
          <w:sz w:val="20"/>
          <w:szCs w:val="20"/>
        </w:rPr>
        <w:t xml:space="preserve"> and does not include cost of removal &amp; dismantlement costs. Cost of Removal &amp; Dismantlement will be addressed in DEF's next depreciation and dismantlement study to be filed on or before March 31, 2019</w:t>
      </w:r>
      <w:r w:rsidR="00BA5747">
        <w:rPr>
          <w:sz w:val="20"/>
          <w:szCs w:val="20"/>
        </w:rPr>
        <w:t>,</w:t>
      </w:r>
      <w:r w:rsidRPr="009E552C">
        <w:rPr>
          <w:sz w:val="20"/>
          <w:szCs w:val="20"/>
        </w:rPr>
        <w:t xml:space="preserve"> per RRSSA paragraph 2</w:t>
      </w:r>
      <w:r w:rsidR="00085B7B">
        <w:rPr>
          <w:sz w:val="20"/>
          <w:szCs w:val="20"/>
        </w:rPr>
        <w:t>0.</w:t>
      </w:r>
    </w:p>
    <w:tbl>
      <w:tblPr>
        <w:tblW w:w="9420" w:type="dxa"/>
        <w:tblLayout w:type="fixed"/>
        <w:tblCellMar>
          <w:left w:w="30" w:type="dxa"/>
          <w:right w:w="30" w:type="dxa"/>
        </w:tblCellMar>
        <w:tblLook w:val="0000" w:firstRow="0" w:lastRow="0" w:firstColumn="0" w:lastColumn="0" w:noHBand="0" w:noVBand="0"/>
      </w:tblPr>
      <w:tblGrid>
        <w:gridCol w:w="15"/>
        <w:gridCol w:w="484"/>
        <w:gridCol w:w="4256"/>
        <w:gridCol w:w="495"/>
        <w:gridCol w:w="1045"/>
        <w:gridCol w:w="665"/>
        <w:gridCol w:w="35"/>
        <w:gridCol w:w="1045"/>
        <w:gridCol w:w="360"/>
        <w:gridCol w:w="135"/>
        <w:gridCol w:w="855"/>
        <w:gridCol w:w="30"/>
      </w:tblGrid>
      <w:tr w:rsidR="00485FC9" w:rsidRPr="00485FC9" w:rsidTr="00D46799">
        <w:trPr>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80" w:type="dxa"/>
            <w:gridSpan w:val="4"/>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DUKE ENERGY FLORIDA, LLC</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DOCKET NO. 160178-EI</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6461" w:type="dxa"/>
            <w:gridSpan w:val="4"/>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r w:rsidRPr="00485FC9">
              <w:rPr>
                <w:color w:val="000000"/>
                <w:sz w:val="22"/>
                <w:szCs w:val="22"/>
                <w:u w:val="single"/>
              </w:rPr>
              <w:t>OSPREY PLANT REVENUE REQUIREMENT CALCULATION</w:t>
            </w:r>
          </w:p>
        </w:tc>
        <w:tc>
          <w:tcPr>
            <w:tcW w:w="108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p>
        </w:tc>
      </w:tr>
      <w:tr w:rsidR="00485FC9" w:rsidRPr="00485FC9" w:rsidTr="0042077B">
        <w:trPr>
          <w:gridAfter w:val="1"/>
          <w:wAfter w:w="30" w:type="dxa"/>
          <w:trHeight w:val="324"/>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2077B" w:rsidRPr="00485FC9" w:rsidTr="00AA2514">
        <w:trPr>
          <w:gridAfter w:val="1"/>
          <w:wAfter w:w="30" w:type="dxa"/>
          <w:trHeight w:val="300"/>
        </w:trPr>
        <w:tc>
          <w:tcPr>
            <w:tcW w:w="499" w:type="dxa"/>
            <w:gridSpan w:val="2"/>
            <w:tcBorders>
              <w:top w:val="nil"/>
              <w:left w:val="nil"/>
              <w:bottom w:val="nil"/>
              <w:right w:val="nil"/>
            </w:tcBorders>
          </w:tcPr>
          <w:p w:rsidR="0042077B" w:rsidRPr="00485FC9" w:rsidRDefault="0042077B">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2077B" w:rsidRPr="00485FC9" w:rsidRDefault="0042077B">
            <w:pPr>
              <w:autoSpaceDE w:val="0"/>
              <w:autoSpaceDN w:val="0"/>
              <w:adjustRightInd w:val="0"/>
              <w:jc w:val="right"/>
              <w:rPr>
                <w:color w:val="000000"/>
                <w:sz w:val="22"/>
                <w:szCs w:val="22"/>
              </w:rPr>
            </w:pPr>
          </w:p>
        </w:tc>
        <w:tc>
          <w:tcPr>
            <w:tcW w:w="4140" w:type="dxa"/>
            <w:gridSpan w:val="7"/>
            <w:tcBorders>
              <w:top w:val="nil"/>
              <w:left w:val="nil"/>
              <w:bottom w:val="single" w:sz="6" w:space="0" w:color="auto"/>
              <w:right w:val="nil"/>
            </w:tcBorders>
          </w:tcPr>
          <w:p w:rsidR="0042077B" w:rsidRPr="00485FC9" w:rsidRDefault="0042077B" w:rsidP="0042077B">
            <w:pPr>
              <w:autoSpaceDE w:val="0"/>
              <w:autoSpaceDN w:val="0"/>
              <w:adjustRightInd w:val="0"/>
              <w:jc w:val="center"/>
              <w:rPr>
                <w:color w:val="000000"/>
                <w:sz w:val="22"/>
                <w:szCs w:val="22"/>
              </w:rPr>
            </w:pPr>
            <w:r w:rsidRPr="00485FC9">
              <w:rPr>
                <w:color w:val="000000"/>
                <w:sz w:val="22"/>
                <w:szCs w:val="22"/>
              </w:rPr>
              <w:t>OSPREY PLANT</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DEF</w:t>
            </w:r>
          </w:p>
        </w:tc>
        <w:tc>
          <w:tcPr>
            <w:tcW w:w="108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STAFF</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Line</w:t>
            </w: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ESR</w:t>
            </w:r>
          </w:p>
        </w:tc>
        <w:tc>
          <w:tcPr>
            <w:tcW w:w="108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ESR</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u w:val="single"/>
              </w:rPr>
            </w:pPr>
            <w:r w:rsidRPr="00485FC9">
              <w:rPr>
                <w:color w:val="000000"/>
                <w:sz w:val="22"/>
                <w:szCs w:val="22"/>
                <w:u w:val="single"/>
              </w:rPr>
              <w:t>No.</w:t>
            </w: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r w:rsidRPr="00485FC9">
              <w:rPr>
                <w:color w:val="000000"/>
                <w:sz w:val="22"/>
                <w:szCs w:val="22"/>
                <w:u w:val="single"/>
              </w:rPr>
              <w:t>May 2016</w:t>
            </w:r>
          </w:p>
        </w:tc>
        <w:tc>
          <w:tcPr>
            <w:tcW w:w="108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r w:rsidRPr="00485FC9">
              <w:rPr>
                <w:color w:val="000000"/>
                <w:sz w:val="22"/>
                <w:szCs w:val="22"/>
                <w:u w:val="single"/>
              </w:rPr>
              <w:t>Aug 2016</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u w:val="single"/>
              </w:rPr>
            </w:pPr>
            <w:r w:rsidRPr="00485FC9">
              <w:rPr>
                <w:color w:val="000000"/>
                <w:sz w:val="22"/>
                <w:szCs w:val="22"/>
                <w:u w:val="single"/>
              </w:rPr>
              <w:t>Capital Structure Weighted Cost: (a)</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Long Term Debt</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1.81%</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1.79%</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2</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Short Term Debt</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0.02%</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0.03%</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3</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Customer Deposits</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r w:rsidRPr="00485FC9">
              <w:rPr>
                <w:color w:val="000000"/>
                <w:sz w:val="22"/>
                <w:szCs w:val="22"/>
                <w:u w:val="single"/>
              </w:rPr>
              <w:t>0.04%</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u w:val="single"/>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u w:val="single"/>
              </w:rPr>
            </w:pPr>
            <w:r w:rsidRPr="00485FC9">
              <w:rPr>
                <w:color w:val="000000"/>
                <w:sz w:val="22"/>
                <w:szCs w:val="22"/>
                <w:u w:val="single"/>
              </w:rPr>
              <w:t>0.04%</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4</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Total (L1 + L2 + L3)</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double"/>
              </w:rPr>
            </w:pPr>
            <w:r w:rsidRPr="00485FC9">
              <w:rPr>
                <w:color w:val="000000"/>
                <w:sz w:val="22"/>
                <w:szCs w:val="22"/>
                <w:u w:val="double"/>
              </w:rPr>
              <w:t>1.87%</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u w:val="double"/>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u w:val="double"/>
              </w:rPr>
            </w:pPr>
            <w:r w:rsidRPr="00485FC9">
              <w:rPr>
                <w:color w:val="000000"/>
                <w:sz w:val="22"/>
                <w:szCs w:val="22"/>
                <w:u w:val="double"/>
              </w:rPr>
              <w:t>1.86%</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double"/>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u w:val="double"/>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u w:val="double"/>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5</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Overall Rate of Return (a)</w:t>
            </w:r>
          </w:p>
        </w:tc>
        <w:tc>
          <w:tcPr>
            <w:tcW w:w="1710"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u w:val="double"/>
              </w:rPr>
            </w:pPr>
            <w:r w:rsidRPr="00485FC9">
              <w:rPr>
                <w:color w:val="000000"/>
                <w:sz w:val="22"/>
                <w:szCs w:val="22"/>
                <w:u w:val="double"/>
              </w:rPr>
              <w:t>6.74%</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u w:val="double"/>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center"/>
              <w:rPr>
                <w:color w:val="000000"/>
                <w:sz w:val="22"/>
                <w:szCs w:val="22"/>
                <w:u w:val="double"/>
              </w:rPr>
            </w:pPr>
            <w:r w:rsidRPr="00485FC9">
              <w:rPr>
                <w:color w:val="000000"/>
                <w:sz w:val="22"/>
                <w:szCs w:val="22"/>
                <w:u w:val="double"/>
              </w:rPr>
              <w:t>6.68%</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6</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Average Jurisdictional Rate Base</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$165,868,000 </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$165,868,000 </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7</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Interest Expense (L4 x L6)</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$3,102,000 </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$3,085,145 </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8</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Interest Income Tax (L7 x 38.575%)</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($1,196,000)</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($1,190,095)</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9</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Operating Expenses</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($31,560,000)</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($31,560,000)</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10</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Operating Expenses Income Tax (L9 x 38.575%)</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12,174,000 </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12,174,000 </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11</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Interest Income Tax (L8)</w:t>
            </w:r>
          </w:p>
        </w:tc>
        <w:tc>
          <w:tcPr>
            <w:tcW w:w="1710" w:type="dxa"/>
            <w:gridSpan w:val="2"/>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1,196,000 </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1,190,095 </w:t>
            </w:r>
          </w:p>
        </w:tc>
      </w:tr>
      <w:tr w:rsidR="00485FC9" w:rsidRPr="00485FC9" w:rsidTr="00D46799">
        <w:trPr>
          <w:gridAfter w:val="1"/>
          <w:wAfter w:w="30" w:type="dxa"/>
          <w:trHeight w:val="312"/>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12</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Net Operating Income Loss (L9 + L10 + L11)</w:t>
            </w:r>
          </w:p>
        </w:tc>
        <w:tc>
          <w:tcPr>
            <w:tcW w:w="1710" w:type="dxa"/>
            <w:gridSpan w:val="2"/>
            <w:tcBorders>
              <w:top w:val="single" w:sz="6" w:space="0" w:color="auto"/>
              <w:left w:val="nil"/>
              <w:bottom w:val="doub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($18,189,000)</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single" w:sz="6" w:space="0" w:color="auto"/>
              <w:left w:val="nil"/>
              <w:bottom w:val="doub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($18,195,905)</w:t>
            </w:r>
          </w:p>
        </w:tc>
      </w:tr>
      <w:tr w:rsidR="00485FC9" w:rsidRPr="00485FC9" w:rsidTr="00D46799">
        <w:trPr>
          <w:gridAfter w:val="1"/>
          <w:wAfter w:w="30" w:type="dxa"/>
          <w:trHeight w:val="312"/>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u w:val="single"/>
              </w:rPr>
            </w:pPr>
            <w:r w:rsidRPr="00485FC9">
              <w:rPr>
                <w:color w:val="000000"/>
                <w:sz w:val="22"/>
                <w:szCs w:val="22"/>
                <w:u w:val="single"/>
              </w:rPr>
              <w:t>Revenue Requirement Calculation</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13</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Average Jurisdictional Rate Base (L6)</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$165,868,000</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$165,868,000</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14</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Rate of Return (L5)</w:t>
            </w:r>
          </w:p>
        </w:tc>
        <w:tc>
          <w:tcPr>
            <w:tcW w:w="1710" w:type="dxa"/>
            <w:gridSpan w:val="2"/>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6.74%</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6.68%</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15</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Required Return (L13 x L14)</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11,179,000 </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11,079,982 </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16</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Net Operating Income Loss (L12)</w:t>
            </w:r>
          </w:p>
        </w:tc>
        <w:tc>
          <w:tcPr>
            <w:tcW w:w="1710" w:type="dxa"/>
            <w:gridSpan w:val="2"/>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(18,189,000)</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(18,195,905)</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17</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Net Operating Income Deficiency (L15 + L16)</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29,369,000 </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 xml:space="preserve">     29,275,888 </w:t>
            </w:r>
          </w:p>
        </w:tc>
      </w:tr>
      <w:tr w:rsidR="00485FC9" w:rsidRPr="00485FC9" w:rsidTr="00D46799">
        <w:trPr>
          <w:gridAfter w:val="1"/>
          <w:wAfter w:w="30" w:type="dxa"/>
          <w:trHeight w:val="300"/>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18</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Net Operating Income Multiplier</w:t>
            </w:r>
          </w:p>
        </w:tc>
        <w:tc>
          <w:tcPr>
            <w:tcW w:w="1710" w:type="dxa"/>
            <w:gridSpan w:val="2"/>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1.634</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1.634</w:t>
            </w:r>
          </w:p>
        </w:tc>
      </w:tr>
      <w:tr w:rsidR="00485FC9" w:rsidRPr="00485FC9" w:rsidTr="00D46799">
        <w:trPr>
          <w:gridAfter w:val="1"/>
          <w:wAfter w:w="30" w:type="dxa"/>
          <w:trHeight w:val="312"/>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19</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Revenue Requirement (L17 x L18)</w:t>
            </w:r>
          </w:p>
        </w:tc>
        <w:tc>
          <w:tcPr>
            <w:tcW w:w="1710" w:type="dxa"/>
            <w:gridSpan w:val="2"/>
            <w:tcBorders>
              <w:top w:val="single" w:sz="6" w:space="0" w:color="auto"/>
              <w:left w:val="nil"/>
              <w:bottom w:val="doub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$47,982,181</w:t>
            </w: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single" w:sz="6" w:space="0" w:color="auto"/>
              <w:left w:val="nil"/>
              <w:bottom w:val="doub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$47,836,801</w:t>
            </w:r>
          </w:p>
        </w:tc>
      </w:tr>
      <w:tr w:rsidR="00485FC9" w:rsidRPr="00485FC9" w:rsidTr="00D46799">
        <w:trPr>
          <w:gridAfter w:val="1"/>
          <w:wAfter w:w="30" w:type="dxa"/>
          <w:trHeight w:val="312"/>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r>
      <w:tr w:rsidR="00485FC9" w:rsidRPr="00485FC9" w:rsidTr="00D46799">
        <w:trPr>
          <w:gridAfter w:val="1"/>
          <w:wAfter w:w="30" w:type="dxa"/>
          <w:trHeight w:val="312"/>
        </w:trPr>
        <w:tc>
          <w:tcPr>
            <w:tcW w:w="499" w:type="dxa"/>
            <w:gridSpan w:val="2"/>
            <w:tcBorders>
              <w:top w:val="nil"/>
              <w:left w:val="nil"/>
              <w:bottom w:val="nil"/>
              <w:right w:val="nil"/>
            </w:tcBorders>
          </w:tcPr>
          <w:p w:rsidR="00485FC9" w:rsidRPr="00485FC9" w:rsidRDefault="00485FC9">
            <w:pPr>
              <w:autoSpaceDE w:val="0"/>
              <w:autoSpaceDN w:val="0"/>
              <w:adjustRightInd w:val="0"/>
              <w:jc w:val="center"/>
              <w:rPr>
                <w:color w:val="000000"/>
                <w:sz w:val="22"/>
                <w:szCs w:val="22"/>
              </w:rPr>
            </w:pPr>
            <w:r w:rsidRPr="00485FC9">
              <w:rPr>
                <w:color w:val="000000"/>
                <w:sz w:val="22"/>
                <w:szCs w:val="22"/>
              </w:rPr>
              <w:t>20</w:t>
            </w:r>
          </w:p>
        </w:tc>
        <w:tc>
          <w:tcPr>
            <w:tcW w:w="4751" w:type="dxa"/>
            <w:gridSpan w:val="2"/>
            <w:tcBorders>
              <w:top w:val="nil"/>
              <w:left w:val="nil"/>
              <w:bottom w:val="nil"/>
              <w:right w:val="nil"/>
            </w:tcBorders>
          </w:tcPr>
          <w:p w:rsidR="00485FC9" w:rsidRPr="00485FC9" w:rsidRDefault="00485FC9">
            <w:pPr>
              <w:autoSpaceDE w:val="0"/>
              <w:autoSpaceDN w:val="0"/>
              <w:adjustRightInd w:val="0"/>
              <w:rPr>
                <w:color w:val="000000"/>
                <w:sz w:val="22"/>
                <w:szCs w:val="22"/>
              </w:rPr>
            </w:pPr>
            <w:r w:rsidRPr="00485FC9">
              <w:rPr>
                <w:color w:val="000000"/>
                <w:sz w:val="22"/>
                <w:szCs w:val="22"/>
              </w:rPr>
              <w:t>Difference</w:t>
            </w:r>
          </w:p>
        </w:tc>
        <w:tc>
          <w:tcPr>
            <w:tcW w:w="171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485FC9" w:rsidRPr="00485FC9" w:rsidRDefault="00485FC9">
            <w:pPr>
              <w:autoSpaceDE w:val="0"/>
              <w:autoSpaceDN w:val="0"/>
              <w:adjustRightInd w:val="0"/>
              <w:jc w:val="right"/>
              <w:rPr>
                <w:color w:val="000000"/>
                <w:sz w:val="22"/>
                <w:szCs w:val="22"/>
              </w:rPr>
            </w:pPr>
          </w:p>
        </w:tc>
        <w:tc>
          <w:tcPr>
            <w:tcW w:w="1350" w:type="dxa"/>
            <w:gridSpan w:val="3"/>
            <w:tcBorders>
              <w:top w:val="nil"/>
              <w:left w:val="nil"/>
              <w:bottom w:val="double" w:sz="6" w:space="0" w:color="auto"/>
              <w:right w:val="nil"/>
            </w:tcBorders>
          </w:tcPr>
          <w:p w:rsidR="00485FC9" w:rsidRPr="00485FC9" w:rsidRDefault="00485FC9">
            <w:pPr>
              <w:autoSpaceDE w:val="0"/>
              <w:autoSpaceDN w:val="0"/>
              <w:adjustRightInd w:val="0"/>
              <w:jc w:val="right"/>
              <w:rPr>
                <w:color w:val="000000"/>
                <w:sz w:val="22"/>
                <w:szCs w:val="22"/>
              </w:rPr>
            </w:pPr>
            <w:r w:rsidRPr="00485FC9">
              <w:rPr>
                <w:color w:val="000000"/>
                <w:sz w:val="22"/>
                <w:szCs w:val="22"/>
              </w:rPr>
              <w:t>($145,380)</w:t>
            </w:r>
          </w:p>
        </w:tc>
      </w:tr>
      <w:tr w:rsidR="00F57168" w:rsidTr="004269B4">
        <w:tblPrEx>
          <w:tblCellMar>
            <w:left w:w="108" w:type="dxa"/>
            <w:right w:w="108" w:type="dxa"/>
          </w:tblCellMar>
          <w:tblLook w:val="04A0" w:firstRow="1" w:lastRow="0" w:firstColumn="1" w:lastColumn="0" w:noHBand="0" w:noVBand="1"/>
        </w:tblPrEx>
        <w:trPr>
          <w:gridBefore w:val="1"/>
          <w:gridAfter w:val="3"/>
          <w:wBefore w:w="15" w:type="dxa"/>
          <w:wAfter w:w="1020" w:type="dxa"/>
          <w:trHeight w:val="315"/>
        </w:trPr>
        <w:tc>
          <w:tcPr>
            <w:tcW w:w="4740" w:type="dxa"/>
            <w:gridSpan w:val="2"/>
            <w:tcBorders>
              <w:top w:val="nil"/>
              <w:left w:val="nil"/>
              <w:bottom w:val="nil"/>
              <w:right w:val="nil"/>
            </w:tcBorders>
            <w:shd w:val="clear" w:color="auto" w:fill="auto"/>
            <w:noWrap/>
            <w:vAlign w:val="bottom"/>
            <w:hideMark/>
          </w:tcPr>
          <w:p w:rsidR="00F57168" w:rsidRDefault="00F57168">
            <w:pPr>
              <w:rPr>
                <w:color w:val="000000"/>
              </w:rPr>
            </w:pPr>
            <w:r>
              <w:rPr>
                <w:color w:val="000000"/>
                <w:u w:val="single"/>
              </w:rPr>
              <w:t>Note</w:t>
            </w:r>
            <w:r>
              <w:rPr>
                <w:color w:val="000000"/>
              </w:rPr>
              <w:t xml:space="preserve">: </w:t>
            </w:r>
          </w:p>
        </w:tc>
        <w:tc>
          <w:tcPr>
            <w:tcW w:w="1540" w:type="dxa"/>
            <w:gridSpan w:val="2"/>
            <w:tcBorders>
              <w:top w:val="nil"/>
              <w:left w:val="nil"/>
              <w:bottom w:val="nil"/>
              <w:right w:val="nil"/>
            </w:tcBorders>
            <w:shd w:val="clear" w:color="auto" w:fill="auto"/>
            <w:noWrap/>
            <w:vAlign w:val="bottom"/>
            <w:hideMark/>
          </w:tcPr>
          <w:p w:rsidR="00F57168" w:rsidRDefault="00F57168">
            <w:pPr>
              <w:rPr>
                <w:color w:val="000000"/>
              </w:rPr>
            </w:pPr>
          </w:p>
        </w:tc>
        <w:tc>
          <w:tcPr>
            <w:tcW w:w="700" w:type="dxa"/>
            <w:gridSpan w:val="2"/>
            <w:tcBorders>
              <w:top w:val="nil"/>
              <w:left w:val="nil"/>
              <w:bottom w:val="nil"/>
              <w:right w:val="nil"/>
            </w:tcBorders>
            <w:shd w:val="clear" w:color="auto" w:fill="auto"/>
            <w:noWrap/>
            <w:vAlign w:val="bottom"/>
            <w:hideMark/>
          </w:tcPr>
          <w:p w:rsidR="00F57168" w:rsidRDefault="00F57168">
            <w:pPr>
              <w:rPr>
                <w:color w:val="000000"/>
              </w:rPr>
            </w:pPr>
          </w:p>
        </w:tc>
        <w:tc>
          <w:tcPr>
            <w:tcW w:w="1405" w:type="dxa"/>
            <w:gridSpan w:val="2"/>
            <w:tcBorders>
              <w:top w:val="nil"/>
              <w:left w:val="nil"/>
              <w:bottom w:val="nil"/>
              <w:right w:val="nil"/>
            </w:tcBorders>
            <w:shd w:val="clear" w:color="auto" w:fill="auto"/>
            <w:noWrap/>
            <w:vAlign w:val="bottom"/>
            <w:hideMark/>
          </w:tcPr>
          <w:p w:rsidR="00F57168" w:rsidRDefault="00F57168" w:rsidP="004269B4">
            <w:pPr>
              <w:ind w:left="1477" w:right="-1098" w:hanging="1477"/>
              <w:rPr>
                <w:color w:val="000000"/>
              </w:rPr>
            </w:pPr>
          </w:p>
        </w:tc>
      </w:tr>
      <w:tr w:rsidR="00F57168" w:rsidTr="004269B4">
        <w:tblPrEx>
          <w:tblCellMar>
            <w:left w:w="108" w:type="dxa"/>
            <w:right w:w="108" w:type="dxa"/>
          </w:tblCellMar>
          <w:tblLook w:val="04A0" w:firstRow="1" w:lastRow="0" w:firstColumn="1" w:lastColumn="0" w:noHBand="0" w:noVBand="1"/>
        </w:tblPrEx>
        <w:trPr>
          <w:gridBefore w:val="1"/>
          <w:gridAfter w:val="2"/>
          <w:wBefore w:w="15" w:type="dxa"/>
          <w:wAfter w:w="885" w:type="dxa"/>
          <w:trHeight w:val="315"/>
        </w:trPr>
        <w:tc>
          <w:tcPr>
            <w:tcW w:w="8520" w:type="dxa"/>
            <w:gridSpan w:val="9"/>
            <w:tcBorders>
              <w:top w:val="nil"/>
              <w:left w:val="nil"/>
              <w:bottom w:val="nil"/>
              <w:right w:val="nil"/>
            </w:tcBorders>
            <w:shd w:val="clear" w:color="auto" w:fill="auto"/>
            <w:noWrap/>
            <w:vAlign w:val="bottom"/>
            <w:hideMark/>
          </w:tcPr>
          <w:p w:rsidR="00F57168" w:rsidRDefault="00F57168">
            <w:pPr>
              <w:rPr>
                <w:color w:val="000000"/>
              </w:rPr>
            </w:pPr>
            <w:r>
              <w:rPr>
                <w:color w:val="000000"/>
              </w:rPr>
              <w:t>(a) Source - May 2016 ESR and August 2016 ESR, Schedule 4, Page 3 of 4.</w:t>
            </w:r>
          </w:p>
        </w:tc>
      </w:tr>
      <w:tr w:rsidR="00F57168" w:rsidTr="004269B4">
        <w:tblPrEx>
          <w:tblCellMar>
            <w:left w:w="108" w:type="dxa"/>
            <w:right w:w="108" w:type="dxa"/>
          </w:tblCellMar>
          <w:tblLook w:val="04A0" w:firstRow="1" w:lastRow="0" w:firstColumn="1" w:lastColumn="0" w:noHBand="0" w:noVBand="1"/>
        </w:tblPrEx>
        <w:trPr>
          <w:gridBefore w:val="1"/>
          <w:gridAfter w:val="2"/>
          <w:wBefore w:w="15" w:type="dxa"/>
          <w:wAfter w:w="885" w:type="dxa"/>
          <w:trHeight w:val="300"/>
        </w:trPr>
        <w:tc>
          <w:tcPr>
            <w:tcW w:w="4740" w:type="dxa"/>
            <w:gridSpan w:val="2"/>
            <w:tcBorders>
              <w:top w:val="nil"/>
              <w:left w:val="nil"/>
              <w:bottom w:val="nil"/>
              <w:right w:val="nil"/>
            </w:tcBorders>
            <w:shd w:val="clear" w:color="auto" w:fill="auto"/>
            <w:noWrap/>
            <w:vAlign w:val="bottom"/>
            <w:hideMark/>
          </w:tcPr>
          <w:p w:rsidR="00F57168" w:rsidRDefault="00F57168">
            <w:pPr>
              <w:rPr>
                <w:rFonts w:ascii="Calibri" w:hAnsi="Calibri"/>
                <w:color w:val="000000"/>
                <w:sz w:val="22"/>
                <w:szCs w:val="22"/>
              </w:rPr>
            </w:pPr>
          </w:p>
        </w:tc>
        <w:tc>
          <w:tcPr>
            <w:tcW w:w="1540" w:type="dxa"/>
            <w:gridSpan w:val="2"/>
            <w:tcBorders>
              <w:top w:val="nil"/>
              <w:left w:val="nil"/>
              <w:bottom w:val="nil"/>
              <w:right w:val="nil"/>
            </w:tcBorders>
            <w:shd w:val="clear" w:color="auto" w:fill="auto"/>
            <w:noWrap/>
            <w:vAlign w:val="bottom"/>
            <w:hideMark/>
          </w:tcPr>
          <w:p w:rsidR="00F57168" w:rsidRDefault="00F57168">
            <w:pPr>
              <w:rPr>
                <w:rFonts w:ascii="Calibri" w:hAnsi="Calibri"/>
                <w:color w:val="000000"/>
                <w:sz w:val="22"/>
                <w:szCs w:val="22"/>
              </w:rPr>
            </w:pPr>
          </w:p>
        </w:tc>
        <w:tc>
          <w:tcPr>
            <w:tcW w:w="700" w:type="dxa"/>
            <w:gridSpan w:val="2"/>
            <w:tcBorders>
              <w:top w:val="nil"/>
              <w:left w:val="nil"/>
              <w:bottom w:val="nil"/>
              <w:right w:val="nil"/>
            </w:tcBorders>
            <w:shd w:val="clear" w:color="auto" w:fill="auto"/>
            <w:noWrap/>
            <w:vAlign w:val="bottom"/>
            <w:hideMark/>
          </w:tcPr>
          <w:p w:rsidR="00F57168" w:rsidRDefault="00F57168">
            <w:pPr>
              <w:rPr>
                <w:rFonts w:ascii="Calibri" w:hAnsi="Calibri"/>
                <w:color w:val="000000"/>
                <w:sz w:val="22"/>
                <w:szCs w:val="22"/>
              </w:rPr>
            </w:pPr>
          </w:p>
        </w:tc>
        <w:tc>
          <w:tcPr>
            <w:tcW w:w="1540" w:type="dxa"/>
            <w:gridSpan w:val="3"/>
            <w:tcBorders>
              <w:top w:val="nil"/>
              <w:left w:val="nil"/>
              <w:bottom w:val="nil"/>
              <w:right w:val="nil"/>
            </w:tcBorders>
            <w:shd w:val="clear" w:color="auto" w:fill="auto"/>
            <w:noWrap/>
            <w:vAlign w:val="bottom"/>
            <w:hideMark/>
          </w:tcPr>
          <w:p w:rsidR="00F57168" w:rsidRDefault="00F57168">
            <w:pPr>
              <w:rPr>
                <w:rFonts w:ascii="Calibri" w:hAnsi="Calibri"/>
                <w:color w:val="000000"/>
                <w:sz w:val="22"/>
                <w:szCs w:val="22"/>
              </w:rPr>
            </w:pPr>
          </w:p>
        </w:tc>
      </w:tr>
    </w:tbl>
    <w:p w:rsidR="00E06484" w:rsidRPr="00485FC9" w:rsidRDefault="00E06484" w:rsidP="00C4643B">
      <w:pPr>
        <w:pStyle w:val="BodyText"/>
        <w:rPr>
          <w:sz w:val="22"/>
          <w:szCs w:val="22"/>
        </w:rPr>
      </w:pPr>
    </w:p>
    <w:sectPr w:rsidR="00E06484" w:rsidRPr="00485FC9"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BE" w:rsidRDefault="003F7CBE">
      <w:r>
        <w:separator/>
      </w:r>
    </w:p>
  </w:endnote>
  <w:endnote w:type="continuationSeparator" w:id="0">
    <w:p w:rsidR="003F7CBE" w:rsidRDefault="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5002B">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BE" w:rsidRDefault="003F7CBE">
      <w:r>
        <w:separator/>
      </w:r>
    </w:p>
  </w:footnote>
  <w:footnote w:type="continuationSeparator" w:id="0">
    <w:p w:rsidR="003F7CBE" w:rsidRDefault="003F7CBE">
      <w:r>
        <w:continuationSeparator/>
      </w:r>
    </w:p>
  </w:footnote>
  <w:footnote w:id="1">
    <w:p w:rsidR="006B0AD2" w:rsidRPr="00107ED7" w:rsidRDefault="006B0AD2" w:rsidP="006B0AD2">
      <w:pPr>
        <w:pStyle w:val="FootnoteText"/>
      </w:pPr>
      <w:r>
        <w:rPr>
          <w:rStyle w:val="FootnoteReference"/>
        </w:rPr>
        <w:footnoteRef/>
      </w:r>
      <w:r>
        <w:t xml:space="preserve">Order No. PSC-13-0598-FOF-EI, issued November 12, 2013, in Docket No. 130208-EI, </w:t>
      </w:r>
      <w:r w:rsidRPr="00107ED7">
        <w:rPr>
          <w:i/>
        </w:rPr>
        <w:t>In re: Petition for limited proceeding to approve revised and restated stipulation and settlement agreement by Duke Energy Florida, Inc. d/b/a Duke Energ</w:t>
      </w:r>
      <w:r w:rsidRPr="00107ED7">
        <w:t>y.</w:t>
      </w:r>
    </w:p>
  </w:footnote>
  <w:footnote w:id="2">
    <w:p w:rsidR="00C4643B" w:rsidRPr="001C05AB" w:rsidRDefault="00C4643B" w:rsidP="00C4643B">
      <w:pPr>
        <w:pStyle w:val="FootnoteText"/>
        <w:rPr>
          <w:i/>
        </w:rPr>
      </w:pPr>
      <w:r>
        <w:rPr>
          <w:rStyle w:val="FootnoteReference"/>
        </w:rPr>
        <w:footnoteRef/>
      </w:r>
      <w:r>
        <w:t xml:space="preserve">Order No. PSC-14-0590-FOF-EI, issued October 21, 2014, in Docket No. 140111-EI, </w:t>
      </w:r>
      <w:r w:rsidRPr="001C05AB">
        <w:rPr>
          <w:i/>
        </w:rPr>
        <w:t>In re: Petition for determination of cost effective generation alternative to meet need prior to 2018, by Duke Energy Florida, Inc.</w:t>
      </w:r>
    </w:p>
  </w:footnote>
  <w:footnote w:id="3">
    <w:p w:rsidR="00C4643B" w:rsidRPr="001C05AB" w:rsidRDefault="00C4643B" w:rsidP="00C4643B">
      <w:pPr>
        <w:pStyle w:val="FootnoteText"/>
        <w:rPr>
          <w:i/>
        </w:rPr>
      </w:pPr>
      <w:r>
        <w:rPr>
          <w:rStyle w:val="FootnoteReference"/>
        </w:rPr>
        <w:footnoteRef/>
      </w:r>
      <w:r>
        <w:t>Order No. PSC-</w:t>
      </w:r>
      <w:r w:rsidRPr="009A1E38">
        <w:t>16-0362-TRF</w:t>
      </w:r>
      <w:r>
        <w:t xml:space="preserve">-EI, issued </w:t>
      </w:r>
      <w:r w:rsidRPr="009A1E38">
        <w:t>August 29, 2016</w:t>
      </w:r>
      <w:r>
        <w:t xml:space="preserve">, in Docket No. 160128-EI, </w:t>
      </w:r>
      <w:r w:rsidRPr="001C05AB">
        <w:rPr>
          <w:i/>
        </w:rPr>
        <w:t xml:space="preserve">In re: </w:t>
      </w:r>
      <w:r w:rsidRPr="00A603DF">
        <w:rPr>
          <w:i/>
        </w:rPr>
        <w:t>Petition for approval to include in base rates the revenue requirement for the Hines Chillers Uprate Project, by Duke Energy Florida, LLC</w:t>
      </w:r>
      <w:r w:rsidRPr="001C05AB">
        <w:rPr>
          <w:i/>
        </w:rPr>
        <w:t>.</w:t>
      </w:r>
    </w:p>
  </w:footnote>
  <w:footnote w:id="4">
    <w:p w:rsidR="00C4643B" w:rsidRPr="001C05AB" w:rsidRDefault="00C4643B" w:rsidP="00C4643B">
      <w:pPr>
        <w:pStyle w:val="FootnoteText"/>
        <w:rPr>
          <w:i/>
        </w:rPr>
      </w:pPr>
      <w:r>
        <w:rPr>
          <w:rStyle w:val="FootnoteReference"/>
        </w:rPr>
        <w:footnoteRef/>
      </w:r>
      <w:r>
        <w:t xml:space="preserve">Order No. </w:t>
      </w:r>
      <w:r w:rsidRPr="00330DAA">
        <w:t>PSC-15-0312-AS-EI</w:t>
      </w:r>
      <w:r>
        <w:t xml:space="preserve">, issued </w:t>
      </w:r>
      <w:r w:rsidRPr="00330DAA">
        <w:t>July 31, 2015</w:t>
      </w:r>
      <w:r>
        <w:t xml:space="preserve">, in Docket No. </w:t>
      </w:r>
      <w:r w:rsidRPr="00EB4B0B">
        <w:t>150043</w:t>
      </w:r>
      <w:r>
        <w:t xml:space="preserve">-EI, </w:t>
      </w:r>
      <w:r w:rsidRPr="001C05AB">
        <w:rPr>
          <w:i/>
        </w:rPr>
        <w:t xml:space="preserve">In re: </w:t>
      </w:r>
      <w:r w:rsidRPr="00F31DA3">
        <w:rPr>
          <w:i/>
        </w:rPr>
        <w:t>Petition for determination that the Osprey Plant acquisition or, alternatively, the Suwannee Simple Cycle Project is the most cost effective generation alternative to meet remaining need prior to 20</w:t>
      </w:r>
      <w:r>
        <w:rPr>
          <w:i/>
        </w:rPr>
        <w:t>18, by Duke Energy Florida, Inc</w:t>
      </w:r>
      <w:r w:rsidRPr="001C05AB">
        <w:rPr>
          <w:i/>
        </w:rPr>
        <w:t>.</w:t>
      </w:r>
    </w:p>
  </w:footnote>
  <w:footnote w:id="5">
    <w:p w:rsidR="00C4643B" w:rsidRPr="00C4643B" w:rsidRDefault="00C4643B" w:rsidP="00C4643B">
      <w:pPr>
        <w:pStyle w:val="FootnoteText"/>
        <w:rPr>
          <w:rFonts w:ascii="Calibri" w:hAnsi="Calibri"/>
        </w:rPr>
      </w:pPr>
      <w:r>
        <w:rPr>
          <w:rStyle w:val="FootnoteReference"/>
        </w:rPr>
        <w:footnoteRef/>
      </w:r>
      <w:r w:rsidR="00B56843" w:rsidRPr="00B56843">
        <w:t>Document No. 07363-16 (DEF’s Redacted Response</w:t>
      </w:r>
      <w:r w:rsidR="00B56843">
        <w:t xml:space="preserve"> to Staff’s First Data Request), </w:t>
      </w:r>
      <w:r w:rsidRPr="00732F56">
        <w:t>Attachment 8, Line 27</w:t>
      </w:r>
      <w:r w:rsidR="00B56843">
        <w:t>.</w:t>
      </w:r>
      <w:r>
        <w:t xml:space="preserve"> </w:t>
      </w:r>
    </w:p>
  </w:footnote>
  <w:footnote w:id="6">
    <w:p w:rsidR="00C4643B" w:rsidRPr="00C4643B" w:rsidRDefault="00C4643B" w:rsidP="00C4643B">
      <w:pPr>
        <w:pStyle w:val="FootnoteText"/>
        <w:rPr>
          <w:rFonts w:ascii="Calibri" w:hAnsi="Calibri"/>
        </w:rPr>
      </w:pPr>
      <w:r>
        <w:rPr>
          <w:rStyle w:val="FootnoteReference"/>
        </w:rPr>
        <w:footnoteRef/>
      </w:r>
      <w:r w:rsidR="00B56843">
        <w:t xml:space="preserve">Ibid, </w:t>
      </w:r>
      <w:r>
        <w:t>Attachment 7</w:t>
      </w:r>
      <w:r w:rsidRPr="00732F56">
        <w:t xml:space="preserve">, </w:t>
      </w:r>
      <w:r>
        <w:t>Line 15.</w:t>
      </w:r>
    </w:p>
  </w:footnote>
  <w:footnote w:id="7">
    <w:p w:rsidR="00C4643B" w:rsidRPr="00C4643B" w:rsidRDefault="00C4643B" w:rsidP="00C4643B">
      <w:pPr>
        <w:pStyle w:val="FootnoteText"/>
        <w:rPr>
          <w:rFonts w:ascii="Calibri" w:hAnsi="Calibri"/>
        </w:rPr>
      </w:pPr>
      <w:r>
        <w:rPr>
          <w:rStyle w:val="FootnoteReference"/>
        </w:rPr>
        <w:footnoteRef/>
      </w:r>
      <w:r w:rsidR="00B56843">
        <w:t>Ibid, P</w:t>
      </w:r>
      <w:r w:rsidR="001F3C4B">
        <w:t>p.</w:t>
      </w:r>
      <w:r>
        <w:t xml:space="preserve"> </w:t>
      </w:r>
      <w:r w:rsidR="00B56843">
        <w:t>3-4.</w:t>
      </w:r>
    </w:p>
  </w:footnote>
  <w:footnote w:id="8">
    <w:p w:rsidR="00C4643B" w:rsidRPr="00C4643B" w:rsidRDefault="00C4643B" w:rsidP="00C4643B">
      <w:pPr>
        <w:pStyle w:val="FootnoteText"/>
        <w:rPr>
          <w:rFonts w:ascii="Calibri" w:hAnsi="Calibri"/>
        </w:rPr>
      </w:pPr>
      <w:r>
        <w:rPr>
          <w:rStyle w:val="FootnoteReference"/>
        </w:rPr>
        <w:footnoteRef/>
      </w:r>
      <w:r w:rsidR="00B56843">
        <w:t xml:space="preserve">Ibid, </w:t>
      </w:r>
      <w:r>
        <w:t>Attachment 7</w:t>
      </w:r>
      <w:r w:rsidRPr="00732F56">
        <w:t xml:space="preserve">, </w:t>
      </w:r>
      <w:r w:rsidR="00B56843">
        <w:t>Lines 5- 27.</w:t>
      </w:r>
    </w:p>
  </w:footnote>
  <w:footnote w:id="9">
    <w:p w:rsidR="00C4643B" w:rsidRPr="00C4643B" w:rsidRDefault="00C4643B" w:rsidP="00C4643B">
      <w:pPr>
        <w:pStyle w:val="FootnoteText"/>
        <w:rPr>
          <w:rFonts w:ascii="Calibri" w:hAnsi="Calibri"/>
        </w:rPr>
      </w:pPr>
      <w:r>
        <w:rPr>
          <w:rStyle w:val="FootnoteReference"/>
        </w:rPr>
        <w:footnoteRef/>
      </w:r>
      <w:r w:rsidR="00B56843">
        <w:t>Ibid, Attachment 5.</w:t>
      </w:r>
    </w:p>
  </w:footnote>
  <w:footnote w:id="10">
    <w:p w:rsidR="00C4643B" w:rsidRDefault="00C4643B" w:rsidP="00C4643B">
      <w:pPr>
        <w:pStyle w:val="FootnoteText"/>
      </w:pPr>
      <w:r>
        <w:rPr>
          <w:rStyle w:val="FootnoteReference"/>
        </w:rPr>
        <w:footnoteRef/>
      </w:r>
      <w:r>
        <w:t>P</w:t>
      </w:r>
      <w:r w:rsidR="00231C7D">
        <w:t>.</w:t>
      </w:r>
      <w:r>
        <w:t>4, Item 10, of DEF’s Petition.</w:t>
      </w:r>
    </w:p>
  </w:footnote>
  <w:footnote w:id="11">
    <w:p w:rsidR="00C4643B" w:rsidRDefault="00C4643B" w:rsidP="00C4643B">
      <w:pPr>
        <w:pStyle w:val="FootnoteText"/>
      </w:pPr>
      <w:r>
        <w:rPr>
          <w:rStyle w:val="FootnoteReference"/>
        </w:rPr>
        <w:footnoteRef/>
      </w:r>
      <w:r>
        <w:t>See DEF’s response to Staff’s Data Request, No. 2.</w:t>
      </w:r>
    </w:p>
  </w:footnote>
  <w:footnote w:id="12">
    <w:p w:rsidR="003D06C5" w:rsidRPr="003E7F4C" w:rsidRDefault="003D06C5" w:rsidP="003D06C5">
      <w:pPr>
        <w:pStyle w:val="FootnoteText"/>
        <w:rPr>
          <w:rFonts w:ascii="Calibri" w:hAnsi="Calibri"/>
        </w:rPr>
      </w:pPr>
      <w:r>
        <w:rPr>
          <w:rStyle w:val="FootnoteReference"/>
        </w:rPr>
        <w:footnoteRef/>
      </w:r>
      <w:r>
        <w:t xml:space="preserve"> Exhibit C, p. 1 of 3, of Document No. 05793-16 (DEF’s Petition).</w:t>
      </w:r>
    </w:p>
  </w:footnote>
  <w:footnote w:id="13">
    <w:p w:rsidR="0042077B" w:rsidRDefault="0042077B" w:rsidP="0042077B">
      <w:pPr>
        <w:pStyle w:val="FootnoteText"/>
      </w:pPr>
      <w:r>
        <w:rPr>
          <w:rStyle w:val="FootnoteReference"/>
        </w:rPr>
        <w:footnoteRef/>
      </w:r>
      <w:r>
        <w:t xml:space="preserve"> May 2016 Earnings Surveillance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C4643B" w:rsidP="00220732">
    <w:pPr>
      <w:pStyle w:val="Header"/>
      <w:tabs>
        <w:tab w:val="clear" w:pos="4320"/>
        <w:tab w:val="clear" w:pos="8640"/>
        <w:tab w:val="right" w:pos="9360"/>
      </w:tabs>
    </w:pPr>
    <w:bookmarkStart w:id="11" w:name="DocketLabel"/>
    <w:r>
      <w:t>Docket No</w:t>
    </w:r>
    <w:r w:rsidR="00DF047B">
      <w:t>s</w:t>
    </w:r>
    <w:r>
      <w:t>.</w:t>
    </w:r>
    <w:bookmarkEnd w:id="11"/>
    <w:r w:rsidR="00DF047B">
      <w:t xml:space="preserve"> 160128-EI and</w:t>
    </w:r>
    <w:r w:rsidR="00212B17">
      <w:t xml:space="preserve"> </w:t>
    </w:r>
    <w:bookmarkStart w:id="12" w:name="DocketList"/>
    <w:r>
      <w:t>160178-EI</w:t>
    </w:r>
    <w:bookmarkEnd w:id="12"/>
  </w:p>
  <w:p w:rsidR="00212B17" w:rsidRDefault="00212B17">
    <w:pPr>
      <w:pStyle w:val="Header"/>
    </w:pPr>
    <w:r>
      <w:t xml:space="preserve">Date: </w:t>
    </w:r>
    <w:fldSimple w:instr=" REF FilingDate ">
      <w:r w:rsidR="0025002B">
        <w:t>October 20,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25002B">
      <w:t>Docket Nos.</w:t>
    </w:r>
    <w:r>
      <w:fldChar w:fldCharType="end"/>
    </w:r>
    <w:r w:rsidR="00BB170D">
      <w:t xml:space="preserve"> </w:t>
    </w:r>
    <w:r w:rsidR="00DF047B">
      <w:t>160128-EI and 160178-EI</w:t>
    </w:r>
    <w:r>
      <w:tab/>
      <w:t xml:space="preserve">Issue </w:t>
    </w:r>
    <w:fldSimple w:instr=" Seq Issue \c \* Arabic ">
      <w:r w:rsidR="0025002B">
        <w:rPr>
          <w:noProof/>
        </w:rPr>
        <w:t>4</w:t>
      </w:r>
    </w:fldSimple>
  </w:p>
  <w:p w:rsidR="00212B17" w:rsidRDefault="00212B17">
    <w:pPr>
      <w:pStyle w:val="Header"/>
    </w:pPr>
    <w:r>
      <w:t xml:space="preserve">Date: </w:t>
    </w:r>
    <w:fldSimple w:instr=" REF FilingDate ">
      <w:r w:rsidR="0025002B">
        <w:t>October 20,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3B" w:rsidRDefault="00C4643B" w:rsidP="00220732">
    <w:pPr>
      <w:pStyle w:val="Header"/>
      <w:tabs>
        <w:tab w:val="clear" w:pos="4320"/>
        <w:tab w:val="clear" w:pos="8640"/>
        <w:tab w:val="right" w:pos="9360"/>
      </w:tabs>
    </w:pPr>
    <w:r>
      <w:fldChar w:fldCharType="begin"/>
    </w:r>
    <w:r>
      <w:instrText xml:space="preserve"> REF DocketLabel</w:instrText>
    </w:r>
    <w:r>
      <w:fldChar w:fldCharType="separate"/>
    </w:r>
    <w:r w:rsidR="0025002B">
      <w:t>Docket Nos.</w:t>
    </w:r>
    <w:r>
      <w:fldChar w:fldCharType="end"/>
    </w:r>
    <w:r w:rsidR="00DF047B">
      <w:t xml:space="preserve"> 160128-EI and 160178-EI</w:t>
    </w:r>
    <w:r>
      <w:tab/>
      <w:t xml:space="preserve">Attachment </w:t>
    </w:r>
    <w:r w:rsidR="0025792D">
      <w:t>A</w:t>
    </w:r>
  </w:p>
  <w:p w:rsidR="00C4643B" w:rsidRDefault="00C4643B" w:rsidP="000818AB">
    <w:pPr>
      <w:pStyle w:val="Header"/>
      <w:tabs>
        <w:tab w:val="clear" w:pos="4320"/>
        <w:tab w:val="clear" w:pos="8640"/>
        <w:tab w:val="left" w:pos="8550"/>
      </w:tabs>
    </w:pPr>
    <w:r>
      <w:t xml:space="preserve">Date: </w:t>
    </w:r>
    <w:fldSimple w:instr=" REF FilingDate ">
      <w:r w:rsidR="0025002B">
        <w:t>October 20, 2016</w:t>
      </w:r>
    </w:fldSimple>
    <w:r w:rsidR="000818AB">
      <w:t xml:space="preserve">                                                                                                            </w:t>
    </w:r>
    <w:r w:rsidR="000D24D2">
      <w:t>1</w:t>
    </w:r>
    <w:r w:rsidR="000818AB">
      <w:t xml:space="preserve">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7A" w:rsidRDefault="0016757A" w:rsidP="00220732">
    <w:pPr>
      <w:pStyle w:val="Header"/>
      <w:tabs>
        <w:tab w:val="clear" w:pos="4320"/>
        <w:tab w:val="clear" w:pos="8640"/>
        <w:tab w:val="right" w:pos="9360"/>
      </w:tabs>
    </w:pPr>
    <w:r>
      <w:fldChar w:fldCharType="begin"/>
    </w:r>
    <w:r>
      <w:instrText xml:space="preserve"> REF DocketLabel</w:instrText>
    </w:r>
    <w:r>
      <w:fldChar w:fldCharType="separate"/>
    </w:r>
    <w:r w:rsidR="0025002B">
      <w:t>Docket Nos.</w:t>
    </w:r>
    <w:r>
      <w:fldChar w:fldCharType="end"/>
    </w:r>
    <w:r w:rsidR="00BB170D">
      <w:t xml:space="preserve"> 1</w:t>
    </w:r>
    <w:r w:rsidR="00DF047B">
      <w:t>60128-EI and 160178-EI</w:t>
    </w:r>
    <w:r>
      <w:tab/>
      <w:t>Attachment B</w:t>
    </w:r>
  </w:p>
  <w:p w:rsidR="0016757A" w:rsidRDefault="0016757A" w:rsidP="000818AB">
    <w:pPr>
      <w:pStyle w:val="Header"/>
      <w:tabs>
        <w:tab w:val="clear" w:pos="4320"/>
        <w:tab w:val="clear" w:pos="8640"/>
        <w:tab w:val="left" w:pos="8550"/>
      </w:tabs>
    </w:pPr>
    <w:r>
      <w:t xml:space="preserve">Date: </w:t>
    </w:r>
    <w:fldSimple w:instr=" REF FilingDate ">
      <w:r w:rsidR="0025002B">
        <w:t>October 20, 2016</w:t>
      </w:r>
    </w:fldSimple>
    <w:r>
      <w:t xml:space="preserv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29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4643B"/>
    <w:rsid w:val="00010E37"/>
    <w:rsid w:val="00021729"/>
    <w:rsid w:val="000247C5"/>
    <w:rsid w:val="000277C2"/>
    <w:rsid w:val="00031195"/>
    <w:rsid w:val="00035B48"/>
    <w:rsid w:val="00036CE2"/>
    <w:rsid w:val="00041126"/>
    <w:rsid w:val="000437FE"/>
    <w:rsid w:val="000449B0"/>
    <w:rsid w:val="000513BE"/>
    <w:rsid w:val="00055C20"/>
    <w:rsid w:val="00065A06"/>
    <w:rsid w:val="000666F3"/>
    <w:rsid w:val="00067676"/>
    <w:rsid w:val="00070DCB"/>
    <w:rsid w:val="00073120"/>
    <w:rsid w:val="000764D0"/>
    <w:rsid w:val="000818AB"/>
    <w:rsid w:val="000828D3"/>
    <w:rsid w:val="00085B7B"/>
    <w:rsid w:val="00087330"/>
    <w:rsid w:val="00090547"/>
    <w:rsid w:val="000A0898"/>
    <w:rsid w:val="000A2B57"/>
    <w:rsid w:val="000A418B"/>
    <w:rsid w:val="000A7F08"/>
    <w:rsid w:val="000B4242"/>
    <w:rsid w:val="000C4431"/>
    <w:rsid w:val="000D24D2"/>
    <w:rsid w:val="000D4319"/>
    <w:rsid w:val="000E3A2B"/>
    <w:rsid w:val="000E4632"/>
    <w:rsid w:val="000F1C43"/>
    <w:rsid w:val="000F374A"/>
    <w:rsid w:val="00117C8C"/>
    <w:rsid w:val="00117E20"/>
    <w:rsid w:val="00123CBD"/>
    <w:rsid w:val="00124E2E"/>
    <w:rsid w:val="00125ED4"/>
    <w:rsid w:val="001305E9"/>
    <w:rsid w:val="001307AF"/>
    <w:rsid w:val="0013483C"/>
    <w:rsid w:val="00135687"/>
    <w:rsid w:val="00154AD7"/>
    <w:rsid w:val="0015506E"/>
    <w:rsid w:val="00163031"/>
    <w:rsid w:val="0016757A"/>
    <w:rsid w:val="00171A90"/>
    <w:rsid w:val="00174A7C"/>
    <w:rsid w:val="00180254"/>
    <w:rsid w:val="001814BE"/>
    <w:rsid w:val="001918AA"/>
    <w:rsid w:val="00191E1F"/>
    <w:rsid w:val="00192943"/>
    <w:rsid w:val="001A7406"/>
    <w:rsid w:val="001B2325"/>
    <w:rsid w:val="001B4FEE"/>
    <w:rsid w:val="001B51C5"/>
    <w:rsid w:val="001B6F3F"/>
    <w:rsid w:val="001C3384"/>
    <w:rsid w:val="001C52B5"/>
    <w:rsid w:val="001C62D0"/>
    <w:rsid w:val="001D0D3E"/>
    <w:rsid w:val="001D7444"/>
    <w:rsid w:val="001F2245"/>
    <w:rsid w:val="001F3C4B"/>
    <w:rsid w:val="001F6DA1"/>
    <w:rsid w:val="002044E6"/>
    <w:rsid w:val="00205C82"/>
    <w:rsid w:val="00205DC2"/>
    <w:rsid w:val="00212B17"/>
    <w:rsid w:val="002133BD"/>
    <w:rsid w:val="002163B6"/>
    <w:rsid w:val="00220732"/>
    <w:rsid w:val="00221D32"/>
    <w:rsid w:val="00225C3F"/>
    <w:rsid w:val="00227F2B"/>
    <w:rsid w:val="00231C7D"/>
    <w:rsid w:val="0024696B"/>
    <w:rsid w:val="0025002B"/>
    <w:rsid w:val="00256A92"/>
    <w:rsid w:val="0025792D"/>
    <w:rsid w:val="00257BA5"/>
    <w:rsid w:val="00263D44"/>
    <w:rsid w:val="002702AD"/>
    <w:rsid w:val="00292D82"/>
    <w:rsid w:val="002963CB"/>
    <w:rsid w:val="002A3D1F"/>
    <w:rsid w:val="002D226D"/>
    <w:rsid w:val="002D5487"/>
    <w:rsid w:val="002F281D"/>
    <w:rsid w:val="002F5301"/>
    <w:rsid w:val="002F6030"/>
    <w:rsid w:val="003037E1"/>
    <w:rsid w:val="00307E51"/>
    <w:rsid w:val="003103EC"/>
    <w:rsid w:val="003144EF"/>
    <w:rsid w:val="00316185"/>
    <w:rsid w:val="00322F74"/>
    <w:rsid w:val="00331C6C"/>
    <w:rsid w:val="00340073"/>
    <w:rsid w:val="00346541"/>
    <w:rsid w:val="00360A70"/>
    <w:rsid w:val="00372805"/>
    <w:rsid w:val="00373180"/>
    <w:rsid w:val="00375AB9"/>
    <w:rsid w:val="003821A0"/>
    <w:rsid w:val="00385B04"/>
    <w:rsid w:val="003864CF"/>
    <w:rsid w:val="003874E6"/>
    <w:rsid w:val="00387D39"/>
    <w:rsid w:val="00390A95"/>
    <w:rsid w:val="003978F6"/>
    <w:rsid w:val="003A22A6"/>
    <w:rsid w:val="003A5494"/>
    <w:rsid w:val="003B2510"/>
    <w:rsid w:val="003C2CC4"/>
    <w:rsid w:val="003D06C5"/>
    <w:rsid w:val="003E0A3F"/>
    <w:rsid w:val="003E0EFC"/>
    <w:rsid w:val="003E4036"/>
    <w:rsid w:val="003E4A2B"/>
    <w:rsid w:val="003E7450"/>
    <w:rsid w:val="003E76C2"/>
    <w:rsid w:val="003F0CA7"/>
    <w:rsid w:val="003F1679"/>
    <w:rsid w:val="003F2EF8"/>
    <w:rsid w:val="003F4A35"/>
    <w:rsid w:val="003F7CBE"/>
    <w:rsid w:val="003F7FDD"/>
    <w:rsid w:val="00402481"/>
    <w:rsid w:val="0040322C"/>
    <w:rsid w:val="004042B4"/>
    <w:rsid w:val="00406932"/>
    <w:rsid w:val="00412DAE"/>
    <w:rsid w:val="0042077B"/>
    <w:rsid w:val="004227BF"/>
    <w:rsid w:val="004269B4"/>
    <w:rsid w:val="004275E3"/>
    <w:rsid w:val="00431598"/>
    <w:rsid w:val="004426B8"/>
    <w:rsid w:val="00444432"/>
    <w:rsid w:val="00471860"/>
    <w:rsid w:val="00474973"/>
    <w:rsid w:val="004801A9"/>
    <w:rsid w:val="00485FC9"/>
    <w:rsid w:val="0049670D"/>
    <w:rsid w:val="004B60BD"/>
    <w:rsid w:val="004C3150"/>
    <w:rsid w:val="004C3641"/>
    <w:rsid w:val="004C4390"/>
    <w:rsid w:val="004C4521"/>
    <w:rsid w:val="004C4AF7"/>
    <w:rsid w:val="004C5632"/>
    <w:rsid w:val="004D2881"/>
    <w:rsid w:val="004D385F"/>
    <w:rsid w:val="004D5114"/>
    <w:rsid w:val="004D5B39"/>
    <w:rsid w:val="004D7E2C"/>
    <w:rsid w:val="004E330D"/>
    <w:rsid w:val="004E5147"/>
    <w:rsid w:val="004E7F9C"/>
    <w:rsid w:val="0050652D"/>
    <w:rsid w:val="00506C03"/>
    <w:rsid w:val="00513F26"/>
    <w:rsid w:val="00516496"/>
    <w:rsid w:val="0052010D"/>
    <w:rsid w:val="00524E54"/>
    <w:rsid w:val="0052572A"/>
    <w:rsid w:val="00526768"/>
    <w:rsid w:val="005330D1"/>
    <w:rsid w:val="00543CB3"/>
    <w:rsid w:val="00557C96"/>
    <w:rsid w:val="00560FF0"/>
    <w:rsid w:val="005614BD"/>
    <w:rsid w:val="0057154F"/>
    <w:rsid w:val="0057569D"/>
    <w:rsid w:val="00581CA3"/>
    <w:rsid w:val="00587A44"/>
    <w:rsid w:val="00597730"/>
    <w:rsid w:val="005977EC"/>
    <w:rsid w:val="00597DE7"/>
    <w:rsid w:val="005A373C"/>
    <w:rsid w:val="005A4AA2"/>
    <w:rsid w:val="005B34B6"/>
    <w:rsid w:val="005B6C8F"/>
    <w:rsid w:val="005D0F74"/>
    <w:rsid w:val="005D2E7D"/>
    <w:rsid w:val="005D4A8F"/>
    <w:rsid w:val="005D561B"/>
    <w:rsid w:val="005D7CA2"/>
    <w:rsid w:val="005E50B7"/>
    <w:rsid w:val="005F468D"/>
    <w:rsid w:val="005F69A3"/>
    <w:rsid w:val="00601C13"/>
    <w:rsid w:val="00604887"/>
    <w:rsid w:val="00606B9A"/>
    <w:rsid w:val="00615423"/>
    <w:rsid w:val="006165B2"/>
    <w:rsid w:val="00617276"/>
    <w:rsid w:val="00625D97"/>
    <w:rsid w:val="00625F1C"/>
    <w:rsid w:val="006276F4"/>
    <w:rsid w:val="00627796"/>
    <w:rsid w:val="00627A2C"/>
    <w:rsid w:val="00630CEB"/>
    <w:rsid w:val="00632264"/>
    <w:rsid w:val="006470BC"/>
    <w:rsid w:val="00667036"/>
    <w:rsid w:val="00673BDB"/>
    <w:rsid w:val="006771B8"/>
    <w:rsid w:val="006843B6"/>
    <w:rsid w:val="0068481F"/>
    <w:rsid w:val="00694EAA"/>
    <w:rsid w:val="00696F5D"/>
    <w:rsid w:val="00697249"/>
    <w:rsid w:val="006A781D"/>
    <w:rsid w:val="006B0AD2"/>
    <w:rsid w:val="006B3947"/>
    <w:rsid w:val="006B4293"/>
    <w:rsid w:val="006B544F"/>
    <w:rsid w:val="006B624F"/>
    <w:rsid w:val="006C31E3"/>
    <w:rsid w:val="006D18D3"/>
    <w:rsid w:val="006E08CB"/>
    <w:rsid w:val="006E598D"/>
    <w:rsid w:val="0070437D"/>
    <w:rsid w:val="00705B04"/>
    <w:rsid w:val="007141DF"/>
    <w:rsid w:val="00722410"/>
    <w:rsid w:val="00734820"/>
    <w:rsid w:val="007349DC"/>
    <w:rsid w:val="007375A5"/>
    <w:rsid w:val="0074365E"/>
    <w:rsid w:val="007515FD"/>
    <w:rsid w:val="00756AF2"/>
    <w:rsid w:val="00760D80"/>
    <w:rsid w:val="00767276"/>
    <w:rsid w:val="00780C09"/>
    <w:rsid w:val="00780DDF"/>
    <w:rsid w:val="007834E9"/>
    <w:rsid w:val="00787DBC"/>
    <w:rsid w:val="00792935"/>
    <w:rsid w:val="00793E3F"/>
    <w:rsid w:val="007A04A1"/>
    <w:rsid w:val="007A1840"/>
    <w:rsid w:val="007B3B1F"/>
    <w:rsid w:val="007C0528"/>
    <w:rsid w:val="007C0C7B"/>
    <w:rsid w:val="007C3D38"/>
    <w:rsid w:val="007D0F35"/>
    <w:rsid w:val="007D4FEB"/>
    <w:rsid w:val="007D6146"/>
    <w:rsid w:val="007E0CE7"/>
    <w:rsid w:val="007E7AAA"/>
    <w:rsid w:val="007F1193"/>
    <w:rsid w:val="007F2B4A"/>
    <w:rsid w:val="007F417F"/>
    <w:rsid w:val="007F7246"/>
    <w:rsid w:val="00803E61"/>
    <w:rsid w:val="008042BD"/>
    <w:rsid w:val="00816624"/>
    <w:rsid w:val="00822427"/>
    <w:rsid w:val="00822562"/>
    <w:rsid w:val="00823663"/>
    <w:rsid w:val="00832DDC"/>
    <w:rsid w:val="008353F6"/>
    <w:rsid w:val="00836C84"/>
    <w:rsid w:val="00845146"/>
    <w:rsid w:val="00850BAC"/>
    <w:rsid w:val="00854A3E"/>
    <w:rsid w:val="00855D08"/>
    <w:rsid w:val="008607B6"/>
    <w:rsid w:val="00861EF3"/>
    <w:rsid w:val="00867286"/>
    <w:rsid w:val="00874344"/>
    <w:rsid w:val="0088123F"/>
    <w:rsid w:val="00882155"/>
    <w:rsid w:val="0088233B"/>
    <w:rsid w:val="0088599E"/>
    <w:rsid w:val="00886C37"/>
    <w:rsid w:val="00892D99"/>
    <w:rsid w:val="008A0078"/>
    <w:rsid w:val="008A2E21"/>
    <w:rsid w:val="008B2B8B"/>
    <w:rsid w:val="008B475F"/>
    <w:rsid w:val="008B5860"/>
    <w:rsid w:val="008B62AE"/>
    <w:rsid w:val="008C04B5"/>
    <w:rsid w:val="008C14FA"/>
    <w:rsid w:val="008C1A8E"/>
    <w:rsid w:val="008D4057"/>
    <w:rsid w:val="008E0213"/>
    <w:rsid w:val="008E1F19"/>
    <w:rsid w:val="008F02A6"/>
    <w:rsid w:val="008F2262"/>
    <w:rsid w:val="008F7736"/>
    <w:rsid w:val="0090019E"/>
    <w:rsid w:val="00901086"/>
    <w:rsid w:val="00901C8A"/>
    <w:rsid w:val="00905886"/>
    <w:rsid w:val="009070D6"/>
    <w:rsid w:val="009076C6"/>
    <w:rsid w:val="0091019E"/>
    <w:rsid w:val="009106F1"/>
    <w:rsid w:val="00914053"/>
    <w:rsid w:val="009145D6"/>
    <w:rsid w:val="00916DD9"/>
    <w:rsid w:val="00920E64"/>
    <w:rsid w:val="00922002"/>
    <w:rsid w:val="00923706"/>
    <w:rsid w:val="00924020"/>
    <w:rsid w:val="00926004"/>
    <w:rsid w:val="009271A7"/>
    <w:rsid w:val="0093658B"/>
    <w:rsid w:val="009429FF"/>
    <w:rsid w:val="00945BD6"/>
    <w:rsid w:val="009479FB"/>
    <w:rsid w:val="00951C45"/>
    <w:rsid w:val="00954BEC"/>
    <w:rsid w:val="00955D4E"/>
    <w:rsid w:val="00957764"/>
    <w:rsid w:val="009608F1"/>
    <w:rsid w:val="009656F2"/>
    <w:rsid w:val="00966A08"/>
    <w:rsid w:val="00971207"/>
    <w:rsid w:val="00975CB4"/>
    <w:rsid w:val="009863B0"/>
    <w:rsid w:val="00987DE1"/>
    <w:rsid w:val="00990571"/>
    <w:rsid w:val="0099673A"/>
    <w:rsid w:val="009A3330"/>
    <w:rsid w:val="009A7C96"/>
    <w:rsid w:val="009A7FEC"/>
    <w:rsid w:val="009C0C7B"/>
    <w:rsid w:val="009C3DB9"/>
    <w:rsid w:val="009C554F"/>
    <w:rsid w:val="009D2CD8"/>
    <w:rsid w:val="009D46E5"/>
    <w:rsid w:val="009D568A"/>
    <w:rsid w:val="009E1701"/>
    <w:rsid w:val="009E2D76"/>
    <w:rsid w:val="009F04EC"/>
    <w:rsid w:val="009F3B36"/>
    <w:rsid w:val="00A019B9"/>
    <w:rsid w:val="00A1059F"/>
    <w:rsid w:val="00A12508"/>
    <w:rsid w:val="00A1282B"/>
    <w:rsid w:val="00A13A27"/>
    <w:rsid w:val="00A175B6"/>
    <w:rsid w:val="00A21835"/>
    <w:rsid w:val="00A2353E"/>
    <w:rsid w:val="00A26F31"/>
    <w:rsid w:val="00A27B06"/>
    <w:rsid w:val="00A27D6E"/>
    <w:rsid w:val="00A31FD8"/>
    <w:rsid w:val="00A328EC"/>
    <w:rsid w:val="00A33A51"/>
    <w:rsid w:val="00A41CA6"/>
    <w:rsid w:val="00A47927"/>
    <w:rsid w:val="00A47FFC"/>
    <w:rsid w:val="00A5442F"/>
    <w:rsid w:val="00A54AAF"/>
    <w:rsid w:val="00A54FF9"/>
    <w:rsid w:val="00A556E9"/>
    <w:rsid w:val="00A56765"/>
    <w:rsid w:val="00A575F7"/>
    <w:rsid w:val="00A57D9C"/>
    <w:rsid w:val="00A60ABF"/>
    <w:rsid w:val="00A62680"/>
    <w:rsid w:val="00A675AC"/>
    <w:rsid w:val="00A7581F"/>
    <w:rsid w:val="00A865A2"/>
    <w:rsid w:val="00A92FB1"/>
    <w:rsid w:val="00A95A0C"/>
    <w:rsid w:val="00AA2765"/>
    <w:rsid w:val="00AA77B5"/>
    <w:rsid w:val="00AB6C5D"/>
    <w:rsid w:val="00AC1097"/>
    <w:rsid w:val="00AC51A7"/>
    <w:rsid w:val="00AD444B"/>
    <w:rsid w:val="00AD6C78"/>
    <w:rsid w:val="00AE2425"/>
    <w:rsid w:val="00AE2EAB"/>
    <w:rsid w:val="00AE744D"/>
    <w:rsid w:val="00AF5F89"/>
    <w:rsid w:val="00AF73CB"/>
    <w:rsid w:val="00B002D6"/>
    <w:rsid w:val="00B05B51"/>
    <w:rsid w:val="00B11111"/>
    <w:rsid w:val="00B14E5A"/>
    <w:rsid w:val="00B15370"/>
    <w:rsid w:val="00B15496"/>
    <w:rsid w:val="00B17BEB"/>
    <w:rsid w:val="00B21A3C"/>
    <w:rsid w:val="00B223C0"/>
    <w:rsid w:val="00B234ED"/>
    <w:rsid w:val="00B249B2"/>
    <w:rsid w:val="00B25CA3"/>
    <w:rsid w:val="00B35EE2"/>
    <w:rsid w:val="00B56843"/>
    <w:rsid w:val="00B57A6A"/>
    <w:rsid w:val="00B62894"/>
    <w:rsid w:val="00B64763"/>
    <w:rsid w:val="00B760F1"/>
    <w:rsid w:val="00B7669E"/>
    <w:rsid w:val="00B77DA1"/>
    <w:rsid w:val="00B80A51"/>
    <w:rsid w:val="00B92915"/>
    <w:rsid w:val="00BA0D55"/>
    <w:rsid w:val="00BA37B3"/>
    <w:rsid w:val="00BA4CC6"/>
    <w:rsid w:val="00BA5747"/>
    <w:rsid w:val="00BB170D"/>
    <w:rsid w:val="00BB3493"/>
    <w:rsid w:val="00BB48FA"/>
    <w:rsid w:val="00BB53AB"/>
    <w:rsid w:val="00BB7468"/>
    <w:rsid w:val="00BC188A"/>
    <w:rsid w:val="00BF1972"/>
    <w:rsid w:val="00BF5010"/>
    <w:rsid w:val="00BF6141"/>
    <w:rsid w:val="00C1368D"/>
    <w:rsid w:val="00C13791"/>
    <w:rsid w:val="00C31BB3"/>
    <w:rsid w:val="00C36977"/>
    <w:rsid w:val="00C4185F"/>
    <w:rsid w:val="00C43718"/>
    <w:rsid w:val="00C4643B"/>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B6C23"/>
    <w:rsid w:val="00CB741C"/>
    <w:rsid w:val="00CB74EC"/>
    <w:rsid w:val="00CC10A9"/>
    <w:rsid w:val="00CC141C"/>
    <w:rsid w:val="00CD2AA7"/>
    <w:rsid w:val="00CD6A8D"/>
    <w:rsid w:val="00CE2BF8"/>
    <w:rsid w:val="00CE484E"/>
    <w:rsid w:val="00CF0DA8"/>
    <w:rsid w:val="00CF2E25"/>
    <w:rsid w:val="00CF4453"/>
    <w:rsid w:val="00CF5D94"/>
    <w:rsid w:val="00CF676E"/>
    <w:rsid w:val="00D034D7"/>
    <w:rsid w:val="00D04BE4"/>
    <w:rsid w:val="00D10F1A"/>
    <w:rsid w:val="00D12565"/>
    <w:rsid w:val="00D14127"/>
    <w:rsid w:val="00D220BB"/>
    <w:rsid w:val="00D46799"/>
    <w:rsid w:val="00D55A40"/>
    <w:rsid w:val="00D56AED"/>
    <w:rsid w:val="00D60F02"/>
    <w:rsid w:val="00D66E49"/>
    <w:rsid w:val="00D72E0E"/>
    <w:rsid w:val="00D72F74"/>
    <w:rsid w:val="00D81563"/>
    <w:rsid w:val="00D85907"/>
    <w:rsid w:val="00D9073E"/>
    <w:rsid w:val="00D9221D"/>
    <w:rsid w:val="00D958DF"/>
    <w:rsid w:val="00D967C0"/>
    <w:rsid w:val="00D96DA1"/>
    <w:rsid w:val="00DA51E7"/>
    <w:rsid w:val="00DA7BD6"/>
    <w:rsid w:val="00DA7CFC"/>
    <w:rsid w:val="00DB1C78"/>
    <w:rsid w:val="00DB7D96"/>
    <w:rsid w:val="00DC23FE"/>
    <w:rsid w:val="00DC59E6"/>
    <w:rsid w:val="00DD150B"/>
    <w:rsid w:val="00DD2DF2"/>
    <w:rsid w:val="00DD5025"/>
    <w:rsid w:val="00DE7A87"/>
    <w:rsid w:val="00DF047B"/>
    <w:rsid w:val="00DF1510"/>
    <w:rsid w:val="00E01375"/>
    <w:rsid w:val="00E04403"/>
    <w:rsid w:val="00E06484"/>
    <w:rsid w:val="00E20A7D"/>
    <w:rsid w:val="00E21BFC"/>
    <w:rsid w:val="00E23574"/>
    <w:rsid w:val="00E275D8"/>
    <w:rsid w:val="00E30611"/>
    <w:rsid w:val="00E33998"/>
    <w:rsid w:val="00E375CA"/>
    <w:rsid w:val="00E520F2"/>
    <w:rsid w:val="00E567E8"/>
    <w:rsid w:val="00E64138"/>
    <w:rsid w:val="00E64679"/>
    <w:rsid w:val="00E65EBC"/>
    <w:rsid w:val="00E666F4"/>
    <w:rsid w:val="00E73432"/>
    <w:rsid w:val="00E7586A"/>
    <w:rsid w:val="00E77B0C"/>
    <w:rsid w:val="00E77FB8"/>
    <w:rsid w:val="00E838B0"/>
    <w:rsid w:val="00E83C1D"/>
    <w:rsid w:val="00E86A7C"/>
    <w:rsid w:val="00E878E1"/>
    <w:rsid w:val="00E87F2C"/>
    <w:rsid w:val="00E95278"/>
    <w:rsid w:val="00EA2273"/>
    <w:rsid w:val="00EB0589"/>
    <w:rsid w:val="00EB1E22"/>
    <w:rsid w:val="00EB2DB3"/>
    <w:rsid w:val="00EC3FBB"/>
    <w:rsid w:val="00EC6B7A"/>
    <w:rsid w:val="00ED02BC"/>
    <w:rsid w:val="00ED3A87"/>
    <w:rsid w:val="00ED4CA4"/>
    <w:rsid w:val="00ED5B67"/>
    <w:rsid w:val="00EE4D00"/>
    <w:rsid w:val="00EE6CF3"/>
    <w:rsid w:val="00EF264C"/>
    <w:rsid w:val="00EF3FEE"/>
    <w:rsid w:val="00F00C77"/>
    <w:rsid w:val="00F030D9"/>
    <w:rsid w:val="00F04B59"/>
    <w:rsid w:val="00F11741"/>
    <w:rsid w:val="00F12B1C"/>
    <w:rsid w:val="00F13CF8"/>
    <w:rsid w:val="00F15855"/>
    <w:rsid w:val="00F27759"/>
    <w:rsid w:val="00F32978"/>
    <w:rsid w:val="00F45CB2"/>
    <w:rsid w:val="00F544C0"/>
    <w:rsid w:val="00F55332"/>
    <w:rsid w:val="00F57168"/>
    <w:rsid w:val="00F65519"/>
    <w:rsid w:val="00F713C0"/>
    <w:rsid w:val="00F75DDC"/>
    <w:rsid w:val="00F76D1C"/>
    <w:rsid w:val="00F7792F"/>
    <w:rsid w:val="00F842AA"/>
    <w:rsid w:val="00F8476F"/>
    <w:rsid w:val="00F853E1"/>
    <w:rsid w:val="00F94B7A"/>
    <w:rsid w:val="00FA17AC"/>
    <w:rsid w:val="00FA32DE"/>
    <w:rsid w:val="00FA3382"/>
    <w:rsid w:val="00FA59CD"/>
    <w:rsid w:val="00FB1740"/>
    <w:rsid w:val="00FC5469"/>
    <w:rsid w:val="00FC6D7D"/>
    <w:rsid w:val="00FD16B0"/>
    <w:rsid w:val="00FD2862"/>
    <w:rsid w:val="00FD4FED"/>
    <w:rsid w:val="00FE0577"/>
    <w:rsid w:val="00FE59EC"/>
    <w:rsid w:val="00FF0803"/>
    <w:rsid w:val="00FF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C4643B"/>
  </w:style>
  <w:style w:type="character" w:styleId="FootnoteReference">
    <w:name w:val="footnote reference"/>
    <w:uiPriority w:val="99"/>
    <w:rsid w:val="00C464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C4643B"/>
  </w:style>
  <w:style w:type="character" w:styleId="FootnoteReference">
    <w:name w:val="footnote reference"/>
    <w:uiPriority w:val="99"/>
    <w:rsid w:val="00C46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572">
      <w:bodyDiv w:val="1"/>
      <w:marLeft w:val="0"/>
      <w:marRight w:val="0"/>
      <w:marTop w:val="0"/>
      <w:marBottom w:val="0"/>
      <w:divBdr>
        <w:top w:val="none" w:sz="0" w:space="0" w:color="auto"/>
        <w:left w:val="none" w:sz="0" w:space="0" w:color="auto"/>
        <w:bottom w:val="none" w:sz="0" w:space="0" w:color="auto"/>
        <w:right w:val="none" w:sz="0" w:space="0" w:color="auto"/>
      </w:divBdr>
    </w:div>
    <w:div w:id="18301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66E9-CFD2-4379-96CD-FDC5405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Terri Jones</dc:creator>
  <cp:keywords/>
  <dc:description/>
  <cp:lastModifiedBy>Terri Jones</cp:lastModifiedBy>
  <cp:revision>2</cp:revision>
  <cp:lastPrinted>2016-10-20T15:32:00Z</cp:lastPrinted>
  <dcterms:created xsi:type="dcterms:W3CDTF">2016-10-20T15:33:00Z</dcterms:created>
  <dcterms:modified xsi:type="dcterms:W3CDTF">2016-10-20T15:33:00Z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160178-EI</vt:lpwstr>
  </property>
  <property fmtid="{D5CDD505-2E9C-101B-9397-08002B2CF9AE}" pid="3" name="MasterDocument">
    <vt:bool>false</vt:bool>
  </property>
</Properties>
</file>