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6747E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747E6" w:rsidP="006747E6">
            <w:pPr>
              <w:pStyle w:val="MemoHeading"/>
            </w:pPr>
            <w:bookmarkStart w:id="1" w:name="FilingDate"/>
            <w:r>
              <w:t>January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747E6" w:rsidRDefault="006747E6">
            <w:pPr>
              <w:pStyle w:val="MemoHeading"/>
            </w:pPr>
            <w:bookmarkStart w:id="2" w:name="From"/>
            <w:r>
              <w:t>Division of Engineering (Lewis)</w:t>
            </w:r>
          </w:p>
          <w:p w:rsidR="006747E6" w:rsidRDefault="006747E6">
            <w:pPr>
              <w:pStyle w:val="MemoHeading"/>
            </w:pPr>
            <w:r>
              <w:t>Division of Accounting and Finance (Fletcher, Norris, Sewards)</w:t>
            </w:r>
          </w:p>
          <w:p w:rsidR="006747E6" w:rsidRDefault="006747E6">
            <w:pPr>
              <w:pStyle w:val="MemoHeading"/>
            </w:pPr>
            <w:r>
              <w:t>Division of Economics (Friedrich)</w:t>
            </w:r>
          </w:p>
          <w:p w:rsidR="007C0528" w:rsidRDefault="006747E6">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747E6">
            <w:pPr>
              <w:pStyle w:val="MemoHeadingRe"/>
            </w:pPr>
            <w:bookmarkStart w:id="3" w:name="Re"/>
            <w:r>
              <w:t>Docket No. 160144-WU – Application for transfer of Certificate No. 288-W in Pasco County from Orangeland Water Supply to Orange Land Utilities,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747E6" w:rsidP="006747E6">
            <w:pPr>
              <w:pStyle w:val="MemoHeading"/>
            </w:pPr>
            <w:bookmarkStart w:id="4" w:name="AgendaDate"/>
            <w:r>
              <w:t>02/07/17</w:t>
            </w:r>
            <w:bookmarkEnd w:id="4"/>
            <w:r w:rsidR="007C0528">
              <w:t xml:space="preserve"> – </w:t>
            </w:r>
            <w:bookmarkStart w:id="5" w:name="PermittedStatus"/>
            <w:r>
              <w:t xml:space="preserve">Regular Agenda </w:t>
            </w:r>
            <w:r w:rsidR="00B30999">
              <w:t xml:space="preserve"> – Proposed Agency Action for Issues 2, 3, 4, 5, 6, 7, and 8 -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747E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747E6">
            <w:pPr>
              <w:pStyle w:val="MemoHeading"/>
            </w:pPr>
            <w:bookmarkStart w:id="7" w:name="PrehearingOfficer"/>
            <w:r>
              <w:t>Graham</w:t>
            </w:r>
            <w:bookmarkEnd w:id="7"/>
          </w:p>
        </w:tc>
      </w:tr>
      <w:tr w:rsidR="007C0528" w:rsidTr="00C670A1">
        <w:trPr>
          <w:trHeight w:val="198"/>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529C8">
            <w:pPr>
              <w:pStyle w:val="MemoHeading"/>
            </w:pPr>
            <w:r>
              <w:t>60-Day Suspension Date - Waived</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747E6">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B30999">
      <w:pPr>
        <w:pStyle w:val="BodyText"/>
      </w:pPr>
      <w:r>
        <w:t xml:space="preserve">On June 6, 2016, Orange Land Utilities, LLC (OLU, Applicant, or Buyer) filed an application for the transfer of Certificate No. 288-W from </w:t>
      </w:r>
      <w:r w:rsidRPr="001F442B">
        <w:t>Orangeland</w:t>
      </w:r>
      <w:r>
        <w:t xml:space="preserve"> Water Supply (Orangeland, Utility, or Seller) in Pasco County. The service area is located in the Southwest Florida Water Management District which has enacted year-round water conservation measures. According to the Utility’s 2015 Annual Report, it serves approximately 74 water customers with operating revenue of $16,716, which designates it as a Class C utility. Wastewater treatment is provided by septic tanks.</w:t>
      </w:r>
    </w:p>
    <w:p w:rsidR="00B30999" w:rsidRDefault="00B30999">
      <w:pPr>
        <w:pStyle w:val="BodyText"/>
      </w:pPr>
    </w:p>
    <w:p w:rsidR="00B30999" w:rsidRDefault="00B30999">
      <w:pPr>
        <w:pStyle w:val="BodyText"/>
      </w:pPr>
    </w:p>
    <w:p w:rsidR="00B30999" w:rsidRDefault="00B30999">
      <w:pPr>
        <w:pStyle w:val="BodyText"/>
      </w:pPr>
      <w:r>
        <w:t xml:space="preserve">Orangeland has been under Florida Public Service Commission (Commission) jurisdiction since July 11, 1972, when Pasco County transferred jurisdiction to the Commission. On April 28, 1977, the Utility was granted </w:t>
      </w:r>
      <w:r w:rsidR="000B1010">
        <w:t>C</w:t>
      </w:r>
      <w:r>
        <w:t>ertificate</w:t>
      </w:r>
      <w:r w:rsidR="000B1010">
        <w:t xml:space="preserve"> No.</w:t>
      </w:r>
      <w:r>
        <w:t xml:space="preserve"> 288-W to operate a water utility.</w:t>
      </w:r>
      <w:r>
        <w:rPr>
          <w:rStyle w:val="FootnoteReference"/>
        </w:rPr>
        <w:footnoteReference w:id="1"/>
      </w:r>
      <w:r>
        <w:t xml:space="preserve"> There have been no certification actions since that time. The rates and charges for utility service were approved by the Commission in 2008.</w:t>
      </w:r>
      <w:r>
        <w:rPr>
          <w:rStyle w:val="FootnoteReference"/>
        </w:rPr>
        <w:footnoteReference w:id="2"/>
      </w:r>
    </w:p>
    <w:p w:rsidR="00B30999" w:rsidRDefault="00B30999">
      <w:pPr>
        <w:pStyle w:val="BodyText"/>
      </w:pPr>
      <w:r>
        <w:t xml:space="preserve">This recommendation addresses the transfer of the water system, the net book value of the water system at the time of transfer, the need for an acquisition adjustment, and </w:t>
      </w:r>
      <w:r w:rsidR="0048100A">
        <w:t>additional</w:t>
      </w:r>
      <w:r>
        <w:t xml:space="preserve"> requested charge</w:t>
      </w:r>
      <w:r w:rsidR="0048100A">
        <w:t>s</w:t>
      </w:r>
      <w:r>
        <w:t>. On October 13, 2016, OLU waived the 60-day statutory timeframe for the Commission’s decision on the proposed service charges as set forth in Section 367.091(6), Florida Statutes (F.S.).</w:t>
      </w:r>
      <w:r>
        <w:rPr>
          <w:rStyle w:val="FootnoteReference"/>
        </w:rPr>
        <w:footnoteReference w:id="3"/>
      </w:r>
      <w:r w:rsidR="001845B4">
        <w:t xml:space="preserve"> The Commission has jurisdiction pursuant to Sections 367.071 and 367.091,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6747E6" w:rsidRDefault="006747E6">
      <w:pPr>
        <w:pStyle w:val="IssueHeading"/>
        <w:rPr>
          <w:vanish/>
          <w:specVanish/>
        </w:rPr>
      </w:pPr>
      <w:r w:rsidRPr="004C3641">
        <w:t xml:space="preserve">Issue </w:t>
      </w:r>
      <w:r w:rsidR="008B05FE">
        <w:fldChar w:fldCharType="begin"/>
      </w:r>
      <w:r w:rsidR="008B05FE">
        <w:instrText xml:space="preserve"> SEQ Issue \* MERGEFORMAT </w:instrText>
      </w:r>
      <w:r w:rsidR="008B05FE">
        <w:fldChar w:fldCharType="separate"/>
      </w:r>
      <w:r w:rsidR="00CE3B1B">
        <w:rPr>
          <w:noProof/>
        </w:rPr>
        <w:t>1</w:t>
      </w:r>
      <w:r w:rsidR="008B05F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E3B1B">
        <w:rPr>
          <w:noProof/>
        </w:rPr>
        <w:instrText>1</w:instrText>
      </w:r>
      <w:r>
        <w:fldChar w:fldCharType="end"/>
      </w:r>
      <w:r>
        <w:tab/>
        <w:instrText xml:space="preserve">" \l 1 </w:instrText>
      </w:r>
      <w:r>
        <w:fldChar w:fldCharType="end"/>
      </w:r>
      <w:r>
        <w:t> </w:t>
      </w:r>
    </w:p>
    <w:p w:rsidR="006747E6" w:rsidRDefault="006747E6">
      <w:pPr>
        <w:pStyle w:val="BodyText"/>
      </w:pPr>
      <w:r>
        <w:t> </w:t>
      </w:r>
      <w:r w:rsidR="00B30999">
        <w:t>Should the transfer of Certificate No. 288-W in Pasco County from Orangeland Water Supply to Orange Land Utilities, LLC be approved?</w:t>
      </w:r>
    </w:p>
    <w:p w:rsidR="006747E6" w:rsidRPr="004C3641" w:rsidRDefault="006747E6">
      <w:pPr>
        <w:pStyle w:val="IssueSubsectionHeading"/>
        <w:rPr>
          <w:vanish/>
          <w:specVanish/>
        </w:rPr>
      </w:pPr>
      <w:r w:rsidRPr="004C3641">
        <w:t>Recommendation: </w:t>
      </w:r>
    </w:p>
    <w:p w:rsidR="006747E6" w:rsidRDefault="006747E6">
      <w:pPr>
        <w:pStyle w:val="BodyText"/>
      </w:pPr>
      <w:r>
        <w:t> </w:t>
      </w:r>
      <w:r w:rsidR="00B30999" w:rsidRPr="00C7311B">
        <w:t>Yes. The transfer of the wate</w:t>
      </w:r>
      <w:r w:rsidR="00B30999">
        <w:t>r system and Certificate No. 288</w:t>
      </w:r>
      <w:r w:rsidR="00B30999" w:rsidRPr="00C7311B">
        <w:t xml:space="preserve">-W is in the public interest and should be approved effective the date of the Commission vote. The resultant order should serve as the Buyer’s certificate and should be retained by the Buyer. 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Florida Administrative Code (F.A.C.). The Seller should be responsible for all Regulatory Assessment Fees (RAFs) payable through the </w:t>
      </w:r>
      <w:r w:rsidR="00B30999" w:rsidRPr="00EB3B7C">
        <w:t>date of closing.</w:t>
      </w:r>
      <w:r w:rsidR="00B30999" w:rsidRPr="00C7311B">
        <w:t xml:space="preserve"> The Buyer should be</w:t>
      </w:r>
      <w:r w:rsidR="00B30999">
        <w:t xml:space="preserve"> responsible for filing the 2016</w:t>
      </w:r>
      <w:r w:rsidR="00B30999" w:rsidRPr="00C7311B">
        <w:t xml:space="preserve"> Annual Report and all future Annual Reports, and RAFs subsequent to the date of closing</w:t>
      </w:r>
      <w:r w:rsidR="00B30999">
        <w:t xml:space="preserve"> (May 1, 2016)</w:t>
      </w:r>
      <w:r w:rsidR="00B30999" w:rsidRPr="00C7311B">
        <w:t>. (</w:t>
      </w:r>
      <w:r w:rsidR="00B30999">
        <w:t>Friedrich, Lewis, Sewards)</w:t>
      </w:r>
      <w:r>
        <w:t xml:space="preserve"> </w:t>
      </w:r>
    </w:p>
    <w:p w:rsidR="006747E6" w:rsidRPr="004C3641" w:rsidRDefault="006747E6">
      <w:pPr>
        <w:pStyle w:val="IssueSubsectionHeading"/>
        <w:rPr>
          <w:vanish/>
          <w:specVanish/>
        </w:rPr>
      </w:pPr>
      <w:r w:rsidRPr="004C3641">
        <w:t>Staff Analysis: </w:t>
      </w:r>
    </w:p>
    <w:p w:rsidR="00B30999" w:rsidRPr="00EB2828" w:rsidRDefault="006747E6" w:rsidP="00B30999">
      <w:pPr>
        <w:pStyle w:val="IssueSubsectionHeading"/>
        <w:rPr>
          <w:rFonts w:ascii="Times New Roman" w:hAnsi="Times New Roman" w:cs="Times New Roman"/>
          <w:b w:val="0"/>
          <w:vanish/>
          <w:specVanish/>
        </w:rPr>
      </w:pPr>
      <w:r>
        <w:t> </w:t>
      </w:r>
      <w:r w:rsidR="00B30999" w:rsidRPr="00EB2828">
        <w:rPr>
          <w:rFonts w:ascii="Times New Roman" w:hAnsi="Times New Roman" w:cs="Times New Roman"/>
          <w:b w:val="0"/>
          <w:i w:val="0"/>
        </w:rPr>
        <w:t>On</w:t>
      </w:r>
    </w:p>
    <w:p w:rsidR="006747E6" w:rsidRDefault="00B30999" w:rsidP="00B30999">
      <w:pPr>
        <w:pStyle w:val="BodyText"/>
      </w:pPr>
      <w:r w:rsidRPr="00EB2828">
        <w:t> Jun</w:t>
      </w:r>
      <w:r w:rsidRPr="00257EF4">
        <w:t>e 6, 2016</w:t>
      </w:r>
      <w:r w:rsidRPr="00C7311B">
        <w:t>,</w:t>
      </w:r>
      <w:r w:rsidRPr="00257EF4">
        <w:t xml:space="preserve"> Orange Land Utilities, LLC.</w:t>
      </w:r>
      <w:r w:rsidRPr="00C7311B">
        <w:t xml:space="preserve"> filed an application for the</w:t>
      </w:r>
      <w:r>
        <w:t xml:space="preserve"> transfer of Certificate No. 288</w:t>
      </w:r>
      <w:r w:rsidRPr="00C7311B">
        <w:t>-W from</w:t>
      </w:r>
      <w:r>
        <w:t xml:space="preserve"> OrangeLand Water Supply</w:t>
      </w:r>
      <w:r w:rsidRPr="00C7311B">
        <w:t xml:space="preserve"> in </w:t>
      </w:r>
      <w:r>
        <w:t>Pasco</w:t>
      </w:r>
      <w:r w:rsidRPr="00C7311B">
        <w:t xml:space="preserve"> County. The application is in compliance with Section 367.071, F.S., and Commission rules concerning applications for transfer of certificat</w:t>
      </w:r>
      <w:r>
        <w:t>es. The sale occurred on May 1, 2016</w:t>
      </w:r>
      <w:r w:rsidRPr="00C7311B">
        <w:t>, contingent upon Commission approval, pursuant to Section 367.071(1), F.S</w:t>
      </w:r>
      <w:r>
        <w:t>.</w:t>
      </w:r>
    </w:p>
    <w:p w:rsidR="00B30999" w:rsidRPr="00C7311B" w:rsidRDefault="00B30999" w:rsidP="00B30999">
      <w:pPr>
        <w:spacing w:before="240"/>
        <w:jc w:val="both"/>
        <w:rPr>
          <w:rFonts w:ascii="Arial" w:hAnsi="Arial" w:cs="Arial"/>
          <w:b/>
        </w:rPr>
      </w:pPr>
      <w:r w:rsidRPr="00C7311B">
        <w:rPr>
          <w:rFonts w:ascii="Arial" w:hAnsi="Arial" w:cs="Arial"/>
          <w:b/>
        </w:rPr>
        <w:t>Noticing, Territory, and Land Ownership</w:t>
      </w:r>
    </w:p>
    <w:p w:rsidR="00B30999" w:rsidRDefault="00B30999" w:rsidP="00B30999">
      <w:pPr>
        <w:spacing w:after="240"/>
        <w:jc w:val="both"/>
      </w:pPr>
      <w:r>
        <w:t xml:space="preserve">On July 6, 2016, staff notified OLU that its </w:t>
      </w:r>
      <w:r w:rsidRPr="00C7311B">
        <w:t xml:space="preserve">application </w:t>
      </w:r>
      <w:r>
        <w:t>was not in</w:t>
      </w:r>
      <w:r w:rsidRPr="00C7311B">
        <w:t xml:space="preserve"> compliance with the noticing provisions set forth in Section 367.071, F.S., and Rule 25-30.030, F.A.C.</w:t>
      </w:r>
      <w:r>
        <w:t xml:space="preserve"> The Utility filed a corrected notice on September 9, 2016. </w:t>
      </w:r>
      <w:r w:rsidRPr="00C7311B">
        <w:t xml:space="preserve">No objections to the transfer were filed, and the time for doing so has expired. </w:t>
      </w:r>
      <w:r>
        <w:t xml:space="preserve">The application also contains a description of the water service territory which </w:t>
      </w:r>
      <w:r w:rsidRPr="00C7311B">
        <w:t>is appended to this recommendation as Attachment A. The application contains a copy of a quit claim d</w:t>
      </w:r>
      <w:r>
        <w:t>eed that was executed on May 6, 2016</w:t>
      </w:r>
      <w:r w:rsidRPr="00C7311B">
        <w:t>, as evidence that the Applicant owns the land upon which the water treatment facilities are located pursuant to Rule 25-30.037(2)(q), F.A.C</w:t>
      </w:r>
      <w:r>
        <w:t>.</w:t>
      </w:r>
    </w:p>
    <w:p w:rsidR="00B30999" w:rsidRDefault="00B30999" w:rsidP="00B30999">
      <w:pPr>
        <w:pStyle w:val="First-LevelSubheading"/>
      </w:pPr>
      <w:r>
        <w:t>Purchase Agreement and Financing</w:t>
      </w:r>
    </w:p>
    <w:p w:rsidR="00B30999" w:rsidRDefault="00B30999" w:rsidP="00B30999">
      <w:pPr>
        <w:pStyle w:val="BodyText"/>
      </w:pPr>
      <w:r>
        <w:t>Pursuant to Rule 25-30.037(2)(i), and (j), F.A.C.,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Orangeland that must be disposed of with regard to the transfer. According to the purchase agreement, the total purchase price for the assets is $8,500. According to the Buyer, the sale took place on May 1, 2016, subject to Commission approval, pursuant to Section 367.071(1), F.S.</w:t>
      </w:r>
    </w:p>
    <w:p w:rsidR="00B30999" w:rsidRPr="00C7311B" w:rsidRDefault="00B30999" w:rsidP="00B30999">
      <w:pPr>
        <w:jc w:val="both"/>
        <w:rPr>
          <w:b/>
        </w:rPr>
      </w:pPr>
      <w:r w:rsidRPr="00C7311B">
        <w:rPr>
          <w:rFonts w:ascii="Arial" w:hAnsi="Arial" w:cs="Arial"/>
          <w:b/>
        </w:rPr>
        <w:t>Facility Description and Compliance</w:t>
      </w:r>
    </w:p>
    <w:p w:rsidR="00B30999" w:rsidRDefault="00B30999" w:rsidP="00B30999">
      <w:pPr>
        <w:pStyle w:val="BodyText"/>
      </w:pPr>
      <w:r w:rsidRPr="00C7311B">
        <w:t xml:space="preserve">The water treatment system </w:t>
      </w:r>
      <w:r>
        <w:t>consists of two wells, a</w:t>
      </w:r>
      <w:r w:rsidRPr="00C7311B">
        <w:t xml:space="preserve"> </w:t>
      </w:r>
      <w:r>
        <w:t xml:space="preserve">steel </w:t>
      </w:r>
      <w:r w:rsidRPr="00C7311B">
        <w:t>hydropneumatic ground storage t</w:t>
      </w:r>
      <w:r>
        <w:t>ank with a storage capacity of 1</w:t>
      </w:r>
      <w:r w:rsidRPr="00C7311B">
        <w:t>,000 gallons, and a liquid chlorination system used for disinfection. The last Florida Department of Environmental Protection (DEP) sanitary surv</w:t>
      </w:r>
      <w:r>
        <w:t xml:space="preserve">ey was conducted on May 27, 2014, and there were three deficiencies, which have been corrected. On July 15, </w:t>
      </w:r>
      <w:r>
        <w:lastRenderedPageBreak/>
        <w:t xml:space="preserve">2015, DEP deemed the </w:t>
      </w:r>
      <w:r w:rsidRPr="00C7311B">
        <w:t xml:space="preserve">Utility </w:t>
      </w:r>
      <w:r>
        <w:t>to be in compliance,</w:t>
      </w:r>
      <w:r w:rsidRPr="00C7311B">
        <w:t xml:space="preserve"> </w:t>
      </w:r>
      <w:r>
        <w:t>t</w:t>
      </w:r>
      <w:r w:rsidRPr="00C7311B">
        <w:t>herefore, the system appears to be in compliance with DEP rules</w:t>
      </w:r>
      <w:r>
        <w:t>.</w:t>
      </w:r>
    </w:p>
    <w:p w:rsidR="00B30999" w:rsidRDefault="00B30999" w:rsidP="00B30999">
      <w:pPr>
        <w:pStyle w:val="First-LevelSubheading"/>
      </w:pPr>
      <w:r>
        <w:t>Technical and Financial Ability</w:t>
      </w:r>
    </w:p>
    <w:p w:rsidR="00B30999" w:rsidRDefault="00B30999" w:rsidP="00B30999">
      <w:pPr>
        <w:pStyle w:val="IssueHeading"/>
        <w:spacing w:after="0"/>
        <w:rPr>
          <w:rFonts w:ascii="Times New Roman" w:hAnsi="Times New Roman" w:cs="Times New Roman"/>
          <w:b w:val="0"/>
          <w:bCs w:val="0"/>
          <w:i w:val="0"/>
          <w:kern w:val="0"/>
          <w:szCs w:val="24"/>
        </w:rPr>
      </w:pPr>
      <w:r w:rsidRPr="00B30999">
        <w:rPr>
          <w:rFonts w:ascii="Times New Roman" w:hAnsi="Times New Roman" w:cs="Times New Roman"/>
          <w:b w:val="0"/>
          <w:bCs w:val="0"/>
          <w:i w:val="0"/>
          <w:kern w:val="0"/>
          <w:szCs w:val="24"/>
        </w:rPr>
        <w:t>Pursuant to Rule 25-30.037(2)(l), F.A.C., the application contains statements describing the technical and financial ability of the Applicant to provide service to the proposed service area. As referenced in the transfer application, the Buyer was appointed to the Citrus County Water and Wastewater Authority, the local regulatory body for Citrus County, where he served for seven years. The Buyer also served as the "Class C" representative for the Governors Study Committee for Investor Owned Water and Wastewater Utility Systems in 2013. He attends yearly training classes through the Florida Rural Water Association and completed the National Association of Regulatory Utility Commissioners (NARUC) Utility Rate School in 2001. The Buyer owns, is the receiver of, or is the manager of, a total of seven Class C water and wastewater facilities that are regulated by the Commis</w:t>
      </w:r>
      <w:r>
        <w:rPr>
          <w:rFonts w:ascii="Times New Roman" w:hAnsi="Times New Roman" w:cs="Times New Roman"/>
          <w:b w:val="0"/>
          <w:bCs w:val="0"/>
          <w:i w:val="0"/>
          <w:kern w:val="0"/>
          <w:szCs w:val="24"/>
        </w:rPr>
        <w:t>sion.</w:t>
      </w:r>
    </w:p>
    <w:p w:rsidR="00B30999" w:rsidRPr="00B30999" w:rsidRDefault="00B30999" w:rsidP="00B30999">
      <w:pPr>
        <w:pStyle w:val="BodyText"/>
        <w:spacing w:after="0"/>
      </w:pPr>
    </w:p>
    <w:p w:rsidR="00B30999" w:rsidRDefault="00B30999" w:rsidP="00B30999">
      <w:pPr>
        <w:pStyle w:val="IssueHeading"/>
        <w:spacing w:after="0"/>
        <w:rPr>
          <w:rFonts w:ascii="Times New Roman" w:hAnsi="Times New Roman" w:cs="Times New Roman"/>
          <w:b w:val="0"/>
          <w:bCs w:val="0"/>
          <w:i w:val="0"/>
          <w:kern w:val="0"/>
          <w:szCs w:val="24"/>
        </w:rPr>
      </w:pPr>
      <w:r>
        <w:rPr>
          <w:rFonts w:ascii="Times New Roman" w:hAnsi="Times New Roman" w:cs="Times New Roman"/>
          <w:b w:val="0"/>
          <w:bCs w:val="0"/>
          <w:i w:val="0"/>
          <w:kern w:val="0"/>
          <w:szCs w:val="24"/>
        </w:rPr>
        <w:t>S</w:t>
      </w:r>
      <w:r w:rsidRPr="00B30999">
        <w:rPr>
          <w:rFonts w:ascii="Times New Roman" w:hAnsi="Times New Roman" w:cs="Times New Roman"/>
          <w:b w:val="0"/>
          <w:bCs w:val="0"/>
          <w:i w:val="0"/>
          <w:kern w:val="0"/>
          <w:szCs w:val="24"/>
        </w:rPr>
        <w:t>taff reviewed the personal financial statements of the Buyer, as well as the financial statements of Florida Utility Services 1, LLC</w:t>
      </w:r>
      <w:r w:rsidR="000B1010">
        <w:rPr>
          <w:rFonts w:ascii="Times New Roman" w:hAnsi="Times New Roman" w:cs="Times New Roman"/>
          <w:b w:val="0"/>
          <w:bCs w:val="0"/>
          <w:i w:val="0"/>
          <w:kern w:val="0"/>
          <w:szCs w:val="24"/>
        </w:rPr>
        <w:t>, an unregulated Company owned by the Buyer.</w:t>
      </w:r>
      <w:r w:rsidRPr="00B30999">
        <w:rPr>
          <w:rFonts w:ascii="Times New Roman" w:hAnsi="Times New Roman" w:cs="Times New Roman"/>
          <w:b w:val="0"/>
          <w:bCs w:val="0"/>
          <w:i w:val="0"/>
          <w:kern w:val="0"/>
          <w:szCs w:val="24"/>
        </w:rPr>
        <w:t xml:space="preserve"> Based on the above, the Buyer has demonstrated the technical and financial ability to provide service to the existing service territory</w:t>
      </w:r>
      <w:r>
        <w:rPr>
          <w:rFonts w:ascii="Times New Roman" w:hAnsi="Times New Roman" w:cs="Times New Roman"/>
          <w:b w:val="0"/>
          <w:bCs w:val="0"/>
          <w:i w:val="0"/>
          <w:kern w:val="0"/>
          <w:szCs w:val="24"/>
        </w:rPr>
        <w:t>.</w:t>
      </w:r>
    </w:p>
    <w:p w:rsidR="00B30999" w:rsidRPr="00B30999" w:rsidRDefault="00B30999" w:rsidP="00B30999">
      <w:pPr>
        <w:pStyle w:val="BodyText"/>
        <w:spacing w:after="0"/>
      </w:pPr>
    </w:p>
    <w:p w:rsidR="00B30999" w:rsidRPr="00B30999" w:rsidRDefault="00B30999" w:rsidP="00B30999">
      <w:pPr>
        <w:pStyle w:val="First-LevelSubheading"/>
      </w:pPr>
      <w:r w:rsidRPr="00B30999">
        <w:t>Rates and Charges</w:t>
      </w:r>
    </w:p>
    <w:p w:rsidR="006A5511" w:rsidRDefault="006A5511" w:rsidP="006A5511">
      <w:pPr>
        <w:jc w:val="both"/>
      </w:pPr>
      <w:r>
        <w:rPr>
          <w:rStyle w:val="BodyTextChar2"/>
        </w:rPr>
        <w:t>The Utility’s rates and charges were last approved by a settlement in a staff-assisted rate case.</w:t>
      </w:r>
      <w:r>
        <w:rPr>
          <w:rStyle w:val="FootnoteReference"/>
        </w:rPr>
        <w:footnoteReference w:id="4"/>
      </w:r>
      <w:r>
        <w:t xml:space="preserve"> In 2014, the rates were subsequently reduced to reflect the expiration of rate case expense amortized in 2008. </w:t>
      </w:r>
      <w:r>
        <w:rPr>
          <w:rStyle w:val="BodyTextChar2"/>
        </w:rPr>
        <w:t>The U</w:t>
      </w:r>
      <w:r>
        <w:t>tility</w:t>
      </w:r>
      <w:r w:rsidR="002F4F3A">
        <w:t>’s existing</w:t>
      </w:r>
      <w:r>
        <w:t xml:space="preserve"> and recommended rates and charges are shown on Schedule No. </w:t>
      </w:r>
      <w:r w:rsidR="00AF5E7D">
        <w:t>1.</w:t>
      </w:r>
      <w:r>
        <w:t xml:space="preserve"> </w:t>
      </w:r>
      <w:r>
        <w:rPr>
          <w:rStyle w:val="BodyTextChar2"/>
        </w:rPr>
        <w:t xml:space="preserve">Rule 25-9.044(1), F.A.C., provides that, in the case of a change of ownership or control of a utility, the rates, classifications, and regulations of the former owner must continue unless authorized to change by this Commission. Therefore, staff recommends that the Utility’s existing rates and charges remain in effect until a change is </w:t>
      </w:r>
      <w:r>
        <w:rPr>
          <w:rStyle w:val="BodyTextChar"/>
        </w:rPr>
        <w:t>authorized by this Commission in a subsequent proceeding.</w:t>
      </w:r>
      <w:r>
        <w:t xml:space="preserve"> </w:t>
      </w:r>
    </w:p>
    <w:p w:rsidR="006A5511" w:rsidRDefault="006A5511">
      <w:pPr>
        <w:pStyle w:val="First-LevelSubheading"/>
        <w:rPr>
          <w:szCs w:val="24"/>
        </w:rPr>
      </w:pPr>
    </w:p>
    <w:p w:rsidR="00B30999" w:rsidRDefault="00B30999" w:rsidP="00B30999">
      <w:pPr>
        <w:pStyle w:val="First-LevelSubheading"/>
      </w:pPr>
      <w:r>
        <w:rPr>
          <w:szCs w:val="24"/>
        </w:rPr>
        <w:t>Regulatory Assessment Fees and Annual Reports</w:t>
      </w:r>
    </w:p>
    <w:p w:rsidR="00B30999" w:rsidRDefault="00B30999" w:rsidP="00B30999">
      <w:pPr>
        <w:pStyle w:val="IssueHeading"/>
        <w:spacing w:after="0"/>
        <w:rPr>
          <w:rFonts w:ascii="Times New Roman" w:hAnsi="Times New Roman" w:cs="Times New Roman"/>
          <w:b w:val="0"/>
          <w:bCs w:val="0"/>
          <w:i w:val="0"/>
          <w:kern w:val="0"/>
          <w:szCs w:val="24"/>
        </w:rPr>
      </w:pPr>
      <w:r w:rsidRPr="00AE6765">
        <w:rPr>
          <w:rFonts w:ascii="Times New Roman" w:hAnsi="Times New Roman" w:cs="Times New Roman"/>
          <w:b w:val="0"/>
          <w:bCs w:val="0"/>
          <w:i w:val="0"/>
          <w:kern w:val="0"/>
          <w:szCs w:val="24"/>
        </w:rPr>
        <w:t xml:space="preserve">Staff has verified that the Seller is current with respect to Annual Reports and RAFs through December 31, 2015. The Buyer will be responsible for filing </w:t>
      </w:r>
      <w:r>
        <w:rPr>
          <w:rFonts w:ascii="Times New Roman" w:hAnsi="Times New Roman" w:cs="Times New Roman"/>
          <w:b w:val="0"/>
          <w:bCs w:val="0"/>
          <w:i w:val="0"/>
          <w:kern w:val="0"/>
          <w:szCs w:val="24"/>
        </w:rPr>
        <w:t>A</w:t>
      </w:r>
      <w:r w:rsidRPr="00AE6765">
        <w:rPr>
          <w:rFonts w:ascii="Times New Roman" w:hAnsi="Times New Roman" w:cs="Times New Roman"/>
          <w:b w:val="0"/>
          <w:bCs w:val="0"/>
          <w:i w:val="0"/>
          <w:kern w:val="0"/>
          <w:szCs w:val="24"/>
        </w:rPr>
        <w:t xml:space="preserve">nnual </w:t>
      </w:r>
      <w:r>
        <w:rPr>
          <w:rFonts w:ascii="Times New Roman" w:hAnsi="Times New Roman" w:cs="Times New Roman"/>
          <w:b w:val="0"/>
          <w:bCs w:val="0"/>
          <w:i w:val="0"/>
          <w:kern w:val="0"/>
          <w:szCs w:val="24"/>
        </w:rPr>
        <w:t>R</w:t>
      </w:r>
      <w:r w:rsidRPr="00AE6765">
        <w:rPr>
          <w:rFonts w:ascii="Times New Roman" w:hAnsi="Times New Roman" w:cs="Times New Roman"/>
          <w:b w:val="0"/>
          <w:bCs w:val="0"/>
          <w:i w:val="0"/>
          <w:kern w:val="0"/>
          <w:szCs w:val="24"/>
        </w:rPr>
        <w:t xml:space="preserve">eports and paying RAFs </w:t>
      </w:r>
      <w:r>
        <w:rPr>
          <w:rFonts w:ascii="Times New Roman" w:hAnsi="Times New Roman" w:cs="Times New Roman"/>
          <w:b w:val="0"/>
          <w:bCs w:val="0"/>
          <w:i w:val="0"/>
          <w:kern w:val="0"/>
          <w:szCs w:val="24"/>
        </w:rPr>
        <w:t xml:space="preserve">after May 1, </w:t>
      </w:r>
      <w:r w:rsidRPr="00AE6765">
        <w:rPr>
          <w:rFonts w:ascii="Times New Roman" w:hAnsi="Times New Roman" w:cs="Times New Roman"/>
          <w:b w:val="0"/>
          <w:bCs w:val="0"/>
          <w:i w:val="0"/>
          <w:kern w:val="0"/>
          <w:szCs w:val="24"/>
        </w:rPr>
        <w:t>2016</w:t>
      </w:r>
      <w:r>
        <w:rPr>
          <w:rFonts w:ascii="Times New Roman" w:hAnsi="Times New Roman" w:cs="Times New Roman"/>
          <w:b w:val="0"/>
          <w:bCs w:val="0"/>
          <w:i w:val="0"/>
          <w:kern w:val="0"/>
          <w:szCs w:val="24"/>
        </w:rPr>
        <w:t>,</w:t>
      </w:r>
      <w:r w:rsidRPr="00AE6765">
        <w:rPr>
          <w:rFonts w:ascii="Times New Roman" w:hAnsi="Times New Roman" w:cs="Times New Roman"/>
          <w:b w:val="0"/>
          <w:bCs w:val="0"/>
          <w:i w:val="0"/>
          <w:kern w:val="0"/>
          <w:szCs w:val="24"/>
        </w:rPr>
        <w:t xml:space="preserve"> and all future year</w:t>
      </w:r>
      <w:r>
        <w:rPr>
          <w:rFonts w:ascii="Times New Roman" w:hAnsi="Times New Roman" w:cs="Times New Roman"/>
          <w:b w:val="0"/>
          <w:bCs w:val="0"/>
          <w:i w:val="0"/>
          <w:kern w:val="0"/>
          <w:szCs w:val="24"/>
        </w:rPr>
        <w:t>s</w:t>
      </w:r>
      <w:r w:rsidR="001845B4">
        <w:rPr>
          <w:rFonts w:ascii="Times New Roman" w:hAnsi="Times New Roman" w:cs="Times New Roman"/>
          <w:b w:val="0"/>
          <w:bCs w:val="0"/>
          <w:i w:val="0"/>
          <w:kern w:val="0"/>
          <w:szCs w:val="24"/>
        </w:rPr>
        <w:t>.</w:t>
      </w:r>
    </w:p>
    <w:p w:rsidR="001F3C94" w:rsidRPr="001F3C94" w:rsidRDefault="001F3C94" w:rsidP="001F3C94">
      <w:pPr>
        <w:pStyle w:val="First-LevelSubheading"/>
        <w:rPr>
          <w:szCs w:val="24"/>
        </w:rPr>
      </w:pPr>
    </w:p>
    <w:p w:rsidR="001F3C94" w:rsidRPr="001F3C94" w:rsidRDefault="001F3C94" w:rsidP="001F3C94">
      <w:pPr>
        <w:pStyle w:val="First-LevelSubheading"/>
        <w:rPr>
          <w:szCs w:val="24"/>
        </w:rPr>
      </w:pPr>
      <w:r w:rsidRPr="001F3C94">
        <w:rPr>
          <w:szCs w:val="24"/>
        </w:rPr>
        <w:t>Conclusion</w:t>
      </w:r>
    </w:p>
    <w:p w:rsidR="006747E6" w:rsidRDefault="001F3C94" w:rsidP="001F3C94">
      <w:pPr>
        <w:pStyle w:val="IssueHeading"/>
        <w:rPr>
          <w:vanish/>
          <w:specVanish/>
        </w:rPr>
      </w:pPr>
      <w:r w:rsidRPr="001F3C94">
        <w:rPr>
          <w:rFonts w:ascii="Times New Roman" w:hAnsi="Times New Roman" w:cs="Times New Roman"/>
          <w:b w:val="0"/>
          <w:bCs w:val="0"/>
          <w:i w:val="0"/>
          <w:kern w:val="0"/>
          <w:szCs w:val="24"/>
        </w:rPr>
        <w:t>Based on the foregoing, staff recommends that the transfer of the water system and Certificate No. 288-W is in the public interest and should be approved effective the date of the Commission vote. The resultant order should serve as the Buyer’s certificate and should be retained by the Buyer.</w:t>
      </w:r>
      <w:r w:rsidR="006747E6" w:rsidRPr="004C3641">
        <w:rPr>
          <w:b w:val="0"/>
          <w:i w:val="0"/>
        </w:rPr>
        <w:br w:type="page"/>
      </w:r>
      <w:r w:rsidR="006747E6" w:rsidRPr="004C3641">
        <w:lastRenderedPageBreak/>
        <w:t xml:space="preserve">Issue </w:t>
      </w:r>
      <w:r w:rsidR="008B05FE">
        <w:fldChar w:fldCharType="begin"/>
      </w:r>
      <w:r w:rsidR="008B05FE">
        <w:instrText xml:space="preserve"> SEQ Issue \* MERGEFORMAT </w:instrText>
      </w:r>
      <w:r w:rsidR="008B05FE">
        <w:fldChar w:fldCharType="separate"/>
      </w:r>
      <w:r w:rsidR="00CE3B1B">
        <w:rPr>
          <w:noProof/>
        </w:rPr>
        <w:t>2</w:t>
      </w:r>
      <w:r w:rsidR="008B05FE">
        <w:rPr>
          <w:noProof/>
        </w:rPr>
        <w:fldChar w:fldCharType="end"/>
      </w:r>
      <w:r w:rsidR="006747E6" w:rsidRPr="004C3641">
        <w:t>:</w:t>
      </w:r>
      <w:r w:rsidR="006747E6">
        <w:fldChar w:fldCharType="begin"/>
      </w:r>
      <w:r w:rsidR="006747E6">
        <w:instrText xml:space="preserve"> TC "</w:instrText>
      </w:r>
      <w:r w:rsidR="006747E6">
        <w:fldChar w:fldCharType="begin"/>
      </w:r>
      <w:r w:rsidR="006747E6">
        <w:instrText xml:space="preserve"> SEQ issue \c </w:instrText>
      </w:r>
      <w:r w:rsidR="006747E6">
        <w:fldChar w:fldCharType="separate"/>
      </w:r>
      <w:r w:rsidR="00CE3B1B">
        <w:rPr>
          <w:noProof/>
        </w:rPr>
        <w:instrText>2</w:instrText>
      </w:r>
      <w:r w:rsidR="006747E6">
        <w:fldChar w:fldCharType="end"/>
      </w:r>
      <w:r w:rsidR="006747E6">
        <w:tab/>
        <w:instrText xml:space="preserve">" \l 1 </w:instrText>
      </w:r>
      <w:r w:rsidR="006747E6">
        <w:fldChar w:fldCharType="end"/>
      </w:r>
      <w:r w:rsidR="006747E6">
        <w:t> </w:t>
      </w:r>
    </w:p>
    <w:p w:rsidR="006747E6" w:rsidRDefault="006747E6">
      <w:pPr>
        <w:pStyle w:val="BodyText"/>
      </w:pPr>
      <w:r>
        <w:t> </w:t>
      </w:r>
      <w:r w:rsidR="00B30999" w:rsidRPr="00CE10F4">
        <w:t>What is the appropriate net book value for the Orangeland water system for transfer purposes and should an acquisition adjustment be approved</w:t>
      </w:r>
      <w:r w:rsidR="00B30999">
        <w:t>?</w:t>
      </w:r>
    </w:p>
    <w:p w:rsidR="006747E6" w:rsidRPr="004C3641" w:rsidRDefault="006747E6">
      <w:pPr>
        <w:pStyle w:val="IssueSubsectionHeading"/>
        <w:rPr>
          <w:vanish/>
          <w:specVanish/>
        </w:rPr>
      </w:pPr>
      <w:r w:rsidRPr="004C3641">
        <w:t>Recommendation: </w:t>
      </w:r>
    </w:p>
    <w:p w:rsidR="006747E6" w:rsidRDefault="006747E6">
      <w:pPr>
        <w:pStyle w:val="BodyText"/>
      </w:pPr>
      <w:r>
        <w:t> </w:t>
      </w:r>
      <w:r w:rsidR="00B30999">
        <w:rPr>
          <w:rFonts w:ascii="Calibri" w:hAnsi="Calibri" w:cs="Calibri"/>
        </w:rPr>
        <w:t>T</w:t>
      </w:r>
      <w:r w:rsidR="00B30999">
        <w:t>he net book value (NBV) of the water system for transfer purposes is $4,958 as of May 1, 2016. An acquisition adjustment should not be included in rate base. Within 90 days of the date of the final order, OLU should be required to notify the Commission in writing that it has adjusted its books in accordance with the Commission’s decision. The adjustments should be reflected in the 2016 Annual Report when filed. (Sewards)</w:t>
      </w:r>
      <w:r>
        <w:t xml:space="preserve"> </w:t>
      </w:r>
    </w:p>
    <w:p w:rsidR="006747E6" w:rsidRPr="004C3641" w:rsidRDefault="006747E6">
      <w:pPr>
        <w:pStyle w:val="IssueSubsectionHeading"/>
        <w:rPr>
          <w:vanish/>
          <w:specVanish/>
        </w:rPr>
      </w:pPr>
      <w:r w:rsidRPr="004C3641">
        <w:t>Staff Analysis: </w:t>
      </w:r>
    </w:p>
    <w:p w:rsidR="00B30999" w:rsidRDefault="006747E6" w:rsidP="00B30999">
      <w:pPr>
        <w:pStyle w:val="BodyText"/>
        <w:rPr>
          <w:rStyle w:val="BodyTextChar1"/>
          <w:rFonts w:cs="Calibri"/>
        </w:rPr>
      </w:pPr>
      <w:r>
        <w:t> </w:t>
      </w:r>
      <w:r w:rsidR="00B30999">
        <w:rPr>
          <w:rFonts w:cs="Calibri"/>
        </w:rPr>
        <w:t>Rate base was last established as of June 30, 2007. The purpose of establishing net book value</w:t>
      </w:r>
      <w:r w:rsidR="00B30999">
        <w:rPr>
          <w:rStyle w:val="BodyTextChar2"/>
          <w:rFonts w:cs="Calibri"/>
          <w:bCs/>
        </w:rPr>
        <w:t xml:space="preserve"> for transfers is to determine whether an acquisition adjustment should be approved. The NBV does not </w:t>
      </w:r>
      <w:r w:rsidR="00B30999">
        <w:rPr>
          <w:rStyle w:val="BodyTextChar2"/>
          <w:rFonts w:cs="Calibri"/>
        </w:rPr>
        <w:t xml:space="preserve">include normal ratemaking adjustments for used and useful plant or working capital. The NBV has been updated to reflect balances as of </w:t>
      </w:r>
      <w:r w:rsidR="00B30999">
        <w:rPr>
          <w:rFonts w:cs="Calibri"/>
          <w:bCs/>
          <w:color w:val="000000"/>
        </w:rPr>
        <w:t>May 1, 2016</w:t>
      </w:r>
      <w:r w:rsidR="00B30999">
        <w:rPr>
          <w:rStyle w:val="BodyTextChar2"/>
          <w:rFonts w:cs="Calibri"/>
        </w:rPr>
        <w:t xml:space="preserve">. Staff’s recommended NBV, as described below, is shown on </w:t>
      </w:r>
      <w:r w:rsidR="00B30999">
        <w:rPr>
          <w:rStyle w:val="BodyTextChar1"/>
          <w:rFonts w:cs="Calibri"/>
        </w:rPr>
        <w:t>Schedule</w:t>
      </w:r>
      <w:r w:rsidR="00876476">
        <w:rPr>
          <w:rStyle w:val="BodyTextChar1"/>
          <w:rFonts w:cs="Calibri"/>
        </w:rPr>
        <w:t xml:space="preserve"> No.</w:t>
      </w:r>
      <w:r w:rsidR="00B30999">
        <w:rPr>
          <w:rStyle w:val="BodyTextChar1"/>
          <w:rFonts w:cs="Calibri"/>
        </w:rPr>
        <w:t xml:space="preserve"> </w:t>
      </w:r>
      <w:r w:rsidR="001B44EF">
        <w:rPr>
          <w:rStyle w:val="BodyTextChar1"/>
          <w:rFonts w:cs="Calibri"/>
        </w:rPr>
        <w:t>3</w:t>
      </w:r>
      <w:r w:rsidR="00B30999">
        <w:rPr>
          <w:rStyle w:val="BodyTextChar1"/>
          <w:rFonts w:cs="Calibri"/>
        </w:rPr>
        <w:t>.</w:t>
      </w:r>
    </w:p>
    <w:p w:rsidR="00B30999" w:rsidRDefault="00B30999" w:rsidP="00B30999">
      <w:pPr>
        <w:pStyle w:val="BodyText"/>
        <w:rPr>
          <w:rStyle w:val="BodyTextChar1"/>
          <w:rFonts w:cs="Calibri"/>
        </w:rPr>
      </w:pPr>
      <w:r>
        <w:rPr>
          <w:rStyle w:val="BodyTextChar1"/>
          <w:rFonts w:cs="Calibri"/>
        </w:rPr>
        <w:t>The Seller did not provide its books and records to the Buyer. Staff auditors were not able to determine if the records were maintained in accordance with the National Association of Regulatory Utility Commissioners’ Uniform System of Accounts (NARUC USOA). Staff auditors obtained the beginning balances of the components of NBV as of June 30, 2007, established in Docket No. 070601-WU.</w:t>
      </w:r>
      <w:r>
        <w:rPr>
          <w:rStyle w:val="FootnoteReference"/>
          <w:rFonts w:cs="Calibri"/>
        </w:rPr>
        <w:t xml:space="preserve"> </w:t>
      </w:r>
      <w:r>
        <w:rPr>
          <w:rStyle w:val="BodyTextChar1"/>
          <w:rFonts w:cs="Calibri"/>
        </w:rPr>
        <w:t>Auditors</w:t>
      </w:r>
      <w:r>
        <w:rPr>
          <w:rStyle w:val="FootnoteReference"/>
          <w:rFonts w:cs="Calibri"/>
        </w:rPr>
        <w:t xml:space="preserve"> </w:t>
      </w:r>
      <w:r>
        <w:rPr>
          <w:rStyle w:val="BodyTextChar1"/>
          <w:rFonts w:cs="Calibri"/>
        </w:rPr>
        <w:t>traced asset additions to supporting documentation and ensured retirements were made when a capital item was removed or replaced.</w:t>
      </w:r>
    </w:p>
    <w:p w:rsidR="00B30999" w:rsidRDefault="00B30999" w:rsidP="00B30999">
      <w:pPr>
        <w:widowControl w:val="0"/>
        <w:jc w:val="both"/>
        <w:rPr>
          <w:rStyle w:val="BodyTextChar1"/>
          <w:rFonts w:ascii="Arial" w:hAnsi="Arial" w:cs="Arial"/>
          <w:b/>
        </w:rPr>
      </w:pPr>
      <w:r>
        <w:rPr>
          <w:rFonts w:ascii="Arial" w:hAnsi="Arial" w:cs="Arial"/>
          <w:b/>
        </w:rPr>
        <w:t xml:space="preserve">Utility Plant in Service (UPIS) </w:t>
      </w:r>
    </w:p>
    <w:p w:rsidR="00B30999" w:rsidRDefault="00B30999" w:rsidP="00B30999">
      <w:pPr>
        <w:pStyle w:val="BodyText"/>
      </w:pPr>
      <w:r>
        <w:t>Staff auditors reviewed UPIS additions since the last rate case proceeding and calculated a UPIS balance of $47,939. However, in the response to the Staff Audit Report, OLU stated the UPIS amount should be $50,816 to reflect the correct retirement amount for a well pump. After recalculating UPIS, staff agrees with OLU’s balance. Therefore, staff recommends a UPIS balance of $50,816 as of May 1, 2016.</w:t>
      </w:r>
    </w:p>
    <w:p w:rsidR="00B30999" w:rsidRDefault="00B30999" w:rsidP="00B30999">
      <w:pPr>
        <w:pStyle w:val="First-LevelSubheading"/>
      </w:pPr>
      <w:r>
        <w:t>Land</w:t>
      </w:r>
    </w:p>
    <w:p w:rsidR="00B30999" w:rsidRDefault="00B30999" w:rsidP="00B30999">
      <w:pPr>
        <w:jc w:val="both"/>
      </w:pPr>
      <w:r>
        <w:t>In Order No. PSC-08-0309-PAA-WU, issued May 13, 2008, the Commission established the value of the land to be $1,000. There have been no additions to land purchased since that order was issued.</w:t>
      </w:r>
      <w:r>
        <w:rPr>
          <w:rFonts w:eastAsia="MS PGothic"/>
          <w:bCs/>
          <w:kern w:val="32"/>
        </w:rPr>
        <w:t xml:space="preserve"> </w:t>
      </w:r>
      <w:r>
        <w:t>Therefore, staff recommends a land balance of $1,000, as of May 1, 2016.</w:t>
      </w:r>
    </w:p>
    <w:p w:rsidR="00B30999" w:rsidRDefault="00B30999" w:rsidP="00B30999">
      <w:pPr>
        <w:jc w:val="both"/>
      </w:pPr>
    </w:p>
    <w:p w:rsidR="00B30999" w:rsidRDefault="00B30999" w:rsidP="00B30999">
      <w:pPr>
        <w:pStyle w:val="First-LevelSubheading"/>
      </w:pPr>
      <w:r>
        <w:t>Accumulated Depreciation</w:t>
      </w:r>
    </w:p>
    <w:p w:rsidR="00B30999" w:rsidRDefault="00B30999" w:rsidP="00B30999">
      <w:pPr>
        <w:pStyle w:val="BodyText"/>
      </w:pPr>
      <w:r>
        <w:rPr>
          <w:color w:val="000000"/>
        </w:rPr>
        <w:t>Based on the UPIS adjustment discussed earlier, s</w:t>
      </w:r>
      <w:r>
        <w:t>taff auditors calculated an accumulated depreciation balance of $47,939. However, in the response to the Staff Audit Report, OLU states the accumulated depreciation amount should be $45,625. After recalculating accumulated depreciation, staff agrees with OLU’s balance. As a result, accumulated depreciation should be $45,625</w:t>
      </w:r>
      <w:r>
        <w:rPr>
          <w:color w:val="000000"/>
        </w:rPr>
        <w:t xml:space="preserve"> </w:t>
      </w:r>
      <w:r>
        <w:t>as of May 1, 2016.</w:t>
      </w:r>
    </w:p>
    <w:p w:rsidR="00B30999" w:rsidRDefault="00B30999" w:rsidP="00B30999">
      <w:pPr>
        <w:pStyle w:val="BodyText"/>
      </w:pPr>
    </w:p>
    <w:p w:rsidR="001D795C" w:rsidRDefault="001D795C" w:rsidP="00B30999">
      <w:pPr>
        <w:pStyle w:val="BodyText"/>
      </w:pPr>
    </w:p>
    <w:p w:rsidR="001D795C" w:rsidRDefault="001D795C" w:rsidP="00B30999">
      <w:pPr>
        <w:pStyle w:val="BodyText"/>
      </w:pPr>
    </w:p>
    <w:p w:rsidR="00B30999" w:rsidRDefault="00B30999" w:rsidP="00B30999">
      <w:pPr>
        <w:pStyle w:val="First-LevelSubheading"/>
        <w:rPr>
          <w:szCs w:val="24"/>
        </w:rPr>
      </w:pPr>
      <w:r>
        <w:rPr>
          <w:szCs w:val="24"/>
        </w:rPr>
        <w:lastRenderedPageBreak/>
        <w:t>Contributions-in-Aid-of-Construction (CIAC) and Accumulated Amortization of CIAC</w:t>
      </w:r>
    </w:p>
    <w:p w:rsidR="00B30999" w:rsidRDefault="00B30999" w:rsidP="00B30999">
      <w:pPr>
        <w:pStyle w:val="BodyText"/>
      </w:pPr>
      <w:r>
        <w:t>The staff auditors reviewed CIAC additions and calculated a CIAC balance of $7,350. Staff auditors also reviewed accumulated amortization of CIAC since the last rate case proceeding and has calculated a balance of $5,936. However, in response to the Staff</w:t>
      </w:r>
      <w:r w:rsidR="00F17FAC">
        <w:t>s</w:t>
      </w:r>
      <w:r>
        <w:t xml:space="preserve"> Audit Report, OLU stated that the CIAC balance should be $7,350 and stated the accumulated amortization of CIAC should be $6,117. After recalculating, staff agrees with OLU’s accumulated amortization of CIAC balance. Thus, staff recommends CIAC and accumulated amortization of CIAC balances of $7,350 and $6,117, respectively, as of May 1, 2016.</w:t>
      </w:r>
    </w:p>
    <w:p w:rsidR="00B30999" w:rsidRDefault="00B30999" w:rsidP="00B30999">
      <w:pPr>
        <w:pStyle w:val="First-LevelSubheading"/>
      </w:pPr>
      <w:r>
        <w:t>Net Book Value</w:t>
      </w:r>
    </w:p>
    <w:p w:rsidR="00B30999" w:rsidRDefault="00B30999" w:rsidP="00B30999">
      <w:pPr>
        <w:pStyle w:val="BodyText"/>
      </w:pPr>
      <w:r>
        <w:t>Based on the adjustments described above, staff recommends that the NBV is $4,958 as of May 1, 2016, which is shown on Schedule</w:t>
      </w:r>
      <w:r w:rsidR="000779C3">
        <w:t xml:space="preserve"> No.</w:t>
      </w:r>
      <w:r>
        <w:t xml:space="preserve"> </w:t>
      </w:r>
      <w:r w:rsidR="00B12D67">
        <w:t>2</w:t>
      </w:r>
      <w:r>
        <w:t>.</w:t>
      </w:r>
    </w:p>
    <w:p w:rsidR="00B30999" w:rsidRDefault="00B30999" w:rsidP="00B30999">
      <w:pPr>
        <w:pStyle w:val="First-LevelSubheading"/>
      </w:pPr>
      <w:r>
        <w:t>Acquisition Adjustment</w:t>
      </w:r>
    </w:p>
    <w:p w:rsidR="00B30999" w:rsidRDefault="00B30999" w:rsidP="00B30999">
      <w:pPr>
        <w:pStyle w:val="BodyText"/>
        <w:rPr>
          <w:iCs/>
        </w:rPr>
      </w:pPr>
      <w:r>
        <w:t xml:space="preserve">An acquisition adjustment results when the purchase price differs from the NBV of the assets at the time of the acquisition. The assets were purchased for $8,500. As stated above, staff has determined the appropriate NBV total to be $4,958. Pursuant to Rule 25-30.0371, F.A.C., a positive acquisition adjustment may be appropriate when the purchase price is greater than the NBV, and a negative acquisition adjustment may be appropriate when the purchase price is less than NBV. </w:t>
      </w:r>
      <w:r>
        <w:rPr>
          <w:rFonts w:eastAsia="MS PGothic"/>
          <w:iCs/>
        </w:rPr>
        <w:t>However, p</w:t>
      </w:r>
      <w:r>
        <w:rPr>
          <w:iCs/>
        </w:rPr>
        <w:t>ursuant to Rule 25-30.0371(2), F.A.C., a positive acquisition adjustment shall not be included in rate base unless there is proof of extraordinary circumstances. The Buyer did not request a positive acquisition adjustment. As such, staff recommends that no positive acquisition adjustment be approved.</w:t>
      </w:r>
    </w:p>
    <w:p w:rsidR="00B30999" w:rsidRDefault="00B30999" w:rsidP="00B30999">
      <w:pPr>
        <w:pStyle w:val="First-LevelSubheading"/>
      </w:pPr>
      <w:r>
        <w:t>Conclusion</w:t>
      </w:r>
    </w:p>
    <w:p w:rsidR="006747E6" w:rsidRDefault="00B30999" w:rsidP="00B30999">
      <w:pPr>
        <w:pStyle w:val="BodyText"/>
      </w:pPr>
      <w:r>
        <w:t>Based on the above, staff recommends that the NBV of the water system for transfer purposes is $4,958 as of May 1, 2016. No acquisition adjustment should be included in rate base. Within 90 days of the date of the final order, the Buyer should be required to notify the Commission in writing, that it has adjusted its books in accordance with the Commission’s decision. The adjustments should be reflected in the 2016 Annual Report when filed.</w:t>
      </w:r>
    </w:p>
    <w:p w:rsidR="006747E6" w:rsidRDefault="006747E6">
      <w:pPr>
        <w:pStyle w:val="IssueHeading"/>
        <w:rPr>
          <w:vanish/>
          <w:specVanish/>
        </w:rPr>
      </w:pPr>
      <w:r w:rsidRPr="004C3641">
        <w:rPr>
          <w:b w:val="0"/>
          <w:i w:val="0"/>
        </w:rPr>
        <w:br w:type="page"/>
      </w:r>
      <w:r w:rsidRPr="004C3641">
        <w:lastRenderedPageBreak/>
        <w:t xml:space="preserve">Issue </w:t>
      </w:r>
      <w:r w:rsidR="008B05FE">
        <w:fldChar w:fldCharType="begin"/>
      </w:r>
      <w:r w:rsidR="008B05FE">
        <w:instrText xml:space="preserve"> SEQ Issue \* MERGEFORMAT </w:instrText>
      </w:r>
      <w:r w:rsidR="008B05FE">
        <w:fldChar w:fldCharType="separate"/>
      </w:r>
      <w:r w:rsidR="00CE3B1B">
        <w:rPr>
          <w:noProof/>
        </w:rPr>
        <w:t>3</w:t>
      </w:r>
      <w:r w:rsidR="008B05F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E3B1B">
        <w:rPr>
          <w:noProof/>
        </w:rPr>
        <w:instrText>3</w:instrText>
      </w:r>
      <w:r>
        <w:fldChar w:fldCharType="end"/>
      </w:r>
      <w:r>
        <w:tab/>
        <w:instrText xml:space="preserve">" \l 1 </w:instrText>
      </w:r>
      <w:r>
        <w:fldChar w:fldCharType="end"/>
      </w:r>
      <w:r>
        <w:t> </w:t>
      </w:r>
    </w:p>
    <w:p w:rsidR="006747E6" w:rsidRDefault="006747E6">
      <w:pPr>
        <w:pStyle w:val="BodyText"/>
      </w:pPr>
      <w:r>
        <w:t> </w:t>
      </w:r>
      <w:r w:rsidR="00B30999" w:rsidRPr="009C4880">
        <w:rPr>
          <w:bCs/>
          <w:iCs/>
          <w:szCs w:val="28"/>
        </w:rPr>
        <w:t>Should the Commission approve Orange</w:t>
      </w:r>
      <w:r w:rsidR="00711774">
        <w:rPr>
          <w:bCs/>
          <w:iCs/>
          <w:szCs w:val="28"/>
        </w:rPr>
        <w:t xml:space="preserve"> L</w:t>
      </w:r>
      <w:r w:rsidR="00B30999" w:rsidRPr="009C4880">
        <w:rPr>
          <w:bCs/>
          <w:iCs/>
          <w:szCs w:val="28"/>
        </w:rPr>
        <w:t>and Utilities, LLC’s request to implement miscellaneous service charge</w:t>
      </w:r>
      <w:r w:rsidR="00B30999">
        <w:rPr>
          <w:bCs/>
          <w:iCs/>
          <w:szCs w:val="28"/>
        </w:rPr>
        <w:t>s?</w:t>
      </w:r>
    </w:p>
    <w:p w:rsidR="006747E6" w:rsidRPr="004C3641" w:rsidRDefault="006747E6">
      <w:pPr>
        <w:pStyle w:val="IssueSubsectionHeading"/>
        <w:rPr>
          <w:vanish/>
          <w:specVanish/>
        </w:rPr>
      </w:pPr>
      <w:r w:rsidRPr="004C3641">
        <w:t>Recommendation: </w:t>
      </w:r>
    </w:p>
    <w:p w:rsidR="006747E6" w:rsidRDefault="006747E6">
      <w:pPr>
        <w:pStyle w:val="BodyText"/>
      </w:pPr>
      <w:r>
        <w:t> </w:t>
      </w:r>
      <w:r w:rsidR="00B30999" w:rsidRPr="002D1B42">
        <w:t>Yes. OLU’s request to implement miscellaneous service charges should be approved. The charges should be effective on or after the stamped approval date on the tariff pursuant to Rule 25-30.475, F.A.C. In addition, the approved charges should not be implemented until staff has approved the proposed customer notice and the notice has been received by the customers. The Utility should provide proof of the date notice was given within 10 days of the date of the notice.</w:t>
      </w:r>
      <w:r w:rsidR="00B30999">
        <w:t xml:space="preserve"> </w:t>
      </w:r>
      <w:r w:rsidR="00B30999" w:rsidRPr="0019072E">
        <w:t>(Friedrich</w:t>
      </w:r>
      <w:r w:rsidR="00B30999">
        <w:t>)</w:t>
      </w:r>
      <w:r>
        <w:t xml:space="preserve"> </w:t>
      </w:r>
    </w:p>
    <w:p w:rsidR="006747E6" w:rsidRPr="004C3641" w:rsidRDefault="006747E6">
      <w:pPr>
        <w:pStyle w:val="IssueSubsectionHeading"/>
        <w:rPr>
          <w:vanish/>
          <w:specVanish/>
        </w:rPr>
      </w:pPr>
      <w:r w:rsidRPr="004C3641">
        <w:t>Staff Analysis: </w:t>
      </w:r>
    </w:p>
    <w:p w:rsidR="0012001A" w:rsidRDefault="006747E6" w:rsidP="0012001A">
      <w:pPr>
        <w:pStyle w:val="BodyText"/>
      </w:pPr>
      <w:r>
        <w:t> </w:t>
      </w:r>
      <w:r w:rsidR="008544AE">
        <w:t xml:space="preserve">The Utility currently does not have miscellaneous service charges. Section 367.091, F.S., authorizes the Commission to approve miscellaneous service charges. During the course of this proceeding, the Utility requested $30 each for initial connection, normal reconnection, and violation reconnection charges. The Utility also requested a $23 premises visit charge. The Utility provided cost justification in support of its requested charges as required by Section 367.091(6) F.S. The </w:t>
      </w:r>
      <w:r w:rsidR="00F000BE">
        <w:t>cost justification included a 4.5</w:t>
      </w:r>
      <w:r w:rsidR="008544AE">
        <w:t xml:space="preserve"> percent markup for RAFs that is based on the revenues generated by the proposed charges. The Commission has previously approved regulatory assessment fees for new miscellaneous service charges.</w:t>
      </w:r>
      <w:r w:rsidR="008544AE" w:rsidRPr="00F000BE">
        <w:rPr>
          <w:vertAlign w:val="superscript"/>
        </w:rPr>
        <w:footnoteReference w:id="5"/>
      </w:r>
      <w:r w:rsidR="008544AE">
        <w:t xml:space="preserve"> </w:t>
      </w:r>
      <w:r w:rsidR="008544AE" w:rsidRPr="008544AE">
        <w:t xml:space="preserve">In addition, staff utilized the hourly salaries provided by the </w:t>
      </w:r>
      <w:r w:rsidR="008544AE">
        <w:t>U</w:t>
      </w:r>
      <w:r w:rsidR="008544AE" w:rsidRPr="008544AE">
        <w:t>tility for the administrative employee and the field employee who processes and administers miscellaneous service charges. However, staff adjusted the time allotment for processing these charges and adjusted the amount per mile allowed for transportation consistent with Commission practice.</w:t>
      </w:r>
      <w:r w:rsidR="008544AE" w:rsidRPr="00BF5EB8">
        <w:rPr>
          <w:vertAlign w:val="superscript"/>
        </w:rPr>
        <w:footnoteReference w:id="6"/>
      </w:r>
      <w:r w:rsidR="008544AE" w:rsidRPr="008544AE">
        <w:t xml:space="preserve"> Staff’s recommended miscellaneous service charges are rounded up to the nearest tenth.</w:t>
      </w:r>
      <w:r w:rsidR="008544AE">
        <w:t xml:space="preserve"> </w:t>
      </w:r>
    </w:p>
    <w:p w:rsidR="0012001A" w:rsidRDefault="0012001A" w:rsidP="0012001A">
      <w:pPr>
        <w:pStyle w:val="SCparagraph"/>
        <w:spacing w:after="0"/>
        <w:ind w:firstLine="0"/>
        <w:rPr>
          <w:rFonts w:ascii="Arial" w:hAnsi="Arial" w:cs="Arial"/>
          <w:b/>
        </w:rPr>
      </w:pPr>
      <w:r>
        <w:rPr>
          <w:rFonts w:ascii="Arial" w:hAnsi="Arial" w:cs="Arial"/>
          <w:b/>
        </w:rPr>
        <w:t>Initial Connection</w:t>
      </w:r>
    </w:p>
    <w:p w:rsidR="0012001A" w:rsidRDefault="0012001A" w:rsidP="000571B7">
      <w:pPr>
        <w:jc w:val="both"/>
      </w:pPr>
      <w:r>
        <w:rPr>
          <w:bCs/>
          <w:iCs/>
          <w:szCs w:val="28"/>
        </w:rPr>
        <w:t>The initial connection charge is levied for service initiation at a location where service did not exist previously. An OLU representative makes one trip when performing the service of an initial connection. Based on labor and transportation to and from the service territory, staff recommends initial connection charges of $18.60 for normal hours and $21.60 for after hours. Staff’s calculation is shown below</w:t>
      </w:r>
      <w:r>
        <w:t xml:space="preserve"> in Table 3-1.</w:t>
      </w:r>
    </w:p>
    <w:p w:rsidR="000571B7" w:rsidRDefault="000571B7" w:rsidP="000571B7">
      <w:pPr>
        <w:jc w:val="both"/>
      </w:pPr>
    </w:p>
    <w:p w:rsidR="000571B7" w:rsidRDefault="000571B7" w:rsidP="000571B7">
      <w:pPr>
        <w:jc w:val="both"/>
      </w:pPr>
    </w:p>
    <w:p w:rsidR="000571B7" w:rsidRDefault="000571B7" w:rsidP="000571B7">
      <w:pPr>
        <w:jc w:val="both"/>
      </w:pPr>
    </w:p>
    <w:p w:rsidR="000571B7" w:rsidRDefault="000571B7" w:rsidP="000571B7">
      <w:pPr>
        <w:jc w:val="both"/>
      </w:pPr>
    </w:p>
    <w:p w:rsidR="000571B7" w:rsidRDefault="000571B7" w:rsidP="000571B7">
      <w:pPr>
        <w:jc w:val="both"/>
      </w:pPr>
    </w:p>
    <w:p w:rsidR="000571B7" w:rsidRDefault="000571B7" w:rsidP="000571B7">
      <w:pPr>
        <w:jc w:val="both"/>
      </w:pPr>
    </w:p>
    <w:p w:rsidR="000571B7" w:rsidRDefault="000571B7" w:rsidP="000571B7">
      <w:pPr>
        <w:jc w:val="both"/>
      </w:pPr>
    </w:p>
    <w:p w:rsidR="000571B7" w:rsidRDefault="000571B7" w:rsidP="000571B7">
      <w:pPr>
        <w:jc w:val="both"/>
      </w:pPr>
    </w:p>
    <w:p w:rsidR="00DD59DE" w:rsidRDefault="00DD59DE" w:rsidP="000571B7">
      <w:pPr>
        <w:jc w:val="both"/>
      </w:pPr>
    </w:p>
    <w:p w:rsidR="00DD59DE" w:rsidRDefault="00DD59DE" w:rsidP="000571B7">
      <w:pPr>
        <w:jc w:val="both"/>
      </w:pPr>
    </w:p>
    <w:p w:rsidR="000571B7" w:rsidRDefault="000571B7" w:rsidP="000571B7">
      <w:pPr>
        <w:jc w:val="both"/>
      </w:pPr>
    </w:p>
    <w:p w:rsidR="0012001A" w:rsidRPr="00E876BA" w:rsidRDefault="0012001A" w:rsidP="0012001A">
      <w:pPr>
        <w:pStyle w:val="IssueSubsectionHeading"/>
        <w:spacing w:after="0"/>
        <w:jc w:val="center"/>
        <w:rPr>
          <w:i w:val="0"/>
          <w:szCs w:val="24"/>
        </w:rPr>
      </w:pPr>
      <w:r w:rsidRPr="00E876BA">
        <w:rPr>
          <w:i w:val="0"/>
          <w:szCs w:val="24"/>
        </w:rPr>
        <w:lastRenderedPageBreak/>
        <w:t>Table 3-1</w:t>
      </w:r>
    </w:p>
    <w:p w:rsidR="0012001A" w:rsidRDefault="0012001A" w:rsidP="0012001A">
      <w:pPr>
        <w:pStyle w:val="BodyText"/>
        <w:spacing w:after="0"/>
        <w:jc w:val="center"/>
        <w:rPr>
          <w:rFonts w:ascii="Arial" w:hAnsi="Arial" w:cs="Arial"/>
          <w:b/>
          <w:bCs/>
          <w:iCs/>
        </w:rPr>
      </w:pPr>
      <w:r w:rsidRPr="00E876BA">
        <w:rPr>
          <w:rFonts w:ascii="Arial" w:hAnsi="Arial" w:cs="Arial"/>
          <w:b/>
          <w:bCs/>
          <w:iCs/>
        </w:rPr>
        <w:t>In</w:t>
      </w:r>
      <w:r>
        <w:rPr>
          <w:rFonts w:ascii="Arial" w:hAnsi="Arial" w:cs="Arial"/>
          <w:b/>
          <w:bCs/>
          <w:iCs/>
        </w:rPr>
        <w:t>i</w:t>
      </w:r>
      <w:r w:rsidRPr="00E876BA">
        <w:rPr>
          <w:rFonts w:ascii="Arial" w:hAnsi="Arial" w:cs="Arial"/>
          <w:b/>
          <w:bCs/>
          <w:iCs/>
        </w:rPr>
        <w:t>tial Connection Charge Calculation</w:t>
      </w:r>
    </w:p>
    <w:tbl>
      <w:tblPr>
        <w:tblW w:w="10357"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1499"/>
        <w:gridCol w:w="3557"/>
        <w:gridCol w:w="1652"/>
      </w:tblGrid>
      <w:tr w:rsidR="000571B7" w:rsidTr="004432A7">
        <w:trPr>
          <w:trHeight w:val="321"/>
          <w:jc w:val="center"/>
        </w:trPr>
        <w:tc>
          <w:tcPr>
            <w:tcW w:w="3649" w:type="dxa"/>
            <w:tcBorders>
              <w:top w:val="single" w:sz="4" w:space="0" w:color="auto"/>
              <w:left w:val="single" w:sz="4" w:space="0" w:color="auto"/>
              <w:bottom w:val="single" w:sz="4" w:space="0" w:color="auto"/>
              <w:right w:val="single" w:sz="4" w:space="0" w:color="auto"/>
            </w:tcBorders>
            <w:vAlign w:val="bottom"/>
            <w:hideMark/>
          </w:tcPr>
          <w:p w:rsidR="000571B7" w:rsidRDefault="000571B7">
            <w:pPr>
              <w:jc w:val="center"/>
            </w:pPr>
            <w:r>
              <w:t>Activity</w:t>
            </w:r>
          </w:p>
        </w:tc>
        <w:tc>
          <w:tcPr>
            <w:tcW w:w="1499" w:type="dxa"/>
            <w:tcBorders>
              <w:top w:val="single" w:sz="4" w:space="0" w:color="auto"/>
              <w:left w:val="single" w:sz="4" w:space="0" w:color="auto"/>
              <w:bottom w:val="single" w:sz="4" w:space="0" w:color="auto"/>
              <w:right w:val="single" w:sz="4" w:space="0" w:color="auto"/>
            </w:tcBorders>
            <w:vAlign w:val="bottom"/>
            <w:hideMark/>
          </w:tcPr>
          <w:p w:rsidR="000571B7" w:rsidRDefault="000571B7">
            <w:pPr>
              <w:jc w:val="center"/>
            </w:pPr>
            <w:r>
              <w:t>Normal Hours Cost</w:t>
            </w:r>
          </w:p>
        </w:tc>
        <w:tc>
          <w:tcPr>
            <w:tcW w:w="3557" w:type="dxa"/>
            <w:tcBorders>
              <w:top w:val="single" w:sz="4" w:space="0" w:color="auto"/>
              <w:left w:val="single" w:sz="4" w:space="0" w:color="auto"/>
              <w:bottom w:val="single" w:sz="4" w:space="0" w:color="auto"/>
              <w:right w:val="single" w:sz="4" w:space="0" w:color="auto"/>
            </w:tcBorders>
            <w:vAlign w:val="bottom"/>
            <w:hideMark/>
          </w:tcPr>
          <w:p w:rsidR="000571B7" w:rsidRDefault="000571B7">
            <w:pPr>
              <w:jc w:val="center"/>
            </w:pPr>
            <w:r>
              <w:t>Activity</w:t>
            </w:r>
          </w:p>
        </w:tc>
        <w:tc>
          <w:tcPr>
            <w:tcW w:w="1652" w:type="dxa"/>
            <w:tcBorders>
              <w:top w:val="single" w:sz="4" w:space="0" w:color="auto"/>
              <w:left w:val="single" w:sz="4" w:space="0" w:color="auto"/>
              <w:bottom w:val="single" w:sz="4" w:space="0" w:color="auto"/>
              <w:right w:val="single" w:sz="4" w:space="0" w:color="auto"/>
            </w:tcBorders>
            <w:vAlign w:val="bottom"/>
            <w:hideMark/>
          </w:tcPr>
          <w:p w:rsidR="000571B7" w:rsidRDefault="000571B7">
            <w:pPr>
              <w:jc w:val="center"/>
            </w:pPr>
            <w:r>
              <w:t xml:space="preserve">After </w:t>
            </w:r>
          </w:p>
          <w:p w:rsidR="000571B7" w:rsidRDefault="000571B7">
            <w:pPr>
              <w:jc w:val="center"/>
            </w:pPr>
            <w:r>
              <w:t>Hours Cost</w:t>
            </w:r>
          </w:p>
        </w:tc>
      </w:tr>
      <w:tr w:rsidR="000571B7" w:rsidTr="004432A7">
        <w:trPr>
          <w:trHeight w:val="550"/>
          <w:jc w:val="center"/>
        </w:trPr>
        <w:tc>
          <w:tcPr>
            <w:tcW w:w="3649" w:type="dxa"/>
            <w:tcBorders>
              <w:top w:val="single" w:sz="4" w:space="0" w:color="auto"/>
              <w:left w:val="single" w:sz="4" w:space="0" w:color="auto"/>
              <w:bottom w:val="single" w:sz="4" w:space="0" w:color="auto"/>
              <w:right w:val="single" w:sz="4" w:space="0" w:color="auto"/>
            </w:tcBorders>
            <w:hideMark/>
          </w:tcPr>
          <w:p w:rsidR="000571B7" w:rsidRDefault="000571B7">
            <w:pPr>
              <w:jc w:val="both"/>
            </w:pPr>
            <w:r>
              <w:t>Labor (Administrative)</w:t>
            </w:r>
          </w:p>
          <w:p w:rsidR="000571B7" w:rsidRDefault="000571B7">
            <w:pPr>
              <w:jc w:val="both"/>
            </w:pPr>
            <w:r>
              <w:t>($18.00/hr x1/4hr)</w:t>
            </w:r>
          </w:p>
        </w:tc>
        <w:tc>
          <w:tcPr>
            <w:tcW w:w="1499" w:type="dxa"/>
            <w:tcBorders>
              <w:top w:val="single" w:sz="4" w:space="0" w:color="auto"/>
              <w:left w:val="single" w:sz="4" w:space="0" w:color="auto"/>
              <w:bottom w:val="single" w:sz="4" w:space="0" w:color="auto"/>
              <w:right w:val="single" w:sz="4" w:space="0" w:color="auto"/>
            </w:tcBorders>
          </w:tcPr>
          <w:p w:rsidR="000571B7" w:rsidRDefault="000571B7">
            <w:pPr>
              <w:jc w:val="right"/>
            </w:pPr>
          </w:p>
          <w:p w:rsidR="000571B7" w:rsidRDefault="000571B7">
            <w:pPr>
              <w:jc w:val="right"/>
            </w:pPr>
            <w:r>
              <w:t>$4.50</w:t>
            </w:r>
          </w:p>
        </w:tc>
        <w:tc>
          <w:tcPr>
            <w:tcW w:w="3557" w:type="dxa"/>
            <w:tcBorders>
              <w:top w:val="single" w:sz="4" w:space="0" w:color="auto"/>
              <w:left w:val="single" w:sz="4" w:space="0" w:color="auto"/>
              <w:bottom w:val="single" w:sz="4" w:space="0" w:color="auto"/>
              <w:right w:val="single" w:sz="4" w:space="0" w:color="auto"/>
            </w:tcBorders>
            <w:hideMark/>
          </w:tcPr>
          <w:p w:rsidR="000571B7" w:rsidRDefault="000571B7">
            <w:pPr>
              <w:jc w:val="both"/>
            </w:pPr>
            <w:r>
              <w:t>Labor (Administrative)</w:t>
            </w:r>
          </w:p>
          <w:p w:rsidR="000571B7" w:rsidRDefault="000571B7">
            <w:pPr>
              <w:jc w:val="both"/>
            </w:pPr>
            <w:r>
              <w:t>($18.00/hr x1/4hr)</w:t>
            </w:r>
          </w:p>
        </w:tc>
        <w:tc>
          <w:tcPr>
            <w:tcW w:w="1652" w:type="dxa"/>
            <w:tcBorders>
              <w:top w:val="single" w:sz="4" w:space="0" w:color="auto"/>
              <w:left w:val="single" w:sz="4" w:space="0" w:color="auto"/>
              <w:bottom w:val="single" w:sz="4" w:space="0" w:color="auto"/>
              <w:right w:val="single" w:sz="4" w:space="0" w:color="auto"/>
            </w:tcBorders>
          </w:tcPr>
          <w:p w:rsidR="000571B7" w:rsidRDefault="000571B7">
            <w:pPr>
              <w:jc w:val="right"/>
            </w:pPr>
          </w:p>
          <w:p w:rsidR="000571B7" w:rsidRDefault="000571B7">
            <w:pPr>
              <w:jc w:val="right"/>
            </w:pPr>
            <w:r>
              <w:t>$4.50</w:t>
            </w:r>
          </w:p>
        </w:tc>
      </w:tr>
      <w:tr w:rsidR="000571B7" w:rsidTr="004432A7">
        <w:trPr>
          <w:trHeight w:val="550"/>
          <w:jc w:val="center"/>
        </w:trPr>
        <w:tc>
          <w:tcPr>
            <w:tcW w:w="3649" w:type="dxa"/>
            <w:tcBorders>
              <w:top w:val="single" w:sz="4" w:space="0" w:color="auto"/>
              <w:left w:val="single" w:sz="4" w:space="0" w:color="auto"/>
              <w:bottom w:val="single" w:sz="4" w:space="0" w:color="auto"/>
              <w:right w:val="single" w:sz="4" w:space="0" w:color="auto"/>
            </w:tcBorders>
            <w:hideMark/>
          </w:tcPr>
          <w:p w:rsidR="000571B7" w:rsidRDefault="000571B7">
            <w:pPr>
              <w:jc w:val="both"/>
            </w:pPr>
            <w:r>
              <w:t>Labor (Field)</w:t>
            </w:r>
          </w:p>
          <w:p w:rsidR="000571B7" w:rsidRDefault="000571B7">
            <w:pPr>
              <w:jc w:val="both"/>
            </w:pPr>
            <w:r>
              <w:t>($17.25/hr x 1/3 hr)</w:t>
            </w:r>
          </w:p>
        </w:tc>
        <w:tc>
          <w:tcPr>
            <w:tcW w:w="1499" w:type="dxa"/>
            <w:tcBorders>
              <w:top w:val="single" w:sz="4" w:space="0" w:color="auto"/>
              <w:left w:val="single" w:sz="4" w:space="0" w:color="auto"/>
              <w:bottom w:val="single" w:sz="4" w:space="0" w:color="auto"/>
              <w:right w:val="single" w:sz="4" w:space="0" w:color="auto"/>
            </w:tcBorders>
          </w:tcPr>
          <w:p w:rsidR="000571B7" w:rsidRDefault="000571B7">
            <w:pPr>
              <w:jc w:val="right"/>
            </w:pPr>
          </w:p>
          <w:p w:rsidR="000571B7" w:rsidRDefault="000571B7">
            <w:pPr>
              <w:jc w:val="right"/>
            </w:pPr>
            <w:r>
              <w:t>$5.75</w:t>
            </w:r>
          </w:p>
        </w:tc>
        <w:tc>
          <w:tcPr>
            <w:tcW w:w="3557" w:type="dxa"/>
            <w:tcBorders>
              <w:top w:val="single" w:sz="4" w:space="0" w:color="auto"/>
              <w:left w:val="single" w:sz="4" w:space="0" w:color="auto"/>
              <w:bottom w:val="single" w:sz="4" w:space="0" w:color="auto"/>
              <w:right w:val="single" w:sz="4" w:space="0" w:color="auto"/>
            </w:tcBorders>
            <w:hideMark/>
          </w:tcPr>
          <w:p w:rsidR="000571B7" w:rsidRDefault="000571B7">
            <w:pPr>
              <w:jc w:val="both"/>
            </w:pPr>
            <w:r>
              <w:t>Labor (Field)</w:t>
            </w:r>
          </w:p>
          <w:p w:rsidR="000571B7" w:rsidRDefault="000571B7">
            <w:pPr>
              <w:jc w:val="both"/>
            </w:pPr>
            <w:r>
              <w:t>($25.88/hr x 1/3 hr)</w:t>
            </w:r>
          </w:p>
        </w:tc>
        <w:tc>
          <w:tcPr>
            <w:tcW w:w="1652" w:type="dxa"/>
            <w:tcBorders>
              <w:top w:val="single" w:sz="4" w:space="0" w:color="auto"/>
              <w:left w:val="single" w:sz="4" w:space="0" w:color="auto"/>
              <w:bottom w:val="single" w:sz="4" w:space="0" w:color="auto"/>
              <w:right w:val="single" w:sz="4" w:space="0" w:color="auto"/>
            </w:tcBorders>
          </w:tcPr>
          <w:p w:rsidR="000571B7" w:rsidRDefault="000571B7">
            <w:pPr>
              <w:jc w:val="right"/>
            </w:pPr>
          </w:p>
          <w:p w:rsidR="000571B7" w:rsidRDefault="000571B7">
            <w:pPr>
              <w:jc w:val="right"/>
            </w:pPr>
            <w:r>
              <w:t>$8.63</w:t>
            </w:r>
          </w:p>
        </w:tc>
      </w:tr>
      <w:tr w:rsidR="000571B7" w:rsidTr="004432A7">
        <w:trPr>
          <w:trHeight w:val="550"/>
          <w:jc w:val="center"/>
        </w:trPr>
        <w:tc>
          <w:tcPr>
            <w:tcW w:w="3649" w:type="dxa"/>
            <w:tcBorders>
              <w:top w:val="single" w:sz="4" w:space="0" w:color="auto"/>
              <w:left w:val="single" w:sz="4" w:space="0" w:color="auto"/>
              <w:bottom w:val="single" w:sz="4" w:space="0" w:color="auto"/>
              <w:right w:val="single" w:sz="4" w:space="0" w:color="auto"/>
            </w:tcBorders>
            <w:hideMark/>
          </w:tcPr>
          <w:p w:rsidR="000571B7" w:rsidRDefault="000571B7">
            <w:pPr>
              <w:jc w:val="both"/>
            </w:pPr>
            <w:r>
              <w:t xml:space="preserve">Transportation </w:t>
            </w:r>
          </w:p>
          <w:p w:rsidR="000571B7" w:rsidRDefault="000571B7">
            <w:r>
              <w:t>($0.535/mile x 14 miles-to/from)</w:t>
            </w:r>
          </w:p>
        </w:tc>
        <w:tc>
          <w:tcPr>
            <w:tcW w:w="1499" w:type="dxa"/>
            <w:tcBorders>
              <w:top w:val="single" w:sz="4" w:space="0" w:color="auto"/>
              <w:left w:val="single" w:sz="4" w:space="0" w:color="auto"/>
              <w:bottom w:val="single" w:sz="4" w:space="0" w:color="auto"/>
              <w:right w:val="single" w:sz="4" w:space="0" w:color="auto"/>
            </w:tcBorders>
          </w:tcPr>
          <w:p w:rsidR="000571B7" w:rsidRDefault="000571B7">
            <w:pPr>
              <w:jc w:val="right"/>
            </w:pPr>
          </w:p>
          <w:p w:rsidR="000571B7" w:rsidRDefault="000571B7">
            <w:pPr>
              <w:jc w:val="right"/>
            </w:pPr>
            <w:r>
              <w:t>$7.49</w:t>
            </w:r>
          </w:p>
        </w:tc>
        <w:tc>
          <w:tcPr>
            <w:tcW w:w="3557" w:type="dxa"/>
            <w:tcBorders>
              <w:top w:val="single" w:sz="4" w:space="0" w:color="auto"/>
              <w:left w:val="single" w:sz="4" w:space="0" w:color="auto"/>
              <w:bottom w:val="single" w:sz="4" w:space="0" w:color="auto"/>
              <w:right w:val="single" w:sz="4" w:space="0" w:color="auto"/>
            </w:tcBorders>
            <w:hideMark/>
          </w:tcPr>
          <w:p w:rsidR="000571B7" w:rsidRDefault="000571B7">
            <w:pPr>
              <w:jc w:val="both"/>
            </w:pPr>
            <w:r>
              <w:t xml:space="preserve">Transportation </w:t>
            </w:r>
          </w:p>
          <w:p w:rsidR="000571B7" w:rsidRDefault="000571B7">
            <w:r>
              <w:t>($0.535/mile x 14 miles-to/from)</w:t>
            </w:r>
          </w:p>
        </w:tc>
        <w:tc>
          <w:tcPr>
            <w:tcW w:w="1652" w:type="dxa"/>
            <w:tcBorders>
              <w:top w:val="single" w:sz="4" w:space="0" w:color="auto"/>
              <w:left w:val="single" w:sz="4" w:space="0" w:color="auto"/>
              <w:bottom w:val="single" w:sz="4" w:space="0" w:color="auto"/>
              <w:right w:val="single" w:sz="4" w:space="0" w:color="auto"/>
            </w:tcBorders>
          </w:tcPr>
          <w:p w:rsidR="000571B7" w:rsidRDefault="000571B7">
            <w:pPr>
              <w:jc w:val="right"/>
            </w:pPr>
          </w:p>
          <w:p w:rsidR="000571B7" w:rsidRDefault="000571B7">
            <w:pPr>
              <w:jc w:val="right"/>
            </w:pPr>
            <w:r>
              <w:t>$7.49</w:t>
            </w:r>
          </w:p>
        </w:tc>
      </w:tr>
      <w:tr w:rsidR="000571B7" w:rsidTr="004432A7">
        <w:trPr>
          <w:trHeight w:val="343"/>
          <w:jc w:val="center"/>
        </w:trPr>
        <w:tc>
          <w:tcPr>
            <w:tcW w:w="3649" w:type="dxa"/>
            <w:tcBorders>
              <w:top w:val="single" w:sz="4" w:space="0" w:color="auto"/>
              <w:left w:val="single" w:sz="4" w:space="0" w:color="auto"/>
              <w:bottom w:val="single" w:sz="4" w:space="0" w:color="auto"/>
              <w:right w:val="single" w:sz="4" w:space="0" w:color="auto"/>
            </w:tcBorders>
            <w:hideMark/>
          </w:tcPr>
          <w:p w:rsidR="000571B7" w:rsidRDefault="000571B7">
            <w:pPr>
              <w:jc w:val="both"/>
            </w:pPr>
            <w:r>
              <w:t>Mark up for RAF (4.5%)</w:t>
            </w:r>
          </w:p>
        </w:tc>
        <w:tc>
          <w:tcPr>
            <w:tcW w:w="1499" w:type="dxa"/>
            <w:tcBorders>
              <w:top w:val="single" w:sz="4" w:space="0" w:color="auto"/>
              <w:left w:val="single" w:sz="4" w:space="0" w:color="auto"/>
              <w:bottom w:val="single" w:sz="4" w:space="0" w:color="auto"/>
              <w:right w:val="single" w:sz="4" w:space="0" w:color="auto"/>
            </w:tcBorders>
            <w:hideMark/>
          </w:tcPr>
          <w:p w:rsidR="000571B7" w:rsidRDefault="000571B7">
            <w:pPr>
              <w:jc w:val="right"/>
            </w:pPr>
            <w:r>
              <w:t>$0.80</w:t>
            </w:r>
          </w:p>
        </w:tc>
        <w:tc>
          <w:tcPr>
            <w:tcW w:w="3557" w:type="dxa"/>
            <w:tcBorders>
              <w:top w:val="single" w:sz="4" w:space="0" w:color="auto"/>
              <w:left w:val="single" w:sz="4" w:space="0" w:color="auto"/>
              <w:bottom w:val="single" w:sz="4" w:space="0" w:color="auto"/>
              <w:right w:val="single" w:sz="4" w:space="0" w:color="auto"/>
            </w:tcBorders>
            <w:hideMark/>
          </w:tcPr>
          <w:p w:rsidR="000571B7" w:rsidRDefault="000571B7">
            <w:pPr>
              <w:jc w:val="both"/>
            </w:pPr>
            <w:r>
              <w:t>Mark up for RAF (4.5%)</w:t>
            </w:r>
          </w:p>
        </w:tc>
        <w:tc>
          <w:tcPr>
            <w:tcW w:w="1652" w:type="dxa"/>
            <w:tcBorders>
              <w:top w:val="single" w:sz="4" w:space="0" w:color="auto"/>
              <w:left w:val="single" w:sz="4" w:space="0" w:color="auto"/>
              <w:bottom w:val="single" w:sz="4" w:space="0" w:color="auto"/>
              <w:right w:val="single" w:sz="4" w:space="0" w:color="auto"/>
            </w:tcBorders>
            <w:hideMark/>
          </w:tcPr>
          <w:p w:rsidR="000571B7" w:rsidRDefault="000571B7">
            <w:pPr>
              <w:jc w:val="right"/>
            </w:pPr>
            <w:r>
              <w:t>$0.93</w:t>
            </w:r>
          </w:p>
        </w:tc>
      </w:tr>
      <w:tr w:rsidR="000571B7" w:rsidTr="004432A7">
        <w:trPr>
          <w:trHeight w:val="348"/>
          <w:jc w:val="center"/>
        </w:trPr>
        <w:tc>
          <w:tcPr>
            <w:tcW w:w="3649" w:type="dxa"/>
            <w:tcBorders>
              <w:top w:val="single" w:sz="4" w:space="0" w:color="auto"/>
              <w:left w:val="single" w:sz="4" w:space="0" w:color="auto"/>
              <w:bottom w:val="single" w:sz="4" w:space="0" w:color="auto"/>
              <w:right w:val="single" w:sz="4" w:space="0" w:color="auto"/>
            </w:tcBorders>
            <w:hideMark/>
          </w:tcPr>
          <w:p w:rsidR="000571B7" w:rsidRDefault="000571B7">
            <w:pPr>
              <w:jc w:val="both"/>
            </w:pPr>
            <w:r>
              <w:t>Total</w:t>
            </w:r>
          </w:p>
        </w:tc>
        <w:tc>
          <w:tcPr>
            <w:tcW w:w="1499" w:type="dxa"/>
            <w:tcBorders>
              <w:top w:val="single" w:sz="4" w:space="0" w:color="auto"/>
              <w:left w:val="single" w:sz="4" w:space="0" w:color="auto"/>
              <w:bottom w:val="single" w:sz="4" w:space="0" w:color="auto"/>
              <w:right w:val="single" w:sz="4" w:space="0" w:color="auto"/>
            </w:tcBorders>
            <w:hideMark/>
          </w:tcPr>
          <w:p w:rsidR="000571B7" w:rsidRDefault="000571B7">
            <w:pPr>
              <w:jc w:val="right"/>
            </w:pPr>
            <w:r>
              <w:t>$18.54</w:t>
            </w:r>
          </w:p>
        </w:tc>
        <w:tc>
          <w:tcPr>
            <w:tcW w:w="3557" w:type="dxa"/>
            <w:tcBorders>
              <w:top w:val="single" w:sz="4" w:space="0" w:color="auto"/>
              <w:left w:val="single" w:sz="4" w:space="0" w:color="auto"/>
              <w:bottom w:val="single" w:sz="4" w:space="0" w:color="auto"/>
              <w:right w:val="single" w:sz="4" w:space="0" w:color="auto"/>
            </w:tcBorders>
            <w:hideMark/>
          </w:tcPr>
          <w:p w:rsidR="000571B7" w:rsidRDefault="000571B7">
            <w:pPr>
              <w:jc w:val="both"/>
            </w:pPr>
            <w:r>
              <w:t>Total</w:t>
            </w:r>
          </w:p>
        </w:tc>
        <w:tc>
          <w:tcPr>
            <w:tcW w:w="1652" w:type="dxa"/>
            <w:tcBorders>
              <w:top w:val="single" w:sz="4" w:space="0" w:color="auto"/>
              <w:left w:val="single" w:sz="4" w:space="0" w:color="auto"/>
              <w:bottom w:val="single" w:sz="4" w:space="0" w:color="auto"/>
              <w:right w:val="single" w:sz="4" w:space="0" w:color="auto"/>
            </w:tcBorders>
            <w:hideMark/>
          </w:tcPr>
          <w:p w:rsidR="000571B7" w:rsidRDefault="000571B7">
            <w:pPr>
              <w:jc w:val="right"/>
            </w:pPr>
            <w:r>
              <w:t>$21.55</w:t>
            </w:r>
          </w:p>
        </w:tc>
      </w:tr>
    </w:tbl>
    <w:p w:rsidR="00940FC7" w:rsidRDefault="00940FC7" w:rsidP="00940FC7">
      <w:pPr>
        <w:jc w:val="both"/>
        <w:rPr>
          <w:sz w:val="20"/>
          <w:szCs w:val="20"/>
        </w:rPr>
      </w:pPr>
      <w:r w:rsidRPr="003A20E9">
        <w:rPr>
          <w:sz w:val="20"/>
          <w:szCs w:val="20"/>
        </w:rPr>
        <w:t>Source: Utility’s cost justification documentation</w:t>
      </w:r>
      <w:r>
        <w:rPr>
          <w:sz w:val="20"/>
          <w:szCs w:val="20"/>
        </w:rPr>
        <w:t>.</w:t>
      </w:r>
    </w:p>
    <w:p w:rsidR="008544AE" w:rsidRPr="00E876BA" w:rsidRDefault="008544AE" w:rsidP="0012001A">
      <w:pPr>
        <w:pStyle w:val="BodyText"/>
        <w:spacing w:after="0"/>
        <w:jc w:val="center"/>
        <w:rPr>
          <w:rFonts w:ascii="Arial" w:hAnsi="Arial" w:cs="Arial"/>
          <w:b/>
          <w:bCs/>
          <w:iCs/>
        </w:rPr>
      </w:pPr>
    </w:p>
    <w:p w:rsidR="0012001A" w:rsidRPr="003A20E9" w:rsidRDefault="0012001A" w:rsidP="0012001A">
      <w:pPr>
        <w:jc w:val="both"/>
        <w:rPr>
          <w:bCs/>
          <w:iCs/>
          <w:szCs w:val="28"/>
        </w:rPr>
      </w:pPr>
      <w:r w:rsidRPr="003A20E9">
        <w:rPr>
          <w:rFonts w:ascii="Arial" w:hAnsi="Arial" w:cs="Arial"/>
          <w:b/>
          <w:bCs/>
          <w:iCs/>
          <w:szCs w:val="28"/>
        </w:rPr>
        <w:t>Normal Reconnection Charge</w:t>
      </w:r>
    </w:p>
    <w:p w:rsidR="0012001A" w:rsidRDefault="0012001A" w:rsidP="0012001A">
      <w:pPr>
        <w:jc w:val="both"/>
        <w:rPr>
          <w:rFonts w:ascii="Arial" w:hAnsi="Arial" w:cs="Arial"/>
          <w:b/>
          <w:bCs/>
          <w:iCs/>
          <w:szCs w:val="28"/>
        </w:rPr>
      </w:pPr>
      <w:r>
        <w:rPr>
          <w:bCs/>
          <w:iCs/>
          <w:szCs w:val="28"/>
        </w:rPr>
        <w:t xml:space="preserve">A normal reconnection charge is levied for the transfer of service to a new customer account at a previously served location, or reconnection of service subsequent to a customer requested disconnection. A normal reconnection requires two trips, which includes one to turn service on and the other to turn service off. </w:t>
      </w:r>
    </w:p>
    <w:p w:rsidR="0012001A" w:rsidRDefault="0012001A" w:rsidP="0012001A">
      <w:pPr>
        <w:pStyle w:val="BodyText"/>
        <w:spacing w:after="0"/>
        <w:rPr>
          <w:u w:val="single"/>
        </w:rPr>
      </w:pPr>
    </w:p>
    <w:p w:rsidR="0012001A" w:rsidRDefault="0012001A" w:rsidP="0012001A">
      <w:pPr>
        <w:jc w:val="both"/>
        <w:rPr>
          <w:bCs/>
          <w:iCs/>
          <w:szCs w:val="28"/>
        </w:rPr>
      </w:pPr>
      <w:r>
        <w:rPr>
          <w:bCs/>
          <w:iCs/>
          <w:szCs w:val="28"/>
        </w:rPr>
        <w:t>Based on labor and transportation to and from the service territory, staff recommends that the normal reconnection charge should be $29.40 for normal hours and $33.90 for after hours. Staff’s calculations are shown below in Table 3-2.</w:t>
      </w:r>
    </w:p>
    <w:p w:rsidR="0012001A" w:rsidRDefault="0012001A" w:rsidP="0012001A">
      <w:pPr>
        <w:jc w:val="center"/>
        <w:rPr>
          <w:rFonts w:ascii="Arial" w:hAnsi="Arial" w:cs="Arial"/>
          <w:b/>
          <w:bCs/>
          <w:iCs/>
        </w:rPr>
      </w:pPr>
    </w:p>
    <w:p w:rsidR="00635858" w:rsidRDefault="00635858" w:rsidP="0012001A">
      <w:pPr>
        <w:jc w:val="center"/>
        <w:rPr>
          <w:rFonts w:ascii="Arial" w:hAnsi="Arial" w:cs="Arial"/>
          <w:b/>
          <w:bCs/>
          <w:iCs/>
        </w:rPr>
      </w:pPr>
    </w:p>
    <w:p w:rsidR="0012001A" w:rsidRDefault="0012001A" w:rsidP="0012001A">
      <w:pPr>
        <w:jc w:val="center"/>
        <w:rPr>
          <w:rFonts w:ascii="Arial" w:hAnsi="Arial" w:cs="Arial"/>
          <w:b/>
          <w:bCs/>
          <w:iCs/>
        </w:rPr>
      </w:pPr>
      <w:r>
        <w:rPr>
          <w:rFonts w:ascii="Arial" w:hAnsi="Arial" w:cs="Arial"/>
          <w:b/>
          <w:bCs/>
          <w:iCs/>
        </w:rPr>
        <w:t>Table 3-2</w:t>
      </w:r>
    </w:p>
    <w:p w:rsidR="0012001A" w:rsidRDefault="0012001A" w:rsidP="0012001A">
      <w:pPr>
        <w:jc w:val="center"/>
        <w:rPr>
          <w:rFonts w:ascii="Arial" w:hAnsi="Arial" w:cs="Arial"/>
          <w:b/>
          <w:bCs/>
          <w:iCs/>
        </w:rPr>
      </w:pPr>
      <w:r>
        <w:rPr>
          <w:rFonts w:ascii="Arial" w:hAnsi="Arial" w:cs="Arial"/>
          <w:b/>
          <w:bCs/>
          <w:iCs/>
        </w:rPr>
        <w:t>Normal Reconnection Charge Calculation</w:t>
      </w:r>
    </w:p>
    <w:tbl>
      <w:tblPr>
        <w:tblW w:w="10398"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1334"/>
        <w:gridCol w:w="3767"/>
        <w:gridCol w:w="1461"/>
      </w:tblGrid>
      <w:tr w:rsidR="00865FD1" w:rsidTr="00865FD1">
        <w:trPr>
          <w:trHeight w:val="335"/>
          <w:jc w:val="center"/>
        </w:trPr>
        <w:tc>
          <w:tcPr>
            <w:tcW w:w="3836" w:type="dxa"/>
            <w:tcBorders>
              <w:top w:val="single" w:sz="4" w:space="0" w:color="auto"/>
              <w:left w:val="single" w:sz="4" w:space="0" w:color="auto"/>
              <w:bottom w:val="single" w:sz="4" w:space="0" w:color="auto"/>
              <w:right w:val="single" w:sz="4" w:space="0" w:color="auto"/>
            </w:tcBorders>
            <w:vAlign w:val="bottom"/>
            <w:hideMark/>
          </w:tcPr>
          <w:p w:rsidR="00865FD1" w:rsidRDefault="00865FD1">
            <w:pPr>
              <w:jc w:val="center"/>
            </w:pPr>
            <w:r>
              <w:t>Activity</w:t>
            </w:r>
          </w:p>
        </w:tc>
        <w:tc>
          <w:tcPr>
            <w:tcW w:w="1334" w:type="dxa"/>
            <w:tcBorders>
              <w:top w:val="single" w:sz="4" w:space="0" w:color="auto"/>
              <w:left w:val="single" w:sz="4" w:space="0" w:color="auto"/>
              <w:bottom w:val="single" w:sz="4" w:space="0" w:color="auto"/>
              <w:right w:val="single" w:sz="4" w:space="0" w:color="auto"/>
            </w:tcBorders>
            <w:vAlign w:val="bottom"/>
            <w:hideMark/>
          </w:tcPr>
          <w:p w:rsidR="00865FD1" w:rsidRDefault="00865FD1">
            <w:pPr>
              <w:jc w:val="center"/>
            </w:pPr>
            <w:r>
              <w:t>Normal Hours Cost</w:t>
            </w:r>
          </w:p>
        </w:tc>
        <w:tc>
          <w:tcPr>
            <w:tcW w:w="3767" w:type="dxa"/>
            <w:tcBorders>
              <w:top w:val="single" w:sz="4" w:space="0" w:color="auto"/>
              <w:left w:val="single" w:sz="4" w:space="0" w:color="auto"/>
              <w:bottom w:val="single" w:sz="4" w:space="0" w:color="auto"/>
              <w:right w:val="single" w:sz="4" w:space="0" w:color="auto"/>
            </w:tcBorders>
            <w:vAlign w:val="bottom"/>
            <w:hideMark/>
          </w:tcPr>
          <w:p w:rsidR="00865FD1" w:rsidRDefault="00865FD1">
            <w:pPr>
              <w:jc w:val="center"/>
            </w:pPr>
            <w:r>
              <w:t>Activity</w:t>
            </w:r>
          </w:p>
        </w:tc>
        <w:tc>
          <w:tcPr>
            <w:tcW w:w="1461" w:type="dxa"/>
            <w:tcBorders>
              <w:top w:val="single" w:sz="4" w:space="0" w:color="auto"/>
              <w:left w:val="single" w:sz="4" w:space="0" w:color="auto"/>
              <w:bottom w:val="single" w:sz="4" w:space="0" w:color="auto"/>
              <w:right w:val="single" w:sz="4" w:space="0" w:color="auto"/>
            </w:tcBorders>
            <w:vAlign w:val="bottom"/>
            <w:hideMark/>
          </w:tcPr>
          <w:p w:rsidR="00865FD1" w:rsidRDefault="00865FD1">
            <w:pPr>
              <w:jc w:val="center"/>
            </w:pPr>
            <w:r>
              <w:t>After</w:t>
            </w:r>
          </w:p>
          <w:p w:rsidR="00865FD1" w:rsidRDefault="00865FD1">
            <w:pPr>
              <w:jc w:val="center"/>
            </w:pPr>
            <w:r>
              <w:t xml:space="preserve"> Hours Cost</w:t>
            </w:r>
          </w:p>
        </w:tc>
      </w:tr>
      <w:tr w:rsidR="00865FD1" w:rsidTr="00865FD1">
        <w:trPr>
          <w:trHeight w:val="571"/>
          <w:jc w:val="center"/>
        </w:trPr>
        <w:tc>
          <w:tcPr>
            <w:tcW w:w="3836" w:type="dxa"/>
            <w:tcBorders>
              <w:top w:val="single" w:sz="4" w:space="0" w:color="auto"/>
              <w:left w:val="single" w:sz="4" w:space="0" w:color="auto"/>
              <w:bottom w:val="single" w:sz="4" w:space="0" w:color="auto"/>
              <w:right w:val="single" w:sz="4" w:space="0" w:color="auto"/>
            </w:tcBorders>
            <w:hideMark/>
          </w:tcPr>
          <w:p w:rsidR="00865FD1" w:rsidRDefault="00865FD1">
            <w:pPr>
              <w:jc w:val="both"/>
            </w:pPr>
            <w:r>
              <w:t>Labor (Administrative)</w:t>
            </w:r>
          </w:p>
          <w:p w:rsidR="00865FD1" w:rsidRDefault="00865FD1">
            <w:pPr>
              <w:jc w:val="both"/>
            </w:pPr>
            <w:r>
              <w:t>($18.00/hr x1/4hr)</w:t>
            </w:r>
          </w:p>
        </w:tc>
        <w:tc>
          <w:tcPr>
            <w:tcW w:w="1334" w:type="dxa"/>
            <w:tcBorders>
              <w:top w:val="single" w:sz="4" w:space="0" w:color="auto"/>
              <w:left w:val="single" w:sz="4" w:space="0" w:color="auto"/>
              <w:bottom w:val="single" w:sz="4" w:space="0" w:color="auto"/>
              <w:right w:val="single" w:sz="4" w:space="0" w:color="auto"/>
            </w:tcBorders>
          </w:tcPr>
          <w:p w:rsidR="00865FD1" w:rsidRDefault="00865FD1">
            <w:pPr>
              <w:jc w:val="right"/>
            </w:pPr>
          </w:p>
          <w:p w:rsidR="00865FD1" w:rsidRDefault="00865FD1">
            <w:pPr>
              <w:jc w:val="right"/>
            </w:pPr>
            <w:r>
              <w:t>$4.50</w:t>
            </w:r>
          </w:p>
        </w:tc>
        <w:tc>
          <w:tcPr>
            <w:tcW w:w="3767" w:type="dxa"/>
            <w:tcBorders>
              <w:top w:val="single" w:sz="4" w:space="0" w:color="auto"/>
              <w:left w:val="single" w:sz="4" w:space="0" w:color="auto"/>
              <w:bottom w:val="single" w:sz="4" w:space="0" w:color="auto"/>
              <w:right w:val="single" w:sz="4" w:space="0" w:color="auto"/>
            </w:tcBorders>
            <w:hideMark/>
          </w:tcPr>
          <w:p w:rsidR="00865FD1" w:rsidRDefault="00865FD1">
            <w:pPr>
              <w:jc w:val="both"/>
            </w:pPr>
            <w:r>
              <w:t>Labor (Administrative)</w:t>
            </w:r>
          </w:p>
          <w:p w:rsidR="00865FD1" w:rsidRDefault="00865FD1">
            <w:pPr>
              <w:jc w:val="both"/>
            </w:pPr>
            <w:r>
              <w:t>($18.00/hr x1/4hr)</w:t>
            </w:r>
          </w:p>
        </w:tc>
        <w:tc>
          <w:tcPr>
            <w:tcW w:w="1461" w:type="dxa"/>
            <w:tcBorders>
              <w:top w:val="single" w:sz="4" w:space="0" w:color="auto"/>
              <w:left w:val="single" w:sz="4" w:space="0" w:color="auto"/>
              <w:bottom w:val="single" w:sz="4" w:space="0" w:color="auto"/>
              <w:right w:val="single" w:sz="4" w:space="0" w:color="auto"/>
            </w:tcBorders>
          </w:tcPr>
          <w:p w:rsidR="00865FD1" w:rsidRDefault="00865FD1">
            <w:pPr>
              <w:jc w:val="right"/>
            </w:pPr>
          </w:p>
          <w:p w:rsidR="00865FD1" w:rsidRDefault="00865FD1">
            <w:pPr>
              <w:jc w:val="right"/>
            </w:pPr>
            <w:r>
              <w:t>$4.50</w:t>
            </w:r>
          </w:p>
        </w:tc>
      </w:tr>
      <w:tr w:rsidR="00865FD1" w:rsidTr="00865FD1">
        <w:trPr>
          <w:trHeight w:val="571"/>
          <w:jc w:val="center"/>
        </w:trPr>
        <w:tc>
          <w:tcPr>
            <w:tcW w:w="3836" w:type="dxa"/>
            <w:tcBorders>
              <w:top w:val="single" w:sz="4" w:space="0" w:color="auto"/>
              <w:left w:val="single" w:sz="4" w:space="0" w:color="auto"/>
              <w:bottom w:val="single" w:sz="4" w:space="0" w:color="auto"/>
              <w:right w:val="single" w:sz="4" w:space="0" w:color="auto"/>
            </w:tcBorders>
            <w:hideMark/>
          </w:tcPr>
          <w:p w:rsidR="00865FD1" w:rsidRDefault="00865FD1">
            <w:pPr>
              <w:jc w:val="both"/>
            </w:pPr>
            <w:r>
              <w:t>Labor (Field)</w:t>
            </w:r>
          </w:p>
          <w:p w:rsidR="00865FD1" w:rsidRDefault="00865FD1">
            <w:pPr>
              <w:jc w:val="both"/>
            </w:pPr>
            <w:r>
              <w:t>($17.25/hr x 1/4 hr x 2)</w:t>
            </w:r>
          </w:p>
        </w:tc>
        <w:tc>
          <w:tcPr>
            <w:tcW w:w="1334" w:type="dxa"/>
            <w:tcBorders>
              <w:top w:val="single" w:sz="4" w:space="0" w:color="auto"/>
              <w:left w:val="single" w:sz="4" w:space="0" w:color="auto"/>
              <w:bottom w:val="single" w:sz="4" w:space="0" w:color="auto"/>
              <w:right w:val="single" w:sz="4" w:space="0" w:color="auto"/>
            </w:tcBorders>
          </w:tcPr>
          <w:p w:rsidR="00865FD1" w:rsidRDefault="00865FD1">
            <w:pPr>
              <w:jc w:val="right"/>
            </w:pPr>
          </w:p>
          <w:p w:rsidR="00865FD1" w:rsidRDefault="00865FD1">
            <w:pPr>
              <w:jc w:val="right"/>
            </w:pPr>
            <w:r>
              <w:t>$8.63</w:t>
            </w:r>
          </w:p>
        </w:tc>
        <w:tc>
          <w:tcPr>
            <w:tcW w:w="3767" w:type="dxa"/>
            <w:tcBorders>
              <w:top w:val="single" w:sz="4" w:space="0" w:color="auto"/>
              <w:left w:val="single" w:sz="4" w:space="0" w:color="auto"/>
              <w:bottom w:val="single" w:sz="4" w:space="0" w:color="auto"/>
              <w:right w:val="single" w:sz="4" w:space="0" w:color="auto"/>
            </w:tcBorders>
            <w:hideMark/>
          </w:tcPr>
          <w:p w:rsidR="00865FD1" w:rsidRDefault="00865FD1">
            <w:pPr>
              <w:jc w:val="both"/>
            </w:pPr>
            <w:r>
              <w:t>Labor (Field)</w:t>
            </w:r>
          </w:p>
          <w:p w:rsidR="00865FD1" w:rsidRDefault="00865FD1">
            <w:pPr>
              <w:jc w:val="both"/>
            </w:pPr>
            <w:r>
              <w:t xml:space="preserve"> ($25.88/hr x 1/4hr x 2)</w:t>
            </w:r>
          </w:p>
        </w:tc>
        <w:tc>
          <w:tcPr>
            <w:tcW w:w="1461" w:type="dxa"/>
            <w:tcBorders>
              <w:top w:val="single" w:sz="4" w:space="0" w:color="auto"/>
              <w:left w:val="single" w:sz="4" w:space="0" w:color="auto"/>
              <w:bottom w:val="single" w:sz="4" w:space="0" w:color="auto"/>
              <w:right w:val="single" w:sz="4" w:space="0" w:color="auto"/>
            </w:tcBorders>
          </w:tcPr>
          <w:p w:rsidR="00865FD1" w:rsidRDefault="00865FD1">
            <w:pPr>
              <w:jc w:val="right"/>
            </w:pPr>
          </w:p>
          <w:p w:rsidR="00865FD1" w:rsidRDefault="00865FD1">
            <w:pPr>
              <w:jc w:val="right"/>
            </w:pPr>
            <w:r>
              <w:t>$12.94</w:t>
            </w:r>
          </w:p>
        </w:tc>
      </w:tr>
      <w:tr w:rsidR="00865FD1" w:rsidTr="00865FD1">
        <w:trPr>
          <w:trHeight w:val="578"/>
          <w:jc w:val="center"/>
        </w:trPr>
        <w:tc>
          <w:tcPr>
            <w:tcW w:w="3836" w:type="dxa"/>
            <w:tcBorders>
              <w:top w:val="single" w:sz="4" w:space="0" w:color="auto"/>
              <w:left w:val="single" w:sz="4" w:space="0" w:color="auto"/>
              <w:bottom w:val="single" w:sz="4" w:space="0" w:color="auto"/>
              <w:right w:val="single" w:sz="4" w:space="0" w:color="auto"/>
            </w:tcBorders>
            <w:hideMark/>
          </w:tcPr>
          <w:p w:rsidR="00865FD1" w:rsidRDefault="00865FD1">
            <w:pPr>
              <w:jc w:val="both"/>
            </w:pPr>
            <w:r>
              <w:t xml:space="preserve">Transportation </w:t>
            </w:r>
          </w:p>
          <w:p w:rsidR="00865FD1" w:rsidRDefault="00865FD1">
            <w:r>
              <w:t>($0.535/mile x 14 miles-to/from x 2)</w:t>
            </w:r>
          </w:p>
        </w:tc>
        <w:tc>
          <w:tcPr>
            <w:tcW w:w="1334" w:type="dxa"/>
            <w:tcBorders>
              <w:top w:val="single" w:sz="4" w:space="0" w:color="auto"/>
              <w:left w:val="single" w:sz="4" w:space="0" w:color="auto"/>
              <w:bottom w:val="single" w:sz="4" w:space="0" w:color="auto"/>
              <w:right w:val="single" w:sz="4" w:space="0" w:color="auto"/>
            </w:tcBorders>
          </w:tcPr>
          <w:p w:rsidR="00865FD1" w:rsidRDefault="00865FD1">
            <w:pPr>
              <w:jc w:val="right"/>
            </w:pPr>
          </w:p>
          <w:p w:rsidR="00865FD1" w:rsidRDefault="00865FD1">
            <w:pPr>
              <w:jc w:val="right"/>
            </w:pPr>
            <w:r>
              <w:t>$14.98</w:t>
            </w:r>
          </w:p>
        </w:tc>
        <w:tc>
          <w:tcPr>
            <w:tcW w:w="3767" w:type="dxa"/>
            <w:tcBorders>
              <w:top w:val="single" w:sz="4" w:space="0" w:color="auto"/>
              <w:left w:val="single" w:sz="4" w:space="0" w:color="auto"/>
              <w:bottom w:val="single" w:sz="4" w:space="0" w:color="auto"/>
              <w:right w:val="single" w:sz="4" w:space="0" w:color="auto"/>
            </w:tcBorders>
            <w:hideMark/>
          </w:tcPr>
          <w:p w:rsidR="00865FD1" w:rsidRDefault="00865FD1">
            <w:pPr>
              <w:jc w:val="both"/>
            </w:pPr>
            <w:r>
              <w:t xml:space="preserve">Transportation </w:t>
            </w:r>
          </w:p>
          <w:p w:rsidR="00865FD1" w:rsidRDefault="00865FD1">
            <w:r>
              <w:t>($0.535/mile x 14 miles-to/from x 2)</w:t>
            </w:r>
          </w:p>
        </w:tc>
        <w:tc>
          <w:tcPr>
            <w:tcW w:w="1461" w:type="dxa"/>
            <w:tcBorders>
              <w:top w:val="single" w:sz="4" w:space="0" w:color="auto"/>
              <w:left w:val="single" w:sz="4" w:space="0" w:color="auto"/>
              <w:bottom w:val="single" w:sz="4" w:space="0" w:color="auto"/>
              <w:right w:val="single" w:sz="4" w:space="0" w:color="auto"/>
            </w:tcBorders>
          </w:tcPr>
          <w:p w:rsidR="00865FD1" w:rsidRDefault="00865FD1">
            <w:pPr>
              <w:jc w:val="right"/>
            </w:pPr>
          </w:p>
          <w:p w:rsidR="00865FD1" w:rsidRDefault="00865FD1">
            <w:pPr>
              <w:jc w:val="right"/>
            </w:pPr>
            <w:r>
              <w:t>$14.98</w:t>
            </w:r>
          </w:p>
        </w:tc>
      </w:tr>
      <w:tr w:rsidR="00865FD1" w:rsidTr="00865FD1">
        <w:trPr>
          <w:trHeight w:val="311"/>
          <w:jc w:val="center"/>
        </w:trPr>
        <w:tc>
          <w:tcPr>
            <w:tcW w:w="3836" w:type="dxa"/>
            <w:tcBorders>
              <w:top w:val="single" w:sz="4" w:space="0" w:color="auto"/>
              <w:left w:val="single" w:sz="4" w:space="0" w:color="auto"/>
              <w:bottom w:val="single" w:sz="4" w:space="0" w:color="auto"/>
              <w:right w:val="single" w:sz="4" w:space="0" w:color="auto"/>
            </w:tcBorders>
            <w:hideMark/>
          </w:tcPr>
          <w:p w:rsidR="00865FD1" w:rsidRDefault="00865FD1">
            <w:pPr>
              <w:jc w:val="both"/>
            </w:pPr>
            <w:r>
              <w:t>Mark up for RAF (4.5%)</w:t>
            </w:r>
          </w:p>
        </w:tc>
        <w:tc>
          <w:tcPr>
            <w:tcW w:w="1334" w:type="dxa"/>
            <w:tcBorders>
              <w:top w:val="single" w:sz="4" w:space="0" w:color="auto"/>
              <w:left w:val="single" w:sz="4" w:space="0" w:color="auto"/>
              <w:bottom w:val="single" w:sz="4" w:space="0" w:color="auto"/>
              <w:right w:val="single" w:sz="4" w:space="0" w:color="auto"/>
            </w:tcBorders>
            <w:hideMark/>
          </w:tcPr>
          <w:p w:rsidR="00865FD1" w:rsidRDefault="00865FD1">
            <w:pPr>
              <w:jc w:val="right"/>
            </w:pPr>
            <w:r>
              <w:t>$1.26</w:t>
            </w:r>
          </w:p>
        </w:tc>
        <w:tc>
          <w:tcPr>
            <w:tcW w:w="3767" w:type="dxa"/>
            <w:tcBorders>
              <w:top w:val="single" w:sz="4" w:space="0" w:color="auto"/>
              <w:left w:val="single" w:sz="4" w:space="0" w:color="auto"/>
              <w:bottom w:val="single" w:sz="4" w:space="0" w:color="auto"/>
              <w:right w:val="single" w:sz="4" w:space="0" w:color="auto"/>
            </w:tcBorders>
            <w:hideMark/>
          </w:tcPr>
          <w:p w:rsidR="00865FD1" w:rsidRDefault="00865FD1">
            <w:pPr>
              <w:jc w:val="both"/>
            </w:pPr>
            <w:r>
              <w:t>Mark up for RAF (4.5%)</w:t>
            </w:r>
          </w:p>
        </w:tc>
        <w:tc>
          <w:tcPr>
            <w:tcW w:w="1461" w:type="dxa"/>
            <w:tcBorders>
              <w:top w:val="single" w:sz="4" w:space="0" w:color="auto"/>
              <w:left w:val="single" w:sz="4" w:space="0" w:color="auto"/>
              <w:bottom w:val="single" w:sz="4" w:space="0" w:color="auto"/>
              <w:right w:val="single" w:sz="4" w:space="0" w:color="auto"/>
            </w:tcBorders>
            <w:hideMark/>
          </w:tcPr>
          <w:p w:rsidR="00865FD1" w:rsidRDefault="00865FD1">
            <w:pPr>
              <w:jc w:val="right"/>
            </w:pPr>
            <w:r>
              <w:t>$1.46</w:t>
            </w:r>
          </w:p>
        </w:tc>
      </w:tr>
      <w:tr w:rsidR="00865FD1" w:rsidTr="00865FD1">
        <w:trPr>
          <w:trHeight w:val="360"/>
          <w:jc w:val="center"/>
        </w:trPr>
        <w:tc>
          <w:tcPr>
            <w:tcW w:w="3836" w:type="dxa"/>
            <w:tcBorders>
              <w:top w:val="single" w:sz="4" w:space="0" w:color="auto"/>
              <w:left w:val="single" w:sz="4" w:space="0" w:color="auto"/>
              <w:bottom w:val="single" w:sz="4" w:space="0" w:color="auto"/>
              <w:right w:val="single" w:sz="4" w:space="0" w:color="auto"/>
            </w:tcBorders>
            <w:hideMark/>
          </w:tcPr>
          <w:p w:rsidR="00865FD1" w:rsidRDefault="00865FD1">
            <w:pPr>
              <w:jc w:val="both"/>
            </w:pPr>
            <w:r>
              <w:t>Total</w:t>
            </w:r>
          </w:p>
        </w:tc>
        <w:tc>
          <w:tcPr>
            <w:tcW w:w="1334" w:type="dxa"/>
            <w:tcBorders>
              <w:top w:val="single" w:sz="4" w:space="0" w:color="auto"/>
              <w:left w:val="single" w:sz="4" w:space="0" w:color="auto"/>
              <w:bottom w:val="single" w:sz="4" w:space="0" w:color="auto"/>
              <w:right w:val="single" w:sz="4" w:space="0" w:color="auto"/>
            </w:tcBorders>
            <w:hideMark/>
          </w:tcPr>
          <w:p w:rsidR="00865FD1" w:rsidRDefault="00865FD1">
            <w:pPr>
              <w:jc w:val="right"/>
            </w:pPr>
            <w:r>
              <w:t>$29.37</w:t>
            </w:r>
          </w:p>
        </w:tc>
        <w:tc>
          <w:tcPr>
            <w:tcW w:w="3767" w:type="dxa"/>
            <w:tcBorders>
              <w:top w:val="single" w:sz="4" w:space="0" w:color="auto"/>
              <w:left w:val="single" w:sz="4" w:space="0" w:color="auto"/>
              <w:bottom w:val="single" w:sz="4" w:space="0" w:color="auto"/>
              <w:right w:val="single" w:sz="4" w:space="0" w:color="auto"/>
            </w:tcBorders>
            <w:hideMark/>
          </w:tcPr>
          <w:p w:rsidR="00865FD1" w:rsidRDefault="00865FD1">
            <w:pPr>
              <w:jc w:val="both"/>
            </w:pPr>
            <w:r>
              <w:t>Total</w:t>
            </w:r>
          </w:p>
        </w:tc>
        <w:tc>
          <w:tcPr>
            <w:tcW w:w="1461" w:type="dxa"/>
            <w:tcBorders>
              <w:top w:val="single" w:sz="4" w:space="0" w:color="auto"/>
              <w:left w:val="single" w:sz="4" w:space="0" w:color="auto"/>
              <w:bottom w:val="single" w:sz="4" w:space="0" w:color="auto"/>
              <w:right w:val="single" w:sz="4" w:space="0" w:color="auto"/>
            </w:tcBorders>
            <w:hideMark/>
          </w:tcPr>
          <w:p w:rsidR="00865FD1" w:rsidRDefault="00865FD1">
            <w:pPr>
              <w:jc w:val="right"/>
            </w:pPr>
            <w:r>
              <w:t>$33.88</w:t>
            </w:r>
          </w:p>
        </w:tc>
      </w:tr>
    </w:tbl>
    <w:p w:rsidR="0012001A" w:rsidRDefault="0012001A" w:rsidP="0012001A">
      <w:pPr>
        <w:jc w:val="both"/>
        <w:rPr>
          <w:sz w:val="20"/>
          <w:szCs w:val="20"/>
        </w:rPr>
      </w:pPr>
      <w:r w:rsidRPr="003A20E9">
        <w:rPr>
          <w:sz w:val="20"/>
          <w:szCs w:val="20"/>
        </w:rPr>
        <w:t>Source: Utility’s cost justification documentation</w:t>
      </w:r>
    </w:p>
    <w:p w:rsidR="00635858" w:rsidRDefault="00635858" w:rsidP="0012001A">
      <w:pPr>
        <w:jc w:val="both"/>
        <w:rPr>
          <w:sz w:val="20"/>
          <w:szCs w:val="20"/>
        </w:rPr>
      </w:pPr>
    </w:p>
    <w:p w:rsidR="0012001A" w:rsidRDefault="0012001A" w:rsidP="0012001A">
      <w:pPr>
        <w:jc w:val="both"/>
        <w:rPr>
          <w:bCs/>
          <w:iCs/>
          <w:szCs w:val="28"/>
        </w:rPr>
      </w:pPr>
    </w:p>
    <w:p w:rsidR="0012001A" w:rsidRDefault="0012001A" w:rsidP="0012001A">
      <w:pPr>
        <w:jc w:val="both"/>
        <w:rPr>
          <w:bCs/>
          <w:iCs/>
          <w:szCs w:val="28"/>
        </w:rPr>
      </w:pPr>
      <w:r>
        <w:rPr>
          <w:rFonts w:ascii="Arial" w:hAnsi="Arial" w:cs="Arial"/>
          <w:b/>
          <w:bCs/>
          <w:iCs/>
          <w:szCs w:val="28"/>
        </w:rPr>
        <w:t>Violation Reconnection Charge</w:t>
      </w:r>
    </w:p>
    <w:p w:rsidR="0012001A" w:rsidRDefault="0012001A" w:rsidP="0012001A">
      <w:pPr>
        <w:jc w:val="both"/>
        <w:rPr>
          <w:bCs/>
          <w:iCs/>
          <w:szCs w:val="28"/>
        </w:rPr>
      </w:pPr>
      <w:r>
        <w:rPr>
          <w:bCs/>
          <w:iCs/>
          <w:szCs w:val="28"/>
        </w:rPr>
        <w:t xml:space="preserve">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service </w:t>
      </w:r>
      <w:r>
        <w:rPr>
          <w:bCs/>
          <w:iCs/>
          <w:szCs w:val="28"/>
        </w:rPr>
        <w:lastRenderedPageBreak/>
        <w:t>territory, staff recommends violation reconnection charges of $29.40 for normal hours and $33.90 for after hours. Staff’s calculations are shown below in Table 3-3.</w:t>
      </w:r>
    </w:p>
    <w:p w:rsidR="0012001A" w:rsidRDefault="0012001A" w:rsidP="0012001A">
      <w:pPr>
        <w:jc w:val="both"/>
        <w:rPr>
          <w:bCs/>
          <w:iCs/>
          <w:szCs w:val="28"/>
        </w:rPr>
      </w:pPr>
    </w:p>
    <w:p w:rsidR="007B0B46" w:rsidRDefault="007B0B46" w:rsidP="0012001A">
      <w:pPr>
        <w:jc w:val="both"/>
        <w:rPr>
          <w:bCs/>
          <w:iCs/>
          <w:szCs w:val="28"/>
        </w:rPr>
      </w:pPr>
    </w:p>
    <w:p w:rsidR="0012001A" w:rsidRPr="003A20E9" w:rsidRDefault="005C2930" w:rsidP="005C2930">
      <w:r>
        <w:rPr>
          <w:rFonts w:ascii="Arial" w:hAnsi="Arial" w:cs="Arial"/>
          <w:b/>
          <w:bCs/>
          <w:iCs/>
        </w:rPr>
        <w:t xml:space="preserve">                                                        </w:t>
      </w:r>
      <w:r w:rsidR="0012001A">
        <w:rPr>
          <w:rFonts w:ascii="Arial" w:hAnsi="Arial" w:cs="Arial"/>
          <w:b/>
          <w:bCs/>
          <w:iCs/>
        </w:rPr>
        <w:t>Table 3</w:t>
      </w:r>
      <w:r w:rsidR="0012001A" w:rsidRPr="003A20E9">
        <w:rPr>
          <w:rFonts w:ascii="Arial" w:hAnsi="Arial" w:cs="Arial"/>
          <w:b/>
          <w:bCs/>
          <w:iCs/>
        </w:rPr>
        <w:t>-</w:t>
      </w:r>
      <w:r w:rsidR="0012001A">
        <w:rPr>
          <w:rFonts w:ascii="Arial" w:hAnsi="Arial" w:cs="Arial"/>
          <w:b/>
          <w:bCs/>
          <w:iCs/>
        </w:rPr>
        <w:t>3</w:t>
      </w:r>
    </w:p>
    <w:p w:rsidR="0012001A" w:rsidRPr="006231EF" w:rsidRDefault="0012001A" w:rsidP="0012001A">
      <w:pPr>
        <w:jc w:val="center"/>
        <w:rPr>
          <w:rFonts w:ascii="Arial" w:hAnsi="Arial" w:cs="Arial"/>
          <w:b/>
          <w:bCs/>
          <w:iCs/>
        </w:rPr>
      </w:pPr>
      <w:r w:rsidRPr="006231EF">
        <w:rPr>
          <w:rFonts w:ascii="Arial" w:hAnsi="Arial" w:cs="Arial"/>
          <w:b/>
          <w:bCs/>
          <w:iCs/>
        </w:rPr>
        <w:t>V</w:t>
      </w:r>
      <w:r>
        <w:rPr>
          <w:rFonts w:ascii="Arial" w:hAnsi="Arial" w:cs="Arial"/>
          <w:b/>
          <w:bCs/>
          <w:iCs/>
        </w:rPr>
        <w:t>iolation</w:t>
      </w:r>
      <w:r w:rsidRPr="006231EF">
        <w:rPr>
          <w:rFonts w:ascii="Arial" w:hAnsi="Arial" w:cs="Arial"/>
          <w:b/>
          <w:bCs/>
          <w:iCs/>
        </w:rPr>
        <w:t xml:space="preserve"> R</w:t>
      </w:r>
      <w:r>
        <w:rPr>
          <w:rFonts w:ascii="Arial" w:hAnsi="Arial" w:cs="Arial"/>
          <w:b/>
          <w:bCs/>
          <w:iCs/>
        </w:rPr>
        <w:t>econnection</w:t>
      </w:r>
      <w:r w:rsidRPr="006231EF">
        <w:rPr>
          <w:rFonts w:ascii="Arial" w:hAnsi="Arial" w:cs="Arial"/>
          <w:b/>
          <w:bCs/>
          <w:iCs/>
        </w:rPr>
        <w:t xml:space="preserve"> C</w:t>
      </w:r>
      <w:r>
        <w:rPr>
          <w:rFonts w:ascii="Arial" w:hAnsi="Arial" w:cs="Arial"/>
          <w:b/>
          <w:bCs/>
          <w:iCs/>
        </w:rPr>
        <w:t>harge</w:t>
      </w:r>
      <w:r w:rsidRPr="006231EF">
        <w:rPr>
          <w:rFonts w:ascii="Arial" w:hAnsi="Arial" w:cs="Arial"/>
          <w:b/>
          <w:bCs/>
          <w:iCs/>
        </w:rPr>
        <w:t xml:space="preserve"> C</w:t>
      </w:r>
      <w:r>
        <w:rPr>
          <w:rFonts w:ascii="Arial" w:hAnsi="Arial" w:cs="Arial"/>
          <w:b/>
          <w:bCs/>
          <w:iCs/>
        </w:rPr>
        <w:t>alculation</w:t>
      </w:r>
    </w:p>
    <w:tbl>
      <w:tblPr>
        <w:tblW w:w="10388"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538"/>
        <w:gridCol w:w="3772"/>
        <w:gridCol w:w="1324"/>
      </w:tblGrid>
      <w:tr w:rsidR="0012001A" w:rsidTr="0012001A">
        <w:trPr>
          <w:trHeight w:val="322"/>
          <w:jc w:val="center"/>
        </w:trPr>
        <w:tc>
          <w:tcPr>
            <w:tcW w:w="3754" w:type="dxa"/>
            <w:tcBorders>
              <w:top w:val="single" w:sz="4" w:space="0" w:color="auto"/>
              <w:left w:val="single" w:sz="4" w:space="0" w:color="auto"/>
              <w:bottom w:val="single" w:sz="4" w:space="0" w:color="auto"/>
              <w:right w:val="single" w:sz="4" w:space="0" w:color="auto"/>
            </w:tcBorders>
            <w:vAlign w:val="bottom"/>
            <w:hideMark/>
          </w:tcPr>
          <w:p w:rsidR="0012001A" w:rsidRDefault="0012001A" w:rsidP="0012001A">
            <w:pPr>
              <w:jc w:val="center"/>
            </w:pPr>
            <w:r>
              <w:t>Activity</w:t>
            </w:r>
          </w:p>
        </w:tc>
        <w:tc>
          <w:tcPr>
            <w:tcW w:w="1538" w:type="dxa"/>
            <w:tcBorders>
              <w:top w:val="single" w:sz="4" w:space="0" w:color="auto"/>
              <w:left w:val="single" w:sz="4" w:space="0" w:color="auto"/>
              <w:bottom w:val="single" w:sz="4" w:space="0" w:color="auto"/>
              <w:right w:val="single" w:sz="4" w:space="0" w:color="auto"/>
            </w:tcBorders>
            <w:vAlign w:val="bottom"/>
            <w:hideMark/>
          </w:tcPr>
          <w:p w:rsidR="0012001A" w:rsidRDefault="0012001A" w:rsidP="0012001A">
            <w:pPr>
              <w:jc w:val="center"/>
            </w:pPr>
            <w:r>
              <w:t xml:space="preserve">Normal </w:t>
            </w:r>
          </w:p>
          <w:p w:rsidR="0012001A" w:rsidRDefault="0012001A" w:rsidP="0012001A">
            <w:pPr>
              <w:jc w:val="center"/>
            </w:pPr>
            <w:r>
              <w:t>Hours Cost</w:t>
            </w:r>
          </w:p>
        </w:tc>
        <w:tc>
          <w:tcPr>
            <w:tcW w:w="3772" w:type="dxa"/>
            <w:tcBorders>
              <w:top w:val="single" w:sz="4" w:space="0" w:color="auto"/>
              <w:left w:val="single" w:sz="4" w:space="0" w:color="auto"/>
              <w:bottom w:val="single" w:sz="4" w:space="0" w:color="auto"/>
              <w:right w:val="single" w:sz="4" w:space="0" w:color="auto"/>
            </w:tcBorders>
            <w:vAlign w:val="bottom"/>
            <w:hideMark/>
          </w:tcPr>
          <w:p w:rsidR="0012001A" w:rsidRDefault="0012001A" w:rsidP="0012001A">
            <w:pPr>
              <w:jc w:val="center"/>
            </w:pPr>
            <w:r>
              <w:t>Activity</w:t>
            </w:r>
          </w:p>
        </w:tc>
        <w:tc>
          <w:tcPr>
            <w:tcW w:w="1324" w:type="dxa"/>
            <w:tcBorders>
              <w:top w:val="single" w:sz="4" w:space="0" w:color="auto"/>
              <w:left w:val="single" w:sz="4" w:space="0" w:color="auto"/>
              <w:bottom w:val="single" w:sz="4" w:space="0" w:color="auto"/>
              <w:right w:val="single" w:sz="4" w:space="0" w:color="auto"/>
            </w:tcBorders>
            <w:vAlign w:val="bottom"/>
            <w:hideMark/>
          </w:tcPr>
          <w:p w:rsidR="0012001A" w:rsidRDefault="0012001A" w:rsidP="0012001A">
            <w:pPr>
              <w:jc w:val="center"/>
            </w:pPr>
            <w:r>
              <w:t xml:space="preserve">After </w:t>
            </w:r>
          </w:p>
          <w:p w:rsidR="0012001A" w:rsidRDefault="0012001A" w:rsidP="0012001A">
            <w:pPr>
              <w:jc w:val="center"/>
            </w:pPr>
            <w:r>
              <w:t>Hours Cost</w:t>
            </w:r>
          </w:p>
        </w:tc>
      </w:tr>
      <w:tr w:rsidR="0012001A" w:rsidTr="0012001A">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12001A" w:rsidRDefault="0012001A" w:rsidP="0012001A">
            <w:pPr>
              <w:jc w:val="both"/>
            </w:pPr>
            <w:r>
              <w:t>Labor (Administrative)</w:t>
            </w:r>
          </w:p>
          <w:p w:rsidR="0012001A" w:rsidRDefault="0012001A" w:rsidP="0012001A">
            <w:pPr>
              <w:jc w:val="both"/>
            </w:pPr>
            <w:r>
              <w:t>($18.00/hr x1/4hr)</w:t>
            </w:r>
          </w:p>
        </w:tc>
        <w:tc>
          <w:tcPr>
            <w:tcW w:w="1538" w:type="dxa"/>
            <w:tcBorders>
              <w:top w:val="single" w:sz="4" w:space="0" w:color="auto"/>
              <w:left w:val="single" w:sz="4" w:space="0" w:color="auto"/>
              <w:bottom w:val="single" w:sz="4" w:space="0" w:color="auto"/>
              <w:right w:val="single" w:sz="4" w:space="0" w:color="auto"/>
            </w:tcBorders>
          </w:tcPr>
          <w:p w:rsidR="0012001A" w:rsidRDefault="0012001A" w:rsidP="0012001A">
            <w:pPr>
              <w:jc w:val="right"/>
            </w:pPr>
          </w:p>
          <w:p w:rsidR="0012001A" w:rsidRDefault="0012001A" w:rsidP="0012001A">
            <w:pPr>
              <w:jc w:val="right"/>
            </w:pPr>
            <w:r>
              <w:t>$4.50</w:t>
            </w:r>
          </w:p>
        </w:tc>
        <w:tc>
          <w:tcPr>
            <w:tcW w:w="3772" w:type="dxa"/>
            <w:tcBorders>
              <w:top w:val="single" w:sz="4" w:space="0" w:color="auto"/>
              <w:left w:val="single" w:sz="4" w:space="0" w:color="auto"/>
              <w:bottom w:val="single" w:sz="4" w:space="0" w:color="auto"/>
              <w:right w:val="single" w:sz="4" w:space="0" w:color="auto"/>
            </w:tcBorders>
            <w:hideMark/>
          </w:tcPr>
          <w:p w:rsidR="0012001A" w:rsidRDefault="0012001A" w:rsidP="0012001A">
            <w:pPr>
              <w:jc w:val="both"/>
            </w:pPr>
            <w:r>
              <w:t>Labor (Administrative)</w:t>
            </w:r>
          </w:p>
          <w:p w:rsidR="0012001A" w:rsidRDefault="0012001A" w:rsidP="0012001A">
            <w:pPr>
              <w:jc w:val="both"/>
            </w:pPr>
            <w:r>
              <w:t>($18.00/hr x1/4hr)</w:t>
            </w:r>
          </w:p>
        </w:tc>
        <w:tc>
          <w:tcPr>
            <w:tcW w:w="1324" w:type="dxa"/>
            <w:tcBorders>
              <w:top w:val="single" w:sz="4" w:space="0" w:color="auto"/>
              <w:left w:val="single" w:sz="4" w:space="0" w:color="auto"/>
              <w:bottom w:val="single" w:sz="4" w:space="0" w:color="auto"/>
              <w:right w:val="single" w:sz="4" w:space="0" w:color="auto"/>
            </w:tcBorders>
          </w:tcPr>
          <w:p w:rsidR="0012001A" w:rsidRDefault="0012001A" w:rsidP="0012001A">
            <w:pPr>
              <w:jc w:val="right"/>
            </w:pPr>
          </w:p>
          <w:p w:rsidR="0012001A" w:rsidRDefault="0012001A" w:rsidP="0012001A">
            <w:pPr>
              <w:jc w:val="right"/>
            </w:pPr>
            <w:r>
              <w:t>$4.50</w:t>
            </w:r>
          </w:p>
        </w:tc>
      </w:tr>
      <w:tr w:rsidR="0012001A" w:rsidTr="0012001A">
        <w:trPr>
          <w:trHeight w:val="476"/>
          <w:jc w:val="center"/>
        </w:trPr>
        <w:tc>
          <w:tcPr>
            <w:tcW w:w="3754" w:type="dxa"/>
            <w:tcBorders>
              <w:top w:val="single" w:sz="4" w:space="0" w:color="auto"/>
              <w:left w:val="single" w:sz="4" w:space="0" w:color="auto"/>
              <w:bottom w:val="single" w:sz="4" w:space="0" w:color="auto"/>
              <w:right w:val="single" w:sz="4" w:space="0" w:color="auto"/>
            </w:tcBorders>
            <w:hideMark/>
          </w:tcPr>
          <w:p w:rsidR="0012001A" w:rsidRDefault="0012001A" w:rsidP="0012001A">
            <w:pPr>
              <w:jc w:val="both"/>
            </w:pPr>
            <w:r>
              <w:t>Labor (Field)</w:t>
            </w:r>
          </w:p>
          <w:p w:rsidR="0012001A" w:rsidRDefault="0012001A" w:rsidP="0012001A">
            <w:pPr>
              <w:jc w:val="both"/>
            </w:pPr>
            <w:r>
              <w:t>($17.25/hr x 1/4 hr x 2)</w:t>
            </w:r>
          </w:p>
        </w:tc>
        <w:tc>
          <w:tcPr>
            <w:tcW w:w="1538" w:type="dxa"/>
            <w:tcBorders>
              <w:top w:val="single" w:sz="4" w:space="0" w:color="auto"/>
              <w:left w:val="single" w:sz="4" w:space="0" w:color="auto"/>
              <w:bottom w:val="single" w:sz="4" w:space="0" w:color="auto"/>
              <w:right w:val="single" w:sz="4" w:space="0" w:color="auto"/>
            </w:tcBorders>
          </w:tcPr>
          <w:p w:rsidR="0012001A" w:rsidRDefault="0012001A" w:rsidP="0012001A">
            <w:pPr>
              <w:jc w:val="right"/>
            </w:pPr>
          </w:p>
          <w:p w:rsidR="0012001A" w:rsidRDefault="0012001A" w:rsidP="0012001A">
            <w:pPr>
              <w:jc w:val="right"/>
            </w:pPr>
            <w:r>
              <w:t>$8.63</w:t>
            </w:r>
          </w:p>
        </w:tc>
        <w:tc>
          <w:tcPr>
            <w:tcW w:w="3772" w:type="dxa"/>
            <w:tcBorders>
              <w:top w:val="single" w:sz="4" w:space="0" w:color="auto"/>
              <w:left w:val="single" w:sz="4" w:space="0" w:color="auto"/>
              <w:bottom w:val="single" w:sz="4" w:space="0" w:color="auto"/>
              <w:right w:val="single" w:sz="4" w:space="0" w:color="auto"/>
            </w:tcBorders>
            <w:hideMark/>
          </w:tcPr>
          <w:p w:rsidR="0012001A" w:rsidRDefault="0012001A" w:rsidP="0012001A">
            <w:pPr>
              <w:jc w:val="both"/>
            </w:pPr>
            <w:r>
              <w:t>Labor (Field)</w:t>
            </w:r>
          </w:p>
          <w:p w:rsidR="0012001A" w:rsidRDefault="0012001A" w:rsidP="0012001A">
            <w:pPr>
              <w:jc w:val="both"/>
            </w:pPr>
            <w:r>
              <w:t>($25.88/hr x 1/4 hr x 2)</w:t>
            </w:r>
          </w:p>
        </w:tc>
        <w:tc>
          <w:tcPr>
            <w:tcW w:w="1324" w:type="dxa"/>
            <w:tcBorders>
              <w:top w:val="single" w:sz="4" w:space="0" w:color="auto"/>
              <w:left w:val="single" w:sz="4" w:space="0" w:color="auto"/>
              <w:bottom w:val="single" w:sz="4" w:space="0" w:color="auto"/>
              <w:right w:val="single" w:sz="4" w:space="0" w:color="auto"/>
            </w:tcBorders>
          </w:tcPr>
          <w:p w:rsidR="0012001A" w:rsidRDefault="0012001A" w:rsidP="0012001A">
            <w:pPr>
              <w:jc w:val="right"/>
            </w:pPr>
          </w:p>
          <w:p w:rsidR="0012001A" w:rsidRDefault="0012001A" w:rsidP="0012001A">
            <w:pPr>
              <w:jc w:val="right"/>
            </w:pPr>
            <w:r>
              <w:t>$12.94</w:t>
            </w:r>
          </w:p>
        </w:tc>
      </w:tr>
      <w:tr w:rsidR="0012001A" w:rsidTr="0012001A">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12001A" w:rsidRDefault="0012001A" w:rsidP="0012001A">
            <w:pPr>
              <w:jc w:val="both"/>
            </w:pPr>
            <w:r>
              <w:t xml:space="preserve">Transportation </w:t>
            </w:r>
          </w:p>
          <w:p w:rsidR="0012001A" w:rsidRDefault="0012001A" w:rsidP="0012001A">
            <w:r>
              <w:t>($0.535/mile x 14 miles-to/from) x 2</w:t>
            </w:r>
          </w:p>
        </w:tc>
        <w:tc>
          <w:tcPr>
            <w:tcW w:w="1538" w:type="dxa"/>
            <w:tcBorders>
              <w:top w:val="single" w:sz="4" w:space="0" w:color="auto"/>
              <w:left w:val="single" w:sz="4" w:space="0" w:color="auto"/>
              <w:bottom w:val="single" w:sz="4" w:space="0" w:color="auto"/>
              <w:right w:val="single" w:sz="4" w:space="0" w:color="auto"/>
            </w:tcBorders>
          </w:tcPr>
          <w:p w:rsidR="0012001A" w:rsidRDefault="0012001A" w:rsidP="0012001A">
            <w:pPr>
              <w:jc w:val="right"/>
            </w:pPr>
          </w:p>
          <w:p w:rsidR="0012001A" w:rsidRDefault="0012001A" w:rsidP="0012001A">
            <w:pPr>
              <w:jc w:val="right"/>
            </w:pPr>
            <w:r>
              <w:t>$14.98</w:t>
            </w:r>
          </w:p>
        </w:tc>
        <w:tc>
          <w:tcPr>
            <w:tcW w:w="3772" w:type="dxa"/>
            <w:tcBorders>
              <w:top w:val="single" w:sz="4" w:space="0" w:color="auto"/>
              <w:left w:val="single" w:sz="4" w:space="0" w:color="auto"/>
              <w:bottom w:val="single" w:sz="4" w:space="0" w:color="auto"/>
              <w:right w:val="single" w:sz="4" w:space="0" w:color="auto"/>
            </w:tcBorders>
            <w:hideMark/>
          </w:tcPr>
          <w:p w:rsidR="0012001A" w:rsidRDefault="0012001A" w:rsidP="0012001A">
            <w:pPr>
              <w:jc w:val="both"/>
            </w:pPr>
            <w:r>
              <w:t xml:space="preserve">Transportation </w:t>
            </w:r>
          </w:p>
          <w:p w:rsidR="0012001A" w:rsidRDefault="0012001A" w:rsidP="0012001A">
            <w:r>
              <w:t>($0.535/mile x 14 miles-to/from) x 2</w:t>
            </w:r>
          </w:p>
        </w:tc>
        <w:tc>
          <w:tcPr>
            <w:tcW w:w="1324" w:type="dxa"/>
            <w:tcBorders>
              <w:top w:val="single" w:sz="4" w:space="0" w:color="auto"/>
              <w:left w:val="single" w:sz="4" w:space="0" w:color="auto"/>
              <w:bottom w:val="single" w:sz="4" w:space="0" w:color="auto"/>
              <w:right w:val="single" w:sz="4" w:space="0" w:color="auto"/>
            </w:tcBorders>
          </w:tcPr>
          <w:p w:rsidR="0012001A" w:rsidRDefault="0012001A" w:rsidP="0012001A">
            <w:pPr>
              <w:jc w:val="right"/>
            </w:pPr>
          </w:p>
          <w:p w:rsidR="0012001A" w:rsidRDefault="0012001A" w:rsidP="0012001A">
            <w:pPr>
              <w:jc w:val="right"/>
            </w:pPr>
            <w:r>
              <w:t>$14.98</w:t>
            </w:r>
          </w:p>
        </w:tc>
      </w:tr>
      <w:tr w:rsidR="0012001A" w:rsidTr="0012001A">
        <w:trPr>
          <w:trHeight w:val="251"/>
          <w:jc w:val="center"/>
        </w:trPr>
        <w:tc>
          <w:tcPr>
            <w:tcW w:w="3754" w:type="dxa"/>
            <w:tcBorders>
              <w:top w:val="single" w:sz="4" w:space="0" w:color="auto"/>
              <w:left w:val="single" w:sz="4" w:space="0" w:color="auto"/>
              <w:bottom w:val="single" w:sz="4" w:space="0" w:color="auto"/>
              <w:right w:val="single" w:sz="4" w:space="0" w:color="auto"/>
            </w:tcBorders>
            <w:hideMark/>
          </w:tcPr>
          <w:p w:rsidR="0012001A" w:rsidRDefault="0012001A" w:rsidP="0012001A">
            <w:pPr>
              <w:jc w:val="both"/>
            </w:pPr>
            <w:r>
              <w:t>Mark up for RAF (4.5%)</w:t>
            </w:r>
          </w:p>
        </w:tc>
        <w:tc>
          <w:tcPr>
            <w:tcW w:w="1538" w:type="dxa"/>
            <w:tcBorders>
              <w:top w:val="single" w:sz="4" w:space="0" w:color="auto"/>
              <w:left w:val="single" w:sz="4" w:space="0" w:color="auto"/>
              <w:bottom w:val="single" w:sz="4" w:space="0" w:color="auto"/>
              <w:right w:val="single" w:sz="4" w:space="0" w:color="auto"/>
            </w:tcBorders>
            <w:hideMark/>
          </w:tcPr>
          <w:p w:rsidR="0012001A" w:rsidRDefault="0012001A" w:rsidP="0012001A">
            <w:pPr>
              <w:jc w:val="right"/>
            </w:pPr>
            <w:r>
              <w:t>$1.26</w:t>
            </w:r>
          </w:p>
        </w:tc>
        <w:tc>
          <w:tcPr>
            <w:tcW w:w="3772" w:type="dxa"/>
            <w:tcBorders>
              <w:top w:val="single" w:sz="4" w:space="0" w:color="auto"/>
              <w:left w:val="single" w:sz="4" w:space="0" w:color="auto"/>
              <w:bottom w:val="single" w:sz="4" w:space="0" w:color="auto"/>
              <w:right w:val="single" w:sz="4" w:space="0" w:color="auto"/>
            </w:tcBorders>
            <w:hideMark/>
          </w:tcPr>
          <w:p w:rsidR="0012001A" w:rsidRDefault="0012001A" w:rsidP="0012001A">
            <w:pPr>
              <w:jc w:val="both"/>
            </w:pPr>
            <w:r>
              <w:t>Mark up for RAF (4.5%)</w:t>
            </w:r>
          </w:p>
        </w:tc>
        <w:tc>
          <w:tcPr>
            <w:tcW w:w="1324" w:type="dxa"/>
            <w:tcBorders>
              <w:top w:val="single" w:sz="4" w:space="0" w:color="auto"/>
              <w:left w:val="single" w:sz="4" w:space="0" w:color="auto"/>
              <w:bottom w:val="single" w:sz="4" w:space="0" w:color="auto"/>
              <w:right w:val="single" w:sz="4" w:space="0" w:color="auto"/>
            </w:tcBorders>
            <w:hideMark/>
          </w:tcPr>
          <w:p w:rsidR="0012001A" w:rsidRDefault="0012001A" w:rsidP="0012001A">
            <w:pPr>
              <w:jc w:val="right"/>
            </w:pPr>
            <w:r>
              <w:t>$1.46</w:t>
            </w:r>
          </w:p>
        </w:tc>
      </w:tr>
      <w:tr w:rsidR="0012001A" w:rsidTr="0012001A">
        <w:trPr>
          <w:trHeight w:val="348"/>
          <w:jc w:val="center"/>
        </w:trPr>
        <w:tc>
          <w:tcPr>
            <w:tcW w:w="3754" w:type="dxa"/>
            <w:tcBorders>
              <w:top w:val="single" w:sz="4" w:space="0" w:color="auto"/>
              <w:left w:val="single" w:sz="4" w:space="0" w:color="auto"/>
              <w:bottom w:val="single" w:sz="4" w:space="0" w:color="auto"/>
              <w:right w:val="single" w:sz="4" w:space="0" w:color="auto"/>
            </w:tcBorders>
            <w:hideMark/>
          </w:tcPr>
          <w:p w:rsidR="0012001A" w:rsidRDefault="0012001A" w:rsidP="0012001A">
            <w:pPr>
              <w:jc w:val="both"/>
            </w:pPr>
            <w:r>
              <w:t>Total</w:t>
            </w:r>
          </w:p>
        </w:tc>
        <w:tc>
          <w:tcPr>
            <w:tcW w:w="1538" w:type="dxa"/>
            <w:tcBorders>
              <w:top w:val="single" w:sz="4" w:space="0" w:color="auto"/>
              <w:left w:val="single" w:sz="4" w:space="0" w:color="auto"/>
              <w:bottom w:val="single" w:sz="4" w:space="0" w:color="auto"/>
              <w:right w:val="single" w:sz="4" w:space="0" w:color="auto"/>
            </w:tcBorders>
            <w:hideMark/>
          </w:tcPr>
          <w:p w:rsidR="0012001A" w:rsidRDefault="0012001A" w:rsidP="0012001A">
            <w:pPr>
              <w:jc w:val="right"/>
            </w:pPr>
            <w:r>
              <w:t>$29.37</w:t>
            </w:r>
          </w:p>
        </w:tc>
        <w:tc>
          <w:tcPr>
            <w:tcW w:w="3772" w:type="dxa"/>
            <w:tcBorders>
              <w:top w:val="single" w:sz="4" w:space="0" w:color="auto"/>
              <w:left w:val="single" w:sz="4" w:space="0" w:color="auto"/>
              <w:bottom w:val="single" w:sz="4" w:space="0" w:color="auto"/>
              <w:right w:val="single" w:sz="4" w:space="0" w:color="auto"/>
            </w:tcBorders>
            <w:hideMark/>
          </w:tcPr>
          <w:p w:rsidR="0012001A" w:rsidRDefault="0012001A" w:rsidP="0012001A">
            <w:pPr>
              <w:jc w:val="both"/>
            </w:pPr>
            <w:r>
              <w:t>Total</w:t>
            </w:r>
          </w:p>
        </w:tc>
        <w:tc>
          <w:tcPr>
            <w:tcW w:w="1324" w:type="dxa"/>
            <w:tcBorders>
              <w:top w:val="single" w:sz="4" w:space="0" w:color="auto"/>
              <w:left w:val="single" w:sz="4" w:space="0" w:color="auto"/>
              <w:bottom w:val="single" w:sz="4" w:space="0" w:color="auto"/>
              <w:right w:val="single" w:sz="4" w:space="0" w:color="auto"/>
            </w:tcBorders>
            <w:hideMark/>
          </w:tcPr>
          <w:p w:rsidR="0012001A" w:rsidRDefault="0012001A" w:rsidP="0012001A">
            <w:pPr>
              <w:jc w:val="right"/>
            </w:pPr>
            <w:r>
              <w:t>$33.88</w:t>
            </w:r>
          </w:p>
        </w:tc>
      </w:tr>
    </w:tbl>
    <w:p w:rsidR="0012001A" w:rsidRDefault="0012001A" w:rsidP="0012001A">
      <w:pPr>
        <w:jc w:val="both"/>
        <w:rPr>
          <w:bCs/>
          <w:iCs/>
          <w:szCs w:val="28"/>
        </w:rPr>
      </w:pPr>
      <w:r>
        <w:rPr>
          <w:sz w:val="20"/>
          <w:szCs w:val="20"/>
        </w:rPr>
        <w:t>Source: Utility’s cost justification documentation.</w:t>
      </w:r>
    </w:p>
    <w:p w:rsidR="0012001A" w:rsidRDefault="0012001A" w:rsidP="0012001A">
      <w:pPr>
        <w:jc w:val="both"/>
        <w:rPr>
          <w:rFonts w:ascii="Arial" w:hAnsi="Arial" w:cs="Arial"/>
          <w:b/>
          <w:bCs/>
          <w:iCs/>
          <w:szCs w:val="28"/>
        </w:rPr>
      </w:pPr>
    </w:p>
    <w:p w:rsidR="0012001A" w:rsidRDefault="0012001A" w:rsidP="0012001A">
      <w:pPr>
        <w:jc w:val="both"/>
        <w:rPr>
          <w:rFonts w:ascii="Arial" w:hAnsi="Arial" w:cs="Arial"/>
          <w:b/>
          <w:bCs/>
          <w:iCs/>
          <w:szCs w:val="28"/>
        </w:rPr>
      </w:pPr>
    </w:p>
    <w:p w:rsidR="0012001A" w:rsidRDefault="0012001A" w:rsidP="0012001A">
      <w:pPr>
        <w:jc w:val="both"/>
        <w:rPr>
          <w:rFonts w:ascii="Arial" w:hAnsi="Arial" w:cs="Arial"/>
          <w:b/>
        </w:rPr>
      </w:pPr>
      <w:r>
        <w:rPr>
          <w:rFonts w:ascii="Arial" w:hAnsi="Arial" w:cs="Arial"/>
          <w:b/>
          <w:bCs/>
          <w:iCs/>
          <w:szCs w:val="28"/>
        </w:rPr>
        <w:t>Premises Visit</w:t>
      </w:r>
    </w:p>
    <w:p w:rsidR="0012001A" w:rsidRDefault="0012001A" w:rsidP="006E75CF">
      <w:pPr>
        <w:pStyle w:val="BodyText"/>
        <w:spacing w:after="0"/>
        <w:rPr>
          <w:rFonts w:ascii="Arial" w:hAnsi="Arial" w:cs="Arial"/>
          <w:b/>
        </w:rPr>
      </w:pPr>
      <w:r>
        <w:rPr>
          <w:bCs/>
          <w:iCs/>
          <w:szCs w:val="28"/>
        </w:rPr>
        <w:t xml:space="preserve">The premises visit charge is levied when a service representative visits premises at the customer’s request for complaint resolution and the problem is found to be the customer’s responsibility. In addition, the premises visit can be levied when a service representative visits </w:t>
      </w:r>
      <w:r w:rsidR="001954A9">
        <w:rPr>
          <w:bCs/>
          <w:iCs/>
          <w:szCs w:val="28"/>
        </w:rPr>
        <w:t xml:space="preserve">a </w:t>
      </w:r>
      <w:r>
        <w:rPr>
          <w:bCs/>
          <w:iCs/>
          <w:szCs w:val="28"/>
        </w:rPr>
        <w:t>premises for the purpose of discontinuing service for nonpayment of a due and collectible bill, and does not discontinue service because the customer pays the service representative or otherwise makes satisfactory arrangements to pay the bill. A premises visit requires one trip.</w:t>
      </w:r>
    </w:p>
    <w:p w:rsidR="0012001A" w:rsidRDefault="0012001A" w:rsidP="0012001A">
      <w:pPr>
        <w:pStyle w:val="BodyText"/>
        <w:spacing w:after="0"/>
        <w:rPr>
          <w:rFonts w:ascii="Arial" w:hAnsi="Arial" w:cs="Arial"/>
          <w:b/>
        </w:rPr>
      </w:pPr>
    </w:p>
    <w:p w:rsidR="0012001A" w:rsidRDefault="0012001A" w:rsidP="0012001A">
      <w:pPr>
        <w:jc w:val="both"/>
        <w:rPr>
          <w:bCs/>
          <w:iCs/>
          <w:szCs w:val="28"/>
        </w:rPr>
      </w:pPr>
      <w:r>
        <w:rPr>
          <w:bCs/>
          <w:iCs/>
          <w:szCs w:val="28"/>
        </w:rPr>
        <w:t>Based on labor and transportation to and from the service territory, staff recommends</w:t>
      </w:r>
      <w:r w:rsidR="0009605B">
        <w:rPr>
          <w:bCs/>
          <w:iCs/>
          <w:szCs w:val="28"/>
        </w:rPr>
        <w:t xml:space="preserve"> a</w:t>
      </w:r>
      <w:r>
        <w:rPr>
          <w:bCs/>
          <w:iCs/>
          <w:szCs w:val="28"/>
        </w:rPr>
        <w:t xml:space="preserve"> premises visit charges of $18.60 for normal hours and $</w:t>
      </w:r>
      <w:r w:rsidR="0015535B">
        <w:rPr>
          <w:bCs/>
          <w:iCs/>
          <w:szCs w:val="28"/>
        </w:rPr>
        <w:t>22.50</w:t>
      </w:r>
      <w:r>
        <w:rPr>
          <w:bCs/>
          <w:iCs/>
          <w:szCs w:val="28"/>
        </w:rPr>
        <w:t xml:space="preserve"> for after hours. Staff’s calculations are shown below </w:t>
      </w:r>
      <w:r w:rsidR="002A76CA">
        <w:rPr>
          <w:bCs/>
          <w:iCs/>
          <w:szCs w:val="28"/>
        </w:rPr>
        <w:t>i</w:t>
      </w:r>
      <w:r>
        <w:rPr>
          <w:bCs/>
          <w:iCs/>
          <w:szCs w:val="28"/>
        </w:rPr>
        <w:t>n Table 3-4.</w:t>
      </w:r>
    </w:p>
    <w:p w:rsidR="0012001A" w:rsidRPr="003A20E9" w:rsidRDefault="0012001A" w:rsidP="0012001A">
      <w:pPr>
        <w:jc w:val="center"/>
        <w:rPr>
          <w:rFonts w:ascii="Arial" w:hAnsi="Arial" w:cs="Arial"/>
          <w:b/>
          <w:bCs/>
          <w:iCs/>
        </w:rPr>
      </w:pPr>
    </w:p>
    <w:p w:rsidR="0012001A" w:rsidRPr="003A20E9" w:rsidRDefault="0012001A" w:rsidP="0012001A">
      <w:pPr>
        <w:jc w:val="center"/>
      </w:pPr>
      <w:r>
        <w:rPr>
          <w:rFonts w:ascii="Arial" w:hAnsi="Arial" w:cs="Arial"/>
          <w:b/>
          <w:bCs/>
          <w:iCs/>
        </w:rPr>
        <w:t>Table 3</w:t>
      </w:r>
      <w:r w:rsidRPr="003A20E9">
        <w:rPr>
          <w:rFonts w:ascii="Arial" w:hAnsi="Arial" w:cs="Arial"/>
          <w:b/>
          <w:bCs/>
          <w:iCs/>
        </w:rPr>
        <w:t>-</w:t>
      </w:r>
      <w:r>
        <w:rPr>
          <w:rFonts w:ascii="Arial" w:hAnsi="Arial" w:cs="Arial"/>
          <w:b/>
          <w:bCs/>
          <w:iCs/>
        </w:rPr>
        <w:t>4</w:t>
      </w:r>
    </w:p>
    <w:p w:rsidR="0012001A" w:rsidRDefault="0012001A" w:rsidP="0012001A">
      <w:pPr>
        <w:jc w:val="center"/>
        <w:rPr>
          <w:rFonts w:ascii="Arial" w:hAnsi="Arial" w:cs="Arial"/>
          <w:b/>
          <w:bCs/>
          <w:iCs/>
        </w:rPr>
      </w:pPr>
      <w:r w:rsidRPr="003A20E9">
        <w:rPr>
          <w:rFonts w:ascii="Arial" w:hAnsi="Arial" w:cs="Arial"/>
          <w:b/>
          <w:bCs/>
          <w:iCs/>
        </w:rPr>
        <w:t>Premises Visit Charge Calculation</w:t>
      </w:r>
    </w:p>
    <w:tbl>
      <w:tblPr>
        <w:tblW w:w="10226"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665"/>
        <w:gridCol w:w="3547"/>
        <w:gridCol w:w="1470"/>
      </w:tblGrid>
      <w:tr w:rsidR="0009605B" w:rsidTr="0009605B">
        <w:trPr>
          <w:trHeight w:val="301"/>
          <w:jc w:val="center"/>
        </w:trPr>
        <w:tc>
          <w:tcPr>
            <w:tcW w:w="3544" w:type="dxa"/>
            <w:tcBorders>
              <w:top w:val="single" w:sz="4" w:space="0" w:color="auto"/>
              <w:left w:val="single" w:sz="4" w:space="0" w:color="auto"/>
              <w:bottom w:val="single" w:sz="4" w:space="0" w:color="auto"/>
              <w:right w:val="single" w:sz="4" w:space="0" w:color="auto"/>
            </w:tcBorders>
            <w:vAlign w:val="bottom"/>
            <w:hideMark/>
          </w:tcPr>
          <w:p w:rsidR="0009605B" w:rsidRDefault="0009605B">
            <w:pPr>
              <w:jc w:val="center"/>
            </w:pPr>
            <w:r>
              <w:t>Activity</w:t>
            </w:r>
          </w:p>
        </w:tc>
        <w:tc>
          <w:tcPr>
            <w:tcW w:w="1665" w:type="dxa"/>
            <w:tcBorders>
              <w:top w:val="single" w:sz="4" w:space="0" w:color="auto"/>
              <w:left w:val="single" w:sz="4" w:space="0" w:color="auto"/>
              <w:bottom w:val="single" w:sz="4" w:space="0" w:color="auto"/>
              <w:right w:val="single" w:sz="4" w:space="0" w:color="auto"/>
            </w:tcBorders>
            <w:vAlign w:val="bottom"/>
            <w:hideMark/>
          </w:tcPr>
          <w:p w:rsidR="0009605B" w:rsidRDefault="0009605B">
            <w:pPr>
              <w:jc w:val="center"/>
            </w:pPr>
            <w:r>
              <w:t xml:space="preserve">Normal </w:t>
            </w:r>
          </w:p>
          <w:p w:rsidR="0009605B" w:rsidRDefault="0009605B">
            <w:pPr>
              <w:jc w:val="center"/>
            </w:pPr>
            <w:r>
              <w:t>Hours Cost</w:t>
            </w:r>
          </w:p>
        </w:tc>
        <w:tc>
          <w:tcPr>
            <w:tcW w:w="3547" w:type="dxa"/>
            <w:tcBorders>
              <w:top w:val="single" w:sz="4" w:space="0" w:color="auto"/>
              <w:left w:val="single" w:sz="4" w:space="0" w:color="auto"/>
              <w:bottom w:val="single" w:sz="4" w:space="0" w:color="auto"/>
              <w:right w:val="single" w:sz="4" w:space="0" w:color="auto"/>
            </w:tcBorders>
            <w:vAlign w:val="bottom"/>
            <w:hideMark/>
          </w:tcPr>
          <w:p w:rsidR="0009605B" w:rsidRDefault="0009605B">
            <w:pPr>
              <w:jc w:val="center"/>
            </w:pPr>
            <w:r>
              <w:t>Activity</w:t>
            </w:r>
          </w:p>
        </w:tc>
        <w:tc>
          <w:tcPr>
            <w:tcW w:w="1470" w:type="dxa"/>
            <w:tcBorders>
              <w:top w:val="single" w:sz="4" w:space="0" w:color="auto"/>
              <w:left w:val="single" w:sz="4" w:space="0" w:color="auto"/>
              <w:bottom w:val="single" w:sz="4" w:space="0" w:color="auto"/>
              <w:right w:val="single" w:sz="4" w:space="0" w:color="auto"/>
            </w:tcBorders>
            <w:vAlign w:val="bottom"/>
            <w:hideMark/>
          </w:tcPr>
          <w:p w:rsidR="0009605B" w:rsidRDefault="0009605B">
            <w:pPr>
              <w:jc w:val="center"/>
            </w:pPr>
            <w:r>
              <w:t xml:space="preserve">After </w:t>
            </w:r>
          </w:p>
          <w:p w:rsidR="0009605B" w:rsidRDefault="0009605B">
            <w:pPr>
              <w:jc w:val="center"/>
            </w:pPr>
            <w:r>
              <w:t>Hours Cost</w:t>
            </w:r>
          </w:p>
        </w:tc>
      </w:tr>
      <w:tr w:rsidR="0009605B" w:rsidTr="0009605B">
        <w:trPr>
          <w:trHeight w:val="516"/>
          <w:jc w:val="center"/>
        </w:trPr>
        <w:tc>
          <w:tcPr>
            <w:tcW w:w="3544" w:type="dxa"/>
            <w:tcBorders>
              <w:top w:val="single" w:sz="4" w:space="0" w:color="auto"/>
              <w:left w:val="single" w:sz="4" w:space="0" w:color="auto"/>
              <w:bottom w:val="single" w:sz="4" w:space="0" w:color="auto"/>
              <w:right w:val="single" w:sz="4" w:space="0" w:color="auto"/>
            </w:tcBorders>
            <w:hideMark/>
          </w:tcPr>
          <w:p w:rsidR="0009605B" w:rsidRDefault="0009605B">
            <w:pPr>
              <w:jc w:val="both"/>
            </w:pPr>
            <w:r>
              <w:t>Labor (Administrative)</w:t>
            </w:r>
          </w:p>
          <w:p w:rsidR="0009605B" w:rsidRDefault="0009605B">
            <w:pPr>
              <w:jc w:val="both"/>
            </w:pPr>
            <w:r>
              <w:t>($18.00/hr x1/4hr)</w:t>
            </w:r>
          </w:p>
        </w:tc>
        <w:tc>
          <w:tcPr>
            <w:tcW w:w="1665" w:type="dxa"/>
            <w:tcBorders>
              <w:top w:val="single" w:sz="4" w:space="0" w:color="auto"/>
              <w:left w:val="single" w:sz="4" w:space="0" w:color="auto"/>
              <w:bottom w:val="single" w:sz="4" w:space="0" w:color="auto"/>
              <w:right w:val="single" w:sz="4" w:space="0" w:color="auto"/>
            </w:tcBorders>
          </w:tcPr>
          <w:p w:rsidR="0009605B" w:rsidRDefault="0009605B">
            <w:pPr>
              <w:jc w:val="right"/>
            </w:pPr>
          </w:p>
          <w:p w:rsidR="0009605B" w:rsidRDefault="0009605B">
            <w:pPr>
              <w:jc w:val="right"/>
            </w:pPr>
            <w:r>
              <w:t>$4.50</w:t>
            </w:r>
          </w:p>
        </w:tc>
        <w:tc>
          <w:tcPr>
            <w:tcW w:w="3547" w:type="dxa"/>
            <w:tcBorders>
              <w:top w:val="single" w:sz="4" w:space="0" w:color="auto"/>
              <w:left w:val="single" w:sz="4" w:space="0" w:color="auto"/>
              <w:bottom w:val="single" w:sz="4" w:space="0" w:color="auto"/>
              <w:right w:val="single" w:sz="4" w:space="0" w:color="auto"/>
            </w:tcBorders>
            <w:hideMark/>
          </w:tcPr>
          <w:p w:rsidR="0009605B" w:rsidRDefault="0009605B">
            <w:pPr>
              <w:jc w:val="both"/>
            </w:pPr>
            <w:r>
              <w:t>Labor (Administrative)</w:t>
            </w:r>
          </w:p>
          <w:p w:rsidR="0009605B" w:rsidRDefault="0009605B">
            <w:pPr>
              <w:jc w:val="both"/>
            </w:pPr>
            <w:r>
              <w:t>($18.00/hr x1/4hr)</w:t>
            </w:r>
          </w:p>
        </w:tc>
        <w:tc>
          <w:tcPr>
            <w:tcW w:w="1470" w:type="dxa"/>
            <w:tcBorders>
              <w:top w:val="single" w:sz="4" w:space="0" w:color="auto"/>
              <w:left w:val="single" w:sz="4" w:space="0" w:color="auto"/>
              <w:bottom w:val="single" w:sz="4" w:space="0" w:color="auto"/>
              <w:right w:val="single" w:sz="4" w:space="0" w:color="auto"/>
            </w:tcBorders>
          </w:tcPr>
          <w:p w:rsidR="0009605B" w:rsidRDefault="0009605B">
            <w:pPr>
              <w:jc w:val="right"/>
            </w:pPr>
          </w:p>
          <w:p w:rsidR="0009605B" w:rsidRDefault="0009605B">
            <w:pPr>
              <w:jc w:val="right"/>
            </w:pPr>
            <w:r>
              <w:t>$4.50</w:t>
            </w:r>
          </w:p>
        </w:tc>
      </w:tr>
      <w:tr w:rsidR="0009605B" w:rsidTr="0009605B">
        <w:trPr>
          <w:trHeight w:val="516"/>
          <w:jc w:val="center"/>
        </w:trPr>
        <w:tc>
          <w:tcPr>
            <w:tcW w:w="3544" w:type="dxa"/>
            <w:tcBorders>
              <w:top w:val="single" w:sz="4" w:space="0" w:color="auto"/>
              <w:left w:val="single" w:sz="4" w:space="0" w:color="auto"/>
              <w:bottom w:val="single" w:sz="4" w:space="0" w:color="auto"/>
              <w:right w:val="single" w:sz="4" w:space="0" w:color="auto"/>
            </w:tcBorders>
            <w:hideMark/>
          </w:tcPr>
          <w:p w:rsidR="0009605B" w:rsidRDefault="0009605B">
            <w:pPr>
              <w:jc w:val="both"/>
            </w:pPr>
            <w:r>
              <w:t>Labor (Field)</w:t>
            </w:r>
          </w:p>
          <w:p w:rsidR="0009605B" w:rsidRDefault="0009605B">
            <w:pPr>
              <w:jc w:val="both"/>
            </w:pPr>
            <w:r>
              <w:t>($17.25/hr x 1/3 hr)</w:t>
            </w:r>
          </w:p>
        </w:tc>
        <w:tc>
          <w:tcPr>
            <w:tcW w:w="1665" w:type="dxa"/>
            <w:tcBorders>
              <w:top w:val="single" w:sz="4" w:space="0" w:color="auto"/>
              <w:left w:val="single" w:sz="4" w:space="0" w:color="auto"/>
              <w:bottom w:val="single" w:sz="4" w:space="0" w:color="auto"/>
              <w:right w:val="single" w:sz="4" w:space="0" w:color="auto"/>
            </w:tcBorders>
          </w:tcPr>
          <w:p w:rsidR="0009605B" w:rsidRDefault="0009605B">
            <w:pPr>
              <w:jc w:val="right"/>
            </w:pPr>
          </w:p>
          <w:p w:rsidR="0009605B" w:rsidRDefault="0009605B">
            <w:pPr>
              <w:jc w:val="right"/>
            </w:pPr>
            <w:r>
              <w:t>$5.75</w:t>
            </w:r>
          </w:p>
        </w:tc>
        <w:tc>
          <w:tcPr>
            <w:tcW w:w="3547" w:type="dxa"/>
            <w:tcBorders>
              <w:top w:val="single" w:sz="4" w:space="0" w:color="auto"/>
              <w:left w:val="single" w:sz="4" w:space="0" w:color="auto"/>
              <w:bottom w:val="single" w:sz="4" w:space="0" w:color="auto"/>
              <w:right w:val="single" w:sz="4" w:space="0" w:color="auto"/>
            </w:tcBorders>
            <w:hideMark/>
          </w:tcPr>
          <w:p w:rsidR="0009605B" w:rsidRDefault="0009605B">
            <w:r>
              <w:t>Labor (Field)</w:t>
            </w:r>
          </w:p>
          <w:p w:rsidR="0009605B" w:rsidRDefault="0009605B" w:rsidP="0015535B">
            <w:r>
              <w:t>($25.88/hr x 1</w:t>
            </w:r>
            <w:r w:rsidR="0015535B">
              <w:t>/3</w:t>
            </w:r>
            <w:r>
              <w:t xml:space="preserve"> hr)</w:t>
            </w:r>
          </w:p>
        </w:tc>
        <w:tc>
          <w:tcPr>
            <w:tcW w:w="1470" w:type="dxa"/>
            <w:tcBorders>
              <w:top w:val="single" w:sz="4" w:space="0" w:color="auto"/>
              <w:left w:val="single" w:sz="4" w:space="0" w:color="auto"/>
              <w:bottom w:val="single" w:sz="4" w:space="0" w:color="auto"/>
              <w:right w:val="single" w:sz="4" w:space="0" w:color="auto"/>
            </w:tcBorders>
          </w:tcPr>
          <w:p w:rsidR="0009605B" w:rsidRDefault="0009605B">
            <w:pPr>
              <w:jc w:val="right"/>
            </w:pPr>
          </w:p>
          <w:p w:rsidR="0009605B" w:rsidRDefault="0009605B" w:rsidP="0015535B">
            <w:pPr>
              <w:jc w:val="right"/>
            </w:pPr>
            <w:r>
              <w:t>$</w:t>
            </w:r>
            <w:r w:rsidR="0015535B">
              <w:t>8.63</w:t>
            </w:r>
          </w:p>
        </w:tc>
      </w:tr>
      <w:tr w:rsidR="0009605B" w:rsidTr="0009605B">
        <w:trPr>
          <w:trHeight w:val="516"/>
          <w:jc w:val="center"/>
        </w:trPr>
        <w:tc>
          <w:tcPr>
            <w:tcW w:w="3544" w:type="dxa"/>
            <w:tcBorders>
              <w:top w:val="single" w:sz="4" w:space="0" w:color="auto"/>
              <w:left w:val="single" w:sz="4" w:space="0" w:color="auto"/>
              <w:bottom w:val="single" w:sz="4" w:space="0" w:color="auto"/>
              <w:right w:val="single" w:sz="4" w:space="0" w:color="auto"/>
            </w:tcBorders>
            <w:hideMark/>
          </w:tcPr>
          <w:p w:rsidR="0009605B" w:rsidRDefault="0009605B">
            <w:pPr>
              <w:jc w:val="both"/>
            </w:pPr>
            <w:r>
              <w:t xml:space="preserve">Transportation </w:t>
            </w:r>
          </w:p>
          <w:p w:rsidR="0009605B" w:rsidRDefault="0009605B">
            <w:r>
              <w:t>($0.535/mile x 14 miles-to/from)</w:t>
            </w:r>
          </w:p>
        </w:tc>
        <w:tc>
          <w:tcPr>
            <w:tcW w:w="1665" w:type="dxa"/>
            <w:tcBorders>
              <w:top w:val="single" w:sz="4" w:space="0" w:color="auto"/>
              <w:left w:val="single" w:sz="4" w:space="0" w:color="auto"/>
              <w:bottom w:val="single" w:sz="4" w:space="0" w:color="auto"/>
              <w:right w:val="single" w:sz="4" w:space="0" w:color="auto"/>
            </w:tcBorders>
          </w:tcPr>
          <w:p w:rsidR="0009605B" w:rsidRDefault="0009605B">
            <w:pPr>
              <w:jc w:val="right"/>
            </w:pPr>
          </w:p>
          <w:p w:rsidR="0009605B" w:rsidRDefault="0009605B">
            <w:pPr>
              <w:jc w:val="right"/>
            </w:pPr>
            <w:r>
              <w:t>$7.49</w:t>
            </w:r>
          </w:p>
        </w:tc>
        <w:tc>
          <w:tcPr>
            <w:tcW w:w="3547" w:type="dxa"/>
            <w:tcBorders>
              <w:top w:val="single" w:sz="4" w:space="0" w:color="auto"/>
              <w:left w:val="single" w:sz="4" w:space="0" w:color="auto"/>
              <w:bottom w:val="single" w:sz="4" w:space="0" w:color="auto"/>
              <w:right w:val="single" w:sz="4" w:space="0" w:color="auto"/>
            </w:tcBorders>
            <w:hideMark/>
          </w:tcPr>
          <w:p w:rsidR="0009605B" w:rsidRDefault="0009605B">
            <w:pPr>
              <w:jc w:val="both"/>
            </w:pPr>
            <w:r>
              <w:t xml:space="preserve">Transportation </w:t>
            </w:r>
          </w:p>
          <w:p w:rsidR="0009605B" w:rsidRDefault="0009605B">
            <w:r>
              <w:t>($0.535/mile x 14 miles-to/from)</w:t>
            </w:r>
          </w:p>
        </w:tc>
        <w:tc>
          <w:tcPr>
            <w:tcW w:w="1470" w:type="dxa"/>
            <w:tcBorders>
              <w:top w:val="single" w:sz="4" w:space="0" w:color="auto"/>
              <w:left w:val="single" w:sz="4" w:space="0" w:color="auto"/>
              <w:bottom w:val="single" w:sz="4" w:space="0" w:color="auto"/>
              <w:right w:val="single" w:sz="4" w:space="0" w:color="auto"/>
            </w:tcBorders>
          </w:tcPr>
          <w:p w:rsidR="0009605B" w:rsidRDefault="0009605B">
            <w:pPr>
              <w:jc w:val="right"/>
            </w:pPr>
          </w:p>
          <w:p w:rsidR="0009605B" w:rsidRDefault="0009605B">
            <w:pPr>
              <w:jc w:val="right"/>
            </w:pPr>
            <w:r>
              <w:t>$7.49</w:t>
            </w:r>
          </w:p>
        </w:tc>
      </w:tr>
      <w:tr w:rsidR="0009605B" w:rsidTr="0009605B">
        <w:trPr>
          <w:trHeight w:val="290"/>
          <w:jc w:val="center"/>
        </w:trPr>
        <w:tc>
          <w:tcPr>
            <w:tcW w:w="3544" w:type="dxa"/>
            <w:tcBorders>
              <w:top w:val="single" w:sz="4" w:space="0" w:color="auto"/>
              <w:left w:val="single" w:sz="4" w:space="0" w:color="auto"/>
              <w:bottom w:val="single" w:sz="4" w:space="0" w:color="auto"/>
              <w:right w:val="single" w:sz="4" w:space="0" w:color="auto"/>
            </w:tcBorders>
            <w:hideMark/>
          </w:tcPr>
          <w:p w:rsidR="0009605B" w:rsidRDefault="0009605B">
            <w:pPr>
              <w:jc w:val="both"/>
            </w:pPr>
            <w:r>
              <w:t>Mark up for RAF (4.5%)</w:t>
            </w:r>
          </w:p>
        </w:tc>
        <w:tc>
          <w:tcPr>
            <w:tcW w:w="1665" w:type="dxa"/>
            <w:tcBorders>
              <w:top w:val="single" w:sz="4" w:space="0" w:color="auto"/>
              <w:left w:val="single" w:sz="4" w:space="0" w:color="auto"/>
              <w:bottom w:val="single" w:sz="4" w:space="0" w:color="auto"/>
              <w:right w:val="single" w:sz="4" w:space="0" w:color="auto"/>
            </w:tcBorders>
            <w:hideMark/>
          </w:tcPr>
          <w:p w:rsidR="0009605B" w:rsidRDefault="0009605B">
            <w:pPr>
              <w:jc w:val="right"/>
            </w:pPr>
            <w:r>
              <w:t>$0.80</w:t>
            </w:r>
          </w:p>
        </w:tc>
        <w:tc>
          <w:tcPr>
            <w:tcW w:w="3547" w:type="dxa"/>
            <w:tcBorders>
              <w:top w:val="single" w:sz="4" w:space="0" w:color="auto"/>
              <w:left w:val="single" w:sz="4" w:space="0" w:color="auto"/>
              <w:bottom w:val="single" w:sz="4" w:space="0" w:color="auto"/>
              <w:right w:val="single" w:sz="4" w:space="0" w:color="auto"/>
            </w:tcBorders>
            <w:hideMark/>
          </w:tcPr>
          <w:p w:rsidR="0009605B" w:rsidRDefault="0009605B">
            <w:pPr>
              <w:jc w:val="both"/>
            </w:pPr>
            <w:r>
              <w:t>Mark up for RAF (4.5%)</w:t>
            </w:r>
          </w:p>
        </w:tc>
        <w:tc>
          <w:tcPr>
            <w:tcW w:w="1470" w:type="dxa"/>
            <w:tcBorders>
              <w:top w:val="single" w:sz="4" w:space="0" w:color="auto"/>
              <w:left w:val="single" w:sz="4" w:space="0" w:color="auto"/>
              <w:bottom w:val="single" w:sz="4" w:space="0" w:color="auto"/>
              <w:right w:val="single" w:sz="4" w:space="0" w:color="auto"/>
            </w:tcBorders>
            <w:hideMark/>
          </w:tcPr>
          <w:p w:rsidR="0009605B" w:rsidRDefault="0009605B">
            <w:pPr>
              <w:jc w:val="right"/>
            </w:pPr>
            <w:r>
              <w:t>$1.82</w:t>
            </w:r>
          </w:p>
        </w:tc>
      </w:tr>
      <w:tr w:rsidR="0009605B" w:rsidTr="0009605B">
        <w:trPr>
          <w:trHeight w:val="325"/>
          <w:jc w:val="center"/>
        </w:trPr>
        <w:tc>
          <w:tcPr>
            <w:tcW w:w="3544" w:type="dxa"/>
            <w:tcBorders>
              <w:top w:val="single" w:sz="4" w:space="0" w:color="auto"/>
              <w:left w:val="single" w:sz="4" w:space="0" w:color="auto"/>
              <w:bottom w:val="single" w:sz="4" w:space="0" w:color="auto"/>
              <w:right w:val="single" w:sz="4" w:space="0" w:color="auto"/>
            </w:tcBorders>
            <w:hideMark/>
          </w:tcPr>
          <w:p w:rsidR="0009605B" w:rsidRDefault="0009605B">
            <w:pPr>
              <w:jc w:val="both"/>
            </w:pPr>
            <w:r>
              <w:t>Total</w:t>
            </w:r>
          </w:p>
        </w:tc>
        <w:tc>
          <w:tcPr>
            <w:tcW w:w="1665" w:type="dxa"/>
            <w:tcBorders>
              <w:top w:val="single" w:sz="4" w:space="0" w:color="auto"/>
              <w:left w:val="single" w:sz="4" w:space="0" w:color="auto"/>
              <w:bottom w:val="single" w:sz="4" w:space="0" w:color="auto"/>
              <w:right w:val="single" w:sz="4" w:space="0" w:color="auto"/>
            </w:tcBorders>
            <w:hideMark/>
          </w:tcPr>
          <w:p w:rsidR="0009605B" w:rsidRDefault="0009605B">
            <w:pPr>
              <w:jc w:val="right"/>
            </w:pPr>
            <w:r>
              <w:t>$18.54</w:t>
            </w:r>
          </w:p>
        </w:tc>
        <w:tc>
          <w:tcPr>
            <w:tcW w:w="3547" w:type="dxa"/>
            <w:tcBorders>
              <w:top w:val="single" w:sz="4" w:space="0" w:color="auto"/>
              <w:left w:val="single" w:sz="4" w:space="0" w:color="auto"/>
              <w:bottom w:val="single" w:sz="4" w:space="0" w:color="auto"/>
              <w:right w:val="single" w:sz="4" w:space="0" w:color="auto"/>
            </w:tcBorders>
            <w:hideMark/>
          </w:tcPr>
          <w:p w:rsidR="0009605B" w:rsidRDefault="0009605B">
            <w:pPr>
              <w:jc w:val="both"/>
            </w:pPr>
            <w:r>
              <w:t>Total</w:t>
            </w:r>
          </w:p>
        </w:tc>
        <w:tc>
          <w:tcPr>
            <w:tcW w:w="1470" w:type="dxa"/>
            <w:tcBorders>
              <w:top w:val="single" w:sz="4" w:space="0" w:color="auto"/>
              <w:left w:val="single" w:sz="4" w:space="0" w:color="auto"/>
              <w:bottom w:val="single" w:sz="4" w:space="0" w:color="auto"/>
              <w:right w:val="single" w:sz="4" w:space="0" w:color="auto"/>
            </w:tcBorders>
            <w:hideMark/>
          </w:tcPr>
          <w:p w:rsidR="0009605B" w:rsidRDefault="0009605B" w:rsidP="0015535B">
            <w:pPr>
              <w:jc w:val="right"/>
            </w:pPr>
            <w:r>
              <w:t>$</w:t>
            </w:r>
            <w:r w:rsidR="0015535B">
              <w:t>22.44</w:t>
            </w:r>
          </w:p>
        </w:tc>
      </w:tr>
    </w:tbl>
    <w:p w:rsidR="0012001A" w:rsidRDefault="0012001A" w:rsidP="0012001A">
      <w:pPr>
        <w:rPr>
          <w:sz w:val="20"/>
          <w:szCs w:val="20"/>
        </w:rPr>
      </w:pPr>
      <w:r>
        <w:rPr>
          <w:sz w:val="20"/>
          <w:szCs w:val="20"/>
        </w:rPr>
        <w:t>Source: Utility’s cost justification documentation.</w:t>
      </w:r>
    </w:p>
    <w:p w:rsidR="0012001A" w:rsidRDefault="0012001A" w:rsidP="0012001A">
      <w:pPr>
        <w:rPr>
          <w:sz w:val="20"/>
          <w:szCs w:val="20"/>
        </w:rPr>
      </w:pPr>
    </w:p>
    <w:p w:rsidR="0012001A" w:rsidRDefault="00432648" w:rsidP="0012001A">
      <w:pPr>
        <w:jc w:val="both"/>
      </w:pPr>
      <w:r>
        <w:lastRenderedPageBreak/>
        <w:t>Below, in Table 3-5, are the Utility’s requested and staff’s recommended miscellaneous service charges</w:t>
      </w:r>
      <w:r w:rsidR="0012001A">
        <w:t>.</w:t>
      </w:r>
    </w:p>
    <w:p w:rsidR="0012001A" w:rsidRPr="003A20E9" w:rsidRDefault="0012001A" w:rsidP="0012001A">
      <w:pPr>
        <w:jc w:val="center"/>
      </w:pPr>
    </w:p>
    <w:p w:rsidR="0012001A" w:rsidRPr="003A20E9" w:rsidRDefault="0012001A" w:rsidP="0012001A">
      <w:pPr>
        <w:jc w:val="center"/>
        <w:rPr>
          <w:rFonts w:ascii="Arial" w:hAnsi="Arial" w:cs="Arial"/>
          <w:b/>
        </w:rPr>
      </w:pPr>
      <w:r>
        <w:rPr>
          <w:rFonts w:ascii="Arial" w:hAnsi="Arial" w:cs="Arial"/>
          <w:b/>
        </w:rPr>
        <w:t>Table 3</w:t>
      </w:r>
      <w:r w:rsidRPr="003A20E9">
        <w:rPr>
          <w:rFonts w:ascii="Arial" w:hAnsi="Arial" w:cs="Arial"/>
          <w:b/>
        </w:rPr>
        <w:t>-</w:t>
      </w:r>
      <w:r>
        <w:rPr>
          <w:rFonts w:ascii="Arial" w:hAnsi="Arial" w:cs="Arial"/>
          <w:b/>
        </w:rPr>
        <w:t>5</w:t>
      </w:r>
    </w:p>
    <w:p w:rsidR="0012001A" w:rsidRDefault="0012001A" w:rsidP="0012001A">
      <w:pPr>
        <w:jc w:val="center"/>
        <w:rPr>
          <w:rFonts w:ascii="Arial" w:hAnsi="Arial" w:cs="Arial"/>
          <w:b/>
        </w:rPr>
      </w:pPr>
      <w:r w:rsidRPr="003A20E9">
        <w:rPr>
          <w:rFonts w:ascii="Arial" w:hAnsi="Arial" w:cs="Arial"/>
          <w:b/>
        </w:rPr>
        <w:t>Miscellaneous Service Charges</w:t>
      </w:r>
    </w:p>
    <w:tbl>
      <w:tblPr>
        <w:tblW w:w="966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2340"/>
        <w:gridCol w:w="1842"/>
        <w:gridCol w:w="1639"/>
      </w:tblGrid>
      <w:tr w:rsidR="008A0166" w:rsidTr="003303BD">
        <w:trPr>
          <w:trHeight w:val="314"/>
          <w:jc w:val="center"/>
        </w:trPr>
        <w:tc>
          <w:tcPr>
            <w:tcW w:w="3842" w:type="dxa"/>
            <w:tcBorders>
              <w:top w:val="single" w:sz="4" w:space="0" w:color="auto"/>
              <w:left w:val="single" w:sz="4" w:space="0" w:color="auto"/>
              <w:bottom w:val="single" w:sz="4" w:space="0" w:color="auto"/>
              <w:right w:val="single" w:sz="4" w:space="0" w:color="auto"/>
            </w:tcBorders>
            <w:noWrap/>
            <w:vAlign w:val="bottom"/>
          </w:tcPr>
          <w:p w:rsidR="008A0166" w:rsidRDefault="008A0166">
            <w:pPr>
              <w:ind w:firstLine="435"/>
              <w:jc w:val="center"/>
              <w:rPr>
                <w:color w:val="000000"/>
              </w:rPr>
            </w:pPr>
          </w:p>
        </w:tc>
        <w:tc>
          <w:tcPr>
            <w:tcW w:w="2340" w:type="dxa"/>
            <w:tcBorders>
              <w:top w:val="single" w:sz="4" w:space="0" w:color="auto"/>
              <w:left w:val="single" w:sz="4" w:space="0" w:color="auto"/>
              <w:bottom w:val="single" w:sz="4" w:space="0" w:color="auto"/>
              <w:right w:val="single" w:sz="4" w:space="0" w:color="auto"/>
            </w:tcBorders>
            <w:hideMark/>
          </w:tcPr>
          <w:p w:rsidR="008A0166" w:rsidRDefault="008A0166" w:rsidP="008F6204">
            <w:pPr>
              <w:jc w:val="center"/>
              <w:rPr>
                <w:color w:val="000000"/>
              </w:rPr>
            </w:pPr>
            <w:r>
              <w:rPr>
                <w:color w:val="000000"/>
              </w:rPr>
              <w:t>Utility Requested</w:t>
            </w:r>
          </w:p>
        </w:tc>
        <w:tc>
          <w:tcPr>
            <w:tcW w:w="3481" w:type="dxa"/>
            <w:gridSpan w:val="2"/>
            <w:tcBorders>
              <w:top w:val="single" w:sz="4" w:space="0" w:color="auto"/>
              <w:left w:val="single" w:sz="4" w:space="0" w:color="auto"/>
              <w:bottom w:val="single" w:sz="4" w:space="0" w:color="auto"/>
              <w:right w:val="single" w:sz="4" w:space="0" w:color="auto"/>
            </w:tcBorders>
            <w:vAlign w:val="bottom"/>
            <w:hideMark/>
          </w:tcPr>
          <w:p w:rsidR="008A0166" w:rsidRDefault="008A0166" w:rsidP="00507BDC">
            <w:pPr>
              <w:jc w:val="center"/>
              <w:rPr>
                <w:color w:val="000000"/>
              </w:rPr>
            </w:pPr>
            <w:r>
              <w:rPr>
                <w:color w:val="000000"/>
              </w:rPr>
              <w:t>Staff Recommended</w:t>
            </w:r>
          </w:p>
        </w:tc>
      </w:tr>
      <w:tr w:rsidR="008A0166" w:rsidTr="008A0166">
        <w:trPr>
          <w:trHeight w:val="328"/>
          <w:jc w:val="center"/>
        </w:trPr>
        <w:tc>
          <w:tcPr>
            <w:tcW w:w="3842" w:type="dxa"/>
            <w:tcBorders>
              <w:top w:val="single" w:sz="4" w:space="0" w:color="auto"/>
              <w:left w:val="single" w:sz="4" w:space="0" w:color="auto"/>
              <w:bottom w:val="single" w:sz="4" w:space="0" w:color="auto"/>
              <w:right w:val="single" w:sz="4" w:space="0" w:color="auto"/>
            </w:tcBorders>
            <w:noWrap/>
            <w:vAlign w:val="bottom"/>
            <w:hideMark/>
          </w:tcPr>
          <w:p w:rsidR="008A0166" w:rsidRDefault="008A0166">
            <w:pPr>
              <w:rPr>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8A0166" w:rsidRDefault="008A0166">
            <w:pPr>
              <w:jc w:val="center"/>
              <w:rPr>
                <w:color w:val="000000"/>
              </w:rPr>
            </w:pPr>
            <w:r>
              <w:rPr>
                <w:color w:val="000000"/>
              </w:rPr>
              <w:t>Normal and After Hours</w:t>
            </w:r>
          </w:p>
        </w:tc>
        <w:tc>
          <w:tcPr>
            <w:tcW w:w="1842" w:type="dxa"/>
            <w:tcBorders>
              <w:top w:val="single" w:sz="4" w:space="0" w:color="auto"/>
              <w:left w:val="single" w:sz="4" w:space="0" w:color="auto"/>
              <w:bottom w:val="single" w:sz="4" w:space="0" w:color="auto"/>
              <w:right w:val="single" w:sz="4" w:space="0" w:color="auto"/>
            </w:tcBorders>
            <w:vAlign w:val="bottom"/>
            <w:hideMark/>
          </w:tcPr>
          <w:p w:rsidR="008A0166" w:rsidRDefault="008A0166">
            <w:pPr>
              <w:jc w:val="center"/>
              <w:rPr>
                <w:color w:val="000000"/>
              </w:rPr>
            </w:pPr>
            <w:r>
              <w:rPr>
                <w:color w:val="000000"/>
              </w:rPr>
              <w:t>Normal Hours</w:t>
            </w:r>
          </w:p>
        </w:tc>
        <w:tc>
          <w:tcPr>
            <w:tcW w:w="1639" w:type="dxa"/>
            <w:tcBorders>
              <w:top w:val="single" w:sz="4" w:space="0" w:color="auto"/>
              <w:left w:val="single" w:sz="4" w:space="0" w:color="auto"/>
              <w:bottom w:val="single" w:sz="4" w:space="0" w:color="auto"/>
              <w:right w:val="single" w:sz="4" w:space="0" w:color="auto"/>
            </w:tcBorders>
            <w:vAlign w:val="bottom"/>
            <w:hideMark/>
          </w:tcPr>
          <w:p w:rsidR="008A0166" w:rsidRDefault="008A0166">
            <w:pPr>
              <w:jc w:val="center"/>
              <w:rPr>
                <w:color w:val="000000"/>
              </w:rPr>
            </w:pPr>
            <w:r>
              <w:rPr>
                <w:color w:val="000000"/>
              </w:rPr>
              <w:t>After Hours</w:t>
            </w:r>
          </w:p>
        </w:tc>
      </w:tr>
      <w:tr w:rsidR="008A0166" w:rsidTr="008A0166">
        <w:trPr>
          <w:trHeight w:val="328"/>
          <w:jc w:val="center"/>
        </w:trPr>
        <w:tc>
          <w:tcPr>
            <w:tcW w:w="3842" w:type="dxa"/>
            <w:tcBorders>
              <w:top w:val="single" w:sz="4" w:space="0" w:color="auto"/>
              <w:left w:val="single" w:sz="4" w:space="0" w:color="auto"/>
              <w:bottom w:val="single" w:sz="4" w:space="0" w:color="auto"/>
              <w:right w:val="single" w:sz="4" w:space="0" w:color="auto"/>
            </w:tcBorders>
            <w:noWrap/>
            <w:vAlign w:val="bottom"/>
            <w:hideMark/>
          </w:tcPr>
          <w:p w:rsidR="008A0166" w:rsidRDefault="008A0166">
            <w:pPr>
              <w:rPr>
                <w:color w:val="000000"/>
              </w:rPr>
            </w:pPr>
            <w:r>
              <w:rPr>
                <w:color w:val="000000"/>
              </w:rPr>
              <w:t>Initial Connection Charge</w:t>
            </w:r>
          </w:p>
        </w:tc>
        <w:tc>
          <w:tcPr>
            <w:tcW w:w="2340" w:type="dxa"/>
            <w:tcBorders>
              <w:top w:val="single" w:sz="4" w:space="0" w:color="auto"/>
              <w:left w:val="single" w:sz="4" w:space="0" w:color="auto"/>
              <w:bottom w:val="single" w:sz="4" w:space="0" w:color="auto"/>
              <w:right w:val="single" w:sz="4" w:space="0" w:color="auto"/>
            </w:tcBorders>
            <w:hideMark/>
          </w:tcPr>
          <w:p w:rsidR="008A0166" w:rsidRDefault="008A0166">
            <w:pPr>
              <w:jc w:val="right"/>
              <w:rPr>
                <w:color w:val="000000"/>
              </w:rPr>
            </w:pPr>
            <w:r>
              <w:rPr>
                <w:color w:val="000000"/>
              </w:rPr>
              <w:t>$30.00</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8A0166" w:rsidRDefault="008A0166">
            <w:pPr>
              <w:jc w:val="right"/>
              <w:rPr>
                <w:color w:val="000000"/>
              </w:rPr>
            </w:pPr>
            <w:r>
              <w:rPr>
                <w:color w:val="000000"/>
              </w:rPr>
              <w:t xml:space="preserve">$18.60 </w:t>
            </w:r>
          </w:p>
        </w:tc>
        <w:tc>
          <w:tcPr>
            <w:tcW w:w="1639" w:type="dxa"/>
            <w:tcBorders>
              <w:top w:val="single" w:sz="4" w:space="0" w:color="auto"/>
              <w:left w:val="single" w:sz="4" w:space="0" w:color="auto"/>
              <w:bottom w:val="single" w:sz="4" w:space="0" w:color="auto"/>
              <w:right w:val="single" w:sz="4" w:space="0" w:color="auto"/>
            </w:tcBorders>
            <w:noWrap/>
            <w:vAlign w:val="bottom"/>
            <w:hideMark/>
          </w:tcPr>
          <w:p w:rsidR="008A0166" w:rsidRDefault="008A0166">
            <w:pPr>
              <w:jc w:val="right"/>
              <w:rPr>
                <w:color w:val="000000"/>
              </w:rPr>
            </w:pPr>
            <w:r>
              <w:rPr>
                <w:color w:val="000000"/>
              </w:rPr>
              <w:t xml:space="preserve">$21.60 </w:t>
            </w:r>
          </w:p>
        </w:tc>
      </w:tr>
      <w:tr w:rsidR="008A0166" w:rsidTr="008A0166">
        <w:trPr>
          <w:trHeight w:val="328"/>
          <w:jc w:val="center"/>
        </w:trPr>
        <w:tc>
          <w:tcPr>
            <w:tcW w:w="3842" w:type="dxa"/>
            <w:tcBorders>
              <w:top w:val="single" w:sz="4" w:space="0" w:color="auto"/>
              <w:left w:val="single" w:sz="4" w:space="0" w:color="auto"/>
              <w:bottom w:val="single" w:sz="4" w:space="0" w:color="auto"/>
              <w:right w:val="single" w:sz="4" w:space="0" w:color="auto"/>
            </w:tcBorders>
            <w:noWrap/>
            <w:vAlign w:val="bottom"/>
            <w:hideMark/>
          </w:tcPr>
          <w:p w:rsidR="008A0166" w:rsidRDefault="008A0166">
            <w:pPr>
              <w:rPr>
                <w:color w:val="000000"/>
              </w:rPr>
            </w:pPr>
            <w:r>
              <w:rPr>
                <w:color w:val="000000"/>
              </w:rPr>
              <w:t>Normal Reconnection Charge</w:t>
            </w:r>
          </w:p>
        </w:tc>
        <w:tc>
          <w:tcPr>
            <w:tcW w:w="2340" w:type="dxa"/>
            <w:tcBorders>
              <w:top w:val="single" w:sz="4" w:space="0" w:color="auto"/>
              <w:left w:val="single" w:sz="4" w:space="0" w:color="auto"/>
              <w:bottom w:val="single" w:sz="4" w:space="0" w:color="auto"/>
              <w:right w:val="single" w:sz="4" w:space="0" w:color="auto"/>
            </w:tcBorders>
            <w:hideMark/>
          </w:tcPr>
          <w:p w:rsidR="008A0166" w:rsidRDefault="008A0166">
            <w:pPr>
              <w:jc w:val="right"/>
              <w:rPr>
                <w:color w:val="000000"/>
              </w:rPr>
            </w:pPr>
            <w:r>
              <w:rPr>
                <w:color w:val="000000"/>
              </w:rPr>
              <w:t>$30.00</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8A0166" w:rsidRDefault="008A0166">
            <w:pPr>
              <w:jc w:val="right"/>
              <w:rPr>
                <w:color w:val="000000"/>
              </w:rPr>
            </w:pPr>
            <w:r>
              <w:rPr>
                <w:color w:val="000000"/>
              </w:rPr>
              <w:t xml:space="preserve">$29.40 </w:t>
            </w:r>
          </w:p>
        </w:tc>
        <w:tc>
          <w:tcPr>
            <w:tcW w:w="1639" w:type="dxa"/>
            <w:tcBorders>
              <w:top w:val="single" w:sz="4" w:space="0" w:color="auto"/>
              <w:left w:val="single" w:sz="4" w:space="0" w:color="auto"/>
              <w:bottom w:val="single" w:sz="4" w:space="0" w:color="auto"/>
              <w:right w:val="single" w:sz="4" w:space="0" w:color="auto"/>
            </w:tcBorders>
            <w:noWrap/>
            <w:vAlign w:val="bottom"/>
            <w:hideMark/>
          </w:tcPr>
          <w:p w:rsidR="008A0166" w:rsidRDefault="008A0166">
            <w:pPr>
              <w:jc w:val="right"/>
              <w:rPr>
                <w:color w:val="000000"/>
              </w:rPr>
            </w:pPr>
            <w:r>
              <w:rPr>
                <w:color w:val="000000"/>
              </w:rPr>
              <w:t xml:space="preserve">$33.90 </w:t>
            </w:r>
          </w:p>
        </w:tc>
      </w:tr>
      <w:tr w:rsidR="008A0166" w:rsidTr="008A0166">
        <w:trPr>
          <w:trHeight w:val="328"/>
          <w:jc w:val="center"/>
        </w:trPr>
        <w:tc>
          <w:tcPr>
            <w:tcW w:w="3842" w:type="dxa"/>
            <w:tcBorders>
              <w:top w:val="single" w:sz="4" w:space="0" w:color="auto"/>
              <w:left w:val="single" w:sz="4" w:space="0" w:color="auto"/>
              <w:bottom w:val="single" w:sz="4" w:space="0" w:color="auto"/>
              <w:right w:val="single" w:sz="4" w:space="0" w:color="auto"/>
            </w:tcBorders>
            <w:noWrap/>
            <w:vAlign w:val="bottom"/>
            <w:hideMark/>
          </w:tcPr>
          <w:p w:rsidR="008A0166" w:rsidRDefault="008A0166">
            <w:pPr>
              <w:rPr>
                <w:color w:val="000000"/>
              </w:rPr>
            </w:pPr>
            <w:r>
              <w:rPr>
                <w:color w:val="000000"/>
              </w:rPr>
              <w:t>Violation Reconnection Charge</w:t>
            </w:r>
          </w:p>
        </w:tc>
        <w:tc>
          <w:tcPr>
            <w:tcW w:w="2340" w:type="dxa"/>
            <w:tcBorders>
              <w:top w:val="single" w:sz="4" w:space="0" w:color="auto"/>
              <w:left w:val="single" w:sz="4" w:space="0" w:color="auto"/>
              <w:bottom w:val="single" w:sz="4" w:space="0" w:color="auto"/>
              <w:right w:val="single" w:sz="4" w:space="0" w:color="auto"/>
            </w:tcBorders>
            <w:hideMark/>
          </w:tcPr>
          <w:p w:rsidR="008A0166" w:rsidRDefault="008A0166">
            <w:pPr>
              <w:jc w:val="right"/>
              <w:rPr>
                <w:color w:val="000000"/>
              </w:rPr>
            </w:pPr>
            <w:r>
              <w:rPr>
                <w:color w:val="000000"/>
              </w:rPr>
              <w:t>$30.00</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8A0166" w:rsidRDefault="008A0166">
            <w:pPr>
              <w:jc w:val="right"/>
              <w:rPr>
                <w:color w:val="000000"/>
              </w:rPr>
            </w:pPr>
            <w:r>
              <w:rPr>
                <w:color w:val="000000"/>
              </w:rPr>
              <w:t xml:space="preserve">$29.40 </w:t>
            </w:r>
          </w:p>
        </w:tc>
        <w:tc>
          <w:tcPr>
            <w:tcW w:w="1639" w:type="dxa"/>
            <w:tcBorders>
              <w:top w:val="single" w:sz="4" w:space="0" w:color="auto"/>
              <w:left w:val="single" w:sz="4" w:space="0" w:color="auto"/>
              <w:bottom w:val="single" w:sz="4" w:space="0" w:color="auto"/>
              <w:right w:val="single" w:sz="4" w:space="0" w:color="auto"/>
            </w:tcBorders>
            <w:noWrap/>
            <w:vAlign w:val="bottom"/>
            <w:hideMark/>
          </w:tcPr>
          <w:p w:rsidR="008A0166" w:rsidRDefault="008A0166">
            <w:pPr>
              <w:jc w:val="right"/>
              <w:rPr>
                <w:color w:val="000000"/>
              </w:rPr>
            </w:pPr>
            <w:r>
              <w:rPr>
                <w:color w:val="000000"/>
              </w:rPr>
              <w:t xml:space="preserve">$33.90 </w:t>
            </w:r>
          </w:p>
        </w:tc>
      </w:tr>
      <w:tr w:rsidR="008A0166" w:rsidTr="008A0166">
        <w:trPr>
          <w:trHeight w:val="377"/>
          <w:jc w:val="center"/>
        </w:trPr>
        <w:tc>
          <w:tcPr>
            <w:tcW w:w="3842" w:type="dxa"/>
            <w:tcBorders>
              <w:top w:val="single" w:sz="4" w:space="0" w:color="auto"/>
              <w:left w:val="single" w:sz="4" w:space="0" w:color="auto"/>
              <w:bottom w:val="single" w:sz="4" w:space="0" w:color="auto"/>
              <w:right w:val="single" w:sz="4" w:space="0" w:color="auto"/>
            </w:tcBorders>
            <w:noWrap/>
            <w:vAlign w:val="bottom"/>
            <w:hideMark/>
          </w:tcPr>
          <w:p w:rsidR="008A0166" w:rsidRDefault="008A0166">
            <w:pPr>
              <w:rPr>
                <w:color w:val="000000"/>
              </w:rPr>
            </w:pPr>
            <w:r>
              <w:rPr>
                <w:color w:val="000000"/>
              </w:rPr>
              <w:t>Premises Visit  Charge (in lieu of Disconnection)</w:t>
            </w:r>
          </w:p>
        </w:tc>
        <w:tc>
          <w:tcPr>
            <w:tcW w:w="2340" w:type="dxa"/>
            <w:tcBorders>
              <w:top w:val="single" w:sz="4" w:space="0" w:color="auto"/>
              <w:left w:val="single" w:sz="4" w:space="0" w:color="auto"/>
              <w:bottom w:val="single" w:sz="4" w:space="0" w:color="auto"/>
              <w:right w:val="single" w:sz="4" w:space="0" w:color="auto"/>
            </w:tcBorders>
          </w:tcPr>
          <w:p w:rsidR="008A0166" w:rsidRDefault="008A0166">
            <w:pPr>
              <w:jc w:val="right"/>
              <w:rPr>
                <w:color w:val="000000"/>
              </w:rPr>
            </w:pPr>
          </w:p>
          <w:p w:rsidR="008A0166" w:rsidRDefault="008A0166">
            <w:pPr>
              <w:jc w:val="right"/>
              <w:rPr>
                <w:color w:val="000000"/>
              </w:rPr>
            </w:pPr>
            <w:r>
              <w:rPr>
                <w:color w:val="000000"/>
              </w:rPr>
              <w:t>$23.00</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8A0166" w:rsidRDefault="008A0166">
            <w:pPr>
              <w:jc w:val="right"/>
              <w:rPr>
                <w:color w:val="000000"/>
              </w:rPr>
            </w:pPr>
            <w:r>
              <w:rPr>
                <w:color w:val="000000"/>
              </w:rPr>
              <w:t xml:space="preserve">$18.60 </w:t>
            </w:r>
          </w:p>
        </w:tc>
        <w:tc>
          <w:tcPr>
            <w:tcW w:w="1639" w:type="dxa"/>
            <w:tcBorders>
              <w:top w:val="single" w:sz="4" w:space="0" w:color="auto"/>
              <w:left w:val="single" w:sz="4" w:space="0" w:color="auto"/>
              <w:bottom w:val="single" w:sz="4" w:space="0" w:color="auto"/>
              <w:right w:val="single" w:sz="4" w:space="0" w:color="auto"/>
            </w:tcBorders>
            <w:noWrap/>
            <w:vAlign w:val="bottom"/>
            <w:hideMark/>
          </w:tcPr>
          <w:p w:rsidR="008A0166" w:rsidRDefault="008A0166" w:rsidP="00C027DC">
            <w:pPr>
              <w:jc w:val="right"/>
              <w:rPr>
                <w:color w:val="000000"/>
              </w:rPr>
            </w:pPr>
            <w:r>
              <w:rPr>
                <w:color w:val="000000"/>
              </w:rPr>
              <w:t>$</w:t>
            </w:r>
            <w:r w:rsidR="00C027DC">
              <w:rPr>
                <w:color w:val="000000"/>
              </w:rPr>
              <w:t>22.50</w:t>
            </w:r>
            <w:r>
              <w:rPr>
                <w:color w:val="000000"/>
              </w:rPr>
              <w:t xml:space="preserve"> </w:t>
            </w:r>
          </w:p>
        </w:tc>
      </w:tr>
    </w:tbl>
    <w:p w:rsidR="008A0166" w:rsidRPr="003A20E9" w:rsidRDefault="008A0166" w:rsidP="0012001A">
      <w:pPr>
        <w:jc w:val="center"/>
        <w:rPr>
          <w:rFonts w:ascii="Arial" w:hAnsi="Arial" w:cs="Arial"/>
          <w:b/>
        </w:rPr>
      </w:pPr>
    </w:p>
    <w:p w:rsidR="0012001A" w:rsidRDefault="00394078" w:rsidP="0012001A">
      <w:pPr>
        <w:jc w:val="both"/>
        <w:rPr>
          <w:rFonts w:ascii="Arial" w:hAnsi="Arial" w:cs="Arial"/>
          <w:b/>
        </w:rPr>
      </w:pPr>
      <w:r>
        <w:rPr>
          <w:rFonts w:ascii="Arial" w:hAnsi="Arial" w:cs="Arial"/>
          <w:b/>
        </w:rPr>
        <w:t>Conclusion</w:t>
      </w:r>
    </w:p>
    <w:p w:rsidR="006747E6" w:rsidRPr="0093517C" w:rsidRDefault="0012001A" w:rsidP="0093517C">
      <w:pPr>
        <w:pStyle w:val="IssueHeading"/>
        <w:rPr>
          <w:rFonts w:ascii="Times New Roman" w:hAnsi="Times New Roman" w:cs="Times New Roman"/>
          <w:b w:val="0"/>
          <w:bCs w:val="0"/>
          <w:i w:val="0"/>
          <w:kern w:val="0"/>
          <w:szCs w:val="24"/>
        </w:rPr>
      </w:pPr>
      <w:r w:rsidRPr="0012001A">
        <w:rPr>
          <w:rFonts w:ascii="Times New Roman" w:hAnsi="Times New Roman" w:cs="Times New Roman"/>
          <w:b w:val="0"/>
          <w:bCs w:val="0"/>
          <w:i w:val="0"/>
          <w:kern w:val="0"/>
          <w:szCs w:val="24"/>
        </w:rPr>
        <w:t>OLU’s request to implement miscellaneous service charges should be approved. The charges should be effective on or after the stamped approval date on the tariff pursuant to Rule 25-30.475, F.A.C. In addition, the approved charges should not be implemented until staff has approved the proposed customer notice and the notice has been received by the customers. The Utility should provide proof of the date notice was given within 10 days of the date of the notice</w:t>
      </w:r>
      <w:r>
        <w:rPr>
          <w:rFonts w:ascii="Times New Roman" w:hAnsi="Times New Roman" w:cs="Times New Roman"/>
          <w:b w:val="0"/>
          <w:bCs w:val="0"/>
          <w:i w:val="0"/>
          <w:kern w:val="0"/>
          <w:szCs w:val="24"/>
        </w:rPr>
        <w:t>.</w:t>
      </w:r>
      <w:r w:rsidR="006747E6" w:rsidRPr="004C3641">
        <w:rPr>
          <w:b w:val="0"/>
          <w:i w:val="0"/>
        </w:rPr>
        <w:br w:type="page"/>
      </w:r>
      <w:r w:rsidR="006747E6" w:rsidRPr="004C3641">
        <w:lastRenderedPageBreak/>
        <w:t xml:space="preserve">Issue </w:t>
      </w:r>
      <w:r w:rsidR="008B05FE">
        <w:fldChar w:fldCharType="begin"/>
      </w:r>
      <w:r w:rsidR="008B05FE">
        <w:instrText xml:space="preserve"> SEQ Issue \* MERGEFORMAT </w:instrText>
      </w:r>
      <w:r w:rsidR="008B05FE">
        <w:fldChar w:fldCharType="separate"/>
      </w:r>
      <w:r w:rsidR="00CE3B1B">
        <w:rPr>
          <w:noProof/>
        </w:rPr>
        <w:t>4</w:t>
      </w:r>
      <w:r w:rsidR="008B05FE">
        <w:rPr>
          <w:noProof/>
        </w:rPr>
        <w:fldChar w:fldCharType="end"/>
      </w:r>
      <w:r w:rsidR="006747E6" w:rsidRPr="004C3641">
        <w:t>:</w:t>
      </w:r>
      <w:r w:rsidR="0093517C" w:rsidRPr="0093517C">
        <w:t xml:space="preserve"> </w:t>
      </w:r>
      <w:r w:rsidR="0093517C" w:rsidRPr="0093517C">
        <w:rPr>
          <w:rFonts w:ascii="Times New Roman" w:hAnsi="Times New Roman" w:cs="Times New Roman"/>
          <w:b w:val="0"/>
          <w:bCs w:val="0"/>
          <w:i w:val="0"/>
          <w:kern w:val="0"/>
          <w:szCs w:val="24"/>
        </w:rPr>
        <w:t>What are the appropriate initial customer deposits for Orange Land Utilities, LLC</w:t>
      </w:r>
      <w:r w:rsidR="006747E6" w:rsidRPr="0093517C">
        <w:rPr>
          <w:rFonts w:ascii="Times New Roman" w:hAnsi="Times New Roman" w:cs="Times New Roman"/>
          <w:b w:val="0"/>
          <w:bCs w:val="0"/>
          <w:i w:val="0"/>
          <w:kern w:val="0"/>
          <w:szCs w:val="24"/>
        </w:rPr>
        <w:fldChar w:fldCharType="begin"/>
      </w:r>
      <w:r w:rsidR="006747E6" w:rsidRPr="0093517C">
        <w:rPr>
          <w:rFonts w:ascii="Times New Roman" w:hAnsi="Times New Roman" w:cs="Times New Roman"/>
          <w:b w:val="0"/>
          <w:bCs w:val="0"/>
          <w:i w:val="0"/>
          <w:kern w:val="0"/>
          <w:szCs w:val="24"/>
        </w:rPr>
        <w:instrText xml:space="preserve"> TC "</w:instrText>
      </w:r>
      <w:r w:rsidR="006747E6" w:rsidRPr="0093517C">
        <w:rPr>
          <w:rFonts w:ascii="Times New Roman" w:hAnsi="Times New Roman" w:cs="Times New Roman"/>
          <w:b w:val="0"/>
          <w:bCs w:val="0"/>
          <w:i w:val="0"/>
          <w:kern w:val="0"/>
          <w:szCs w:val="24"/>
        </w:rPr>
        <w:fldChar w:fldCharType="begin"/>
      </w:r>
      <w:r w:rsidR="006747E6" w:rsidRPr="0093517C">
        <w:rPr>
          <w:rFonts w:ascii="Times New Roman" w:hAnsi="Times New Roman" w:cs="Times New Roman"/>
          <w:b w:val="0"/>
          <w:bCs w:val="0"/>
          <w:i w:val="0"/>
          <w:kern w:val="0"/>
          <w:szCs w:val="24"/>
        </w:rPr>
        <w:instrText xml:space="preserve"> SEQ issue \c </w:instrText>
      </w:r>
      <w:r w:rsidR="006747E6" w:rsidRPr="0093517C">
        <w:rPr>
          <w:rFonts w:ascii="Times New Roman" w:hAnsi="Times New Roman" w:cs="Times New Roman"/>
          <w:b w:val="0"/>
          <w:bCs w:val="0"/>
          <w:i w:val="0"/>
          <w:kern w:val="0"/>
          <w:szCs w:val="24"/>
        </w:rPr>
        <w:fldChar w:fldCharType="separate"/>
      </w:r>
      <w:r w:rsidR="00CE3B1B">
        <w:rPr>
          <w:rFonts w:ascii="Times New Roman" w:hAnsi="Times New Roman" w:cs="Times New Roman"/>
          <w:b w:val="0"/>
          <w:bCs w:val="0"/>
          <w:i w:val="0"/>
          <w:noProof/>
          <w:kern w:val="0"/>
          <w:szCs w:val="24"/>
        </w:rPr>
        <w:instrText>4</w:instrText>
      </w:r>
      <w:r w:rsidR="006747E6" w:rsidRPr="0093517C">
        <w:rPr>
          <w:rFonts w:ascii="Times New Roman" w:hAnsi="Times New Roman" w:cs="Times New Roman"/>
          <w:b w:val="0"/>
          <w:bCs w:val="0"/>
          <w:i w:val="0"/>
          <w:kern w:val="0"/>
          <w:szCs w:val="24"/>
        </w:rPr>
        <w:fldChar w:fldCharType="end"/>
      </w:r>
      <w:r w:rsidR="006747E6" w:rsidRPr="0093517C">
        <w:rPr>
          <w:rFonts w:ascii="Times New Roman" w:hAnsi="Times New Roman" w:cs="Times New Roman"/>
          <w:b w:val="0"/>
          <w:bCs w:val="0"/>
          <w:i w:val="0"/>
          <w:kern w:val="0"/>
          <w:szCs w:val="24"/>
        </w:rPr>
        <w:tab/>
        <w:instrText xml:space="preserve">" \l 1 </w:instrText>
      </w:r>
      <w:r w:rsidR="006747E6" w:rsidRPr="0093517C">
        <w:rPr>
          <w:rFonts w:ascii="Times New Roman" w:hAnsi="Times New Roman" w:cs="Times New Roman"/>
          <w:b w:val="0"/>
          <w:bCs w:val="0"/>
          <w:i w:val="0"/>
          <w:kern w:val="0"/>
          <w:szCs w:val="24"/>
        </w:rPr>
        <w:fldChar w:fldCharType="end"/>
      </w:r>
      <w:r w:rsidR="006747E6" w:rsidRPr="0093517C">
        <w:rPr>
          <w:rFonts w:ascii="Times New Roman" w:hAnsi="Times New Roman" w:cs="Times New Roman"/>
          <w:b w:val="0"/>
          <w:bCs w:val="0"/>
          <w:i w:val="0"/>
          <w:kern w:val="0"/>
          <w:szCs w:val="24"/>
        </w:rPr>
        <w:t> </w:t>
      </w:r>
      <w:r w:rsidRPr="0093517C">
        <w:rPr>
          <w:rFonts w:ascii="Times New Roman" w:hAnsi="Times New Roman" w:cs="Times New Roman"/>
          <w:b w:val="0"/>
          <w:bCs w:val="0"/>
          <w:i w:val="0"/>
          <w:kern w:val="0"/>
          <w:szCs w:val="24"/>
        </w:rPr>
        <w:fldChar w:fldCharType="begin"/>
      </w:r>
      <w:r w:rsidRPr="0093517C">
        <w:rPr>
          <w:rFonts w:ascii="Times New Roman" w:hAnsi="Times New Roman" w:cs="Times New Roman"/>
          <w:b w:val="0"/>
          <w:bCs w:val="0"/>
          <w:i w:val="0"/>
          <w:kern w:val="0"/>
          <w:szCs w:val="24"/>
        </w:rPr>
        <w:instrText xml:space="preserve"> TC "</w:instrText>
      </w:r>
      <w:r w:rsidRPr="0093517C">
        <w:rPr>
          <w:rFonts w:ascii="Times New Roman" w:hAnsi="Times New Roman" w:cs="Times New Roman"/>
          <w:b w:val="0"/>
          <w:bCs w:val="0"/>
          <w:i w:val="0"/>
          <w:kern w:val="0"/>
          <w:szCs w:val="24"/>
        </w:rPr>
        <w:fldChar w:fldCharType="begin"/>
      </w:r>
      <w:r w:rsidRPr="0093517C">
        <w:rPr>
          <w:rFonts w:ascii="Times New Roman" w:hAnsi="Times New Roman" w:cs="Times New Roman"/>
          <w:b w:val="0"/>
          <w:bCs w:val="0"/>
          <w:i w:val="0"/>
          <w:kern w:val="0"/>
          <w:szCs w:val="24"/>
        </w:rPr>
        <w:instrText xml:space="preserve"> SEQ issue \c </w:instrText>
      </w:r>
      <w:r w:rsidRPr="0093517C">
        <w:rPr>
          <w:rFonts w:ascii="Times New Roman" w:hAnsi="Times New Roman" w:cs="Times New Roman"/>
          <w:b w:val="0"/>
          <w:bCs w:val="0"/>
          <w:i w:val="0"/>
          <w:kern w:val="0"/>
          <w:szCs w:val="24"/>
        </w:rPr>
        <w:fldChar w:fldCharType="separate"/>
      </w:r>
      <w:r w:rsidR="00CE3B1B">
        <w:rPr>
          <w:rFonts w:ascii="Times New Roman" w:hAnsi="Times New Roman" w:cs="Times New Roman"/>
          <w:b w:val="0"/>
          <w:bCs w:val="0"/>
          <w:i w:val="0"/>
          <w:noProof/>
          <w:kern w:val="0"/>
          <w:szCs w:val="24"/>
        </w:rPr>
        <w:instrText>4</w:instrText>
      </w:r>
      <w:r w:rsidRPr="0093517C">
        <w:rPr>
          <w:rFonts w:ascii="Times New Roman" w:hAnsi="Times New Roman" w:cs="Times New Roman"/>
          <w:b w:val="0"/>
          <w:bCs w:val="0"/>
          <w:i w:val="0"/>
          <w:kern w:val="0"/>
          <w:szCs w:val="24"/>
        </w:rPr>
        <w:fldChar w:fldCharType="end"/>
      </w:r>
      <w:r w:rsidRPr="0093517C">
        <w:rPr>
          <w:rFonts w:ascii="Times New Roman" w:hAnsi="Times New Roman" w:cs="Times New Roman"/>
          <w:b w:val="0"/>
          <w:bCs w:val="0"/>
          <w:i w:val="0"/>
          <w:kern w:val="0"/>
          <w:szCs w:val="24"/>
        </w:rPr>
        <w:tab/>
        <w:instrText xml:space="preserve">" \l 1 </w:instrText>
      </w:r>
      <w:r w:rsidRPr="0093517C">
        <w:rPr>
          <w:rFonts w:ascii="Times New Roman" w:hAnsi="Times New Roman" w:cs="Times New Roman"/>
          <w:b w:val="0"/>
          <w:bCs w:val="0"/>
          <w:i w:val="0"/>
          <w:kern w:val="0"/>
          <w:szCs w:val="24"/>
        </w:rPr>
        <w:fldChar w:fldCharType="end"/>
      </w:r>
      <w:r w:rsidRPr="0093517C">
        <w:rPr>
          <w:rFonts w:ascii="Times New Roman" w:hAnsi="Times New Roman" w:cs="Times New Roman"/>
          <w:b w:val="0"/>
          <w:bCs w:val="0"/>
          <w:i w:val="0"/>
          <w:kern w:val="0"/>
          <w:szCs w:val="24"/>
        </w:rPr>
        <w:t>?</w:t>
      </w:r>
    </w:p>
    <w:p w:rsidR="006747E6" w:rsidRPr="004C3641" w:rsidRDefault="006747E6">
      <w:pPr>
        <w:pStyle w:val="IssueSubsectionHeading"/>
        <w:rPr>
          <w:vanish/>
          <w:specVanish/>
        </w:rPr>
      </w:pPr>
      <w:r w:rsidRPr="004C3641">
        <w:t>Recommendation: </w:t>
      </w:r>
    </w:p>
    <w:p w:rsidR="006747E6" w:rsidRDefault="006747E6">
      <w:pPr>
        <w:pStyle w:val="BodyText"/>
      </w:pPr>
      <w:r>
        <w:t> </w:t>
      </w:r>
      <w:r w:rsidR="0012001A">
        <w:t xml:space="preserve">The appropriate initial customer deposit for water service should be $42 for the residential 5/8” x 3/4” meter size. The initial customer deposits for all other residential meter sizes and all general service meter sizes should be two times the average estimated bill for water service. </w:t>
      </w:r>
      <w:r w:rsidR="0012001A">
        <w:rPr>
          <w:color w:val="000000"/>
        </w:rPr>
        <w:t>The approved initial customer deposits should be effective for connections made on or after the stamped approval date on the tariff sheet pursuant to Rule 25-30.475, F.A.C.</w:t>
      </w:r>
      <w:r w:rsidR="0012001A">
        <w:t xml:space="preserve"> (Friedrich)</w:t>
      </w:r>
      <w:r>
        <w:t xml:space="preserve"> </w:t>
      </w:r>
    </w:p>
    <w:p w:rsidR="006747E6" w:rsidRPr="004C3641" w:rsidRDefault="006747E6">
      <w:pPr>
        <w:pStyle w:val="IssueSubsectionHeading"/>
        <w:rPr>
          <w:vanish/>
          <w:specVanish/>
        </w:rPr>
      </w:pPr>
      <w:r w:rsidRPr="004C3641">
        <w:t>Staff Analysis: </w:t>
      </w:r>
    </w:p>
    <w:p w:rsidR="0012001A" w:rsidRDefault="006747E6" w:rsidP="0012001A">
      <w:pPr>
        <w:pStyle w:val="BodyText"/>
        <w:rPr>
          <w:color w:val="000000"/>
        </w:rPr>
      </w:pPr>
      <w:r>
        <w:t> </w:t>
      </w:r>
      <w:r w:rsidR="0012001A">
        <w:rPr>
          <w:color w:val="000000"/>
        </w:rPr>
        <w:t>Rule 25-30.311, F.A.C., contains the criteria for collecting, administering, and refunding customer deposits. Customer deposits are designed to minimize the exposure of bad debt expense for a utility and, ultimately, the general body of ratepayers. Historically, the Commission has set initial customer deposits equal to two times the average estimated bill.</w:t>
      </w:r>
      <w:r w:rsidR="0012001A">
        <w:rPr>
          <w:rStyle w:val="FootnoteReference"/>
          <w:color w:val="000000"/>
        </w:rPr>
        <w:footnoteReference w:id="7"/>
      </w:r>
      <w:r w:rsidR="0012001A">
        <w:rPr>
          <w:color w:val="000000"/>
        </w:rPr>
        <w:t xml:space="preserve"> Currently, the Utility does not have approved initial customer deposits in place. Based on the average water demand, the appropriate initial customer deposit should be $42 to reflect an average residential customer bill for two months. </w:t>
      </w:r>
    </w:p>
    <w:p w:rsidR="0012001A" w:rsidRDefault="0012001A" w:rsidP="0012001A">
      <w:pPr>
        <w:pStyle w:val="BodyText"/>
      </w:pPr>
      <w:r>
        <w:rPr>
          <w:color w:val="000000"/>
        </w:rPr>
        <w:t>Based on the above, staff recommends that t</w:t>
      </w:r>
      <w:r>
        <w:t xml:space="preserve">he appropriate water initial customer deposit should be $42 for the residential 5/8” x 3/4” meter size. The initial customer deposits for all other residential meter sizes and all general service meter sizes should be two times the average estimated bill for water service. </w:t>
      </w:r>
      <w:r>
        <w:rPr>
          <w:color w:val="000000"/>
        </w:rPr>
        <w:t>The approved initial customer deposits should be effective for connections made on or after the stamped approval date on the tariff sheet pursuant to Rule 25-30.475, F.A.C.</w:t>
      </w:r>
    </w:p>
    <w:p w:rsidR="006747E6" w:rsidRDefault="006747E6">
      <w:pPr>
        <w:pStyle w:val="IssueHeading"/>
        <w:rPr>
          <w:vanish/>
          <w:specVanish/>
        </w:rPr>
      </w:pPr>
      <w:r w:rsidRPr="004C3641">
        <w:rPr>
          <w:b w:val="0"/>
          <w:i w:val="0"/>
        </w:rPr>
        <w:br w:type="page"/>
      </w:r>
      <w:r w:rsidRPr="004C3641">
        <w:lastRenderedPageBreak/>
        <w:t xml:space="preserve">Issue </w:t>
      </w:r>
      <w:r w:rsidR="008B05FE">
        <w:fldChar w:fldCharType="begin"/>
      </w:r>
      <w:r w:rsidR="008B05FE">
        <w:instrText xml:space="preserve"> SEQ Issue \* MERGEFORMAT </w:instrText>
      </w:r>
      <w:r w:rsidR="008B05FE">
        <w:fldChar w:fldCharType="separate"/>
      </w:r>
      <w:r w:rsidR="00CE3B1B">
        <w:rPr>
          <w:noProof/>
        </w:rPr>
        <w:t>5</w:t>
      </w:r>
      <w:r w:rsidR="008B05F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E3B1B">
        <w:rPr>
          <w:noProof/>
        </w:rPr>
        <w:instrText>5</w:instrText>
      </w:r>
      <w:r>
        <w:fldChar w:fldCharType="end"/>
      </w:r>
      <w:r>
        <w:tab/>
        <w:instrText xml:space="preserve">" \l 1 </w:instrText>
      </w:r>
      <w:r>
        <w:fldChar w:fldCharType="end"/>
      </w:r>
      <w:r>
        <w:t> </w:t>
      </w:r>
    </w:p>
    <w:p w:rsidR="006747E6" w:rsidRDefault="006747E6">
      <w:pPr>
        <w:pStyle w:val="BodyText"/>
      </w:pPr>
      <w:r>
        <w:t> </w:t>
      </w:r>
      <w:r w:rsidR="0012001A" w:rsidRPr="00353D46">
        <w:t xml:space="preserve">Should </w:t>
      </w:r>
      <w:r w:rsidR="004A41E3" w:rsidRPr="004A41E3">
        <w:t>Orange Land Utilities, LLC</w:t>
      </w:r>
      <w:r w:rsidR="004A41E3" w:rsidRPr="00353D46">
        <w:t xml:space="preserve"> </w:t>
      </w:r>
      <w:r w:rsidR="0012001A" w:rsidRPr="00353D46">
        <w:t>be authorized to collect Non-Sufficient Funds Charges (NSF)</w:t>
      </w:r>
      <w:r w:rsidR="0012001A">
        <w:t>?</w:t>
      </w:r>
    </w:p>
    <w:p w:rsidR="006747E6" w:rsidRPr="004C3641" w:rsidRDefault="006747E6">
      <w:pPr>
        <w:pStyle w:val="IssueSubsectionHeading"/>
        <w:rPr>
          <w:vanish/>
          <w:specVanish/>
        </w:rPr>
      </w:pPr>
      <w:r w:rsidRPr="004C3641">
        <w:t>Recommendation: </w:t>
      </w:r>
    </w:p>
    <w:p w:rsidR="006747E6" w:rsidRDefault="006747E6">
      <w:pPr>
        <w:pStyle w:val="BodyText"/>
      </w:pPr>
      <w:r>
        <w:t> </w:t>
      </w:r>
      <w:r w:rsidR="0012001A" w:rsidRPr="00FF746B">
        <w:t>Yes. OLU should be authorized to collect NSF charges. Staff recommends that OLU revise its tariffs to reflect the NSF charges currently set forth in Section 68.065, F.S. The NSF charges should be effective on or after the stamped approval date on the tariff sheets pursuant to Rule 25-30.475(1), F.A.C. Furthermore, the charges should not be implemented until staff has approved the proposed customer notice. OLU should provide proof of the date the notice was given within 10 days of the date of the notice. (Friedrich</w:t>
      </w:r>
      <w:r w:rsidR="0012001A">
        <w:t>)</w:t>
      </w:r>
      <w:r>
        <w:t xml:space="preserve"> </w:t>
      </w:r>
    </w:p>
    <w:p w:rsidR="006747E6" w:rsidRPr="004C3641" w:rsidRDefault="006747E6">
      <w:pPr>
        <w:pStyle w:val="IssueSubsectionHeading"/>
        <w:rPr>
          <w:vanish/>
          <w:specVanish/>
        </w:rPr>
      </w:pPr>
      <w:r w:rsidRPr="004C3641">
        <w:t>Staff Analysis: </w:t>
      </w:r>
    </w:p>
    <w:p w:rsidR="0012001A" w:rsidRDefault="006747E6" w:rsidP="0012001A">
      <w:pPr>
        <w:pStyle w:val="IssueHeading"/>
      </w:pPr>
      <w:r>
        <w:t> </w:t>
      </w:r>
      <w:r w:rsidR="0012001A" w:rsidRPr="00965419">
        <w:rPr>
          <w:rFonts w:ascii="Times New Roman" w:hAnsi="Times New Roman" w:cs="Times New Roman"/>
          <w:b w:val="0"/>
          <w:bCs w:val="0"/>
          <w:i w:val="0"/>
          <w:kern w:val="0"/>
          <w:szCs w:val="24"/>
        </w:rPr>
        <w:t>Section 367.091, F.S., requires rates, charges, and customer service policies to be approved by the Commission. The Commission has authority to establish, increase, or change a rate or charge. Staff believes that OLU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12001A" w:rsidRDefault="0012001A" w:rsidP="004A41E3">
      <w:pPr>
        <w:pStyle w:val="BodyText"/>
        <w:ind w:left="360"/>
      </w:pPr>
      <w:r>
        <w:t>(1)</w:t>
      </w:r>
      <w:r>
        <w:tab/>
        <w:t xml:space="preserve">$25, if the face value does not exceed $50,  </w:t>
      </w:r>
    </w:p>
    <w:p w:rsidR="0012001A" w:rsidRDefault="0012001A" w:rsidP="0012001A">
      <w:pPr>
        <w:spacing w:after="240"/>
        <w:ind w:firstLine="360"/>
        <w:jc w:val="both"/>
      </w:pPr>
      <w:r>
        <w:t>(2)</w:t>
      </w:r>
      <w:r>
        <w:tab/>
        <w:t>$30, if the face value exceeds $50 but does not exceed $300,</w:t>
      </w:r>
    </w:p>
    <w:p w:rsidR="0012001A" w:rsidRDefault="0012001A" w:rsidP="0012001A">
      <w:pPr>
        <w:spacing w:after="240"/>
        <w:ind w:firstLine="360"/>
        <w:jc w:val="both"/>
      </w:pPr>
      <w:r>
        <w:t>(3)</w:t>
      </w:r>
      <w:r>
        <w:tab/>
        <w:t>$40, if the face value exceeds $300,</w:t>
      </w:r>
    </w:p>
    <w:p w:rsidR="0012001A" w:rsidRDefault="0012001A" w:rsidP="0012001A">
      <w:pPr>
        <w:spacing w:after="240"/>
        <w:ind w:firstLine="360"/>
        <w:jc w:val="both"/>
      </w:pPr>
      <w:r>
        <w:t>(4)</w:t>
      </w:r>
      <w:r>
        <w:tab/>
        <w:t xml:space="preserve">or five percent of the face amount of the check, whichever is greater. </w:t>
      </w:r>
    </w:p>
    <w:p w:rsidR="006747E6" w:rsidRDefault="0012001A" w:rsidP="0012001A">
      <w:pPr>
        <w:pStyle w:val="BodyText"/>
      </w:pPr>
      <w:r>
        <w:t>Approval of NSF charges is consistent with prior Commission decisions.</w:t>
      </w:r>
      <w:r>
        <w:rPr>
          <w:rStyle w:val="FootnoteReference"/>
        </w:rPr>
        <w:footnoteReference w:id="8"/>
      </w:r>
      <w:r w:rsidRPr="0012001A">
        <w:t xml:space="preserve"> </w:t>
      </w:r>
      <w:r>
        <w:t>Furthermore, NSF charges place the cost on the cost-causer, rather than requiring that the costs associated with the return of the NSF checks be spread across the general body of ratepayers. As such, OLU should be authorized to collect NSF charges for its water system. Staff recommends that OLU revise its tariff sheet to reflect the NSF charges currently set forth in Section 68.065, F.S. The NSF charges should be effective on or after the stamped approval date on the tariff sheet pursuant to Rule 25-30.475(1), F.A.C. Furthermore, the NSF charges should not be implemented until staff has approved the proposed customer notice. OLU should provide proof of the date the notice was given within 10 days of the date of the notice.</w:t>
      </w:r>
    </w:p>
    <w:p w:rsidR="006747E6" w:rsidRDefault="006747E6">
      <w:pPr>
        <w:pStyle w:val="IssueHeading"/>
        <w:rPr>
          <w:vanish/>
          <w:specVanish/>
        </w:rPr>
      </w:pPr>
      <w:r w:rsidRPr="004C3641">
        <w:rPr>
          <w:b w:val="0"/>
          <w:i w:val="0"/>
        </w:rPr>
        <w:br w:type="page"/>
      </w:r>
      <w:r w:rsidRPr="004C3641">
        <w:lastRenderedPageBreak/>
        <w:t xml:space="preserve">Issue </w:t>
      </w:r>
      <w:r w:rsidR="008B05FE">
        <w:fldChar w:fldCharType="begin"/>
      </w:r>
      <w:r w:rsidR="008B05FE">
        <w:instrText xml:space="preserve"> SEQ Issue \* MERGEFORMAT </w:instrText>
      </w:r>
      <w:r w:rsidR="008B05FE">
        <w:fldChar w:fldCharType="separate"/>
      </w:r>
      <w:r w:rsidR="00CE3B1B">
        <w:rPr>
          <w:noProof/>
        </w:rPr>
        <w:t>6</w:t>
      </w:r>
      <w:r w:rsidR="008B05F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E3B1B">
        <w:rPr>
          <w:noProof/>
        </w:rPr>
        <w:instrText>6</w:instrText>
      </w:r>
      <w:r>
        <w:fldChar w:fldCharType="end"/>
      </w:r>
      <w:r>
        <w:tab/>
        <w:instrText xml:space="preserve">" \l 1 </w:instrText>
      </w:r>
      <w:r>
        <w:fldChar w:fldCharType="end"/>
      </w:r>
      <w:r>
        <w:t> </w:t>
      </w:r>
    </w:p>
    <w:p w:rsidR="006747E6" w:rsidRDefault="006747E6">
      <w:pPr>
        <w:pStyle w:val="BodyText"/>
      </w:pPr>
      <w:r>
        <w:t> </w:t>
      </w:r>
      <w:r w:rsidR="0012001A">
        <w:t>Should</w:t>
      </w:r>
      <w:r w:rsidR="0088325D" w:rsidRPr="0088325D">
        <w:t xml:space="preserve"> </w:t>
      </w:r>
      <w:r w:rsidR="0088325D" w:rsidRPr="004A41E3">
        <w:t>Orange Land Utilities, LLC</w:t>
      </w:r>
      <w:r w:rsidR="0088325D">
        <w:t>’s</w:t>
      </w:r>
      <w:r w:rsidR="0012001A">
        <w:t xml:space="preserve"> requested meter tampering charge be approved?</w:t>
      </w:r>
    </w:p>
    <w:p w:rsidR="006747E6" w:rsidRPr="004C3641" w:rsidRDefault="006747E6">
      <w:pPr>
        <w:pStyle w:val="IssueSubsectionHeading"/>
        <w:rPr>
          <w:vanish/>
          <w:specVanish/>
        </w:rPr>
      </w:pPr>
      <w:r w:rsidRPr="004C3641">
        <w:t>Recommendation: </w:t>
      </w:r>
    </w:p>
    <w:p w:rsidR="006747E6" w:rsidRDefault="006747E6">
      <w:pPr>
        <w:pStyle w:val="BodyText"/>
      </w:pPr>
      <w:r>
        <w:t> </w:t>
      </w:r>
      <w:r w:rsidR="0012001A">
        <w:t xml:space="preserve">Yes. OLU’s request to implement a $50 meter tampering charge should be approved. The charge should be effective for services rendered on or after the stamped approval date on the tariff pursuant to Rule 25-30.475, F.A.C. In addition, the approved charge should not be implemented until staff has approved the proposed customer notice and the notice has been received by the customers. OLU should provide proof of the date notice was given within 10 days of the date of the </w:t>
      </w:r>
      <w:r w:rsidR="0012001A" w:rsidRPr="000F57C9">
        <w:t>notice</w:t>
      </w:r>
      <w:r w:rsidR="0012001A">
        <w:t>.</w:t>
      </w:r>
      <w:r w:rsidR="002C1D4B">
        <w:t xml:space="preserve"> (Friedrich)</w:t>
      </w:r>
      <w:r>
        <w:t xml:space="preserve"> </w:t>
      </w:r>
    </w:p>
    <w:p w:rsidR="00A12D1C" w:rsidRDefault="006747E6" w:rsidP="00A12D1C">
      <w:pPr>
        <w:tabs>
          <w:tab w:val="num" w:pos="1440"/>
        </w:tabs>
        <w:spacing w:after="240"/>
        <w:jc w:val="both"/>
        <w:outlineLvl w:val="0"/>
        <w:rPr>
          <w:bCs/>
          <w:kern w:val="32"/>
          <w:szCs w:val="32"/>
        </w:rPr>
      </w:pPr>
      <w:r w:rsidRPr="00A12D1C">
        <w:rPr>
          <w:rFonts w:ascii="Arial" w:hAnsi="Arial" w:cs="Arial"/>
          <w:b/>
          <w:bCs/>
          <w:i/>
          <w:iCs/>
          <w:szCs w:val="28"/>
        </w:rPr>
        <w:t>Staff Analysis: </w:t>
      </w:r>
      <w:r w:rsidR="00A12D1C">
        <w:t>The Utility re</w:t>
      </w:r>
      <w:r w:rsidR="00394078">
        <w:t xml:space="preserve">quested a </w:t>
      </w:r>
      <w:r w:rsidR="00A12D1C">
        <w:t xml:space="preserve">$50 </w:t>
      </w:r>
      <w:r w:rsidR="002F4F3A">
        <w:t xml:space="preserve">charge </w:t>
      </w:r>
      <w:r w:rsidR="00A12D1C">
        <w:t>to recover the cost of changes in piping on equipment necessary as a result of meter tampering.</w:t>
      </w:r>
      <w:r w:rsidR="00A12D1C">
        <w:rPr>
          <w:bCs/>
          <w:kern w:val="32"/>
          <w:szCs w:val="32"/>
        </w:rPr>
        <w:t xml:space="preserve"> Rule 25-30.320(2)(i), F.A.C., provides </w:t>
      </w:r>
      <w:r w:rsidR="00A12D1C">
        <w:t>that</w:t>
      </w:r>
      <w:r w:rsidR="00A12D1C">
        <w:rPr>
          <w:bCs/>
          <w:kern w:val="32"/>
          <w:szCs w:val="32"/>
        </w:rPr>
        <w:t xml:space="preserve"> a customer’s service may be discontinued without notice in the event of tampering with the meter or other facilities furnished or owned by the </w:t>
      </w:r>
      <w:r w:rsidR="001E5996">
        <w:rPr>
          <w:bCs/>
          <w:kern w:val="32"/>
          <w:szCs w:val="32"/>
        </w:rPr>
        <w:t>U</w:t>
      </w:r>
      <w:r w:rsidR="00A12D1C">
        <w:rPr>
          <w:bCs/>
          <w:kern w:val="32"/>
          <w:szCs w:val="32"/>
        </w:rPr>
        <w:t xml:space="preserve">tility. In addition, Rule 25-30.320(2)(j), F.A.C., provides that a customer’s service may be discontinued in the event of an unauthorized or fraudulent use of service. The rule allows the </w:t>
      </w:r>
      <w:r w:rsidR="001E5996">
        <w:rPr>
          <w:bCs/>
          <w:kern w:val="32"/>
          <w:szCs w:val="32"/>
        </w:rPr>
        <w:t>U</w:t>
      </w:r>
      <w:r w:rsidR="00A12D1C">
        <w:rPr>
          <w:bCs/>
          <w:kern w:val="32"/>
          <w:szCs w:val="32"/>
        </w:rPr>
        <w:t>tility to require the customer to reimburse the utility an amount reasonably estimated as the deficiency in revenue resulting from the customer’s fraudulent use before restoring service.</w:t>
      </w:r>
    </w:p>
    <w:p w:rsidR="0088325D" w:rsidRDefault="00A12D1C" w:rsidP="00A12D1C">
      <w:pPr>
        <w:jc w:val="both"/>
      </w:pPr>
      <w:r>
        <w:t>Pursuant to Rule 25-30.345, F.A.C., a utility may charge a reasonable fee to defray the cost of restoring service that was discontinued for proper cause as specified in Rule 25-30.320, F.A.C.   The Commission has previously approved a meter tampering charge of $50 for sister utilities of OLU.</w:t>
      </w:r>
      <w:r>
        <w:rPr>
          <w:rStyle w:val="FootnoteReference"/>
        </w:rPr>
        <w:footnoteReference w:id="9"/>
      </w:r>
      <w:r>
        <w:t xml:space="preserve"> OLU provided the appropriate cost justification pursuant to Section 367.091, F.S. Staff believes this is reasonable and consistent with prior Commission decisions and should be approved. However, the charge is appropriate only where an investigation reveals evidence of meter tampering.</w:t>
      </w:r>
      <w:r w:rsidR="006747E6">
        <w:t> </w:t>
      </w:r>
    </w:p>
    <w:p w:rsidR="0012001A" w:rsidRDefault="0012001A" w:rsidP="00A12D1C">
      <w:pPr>
        <w:jc w:val="both"/>
        <w:rPr>
          <w:rFonts w:ascii="Arial" w:hAnsi="Arial" w:cs="Arial"/>
          <w:b/>
        </w:rPr>
      </w:pPr>
      <w:r>
        <w:t xml:space="preserve"> </w:t>
      </w:r>
    </w:p>
    <w:p w:rsidR="006747E6" w:rsidRDefault="0012001A" w:rsidP="0012001A">
      <w:pPr>
        <w:pStyle w:val="BodyText"/>
      </w:pPr>
      <w:r>
        <w:t>Based on the above, staff recommends that OLU’s request to implement a $50 meter tampering charge should be approved. The charge should be effective for services rendered on or after the stamped approval date on the tariff pursuant to Rule 25-30.475, F.A.C. In addition, the approved charge should not be implemented until staff has approved the proposed customer notice and the notice has been received by the customers.</w:t>
      </w:r>
      <w:r w:rsidR="00A12D1C">
        <w:t xml:space="preserve"> </w:t>
      </w:r>
      <w:r>
        <w:t>The Utility should provide proof of the date notice was given within 10 days of the date of the notice.</w:t>
      </w:r>
    </w:p>
    <w:p w:rsidR="006747E6" w:rsidRDefault="006747E6">
      <w:pPr>
        <w:pStyle w:val="IssueHeading"/>
        <w:rPr>
          <w:vanish/>
          <w:specVanish/>
        </w:rPr>
      </w:pPr>
      <w:r w:rsidRPr="004C3641">
        <w:rPr>
          <w:b w:val="0"/>
          <w:i w:val="0"/>
        </w:rPr>
        <w:br w:type="page"/>
      </w:r>
      <w:r w:rsidRPr="004C3641">
        <w:lastRenderedPageBreak/>
        <w:t xml:space="preserve">Issue </w:t>
      </w:r>
      <w:r w:rsidR="008B05FE">
        <w:fldChar w:fldCharType="begin"/>
      </w:r>
      <w:r w:rsidR="008B05FE">
        <w:instrText xml:space="preserve"> SEQ Issue \* MERGEFORMAT </w:instrText>
      </w:r>
      <w:r w:rsidR="008B05FE">
        <w:fldChar w:fldCharType="separate"/>
      </w:r>
      <w:r w:rsidR="00CE3B1B">
        <w:rPr>
          <w:noProof/>
        </w:rPr>
        <w:t>7</w:t>
      </w:r>
      <w:r w:rsidR="008B05F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E3B1B">
        <w:rPr>
          <w:noProof/>
        </w:rPr>
        <w:instrText>7</w:instrText>
      </w:r>
      <w:r>
        <w:fldChar w:fldCharType="end"/>
      </w:r>
      <w:r>
        <w:tab/>
        <w:instrText xml:space="preserve">" \l 1 </w:instrText>
      </w:r>
      <w:r>
        <w:fldChar w:fldCharType="end"/>
      </w:r>
      <w:r>
        <w:t> </w:t>
      </w:r>
    </w:p>
    <w:p w:rsidR="006747E6" w:rsidRDefault="006747E6">
      <w:pPr>
        <w:pStyle w:val="BodyText"/>
      </w:pPr>
      <w:r>
        <w:t> </w:t>
      </w:r>
      <w:r w:rsidR="0012001A">
        <w:t>S</w:t>
      </w:r>
      <w:r w:rsidR="0012001A" w:rsidRPr="00C321BB">
        <w:t>hould the Commission approve</w:t>
      </w:r>
      <w:r w:rsidR="001E5996" w:rsidRPr="001E5996">
        <w:t xml:space="preserve"> </w:t>
      </w:r>
      <w:r w:rsidR="001E5996" w:rsidRPr="004A41E3">
        <w:t>Orange Land Utilities, LLC</w:t>
      </w:r>
      <w:r w:rsidR="001E5996">
        <w:t>’s</w:t>
      </w:r>
      <w:r w:rsidR="0012001A" w:rsidRPr="00C321BB">
        <w:t xml:space="preserve"> request for approval of a convenience charge for customers who opt to pay their bill by debit or credit card</w:t>
      </w:r>
      <w:r w:rsidR="0012001A">
        <w:t>?</w:t>
      </w:r>
    </w:p>
    <w:p w:rsidR="006747E6" w:rsidRPr="004C3641" w:rsidRDefault="006747E6">
      <w:pPr>
        <w:pStyle w:val="IssueSubsectionHeading"/>
        <w:rPr>
          <w:vanish/>
          <w:specVanish/>
        </w:rPr>
      </w:pPr>
      <w:r w:rsidRPr="004C3641">
        <w:t>Recommendation: </w:t>
      </w:r>
    </w:p>
    <w:p w:rsidR="006747E6" w:rsidRDefault="006747E6">
      <w:pPr>
        <w:pStyle w:val="BodyText"/>
      </w:pPr>
      <w:r>
        <w:t> </w:t>
      </w:r>
      <w:r w:rsidR="0012001A" w:rsidRPr="00D00A1A">
        <w:t xml:space="preserve">Yes. OLU’s request for approval of a convenience charge of $3.43 for customers who opt to pay their bill by debit or credit card should be approved. The convenience charge should be effective on or after the stamped approval date on the tariff pursuant to Rule 25-30.475, F.A.C. In addition, the approved charge should not be implemented until staff has approved the proposed customer notice and the notice has been received by the customers. The </w:t>
      </w:r>
      <w:r w:rsidR="0012001A">
        <w:t>U</w:t>
      </w:r>
      <w:r w:rsidR="0012001A" w:rsidRPr="00D00A1A">
        <w:t>tility should provide proof of the date notice was given within 10 days of the date of the notice</w:t>
      </w:r>
      <w:r w:rsidR="0012001A">
        <w:t>.</w:t>
      </w:r>
      <w:r>
        <w:t xml:space="preserve"> </w:t>
      </w:r>
      <w:r w:rsidR="007E18C2">
        <w:t xml:space="preserve"> (Friedrich)</w:t>
      </w:r>
    </w:p>
    <w:p w:rsidR="006747E6" w:rsidRPr="004C3641" w:rsidRDefault="006747E6">
      <w:pPr>
        <w:pStyle w:val="IssueSubsectionHeading"/>
        <w:rPr>
          <w:vanish/>
          <w:specVanish/>
        </w:rPr>
      </w:pPr>
      <w:r w:rsidRPr="004C3641">
        <w:t>Staff Analysis: </w:t>
      </w:r>
    </w:p>
    <w:p w:rsidR="0012001A" w:rsidRPr="005522A1" w:rsidRDefault="006747E6" w:rsidP="0012001A">
      <w:pPr>
        <w:jc w:val="both"/>
      </w:pPr>
      <w:r>
        <w:t> </w:t>
      </w:r>
      <w:r w:rsidR="0012001A">
        <w:t>Section 367.091, F.S., authorizes the Commission to establish, increase, or change a rate or charge other than monthly rates or service availability charges. The Utility is requesting a $3.43 convenience charge and provided cost justification as required by Section 367.091, F.S. The Utility’s cost analysis breakdown for its requested charge is shown below in Table 7-1</w:t>
      </w:r>
      <w:r w:rsidR="0012001A" w:rsidRPr="005522A1">
        <w:t>.</w:t>
      </w:r>
    </w:p>
    <w:p w:rsidR="0012001A" w:rsidRPr="005522A1" w:rsidRDefault="0012001A" w:rsidP="0012001A">
      <w:pPr>
        <w:jc w:val="center"/>
        <w:rPr>
          <w:rFonts w:ascii="Arial" w:hAnsi="Arial" w:cs="Arial"/>
          <w:b/>
        </w:rPr>
      </w:pPr>
      <w:r w:rsidRPr="005522A1">
        <w:rPr>
          <w:rFonts w:ascii="Arial" w:hAnsi="Arial" w:cs="Arial"/>
          <w:b/>
        </w:rPr>
        <w:t xml:space="preserve">Table </w:t>
      </w:r>
      <w:r>
        <w:rPr>
          <w:rFonts w:ascii="Arial" w:hAnsi="Arial" w:cs="Arial"/>
          <w:b/>
        </w:rPr>
        <w:t>7</w:t>
      </w:r>
      <w:r w:rsidRPr="005522A1">
        <w:rPr>
          <w:rFonts w:ascii="Arial" w:hAnsi="Arial" w:cs="Arial"/>
          <w:b/>
        </w:rPr>
        <w:t>-1</w:t>
      </w:r>
    </w:p>
    <w:p w:rsidR="0012001A" w:rsidRPr="005522A1" w:rsidRDefault="0012001A" w:rsidP="0012001A">
      <w:pPr>
        <w:jc w:val="center"/>
      </w:pPr>
      <w:r w:rsidRPr="005522A1">
        <w:rPr>
          <w:rFonts w:ascii="Arial" w:hAnsi="Arial" w:cs="Arial"/>
          <w:b/>
        </w:rPr>
        <w:t>Convenience Charge Cost Justification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2028"/>
      </w:tblGrid>
      <w:tr w:rsidR="0012001A" w:rsidRPr="005522A1" w:rsidTr="0012001A">
        <w:tc>
          <w:tcPr>
            <w:tcW w:w="4092" w:type="dxa"/>
            <w:shd w:val="clear" w:color="auto" w:fill="auto"/>
          </w:tcPr>
          <w:p w:rsidR="0012001A" w:rsidRPr="005522A1" w:rsidRDefault="0012001A" w:rsidP="0012001A">
            <w:pPr>
              <w:jc w:val="both"/>
              <w:rPr>
                <w:u w:val="single"/>
              </w:rPr>
            </w:pPr>
            <w:r w:rsidRPr="005522A1">
              <w:rPr>
                <w:u w:val="single"/>
              </w:rPr>
              <w:t>Activity</w:t>
            </w:r>
          </w:p>
        </w:tc>
        <w:tc>
          <w:tcPr>
            <w:tcW w:w="2028" w:type="dxa"/>
            <w:shd w:val="clear" w:color="auto" w:fill="auto"/>
          </w:tcPr>
          <w:p w:rsidR="0012001A" w:rsidRPr="005522A1" w:rsidRDefault="0012001A" w:rsidP="0012001A">
            <w:pPr>
              <w:jc w:val="right"/>
              <w:rPr>
                <w:u w:val="single"/>
              </w:rPr>
            </w:pPr>
            <w:r w:rsidRPr="005522A1">
              <w:rPr>
                <w:u w:val="single"/>
              </w:rPr>
              <w:t>Cost</w:t>
            </w:r>
          </w:p>
        </w:tc>
      </w:tr>
      <w:tr w:rsidR="0012001A" w:rsidRPr="005522A1" w:rsidTr="0012001A">
        <w:tc>
          <w:tcPr>
            <w:tcW w:w="4092" w:type="dxa"/>
            <w:shd w:val="clear" w:color="auto" w:fill="auto"/>
          </w:tcPr>
          <w:p w:rsidR="0012001A" w:rsidRPr="005522A1" w:rsidRDefault="0012001A" w:rsidP="0012001A">
            <w:pPr>
              <w:jc w:val="both"/>
            </w:pPr>
            <w:r>
              <w:t>Labor</w:t>
            </w:r>
          </w:p>
        </w:tc>
        <w:tc>
          <w:tcPr>
            <w:tcW w:w="2028" w:type="dxa"/>
            <w:shd w:val="clear" w:color="auto" w:fill="auto"/>
          </w:tcPr>
          <w:p w:rsidR="0012001A" w:rsidRPr="005522A1" w:rsidRDefault="0012001A" w:rsidP="0012001A">
            <w:pPr>
              <w:jc w:val="right"/>
            </w:pPr>
            <w:r w:rsidRPr="005522A1">
              <w:t>$</w:t>
            </w:r>
            <w:r>
              <w:t>0</w:t>
            </w:r>
            <w:r w:rsidRPr="005522A1">
              <w:t>.</w:t>
            </w:r>
            <w:r>
              <w:t>54</w:t>
            </w:r>
          </w:p>
        </w:tc>
      </w:tr>
      <w:tr w:rsidR="0012001A" w:rsidRPr="005522A1" w:rsidTr="0012001A">
        <w:tc>
          <w:tcPr>
            <w:tcW w:w="4092" w:type="dxa"/>
            <w:shd w:val="clear" w:color="auto" w:fill="auto"/>
          </w:tcPr>
          <w:p w:rsidR="0012001A" w:rsidRPr="005522A1" w:rsidRDefault="0012001A" w:rsidP="0012001A">
            <w:pPr>
              <w:jc w:val="both"/>
            </w:pPr>
            <w:r>
              <w:t>Ink and Paper per Transaction</w:t>
            </w:r>
          </w:p>
        </w:tc>
        <w:tc>
          <w:tcPr>
            <w:tcW w:w="2028" w:type="dxa"/>
            <w:shd w:val="clear" w:color="auto" w:fill="auto"/>
          </w:tcPr>
          <w:p w:rsidR="0012001A" w:rsidRPr="001320CE" w:rsidRDefault="0012001A" w:rsidP="0012001A">
            <w:pPr>
              <w:jc w:val="right"/>
            </w:pPr>
            <w:r w:rsidRPr="001320CE">
              <w:t>$0.06</w:t>
            </w:r>
          </w:p>
        </w:tc>
      </w:tr>
      <w:tr w:rsidR="0012001A" w:rsidRPr="005522A1" w:rsidTr="0012001A">
        <w:tc>
          <w:tcPr>
            <w:tcW w:w="4092" w:type="dxa"/>
            <w:shd w:val="clear" w:color="auto" w:fill="auto"/>
          </w:tcPr>
          <w:p w:rsidR="0012001A" w:rsidRPr="005522A1" w:rsidRDefault="0012001A" w:rsidP="0012001A">
            <w:pPr>
              <w:jc w:val="both"/>
            </w:pPr>
            <w:r>
              <w:t>Credit Card Machines</w:t>
            </w:r>
          </w:p>
        </w:tc>
        <w:tc>
          <w:tcPr>
            <w:tcW w:w="2028" w:type="dxa"/>
            <w:shd w:val="clear" w:color="auto" w:fill="auto"/>
          </w:tcPr>
          <w:p w:rsidR="0012001A" w:rsidRPr="001320CE" w:rsidRDefault="0012001A" w:rsidP="0012001A">
            <w:pPr>
              <w:jc w:val="right"/>
              <w:rPr>
                <w:u w:val="single"/>
              </w:rPr>
            </w:pPr>
            <w:r w:rsidRPr="001320CE">
              <w:rPr>
                <w:u w:val="single"/>
              </w:rPr>
              <w:t>$2.83</w:t>
            </w:r>
          </w:p>
        </w:tc>
      </w:tr>
      <w:tr w:rsidR="0012001A" w:rsidRPr="005522A1" w:rsidTr="0012001A">
        <w:tc>
          <w:tcPr>
            <w:tcW w:w="4092" w:type="dxa"/>
            <w:shd w:val="clear" w:color="auto" w:fill="auto"/>
          </w:tcPr>
          <w:p w:rsidR="0012001A" w:rsidRPr="005522A1" w:rsidRDefault="0012001A" w:rsidP="0012001A">
            <w:pPr>
              <w:jc w:val="both"/>
            </w:pPr>
            <w:r w:rsidRPr="005522A1">
              <w:t>Total</w:t>
            </w:r>
          </w:p>
        </w:tc>
        <w:tc>
          <w:tcPr>
            <w:tcW w:w="2028" w:type="dxa"/>
            <w:shd w:val="clear" w:color="auto" w:fill="auto"/>
          </w:tcPr>
          <w:p w:rsidR="0012001A" w:rsidRPr="005522A1" w:rsidRDefault="0012001A" w:rsidP="0012001A">
            <w:pPr>
              <w:jc w:val="right"/>
              <w:rPr>
                <w:u w:val="double"/>
              </w:rPr>
            </w:pPr>
            <w:r w:rsidRPr="005522A1">
              <w:rPr>
                <w:u w:val="double"/>
              </w:rPr>
              <w:t>$</w:t>
            </w:r>
            <w:r w:rsidRPr="003E62B5">
              <w:rPr>
                <w:u w:val="double"/>
              </w:rPr>
              <w:t>3.43</w:t>
            </w:r>
          </w:p>
        </w:tc>
      </w:tr>
    </w:tbl>
    <w:p w:rsidR="0012001A" w:rsidRPr="00FB3EC6" w:rsidRDefault="0012001A" w:rsidP="0012001A">
      <w:pPr>
        <w:jc w:val="both"/>
        <w:rPr>
          <w:bCs/>
          <w:iCs/>
          <w:sz w:val="20"/>
          <w:szCs w:val="20"/>
        </w:rPr>
      </w:pPr>
      <w:r w:rsidRPr="005522A1">
        <w:tab/>
      </w:r>
      <w:r>
        <w:tab/>
      </w:r>
      <w:r w:rsidRPr="00FB3EC6">
        <w:rPr>
          <w:sz w:val="20"/>
          <w:szCs w:val="20"/>
        </w:rPr>
        <w:t>Source: Utility’s cost justification documentation</w:t>
      </w:r>
      <w:r>
        <w:rPr>
          <w:sz w:val="20"/>
          <w:szCs w:val="20"/>
        </w:rPr>
        <w:t>.</w:t>
      </w:r>
    </w:p>
    <w:p w:rsidR="0012001A" w:rsidRDefault="0012001A" w:rsidP="0012001A">
      <w:pPr>
        <w:tabs>
          <w:tab w:val="left" w:pos="1440"/>
          <w:tab w:val="left" w:pos="5040"/>
        </w:tabs>
        <w:jc w:val="both"/>
      </w:pPr>
    </w:p>
    <w:p w:rsidR="0012001A" w:rsidRDefault="0012001A" w:rsidP="0012001A">
      <w:pPr>
        <w:tabs>
          <w:tab w:val="left" w:pos="1440"/>
          <w:tab w:val="left" w:pos="5040"/>
        </w:tabs>
        <w:jc w:val="both"/>
      </w:pPr>
      <w:r>
        <w:t>The Commission</w:t>
      </w:r>
      <w:r w:rsidR="002C1D4B">
        <w:t xml:space="preserve"> </w:t>
      </w:r>
      <w:r>
        <w:t>recently approved a convenience charge of $3.00 for customers who opt to pay their bill with debit or credit cards for Charlie Creek Utilities, LLC</w:t>
      </w:r>
      <w:r w:rsidR="002C1D4B">
        <w:t>, a sister utility</w:t>
      </w:r>
      <w:r>
        <w:t>.</w:t>
      </w:r>
      <w:r>
        <w:rPr>
          <w:rStyle w:val="FootnoteReference"/>
        </w:rPr>
        <w:footnoteReference w:id="10"/>
      </w:r>
      <w:r>
        <w:t xml:space="preserve"> The charge was designed to recover the cost of supplies, administrative labor, and equipment.  Staff believes that the Utility’s requested charge of a $3.43 convenience charge is reasonable for customers who opt to pay their water bill by debit or credit card. The Utility’s requested charge benefits the customers by allowing them to expand their payment options. Furthermore, this fee will insure the Utility’s remaining customers do not subsidize those customers who choose to pay using this option.  </w:t>
      </w:r>
    </w:p>
    <w:p w:rsidR="0012001A" w:rsidRDefault="0012001A" w:rsidP="0012001A">
      <w:pPr>
        <w:jc w:val="both"/>
      </w:pPr>
    </w:p>
    <w:p w:rsidR="006747E6" w:rsidRDefault="0012001A" w:rsidP="0012001A">
      <w:pPr>
        <w:pStyle w:val="BodyText"/>
      </w:pPr>
      <w:r>
        <w:t>Based on the above, staff recommends that OLU’s request for approval of a convenience charge of $3.43 for customers who opt to pay their bill by debit or credit card should be approved. The convenience charge should be effective on or after the stamped approval date on the tariff pursuant to Rule 25-30.475, F.A.C. In addition, the approved charge should not be implemented until staff has approved the proposed customer notice and the notice has been received by the customers. The Utility should provide proof of the date notice was given within 10 days of the date of the notice.</w:t>
      </w:r>
    </w:p>
    <w:p w:rsidR="006747E6" w:rsidRDefault="006747E6">
      <w:pPr>
        <w:pStyle w:val="IssueHeading"/>
        <w:rPr>
          <w:vanish/>
          <w:specVanish/>
        </w:rPr>
      </w:pPr>
      <w:r w:rsidRPr="004C3641">
        <w:rPr>
          <w:b w:val="0"/>
          <w:i w:val="0"/>
        </w:rPr>
        <w:br w:type="page"/>
      </w:r>
      <w:r w:rsidRPr="004C3641">
        <w:lastRenderedPageBreak/>
        <w:t xml:space="preserve">Issue </w:t>
      </w:r>
      <w:r w:rsidR="008B05FE">
        <w:fldChar w:fldCharType="begin"/>
      </w:r>
      <w:r w:rsidR="008B05FE">
        <w:instrText xml:space="preserve"> SEQ Issue \* MERGEFORMAT </w:instrText>
      </w:r>
      <w:r w:rsidR="008B05FE">
        <w:fldChar w:fldCharType="separate"/>
      </w:r>
      <w:r w:rsidR="00CE3B1B">
        <w:rPr>
          <w:noProof/>
        </w:rPr>
        <w:t>8</w:t>
      </w:r>
      <w:r w:rsidR="008B05F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E3B1B">
        <w:rPr>
          <w:noProof/>
        </w:rPr>
        <w:instrText>8</w:instrText>
      </w:r>
      <w:r>
        <w:fldChar w:fldCharType="end"/>
      </w:r>
      <w:r>
        <w:tab/>
        <w:instrText xml:space="preserve">" \l 1 </w:instrText>
      </w:r>
      <w:r>
        <w:fldChar w:fldCharType="end"/>
      </w:r>
      <w:r>
        <w:t> </w:t>
      </w:r>
    </w:p>
    <w:p w:rsidR="006747E6" w:rsidRDefault="006747E6">
      <w:pPr>
        <w:pStyle w:val="BodyText"/>
      </w:pPr>
      <w:r>
        <w:t> </w:t>
      </w:r>
      <w:r w:rsidR="0012001A" w:rsidRPr="00A722DD">
        <w:t xml:space="preserve">Should </w:t>
      </w:r>
      <w:r w:rsidR="001E5996" w:rsidRPr="004A41E3">
        <w:t>Orange Land</w:t>
      </w:r>
      <w:r w:rsidR="001E5996">
        <w:t xml:space="preserve"> </w:t>
      </w:r>
      <w:r w:rsidR="001E5996" w:rsidRPr="004A41E3">
        <w:t>Utilities, LLC</w:t>
      </w:r>
      <w:r w:rsidR="001E5996">
        <w:t>’s</w:t>
      </w:r>
      <w:r w:rsidR="001E5996" w:rsidRPr="00C321BB">
        <w:t xml:space="preserve"> </w:t>
      </w:r>
      <w:r w:rsidR="0012001A" w:rsidRPr="00A722DD">
        <w:t>request to implement a $5.25 late payment charge be approved</w:t>
      </w:r>
      <w:r w:rsidR="0012001A">
        <w:t>?</w:t>
      </w:r>
    </w:p>
    <w:p w:rsidR="006747E6" w:rsidRPr="004C3641" w:rsidRDefault="006747E6">
      <w:pPr>
        <w:pStyle w:val="IssueSubsectionHeading"/>
        <w:rPr>
          <w:vanish/>
          <w:specVanish/>
        </w:rPr>
      </w:pPr>
      <w:r w:rsidRPr="004C3641">
        <w:t>Recommendation: </w:t>
      </w:r>
    </w:p>
    <w:p w:rsidR="006747E6" w:rsidRDefault="006747E6">
      <w:pPr>
        <w:pStyle w:val="BodyText"/>
      </w:pPr>
      <w:r>
        <w:t> </w:t>
      </w:r>
      <w:r w:rsidR="0012001A">
        <w:t>Yes</w:t>
      </w:r>
      <w:r w:rsidR="0012001A" w:rsidRPr="001A4FD6">
        <w:t xml:space="preserve">. </w:t>
      </w:r>
      <w:r w:rsidR="0012001A">
        <w:t>OLU</w:t>
      </w:r>
      <w:r w:rsidR="0012001A" w:rsidRPr="001A4FD6">
        <w:t>’s request to implement a $</w:t>
      </w:r>
      <w:r w:rsidR="0012001A">
        <w:t>5.25</w:t>
      </w:r>
      <w:r w:rsidR="0012001A" w:rsidRPr="001A4FD6">
        <w:t xml:space="preserve"> late payment charge should</w:t>
      </w:r>
      <w:r w:rsidR="0012001A">
        <w:t xml:space="preserve"> be approved</w:t>
      </w:r>
      <w:r w:rsidR="0012001A" w:rsidRPr="001A4FD6">
        <w:t>. The Utility should be required to file a proposed customer notice and tariff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The Utility should provide proof of the date notice was given no less than 10 days after the date of the notice. (</w:t>
      </w:r>
      <w:r w:rsidR="0012001A">
        <w:t>Friedrich)</w:t>
      </w:r>
      <w:r>
        <w:t xml:space="preserve"> </w:t>
      </w:r>
    </w:p>
    <w:p w:rsidR="006747E6" w:rsidRPr="004C3641" w:rsidRDefault="006747E6">
      <w:pPr>
        <w:pStyle w:val="IssueSubsectionHeading"/>
        <w:rPr>
          <w:vanish/>
          <w:specVanish/>
        </w:rPr>
      </w:pPr>
      <w:r w:rsidRPr="004C3641">
        <w:t>Staff Analysis: </w:t>
      </w:r>
    </w:p>
    <w:p w:rsidR="0012001A" w:rsidRPr="00147052" w:rsidRDefault="006747E6" w:rsidP="0012001A">
      <w:pPr>
        <w:jc w:val="both"/>
      </w:pPr>
      <w:r>
        <w:t> </w:t>
      </w:r>
      <w:r w:rsidR="0012001A" w:rsidRPr="00147052">
        <w:t>The Utility is requesting a $5.25 late payment charge to recover the cost of supplies and labor associated with processing late payment notices. The Utility’s request for a late payment charge was accompanied by its reason for requesting the charge, as well as the cost justification required b</w:t>
      </w:r>
      <w:r w:rsidR="0012001A">
        <w:t>y Section 367.091, F.S. In its</w:t>
      </w:r>
      <w:r w:rsidR="0012001A" w:rsidRPr="00147052">
        <w:t xml:space="preserve"> cost justification, OLU’s total cost for a late payment charge is $5.28, but OLU is requesting this charge to be rounded down to $5.25. Staff believes OLU’s requested late payment charge of $5.25 is appropriate. OLU’s labor cost of $4.75 accounts for the office personnel time to search, determine, and process delinquent accounts. The provided justification by OLU also includes costs for supplies and postage for printing and sending out late payment notices. OLU’s cost basis for the late payment charge is shown below in Table </w:t>
      </w:r>
      <w:r w:rsidR="0012001A">
        <w:t>8</w:t>
      </w:r>
      <w:r w:rsidR="0012001A" w:rsidRPr="00147052">
        <w:t>-1.</w:t>
      </w:r>
    </w:p>
    <w:p w:rsidR="0012001A" w:rsidRPr="00147052" w:rsidRDefault="0012001A" w:rsidP="0012001A">
      <w:pPr>
        <w:jc w:val="both"/>
      </w:pPr>
    </w:p>
    <w:p w:rsidR="0012001A" w:rsidRPr="00147052" w:rsidRDefault="0012001A" w:rsidP="0012001A">
      <w:pPr>
        <w:jc w:val="both"/>
      </w:pPr>
    </w:p>
    <w:p w:rsidR="0012001A" w:rsidRPr="00147052" w:rsidRDefault="0012001A" w:rsidP="0012001A">
      <w:pPr>
        <w:jc w:val="center"/>
      </w:pPr>
      <w:r>
        <w:rPr>
          <w:rFonts w:ascii="Arial" w:hAnsi="Arial" w:cs="Arial"/>
          <w:b/>
          <w:bCs/>
          <w:kern w:val="32"/>
          <w:szCs w:val="32"/>
        </w:rPr>
        <w:t>Table 8</w:t>
      </w:r>
      <w:r w:rsidRPr="00147052">
        <w:rPr>
          <w:rFonts w:ascii="Arial" w:hAnsi="Arial" w:cs="Arial"/>
          <w:b/>
          <w:bCs/>
          <w:kern w:val="32"/>
          <w:szCs w:val="32"/>
        </w:rPr>
        <w:t>-1</w:t>
      </w:r>
    </w:p>
    <w:p w:rsidR="0012001A" w:rsidRDefault="0012001A" w:rsidP="0012001A">
      <w:pPr>
        <w:jc w:val="center"/>
        <w:outlineLvl w:val="0"/>
        <w:rPr>
          <w:rFonts w:ascii="Arial" w:hAnsi="Arial" w:cs="Arial"/>
          <w:b/>
          <w:bCs/>
          <w:kern w:val="32"/>
          <w:szCs w:val="32"/>
        </w:rPr>
      </w:pPr>
      <w:r w:rsidRPr="00147052">
        <w:rPr>
          <w:rFonts w:ascii="Arial" w:hAnsi="Arial" w:cs="Arial"/>
          <w:b/>
          <w:bCs/>
          <w:kern w:val="32"/>
          <w:szCs w:val="32"/>
        </w:rPr>
        <w:t>Late Payment Charge Cost Justification</w:t>
      </w:r>
    </w:p>
    <w:tbl>
      <w:tblPr>
        <w:tblW w:w="6417"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7F03A7" w:rsidTr="007F03A7">
        <w:trPr>
          <w:trHeight w:val="60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F03A7" w:rsidRDefault="007F03A7">
            <w:pPr>
              <w:jc w:val="center"/>
              <w:rPr>
                <w:color w:val="000000"/>
              </w:rPr>
            </w:pPr>
            <w:r>
              <w:rPr>
                <w:color w:val="000000"/>
              </w:rPr>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7F03A7" w:rsidRDefault="007F03A7">
            <w:pPr>
              <w:jc w:val="center"/>
              <w:rPr>
                <w:color w:val="000000"/>
              </w:rPr>
            </w:pPr>
            <w:r>
              <w:rPr>
                <w:color w:val="000000"/>
              </w:rPr>
              <w:t>Cost</w:t>
            </w:r>
          </w:p>
        </w:tc>
      </w:tr>
      <w:tr w:rsidR="007F03A7" w:rsidTr="007F03A7">
        <w:trPr>
          <w:trHeight w:val="33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7F03A7" w:rsidRDefault="007F03A7">
            <w:pPr>
              <w:rPr>
                <w:color w:val="000000"/>
              </w:rPr>
            </w:pPr>
            <w:r>
              <w:rPr>
                <w:color w:val="000000"/>
              </w:rPr>
              <w:t>Labor</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7F03A7" w:rsidRDefault="007F03A7">
            <w:pPr>
              <w:jc w:val="right"/>
              <w:rPr>
                <w:color w:val="000000"/>
              </w:rPr>
            </w:pPr>
            <w:r>
              <w:rPr>
                <w:color w:val="000000"/>
              </w:rPr>
              <w:t>$4.75</w:t>
            </w:r>
          </w:p>
        </w:tc>
      </w:tr>
      <w:tr w:rsidR="007F03A7" w:rsidTr="007F03A7">
        <w:trPr>
          <w:trHeight w:val="359"/>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7F03A7" w:rsidRDefault="007F03A7">
            <w:pPr>
              <w:rPr>
                <w:color w:val="000000"/>
              </w:rPr>
            </w:pPr>
            <w:r>
              <w:rPr>
                <w:color w:val="000000"/>
              </w:rPr>
              <w:t>Supplies</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7F03A7" w:rsidRDefault="007F03A7">
            <w:pPr>
              <w:jc w:val="right"/>
              <w:rPr>
                <w:color w:val="000000"/>
              </w:rPr>
            </w:pPr>
            <w:r>
              <w:rPr>
                <w:color w:val="000000"/>
              </w:rPr>
              <w:t xml:space="preserve">0.06 </w:t>
            </w:r>
          </w:p>
        </w:tc>
      </w:tr>
      <w:tr w:rsidR="007F03A7" w:rsidTr="007F03A7">
        <w:trPr>
          <w:trHeight w:val="34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7F03A7" w:rsidRDefault="007F03A7">
            <w:pPr>
              <w:rPr>
                <w:color w:val="000000"/>
              </w:rPr>
            </w:pPr>
            <w:r>
              <w:rPr>
                <w:color w:val="000000"/>
              </w:rPr>
              <w:t>Postage</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7F03A7" w:rsidRDefault="007F03A7">
            <w:pPr>
              <w:jc w:val="right"/>
              <w:rPr>
                <w:color w:val="000000"/>
                <w:u w:val="single"/>
              </w:rPr>
            </w:pPr>
            <w:r>
              <w:rPr>
                <w:color w:val="000000"/>
                <w:u w:val="single"/>
              </w:rPr>
              <w:t xml:space="preserve">0.47 </w:t>
            </w:r>
          </w:p>
        </w:tc>
      </w:tr>
      <w:tr w:rsidR="007F03A7" w:rsidTr="007F03A7">
        <w:trPr>
          <w:trHeight w:val="359"/>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7F03A7" w:rsidRDefault="007F03A7">
            <w:pPr>
              <w:rPr>
                <w:color w:val="000000"/>
              </w:rPr>
            </w:pPr>
            <w:r>
              <w:rPr>
                <w:color w:val="000000"/>
              </w:rPr>
              <w:t>Total Cost</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7F03A7" w:rsidRDefault="007F03A7">
            <w:pPr>
              <w:jc w:val="right"/>
              <w:rPr>
                <w:color w:val="000000"/>
                <w:u w:val="double"/>
              </w:rPr>
            </w:pPr>
            <w:r>
              <w:rPr>
                <w:color w:val="000000"/>
                <w:u w:val="double"/>
              </w:rPr>
              <w:t xml:space="preserve">$5.28 </w:t>
            </w:r>
          </w:p>
        </w:tc>
      </w:tr>
    </w:tbl>
    <w:p w:rsidR="0012001A" w:rsidRPr="00147052" w:rsidRDefault="007F03A7" w:rsidP="0012001A">
      <w:pPr>
        <w:ind w:left="1440"/>
        <w:jc w:val="both"/>
        <w:rPr>
          <w:sz w:val="20"/>
          <w:szCs w:val="20"/>
        </w:rPr>
      </w:pPr>
      <w:r>
        <w:rPr>
          <w:sz w:val="20"/>
          <w:szCs w:val="20"/>
        </w:rPr>
        <w:t>S</w:t>
      </w:r>
      <w:r w:rsidR="0012001A" w:rsidRPr="00147052">
        <w:rPr>
          <w:sz w:val="20"/>
          <w:szCs w:val="20"/>
        </w:rPr>
        <w:t>ource: Utility’s cost justification documentation</w:t>
      </w:r>
    </w:p>
    <w:p w:rsidR="0012001A" w:rsidRPr="00147052" w:rsidRDefault="0012001A" w:rsidP="0012001A">
      <w:pPr>
        <w:ind w:left="1440"/>
        <w:jc w:val="both"/>
        <w:rPr>
          <w:sz w:val="20"/>
          <w:szCs w:val="20"/>
        </w:rPr>
      </w:pPr>
    </w:p>
    <w:p w:rsidR="0012001A" w:rsidRPr="00147052" w:rsidRDefault="0012001A" w:rsidP="0012001A">
      <w:pPr>
        <w:ind w:left="1440"/>
        <w:jc w:val="both"/>
        <w:rPr>
          <w:sz w:val="20"/>
          <w:szCs w:val="20"/>
        </w:rPr>
      </w:pPr>
    </w:p>
    <w:p w:rsidR="0012001A" w:rsidRPr="00147052" w:rsidRDefault="0012001A" w:rsidP="0012001A">
      <w:pPr>
        <w:jc w:val="both"/>
      </w:pPr>
      <w:r w:rsidRPr="00147052">
        <w:t>Since the 1990s, the Commission has approved late payment charges ranging from $2.00 to $7.00</w:t>
      </w:r>
      <w:r>
        <w:t>.</w:t>
      </w:r>
      <w:r>
        <w:rPr>
          <w:rStyle w:val="FootnoteReference"/>
        </w:rPr>
        <w:footnoteReference w:id="11"/>
      </w:r>
      <w:r>
        <w:t xml:space="preserve"> </w:t>
      </w:r>
      <w:r w:rsidRPr="00147052">
        <w:t xml:space="preserve">The purpose of this charge is to provide an incentive for customers to make timely </w:t>
      </w:r>
      <w:r w:rsidRPr="00147052">
        <w:lastRenderedPageBreak/>
        <w:t>payments and to place the cost burden of processing delinquent accounts solely upon those who are cost causers.</w:t>
      </w:r>
    </w:p>
    <w:p w:rsidR="0012001A" w:rsidRPr="00147052" w:rsidRDefault="0012001A" w:rsidP="0012001A">
      <w:pPr>
        <w:jc w:val="both"/>
      </w:pPr>
    </w:p>
    <w:p w:rsidR="006747E6" w:rsidRDefault="0012001A" w:rsidP="0012001A">
      <w:pPr>
        <w:pStyle w:val="BodyText"/>
      </w:pPr>
      <w:r w:rsidRPr="00147052">
        <w:t>Based on the above, OLU’s request to implement a $5.25 late payment charge should be approved. The Utility should be required to file a proposed customer notice and tariff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The Utility should provide proof of the date notice was given no less than 10 days after the date of the notice</w:t>
      </w:r>
      <w:r>
        <w:t>.</w:t>
      </w:r>
    </w:p>
    <w:p w:rsidR="006747E6" w:rsidRDefault="006747E6">
      <w:pPr>
        <w:pStyle w:val="IssueHeading"/>
        <w:rPr>
          <w:vanish/>
          <w:specVanish/>
        </w:rPr>
      </w:pPr>
      <w:r w:rsidRPr="004C3641">
        <w:rPr>
          <w:b w:val="0"/>
          <w:i w:val="0"/>
        </w:rPr>
        <w:br w:type="page"/>
      </w:r>
      <w:r w:rsidRPr="004C3641">
        <w:lastRenderedPageBreak/>
        <w:t xml:space="preserve">Issue </w:t>
      </w:r>
      <w:r w:rsidR="008B05FE">
        <w:fldChar w:fldCharType="begin"/>
      </w:r>
      <w:r w:rsidR="008B05FE">
        <w:instrText xml:space="preserve"> SEQ Issue \* MERGEFORMAT </w:instrText>
      </w:r>
      <w:r w:rsidR="008B05FE">
        <w:fldChar w:fldCharType="separate"/>
      </w:r>
      <w:r w:rsidR="00CE3B1B">
        <w:rPr>
          <w:noProof/>
        </w:rPr>
        <w:t>9</w:t>
      </w:r>
      <w:r w:rsidR="008B05F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E3B1B">
        <w:rPr>
          <w:noProof/>
        </w:rPr>
        <w:instrText>9</w:instrText>
      </w:r>
      <w:r>
        <w:fldChar w:fldCharType="end"/>
      </w:r>
      <w:r>
        <w:tab/>
        <w:instrText xml:space="preserve">" \l 1 </w:instrText>
      </w:r>
      <w:r>
        <w:fldChar w:fldCharType="end"/>
      </w:r>
      <w:r>
        <w:t> </w:t>
      </w:r>
    </w:p>
    <w:p w:rsidR="006747E6" w:rsidRDefault="006747E6">
      <w:pPr>
        <w:pStyle w:val="BodyText"/>
      </w:pPr>
      <w:r>
        <w:t> Should this docket be closed?</w:t>
      </w:r>
    </w:p>
    <w:p w:rsidR="006747E6" w:rsidRPr="004C3641" w:rsidRDefault="006747E6">
      <w:pPr>
        <w:pStyle w:val="IssueSubsectionHeading"/>
        <w:rPr>
          <w:vanish/>
          <w:specVanish/>
        </w:rPr>
      </w:pPr>
      <w:r w:rsidRPr="004C3641">
        <w:t>Recommendation: </w:t>
      </w:r>
    </w:p>
    <w:p w:rsidR="006747E6" w:rsidRDefault="006747E6">
      <w:pPr>
        <w:pStyle w:val="BodyText"/>
      </w:pPr>
      <w:r>
        <w:t> </w:t>
      </w:r>
      <w:r w:rsidR="0012001A" w:rsidRPr="001558DE">
        <w:t>The docket should remain open pending staff’s verification that the revised tariff sheets and custome</w:t>
      </w:r>
      <w:r w:rsidR="0012001A">
        <w:t xml:space="preserve">r notice have been filed by </w:t>
      </w:r>
      <w:r w:rsidR="0012001A" w:rsidRPr="001558DE">
        <w:t>Orange Land Utilities, LLC. and approved by staff. If a protest is filed within 21 days of the issuance date of the Order, the tariff sheets should remain in effect with the charges held subject to refund pending resolution of the protest. If no timely protest is filed, a consummating order should be issued and, once staff verifies that the notice of the charge has been given to customers, the docket should be administratively closed. (Trierweiler</w:t>
      </w:r>
      <w:r w:rsidR="0012001A">
        <w:t>)</w:t>
      </w:r>
      <w:r>
        <w:t xml:space="preserve"> </w:t>
      </w:r>
    </w:p>
    <w:p w:rsidR="006747E6" w:rsidRPr="004C3641" w:rsidRDefault="006747E6">
      <w:pPr>
        <w:pStyle w:val="IssueSubsectionHeading"/>
        <w:rPr>
          <w:vanish/>
          <w:specVanish/>
        </w:rPr>
      </w:pPr>
      <w:r w:rsidRPr="004C3641">
        <w:t>Staff Analysis: </w:t>
      </w:r>
    </w:p>
    <w:p w:rsidR="006747E6" w:rsidRDefault="006747E6">
      <w:pPr>
        <w:pStyle w:val="BodyText"/>
      </w:pPr>
      <w:r>
        <w:t> </w:t>
      </w:r>
      <w:r w:rsidR="0012001A" w:rsidRPr="00DD31E9">
        <w:t xml:space="preserve">The docket should remain open pending staff’s verification that the revised tariff sheets and customer notice have been filed by </w:t>
      </w:r>
      <w:r w:rsidR="0012001A" w:rsidRPr="001558DE">
        <w:t>Orange Land Utilities, LLC.</w:t>
      </w:r>
      <w:r w:rsidR="0012001A" w:rsidRPr="00DD31E9">
        <w:t xml:space="preserve"> and approved by staff. If a protest is filed within 21 days of the issuance date of the Order, the tariff sheets should remain in effect with the charges held subject to refund pending resolution of the protest. If no timely protest is filed, a consummating order should be issued and, once staff verifies that the notice of the charges has been given to customers, the docket should be administratively closed</w:t>
      </w:r>
      <w:r w:rsidR="0012001A">
        <w:t>.</w:t>
      </w:r>
    </w:p>
    <w:p w:rsidR="006747E6" w:rsidRDefault="006747E6" w:rsidP="00E275D8">
      <w:pPr>
        <w:pStyle w:val="BodyText"/>
        <w:sectPr w:rsidR="006747E6"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12001A" w:rsidRDefault="0012001A" w:rsidP="0012001A">
      <w:pPr>
        <w:jc w:val="center"/>
        <w:rPr>
          <w:b/>
        </w:rPr>
      </w:pPr>
      <w:r>
        <w:rPr>
          <w:b/>
        </w:rPr>
        <w:lastRenderedPageBreak/>
        <w:t>Orange Land Utilities, LLC</w:t>
      </w:r>
    </w:p>
    <w:p w:rsidR="0012001A" w:rsidRDefault="0012001A" w:rsidP="0012001A">
      <w:pPr>
        <w:jc w:val="center"/>
        <w:rPr>
          <w:b/>
        </w:rPr>
      </w:pPr>
      <w:r>
        <w:rPr>
          <w:b/>
        </w:rPr>
        <w:t>Pasco County</w:t>
      </w:r>
    </w:p>
    <w:p w:rsidR="0012001A" w:rsidRDefault="0012001A" w:rsidP="0012001A">
      <w:pPr>
        <w:jc w:val="center"/>
      </w:pPr>
    </w:p>
    <w:p w:rsidR="0012001A" w:rsidRDefault="0012001A" w:rsidP="0012001A">
      <w:pPr>
        <w:jc w:val="center"/>
      </w:pPr>
    </w:p>
    <w:p w:rsidR="0012001A" w:rsidRDefault="0012001A" w:rsidP="0012001A">
      <w:pPr>
        <w:jc w:val="center"/>
      </w:pPr>
      <w:r>
        <w:t>DESCRIPTION OF TERRITORY SERVED</w:t>
      </w:r>
    </w:p>
    <w:p w:rsidR="0012001A" w:rsidRDefault="0012001A" w:rsidP="0012001A">
      <w:pPr>
        <w:jc w:val="center"/>
      </w:pPr>
    </w:p>
    <w:p w:rsidR="0012001A" w:rsidRDefault="0012001A" w:rsidP="0012001A">
      <w:pPr>
        <w:jc w:val="both"/>
      </w:pPr>
      <w:r>
        <w:t>SECTION 35, TOWNSHIP 25 SOUTH, RANGE 16 EAST, PASCO COUNTY, FLORIDA</w:t>
      </w:r>
    </w:p>
    <w:p w:rsidR="0012001A" w:rsidRDefault="0012001A" w:rsidP="0012001A">
      <w:pPr>
        <w:jc w:val="both"/>
      </w:pPr>
    </w:p>
    <w:p w:rsidR="00B37B3C" w:rsidRDefault="0012001A" w:rsidP="0012001A">
      <w:pPr>
        <w:pStyle w:val="BodyText"/>
        <w:sectPr w:rsidR="00B37B3C" w:rsidSect="0068481F">
          <w:headerReference w:type="default" r:id="rId15"/>
          <w:pgSz w:w="12240" w:h="15840" w:code="1"/>
          <w:pgMar w:top="1584" w:right="1440" w:bottom="1440" w:left="1440" w:header="720" w:footer="720" w:gutter="0"/>
          <w:cols w:space="720"/>
          <w:formProt w:val="0"/>
          <w:docGrid w:linePitch="360"/>
        </w:sectPr>
      </w:pPr>
      <w:r>
        <w:t>THE NORTHEAST 1/4 OF THE SOUTHWEST 1/4 LESS AND EXCEPT THE NORTH 375 FEET AND THE EAST 50 FEET OF THE SOUTH 945 FEET AND THE SOUTH 30 FEET OF THE WEST 1270 FEET</w:t>
      </w:r>
    </w:p>
    <w:p w:rsidR="0016268E" w:rsidRDefault="0016268E" w:rsidP="0016268E">
      <w:pPr>
        <w:pStyle w:val="BodyText"/>
        <w:jc w:val="center"/>
        <w:rPr>
          <w:b/>
        </w:rPr>
      </w:pPr>
      <w:r>
        <w:rPr>
          <w:b/>
        </w:rPr>
        <w:lastRenderedPageBreak/>
        <w:t>FLORIDA PUBLIC SERVICE COMMISSION</w:t>
      </w:r>
    </w:p>
    <w:p w:rsidR="0016268E" w:rsidRDefault="0016268E" w:rsidP="0016268E">
      <w:pPr>
        <w:spacing w:before="240"/>
        <w:jc w:val="center"/>
        <w:rPr>
          <w:b/>
        </w:rPr>
      </w:pPr>
      <w:r>
        <w:rPr>
          <w:b/>
        </w:rPr>
        <w:t>Authorizes</w:t>
      </w:r>
    </w:p>
    <w:p w:rsidR="0016268E" w:rsidRDefault="0016268E" w:rsidP="0016268E">
      <w:pPr>
        <w:jc w:val="center"/>
        <w:rPr>
          <w:b/>
        </w:rPr>
      </w:pPr>
      <w:r>
        <w:rPr>
          <w:b/>
        </w:rPr>
        <w:t>Orange Land Utilities, LLC.</w:t>
      </w:r>
    </w:p>
    <w:p w:rsidR="0016268E" w:rsidRDefault="0016268E" w:rsidP="0016268E">
      <w:pPr>
        <w:jc w:val="center"/>
        <w:rPr>
          <w:b/>
        </w:rPr>
      </w:pPr>
      <w:r>
        <w:rPr>
          <w:b/>
        </w:rPr>
        <w:t>Pursuant to</w:t>
      </w:r>
    </w:p>
    <w:p w:rsidR="0016268E" w:rsidRDefault="0016268E" w:rsidP="0016268E">
      <w:pPr>
        <w:spacing w:after="240"/>
        <w:jc w:val="center"/>
        <w:rPr>
          <w:b/>
        </w:rPr>
      </w:pPr>
      <w:r>
        <w:rPr>
          <w:b/>
        </w:rPr>
        <w:t>Certificate Number 288-W</w:t>
      </w:r>
    </w:p>
    <w:p w:rsidR="0016268E" w:rsidRDefault="0016268E" w:rsidP="0016268E">
      <w:pPr>
        <w:spacing w:before="240" w:after="240"/>
        <w:jc w:val="both"/>
      </w:pPr>
      <w:r>
        <w:t xml:space="preserve">To provide water service in </w:t>
      </w:r>
      <w:r>
        <w:rPr>
          <w:u w:val="single"/>
        </w:rPr>
        <w:t>Pasco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16268E" w:rsidRDefault="0016268E" w:rsidP="0016268E">
      <w:pPr>
        <w:spacing w:before="240" w:after="240"/>
        <w:jc w:val="both"/>
      </w:pPr>
      <w:r>
        <w:rPr>
          <w:u w:val="single"/>
        </w:rPr>
        <w:t>Order Number</w:t>
      </w:r>
      <w:r>
        <w:tab/>
      </w:r>
      <w:r>
        <w:tab/>
      </w:r>
      <w:r>
        <w:tab/>
      </w:r>
      <w:r>
        <w:rPr>
          <w:u w:val="single"/>
        </w:rPr>
        <w:t>Date Issued</w:t>
      </w:r>
      <w:r>
        <w:tab/>
      </w:r>
      <w:r>
        <w:tab/>
      </w:r>
      <w:r>
        <w:rPr>
          <w:u w:val="single"/>
        </w:rPr>
        <w:t>Docket Number</w:t>
      </w:r>
      <w:r>
        <w:tab/>
      </w:r>
      <w:r>
        <w:rPr>
          <w:u w:val="single"/>
        </w:rPr>
        <w:t>Filing Type</w:t>
      </w:r>
    </w:p>
    <w:p w:rsidR="0016268E" w:rsidRDefault="0016268E" w:rsidP="0016268E">
      <w:pPr>
        <w:spacing w:before="240"/>
        <w:jc w:val="both"/>
      </w:pPr>
      <w:r>
        <w:t>Order No. 7790</w:t>
      </w:r>
      <w:r>
        <w:tab/>
      </w:r>
      <w:r>
        <w:tab/>
        <w:t>10/26/1976</w:t>
      </w:r>
      <w:r>
        <w:tab/>
      </w:r>
      <w:r>
        <w:tab/>
        <w:t>760763-W</w:t>
      </w:r>
      <w:r>
        <w:tab/>
      </w:r>
      <w:r>
        <w:tab/>
        <w:t>Original Certificate</w:t>
      </w:r>
    </w:p>
    <w:p w:rsidR="0016268E" w:rsidRDefault="0016268E" w:rsidP="0016268E">
      <w:pPr>
        <w:spacing w:after="240"/>
        <w:jc w:val="both"/>
      </w:pPr>
    </w:p>
    <w:p w:rsidR="0016268E" w:rsidRDefault="0016268E" w:rsidP="0016268E">
      <w:pPr>
        <w:spacing w:after="240"/>
        <w:jc w:val="both"/>
      </w:pPr>
      <w:r>
        <w:t>*</w:t>
      </w:r>
      <w:r>
        <w:tab/>
      </w:r>
      <w:r>
        <w:tab/>
      </w:r>
      <w:r>
        <w:tab/>
      </w:r>
      <w:r>
        <w:tab/>
        <w:t>*</w:t>
      </w:r>
      <w:r>
        <w:tab/>
      </w:r>
      <w:r>
        <w:tab/>
      </w:r>
      <w:r>
        <w:tab/>
        <w:t>160169-WU</w:t>
      </w:r>
      <w:r>
        <w:tab/>
      </w:r>
      <w:r>
        <w:tab/>
        <w:t>Transfer of Certificate</w:t>
      </w:r>
    </w:p>
    <w:p w:rsidR="0016268E" w:rsidRDefault="0016268E" w:rsidP="0016268E">
      <w:pPr>
        <w:pStyle w:val="BodyText"/>
        <w:rPr>
          <w:b/>
        </w:rPr>
      </w:pPr>
      <w:r>
        <w:t xml:space="preserve">* </w:t>
      </w:r>
      <w:r>
        <w:rPr>
          <w:b/>
        </w:rPr>
        <w:t>Order Numbers and dates to be provided at time of issuance</w:t>
      </w:r>
    </w:p>
    <w:p w:rsidR="006747E6" w:rsidRDefault="006747E6" w:rsidP="0012001A">
      <w:pPr>
        <w:pStyle w:val="BodyText"/>
        <w:sectPr w:rsidR="006747E6" w:rsidSect="0068481F">
          <w:headerReference w:type="default" r:id="rId16"/>
          <w:pgSz w:w="12240" w:h="15840" w:code="1"/>
          <w:pgMar w:top="1584" w:right="1440" w:bottom="1440" w:left="1440" w:header="720" w:footer="720" w:gutter="0"/>
          <w:cols w:space="720"/>
          <w:formProt w:val="0"/>
          <w:docGrid w:linePitch="360"/>
        </w:sectPr>
      </w:pPr>
    </w:p>
    <w:p w:rsidR="004E5559" w:rsidRDefault="004E5559" w:rsidP="004E5559">
      <w:pPr>
        <w:jc w:val="center"/>
        <w:rPr>
          <w:rFonts w:ascii="Arial" w:hAnsi="Arial" w:cs="Arial"/>
          <w:b/>
        </w:rPr>
      </w:pPr>
      <w:r>
        <w:rPr>
          <w:rFonts w:ascii="Arial" w:hAnsi="Arial" w:cs="Arial"/>
          <w:b/>
        </w:rPr>
        <w:lastRenderedPageBreak/>
        <w:t>Orange Land  Utilities, LLC</w:t>
      </w:r>
    </w:p>
    <w:p w:rsidR="00920CF2" w:rsidRPr="00C56DAE" w:rsidRDefault="00920CF2" w:rsidP="00920CF2">
      <w:pPr>
        <w:jc w:val="center"/>
      </w:pPr>
      <w:r w:rsidRPr="0081435C">
        <w:rPr>
          <w:rFonts w:ascii="Arial" w:hAnsi="Arial" w:cs="Arial"/>
          <w:b/>
        </w:rPr>
        <w:t>Monthly Water Rates</w:t>
      </w:r>
    </w:p>
    <w:tbl>
      <w:tblPr>
        <w:tblW w:w="9629" w:type="dxa"/>
        <w:tblInd w:w="-72" w:type="dxa"/>
        <w:tblLook w:val="01E0" w:firstRow="1" w:lastRow="1" w:firstColumn="1" w:lastColumn="1" w:noHBand="0" w:noVBand="0"/>
      </w:tblPr>
      <w:tblGrid>
        <w:gridCol w:w="4500"/>
        <w:gridCol w:w="360"/>
        <w:gridCol w:w="450"/>
        <w:gridCol w:w="1939"/>
        <w:gridCol w:w="2291"/>
        <w:gridCol w:w="89"/>
      </w:tblGrid>
      <w:tr w:rsidR="00563DC1" w:rsidTr="00286210">
        <w:trPr>
          <w:gridAfter w:val="1"/>
          <w:wAfter w:w="89" w:type="dxa"/>
          <w:trHeight w:val="297"/>
        </w:trPr>
        <w:tc>
          <w:tcPr>
            <w:tcW w:w="486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Pr>
                <w:rFonts w:ascii="Arial" w:hAnsi="Arial" w:cs="Arial"/>
                <w:b/>
              </w:rPr>
              <w:t>Residential and General Service</w:t>
            </w:r>
          </w:p>
        </w:tc>
        <w:tc>
          <w:tcPr>
            <w:tcW w:w="450" w:type="dxa"/>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4230" w:type="dxa"/>
            <w:gridSpan w:val="2"/>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r>
      <w:tr w:rsidR="00563DC1" w:rsidTr="00286210">
        <w:trPr>
          <w:gridAfter w:val="1"/>
          <w:wAfter w:w="89" w:type="dxa"/>
        </w:trPr>
        <w:tc>
          <w:tcPr>
            <w:tcW w:w="486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Base Facility Charge by Meter Size</w:t>
            </w:r>
          </w:p>
        </w:tc>
        <w:tc>
          <w:tcPr>
            <w:tcW w:w="450" w:type="dxa"/>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63DC1" w:rsidTr="00286210">
        <w:trPr>
          <w:gridAfter w:val="1"/>
          <w:wAfter w:w="89" w:type="dxa"/>
        </w:trPr>
        <w:tc>
          <w:tcPr>
            <w:tcW w:w="4860" w:type="dxa"/>
            <w:gridSpan w:val="2"/>
            <w:hideMark/>
          </w:tcPr>
          <w:p w:rsidR="00563DC1" w:rsidRDefault="00563DC1">
            <w:pPr>
              <w:tabs>
                <w:tab w:val="left" w:pos="-720"/>
                <w:tab w:val="left" w:pos="0"/>
                <w:tab w:val="left" w:pos="720"/>
                <w:tab w:val="left" w:pos="3645"/>
              </w:tabs>
            </w:pPr>
            <w:r>
              <w:t>5/8” x 3/4"</w:t>
            </w:r>
            <w:r>
              <w:tab/>
            </w:r>
          </w:p>
        </w:tc>
        <w:tc>
          <w:tcPr>
            <w:tcW w:w="450" w:type="dxa"/>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$14.70</w:t>
            </w:r>
          </w:p>
        </w:tc>
      </w:tr>
      <w:tr w:rsidR="00563DC1" w:rsidTr="00286210">
        <w:trPr>
          <w:gridAfter w:val="1"/>
          <w:wAfter w:w="89" w:type="dxa"/>
        </w:trPr>
        <w:tc>
          <w:tcPr>
            <w:tcW w:w="486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3/4"</w:t>
            </w:r>
          </w:p>
        </w:tc>
        <w:tc>
          <w:tcPr>
            <w:tcW w:w="450" w:type="dxa"/>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$22.05</w:t>
            </w:r>
          </w:p>
        </w:tc>
      </w:tr>
      <w:tr w:rsidR="00563DC1" w:rsidTr="00286210">
        <w:trPr>
          <w:gridAfter w:val="1"/>
          <w:wAfter w:w="89" w:type="dxa"/>
        </w:trPr>
        <w:tc>
          <w:tcPr>
            <w:tcW w:w="486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w:t>
            </w:r>
          </w:p>
        </w:tc>
        <w:tc>
          <w:tcPr>
            <w:tcW w:w="450" w:type="dxa"/>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$36.75</w:t>
            </w:r>
          </w:p>
        </w:tc>
      </w:tr>
      <w:tr w:rsidR="00563DC1" w:rsidTr="00286210">
        <w:trPr>
          <w:gridAfter w:val="1"/>
          <w:wAfter w:w="89" w:type="dxa"/>
        </w:trPr>
        <w:tc>
          <w:tcPr>
            <w:tcW w:w="486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1 1/2"</w:t>
            </w:r>
          </w:p>
        </w:tc>
        <w:tc>
          <w:tcPr>
            <w:tcW w:w="450" w:type="dxa"/>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$73.51</w:t>
            </w:r>
          </w:p>
        </w:tc>
      </w:tr>
      <w:tr w:rsidR="00563DC1" w:rsidTr="00286210">
        <w:trPr>
          <w:gridAfter w:val="1"/>
          <w:wAfter w:w="89" w:type="dxa"/>
        </w:trPr>
        <w:tc>
          <w:tcPr>
            <w:tcW w:w="486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2"</w:t>
            </w:r>
          </w:p>
        </w:tc>
        <w:tc>
          <w:tcPr>
            <w:tcW w:w="450" w:type="dxa"/>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$117.62</w:t>
            </w:r>
          </w:p>
        </w:tc>
      </w:tr>
      <w:tr w:rsidR="00563DC1" w:rsidTr="00286210">
        <w:trPr>
          <w:gridAfter w:val="1"/>
          <w:wAfter w:w="89" w:type="dxa"/>
        </w:trPr>
        <w:tc>
          <w:tcPr>
            <w:tcW w:w="486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3"</w:t>
            </w:r>
          </w:p>
        </w:tc>
        <w:tc>
          <w:tcPr>
            <w:tcW w:w="450" w:type="dxa"/>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$235.23</w:t>
            </w:r>
          </w:p>
        </w:tc>
      </w:tr>
      <w:tr w:rsidR="00563DC1" w:rsidTr="00286210">
        <w:trPr>
          <w:gridAfter w:val="1"/>
          <w:wAfter w:w="89" w:type="dxa"/>
        </w:trPr>
        <w:tc>
          <w:tcPr>
            <w:tcW w:w="486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4"</w:t>
            </w:r>
          </w:p>
        </w:tc>
        <w:tc>
          <w:tcPr>
            <w:tcW w:w="450" w:type="dxa"/>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$367.55</w:t>
            </w:r>
          </w:p>
        </w:tc>
      </w:tr>
      <w:tr w:rsidR="00563DC1" w:rsidTr="00286210">
        <w:trPr>
          <w:gridAfter w:val="1"/>
          <w:wAfter w:w="89" w:type="dxa"/>
        </w:trPr>
        <w:tc>
          <w:tcPr>
            <w:tcW w:w="486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6"</w:t>
            </w:r>
          </w:p>
        </w:tc>
        <w:tc>
          <w:tcPr>
            <w:tcW w:w="450" w:type="dxa"/>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$735.09</w:t>
            </w:r>
          </w:p>
        </w:tc>
      </w:tr>
      <w:tr w:rsidR="00563DC1" w:rsidTr="00286210">
        <w:trPr>
          <w:gridAfter w:val="1"/>
          <w:wAfter w:w="89" w:type="dxa"/>
        </w:trPr>
        <w:tc>
          <w:tcPr>
            <w:tcW w:w="4860" w:type="dxa"/>
            <w:gridSpan w:val="2"/>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50" w:type="dxa"/>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63DC1" w:rsidTr="00286210">
        <w:trPr>
          <w:gridAfter w:val="1"/>
          <w:wAfter w:w="89" w:type="dxa"/>
        </w:trPr>
        <w:tc>
          <w:tcPr>
            <w:tcW w:w="486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Charge per 1,000 gallons</w:t>
            </w:r>
          </w:p>
        </w:tc>
        <w:tc>
          <w:tcPr>
            <w:tcW w:w="450" w:type="dxa"/>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63DC1" w:rsidTr="00286210">
        <w:trPr>
          <w:gridAfter w:val="1"/>
          <w:wAfter w:w="89" w:type="dxa"/>
        </w:trPr>
        <w:tc>
          <w:tcPr>
            <w:tcW w:w="486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0-5,000 gallons</w:t>
            </w:r>
          </w:p>
        </w:tc>
        <w:tc>
          <w:tcPr>
            <w:tcW w:w="450" w:type="dxa"/>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$2.12</w:t>
            </w:r>
          </w:p>
        </w:tc>
      </w:tr>
      <w:tr w:rsidR="00563DC1" w:rsidTr="00286210">
        <w:trPr>
          <w:gridAfter w:val="1"/>
          <w:wAfter w:w="89" w:type="dxa"/>
        </w:trPr>
        <w:tc>
          <w:tcPr>
            <w:tcW w:w="486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Over 5,000 gallons</w:t>
            </w:r>
          </w:p>
        </w:tc>
        <w:tc>
          <w:tcPr>
            <w:tcW w:w="450" w:type="dxa"/>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563DC1" w:rsidRDefault="00563D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$3.13</w:t>
            </w:r>
          </w:p>
        </w:tc>
      </w:tr>
      <w:tr w:rsidR="00394678" w:rsidTr="00286210">
        <w:trPr>
          <w:gridAfter w:val="1"/>
          <w:wAfter w:w="89" w:type="dxa"/>
        </w:trPr>
        <w:tc>
          <w:tcPr>
            <w:tcW w:w="9540" w:type="dxa"/>
            <w:gridSpan w:val="5"/>
            <w:hideMark/>
          </w:tcPr>
          <w:p w:rsidR="00394678" w:rsidRDefault="003946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Pr>
                <w:rFonts w:ascii="Arial" w:hAnsi="Arial" w:cs="Arial"/>
                <w:b/>
              </w:rPr>
              <w:t>Initial Customer Deposits*</w:t>
            </w:r>
          </w:p>
        </w:tc>
      </w:tr>
      <w:tr w:rsidR="00394678" w:rsidTr="00286210">
        <w:trPr>
          <w:gridAfter w:val="1"/>
          <w:wAfter w:w="89" w:type="dxa"/>
          <w:trHeight w:val="261"/>
        </w:trPr>
        <w:tc>
          <w:tcPr>
            <w:tcW w:w="4500" w:type="dxa"/>
          </w:tcPr>
          <w:p w:rsidR="00394678" w:rsidRDefault="003946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5040" w:type="dxa"/>
            <w:gridSpan w:val="4"/>
          </w:tcPr>
          <w:p w:rsidR="00394678" w:rsidRDefault="003946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394678" w:rsidTr="00286210">
        <w:trPr>
          <w:gridAfter w:val="1"/>
          <w:wAfter w:w="89" w:type="dxa"/>
        </w:trPr>
        <w:tc>
          <w:tcPr>
            <w:tcW w:w="9540" w:type="dxa"/>
            <w:gridSpan w:val="5"/>
            <w:hideMark/>
          </w:tcPr>
          <w:p w:rsidR="00394678" w:rsidRDefault="003946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Pr>
                <w:rFonts w:ascii="Arial" w:hAnsi="Arial" w:cs="Arial"/>
                <w:b/>
              </w:rPr>
              <w:t xml:space="preserve">                                                 </w:t>
            </w:r>
            <w:r>
              <w:t xml:space="preserve">            </w:t>
            </w:r>
            <w:r>
              <w:rPr>
                <w:u w:val="single"/>
              </w:rPr>
              <w:t>Residential Service</w:t>
            </w:r>
            <w:r>
              <w:t xml:space="preserve">                </w:t>
            </w:r>
            <w:r>
              <w:rPr>
                <w:u w:val="single"/>
              </w:rPr>
              <w:t>General Service</w:t>
            </w:r>
          </w:p>
        </w:tc>
      </w:tr>
      <w:tr w:rsidR="00394678" w:rsidTr="00286210">
        <w:trPr>
          <w:gridAfter w:val="1"/>
          <w:wAfter w:w="89" w:type="dxa"/>
          <w:trHeight w:val="261"/>
        </w:trPr>
        <w:tc>
          <w:tcPr>
            <w:tcW w:w="4500" w:type="dxa"/>
            <w:hideMark/>
          </w:tcPr>
          <w:p w:rsidR="00394678" w:rsidRDefault="003946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5/8” x 3/4”</w:t>
            </w:r>
          </w:p>
        </w:tc>
        <w:tc>
          <w:tcPr>
            <w:tcW w:w="5040" w:type="dxa"/>
            <w:gridSpan w:val="4"/>
            <w:hideMark/>
          </w:tcPr>
          <w:p w:rsidR="00394678" w:rsidRDefault="003946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$42                            2x the average estimated bill</w:t>
            </w:r>
          </w:p>
        </w:tc>
      </w:tr>
      <w:tr w:rsidR="00394678" w:rsidTr="00DE1111">
        <w:trPr>
          <w:gridAfter w:val="1"/>
          <w:wAfter w:w="89" w:type="dxa"/>
          <w:trHeight w:val="306"/>
        </w:trPr>
        <w:tc>
          <w:tcPr>
            <w:tcW w:w="9540" w:type="dxa"/>
            <w:gridSpan w:val="5"/>
            <w:hideMark/>
          </w:tcPr>
          <w:p w:rsidR="00394678" w:rsidRDefault="003946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All other meter sizes                        2x the average estimated bill      2x the average estimated bill</w:t>
            </w:r>
          </w:p>
        </w:tc>
      </w:tr>
      <w:tr w:rsidR="00286210" w:rsidTr="00286210">
        <w:trPr>
          <w:trHeight w:val="144"/>
        </w:trPr>
        <w:tc>
          <w:tcPr>
            <w:tcW w:w="9629" w:type="dxa"/>
            <w:gridSpan w:val="6"/>
            <w:hideMark/>
          </w:tcPr>
          <w:p w:rsidR="00DE1111" w:rsidRDefault="00DE11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Pr>
                <w:rFonts w:ascii="Arial" w:hAnsi="Arial" w:cs="Arial"/>
                <w:b/>
              </w:rPr>
              <w:t>Miscellaneous Service Charges*</w:t>
            </w:r>
          </w:p>
        </w:tc>
      </w:tr>
      <w:tr w:rsidR="00286210" w:rsidTr="00286210">
        <w:trPr>
          <w:trHeight w:val="144"/>
        </w:trPr>
        <w:tc>
          <w:tcPr>
            <w:tcW w:w="9629" w:type="dxa"/>
            <w:gridSpan w:val="6"/>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c>
      </w:tr>
      <w:tr w:rsidR="00286210" w:rsidTr="00286210">
        <w:trPr>
          <w:trHeight w:val="144"/>
        </w:trPr>
        <w:tc>
          <w:tcPr>
            <w:tcW w:w="5310" w:type="dxa"/>
            <w:gridSpan w:val="3"/>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39" w:type="dxa"/>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u w:val="single"/>
              </w:rPr>
            </w:pPr>
            <w:r>
              <w:rPr>
                <w:u w:val="single"/>
              </w:rPr>
              <w:t>Normal Hours</w:t>
            </w:r>
          </w:p>
        </w:tc>
        <w:tc>
          <w:tcPr>
            <w:tcW w:w="2380" w:type="dxa"/>
            <w:gridSpan w:val="2"/>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u w:val="single"/>
              </w:rPr>
            </w:pPr>
            <w:r>
              <w:rPr>
                <w:u w:val="single"/>
              </w:rPr>
              <w:t>After Hours</w:t>
            </w:r>
          </w:p>
        </w:tc>
      </w:tr>
      <w:tr w:rsidR="00286210" w:rsidTr="00286210">
        <w:trPr>
          <w:trHeight w:val="144"/>
        </w:trPr>
        <w:tc>
          <w:tcPr>
            <w:tcW w:w="5310" w:type="dxa"/>
            <w:gridSpan w:val="3"/>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Initial Connection Charge</w:t>
            </w:r>
          </w:p>
        </w:tc>
        <w:tc>
          <w:tcPr>
            <w:tcW w:w="1939" w:type="dxa"/>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$18.60</w:t>
            </w:r>
          </w:p>
        </w:tc>
        <w:tc>
          <w:tcPr>
            <w:tcW w:w="2380" w:type="dxa"/>
            <w:gridSpan w:val="2"/>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$21.60</w:t>
            </w:r>
          </w:p>
        </w:tc>
      </w:tr>
      <w:tr w:rsidR="00286210" w:rsidTr="00286210">
        <w:trPr>
          <w:trHeight w:val="144"/>
        </w:trPr>
        <w:tc>
          <w:tcPr>
            <w:tcW w:w="5310" w:type="dxa"/>
            <w:gridSpan w:val="3"/>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Normal Reconnection Charge</w:t>
            </w:r>
          </w:p>
        </w:tc>
        <w:tc>
          <w:tcPr>
            <w:tcW w:w="1939" w:type="dxa"/>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$29.40</w:t>
            </w:r>
          </w:p>
        </w:tc>
        <w:tc>
          <w:tcPr>
            <w:tcW w:w="2380" w:type="dxa"/>
            <w:gridSpan w:val="2"/>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$33.90</w:t>
            </w:r>
          </w:p>
        </w:tc>
      </w:tr>
      <w:tr w:rsidR="00286210" w:rsidTr="00286210">
        <w:trPr>
          <w:trHeight w:val="144"/>
        </w:trPr>
        <w:tc>
          <w:tcPr>
            <w:tcW w:w="5310" w:type="dxa"/>
            <w:gridSpan w:val="3"/>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Violation Reconnection Charge</w:t>
            </w:r>
          </w:p>
        </w:tc>
        <w:tc>
          <w:tcPr>
            <w:tcW w:w="1939" w:type="dxa"/>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$29.40</w:t>
            </w:r>
          </w:p>
        </w:tc>
        <w:tc>
          <w:tcPr>
            <w:tcW w:w="2380" w:type="dxa"/>
            <w:gridSpan w:val="2"/>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$33.90</w:t>
            </w:r>
          </w:p>
        </w:tc>
      </w:tr>
      <w:tr w:rsidR="00286210" w:rsidTr="00286210">
        <w:trPr>
          <w:trHeight w:val="279"/>
        </w:trPr>
        <w:tc>
          <w:tcPr>
            <w:tcW w:w="5310" w:type="dxa"/>
            <w:gridSpan w:val="3"/>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Premises Visit Charge (in lieu of disconnection)</w:t>
            </w:r>
          </w:p>
        </w:tc>
        <w:tc>
          <w:tcPr>
            <w:tcW w:w="1939" w:type="dxa"/>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$18.60</w:t>
            </w:r>
          </w:p>
        </w:tc>
        <w:tc>
          <w:tcPr>
            <w:tcW w:w="2380" w:type="dxa"/>
            <w:gridSpan w:val="2"/>
            <w:hideMark/>
          </w:tcPr>
          <w:p w:rsidR="00286210" w:rsidRDefault="00286210" w:rsidP="00AF2E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w:t>
            </w:r>
            <w:r w:rsidR="00AF2ED3">
              <w:t>22.50</w:t>
            </w:r>
          </w:p>
        </w:tc>
      </w:tr>
      <w:tr w:rsidR="00286210" w:rsidTr="00286210">
        <w:trPr>
          <w:trHeight w:val="144"/>
        </w:trPr>
        <w:tc>
          <w:tcPr>
            <w:tcW w:w="5310" w:type="dxa"/>
            <w:gridSpan w:val="3"/>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 xml:space="preserve">Late Payment Charge </w:t>
            </w:r>
          </w:p>
        </w:tc>
        <w:tc>
          <w:tcPr>
            <w:tcW w:w="4319" w:type="dxa"/>
            <w:gridSpan w:val="3"/>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$5.25</w:t>
            </w:r>
          </w:p>
        </w:tc>
      </w:tr>
      <w:tr w:rsidR="00286210" w:rsidTr="00286210">
        <w:trPr>
          <w:trHeight w:val="144"/>
        </w:trPr>
        <w:tc>
          <w:tcPr>
            <w:tcW w:w="5310" w:type="dxa"/>
            <w:gridSpan w:val="3"/>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NSF Check Charge</w:t>
            </w:r>
          </w:p>
        </w:tc>
        <w:tc>
          <w:tcPr>
            <w:tcW w:w="4319" w:type="dxa"/>
            <w:gridSpan w:val="3"/>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Pursuant to Statute 68.065, F.S.</w:t>
            </w:r>
          </w:p>
        </w:tc>
      </w:tr>
      <w:tr w:rsidR="00286210" w:rsidTr="00286210">
        <w:trPr>
          <w:trHeight w:val="144"/>
        </w:trPr>
        <w:tc>
          <w:tcPr>
            <w:tcW w:w="5310" w:type="dxa"/>
            <w:gridSpan w:val="3"/>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Convenience Charge</w:t>
            </w:r>
          </w:p>
        </w:tc>
        <w:tc>
          <w:tcPr>
            <w:tcW w:w="4319" w:type="dxa"/>
            <w:gridSpan w:val="3"/>
            <w:hideMark/>
          </w:tcPr>
          <w:p w:rsidR="00286210" w:rsidRDefault="001307D4" w:rsidP="001307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 xml:space="preserve"> </w:t>
            </w:r>
            <w:r w:rsidR="00286210">
              <w:t>$3.4</w:t>
            </w:r>
            <w:r>
              <w:t>3</w:t>
            </w:r>
          </w:p>
        </w:tc>
      </w:tr>
      <w:tr w:rsidR="00286210" w:rsidTr="00286210">
        <w:trPr>
          <w:trHeight w:val="144"/>
        </w:trPr>
        <w:tc>
          <w:tcPr>
            <w:tcW w:w="5310" w:type="dxa"/>
            <w:gridSpan w:val="3"/>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Meter Tampering Charge</w:t>
            </w:r>
          </w:p>
        </w:tc>
        <w:tc>
          <w:tcPr>
            <w:tcW w:w="4319" w:type="dxa"/>
            <w:gridSpan w:val="3"/>
            <w:hideMark/>
          </w:tcPr>
          <w:p w:rsidR="00286210" w:rsidRDefault="002862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$50.00</w:t>
            </w:r>
          </w:p>
        </w:tc>
      </w:tr>
    </w:tbl>
    <w:tbl>
      <w:tblPr>
        <w:tblpPr w:leftFromText="180" w:rightFromText="180" w:vertAnchor="text" w:horzAnchor="margin" w:tblpX="-72" w:tblpY="423"/>
        <w:tblW w:w="9666" w:type="dxa"/>
        <w:tblLook w:val="01E0" w:firstRow="1" w:lastRow="1" w:firstColumn="1" w:lastColumn="1" w:noHBand="0" w:noVBand="0"/>
      </w:tblPr>
      <w:tblGrid>
        <w:gridCol w:w="4640"/>
        <w:gridCol w:w="808"/>
        <w:gridCol w:w="4218"/>
      </w:tblGrid>
      <w:tr w:rsidR="00651E16" w:rsidTr="00651E16">
        <w:tc>
          <w:tcPr>
            <w:tcW w:w="9666" w:type="dxa"/>
            <w:gridSpan w:val="3"/>
            <w:hideMark/>
          </w:tcPr>
          <w:p w:rsidR="00651E16" w:rsidRDefault="00651E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Pr>
                <w:rFonts w:ascii="Arial" w:hAnsi="Arial" w:cs="Arial"/>
                <w:b/>
              </w:rPr>
              <w:t>Service Availability Charges</w:t>
            </w:r>
          </w:p>
        </w:tc>
      </w:tr>
      <w:tr w:rsidR="00651E16" w:rsidTr="00651E16">
        <w:trPr>
          <w:trHeight w:val="162"/>
        </w:trPr>
        <w:tc>
          <w:tcPr>
            <w:tcW w:w="4640" w:type="dxa"/>
          </w:tcPr>
          <w:p w:rsidR="00651E16" w:rsidRDefault="00651E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808" w:type="dxa"/>
          </w:tcPr>
          <w:p w:rsidR="00651E16" w:rsidRDefault="00651E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tcPr>
          <w:p w:rsidR="00651E16" w:rsidRDefault="00651E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651E16" w:rsidTr="00651E16">
        <w:trPr>
          <w:trHeight w:val="162"/>
        </w:trPr>
        <w:tc>
          <w:tcPr>
            <w:tcW w:w="4640" w:type="dxa"/>
            <w:hideMark/>
          </w:tcPr>
          <w:p w:rsidR="00651E16" w:rsidRDefault="00651E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Pr>
                <w:rFonts w:ascii="Arial" w:hAnsi="Arial" w:cs="Arial"/>
                <w:b/>
              </w:rPr>
              <w:t>Customer Connection (Tap-in) Charge</w:t>
            </w:r>
          </w:p>
        </w:tc>
        <w:tc>
          <w:tcPr>
            <w:tcW w:w="808" w:type="dxa"/>
          </w:tcPr>
          <w:p w:rsidR="00651E16" w:rsidRDefault="00651E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tcPr>
          <w:p w:rsidR="00651E16" w:rsidRDefault="00651E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651E16" w:rsidTr="00651E16">
        <w:tc>
          <w:tcPr>
            <w:tcW w:w="4640" w:type="dxa"/>
            <w:hideMark/>
          </w:tcPr>
          <w:p w:rsidR="00651E16" w:rsidRDefault="00651E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5/8 x 3/4”</w:t>
            </w:r>
          </w:p>
        </w:tc>
        <w:tc>
          <w:tcPr>
            <w:tcW w:w="808" w:type="dxa"/>
          </w:tcPr>
          <w:p w:rsidR="00651E16" w:rsidRDefault="00651E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hideMark/>
          </w:tcPr>
          <w:p w:rsidR="00651E16" w:rsidRDefault="00651E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$100.00</w:t>
            </w:r>
          </w:p>
        </w:tc>
      </w:tr>
      <w:tr w:rsidR="00651E16" w:rsidTr="00651E16">
        <w:tc>
          <w:tcPr>
            <w:tcW w:w="4640" w:type="dxa"/>
            <w:hideMark/>
          </w:tcPr>
          <w:p w:rsidR="00651E16" w:rsidRDefault="00651E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w:t>
            </w:r>
          </w:p>
        </w:tc>
        <w:tc>
          <w:tcPr>
            <w:tcW w:w="808" w:type="dxa"/>
          </w:tcPr>
          <w:p w:rsidR="00651E16" w:rsidRDefault="00651E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hideMark/>
          </w:tcPr>
          <w:p w:rsidR="00651E16" w:rsidRDefault="00651E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$160.00</w:t>
            </w:r>
          </w:p>
        </w:tc>
      </w:tr>
    </w:tbl>
    <w:p w:rsidR="00920CF2" w:rsidRPr="00F40FF2" w:rsidRDefault="00920CF2" w:rsidP="00920C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p w:rsidR="00920CF2" w:rsidRDefault="00920CF2" w:rsidP="00920CF2"/>
    <w:p w:rsidR="00DE1111" w:rsidRDefault="00DE1111" w:rsidP="00920CF2">
      <w:pPr>
        <w:pStyle w:val="BodyText"/>
        <w:rPr>
          <w:sz w:val="22"/>
        </w:rPr>
      </w:pPr>
    </w:p>
    <w:p w:rsidR="00DE1111" w:rsidRDefault="00DE1111" w:rsidP="00920CF2">
      <w:pPr>
        <w:pStyle w:val="BodyText"/>
        <w:rPr>
          <w:sz w:val="22"/>
        </w:rPr>
      </w:pPr>
    </w:p>
    <w:p w:rsidR="00920CF2" w:rsidRDefault="00920CF2" w:rsidP="00920CF2">
      <w:pPr>
        <w:pStyle w:val="BodyText"/>
        <w:rPr>
          <w:sz w:val="22"/>
        </w:rPr>
        <w:sectPr w:rsidR="00920CF2" w:rsidSect="0068481F">
          <w:headerReference w:type="default" r:id="rId17"/>
          <w:pgSz w:w="12240" w:h="15840" w:code="1"/>
          <w:pgMar w:top="1584" w:right="1440" w:bottom="1440" w:left="1440" w:header="720" w:footer="720" w:gutter="0"/>
          <w:cols w:space="720"/>
          <w:formProt w:val="0"/>
          <w:docGrid w:linePitch="360"/>
        </w:sectPr>
      </w:pPr>
      <w:r w:rsidRPr="00F01F24">
        <w:rPr>
          <w:sz w:val="22"/>
        </w:rPr>
        <w:t>*</w:t>
      </w:r>
      <w:r>
        <w:rPr>
          <w:sz w:val="22"/>
        </w:rPr>
        <w:t>The new owner is requesting initial deposits and miscellaneous service charges, which include late payment, NSF, convenience, and meter tampering charges on a prospective basis</w:t>
      </w:r>
    </w:p>
    <w:p w:rsidR="00920CF2" w:rsidRDefault="00920CF2" w:rsidP="00920CF2"/>
    <w:tbl>
      <w:tblPr>
        <w:tblW w:w="8455" w:type="dxa"/>
        <w:jc w:val="center"/>
        <w:tblLook w:val="0480" w:firstRow="0" w:lastRow="0" w:firstColumn="1" w:lastColumn="0" w:noHBand="0" w:noVBand="1"/>
      </w:tblPr>
      <w:tblGrid>
        <w:gridCol w:w="2812"/>
        <w:gridCol w:w="1840"/>
        <w:gridCol w:w="1523"/>
        <w:gridCol w:w="2280"/>
      </w:tblGrid>
      <w:tr w:rsidR="00920CF2" w:rsidRPr="00C901D4" w:rsidTr="00433BD5">
        <w:trPr>
          <w:trHeight w:hRule="exact" w:val="288"/>
          <w:jc w:val="center"/>
        </w:trPr>
        <w:tc>
          <w:tcPr>
            <w:tcW w:w="8455" w:type="dxa"/>
            <w:gridSpan w:val="4"/>
            <w:tcBorders>
              <w:top w:val="nil"/>
              <w:left w:val="nil"/>
              <w:bottom w:val="nil"/>
              <w:right w:val="nil"/>
            </w:tcBorders>
            <w:shd w:val="clear" w:color="auto" w:fill="auto"/>
            <w:vAlign w:val="center"/>
          </w:tcPr>
          <w:p w:rsidR="00920CF2" w:rsidRPr="006E3E30" w:rsidRDefault="00920CF2" w:rsidP="00433BD5">
            <w:pPr>
              <w:jc w:val="center"/>
              <w:rPr>
                <w:b/>
                <w:bCs/>
                <w:color w:val="000000"/>
              </w:rPr>
            </w:pPr>
            <w:r>
              <w:rPr>
                <w:b/>
                <w:bCs/>
                <w:color w:val="000000"/>
              </w:rPr>
              <w:t xml:space="preserve">Orangeland Water Supply </w:t>
            </w:r>
          </w:p>
        </w:tc>
      </w:tr>
      <w:tr w:rsidR="00920CF2" w:rsidRPr="00C901D4" w:rsidTr="00433BD5">
        <w:trPr>
          <w:trHeight w:hRule="exact" w:val="288"/>
          <w:jc w:val="center"/>
        </w:trPr>
        <w:tc>
          <w:tcPr>
            <w:tcW w:w="8455" w:type="dxa"/>
            <w:gridSpan w:val="4"/>
            <w:tcBorders>
              <w:top w:val="nil"/>
              <w:left w:val="nil"/>
              <w:bottom w:val="nil"/>
              <w:right w:val="nil"/>
            </w:tcBorders>
            <w:shd w:val="clear" w:color="auto" w:fill="auto"/>
            <w:vAlign w:val="center"/>
            <w:hideMark/>
          </w:tcPr>
          <w:p w:rsidR="00920CF2" w:rsidRPr="006E3E30" w:rsidRDefault="00920CF2" w:rsidP="00433BD5">
            <w:pPr>
              <w:jc w:val="center"/>
              <w:rPr>
                <w:b/>
                <w:bCs/>
                <w:color w:val="000000"/>
              </w:rPr>
            </w:pPr>
            <w:r w:rsidRPr="006E3E30">
              <w:rPr>
                <w:b/>
                <w:bCs/>
                <w:color w:val="000000"/>
              </w:rPr>
              <w:t>Water System</w:t>
            </w:r>
          </w:p>
        </w:tc>
      </w:tr>
      <w:tr w:rsidR="00920CF2" w:rsidRPr="00C901D4" w:rsidTr="00433BD5">
        <w:trPr>
          <w:trHeight w:hRule="exact" w:val="288"/>
          <w:jc w:val="center"/>
        </w:trPr>
        <w:tc>
          <w:tcPr>
            <w:tcW w:w="8455" w:type="dxa"/>
            <w:gridSpan w:val="4"/>
            <w:tcBorders>
              <w:top w:val="nil"/>
              <w:left w:val="nil"/>
              <w:bottom w:val="nil"/>
              <w:right w:val="nil"/>
            </w:tcBorders>
            <w:shd w:val="clear" w:color="auto" w:fill="auto"/>
            <w:vAlign w:val="center"/>
            <w:hideMark/>
          </w:tcPr>
          <w:p w:rsidR="00920CF2" w:rsidRPr="006E3E30" w:rsidRDefault="00920CF2" w:rsidP="00433BD5">
            <w:pPr>
              <w:jc w:val="center"/>
              <w:rPr>
                <w:b/>
                <w:bCs/>
                <w:color w:val="000000"/>
              </w:rPr>
            </w:pPr>
            <w:r w:rsidRPr="006E3E30">
              <w:rPr>
                <w:b/>
                <w:bCs/>
                <w:color w:val="000000"/>
              </w:rPr>
              <w:t xml:space="preserve">Schedule of Net Book Value as of </w:t>
            </w:r>
            <w:r>
              <w:rPr>
                <w:b/>
                <w:bCs/>
                <w:color w:val="000000"/>
              </w:rPr>
              <w:t>May 1</w:t>
            </w:r>
            <w:r w:rsidRPr="006E3E30">
              <w:rPr>
                <w:b/>
                <w:bCs/>
                <w:color w:val="000000"/>
              </w:rPr>
              <w:t>, 201</w:t>
            </w:r>
            <w:r>
              <w:rPr>
                <w:b/>
                <w:bCs/>
                <w:color w:val="000000"/>
              </w:rPr>
              <w:t>6</w:t>
            </w:r>
          </w:p>
        </w:tc>
      </w:tr>
      <w:tr w:rsidR="00920CF2" w:rsidRPr="00C901D4" w:rsidTr="00433BD5">
        <w:trPr>
          <w:trHeight w:hRule="exact" w:val="288"/>
          <w:jc w:val="center"/>
        </w:trPr>
        <w:tc>
          <w:tcPr>
            <w:tcW w:w="2812" w:type="dxa"/>
            <w:tcBorders>
              <w:top w:val="nil"/>
              <w:left w:val="nil"/>
              <w:bottom w:val="nil"/>
              <w:right w:val="nil"/>
            </w:tcBorders>
            <w:shd w:val="clear" w:color="auto" w:fill="auto"/>
            <w:vAlign w:val="center"/>
            <w:hideMark/>
          </w:tcPr>
          <w:p w:rsidR="00920CF2" w:rsidRPr="006E3E30" w:rsidRDefault="00920CF2" w:rsidP="00433BD5">
            <w:pPr>
              <w:jc w:val="center"/>
              <w:rPr>
                <w:b/>
                <w:bCs/>
                <w:color w:val="000000"/>
              </w:rPr>
            </w:pPr>
          </w:p>
        </w:tc>
        <w:tc>
          <w:tcPr>
            <w:tcW w:w="1840" w:type="dxa"/>
            <w:tcBorders>
              <w:top w:val="nil"/>
              <w:left w:val="nil"/>
              <w:bottom w:val="nil"/>
              <w:right w:val="nil"/>
            </w:tcBorders>
            <w:shd w:val="clear" w:color="auto" w:fill="auto"/>
            <w:vAlign w:val="center"/>
            <w:hideMark/>
          </w:tcPr>
          <w:p w:rsidR="00920CF2" w:rsidRPr="006E3E30" w:rsidRDefault="00920CF2" w:rsidP="00433BD5">
            <w:pPr>
              <w:jc w:val="center"/>
              <w:rPr>
                <w:b/>
                <w:bCs/>
                <w:color w:val="000000"/>
              </w:rPr>
            </w:pPr>
          </w:p>
        </w:tc>
        <w:tc>
          <w:tcPr>
            <w:tcW w:w="1523" w:type="dxa"/>
            <w:tcBorders>
              <w:top w:val="nil"/>
              <w:left w:val="nil"/>
              <w:bottom w:val="nil"/>
              <w:right w:val="nil"/>
            </w:tcBorders>
            <w:shd w:val="clear" w:color="auto" w:fill="auto"/>
            <w:vAlign w:val="center"/>
            <w:hideMark/>
          </w:tcPr>
          <w:p w:rsidR="00920CF2" w:rsidRPr="006E3E30" w:rsidRDefault="00920CF2" w:rsidP="00433BD5">
            <w:pPr>
              <w:jc w:val="center"/>
              <w:rPr>
                <w:b/>
                <w:bCs/>
                <w:color w:val="000000"/>
              </w:rPr>
            </w:pPr>
          </w:p>
        </w:tc>
        <w:tc>
          <w:tcPr>
            <w:tcW w:w="2280" w:type="dxa"/>
            <w:tcBorders>
              <w:top w:val="nil"/>
              <w:left w:val="nil"/>
              <w:bottom w:val="nil"/>
              <w:right w:val="nil"/>
            </w:tcBorders>
            <w:shd w:val="clear" w:color="auto" w:fill="auto"/>
            <w:vAlign w:val="center"/>
            <w:hideMark/>
          </w:tcPr>
          <w:p w:rsidR="00920CF2" w:rsidRPr="006E3E30" w:rsidRDefault="00920CF2" w:rsidP="00433BD5">
            <w:pPr>
              <w:jc w:val="center"/>
              <w:rPr>
                <w:b/>
                <w:bCs/>
                <w:color w:val="000000"/>
              </w:rPr>
            </w:pPr>
          </w:p>
        </w:tc>
      </w:tr>
      <w:tr w:rsidR="00920CF2" w:rsidRPr="00C901D4" w:rsidTr="00433BD5">
        <w:trPr>
          <w:trHeight w:hRule="exact" w:val="576"/>
          <w:jc w:val="center"/>
        </w:trPr>
        <w:tc>
          <w:tcPr>
            <w:tcW w:w="2812" w:type="dxa"/>
            <w:tcBorders>
              <w:top w:val="nil"/>
              <w:left w:val="nil"/>
              <w:bottom w:val="nil"/>
              <w:right w:val="nil"/>
            </w:tcBorders>
            <w:shd w:val="clear" w:color="auto" w:fill="auto"/>
            <w:vAlign w:val="bottom"/>
            <w:hideMark/>
          </w:tcPr>
          <w:p w:rsidR="00920CF2" w:rsidRPr="006E3E30" w:rsidRDefault="00920CF2" w:rsidP="00433BD5">
            <w:pPr>
              <w:jc w:val="center"/>
              <w:rPr>
                <w:b/>
                <w:bCs/>
                <w:color w:val="000000"/>
              </w:rPr>
            </w:pPr>
            <w:r w:rsidRPr="006E3E30">
              <w:rPr>
                <w:b/>
                <w:bCs/>
                <w:color w:val="000000"/>
              </w:rPr>
              <w:t>Description</w:t>
            </w:r>
          </w:p>
        </w:tc>
        <w:tc>
          <w:tcPr>
            <w:tcW w:w="1840" w:type="dxa"/>
            <w:tcBorders>
              <w:top w:val="nil"/>
              <w:left w:val="nil"/>
              <w:bottom w:val="nil"/>
              <w:right w:val="nil"/>
            </w:tcBorders>
            <w:shd w:val="clear" w:color="auto" w:fill="auto"/>
            <w:vAlign w:val="bottom"/>
            <w:hideMark/>
          </w:tcPr>
          <w:p w:rsidR="00920CF2" w:rsidRPr="006E3E30" w:rsidRDefault="00920CF2" w:rsidP="00433BD5">
            <w:pPr>
              <w:tabs>
                <w:tab w:val="left" w:pos="1532"/>
              </w:tabs>
              <w:jc w:val="center"/>
              <w:rPr>
                <w:b/>
                <w:bCs/>
                <w:color w:val="000000"/>
              </w:rPr>
            </w:pPr>
            <w:r w:rsidRPr="006E3E30">
              <w:rPr>
                <w:b/>
                <w:bCs/>
                <w:color w:val="000000"/>
              </w:rPr>
              <w:t>Balance Per Utility</w:t>
            </w:r>
          </w:p>
        </w:tc>
        <w:tc>
          <w:tcPr>
            <w:tcW w:w="1523" w:type="dxa"/>
            <w:tcBorders>
              <w:top w:val="nil"/>
              <w:left w:val="nil"/>
              <w:bottom w:val="nil"/>
              <w:right w:val="nil"/>
            </w:tcBorders>
            <w:shd w:val="clear" w:color="auto" w:fill="auto"/>
            <w:vAlign w:val="bottom"/>
            <w:hideMark/>
          </w:tcPr>
          <w:p w:rsidR="00920CF2" w:rsidRPr="006E3E30" w:rsidRDefault="00920CF2" w:rsidP="00433BD5">
            <w:pPr>
              <w:jc w:val="center"/>
              <w:rPr>
                <w:b/>
                <w:bCs/>
                <w:color w:val="000000"/>
              </w:rPr>
            </w:pPr>
            <w:r w:rsidRPr="006E3E30">
              <w:rPr>
                <w:b/>
                <w:bCs/>
                <w:color w:val="000000"/>
              </w:rPr>
              <w:t xml:space="preserve">Adjustments </w:t>
            </w:r>
          </w:p>
        </w:tc>
        <w:tc>
          <w:tcPr>
            <w:tcW w:w="2280" w:type="dxa"/>
            <w:tcBorders>
              <w:top w:val="nil"/>
              <w:left w:val="nil"/>
              <w:bottom w:val="nil"/>
              <w:right w:val="nil"/>
            </w:tcBorders>
            <w:shd w:val="clear" w:color="auto" w:fill="auto"/>
            <w:vAlign w:val="bottom"/>
            <w:hideMark/>
          </w:tcPr>
          <w:p w:rsidR="00920CF2" w:rsidRPr="006E3E30" w:rsidRDefault="00920CF2" w:rsidP="00433BD5">
            <w:pPr>
              <w:jc w:val="center"/>
              <w:rPr>
                <w:b/>
                <w:bCs/>
                <w:color w:val="000000"/>
              </w:rPr>
            </w:pPr>
            <w:r w:rsidRPr="006E3E30">
              <w:rPr>
                <w:b/>
                <w:bCs/>
                <w:color w:val="000000"/>
              </w:rPr>
              <w:t>Staff Recommendation</w:t>
            </w:r>
          </w:p>
        </w:tc>
      </w:tr>
      <w:tr w:rsidR="00920CF2" w:rsidRPr="00C901D4" w:rsidTr="00433BD5">
        <w:trPr>
          <w:trHeight w:hRule="exact" w:val="288"/>
          <w:jc w:val="center"/>
        </w:trPr>
        <w:tc>
          <w:tcPr>
            <w:tcW w:w="2812" w:type="dxa"/>
            <w:tcBorders>
              <w:top w:val="nil"/>
              <w:left w:val="nil"/>
              <w:bottom w:val="nil"/>
              <w:right w:val="nil"/>
            </w:tcBorders>
            <w:shd w:val="clear" w:color="auto" w:fill="auto"/>
            <w:noWrap/>
            <w:vAlign w:val="bottom"/>
            <w:hideMark/>
          </w:tcPr>
          <w:p w:rsidR="00920CF2" w:rsidRPr="006E3E30" w:rsidRDefault="00920CF2" w:rsidP="00433BD5">
            <w:pPr>
              <w:rPr>
                <w:color w:val="000000"/>
              </w:rPr>
            </w:pPr>
            <w:r w:rsidRPr="006E3E30">
              <w:rPr>
                <w:color w:val="000000"/>
              </w:rPr>
              <w:t>Utility Plant in Service</w:t>
            </w:r>
          </w:p>
        </w:tc>
        <w:tc>
          <w:tcPr>
            <w:tcW w:w="1840" w:type="dxa"/>
            <w:tcBorders>
              <w:top w:val="nil"/>
              <w:left w:val="nil"/>
              <w:bottom w:val="nil"/>
              <w:right w:val="nil"/>
            </w:tcBorders>
            <w:shd w:val="clear" w:color="auto" w:fill="auto"/>
            <w:noWrap/>
            <w:vAlign w:val="bottom"/>
          </w:tcPr>
          <w:p w:rsidR="00920CF2" w:rsidRPr="006E3E30" w:rsidRDefault="00920CF2" w:rsidP="00433BD5">
            <w:pPr>
              <w:tabs>
                <w:tab w:val="decimal" w:pos="1502"/>
              </w:tabs>
              <w:rPr>
                <w:color w:val="000000"/>
              </w:rPr>
            </w:pPr>
            <w:r w:rsidRPr="006E3E30">
              <w:rPr>
                <w:color w:val="000000"/>
              </w:rPr>
              <w:t>$</w:t>
            </w:r>
            <w:r>
              <w:rPr>
                <w:color w:val="000000"/>
              </w:rPr>
              <w:t>0</w:t>
            </w:r>
            <w:r w:rsidRPr="006E3E30">
              <w:rPr>
                <w:color w:val="000000"/>
              </w:rPr>
              <w:t xml:space="preserve"> </w:t>
            </w:r>
          </w:p>
        </w:tc>
        <w:tc>
          <w:tcPr>
            <w:tcW w:w="1523" w:type="dxa"/>
            <w:tcBorders>
              <w:top w:val="nil"/>
              <w:left w:val="nil"/>
              <w:bottom w:val="nil"/>
              <w:right w:val="nil"/>
            </w:tcBorders>
            <w:shd w:val="clear" w:color="auto" w:fill="auto"/>
            <w:noWrap/>
            <w:vAlign w:val="bottom"/>
          </w:tcPr>
          <w:p w:rsidR="00920CF2" w:rsidRPr="006E3E30" w:rsidRDefault="00920CF2" w:rsidP="00433BD5">
            <w:pPr>
              <w:tabs>
                <w:tab w:val="decimal" w:pos="994"/>
                <w:tab w:val="left" w:pos="1133"/>
              </w:tabs>
              <w:rPr>
                <w:color w:val="000000"/>
              </w:rPr>
            </w:pPr>
            <w:r w:rsidRPr="006E3E30">
              <w:rPr>
                <w:color w:val="000000"/>
              </w:rPr>
              <w:tab/>
            </w:r>
            <w:r>
              <w:rPr>
                <w:color w:val="000000"/>
              </w:rPr>
              <w:t>$50,816</w:t>
            </w:r>
            <w:r w:rsidRPr="006E3E30">
              <w:rPr>
                <w:color w:val="000000"/>
              </w:rPr>
              <w:tab/>
            </w:r>
          </w:p>
        </w:tc>
        <w:tc>
          <w:tcPr>
            <w:tcW w:w="2280" w:type="dxa"/>
            <w:tcBorders>
              <w:top w:val="nil"/>
              <w:left w:val="nil"/>
              <w:bottom w:val="nil"/>
              <w:right w:val="nil"/>
            </w:tcBorders>
            <w:shd w:val="clear" w:color="auto" w:fill="auto"/>
            <w:noWrap/>
            <w:vAlign w:val="bottom"/>
          </w:tcPr>
          <w:p w:rsidR="00920CF2" w:rsidRPr="006E3E30" w:rsidRDefault="00920CF2" w:rsidP="00433BD5">
            <w:pPr>
              <w:tabs>
                <w:tab w:val="decimal" w:pos="1635"/>
              </w:tabs>
              <w:jc w:val="right"/>
              <w:rPr>
                <w:color w:val="000000"/>
              </w:rPr>
            </w:pPr>
            <w:r w:rsidRPr="006E3E30">
              <w:rPr>
                <w:color w:val="000000"/>
              </w:rPr>
              <w:t>$</w:t>
            </w:r>
            <w:r>
              <w:rPr>
                <w:color w:val="000000"/>
              </w:rPr>
              <w:t>50,816</w:t>
            </w:r>
            <w:r w:rsidRPr="006E3E30">
              <w:rPr>
                <w:color w:val="000000"/>
              </w:rPr>
              <w:t xml:space="preserve"> </w:t>
            </w:r>
          </w:p>
        </w:tc>
      </w:tr>
      <w:tr w:rsidR="00920CF2" w:rsidRPr="00C901D4" w:rsidTr="00433BD5">
        <w:trPr>
          <w:trHeight w:hRule="exact" w:val="288"/>
          <w:jc w:val="center"/>
        </w:trPr>
        <w:tc>
          <w:tcPr>
            <w:tcW w:w="2812" w:type="dxa"/>
            <w:tcBorders>
              <w:top w:val="nil"/>
              <w:left w:val="nil"/>
              <w:bottom w:val="nil"/>
              <w:right w:val="nil"/>
            </w:tcBorders>
            <w:shd w:val="clear" w:color="auto" w:fill="auto"/>
            <w:noWrap/>
            <w:vAlign w:val="bottom"/>
            <w:hideMark/>
          </w:tcPr>
          <w:p w:rsidR="00920CF2" w:rsidRPr="006E3E30" w:rsidRDefault="00920CF2" w:rsidP="00433BD5">
            <w:pPr>
              <w:rPr>
                <w:color w:val="000000"/>
              </w:rPr>
            </w:pPr>
            <w:r w:rsidRPr="006E3E30">
              <w:rPr>
                <w:color w:val="000000"/>
              </w:rPr>
              <w:t>Land &amp; Land Rights</w:t>
            </w:r>
          </w:p>
        </w:tc>
        <w:tc>
          <w:tcPr>
            <w:tcW w:w="1840" w:type="dxa"/>
            <w:tcBorders>
              <w:top w:val="nil"/>
              <w:left w:val="nil"/>
              <w:bottom w:val="nil"/>
              <w:right w:val="nil"/>
            </w:tcBorders>
            <w:shd w:val="clear" w:color="auto" w:fill="auto"/>
            <w:noWrap/>
            <w:vAlign w:val="bottom"/>
          </w:tcPr>
          <w:p w:rsidR="00920CF2" w:rsidRPr="006E3E30" w:rsidRDefault="00920CF2" w:rsidP="00433BD5">
            <w:pPr>
              <w:tabs>
                <w:tab w:val="decimal" w:pos="1502"/>
              </w:tabs>
              <w:rPr>
                <w:color w:val="000000"/>
              </w:rPr>
            </w:pPr>
            <w:r>
              <w:rPr>
                <w:color w:val="000000"/>
              </w:rPr>
              <w:t>0</w:t>
            </w:r>
            <w:r w:rsidRPr="006E3E30">
              <w:rPr>
                <w:color w:val="000000"/>
              </w:rPr>
              <w:t xml:space="preserve"> </w:t>
            </w:r>
          </w:p>
        </w:tc>
        <w:tc>
          <w:tcPr>
            <w:tcW w:w="1523" w:type="dxa"/>
            <w:tcBorders>
              <w:top w:val="nil"/>
              <w:left w:val="nil"/>
              <w:bottom w:val="nil"/>
              <w:right w:val="nil"/>
            </w:tcBorders>
            <w:shd w:val="clear" w:color="auto" w:fill="auto"/>
            <w:noWrap/>
            <w:vAlign w:val="bottom"/>
          </w:tcPr>
          <w:p w:rsidR="00920CF2" w:rsidRPr="006E3E30" w:rsidRDefault="00920CF2" w:rsidP="00433BD5">
            <w:pPr>
              <w:tabs>
                <w:tab w:val="decimal" w:pos="994"/>
                <w:tab w:val="left" w:pos="1133"/>
              </w:tabs>
              <w:rPr>
                <w:color w:val="000000"/>
              </w:rPr>
            </w:pPr>
            <w:r w:rsidRPr="006E3E30">
              <w:rPr>
                <w:color w:val="000000"/>
              </w:rPr>
              <w:tab/>
            </w:r>
            <w:r>
              <w:rPr>
                <w:color w:val="000000"/>
              </w:rPr>
              <w:t>1,000</w:t>
            </w:r>
            <w:r w:rsidRPr="006E3E30">
              <w:rPr>
                <w:color w:val="000000"/>
              </w:rPr>
              <w:tab/>
            </w:r>
          </w:p>
        </w:tc>
        <w:tc>
          <w:tcPr>
            <w:tcW w:w="2280" w:type="dxa"/>
            <w:tcBorders>
              <w:top w:val="nil"/>
              <w:left w:val="nil"/>
              <w:bottom w:val="nil"/>
              <w:right w:val="nil"/>
            </w:tcBorders>
            <w:shd w:val="clear" w:color="auto" w:fill="auto"/>
            <w:noWrap/>
            <w:vAlign w:val="bottom"/>
          </w:tcPr>
          <w:p w:rsidR="00920CF2" w:rsidRPr="006E3E30" w:rsidRDefault="00920CF2" w:rsidP="00433BD5">
            <w:pPr>
              <w:tabs>
                <w:tab w:val="decimal" w:pos="1635"/>
              </w:tabs>
              <w:jc w:val="right"/>
              <w:rPr>
                <w:color w:val="000000"/>
              </w:rPr>
            </w:pPr>
            <w:r>
              <w:rPr>
                <w:color w:val="000000"/>
              </w:rPr>
              <w:t>1,00</w:t>
            </w:r>
            <w:r w:rsidRPr="006E3E30">
              <w:rPr>
                <w:color w:val="000000"/>
              </w:rPr>
              <w:t>0</w:t>
            </w:r>
          </w:p>
        </w:tc>
      </w:tr>
      <w:tr w:rsidR="00920CF2" w:rsidRPr="00C901D4" w:rsidTr="00433BD5">
        <w:trPr>
          <w:trHeight w:hRule="exact" w:val="288"/>
          <w:jc w:val="center"/>
        </w:trPr>
        <w:tc>
          <w:tcPr>
            <w:tcW w:w="2812" w:type="dxa"/>
            <w:tcBorders>
              <w:top w:val="nil"/>
              <w:left w:val="nil"/>
              <w:bottom w:val="nil"/>
              <w:right w:val="nil"/>
            </w:tcBorders>
            <w:shd w:val="clear" w:color="auto" w:fill="auto"/>
            <w:noWrap/>
            <w:vAlign w:val="bottom"/>
            <w:hideMark/>
          </w:tcPr>
          <w:p w:rsidR="00920CF2" w:rsidRPr="006E3E30" w:rsidRDefault="00920CF2" w:rsidP="00433BD5">
            <w:pPr>
              <w:rPr>
                <w:color w:val="000000"/>
              </w:rPr>
            </w:pPr>
            <w:r w:rsidRPr="006E3E30">
              <w:rPr>
                <w:color w:val="000000"/>
              </w:rPr>
              <w:t>Accumulated Depreciation</w:t>
            </w:r>
          </w:p>
        </w:tc>
        <w:tc>
          <w:tcPr>
            <w:tcW w:w="1840" w:type="dxa"/>
            <w:tcBorders>
              <w:top w:val="nil"/>
              <w:left w:val="nil"/>
              <w:bottom w:val="nil"/>
              <w:right w:val="nil"/>
            </w:tcBorders>
            <w:shd w:val="clear" w:color="auto" w:fill="auto"/>
            <w:noWrap/>
            <w:vAlign w:val="bottom"/>
          </w:tcPr>
          <w:p w:rsidR="00920CF2" w:rsidRPr="006E3E30" w:rsidRDefault="00920CF2" w:rsidP="00433BD5">
            <w:pPr>
              <w:tabs>
                <w:tab w:val="decimal" w:pos="1502"/>
              </w:tabs>
              <w:rPr>
                <w:color w:val="000000"/>
              </w:rPr>
            </w:pPr>
            <w:r>
              <w:rPr>
                <w:color w:val="000000"/>
              </w:rPr>
              <w:t>0</w:t>
            </w:r>
          </w:p>
        </w:tc>
        <w:tc>
          <w:tcPr>
            <w:tcW w:w="1523" w:type="dxa"/>
            <w:tcBorders>
              <w:top w:val="nil"/>
              <w:left w:val="nil"/>
              <w:bottom w:val="nil"/>
              <w:right w:val="nil"/>
            </w:tcBorders>
            <w:shd w:val="clear" w:color="auto" w:fill="auto"/>
            <w:noWrap/>
            <w:vAlign w:val="bottom"/>
          </w:tcPr>
          <w:p w:rsidR="00920CF2" w:rsidRPr="006E3E30" w:rsidRDefault="00920CF2" w:rsidP="00433BD5">
            <w:pPr>
              <w:tabs>
                <w:tab w:val="decimal" w:pos="994"/>
                <w:tab w:val="left" w:pos="1133"/>
              </w:tabs>
              <w:rPr>
                <w:color w:val="000000"/>
              </w:rPr>
            </w:pPr>
            <w:r>
              <w:rPr>
                <w:color w:val="000000"/>
              </w:rPr>
              <w:tab/>
              <w:t>(45,625)</w:t>
            </w:r>
            <w:r w:rsidRPr="006E3E30">
              <w:rPr>
                <w:color w:val="000000"/>
              </w:rPr>
              <w:tab/>
            </w:r>
          </w:p>
        </w:tc>
        <w:tc>
          <w:tcPr>
            <w:tcW w:w="2280" w:type="dxa"/>
            <w:tcBorders>
              <w:top w:val="nil"/>
              <w:left w:val="nil"/>
              <w:bottom w:val="nil"/>
              <w:right w:val="nil"/>
            </w:tcBorders>
            <w:shd w:val="clear" w:color="auto" w:fill="auto"/>
            <w:noWrap/>
            <w:vAlign w:val="bottom"/>
          </w:tcPr>
          <w:p w:rsidR="00920CF2" w:rsidRPr="006E3E30" w:rsidRDefault="00920CF2" w:rsidP="00433BD5">
            <w:pPr>
              <w:tabs>
                <w:tab w:val="decimal" w:pos="1635"/>
              </w:tabs>
              <w:jc w:val="right"/>
              <w:rPr>
                <w:color w:val="000000"/>
              </w:rPr>
            </w:pPr>
            <w:r w:rsidRPr="006E3E30">
              <w:rPr>
                <w:color w:val="000000"/>
              </w:rPr>
              <w:t>(</w:t>
            </w:r>
            <w:r>
              <w:rPr>
                <w:color w:val="000000"/>
              </w:rPr>
              <w:t>45,625</w:t>
            </w:r>
            <w:r w:rsidRPr="006E3E30">
              <w:rPr>
                <w:color w:val="000000"/>
              </w:rPr>
              <w:t>)</w:t>
            </w:r>
          </w:p>
        </w:tc>
      </w:tr>
      <w:tr w:rsidR="00920CF2" w:rsidRPr="00C901D4" w:rsidTr="00433BD5">
        <w:trPr>
          <w:trHeight w:hRule="exact" w:val="288"/>
          <w:jc w:val="center"/>
        </w:trPr>
        <w:tc>
          <w:tcPr>
            <w:tcW w:w="2812" w:type="dxa"/>
            <w:tcBorders>
              <w:top w:val="nil"/>
              <w:left w:val="nil"/>
              <w:bottom w:val="nil"/>
              <w:right w:val="nil"/>
            </w:tcBorders>
            <w:shd w:val="clear" w:color="auto" w:fill="auto"/>
            <w:noWrap/>
            <w:vAlign w:val="bottom"/>
            <w:hideMark/>
          </w:tcPr>
          <w:p w:rsidR="00920CF2" w:rsidRPr="006E3E30" w:rsidRDefault="00920CF2" w:rsidP="00433BD5">
            <w:pPr>
              <w:rPr>
                <w:color w:val="000000"/>
              </w:rPr>
            </w:pPr>
            <w:r w:rsidRPr="006E3E30">
              <w:rPr>
                <w:color w:val="000000"/>
              </w:rPr>
              <w:t>CIAC</w:t>
            </w:r>
          </w:p>
        </w:tc>
        <w:tc>
          <w:tcPr>
            <w:tcW w:w="1840" w:type="dxa"/>
            <w:tcBorders>
              <w:top w:val="nil"/>
              <w:left w:val="nil"/>
              <w:bottom w:val="nil"/>
              <w:right w:val="nil"/>
            </w:tcBorders>
            <w:shd w:val="clear" w:color="auto" w:fill="auto"/>
            <w:noWrap/>
            <w:vAlign w:val="bottom"/>
          </w:tcPr>
          <w:p w:rsidR="00920CF2" w:rsidRPr="006E3E30" w:rsidRDefault="00920CF2" w:rsidP="00433BD5">
            <w:pPr>
              <w:tabs>
                <w:tab w:val="decimal" w:pos="1502"/>
              </w:tabs>
              <w:rPr>
                <w:color w:val="000000"/>
              </w:rPr>
            </w:pPr>
            <w:r>
              <w:rPr>
                <w:color w:val="000000"/>
              </w:rPr>
              <w:t>0</w:t>
            </w:r>
          </w:p>
        </w:tc>
        <w:tc>
          <w:tcPr>
            <w:tcW w:w="1523" w:type="dxa"/>
            <w:tcBorders>
              <w:top w:val="nil"/>
              <w:left w:val="nil"/>
              <w:bottom w:val="nil"/>
              <w:right w:val="nil"/>
            </w:tcBorders>
            <w:shd w:val="clear" w:color="auto" w:fill="auto"/>
            <w:noWrap/>
            <w:vAlign w:val="bottom"/>
          </w:tcPr>
          <w:p w:rsidR="00920CF2" w:rsidRPr="006E3E30" w:rsidRDefault="00920CF2" w:rsidP="00433BD5">
            <w:pPr>
              <w:tabs>
                <w:tab w:val="decimal" w:pos="994"/>
                <w:tab w:val="left" w:pos="1133"/>
              </w:tabs>
              <w:rPr>
                <w:color w:val="000000"/>
              </w:rPr>
            </w:pPr>
            <w:r w:rsidRPr="006E3E30">
              <w:rPr>
                <w:color w:val="000000"/>
              </w:rPr>
              <w:tab/>
            </w:r>
            <w:r>
              <w:rPr>
                <w:color w:val="000000"/>
              </w:rPr>
              <w:t>(7,350)</w:t>
            </w:r>
            <w:r w:rsidRPr="006E3E30">
              <w:rPr>
                <w:color w:val="000000"/>
              </w:rPr>
              <w:tab/>
            </w:r>
          </w:p>
        </w:tc>
        <w:tc>
          <w:tcPr>
            <w:tcW w:w="2280" w:type="dxa"/>
            <w:tcBorders>
              <w:top w:val="nil"/>
              <w:left w:val="nil"/>
              <w:bottom w:val="nil"/>
              <w:right w:val="nil"/>
            </w:tcBorders>
            <w:shd w:val="clear" w:color="auto" w:fill="auto"/>
            <w:noWrap/>
            <w:vAlign w:val="bottom"/>
          </w:tcPr>
          <w:p w:rsidR="00920CF2" w:rsidRPr="006E3E30" w:rsidRDefault="00920CF2" w:rsidP="00433BD5">
            <w:pPr>
              <w:tabs>
                <w:tab w:val="decimal" w:pos="1635"/>
              </w:tabs>
              <w:jc w:val="right"/>
              <w:rPr>
                <w:color w:val="000000"/>
              </w:rPr>
            </w:pPr>
            <w:r w:rsidRPr="006E3E30">
              <w:rPr>
                <w:color w:val="000000"/>
              </w:rPr>
              <w:t>(</w:t>
            </w:r>
            <w:r>
              <w:rPr>
                <w:color w:val="000000"/>
              </w:rPr>
              <w:t>7,350</w:t>
            </w:r>
            <w:r w:rsidRPr="006E3E30">
              <w:rPr>
                <w:color w:val="000000"/>
              </w:rPr>
              <w:t>)</w:t>
            </w:r>
          </w:p>
        </w:tc>
      </w:tr>
      <w:tr w:rsidR="00920CF2" w:rsidRPr="00C901D4" w:rsidTr="00433BD5">
        <w:trPr>
          <w:trHeight w:hRule="exact" w:val="288"/>
          <w:jc w:val="center"/>
        </w:trPr>
        <w:tc>
          <w:tcPr>
            <w:tcW w:w="2812" w:type="dxa"/>
            <w:tcBorders>
              <w:top w:val="nil"/>
              <w:left w:val="nil"/>
              <w:bottom w:val="nil"/>
              <w:right w:val="nil"/>
            </w:tcBorders>
            <w:shd w:val="clear" w:color="auto" w:fill="auto"/>
            <w:noWrap/>
            <w:vAlign w:val="bottom"/>
            <w:hideMark/>
          </w:tcPr>
          <w:p w:rsidR="00920CF2" w:rsidRPr="006E3E30" w:rsidRDefault="00920CF2" w:rsidP="00433BD5">
            <w:pPr>
              <w:rPr>
                <w:color w:val="000000"/>
              </w:rPr>
            </w:pPr>
            <w:r w:rsidRPr="006E3E30">
              <w:rPr>
                <w:color w:val="000000"/>
              </w:rPr>
              <w:t>Amortization of CIAC</w:t>
            </w:r>
          </w:p>
        </w:tc>
        <w:tc>
          <w:tcPr>
            <w:tcW w:w="1840" w:type="dxa"/>
            <w:tcBorders>
              <w:top w:val="nil"/>
              <w:left w:val="nil"/>
              <w:bottom w:val="nil"/>
              <w:right w:val="nil"/>
            </w:tcBorders>
            <w:shd w:val="clear" w:color="auto" w:fill="auto"/>
            <w:noWrap/>
            <w:vAlign w:val="bottom"/>
          </w:tcPr>
          <w:p w:rsidR="00920CF2" w:rsidRPr="006E3E30" w:rsidRDefault="00920CF2" w:rsidP="00433BD5">
            <w:pPr>
              <w:tabs>
                <w:tab w:val="decimal" w:pos="1502"/>
              </w:tabs>
              <w:rPr>
                <w:color w:val="000000"/>
                <w:u w:val="single"/>
              </w:rPr>
            </w:pPr>
            <w:r>
              <w:rPr>
                <w:color w:val="000000"/>
                <w:u w:val="single"/>
              </w:rPr>
              <w:t>0</w:t>
            </w:r>
          </w:p>
        </w:tc>
        <w:tc>
          <w:tcPr>
            <w:tcW w:w="1523" w:type="dxa"/>
            <w:tcBorders>
              <w:top w:val="nil"/>
              <w:left w:val="nil"/>
              <w:bottom w:val="nil"/>
              <w:right w:val="nil"/>
            </w:tcBorders>
            <w:shd w:val="clear" w:color="auto" w:fill="auto"/>
            <w:noWrap/>
            <w:vAlign w:val="bottom"/>
          </w:tcPr>
          <w:p w:rsidR="00920CF2" w:rsidRPr="006E3E30" w:rsidRDefault="00920CF2" w:rsidP="00433BD5">
            <w:pPr>
              <w:tabs>
                <w:tab w:val="decimal" w:pos="994"/>
                <w:tab w:val="left" w:pos="1133"/>
              </w:tabs>
              <w:rPr>
                <w:color w:val="000000"/>
              </w:rPr>
            </w:pPr>
            <w:r w:rsidRPr="006E3E30">
              <w:rPr>
                <w:color w:val="000000"/>
              </w:rPr>
              <w:tab/>
            </w:r>
            <w:r>
              <w:rPr>
                <w:color w:val="000000"/>
                <w:u w:val="single"/>
              </w:rPr>
              <w:t>6,117</w:t>
            </w:r>
            <w:r w:rsidRPr="006E3E30">
              <w:rPr>
                <w:color w:val="000000"/>
              </w:rPr>
              <w:tab/>
            </w:r>
          </w:p>
        </w:tc>
        <w:tc>
          <w:tcPr>
            <w:tcW w:w="2280" w:type="dxa"/>
            <w:tcBorders>
              <w:top w:val="nil"/>
              <w:left w:val="nil"/>
              <w:bottom w:val="nil"/>
              <w:right w:val="nil"/>
            </w:tcBorders>
            <w:shd w:val="clear" w:color="auto" w:fill="auto"/>
            <w:noWrap/>
            <w:vAlign w:val="bottom"/>
          </w:tcPr>
          <w:p w:rsidR="00920CF2" w:rsidRPr="006E3E30" w:rsidRDefault="00920CF2" w:rsidP="00433BD5">
            <w:pPr>
              <w:tabs>
                <w:tab w:val="decimal" w:pos="1635"/>
              </w:tabs>
              <w:jc w:val="right"/>
              <w:rPr>
                <w:color w:val="000000"/>
                <w:u w:val="single"/>
              </w:rPr>
            </w:pPr>
            <w:r>
              <w:rPr>
                <w:color w:val="000000"/>
                <w:u w:val="single"/>
              </w:rPr>
              <w:t>6,117</w:t>
            </w:r>
            <w:r w:rsidRPr="006E3E30">
              <w:rPr>
                <w:color w:val="000000"/>
                <w:u w:val="single"/>
              </w:rPr>
              <w:t xml:space="preserve"> </w:t>
            </w:r>
          </w:p>
        </w:tc>
      </w:tr>
      <w:tr w:rsidR="00920CF2" w:rsidRPr="00C901D4" w:rsidTr="00433BD5">
        <w:trPr>
          <w:trHeight w:hRule="exact" w:val="288"/>
          <w:jc w:val="center"/>
        </w:trPr>
        <w:tc>
          <w:tcPr>
            <w:tcW w:w="2812" w:type="dxa"/>
            <w:tcBorders>
              <w:top w:val="nil"/>
              <w:left w:val="nil"/>
              <w:bottom w:val="nil"/>
              <w:right w:val="nil"/>
            </w:tcBorders>
            <w:shd w:val="clear" w:color="auto" w:fill="auto"/>
            <w:noWrap/>
            <w:vAlign w:val="bottom"/>
            <w:hideMark/>
          </w:tcPr>
          <w:p w:rsidR="00920CF2" w:rsidRPr="006E3E30" w:rsidRDefault="00920CF2" w:rsidP="00433BD5">
            <w:pPr>
              <w:rPr>
                <w:color w:val="000000"/>
              </w:rPr>
            </w:pPr>
          </w:p>
        </w:tc>
        <w:tc>
          <w:tcPr>
            <w:tcW w:w="1840" w:type="dxa"/>
            <w:tcBorders>
              <w:top w:val="nil"/>
              <w:left w:val="nil"/>
              <w:bottom w:val="nil"/>
              <w:right w:val="nil"/>
            </w:tcBorders>
            <w:shd w:val="clear" w:color="auto" w:fill="auto"/>
            <w:noWrap/>
            <w:vAlign w:val="bottom"/>
          </w:tcPr>
          <w:p w:rsidR="00920CF2" w:rsidRPr="006E3E30" w:rsidRDefault="00920CF2" w:rsidP="00433BD5">
            <w:pPr>
              <w:tabs>
                <w:tab w:val="decimal" w:pos="1502"/>
              </w:tabs>
              <w:rPr>
                <w:color w:val="000000"/>
              </w:rPr>
            </w:pPr>
          </w:p>
        </w:tc>
        <w:tc>
          <w:tcPr>
            <w:tcW w:w="1523" w:type="dxa"/>
            <w:tcBorders>
              <w:top w:val="nil"/>
              <w:left w:val="nil"/>
              <w:bottom w:val="nil"/>
              <w:right w:val="nil"/>
            </w:tcBorders>
            <w:shd w:val="clear" w:color="auto" w:fill="auto"/>
            <w:noWrap/>
            <w:vAlign w:val="bottom"/>
          </w:tcPr>
          <w:p w:rsidR="00920CF2" w:rsidRPr="006E3E30" w:rsidRDefault="00920CF2" w:rsidP="00433BD5">
            <w:pPr>
              <w:tabs>
                <w:tab w:val="decimal" w:pos="994"/>
                <w:tab w:val="left" w:pos="1133"/>
              </w:tabs>
              <w:rPr>
                <w:color w:val="000000"/>
              </w:rPr>
            </w:pPr>
          </w:p>
        </w:tc>
        <w:tc>
          <w:tcPr>
            <w:tcW w:w="2280" w:type="dxa"/>
            <w:tcBorders>
              <w:top w:val="nil"/>
              <w:left w:val="nil"/>
              <w:bottom w:val="nil"/>
              <w:right w:val="nil"/>
            </w:tcBorders>
            <w:shd w:val="clear" w:color="auto" w:fill="auto"/>
            <w:noWrap/>
            <w:vAlign w:val="bottom"/>
          </w:tcPr>
          <w:p w:rsidR="00920CF2" w:rsidRPr="006E3E30" w:rsidRDefault="00920CF2" w:rsidP="00433BD5">
            <w:pPr>
              <w:tabs>
                <w:tab w:val="decimal" w:pos="1635"/>
              </w:tabs>
              <w:jc w:val="right"/>
              <w:rPr>
                <w:color w:val="000000"/>
              </w:rPr>
            </w:pPr>
          </w:p>
        </w:tc>
      </w:tr>
      <w:tr w:rsidR="00920CF2" w:rsidRPr="00C901D4" w:rsidTr="00433BD5">
        <w:trPr>
          <w:trHeight w:hRule="exact" w:val="288"/>
          <w:jc w:val="center"/>
        </w:trPr>
        <w:tc>
          <w:tcPr>
            <w:tcW w:w="2812" w:type="dxa"/>
            <w:tcBorders>
              <w:top w:val="nil"/>
              <w:left w:val="nil"/>
              <w:bottom w:val="nil"/>
              <w:right w:val="nil"/>
            </w:tcBorders>
            <w:shd w:val="clear" w:color="auto" w:fill="auto"/>
            <w:noWrap/>
            <w:vAlign w:val="bottom"/>
            <w:hideMark/>
          </w:tcPr>
          <w:p w:rsidR="00920CF2" w:rsidRPr="006E3E30" w:rsidRDefault="00920CF2" w:rsidP="00433BD5">
            <w:pPr>
              <w:rPr>
                <w:color w:val="000000"/>
              </w:rPr>
            </w:pPr>
            <w:r w:rsidRPr="006E3E30">
              <w:rPr>
                <w:color w:val="000000"/>
              </w:rPr>
              <w:t>Total</w:t>
            </w:r>
          </w:p>
        </w:tc>
        <w:tc>
          <w:tcPr>
            <w:tcW w:w="1840" w:type="dxa"/>
            <w:tcBorders>
              <w:top w:val="nil"/>
              <w:left w:val="nil"/>
              <w:bottom w:val="nil"/>
              <w:right w:val="nil"/>
            </w:tcBorders>
            <w:shd w:val="clear" w:color="auto" w:fill="auto"/>
            <w:noWrap/>
            <w:vAlign w:val="bottom"/>
          </w:tcPr>
          <w:p w:rsidR="00920CF2" w:rsidRPr="006E3E30" w:rsidRDefault="00920CF2" w:rsidP="00433BD5">
            <w:pPr>
              <w:tabs>
                <w:tab w:val="decimal" w:pos="1502"/>
              </w:tabs>
              <w:rPr>
                <w:color w:val="000000"/>
                <w:u w:val="double"/>
              </w:rPr>
            </w:pPr>
            <w:r w:rsidRPr="006E3E30">
              <w:rPr>
                <w:color w:val="000000"/>
                <w:u w:val="double"/>
              </w:rPr>
              <w:t>$</w:t>
            </w:r>
            <w:r>
              <w:rPr>
                <w:color w:val="000000"/>
                <w:u w:val="double"/>
              </w:rPr>
              <w:t>0</w:t>
            </w:r>
            <w:r w:rsidRPr="006E3E30">
              <w:rPr>
                <w:color w:val="000000"/>
                <w:u w:val="double"/>
              </w:rPr>
              <w:t xml:space="preserve"> </w:t>
            </w:r>
          </w:p>
        </w:tc>
        <w:tc>
          <w:tcPr>
            <w:tcW w:w="1523" w:type="dxa"/>
            <w:tcBorders>
              <w:top w:val="nil"/>
              <w:left w:val="nil"/>
              <w:bottom w:val="nil"/>
              <w:right w:val="nil"/>
            </w:tcBorders>
            <w:shd w:val="clear" w:color="auto" w:fill="auto"/>
            <w:noWrap/>
            <w:vAlign w:val="bottom"/>
          </w:tcPr>
          <w:p w:rsidR="00920CF2" w:rsidRPr="006E3E30" w:rsidRDefault="00920CF2" w:rsidP="00433BD5">
            <w:pPr>
              <w:tabs>
                <w:tab w:val="decimal" w:pos="994"/>
                <w:tab w:val="left" w:pos="1133"/>
              </w:tabs>
              <w:rPr>
                <w:color w:val="000000"/>
                <w:u w:val="double"/>
              </w:rPr>
            </w:pPr>
            <w:r w:rsidRPr="006E3E30">
              <w:rPr>
                <w:color w:val="000000"/>
              </w:rPr>
              <w:tab/>
            </w:r>
            <w:r w:rsidRPr="004E04E7">
              <w:rPr>
                <w:color w:val="000000"/>
                <w:u w:val="double"/>
              </w:rPr>
              <w:t>$</w:t>
            </w:r>
            <w:r>
              <w:rPr>
                <w:color w:val="000000"/>
                <w:u w:val="double"/>
              </w:rPr>
              <w:t>4,958</w:t>
            </w:r>
          </w:p>
        </w:tc>
        <w:tc>
          <w:tcPr>
            <w:tcW w:w="2280" w:type="dxa"/>
            <w:tcBorders>
              <w:top w:val="nil"/>
              <w:left w:val="nil"/>
              <w:bottom w:val="nil"/>
              <w:right w:val="nil"/>
            </w:tcBorders>
            <w:shd w:val="clear" w:color="auto" w:fill="auto"/>
            <w:noWrap/>
            <w:vAlign w:val="bottom"/>
          </w:tcPr>
          <w:p w:rsidR="00920CF2" w:rsidRPr="006E3E30" w:rsidRDefault="00920CF2" w:rsidP="00433BD5">
            <w:pPr>
              <w:tabs>
                <w:tab w:val="decimal" w:pos="1635"/>
              </w:tabs>
              <w:jc w:val="right"/>
              <w:rPr>
                <w:color w:val="000000"/>
                <w:u w:val="double"/>
              </w:rPr>
            </w:pPr>
            <w:r>
              <w:rPr>
                <w:color w:val="000000"/>
                <w:u w:val="double"/>
              </w:rPr>
              <w:t>$4,958</w:t>
            </w:r>
          </w:p>
        </w:tc>
      </w:tr>
    </w:tbl>
    <w:p w:rsidR="00920CF2" w:rsidRDefault="00920CF2" w:rsidP="00920CF2"/>
    <w:p w:rsidR="00920CF2" w:rsidRDefault="00920CF2" w:rsidP="00920CF2">
      <w:r>
        <w:br w:type="page"/>
      </w:r>
    </w:p>
    <w:p w:rsidR="00920CF2" w:rsidRDefault="00920CF2" w:rsidP="00920CF2">
      <w:pPr>
        <w:pStyle w:val="BodyText"/>
        <w:sectPr w:rsidR="00920CF2" w:rsidSect="0068481F">
          <w:headerReference w:type="default" r:id="rId18"/>
          <w:pgSz w:w="12240" w:h="15840" w:code="1"/>
          <w:pgMar w:top="1584" w:right="1440" w:bottom="1440" w:left="1440" w:header="720" w:footer="720" w:gutter="0"/>
          <w:cols w:space="720"/>
          <w:formProt w:val="0"/>
          <w:docGrid w:linePitch="360"/>
        </w:sectPr>
      </w:pPr>
    </w:p>
    <w:tbl>
      <w:tblPr>
        <w:tblStyle w:val="TableGrid"/>
        <w:tblpPr w:leftFromText="180" w:rightFromText="180" w:vertAnchor="page" w:horzAnchor="margin" w:tblpY="2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920CF2" w:rsidTr="00B84787">
        <w:tc>
          <w:tcPr>
            <w:tcW w:w="9576" w:type="dxa"/>
            <w:gridSpan w:val="2"/>
            <w:hideMark/>
          </w:tcPr>
          <w:p w:rsidR="00920CF2" w:rsidRDefault="00920CF2" w:rsidP="00B84787">
            <w:pPr>
              <w:jc w:val="center"/>
              <w:rPr>
                <w:b/>
              </w:rPr>
            </w:pPr>
            <w:r>
              <w:rPr>
                <w:b/>
              </w:rPr>
              <w:lastRenderedPageBreak/>
              <w:t>Explanation of Staff’s Recommended</w:t>
            </w:r>
          </w:p>
        </w:tc>
      </w:tr>
      <w:tr w:rsidR="00920CF2" w:rsidTr="00B84787">
        <w:trPr>
          <w:trHeight w:val="363"/>
        </w:trPr>
        <w:tc>
          <w:tcPr>
            <w:tcW w:w="9576" w:type="dxa"/>
            <w:gridSpan w:val="2"/>
            <w:hideMark/>
          </w:tcPr>
          <w:p w:rsidR="00920CF2" w:rsidRDefault="00920CF2" w:rsidP="00B84787">
            <w:pPr>
              <w:jc w:val="center"/>
              <w:rPr>
                <w:b/>
              </w:rPr>
            </w:pPr>
            <w:r>
              <w:rPr>
                <w:b/>
              </w:rPr>
              <w:t>Adjustments to Net Book Value as of May 1, 2016</w:t>
            </w:r>
          </w:p>
        </w:tc>
      </w:tr>
      <w:tr w:rsidR="00920CF2" w:rsidTr="00B84787">
        <w:tc>
          <w:tcPr>
            <w:tcW w:w="9576" w:type="dxa"/>
            <w:gridSpan w:val="2"/>
          </w:tcPr>
          <w:p w:rsidR="00920CF2" w:rsidRDefault="00920CF2" w:rsidP="00B84787">
            <w:pPr>
              <w:jc w:val="center"/>
              <w:rPr>
                <w:b/>
              </w:rPr>
            </w:pPr>
          </w:p>
        </w:tc>
      </w:tr>
      <w:tr w:rsidR="00920CF2" w:rsidTr="00B84787">
        <w:tc>
          <w:tcPr>
            <w:tcW w:w="7668" w:type="dxa"/>
            <w:hideMark/>
          </w:tcPr>
          <w:p w:rsidR="00920CF2" w:rsidRDefault="00920CF2" w:rsidP="00B84787">
            <w:pPr>
              <w:rPr>
                <w:b/>
              </w:rPr>
            </w:pPr>
            <w:r>
              <w:rPr>
                <w:b/>
              </w:rPr>
              <w:t>Explanation</w:t>
            </w:r>
          </w:p>
        </w:tc>
        <w:tc>
          <w:tcPr>
            <w:tcW w:w="1908" w:type="dxa"/>
            <w:hideMark/>
          </w:tcPr>
          <w:p w:rsidR="00920CF2" w:rsidRDefault="00920CF2" w:rsidP="00B84787">
            <w:pPr>
              <w:rPr>
                <w:b/>
              </w:rPr>
            </w:pPr>
            <w:r>
              <w:rPr>
                <w:b/>
              </w:rPr>
              <w:t>Amount</w:t>
            </w:r>
          </w:p>
        </w:tc>
      </w:tr>
      <w:tr w:rsidR="00920CF2" w:rsidTr="00B84787">
        <w:tc>
          <w:tcPr>
            <w:tcW w:w="7668" w:type="dxa"/>
          </w:tcPr>
          <w:p w:rsidR="00920CF2" w:rsidRDefault="00920CF2" w:rsidP="00B84787">
            <w:pPr>
              <w:rPr>
                <w:b/>
              </w:rPr>
            </w:pPr>
          </w:p>
        </w:tc>
        <w:tc>
          <w:tcPr>
            <w:tcW w:w="1908" w:type="dxa"/>
          </w:tcPr>
          <w:p w:rsidR="00920CF2" w:rsidRDefault="00920CF2" w:rsidP="00B84787">
            <w:pPr>
              <w:rPr>
                <w:b/>
              </w:rPr>
            </w:pPr>
          </w:p>
        </w:tc>
      </w:tr>
      <w:tr w:rsidR="00920CF2" w:rsidTr="00B84787">
        <w:tc>
          <w:tcPr>
            <w:tcW w:w="7668" w:type="dxa"/>
            <w:hideMark/>
          </w:tcPr>
          <w:p w:rsidR="00920CF2" w:rsidRDefault="00920CF2" w:rsidP="00B8478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Utility Plant in Service</w:t>
            </w:r>
          </w:p>
        </w:tc>
        <w:tc>
          <w:tcPr>
            <w:tcW w:w="1908" w:type="dxa"/>
          </w:tcPr>
          <w:p w:rsidR="00920CF2" w:rsidRDefault="00920CF2" w:rsidP="00B84787"/>
        </w:tc>
      </w:tr>
      <w:tr w:rsidR="00920CF2" w:rsidTr="00B84787">
        <w:tc>
          <w:tcPr>
            <w:tcW w:w="7668" w:type="dxa"/>
            <w:hideMark/>
          </w:tcPr>
          <w:p w:rsidR="00920CF2" w:rsidRDefault="00920CF2" w:rsidP="00B84787">
            <w:r>
              <w:t>To reflect appropriate amount of utility plant in service.</w:t>
            </w:r>
          </w:p>
        </w:tc>
        <w:tc>
          <w:tcPr>
            <w:tcW w:w="1908" w:type="dxa"/>
            <w:hideMark/>
          </w:tcPr>
          <w:p w:rsidR="00920CF2" w:rsidRDefault="00920CF2" w:rsidP="00B84787">
            <w:pPr>
              <w:jc w:val="right"/>
              <w:rPr>
                <w:u w:val="double"/>
              </w:rPr>
            </w:pPr>
            <w:r>
              <w:rPr>
                <w:u w:val="double"/>
              </w:rPr>
              <w:t>$50,816</w:t>
            </w:r>
          </w:p>
        </w:tc>
      </w:tr>
      <w:tr w:rsidR="00920CF2" w:rsidTr="00B84787">
        <w:tc>
          <w:tcPr>
            <w:tcW w:w="7668" w:type="dxa"/>
            <w:hideMark/>
          </w:tcPr>
          <w:p w:rsidR="00920CF2" w:rsidRDefault="00920CF2" w:rsidP="00B8478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Land &amp; Land Rights</w:t>
            </w:r>
          </w:p>
        </w:tc>
        <w:tc>
          <w:tcPr>
            <w:tcW w:w="1908" w:type="dxa"/>
          </w:tcPr>
          <w:p w:rsidR="00920CF2" w:rsidRDefault="00920CF2" w:rsidP="00B84787">
            <w:pPr>
              <w:jc w:val="right"/>
              <w:rPr>
                <w:u w:val="double"/>
              </w:rPr>
            </w:pPr>
          </w:p>
        </w:tc>
      </w:tr>
      <w:tr w:rsidR="00920CF2" w:rsidTr="00B84787">
        <w:tc>
          <w:tcPr>
            <w:tcW w:w="7668" w:type="dxa"/>
            <w:hideMark/>
          </w:tcPr>
          <w:p w:rsidR="00920CF2" w:rsidRDefault="00920CF2" w:rsidP="00B84787">
            <w:r>
              <w:t>To reflect appropriate amount of Land &amp; Land Rights.</w:t>
            </w:r>
          </w:p>
        </w:tc>
        <w:tc>
          <w:tcPr>
            <w:tcW w:w="1908" w:type="dxa"/>
            <w:hideMark/>
          </w:tcPr>
          <w:p w:rsidR="00920CF2" w:rsidRDefault="00920CF2" w:rsidP="00B84787">
            <w:pPr>
              <w:jc w:val="right"/>
              <w:rPr>
                <w:u w:val="double"/>
              </w:rPr>
            </w:pPr>
            <w:r>
              <w:rPr>
                <w:u w:val="double"/>
              </w:rPr>
              <w:t>$1,000</w:t>
            </w:r>
          </w:p>
        </w:tc>
      </w:tr>
      <w:tr w:rsidR="00920CF2" w:rsidTr="00B84787">
        <w:tc>
          <w:tcPr>
            <w:tcW w:w="7668" w:type="dxa"/>
            <w:hideMark/>
          </w:tcPr>
          <w:p w:rsidR="00920CF2" w:rsidRDefault="00920CF2" w:rsidP="00B8478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Accumulated Depreciation</w:t>
            </w:r>
          </w:p>
        </w:tc>
        <w:tc>
          <w:tcPr>
            <w:tcW w:w="1908" w:type="dxa"/>
          </w:tcPr>
          <w:p w:rsidR="00920CF2" w:rsidRDefault="00920CF2" w:rsidP="00B84787">
            <w:pPr>
              <w:jc w:val="right"/>
              <w:rPr>
                <w:u w:val="double"/>
              </w:rPr>
            </w:pPr>
          </w:p>
        </w:tc>
      </w:tr>
      <w:tr w:rsidR="00920CF2" w:rsidTr="00B84787">
        <w:tc>
          <w:tcPr>
            <w:tcW w:w="7668" w:type="dxa"/>
            <w:hideMark/>
          </w:tcPr>
          <w:p w:rsidR="00920CF2" w:rsidRDefault="00920CF2" w:rsidP="00B84787">
            <w:r>
              <w:t>To reflect appropriate amount of accumulated depreciation.</w:t>
            </w:r>
          </w:p>
        </w:tc>
        <w:tc>
          <w:tcPr>
            <w:tcW w:w="1908" w:type="dxa"/>
            <w:hideMark/>
          </w:tcPr>
          <w:p w:rsidR="00920CF2" w:rsidRDefault="00920CF2" w:rsidP="00B84787">
            <w:pPr>
              <w:jc w:val="right"/>
              <w:rPr>
                <w:u w:val="double"/>
              </w:rPr>
            </w:pPr>
            <w:r>
              <w:rPr>
                <w:u w:val="double"/>
              </w:rPr>
              <w:t>($45,625)</w:t>
            </w:r>
          </w:p>
        </w:tc>
      </w:tr>
      <w:tr w:rsidR="00920CF2" w:rsidTr="00B84787">
        <w:tc>
          <w:tcPr>
            <w:tcW w:w="7668" w:type="dxa"/>
            <w:hideMark/>
          </w:tcPr>
          <w:p w:rsidR="00920CF2" w:rsidRDefault="00920CF2" w:rsidP="00B8478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Contributions-in-Aid-of-Construction (CIAC)</w:t>
            </w:r>
          </w:p>
        </w:tc>
        <w:tc>
          <w:tcPr>
            <w:tcW w:w="1908" w:type="dxa"/>
          </w:tcPr>
          <w:p w:rsidR="00920CF2" w:rsidRDefault="00920CF2" w:rsidP="00B84787">
            <w:pPr>
              <w:jc w:val="right"/>
              <w:rPr>
                <w:u w:val="double"/>
              </w:rPr>
            </w:pPr>
          </w:p>
        </w:tc>
      </w:tr>
      <w:tr w:rsidR="00920CF2" w:rsidTr="00B84787">
        <w:tc>
          <w:tcPr>
            <w:tcW w:w="7668" w:type="dxa"/>
            <w:hideMark/>
          </w:tcPr>
          <w:p w:rsidR="00920CF2" w:rsidRDefault="00920CF2" w:rsidP="00B84787">
            <w:r>
              <w:t>To reflect appropriate CIAC.</w:t>
            </w:r>
          </w:p>
        </w:tc>
        <w:tc>
          <w:tcPr>
            <w:tcW w:w="1908" w:type="dxa"/>
            <w:hideMark/>
          </w:tcPr>
          <w:p w:rsidR="00920CF2" w:rsidRDefault="00920CF2" w:rsidP="00B84787">
            <w:pPr>
              <w:jc w:val="right"/>
              <w:rPr>
                <w:u w:val="double"/>
              </w:rPr>
            </w:pPr>
            <w:r>
              <w:rPr>
                <w:u w:val="double"/>
              </w:rPr>
              <w:t>($7,350)</w:t>
            </w:r>
          </w:p>
        </w:tc>
      </w:tr>
      <w:tr w:rsidR="00920CF2" w:rsidTr="00B84787">
        <w:tc>
          <w:tcPr>
            <w:tcW w:w="7668" w:type="dxa"/>
            <w:hideMark/>
          </w:tcPr>
          <w:p w:rsidR="00920CF2" w:rsidRDefault="00920CF2" w:rsidP="00B8478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Accumulated Amortization of CIAC</w:t>
            </w:r>
          </w:p>
        </w:tc>
        <w:tc>
          <w:tcPr>
            <w:tcW w:w="1908" w:type="dxa"/>
          </w:tcPr>
          <w:p w:rsidR="00920CF2" w:rsidRDefault="00920CF2" w:rsidP="00B84787">
            <w:pPr>
              <w:jc w:val="right"/>
              <w:rPr>
                <w:u w:val="double"/>
              </w:rPr>
            </w:pPr>
          </w:p>
        </w:tc>
      </w:tr>
      <w:tr w:rsidR="00920CF2" w:rsidTr="00B84787">
        <w:tc>
          <w:tcPr>
            <w:tcW w:w="7668" w:type="dxa"/>
            <w:hideMark/>
          </w:tcPr>
          <w:p w:rsidR="00920CF2" w:rsidRDefault="00920CF2" w:rsidP="00B84787">
            <w:r>
              <w:t>To reflect appropriate amount of accumulated amortization of CIAC.</w:t>
            </w:r>
          </w:p>
        </w:tc>
        <w:tc>
          <w:tcPr>
            <w:tcW w:w="1908" w:type="dxa"/>
            <w:hideMark/>
          </w:tcPr>
          <w:p w:rsidR="00920CF2" w:rsidRDefault="00920CF2" w:rsidP="00B84787">
            <w:pPr>
              <w:jc w:val="right"/>
              <w:rPr>
                <w:u w:val="double"/>
              </w:rPr>
            </w:pPr>
            <w:r>
              <w:rPr>
                <w:u w:val="double"/>
              </w:rPr>
              <w:t>$6,117</w:t>
            </w:r>
          </w:p>
        </w:tc>
      </w:tr>
      <w:tr w:rsidR="00920CF2" w:rsidTr="00B84787">
        <w:tc>
          <w:tcPr>
            <w:tcW w:w="7668" w:type="dxa"/>
          </w:tcPr>
          <w:p w:rsidR="00920CF2" w:rsidRDefault="00920CF2" w:rsidP="00B84787"/>
        </w:tc>
        <w:tc>
          <w:tcPr>
            <w:tcW w:w="1908" w:type="dxa"/>
          </w:tcPr>
          <w:p w:rsidR="00920CF2" w:rsidRDefault="00920CF2" w:rsidP="00B84787">
            <w:pPr>
              <w:jc w:val="right"/>
              <w:rPr>
                <w:u w:val="double"/>
              </w:rPr>
            </w:pPr>
          </w:p>
        </w:tc>
      </w:tr>
      <w:tr w:rsidR="00920CF2" w:rsidTr="00B84787">
        <w:tc>
          <w:tcPr>
            <w:tcW w:w="7668" w:type="dxa"/>
            <w:hideMark/>
          </w:tcPr>
          <w:p w:rsidR="00920CF2" w:rsidRDefault="00920CF2" w:rsidP="00B84787">
            <w:r>
              <w:t>Total Adjustments to Net Book Value as of May 1, 2016.</w:t>
            </w:r>
          </w:p>
        </w:tc>
        <w:tc>
          <w:tcPr>
            <w:tcW w:w="1908" w:type="dxa"/>
            <w:hideMark/>
          </w:tcPr>
          <w:p w:rsidR="00920CF2" w:rsidRDefault="00920CF2" w:rsidP="00B84787">
            <w:pPr>
              <w:jc w:val="right"/>
              <w:rPr>
                <w:u w:val="double"/>
              </w:rPr>
            </w:pPr>
            <w:r>
              <w:rPr>
                <w:u w:val="double"/>
              </w:rPr>
              <w:t>$4,958</w:t>
            </w:r>
          </w:p>
        </w:tc>
      </w:tr>
    </w:tbl>
    <w:p w:rsidR="00E06484" w:rsidRDefault="00E06484" w:rsidP="00920CF2">
      <w:pPr>
        <w:pStyle w:val="BodyText"/>
      </w:pPr>
    </w:p>
    <w:p w:rsidR="00920CF2" w:rsidRDefault="00920CF2" w:rsidP="00920CF2">
      <w:pPr>
        <w:pStyle w:val="BodyText"/>
      </w:pPr>
    </w:p>
    <w:sectPr w:rsidR="00920CF2"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FAC" w:rsidRDefault="00F17FAC">
      <w:r>
        <w:separator/>
      </w:r>
    </w:p>
  </w:endnote>
  <w:endnote w:type="continuationSeparator" w:id="0">
    <w:p w:rsidR="00F17FAC" w:rsidRDefault="00F1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AC" w:rsidRDefault="00F17FA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2630C">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AC" w:rsidRDefault="00F17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FAC" w:rsidRDefault="00F17FAC">
      <w:r>
        <w:separator/>
      </w:r>
    </w:p>
  </w:footnote>
  <w:footnote w:type="continuationSeparator" w:id="0">
    <w:p w:rsidR="00F17FAC" w:rsidRDefault="00F17FAC">
      <w:r>
        <w:continuationSeparator/>
      </w:r>
    </w:p>
  </w:footnote>
  <w:footnote w:id="1">
    <w:p w:rsidR="00F17FAC" w:rsidRDefault="00F17FAC">
      <w:pPr>
        <w:pStyle w:val="FootnoteText"/>
      </w:pPr>
      <w:r>
        <w:rPr>
          <w:rStyle w:val="FootnoteReference"/>
        </w:rPr>
        <w:footnoteRef/>
      </w:r>
      <w:r>
        <w:t>Or</w:t>
      </w:r>
      <w:r w:rsidRPr="006427AB">
        <w:t>der No. 7790, issued April 28, 1977, in Docket No. 760763-W, In re:</w:t>
      </w:r>
      <w:r w:rsidRPr="003103AA">
        <w:rPr>
          <w:i/>
        </w:rPr>
        <w:t xml:space="preserve"> Application of Orangeland Water Supply for a certificate to operate a water utility in Pasco County, Florid</w:t>
      </w:r>
      <w:r w:rsidRPr="00320A6D">
        <w:rPr>
          <w:i/>
        </w:rPr>
        <w:t>a, pursuant to Section 367.171, Florida Statutes.</w:t>
      </w:r>
    </w:p>
  </w:footnote>
  <w:footnote w:id="2">
    <w:p w:rsidR="00F17FAC" w:rsidRDefault="00F17FAC">
      <w:pPr>
        <w:pStyle w:val="FootnoteText"/>
      </w:pPr>
      <w:r>
        <w:rPr>
          <w:rStyle w:val="FootnoteReference"/>
        </w:rPr>
        <w:footnoteRef/>
      </w:r>
      <w:r>
        <w:t xml:space="preserve">Order PSC-08-0640-AS-WU, issued October 3, 2008, in Docket No. 070601-WU - </w:t>
      </w:r>
      <w:r w:rsidRPr="00C36B09">
        <w:rPr>
          <w:i/>
        </w:rPr>
        <w:t>In re:Application for staff-assisted rate case in Pasco County by Orangeland Water Supply</w:t>
      </w:r>
      <w:r>
        <w:rPr>
          <w:i/>
        </w:rPr>
        <w:t>.</w:t>
      </w:r>
    </w:p>
  </w:footnote>
  <w:footnote w:id="3">
    <w:p w:rsidR="00F17FAC" w:rsidRDefault="00F17FAC">
      <w:pPr>
        <w:pStyle w:val="FootnoteText"/>
      </w:pPr>
      <w:r>
        <w:rPr>
          <w:rStyle w:val="FootnoteReference"/>
        </w:rPr>
        <w:footnoteRef/>
      </w:r>
      <w:r>
        <w:t>See Document No. 08195-16.</w:t>
      </w:r>
    </w:p>
  </w:footnote>
  <w:footnote w:id="4">
    <w:p w:rsidR="00F17FAC" w:rsidRDefault="00F17FAC" w:rsidP="006A5511">
      <w:pPr>
        <w:pStyle w:val="FootnoteText"/>
        <w:rPr>
          <w:i/>
        </w:rPr>
      </w:pPr>
      <w:r>
        <w:rPr>
          <w:rStyle w:val="FootnoteReference"/>
        </w:rPr>
        <w:footnoteRef/>
      </w:r>
      <w:r>
        <w:t xml:space="preserve">Order No. PSC-08-0640-AS-WU, in Docket No. 070601-WU, dated October 3, 2008, </w:t>
      </w:r>
      <w:r>
        <w:rPr>
          <w:i/>
        </w:rPr>
        <w:t>In re: Application for staff-assisted rate case in Pasco County by Orangeland Water Supply</w:t>
      </w:r>
    </w:p>
  </w:footnote>
  <w:footnote w:id="5">
    <w:p w:rsidR="00F17FAC" w:rsidRDefault="00F17FAC" w:rsidP="008544AE">
      <w:pPr>
        <w:pStyle w:val="FootnoteText"/>
      </w:pPr>
      <w:r>
        <w:rPr>
          <w:rStyle w:val="FootnoteReference"/>
        </w:rPr>
        <w:footnoteRef/>
      </w:r>
      <w:r>
        <w:t xml:space="preserve">Order No. PSC-99-2378-TRF-WU, in Docket No. 990763-WU, dated December 6, 1999, </w:t>
      </w:r>
      <w:r>
        <w:rPr>
          <w:i/>
        </w:rPr>
        <w:t>In re: Tariff filing by Floralino Properties, Inc. requesting approval of premises visit charge for visits requested by customers in Pasco County.</w:t>
      </w:r>
    </w:p>
  </w:footnote>
  <w:footnote w:id="6">
    <w:p w:rsidR="00F17FAC" w:rsidRDefault="00F17FAC" w:rsidP="008544AE">
      <w:pPr>
        <w:pStyle w:val="FootnoteText"/>
        <w:rPr>
          <w:i/>
        </w:rPr>
      </w:pPr>
      <w:r>
        <w:rPr>
          <w:rStyle w:val="FootnoteReference"/>
        </w:rPr>
        <w:footnoteRef/>
      </w:r>
      <w:r>
        <w:t xml:space="preserve">Order No. PSC-16-0583-PAA-WS, in Docket No. 150010-WS, dated December 29, 2016, </w:t>
      </w:r>
      <w:r>
        <w:rPr>
          <w:i/>
        </w:rPr>
        <w:t>In re: Application for staff-assisted rate case in Brevard County by Aquarina Utilities, Inc.</w:t>
      </w:r>
    </w:p>
  </w:footnote>
  <w:footnote w:id="7">
    <w:p w:rsidR="00F17FAC" w:rsidRDefault="00F17FAC">
      <w:pPr>
        <w:pStyle w:val="FootnoteText"/>
      </w:pPr>
      <w:r>
        <w:rPr>
          <w:rStyle w:val="FootnoteReference"/>
        </w:rPr>
        <w:footnoteRef/>
      </w:r>
      <w:r>
        <w:t xml:space="preserve">Order Nos. PSC-13-0611-PAA-WS, issued November 19, 2013, in Docket No. 130010-WS, </w:t>
      </w:r>
      <w:r>
        <w:rPr>
          <w:i/>
        </w:rPr>
        <w:t>In re: Application for increase in water rates in Lee County and wastewater rates in Pasco County by Ni Florida, LLC</w:t>
      </w:r>
      <w:r>
        <w:t xml:space="preserve">., and PSC-14-0016-TRF-WU, issued January 6, 2014, in Docket No. 130251-WU, </w:t>
      </w:r>
      <w:r>
        <w:rPr>
          <w:i/>
        </w:rPr>
        <w:t>In re: Application for approval of miscellaneous service charges in Pasco County, by Crestridge Utility Corporation.</w:t>
      </w:r>
    </w:p>
  </w:footnote>
  <w:footnote w:id="8">
    <w:p w:rsidR="00F17FAC" w:rsidRDefault="00F17FAC">
      <w:pPr>
        <w:pStyle w:val="FootnoteText"/>
      </w:pPr>
      <w:r>
        <w:rPr>
          <w:rStyle w:val="FootnoteReference"/>
        </w:rPr>
        <w:footnoteRef/>
      </w:r>
      <w:r>
        <w:t xml:space="preserve">Order Nos. PSC-14-0198-TRF-SU, issued May 2, 2014, in Docket No. 140030-SU, </w:t>
      </w:r>
      <w:r>
        <w:rPr>
          <w:i/>
        </w:rPr>
        <w:t>In re: Request for approval to amend Miscellaneous Service charges to include all NSF charges by Environmental Protection Systems of Pine Island, Inc.;</w:t>
      </w:r>
      <w:r>
        <w:t xml:space="preserve"> and PSC-13-0646-PAA-WU, issued December 5, 2013, in Docket No. 130025-WU, </w:t>
      </w:r>
      <w:r>
        <w:rPr>
          <w:i/>
        </w:rPr>
        <w:t>In re: Application for increase in water rates in Highlands County by Placid Lakes Utilities, Inc.</w:t>
      </w:r>
    </w:p>
  </w:footnote>
  <w:footnote w:id="9">
    <w:p w:rsidR="00F17FAC" w:rsidRDefault="00F17FAC" w:rsidP="00A12D1C">
      <w:pPr>
        <w:pStyle w:val="FootnoteText"/>
        <w:rPr>
          <w:i/>
        </w:rPr>
      </w:pPr>
      <w:r>
        <w:rPr>
          <w:rStyle w:val="FootnoteReference"/>
        </w:rPr>
        <w:footnoteRef/>
      </w:r>
      <w:r>
        <w:t xml:space="preserve">Order Nos. PSC-14-0058-FOF-WU, in Docket No. 130250-WU, dated January 27, 2014, </w:t>
      </w:r>
      <w:r>
        <w:rPr>
          <w:i/>
        </w:rPr>
        <w:t>In re: Application for approval of miscellaneous service charges in Pasco County, by Holiday Gardens Utilities, Inc</w:t>
      </w:r>
      <w:r>
        <w:t xml:space="preserve">. and PSC-14-0016-TRF-WU, in Docket No. 130251-WU, dated January 6, 2014, </w:t>
      </w:r>
      <w:r>
        <w:rPr>
          <w:i/>
        </w:rPr>
        <w:t>In re: Application for approval of miscellaneous service charges in Pasco County, by Crestridge Utility Corporation.</w:t>
      </w:r>
    </w:p>
  </w:footnote>
  <w:footnote w:id="10">
    <w:p w:rsidR="00F17FAC" w:rsidRDefault="00F17FAC">
      <w:pPr>
        <w:pStyle w:val="FootnoteText"/>
      </w:pPr>
      <w:r>
        <w:rPr>
          <w:rStyle w:val="FootnoteReference"/>
        </w:rPr>
        <w:footnoteRef/>
      </w:r>
      <w:r>
        <w:t>Order No. PSC-16-0043-PAA-WU, in Docket No. 150186-WU, dated January 25, 2016,</w:t>
      </w:r>
      <w:r w:rsidRPr="006E394C">
        <w:rPr>
          <w:i/>
        </w:rPr>
        <w:t xml:space="preserve"> In re: Application for certificate to operate a water utility in Hardee County by Charlie Creek Utilities, LLC</w:t>
      </w:r>
      <w:r>
        <w:rPr>
          <w:i/>
        </w:rPr>
        <w:t>.</w:t>
      </w:r>
    </w:p>
  </w:footnote>
  <w:footnote w:id="11">
    <w:p w:rsidR="00F17FAC" w:rsidRDefault="00F17FAC">
      <w:pPr>
        <w:pStyle w:val="FootnoteText"/>
      </w:pPr>
      <w:r>
        <w:rPr>
          <w:rStyle w:val="FootnoteReference"/>
        </w:rPr>
        <w:footnoteRef/>
      </w:r>
      <w:r>
        <w:t xml:space="preserve">Order Nos. PSC-01-2101-TRF-WS, in Docket No. 011122-WS, issued October 22, 2001, </w:t>
      </w:r>
      <w:r w:rsidRPr="00381C64">
        <w:rPr>
          <w:i/>
        </w:rPr>
        <w:t>In re: Tariff filing to establish a late payment charge in Highlands County by Damon Utilities, Inc.</w:t>
      </w:r>
      <w:r>
        <w:t xml:space="preserve">; PSC-08-0255-PAA-WS, in Docket No. 070391-WS, issued April 24, 2008, </w:t>
      </w:r>
      <w:r w:rsidRPr="00381C64">
        <w:rPr>
          <w:i/>
        </w:rPr>
        <w:t>In re:  Application for certificates to provide water and wastewater service in Sumter County by Orange Blossom Utilities, Inc.</w:t>
      </w:r>
      <w:r>
        <w:t xml:space="preserve">; PSC-09-0752-PAA-WU, in Docket No. 090185-WU, issued November 16, 2009, </w:t>
      </w:r>
      <w:r w:rsidRPr="00381C64">
        <w:rPr>
          <w:i/>
        </w:rPr>
        <w:t>In re: Application for grandfather certificate to operate water utility in St. Johns County by Camachee Island Company, Inc. d/b/a Camachee Cove Yacht Harbor Utility.</w:t>
      </w:r>
      <w:r>
        <w:t xml:space="preserve">; PSC-10-0257-TRF-WU, in Docket No. 090429-WU, issued April 26, 2010, </w:t>
      </w:r>
      <w:r w:rsidRPr="00381C64">
        <w:rPr>
          <w:i/>
        </w:rPr>
        <w:t>In re: Request for approval of imposition of miscellaneous service charges, delinquent payment charge and meter tampering charge in Lake County, by Pine Harbour Water Utilities, LLC.</w:t>
      </w:r>
      <w:r>
        <w:t xml:space="preserve">; and  PSC-11-0204-TRF-SU, in Docket No. 100413-SU, issued April 25, 2011, </w:t>
      </w:r>
      <w:r w:rsidRPr="00381C64">
        <w:rPr>
          <w:i/>
        </w:rPr>
        <w:t>In re:  Request for approval of tariff amendment to include a late fee of $14.00 in Polk County by West Lakeland Wastewater.</w:t>
      </w:r>
      <w:r>
        <w:t xml:space="preserve">PSC-14-0105-TRF-WS, in Docket No. 130288-WS, issued February 20, 2014, </w:t>
      </w:r>
      <w:r>
        <w:rPr>
          <w:i/>
        </w:rPr>
        <w:t xml:space="preserve">In re: </w:t>
      </w:r>
      <w:r w:rsidRPr="009603EF">
        <w:rPr>
          <w:i/>
        </w:rPr>
        <w:t>Request for approval of late payment charge in Brevard County by Aquarina Utilities, In</w:t>
      </w:r>
      <w:r>
        <w:rPr>
          <w:i/>
        </w:rPr>
        <w: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AC" w:rsidRDefault="00F17FAC" w:rsidP="00220732">
    <w:pPr>
      <w:pStyle w:val="Header"/>
      <w:tabs>
        <w:tab w:val="clear" w:pos="4320"/>
        <w:tab w:val="clear" w:pos="8640"/>
        <w:tab w:val="right" w:pos="9360"/>
      </w:tabs>
    </w:pPr>
    <w:bookmarkStart w:id="13" w:name="DocketLabel"/>
    <w:r>
      <w:t>Docket No.</w:t>
    </w:r>
    <w:bookmarkEnd w:id="13"/>
    <w:r>
      <w:t xml:space="preserve"> </w:t>
    </w:r>
    <w:bookmarkStart w:id="14" w:name="DocketList"/>
    <w:r>
      <w:t>160144-WU</w:t>
    </w:r>
    <w:bookmarkEnd w:id="14"/>
  </w:p>
  <w:p w:rsidR="00F17FAC" w:rsidRDefault="00F17FAC">
    <w:pPr>
      <w:pStyle w:val="Header"/>
    </w:pPr>
    <w:r>
      <w:t xml:space="preserve">Date: </w:t>
    </w:r>
    <w:r w:rsidR="008B05FE">
      <w:fldChar w:fldCharType="begin"/>
    </w:r>
    <w:r w:rsidR="008B05FE">
      <w:instrText xml:space="preserve"> REF FilingDate </w:instrText>
    </w:r>
    <w:r w:rsidR="008B05FE">
      <w:fldChar w:fldCharType="separate"/>
    </w:r>
    <w:r w:rsidR="00CE3B1B">
      <w:t>January 26, 2017</w:t>
    </w:r>
    <w:r w:rsidR="008B05F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AC" w:rsidRDefault="00F17FAC" w:rsidP="00220732">
    <w:pPr>
      <w:pStyle w:val="Header"/>
      <w:tabs>
        <w:tab w:val="clear" w:pos="4320"/>
        <w:tab w:val="clear" w:pos="8640"/>
        <w:tab w:val="right" w:pos="9360"/>
      </w:tabs>
    </w:pPr>
    <w:r>
      <w:fldChar w:fldCharType="begin"/>
    </w:r>
    <w:r>
      <w:instrText xml:space="preserve"> REF DocketLabel</w:instrText>
    </w:r>
    <w:r>
      <w:fldChar w:fldCharType="separate"/>
    </w:r>
    <w:r w:rsidR="00CE3B1B">
      <w:t>Docket No.</w:t>
    </w:r>
    <w:r>
      <w:fldChar w:fldCharType="end"/>
    </w:r>
    <w:r>
      <w:t xml:space="preserve"> </w:t>
    </w:r>
    <w:r>
      <w:fldChar w:fldCharType="begin"/>
    </w:r>
    <w:r>
      <w:instrText xml:space="preserve"> REF DocketList</w:instrText>
    </w:r>
    <w:r>
      <w:fldChar w:fldCharType="separate"/>
    </w:r>
    <w:r w:rsidR="00CE3B1B">
      <w:t>160144-WU</w:t>
    </w:r>
    <w:r>
      <w:fldChar w:fldCharType="end"/>
    </w:r>
    <w:r>
      <w:tab/>
      <w:t xml:space="preserve">Issue </w:t>
    </w:r>
    <w:r w:rsidR="008B05FE">
      <w:fldChar w:fldCharType="begin"/>
    </w:r>
    <w:r w:rsidR="008B05FE">
      <w:instrText xml:space="preserve"> Seq Issue \c \* Arabic </w:instrText>
    </w:r>
    <w:r w:rsidR="008B05FE">
      <w:fldChar w:fldCharType="separate"/>
    </w:r>
    <w:r w:rsidR="0032630C">
      <w:rPr>
        <w:noProof/>
      </w:rPr>
      <w:t>1</w:t>
    </w:r>
    <w:r w:rsidR="008B05FE">
      <w:rPr>
        <w:noProof/>
      </w:rPr>
      <w:fldChar w:fldCharType="end"/>
    </w:r>
  </w:p>
  <w:p w:rsidR="00F17FAC" w:rsidRDefault="00F17FAC">
    <w:pPr>
      <w:pStyle w:val="Header"/>
    </w:pPr>
    <w:r>
      <w:t xml:space="preserve">Date: </w:t>
    </w:r>
    <w:r w:rsidR="008B05FE">
      <w:fldChar w:fldCharType="begin"/>
    </w:r>
    <w:r w:rsidR="008B05FE">
      <w:instrText xml:space="preserve"> REF FilingDate </w:instrText>
    </w:r>
    <w:r w:rsidR="008B05FE">
      <w:fldChar w:fldCharType="separate"/>
    </w:r>
    <w:r w:rsidR="00CE3B1B">
      <w:t>January 26, 2017</w:t>
    </w:r>
    <w:r w:rsidR="008B05F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AC" w:rsidRDefault="00F17F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AC" w:rsidRDefault="00F17FAC" w:rsidP="006747E6">
    <w:pPr>
      <w:pStyle w:val="Header"/>
      <w:tabs>
        <w:tab w:val="clear" w:pos="4320"/>
        <w:tab w:val="clear" w:pos="8640"/>
        <w:tab w:val="left" w:pos="7350"/>
        <w:tab w:val="right" w:pos="9360"/>
      </w:tabs>
    </w:pPr>
    <w:r>
      <w:fldChar w:fldCharType="begin"/>
    </w:r>
    <w:r>
      <w:instrText xml:space="preserve"> REF DocketLabel</w:instrText>
    </w:r>
    <w:r>
      <w:fldChar w:fldCharType="separate"/>
    </w:r>
    <w:r w:rsidR="00CE3B1B">
      <w:t>Docket No.</w:t>
    </w:r>
    <w:r>
      <w:fldChar w:fldCharType="end"/>
    </w:r>
    <w:r>
      <w:t xml:space="preserve"> </w:t>
    </w:r>
    <w:r>
      <w:fldChar w:fldCharType="begin"/>
    </w:r>
    <w:r>
      <w:instrText xml:space="preserve"> REF DocketList</w:instrText>
    </w:r>
    <w:r>
      <w:fldChar w:fldCharType="separate"/>
    </w:r>
    <w:r w:rsidR="00CE3B1B">
      <w:t>160144-WU</w:t>
    </w:r>
    <w:r>
      <w:fldChar w:fldCharType="end"/>
    </w:r>
    <w:r>
      <w:tab/>
    </w:r>
    <w:r>
      <w:tab/>
      <w:t>Attachment A</w:t>
    </w:r>
  </w:p>
  <w:p w:rsidR="00F17FAC" w:rsidRDefault="00F17FAC" w:rsidP="006747E6">
    <w:pPr>
      <w:pStyle w:val="Header"/>
      <w:tabs>
        <w:tab w:val="clear" w:pos="4320"/>
        <w:tab w:val="clear" w:pos="8640"/>
        <w:tab w:val="left" w:pos="8550"/>
      </w:tabs>
    </w:pPr>
    <w:r>
      <w:t xml:space="preserve">Date: </w:t>
    </w:r>
    <w:r w:rsidR="008B05FE">
      <w:fldChar w:fldCharType="begin"/>
    </w:r>
    <w:r w:rsidR="008B05FE">
      <w:instrText xml:space="preserve"> REF FilingDate </w:instrText>
    </w:r>
    <w:r w:rsidR="008B05FE">
      <w:fldChar w:fldCharType="separate"/>
    </w:r>
    <w:r w:rsidR="00CE3B1B">
      <w:t>January 26, 2017</w:t>
    </w:r>
    <w:r w:rsidR="008B05FE">
      <w:fldChar w:fldCharType="end"/>
    </w:r>
    <w:r>
      <w:t xml:space="preserve">                                                                                                    Page 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AC" w:rsidRDefault="00F17FAC" w:rsidP="006747E6">
    <w:pPr>
      <w:pStyle w:val="Header"/>
      <w:tabs>
        <w:tab w:val="clear" w:pos="4320"/>
        <w:tab w:val="clear" w:pos="8640"/>
        <w:tab w:val="left" w:pos="7350"/>
        <w:tab w:val="right" w:pos="9360"/>
      </w:tabs>
    </w:pPr>
    <w:r>
      <w:fldChar w:fldCharType="begin"/>
    </w:r>
    <w:r>
      <w:instrText xml:space="preserve"> REF DocketLabel</w:instrText>
    </w:r>
    <w:r>
      <w:fldChar w:fldCharType="separate"/>
    </w:r>
    <w:r w:rsidR="00CE3B1B">
      <w:t>Docket No.</w:t>
    </w:r>
    <w:r>
      <w:fldChar w:fldCharType="end"/>
    </w:r>
    <w:r>
      <w:t xml:space="preserve"> </w:t>
    </w:r>
    <w:r>
      <w:fldChar w:fldCharType="begin"/>
    </w:r>
    <w:r>
      <w:instrText xml:space="preserve"> REF DocketList</w:instrText>
    </w:r>
    <w:r>
      <w:fldChar w:fldCharType="separate"/>
    </w:r>
    <w:r w:rsidR="00CE3B1B">
      <w:t>160144-WU</w:t>
    </w:r>
    <w:r>
      <w:fldChar w:fldCharType="end"/>
    </w:r>
    <w:r>
      <w:tab/>
    </w:r>
    <w:r>
      <w:tab/>
      <w:t>Attachment A</w:t>
    </w:r>
  </w:p>
  <w:p w:rsidR="00F17FAC" w:rsidRDefault="00F17FAC" w:rsidP="006747E6">
    <w:pPr>
      <w:pStyle w:val="Header"/>
      <w:tabs>
        <w:tab w:val="clear" w:pos="4320"/>
        <w:tab w:val="clear" w:pos="8640"/>
        <w:tab w:val="left" w:pos="8550"/>
      </w:tabs>
    </w:pPr>
    <w:r>
      <w:t xml:space="preserve">Date: </w:t>
    </w:r>
    <w:r w:rsidR="008B05FE">
      <w:fldChar w:fldCharType="begin"/>
    </w:r>
    <w:r w:rsidR="008B05FE">
      <w:instrText xml:space="preserve"> REF FilingDate </w:instrText>
    </w:r>
    <w:r w:rsidR="008B05FE">
      <w:fldChar w:fldCharType="separate"/>
    </w:r>
    <w:r w:rsidR="00CE3B1B">
      <w:t>January 26, 2017</w:t>
    </w:r>
    <w:r w:rsidR="008B05FE">
      <w:fldChar w:fldCharType="end"/>
    </w:r>
    <w:r>
      <w:t xml:space="preserve">                                                                                                    Page 2 of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AC" w:rsidRDefault="00F17FAC" w:rsidP="00186492">
    <w:pPr>
      <w:pStyle w:val="Header"/>
      <w:tabs>
        <w:tab w:val="clear" w:pos="4320"/>
        <w:tab w:val="clear" w:pos="8640"/>
        <w:tab w:val="left" w:pos="7350"/>
        <w:tab w:val="left" w:pos="8175"/>
        <w:tab w:val="right" w:pos="9360"/>
      </w:tabs>
    </w:pPr>
    <w:r>
      <w:fldChar w:fldCharType="begin"/>
    </w:r>
    <w:r>
      <w:instrText xml:space="preserve"> REF DocketLabel</w:instrText>
    </w:r>
    <w:r>
      <w:fldChar w:fldCharType="separate"/>
    </w:r>
    <w:r w:rsidR="00CE3B1B">
      <w:t>Docket No.</w:t>
    </w:r>
    <w:r>
      <w:fldChar w:fldCharType="end"/>
    </w:r>
    <w:r>
      <w:t xml:space="preserve"> </w:t>
    </w:r>
    <w:r>
      <w:fldChar w:fldCharType="begin"/>
    </w:r>
    <w:r>
      <w:instrText xml:space="preserve"> REF DocketList</w:instrText>
    </w:r>
    <w:r>
      <w:fldChar w:fldCharType="separate"/>
    </w:r>
    <w:r w:rsidR="00CE3B1B">
      <w:t>160144-WU</w:t>
    </w:r>
    <w:r>
      <w:fldChar w:fldCharType="end"/>
    </w:r>
    <w:r>
      <w:tab/>
    </w:r>
    <w:r>
      <w:tab/>
      <w:t xml:space="preserve">  Schedule 1</w:t>
    </w:r>
  </w:p>
  <w:p w:rsidR="00F17FAC" w:rsidRDefault="00F17FAC" w:rsidP="006747E6">
    <w:pPr>
      <w:pStyle w:val="Header"/>
      <w:tabs>
        <w:tab w:val="clear" w:pos="4320"/>
        <w:tab w:val="clear" w:pos="8640"/>
        <w:tab w:val="left" w:pos="8520"/>
      </w:tabs>
    </w:pPr>
    <w:r>
      <w:t xml:space="preserve">Date: </w:t>
    </w:r>
    <w:r w:rsidR="008B05FE">
      <w:fldChar w:fldCharType="begin"/>
    </w:r>
    <w:r w:rsidR="008B05FE">
      <w:instrText xml:space="preserve"> REF FilingDate </w:instrText>
    </w:r>
    <w:r w:rsidR="008B05FE">
      <w:fldChar w:fldCharType="separate"/>
    </w:r>
    <w:r w:rsidR="00CE3B1B">
      <w:t>January 26, 2017</w:t>
    </w:r>
    <w:r w:rsidR="008B05FE">
      <w:fldChar w:fldCharType="end"/>
    </w:r>
    <w:r>
      <w:t xml:space="preserve">                                                                                                    Page </w:t>
    </w:r>
    <w:r>
      <w:fldChar w:fldCharType="begin"/>
    </w:r>
    <w:r>
      <w:instrText xml:space="preserve"> =</w:instrText>
    </w:r>
    <w:r>
      <w:fldChar w:fldCharType="begin"/>
    </w:r>
    <w:r>
      <w:instrText xml:space="preserve"> page </w:instrText>
    </w:r>
    <w:r>
      <w:fldChar w:fldCharType="separate"/>
    </w:r>
    <w:r w:rsidR="0032630C">
      <w:rPr>
        <w:noProof/>
      </w:rPr>
      <w:instrText>20</w:instrText>
    </w:r>
    <w:r>
      <w:fldChar w:fldCharType="end"/>
    </w:r>
    <w:r>
      <w:instrText xml:space="preserve"> -19</w:instrText>
    </w:r>
    <w:r>
      <w:fldChar w:fldCharType="separate"/>
    </w:r>
    <w:r w:rsidR="0032630C">
      <w:rPr>
        <w:noProof/>
      </w:rPr>
      <w:t>1</w:t>
    </w:r>
    <w:r>
      <w:fldChar w:fldCharType="end"/>
    </w:r>
    <w:r>
      <w:t xml:space="preserve">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AC" w:rsidRDefault="00F17FAC" w:rsidP="00816A7C">
    <w:pPr>
      <w:pStyle w:val="Header"/>
      <w:tabs>
        <w:tab w:val="clear" w:pos="4320"/>
        <w:tab w:val="clear" w:pos="8640"/>
        <w:tab w:val="left" w:pos="7350"/>
        <w:tab w:val="left" w:pos="8130"/>
        <w:tab w:val="right" w:pos="9360"/>
      </w:tabs>
    </w:pPr>
    <w:r>
      <w:fldChar w:fldCharType="begin"/>
    </w:r>
    <w:r>
      <w:instrText xml:space="preserve"> REF DocketLabel</w:instrText>
    </w:r>
    <w:r>
      <w:fldChar w:fldCharType="separate"/>
    </w:r>
    <w:r w:rsidR="00CE3B1B">
      <w:t>Docket No.</w:t>
    </w:r>
    <w:r>
      <w:fldChar w:fldCharType="end"/>
    </w:r>
    <w:r>
      <w:t xml:space="preserve"> </w:t>
    </w:r>
    <w:r>
      <w:fldChar w:fldCharType="begin"/>
    </w:r>
    <w:r>
      <w:instrText xml:space="preserve"> REF DocketList</w:instrText>
    </w:r>
    <w:r>
      <w:fldChar w:fldCharType="separate"/>
    </w:r>
    <w:r w:rsidR="00CE3B1B">
      <w:t>160144-WU</w:t>
    </w:r>
    <w:r>
      <w:fldChar w:fldCharType="end"/>
    </w:r>
    <w:r>
      <w:tab/>
    </w:r>
    <w:r>
      <w:tab/>
      <w:t xml:space="preserve">  Schedule 2</w:t>
    </w:r>
  </w:p>
  <w:p w:rsidR="00F17FAC" w:rsidRDefault="00F17FAC" w:rsidP="006747E6">
    <w:pPr>
      <w:pStyle w:val="Header"/>
      <w:tabs>
        <w:tab w:val="clear" w:pos="4320"/>
        <w:tab w:val="clear" w:pos="8640"/>
        <w:tab w:val="left" w:pos="8520"/>
      </w:tabs>
    </w:pPr>
    <w:r>
      <w:t xml:space="preserve">Date: </w:t>
    </w:r>
    <w:r w:rsidR="008B05FE">
      <w:fldChar w:fldCharType="begin"/>
    </w:r>
    <w:r w:rsidR="008B05FE">
      <w:instrText xml:space="preserve"> REF FilingDate </w:instrText>
    </w:r>
    <w:r w:rsidR="008B05FE">
      <w:fldChar w:fldCharType="separate"/>
    </w:r>
    <w:r w:rsidR="00CE3B1B">
      <w:t>January 26, 2017</w:t>
    </w:r>
    <w:r w:rsidR="008B05FE">
      <w:fldChar w:fldCharType="end"/>
    </w:r>
    <w:r>
      <w:t xml:space="preserve">                                                                                                    Page </w:t>
    </w:r>
    <w:r>
      <w:fldChar w:fldCharType="begin"/>
    </w:r>
    <w:r>
      <w:instrText xml:space="preserve">= </w:instrText>
    </w:r>
    <w:r>
      <w:fldChar w:fldCharType="begin"/>
    </w:r>
    <w:r>
      <w:instrText>Page</w:instrText>
    </w:r>
    <w:r>
      <w:fldChar w:fldCharType="separate"/>
    </w:r>
    <w:r w:rsidR="0032630C">
      <w:rPr>
        <w:noProof/>
      </w:rPr>
      <w:instrText>21</w:instrText>
    </w:r>
    <w:r>
      <w:fldChar w:fldCharType="end"/>
    </w:r>
    <w:r>
      <w:instrText xml:space="preserve">-20 </w:instrText>
    </w:r>
    <w:r>
      <w:fldChar w:fldCharType="separate"/>
    </w:r>
    <w:r w:rsidR="0032630C">
      <w:rPr>
        <w:noProof/>
      </w:rPr>
      <w:t>1</w:t>
    </w:r>
    <w:r>
      <w:fldChar w:fldCharType="end"/>
    </w:r>
    <w:r>
      <w:t xml:space="preserve">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AC" w:rsidRDefault="00F17FAC" w:rsidP="006747E6">
    <w:pPr>
      <w:pStyle w:val="Header"/>
      <w:tabs>
        <w:tab w:val="clear" w:pos="4320"/>
        <w:tab w:val="clear" w:pos="8640"/>
        <w:tab w:val="left" w:pos="7350"/>
        <w:tab w:val="right" w:pos="9360"/>
      </w:tabs>
    </w:pPr>
    <w:r>
      <w:fldChar w:fldCharType="begin"/>
    </w:r>
    <w:r>
      <w:instrText xml:space="preserve"> REF DocketLabel</w:instrText>
    </w:r>
    <w:r>
      <w:fldChar w:fldCharType="separate"/>
    </w:r>
    <w:r w:rsidR="00CE3B1B">
      <w:t>Docket No.</w:t>
    </w:r>
    <w:r>
      <w:fldChar w:fldCharType="end"/>
    </w:r>
    <w:r>
      <w:t xml:space="preserve"> </w:t>
    </w:r>
    <w:r>
      <w:fldChar w:fldCharType="begin"/>
    </w:r>
    <w:r>
      <w:instrText xml:space="preserve"> REF DocketList</w:instrText>
    </w:r>
    <w:r>
      <w:fldChar w:fldCharType="separate"/>
    </w:r>
    <w:r w:rsidR="00CE3B1B">
      <w:t>160144-WU</w:t>
    </w:r>
    <w:r>
      <w:fldChar w:fldCharType="end"/>
    </w:r>
    <w:r>
      <w:tab/>
    </w:r>
    <w:r>
      <w:tab/>
      <w:t>Schedule 3</w:t>
    </w:r>
  </w:p>
  <w:p w:rsidR="00F17FAC" w:rsidRDefault="00F17FAC" w:rsidP="006747E6">
    <w:pPr>
      <w:pStyle w:val="Header"/>
      <w:tabs>
        <w:tab w:val="clear" w:pos="4320"/>
        <w:tab w:val="clear" w:pos="8640"/>
        <w:tab w:val="left" w:pos="8520"/>
      </w:tabs>
    </w:pPr>
    <w:r>
      <w:t xml:space="preserve">Date: </w:t>
    </w:r>
    <w:r w:rsidR="008B05FE">
      <w:fldChar w:fldCharType="begin"/>
    </w:r>
    <w:r w:rsidR="008B05FE">
      <w:instrText xml:space="preserve"> REF FilingDate </w:instrText>
    </w:r>
    <w:r w:rsidR="008B05FE">
      <w:fldChar w:fldCharType="separate"/>
    </w:r>
    <w:r w:rsidR="00CE3B1B">
      <w:t>January 26, 2017</w:t>
    </w:r>
    <w:r w:rsidR="008B05FE">
      <w:fldChar w:fldCharType="end"/>
    </w:r>
    <w:r>
      <w:t xml:space="preserve">                                                                                                    Page </w:t>
    </w:r>
    <w:r>
      <w:fldChar w:fldCharType="begin"/>
    </w:r>
    <w:r>
      <w:instrText xml:space="preserve">= </w:instrText>
    </w:r>
    <w:r>
      <w:fldChar w:fldCharType="begin"/>
    </w:r>
    <w:r>
      <w:instrText>page</w:instrText>
    </w:r>
    <w:r>
      <w:fldChar w:fldCharType="separate"/>
    </w:r>
    <w:r w:rsidR="0032630C">
      <w:rPr>
        <w:noProof/>
      </w:rPr>
      <w:instrText>22</w:instrText>
    </w:r>
    <w:r>
      <w:fldChar w:fldCharType="end"/>
    </w:r>
    <w:r>
      <w:instrText xml:space="preserve">-21 </w:instrText>
    </w:r>
    <w:r>
      <w:fldChar w:fldCharType="separate"/>
    </w:r>
    <w:r w:rsidR="0032630C">
      <w:rPr>
        <w:noProof/>
      </w:rPr>
      <w:t>1</w:t>
    </w:r>
    <w:r>
      <w:fldChar w:fldCharType="end"/>
    </w:r>
    <w:r>
      <w:t xml:space="preserve">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6D562DE"/>
    <w:multiLevelType w:val="hybridMultilevel"/>
    <w:tmpl w:val="BF6C3D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901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747E6"/>
    <w:rsid w:val="000043D5"/>
    <w:rsid w:val="00010E37"/>
    <w:rsid w:val="000172DA"/>
    <w:rsid w:val="000247C5"/>
    <w:rsid w:val="000277C2"/>
    <w:rsid w:val="00035B48"/>
    <w:rsid w:val="00036CE2"/>
    <w:rsid w:val="000437FE"/>
    <w:rsid w:val="000513BE"/>
    <w:rsid w:val="000529C8"/>
    <w:rsid w:val="000571B7"/>
    <w:rsid w:val="00060881"/>
    <w:rsid w:val="00065A06"/>
    <w:rsid w:val="000666F3"/>
    <w:rsid w:val="00070DCB"/>
    <w:rsid w:val="00073120"/>
    <w:rsid w:val="000764D0"/>
    <w:rsid w:val="000779C3"/>
    <w:rsid w:val="000828D3"/>
    <w:rsid w:val="0009605B"/>
    <w:rsid w:val="000A2B57"/>
    <w:rsid w:val="000A418B"/>
    <w:rsid w:val="000B1010"/>
    <w:rsid w:val="000C4431"/>
    <w:rsid w:val="000D1C06"/>
    <w:rsid w:val="000D4319"/>
    <w:rsid w:val="000F374A"/>
    <w:rsid w:val="000F57C9"/>
    <w:rsid w:val="00117C8C"/>
    <w:rsid w:val="0012001A"/>
    <w:rsid w:val="00124E2E"/>
    <w:rsid w:val="00125ED4"/>
    <w:rsid w:val="001305E9"/>
    <w:rsid w:val="001307AF"/>
    <w:rsid w:val="001307D4"/>
    <w:rsid w:val="00135687"/>
    <w:rsid w:val="001439B1"/>
    <w:rsid w:val="0015506E"/>
    <w:rsid w:val="0015535B"/>
    <w:rsid w:val="0016268E"/>
    <w:rsid w:val="00163031"/>
    <w:rsid w:val="00171A90"/>
    <w:rsid w:val="00180254"/>
    <w:rsid w:val="001845B4"/>
    <w:rsid w:val="00186492"/>
    <w:rsid w:val="00191E1F"/>
    <w:rsid w:val="00192943"/>
    <w:rsid w:val="001954A9"/>
    <w:rsid w:val="001A7406"/>
    <w:rsid w:val="001B44EF"/>
    <w:rsid w:val="001B4FEE"/>
    <w:rsid w:val="001B51C5"/>
    <w:rsid w:val="001B6F3F"/>
    <w:rsid w:val="001C52B5"/>
    <w:rsid w:val="001D0D3E"/>
    <w:rsid w:val="001D795C"/>
    <w:rsid w:val="001E0552"/>
    <w:rsid w:val="001E1A2E"/>
    <w:rsid w:val="001E5996"/>
    <w:rsid w:val="001F2245"/>
    <w:rsid w:val="001F3C94"/>
    <w:rsid w:val="001F6DA1"/>
    <w:rsid w:val="002044E6"/>
    <w:rsid w:val="00205C82"/>
    <w:rsid w:val="00205DC2"/>
    <w:rsid w:val="00212B17"/>
    <w:rsid w:val="002163B6"/>
    <w:rsid w:val="00220732"/>
    <w:rsid w:val="00221D32"/>
    <w:rsid w:val="00225C3F"/>
    <w:rsid w:val="00263D44"/>
    <w:rsid w:val="002702AD"/>
    <w:rsid w:val="00286210"/>
    <w:rsid w:val="00292D82"/>
    <w:rsid w:val="002963CB"/>
    <w:rsid w:val="002A76CA"/>
    <w:rsid w:val="002B2B3F"/>
    <w:rsid w:val="002B7810"/>
    <w:rsid w:val="002C1D4B"/>
    <w:rsid w:val="002D226D"/>
    <w:rsid w:val="002F4F3A"/>
    <w:rsid w:val="002F6030"/>
    <w:rsid w:val="003037E1"/>
    <w:rsid w:val="00307E51"/>
    <w:rsid w:val="003103EC"/>
    <w:rsid w:val="003144EF"/>
    <w:rsid w:val="00316EA7"/>
    <w:rsid w:val="0032084F"/>
    <w:rsid w:val="00320A6D"/>
    <w:rsid w:val="00322F74"/>
    <w:rsid w:val="0032630C"/>
    <w:rsid w:val="003303BD"/>
    <w:rsid w:val="00340073"/>
    <w:rsid w:val="00372805"/>
    <w:rsid w:val="00373180"/>
    <w:rsid w:val="00375AB9"/>
    <w:rsid w:val="003821A0"/>
    <w:rsid w:val="00385B04"/>
    <w:rsid w:val="003864CF"/>
    <w:rsid w:val="00394078"/>
    <w:rsid w:val="00394678"/>
    <w:rsid w:val="003A22A6"/>
    <w:rsid w:val="003A5494"/>
    <w:rsid w:val="003A5CCF"/>
    <w:rsid w:val="003B2510"/>
    <w:rsid w:val="003C2CC4"/>
    <w:rsid w:val="003E0EFC"/>
    <w:rsid w:val="003E4A2B"/>
    <w:rsid w:val="003E76C2"/>
    <w:rsid w:val="003F1679"/>
    <w:rsid w:val="003F4A35"/>
    <w:rsid w:val="003F7FDD"/>
    <w:rsid w:val="00402481"/>
    <w:rsid w:val="004042B4"/>
    <w:rsid w:val="004113D3"/>
    <w:rsid w:val="00412DAE"/>
    <w:rsid w:val="00431598"/>
    <w:rsid w:val="004319AD"/>
    <w:rsid w:val="00432648"/>
    <w:rsid w:val="00433BD5"/>
    <w:rsid w:val="004426B8"/>
    <w:rsid w:val="004432A7"/>
    <w:rsid w:val="00444432"/>
    <w:rsid w:val="00444ED5"/>
    <w:rsid w:val="00471860"/>
    <w:rsid w:val="0048100A"/>
    <w:rsid w:val="004A41E3"/>
    <w:rsid w:val="004B60BD"/>
    <w:rsid w:val="004C3150"/>
    <w:rsid w:val="004C3641"/>
    <w:rsid w:val="004C4390"/>
    <w:rsid w:val="004C4AF7"/>
    <w:rsid w:val="004D2881"/>
    <w:rsid w:val="004D385F"/>
    <w:rsid w:val="004D4B2C"/>
    <w:rsid w:val="004D5B39"/>
    <w:rsid w:val="004E330D"/>
    <w:rsid w:val="004E5147"/>
    <w:rsid w:val="004E5559"/>
    <w:rsid w:val="004F5C43"/>
    <w:rsid w:val="0050652D"/>
    <w:rsid w:val="00506C03"/>
    <w:rsid w:val="00507BDC"/>
    <w:rsid w:val="00511A11"/>
    <w:rsid w:val="00516496"/>
    <w:rsid w:val="0052572A"/>
    <w:rsid w:val="00543CB3"/>
    <w:rsid w:val="00560FF0"/>
    <w:rsid w:val="005614BD"/>
    <w:rsid w:val="00563DC1"/>
    <w:rsid w:val="00570423"/>
    <w:rsid w:val="0057154F"/>
    <w:rsid w:val="00581CA3"/>
    <w:rsid w:val="00587A44"/>
    <w:rsid w:val="00597730"/>
    <w:rsid w:val="005977EC"/>
    <w:rsid w:val="00597DE7"/>
    <w:rsid w:val="005A0212"/>
    <w:rsid w:val="005A4AA2"/>
    <w:rsid w:val="005B34B6"/>
    <w:rsid w:val="005B6C8F"/>
    <w:rsid w:val="005B6EC3"/>
    <w:rsid w:val="005C2930"/>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35858"/>
    <w:rsid w:val="006470BC"/>
    <w:rsid w:val="00651E16"/>
    <w:rsid w:val="006554D3"/>
    <w:rsid w:val="00667036"/>
    <w:rsid w:val="00673BDB"/>
    <w:rsid w:val="006747E6"/>
    <w:rsid w:val="006771B8"/>
    <w:rsid w:val="006843B6"/>
    <w:rsid w:val="0068481F"/>
    <w:rsid w:val="00696F5D"/>
    <w:rsid w:val="00697249"/>
    <w:rsid w:val="006A5511"/>
    <w:rsid w:val="006B3947"/>
    <w:rsid w:val="006B4293"/>
    <w:rsid w:val="006B624F"/>
    <w:rsid w:val="006C31E3"/>
    <w:rsid w:val="006D18D3"/>
    <w:rsid w:val="006E08CB"/>
    <w:rsid w:val="006E598D"/>
    <w:rsid w:val="006E75CF"/>
    <w:rsid w:val="0070437D"/>
    <w:rsid w:val="00704CF1"/>
    <w:rsid w:val="00705B04"/>
    <w:rsid w:val="00711774"/>
    <w:rsid w:val="00734820"/>
    <w:rsid w:val="007349DC"/>
    <w:rsid w:val="0074365E"/>
    <w:rsid w:val="007515FD"/>
    <w:rsid w:val="00760D80"/>
    <w:rsid w:val="00780C09"/>
    <w:rsid w:val="00780DDF"/>
    <w:rsid w:val="007834E9"/>
    <w:rsid w:val="00787DBC"/>
    <w:rsid w:val="0079019A"/>
    <w:rsid w:val="00792935"/>
    <w:rsid w:val="007A04A1"/>
    <w:rsid w:val="007A1840"/>
    <w:rsid w:val="007B0B46"/>
    <w:rsid w:val="007B5B99"/>
    <w:rsid w:val="007C0528"/>
    <w:rsid w:val="007C3D38"/>
    <w:rsid w:val="007D0F35"/>
    <w:rsid w:val="007D4FEB"/>
    <w:rsid w:val="007D6146"/>
    <w:rsid w:val="007E0CE7"/>
    <w:rsid w:val="007E18C2"/>
    <w:rsid w:val="007F03A7"/>
    <w:rsid w:val="007F1193"/>
    <w:rsid w:val="007F417F"/>
    <w:rsid w:val="008042BD"/>
    <w:rsid w:val="00816624"/>
    <w:rsid w:val="00816A7C"/>
    <w:rsid w:val="00822427"/>
    <w:rsid w:val="00822562"/>
    <w:rsid w:val="00823663"/>
    <w:rsid w:val="00832DDC"/>
    <w:rsid w:val="00850BAC"/>
    <w:rsid w:val="008544AE"/>
    <w:rsid w:val="00854A3E"/>
    <w:rsid w:val="00854BA0"/>
    <w:rsid w:val="00855D08"/>
    <w:rsid w:val="00865FD1"/>
    <w:rsid w:val="00867895"/>
    <w:rsid w:val="00874344"/>
    <w:rsid w:val="00876476"/>
    <w:rsid w:val="00882155"/>
    <w:rsid w:val="0088233B"/>
    <w:rsid w:val="00882AEA"/>
    <w:rsid w:val="0088325D"/>
    <w:rsid w:val="0088599E"/>
    <w:rsid w:val="00886C37"/>
    <w:rsid w:val="00892D99"/>
    <w:rsid w:val="008A0166"/>
    <w:rsid w:val="008B62AE"/>
    <w:rsid w:val="008C04B5"/>
    <w:rsid w:val="008C14FA"/>
    <w:rsid w:val="008D4057"/>
    <w:rsid w:val="008E1F19"/>
    <w:rsid w:val="008F2262"/>
    <w:rsid w:val="008F6204"/>
    <w:rsid w:val="008F7736"/>
    <w:rsid w:val="0090019E"/>
    <w:rsid w:val="00901086"/>
    <w:rsid w:val="00901C8A"/>
    <w:rsid w:val="00905886"/>
    <w:rsid w:val="009070D6"/>
    <w:rsid w:val="009076C6"/>
    <w:rsid w:val="0091019E"/>
    <w:rsid w:val="009106F1"/>
    <w:rsid w:val="00912404"/>
    <w:rsid w:val="009145D6"/>
    <w:rsid w:val="00920CF2"/>
    <w:rsid w:val="00920E64"/>
    <w:rsid w:val="00922002"/>
    <w:rsid w:val="00924020"/>
    <w:rsid w:val="00925235"/>
    <w:rsid w:val="009271A7"/>
    <w:rsid w:val="0093517C"/>
    <w:rsid w:val="0093658B"/>
    <w:rsid w:val="00940FC7"/>
    <w:rsid w:val="009429FF"/>
    <w:rsid w:val="00945BD6"/>
    <w:rsid w:val="009479FB"/>
    <w:rsid w:val="00951C45"/>
    <w:rsid w:val="00954015"/>
    <w:rsid w:val="009656F2"/>
    <w:rsid w:val="00966A08"/>
    <w:rsid w:val="00967E76"/>
    <w:rsid w:val="00971207"/>
    <w:rsid w:val="00975CB4"/>
    <w:rsid w:val="009863B0"/>
    <w:rsid w:val="00987DE1"/>
    <w:rsid w:val="00990571"/>
    <w:rsid w:val="0099673A"/>
    <w:rsid w:val="009A3330"/>
    <w:rsid w:val="009A4FA8"/>
    <w:rsid w:val="009A7C96"/>
    <w:rsid w:val="009C3DB9"/>
    <w:rsid w:val="009D46E5"/>
    <w:rsid w:val="009D568A"/>
    <w:rsid w:val="009F04EC"/>
    <w:rsid w:val="009F2A7C"/>
    <w:rsid w:val="009F3B36"/>
    <w:rsid w:val="00A019B9"/>
    <w:rsid w:val="00A12508"/>
    <w:rsid w:val="00A1282B"/>
    <w:rsid w:val="00A12D1C"/>
    <w:rsid w:val="00A13A27"/>
    <w:rsid w:val="00A175B6"/>
    <w:rsid w:val="00A21835"/>
    <w:rsid w:val="00A2374B"/>
    <w:rsid w:val="00A27D6E"/>
    <w:rsid w:val="00A328EC"/>
    <w:rsid w:val="00A33A51"/>
    <w:rsid w:val="00A41CA6"/>
    <w:rsid w:val="00A47927"/>
    <w:rsid w:val="00A47FFC"/>
    <w:rsid w:val="00A5442F"/>
    <w:rsid w:val="00A54FF9"/>
    <w:rsid w:val="00A56765"/>
    <w:rsid w:val="00A611BA"/>
    <w:rsid w:val="00A61AA5"/>
    <w:rsid w:val="00A675AC"/>
    <w:rsid w:val="00A7581F"/>
    <w:rsid w:val="00A92FB1"/>
    <w:rsid w:val="00A95A0C"/>
    <w:rsid w:val="00AA2765"/>
    <w:rsid w:val="00AA77B5"/>
    <w:rsid w:val="00AB6C5D"/>
    <w:rsid w:val="00AC0208"/>
    <w:rsid w:val="00AC51A7"/>
    <w:rsid w:val="00AD444B"/>
    <w:rsid w:val="00AD6C78"/>
    <w:rsid w:val="00AE2EAB"/>
    <w:rsid w:val="00AF2ED3"/>
    <w:rsid w:val="00AF5E7D"/>
    <w:rsid w:val="00AF5F89"/>
    <w:rsid w:val="00AF73CB"/>
    <w:rsid w:val="00B002D6"/>
    <w:rsid w:val="00B05B51"/>
    <w:rsid w:val="00B12D67"/>
    <w:rsid w:val="00B14E5A"/>
    <w:rsid w:val="00B15370"/>
    <w:rsid w:val="00B16DA4"/>
    <w:rsid w:val="00B17BEB"/>
    <w:rsid w:val="00B21A3C"/>
    <w:rsid w:val="00B223C0"/>
    <w:rsid w:val="00B234ED"/>
    <w:rsid w:val="00B249B2"/>
    <w:rsid w:val="00B25CA3"/>
    <w:rsid w:val="00B2765A"/>
    <w:rsid w:val="00B30999"/>
    <w:rsid w:val="00B37B3C"/>
    <w:rsid w:val="00B57A6A"/>
    <w:rsid w:val="00B760F1"/>
    <w:rsid w:val="00B7669E"/>
    <w:rsid w:val="00B77DA1"/>
    <w:rsid w:val="00B84787"/>
    <w:rsid w:val="00B858AE"/>
    <w:rsid w:val="00B85964"/>
    <w:rsid w:val="00B96250"/>
    <w:rsid w:val="00BA0D55"/>
    <w:rsid w:val="00BA37B3"/>
    <w:rsid w:val="00BA4CC6"/>
    <w:rsid w:val="00BB3493"/>
    <w:rsid w:val="00BB7468"/>
    <w:rsid w:val="00BC188A"/>
    <w:rsid w:val="00BD0F48"/>
    <w:rsid w:val="00BF5010"/>
    <w:rsid w:val="00BF5EB8"/>
    <w:rsid w:val="00C027DC"/>
    <w:rsid w:val="00C03D5F"/>
    <w:rsid w:val="00C13791"/>
    <w:rsid w:val="00C30FF9"/>
    <w:rsid w:val="00C31BB3"/>
    <w:rsid w:val="00C36977"/>
    <w:rsid w:val="00C467DA"/>
    <w:rsid w:val="00C477D9"/>
    <w:rsid w:val="00C60BA3"/>
    <w:rsid w:val="00C623F7"/>
    <w:rsid w:val="00C670A1"/>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D28A1"/>
    <w:rsid w:val="00CE2BF8"/>
    <w:rsid w:val="00CE3B1B"/>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1C78"/>
    <w:rsid w:val="00DB7D96"/>
    <w:rsid w:val="00DC23FE"/>
    <w:rsid w:val="00DC59E6"/>
    <w:rsid w:val="00DD150B"/>
    <w:rsid w:val="00DD3552"/>
    <w:rsid w:val="00DD5025"/>
    <w:rsid w:val="00DD59DE"/>
    <w:rsid w:val="00DE1111"/>
    <w:rsid w:val="00DF1510"/>
    <w:rsid w:val="00E02F1F"/>
    <w:rsid w:val="00E06484"/>
    <w:rsid w:val="00E161CB"/>
    <w:rsid w:val="00E20A7D"/>
    <w:rsid w:val="00E272A4"/>
    <w:rsid w:val="00E275D8"/>
    <w:rsid w:val="00E30F6A"/>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00BE"/>
    <w:rsid w:val="00F04B59"/>
    <w:rsid w:val="00F11741"/>
    <w:rsid w:val="00F12B1C"/>
    <w:rsid w:val="00F13CF8"/>
    <w:rsid w:val="00F15855"/>
    <w:rsid w:val="00F17FAC"/>
    <w:rsid w:val="00F24376"/>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0015"/>
    <w:rsid w:val="00FC5469"/>
    <w:rsid w:val="00FC6D7D"/>
    <w:rsid w:val="00FD16B0"/>
    <w:rsid w:val="00FD4FED"/>
    <w:rsid w:val="00FE0482"/>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B30999"/>
    <w:rPr>
      <w:vertAlign w:val="superscript"/>
    </w:rPr>
  </w:style>
  <w:style w:type="character" w:styleId="Strong">
    <w:name w:val="Strong"/>
    <w:basedOn w:val="DefaultParagraphFont"/>
    <w:uiPriority w:val="22"/>
    <w:qFormat/>
    <w:rsid w:val="00B30999"/>
    <w:rPr>
      <w:b/>
      <w:bCs/>
    </w:rPr>
  </w:style>
  <w:style w:type="character" w:customStyle="1" w:styleId="BodyTextChar2">
    <w:name w:val="Body Text Char2"/>
    <w:rsid w:val="00B30999"/>
    <w:rPr>
      <w:sz w:val="24"/>
      <w:szCs w:val="24"/>
    </w:rPr>
  </w:style>
  <w:style w:type="character" w:customStyle="1" w:styleId="BodyTextChar1">
    <w:name w:val="Body Text Char1"/>
    <w:locked/>
    <w:rsid w:val="00B30999"/>
    <w:rPr>
      <w:rFonts w:ascii="Times New Roman" w:hAnsi="Times New Roman" w:cs="Times New Roman" w:hint="default"/>
      <w:sz w:val="24"/>
      <w:szCs w:val="24"/>
      <w:lang w:val="en-US" w:eastAsia="en-US" w:bidi="ar-SA"/>
    </w:rPr>
  </w:style>
  <w:style w:type="paragraph" w:customStyle="1" w:styleId="SCparagraph">
    <w:name w:val="SCparagraph"/>
    <w:basedOn w:val="Normal"/>
    <w:rsid w:val="0012001A"/>
    <w:pPr>
      <w:spacing w:after="240"/>
      <w:ind w:firstLine="720"/>
      <w:jc w:val="both"/>
    </w:pPr>
  </w:style>
  <w:style w:type="paragraph" w:styleId="ListParagraph">
    <w:name w:val="List Paragraph"/>
    <w:basedOn w:val="Normal"/>
    <w:uiPriority w:val="34"/>
    <w:qFormat/>
    <w:rsid w:val="00920CF2"/>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rsid w:val="006A5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B30999"/>
    <w:rPr>
      <w:vertAlign w:val="superscript"/>
    </w:rPr>
  </w:style>
  <w:style w:type="character" w:styleId="Strong">
    <w:name w:val="Strong"/>
    <w:basedOn w:val="DefaultParagraphFont"/>
    <w:uiPriority w:val="22"/>
    <w:qFormat/>
    <w:rsid w:val="00B30999"/>
    <w:rPr>
      <w:b/>
      <w:bCs/>
    </w:rPr>
  </w:style>
  <w:style w:type="character" w:customStyle="1" w:styleId="BodyTextChar2">
    <w:name w:val="Body Text Char2"/>
    <w:rsid w:val="00B30999"/>
    <w:rPr>
      <w:sz w:val="24"/>
      <w:szCs w:val="24"/>
    </w:rPr>
  </w:style>
  <w:style w:type="character" w:customStyle="1" w:styleId="BodyTextChar1">
    <w:name w:val="Body Text Char1"/>
    <w:locked/>
    <w:rsid w:val="00B30999"/>
    <w:rPr>
      <w:rFonts w:ascii="Times New Roman" w:hAnsi="Times New Roman" w:cs="Times New Roman" w:hint="default"/>
      <w:sz w:val="24"/>
      <w:szCs w:val="24"/>
      <w:lang w:val="en-US" w:eastAsia="en-US" w:bidi="ar-SA"/>
    </w:rPr>
  </w:style>
  <w:style w:type="paragraph" w:customStyle="1" w:styleId="SCparagraph">
    <w:name w:val="SCparagraph"/>
    <w:basedOn w:val="Normal"/>
    <w:rsid w:val="0012001A"/>
    <w:pPr>
      <w:spacing w:after="240"/>
      <w:ind w:firstLine="720"/>
      <w:jc w:val="both"/>
    </w:pPr>
  </w:style>
  <w:style w:type="paragraph" w:styleId="ListParagraph">
    <w:name w:val="List Paragraph"/>
    <w:basedOn w:val="Normal"/>
    <w:uiPriority w:val="34"/>
    <w:qFormat/>
    <w:rsid w:val="00920CF2"/>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rsid w:val="006A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4996">
      <w:bodyDiv w:val="1"/>
      <w:marLeft w:val="0"/>
      <w:marRight w:val="0"/>
      <w:marTop w:val="0"/>
      <w:marBottom w:val="0"/>
      <w:divBdr>
        <w:top w:val="none" w:sz="0" w:space="0" w:color="auto"/>
        <w:left w:val="none" w:sz="0" w:space="0" w:color="auto"/>
        <w:bottom w:val="none" w:sz="0" w:space="0" w:color="auto"/>
        <w:right w:val="none" w:sz="0" w:space="0" w:color="auto"/>
      </w:divBdr>
    </w:div>
    <w:div w:id="57214666">
      <w:bodyDiv w:val="1"/>
      <w:marLeft w:val="0"/>
      <w:marRight w:val="0"/>
      <w:marTop w:val="0"/>
      <w:marBottom w:val="0"/>
      <w:divBdr>
        <w:top w:val="none" w:sz="0" w:space="0" w:color="auto"/>
        <w:left w:val="none" w:sz="0" w:space="0" w:color="auto"/>
        <w:bottom w:val="none" w:sz="0" w:space="0" w:color="auto"/>
        <w:right w:val="none" w:sz="0" w:space="0" w:color="auto"/>
      </w:divBdr>
    </w:div>
    <w:div w:id="72095622">
      <w:bodyDiv w:val="1"/>
      <w:marLeft w:val="0"/>
      <w:marRight w:val="0"/>
      <w:marTop w:val="0"/>
      <w:marBottom w:val="0"/>
      <w:divBdr>
        <w:top w:val="none" w:sz="0" w:space="0" w:color="auto"/>
        <w:left w:val="none" w:sz="0" w:space="0" w:color="auto"/>
        <w:bottom w:val="none" w:sz="0" w:space="0" w:color="auto"/>
        <w:right w:val="none" w:sz="0" w:space="0" w:color="auto"/>
      </w:divBdr>
    </w:div>
    <w:div w:id="159858701">
      <w:bodyDiv w:val="1"/>
      <w:marLeft w:val="0"/>
      <w:marRight w:val="0"/>
      <w:marTop w:val="0"/>
      <w:marBottom w:val="0"/>
      <w:divBdr>
        <w:top w:val="none" w:sz="0" w:space="0" w:color="auto"/>
        <w:left w:val="none" w:sz="0" w:space="0" w:color="auto"/>
        <w:bottom w:val="none" w:sz="0" w:space="0" w:color="auto"/>
        <w:right w:val="none" w:sz="0" w:space="0" w:color="auto"/>
      </w:divBdr>
    </w:div>
    <w:div w:id="376203139">
      <w:bodyDiv w:val="1"/>
      <w:marLeft w:val="0"/>
      <w:marRight w:val="0"/>
      <w:marTop w:val="0"/>
      <w:marBottom w:val="0"/>
      <w:divBdr>
        <w:top w:val="none" w:sz="0" w:space="0" w:color="auto"/>
        <w:left w:val="none" w:sz="0" w:space="0" w:color="auto"/>
        <w:bottom w:val="none" w:sz="0" w:space="0" w:color="auto"/>
        <w:right w:val="none" w:sz="0" w:space="0" w:color="auto"/>
      </w:divBdr>
    </w:div>
    <w:div w:id="388917029">
      <w:bodyDiv w:val="1"/>
      <w:marLeft w:val="0"/>
      <w:marRight w:val="0"/>
      <w:marTop w:val="0"/>
      <w:marBottom w:val="0"/>
      <w:divBdr>
        <w:top w:val="none" w:sz="0" w:space="0" w:color="auto"/>
        <w:left w:val="none" w:sz="0" w:space="0" w:color="auto"/>
        <w:bottom w:val="none" w:sz="0" w:space="0" w:color="auto"/>
        <w:right w:val="none" w:sz="0" w:space="0" w:color="auto"/>
      </w:divBdr>
    </w:div>
    <w:div w:id="1116679504">
      <w:bodyDiv w:val="1"/>
      <w:marLeft w:val="0"/>
      <w:marRight w:val="0"/>
      <w:marTop w:val="0"/>
      <w:marBottom w:val="0"/>
      <w:divBdr>
        <w:top w:val="none" w:sz="0" w:space="0" w:color="auto"/>
        <w:left w:val="none" w:sz="0" w:space="0" w:color="auto"/>
        <w:bottom w:val="none" w:sz="0" w:space="0" w:color="auto"/>
        <w:right w:val="none" w:sz="0" w:space="0" w:color="auto"/>
      </w:divBdr>
    </w:div>
    <w:div w:id="1260912781">
      <w:bodyDiv w:val="1"/>
      <w:marLeft w:val="0"/>
      <w:marRight w:val="0"/>
      <w:marTop w:val="0"/>
      <w:marBottom w:val="0"/>
      <w:divBdr>
        <w:top w:val="none" w:sz="0" w:space="0" w:color="auto"/>
        <w:left w:val="none" w:sz="0" w:space="0" w:color="auto"/>
        <w:bottom w:val="none" w:sz="0" w:space="0" w:color="auto"/>
        <w:right w:val="none" w:sz="0" w:space="0" w:color="auto"/>
      </w:divBdr>
    </w:div>
    <w:div w:id="1266501268">
      <w:bodyDiv w:val="1"/>
      <w:marLeft w:val="0"/>
      <w:marRight w:val="0"/>
      <w:marTop w:val="0"/>
      <w:marBottom w:val="0"/>
      <w:divBdr>
        <w:top w:val="none" w:sz="0" w:space="0" w:color="auto"/>
        <w:left w:val="none" w:sz="0" w:space="0" w:color="auto"/>
        <w:bottom w:val="none" w:sz="0" w:space="0" w:color="auto"/>
        <w:right w:val="none" w:sz="0" w:space="0" w:color="auto"/>
      </w:divBdr>
    </w:div>
    <w:div w:id="1451364797">
      <w:bodyDiv w:val="1"/>
      <w:marLeft w:val="0"/>
      <w:marRight w:val="0"/>
      <w:marTop w:val="0"/>
      <w:marBottom w:val="0"/>
      <w:divBdr>
        <w:top w:val="none" w:sz="0" w:space="0" w:color="auto"/>
        <w:left w:val="none" w:sz="0" w:space="0" w:color="auto"/>
        <w:bottom w:val="none" w:sz="0" w:space="0" w:color="auto"/>
        <w:right w:val="none" w:sz="0" w:space="0" w:color="auto"/>
      </w:divBdr>
    </w:div>
    <w:div w:id="1490712021">
      <w:bodyDiv w:val="1"/>
      <w:marLeft w:val="0"/>
      <w:marRight w:val="0"/>
      <w:marTop w:val="0"/>
      <w:marBottom w:val="0"/>
      <w:divBdr>
        <w:top w:val="none" w:sz="0" w:space="0" w:color="auto"/>
        <w:left w:val="none" w:sz="0" w:space="0" w:color="auto"/>
        <w:bottom w:val="none" w:sz="0" w:space="0" w:color="auto"/>
        <w:right w:val="none" w:sz="0" w:space="0" w:color="auto"/>
      </w:divBdr>
    </w:div>
    <w:div w:id="1765682958">
      <w:bodyDiv w:val="1"/>
      <w:marLeft w:val="0"/>
      <w:marRight w:val="0"/>
      <w:marTop w:val="0"/>
      <w:marBottom w:val="0"/>
      <w:divBdr>
        <w:top w:val="none" w:sz="0" w:space="0" w:color="auto"/>
        <w:left w:val="none" w:sz="0" w:space="0" w:color="auto"/>
        <w:bottom w:val="none" w:sz="0" w:space="0" w:color="auto"/>
        <w:right w:val="none" w:sz="0" w:space="0" w:color="auto"/>
      </w:divBdr>
    </w:div>
    <w:div w:id="1802845264">
      <w:bodyDiv w:val="1"/>
      <w:marLeft w:val="0"/>
      <w:marRight w:val="0"/>
      <w:marTop w:val="0"/>
      <w:marBottom w:val="0"/>
      <w:divBdr>
        <w:top w:val="none" w:sz="0" w:space="0" w:color="auto"/>
        <w:left w:val="none" w:sz="0" w:space="0" w:color="auto"/>
        <w:bottom w:val="none" w:sz="0" w:space="0" w:color="auto"/>
        <w:right w:val="none" w:sz="0" w:space="0" w:color="auto"/>
      </w:divBdr>
    </w:div>
    <w:div w:id="184866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D9265-FA52-4DA1-B23C-11248C31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22</Pages>
  <Words>5580</Words>
  <Characters>31662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2017-01-26T15:33:00Z</cp:lastPrinted>
  <dcterms:created xsi:type="dcterms:W3CDTF">2017-01-26T16:27:00Z</dcterms:created>
  <dcterms:modified xsi:type="dcterms:W3CDTF">2017-01-26T16:27:00Z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160144-WU</vt:lpwstr>
  </property>
  <property fmtid="{D5CDD505-2E9C-101B-9397-08002B2CF9AE}" pid="3" name="MasterDocument">
    <vt:bool>false</vt:bool>
  </property>
</Properties>
</file>