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0D7C9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B00356" w:rsidP="00B65E0B">
            <w:pPr>
              <w:pStyle w:val="MemoHeading"/>
            </w:pPr>
            <w:bookmarkStart w:id="1" w:name="FilingDate"/>
            <w:r>
              <w:t xml:space="preserve">April </w:t>
            </w:r>
            <w:r w:rsidR="00B65E0B">
              <w:t>28</w:t>
            </w:r>
            <w:r>
              <w:t>, 2017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B00356" w:rsidRDefault="00B00356">
            <w:pPr>
              <w:pStyle w:val="MemoHeading"/>
            </w:pPr>
            <w:bookmarkStart w:id="2" w:name="From"/>
            <w:r>
              <w:t>Division of Economics (Draper)</w:t>
            </w:r>
          </w:p>
          <w:p w:rsidR="007C0528" w:rsidRDefault="00B00356" w:rsidP="00AB5E29">
            <w:pPr>
              <w:pStyle w:val="MemoHeading"/>
            </w:pPr>
            <w:r>
              <w:t>Office of the General Counsel (Corbari, Cuello, Lherisson)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00356">
            <w:pPr>
              <w:pStyle w:val="MemoHeadingRe"/>
            </w:pPr>
            <w:bookmarkStart w:id="3" w:name="Re"/>
            <w:r>
              <w:t>Docket No. 160186-EI – Petition for rate increase by Gulf Power Company.</w:t>
            </w:r>
            <w:bookmarkEnd w:id="3"/>
          </w:p>
          <w:p w:rsidR="00AB5E29" w:rsidRDefault="00AB5E29" w:rsidP="00DC0689">
            <w:pPr>
              <w:pStyle w:val="MemoHeadingRe"/>
            </w:pPr>
            <w:r>
              <w:t xml:space="preserve">Docket No. 160170-EI – Petition </w:t>
            </w:r>
            <w:r w:rsidRPr="00AB5E29">
              <w:t>for approval of 2016 depreciation and dismantlement studies, approval of proposed depreciation rates and annual dismantlement accruals and Plant Smith Units 1 and 2 regulatory asset amortization, by Gulf Power Company.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00356" w:rsidP="00AB5E29">
            <w:pPr>
              <w:pStyle w:val="MemoHeading"/>
            </w:pPr>
            <w:bookmarkStart w:id="4" w:name="AgendaDate"/>
            <w:r>
              <w:t>0</w:t>
            </w:r>
            <w:r w:rsidR="00B65E0B">
              <w:t>5</w:t>
            </w:r>
            <w:r>
              <w:t>/</w:t>
            </w:r>
            <w:r w:rsidR="00B65E0B">
              <w:t>4</w:t>
            </w:r>
            <w:r>
              <w:t>/17</w:t>
            </w:r>
            <w:bookmarkEnd w:id="4"/>
            <w:r w:rsidR="007C0528">
              <w:t xml:space="preserve"> – </w:t>
            </w:r>
            <w:bookmarkStart w:id="5" w:name="PermittedStatus"/>
            <w:r w:rsidR="00AB5E29">
              <w:t xml:space="preserve">Special </w:t>
            </w:r>
            <w:r>
              <w:t>Agenda – Post-Hearing Decision – Participation is Limited to Commissioners and Staff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00356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00356">
            <w:pPr>
              <w:pStyle w:val="MemoHeading"/>
            </w:pPr>
            <w:bookmarkStart w:id="7" w:name="PrehearingOfficer"/>
            <w:r>
              <w:t>Patronis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00356" w:rsidP="00AB5E29">
            <w:pPr>
              <w:pStyle w:val="MemoHeading"/>
            </w:pPr>
            <w:bookmarkStart w:id="9" w:name="CriticalDates"/>
            <w:r>
              <w:t>07/01/17 (</w:t>
            </w:r>
            <w:r w:rsidR="00B65E0B">
              <w:t xml:space="preserve">Pursuant to the </w:t>
            </w:r>
            <w:r w:rsidR="00AB5E29">
              <w:t xml:space="preserve">Stipulation and </w:t>
            </w:r>
            <w:r w:rsidR="00B65E0B">
              <w:t>Settlement</w:t>
            </w:r>
            <w:r w:rsidR="00AB5E29">
              <w:t xml:space="preserve"> Agreement,</w:t>
            </w:r>
            <w:r w:rsidR="00B65E0B">
              <w:t xml:space="preserve"> </w:t>
            </w:r>
            <w:r>
              <w:t xml:space="preserve">Rates </w:t>
            </w:r>
            <w:r w:rsidR="00B65E0B">
              <w:t xml:space="preserve">are </w:t>
            </w:r>
            <w:r>
              <w:t xml:space="preserve">effective </w:t>
            </w:r>
            <w:r w:rsidR="00AB5E29">
              <w:t>July 1, 2017</w:t>
            </w:r>
            <w:r>
              <w:t>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B00356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B00356" w:rsidRDefault="00B00356" w:rsidP="00864457">
      <w:pPr>
        <w:autoSpaceDE w:val="0"/>
        <w:autoSpaceDN w:val="0"/>
        <w:adjustRightInd w:val="0"/>
        <w:jc w:val="both"/>
      </w:pPr>
      <w:r w:rsidRPr="00864457">
        <w:t xml:space="preserve">On August 12, 2016, Gulf Power Company (Gulf) filed a test year letter, as required by Rule 25-6.140, Florida Administrative Code (F.A.C.), notifying the Commission of its intent to file a petition between October 11 and October 28, 2016, for an increase in rates effective </w:t>
      </w:r>
      <w:r w:rsidR="00D12673">
        <w:t xml:space="preserve">in </w:t>
      </w:r>
      <w:r w:rsidRPr="00864457">
        <w:t xml:space="preserve">2017.  Pursuant to the provisions of Chapter 366, Florida Statutes (F.S.), and Rules 25-6.0425 and 25-6.043, F.A.C., Gulf filed its </w:t>
      </w:r>
      <w:r w:rsidR="00864457" w:rsidRPr="00864457">
        <w:rPr>
          <w:bCs/>
        </w:rPr>
        <w:t>Petition for Base Rate Relief and Motion to Consolidate Dockets (Petition)</w:t>
      </w:r>
      <w:r w:rsidR="00AB5E29" w:rsidRPr="00864457">
        <w:t xml:space="preserve">, </w:t>
      </w:r>
      <w:r w:rsidRPr="00864457">
        <w:t>Minimum Filing Requirements</w:t>
      </w:r>
      <w:r w:rsidR="005B439D">
        <w:t>,</w:t>
      </w:r>
      <w:r w:rsidRPr="00864457">
        <w:t xml:space="preserve"> and </w:t>
      </w:r>
      <w:r w:rsidR="00AB5E29" w:rsidRPr="00864457">
        <w:t xml:space="preserve">direct </w:t>
      </w:r>
      <w:r w:rsidRPr="00864457">
        <w:t xml:space="preserve">testimony on October 12, 2016. On </w:t>
      </w:r>
      <w:r w:rsidRPr="00864457">
        <w:lastRenderedPageBreak/>
        <w:t>November 9, 2016, Docket No</w:t>
      </w:r>
      <w:r w:rsidR="00AB5E29" w:rsidRPr="00864457">
        <w:t>s</w:t>
      </w:r>
      <w:r w:rsidRPr="00864457">
        <w:t xml:space="preserve">. 160170-EI (2016 Depreciation and Dismantlement Studies) </w:t>
      </w:r>
      <w:r w:rsidR="00AB5E29" w:rsidRPr="00864457">
        <w:t xml:space="preserve">and </w:t>
      </w:r>
      <w:r w:rsidR="00AB5E29">
        <w:t>160186-EI (Rate Case) were consolidated</w:t>
      </w:r>
      <w:r>
        <w:t>.</w:t>
      </w:r>
      <w:r>
        <w:rPr>
          <w:rStyle w:val="FootnoteReference"/>
        </w:rPr>
        <w:footnoteReference w:id="1"/>
      </w:r>
      <w:r>
        <w:t xml:space="preserve">  </w:t>
      </w:r>
    </w:p>
    <w:p w:rsidR="00B00356" w:rsidRDefault="00B00356" w:rsidP="00B00356">
      <w:pPr>
        <w:jc w:val="both"/>
      </w:pPr>
    </w:p>
    <w:p w:rsidR="00B00356" w:rsidRDefault="00B00356" w:rsidP="00B00356">
      <w:pPr>
        <w:jc w:val="both"/>
      </w:pPr>
      <w:r>
        <w:t>The Office of Public Counsel</w:t>
      </w:r>
      <w:r w:rsidR="000D7C91">
        <w:t xml:space="preserve"> (OPC)</w:t>
      </w:r>
      <w:r>
        <w:t>, Federal Executive Agencies</w:t>
      </w:r>
      <w:r w:rsidR="00AB5E29">
        <w:t xml:space="preserve"> (FEA)</w:t>
      </w:r>
      <w:r>
        <w:t>, Southern Alliance for Clean Energy</w:t>
      </w:r>
      <w:r w:rsidR="002C2B62">
        <w:t xml:space="preserve"> (SACE)</w:t>
      </w:r>
      <w:r>
        <w:t>, Florida Industrial Power Users Group</w:t>
      </w:r>
      <w:r w:rsidR="00405E0A">
        <w:t xml:space="preserve"> (FIPUG)</w:t>
      </w:r>
      <w:r>
        <w:t>, League of Women Voters of Florida</w:t>
      </w:r>
      <w:r w:rsidR="00AB5E29">
        <w:t xml:space="preserve"> (LWVF)</w:t>
      </w:r>
      <w:r>
        <w:t>, Wal-Mart Stores East, LP and Sam’s East, Inc.</w:t>
      </w:r>
      <w:r w:rsidR="00AB5E29">
        <w:t xml:space="preserve"> (Walmart)</w:t>
      </w:r>
      <w:r>
        <w:t>, and Sierra Club are parties</w:t>
      </w:r>
      <w:r w:rsidR="00AB5E29">
        <w:t xml:space="preserve"> to this matter</w:t>
      </w:r>
      <w:r>
        <w:t>.</w:t>
      </w:r>
      <w:r>
        <w:rPr>
          <w:rStyle w:val="FootnoteReference"/>
        </w:rPr>
        <w:footnoteReference w:id="2"/>
      </w:r>
      <w:r>
        <w:t xml:space="preserve"> </w:t>
      </w:r>
    </w:p>
    <w:p w:rsidR="00405E0A" w:rsidRDefault="00405E0A" w:rsidP="00B00356">
      <w:pPr>
        <w:jc w:val="both"/>
      </w:pPr>
    </w:p>
    <w:p w:rsidR="00B00356" w:rsidRDefault="00B00356" w:rsidP="00B00356">
      <w:pPr>
        <w:jc w:val="both"/>
      </w:pPr>
      <w:r>
        <w:t xml:space="preserve">A technical hearing was scheduled for </w:t>
      </w:r>
      <w:r w:rsidR="00405E0A">
        <w:t>March 20 through March 24, 2017</w:t>
      </w:r>
      <w:r>
        <w:t xml:space="preserve">. </w:t>
      </w:r>
      <w:r w:rsidR="000D7C91">
        <w:t>At the beginning of the hearing</w:t>
      </w:r>
      <w:r w:rsidR="00405E0A">
        <w:t>,</w:t>
      </w:r>
      <w:r w:rsidR="000D7C91">
        <w:t xml:space="preserve"> Gulf and OPC </w:t>
      </w:r>
      <w:r w:rsidR="00405E0A">
        <w:t xml:space="preserve">presented the Commission </w:t>
      </w:r>
      <w:r w:rsidR="00AB5E29">
        <w:t xml:space="preserve">with </w:t>
      </w:r>
      <w:r w:rsidR="00405E0A">
        <w:t>a Stipulation and Settlement Agreement (Settlement).</w:t>
      </w:r>
      <w:r w:rsidR="00AB5E29">
        <w:rPr>
          <w:rStyle w:val="FootnoteReference"/>
        </w:rPr>
        <w:footnoteReference w:id="3"/>
      </w:r>
      <w:r w:rsidR="00405E0A">
        <w:t xml:space="preserve"> Subsequently</w:t>
      </w:r>
      <w:r w:rsidR="00040D7F">
        <w:t>,</w:t>
      </w:r>
      <w:r w:rsidR="00405E0A">
        <w:t xml:space="preserve"> FIPUG and S</w:t>
      </w:r>
      <w:r w:rsidR="002C2B62">
        <w:t>ACE</w:t>
      </w:r>
      <w:r w:rsidR="00405E0A">
        <w:t xml:space="preserve"> signed the Settlement.</w:t>
      </w:r>
      <w:r w:rsidR="00AB5E29">
        <w:rPr>
          <w:rStyle w:val="FootnoteReference"/>
        </w:rPr>
        <w:footnoteReference w:id="4"/>
      </w:r>
      <w:r w:rsidR="00405E0A">
        <w:t xml:space="preserve"> </w:t>
      </w:r>
      <w:r w:rsidR="00657696">
        <w:t xml:space="preserve">The remaining parties (FEA, LWVF, Walmart, and Sierra Club) have stated on the record that they have not signed the Settlement but do not oppose the Settlement. </w:t>
      </w:r>
      <w:r w:rsidR="00405E0A">
        <w:t>On March 2</w:t>
      </w:r>
      <w:r w:rsidR="002C2B62">
        <w:t>1</w:t>
      </w:r>
      <w:r w:rsidR="00405E0A">
        <w:t>, 2017, staff, Gulf, and the intervenors held a</w:t>
      </w:r>
      <w:r w:rsidR="00AB5E29">
        <w:t>n informal</w:t>
      </w:r>
      <w:r w:rsidR="00405E0A">
        <w:t xml:space="preserve"> meeting to discuss the Settlement and provide staff and intervenors an opportunity to ask question</w:t>
      </w:r>
      <w:r w:rsidR="00A26DE5">
        <w:t>s</w:t>
      </w:r>
      <w:r w:rsidR="00405E0A">
        <w:t xml:space="preserve"> on the Settlement. </w:t>
      </w:r>
      <w:r w:rsidR="00AB5E29">
        <w:t>On March 29, 2017, Gulf provided responses to staff’s questions from the informal meeting on the Settlement.</w:t>
      </w:r>
      <w:r w:rsidR="00AB5E29">
        <w:rPr>
          <w:rStyle w:val="FootnoteReference"/>
        </w:rPr>
        <w:footnoteReference w:id="5"/>
      </w:r>
      <w:r w:rsidR="00AB5E29">
        <w:t xml:space="preserve"> </w:t>
      </w:r>
      <w:r w:rsidR="002C2B62">
        <w:t xml:space="preserve">The hearing was reconvened on </w:t>
      </w:r>
      <w:r w:rsidR="00405E0A">
        <w:t>April 4, 2017,</w:t>
      </w:r>
      <w:r w:rsidR="002C2B62">
        <w:t xml:space="preserve"> wherein the Commission approved the Settlement.</w:t>
      </w:r>
    </w:p>
    <w:p w:rsidR="00FD2F29" w:rsidRDefault="00FD2F29" w:rsidP="00B00356">
      <w:pPr>
        <w:jc w:val="both"/>
      </w:pPr>
    </w:p>
    <w:p w:rsidR="00FD2F29" w:rsidRDefault="00FD2F29" w:rsidP="00B00356">
      <w:pPr>
        <w:jc w:val="both"/>
      </w:pPr>
      <w:r>
        <w:t>Paragraph 8(a)</w:t>
      </w:r>
      <w:r w:rsidR="00AB5E29">
        <w:t xml:space="preserve"> of the Settlement</w:t>
      </w:r>
      <w:r>
        <w:t xml:space="preserve"> contain</w:t>
      </w:r>
      <w:r w:rsidR="001F0333">
        <w:t>s</w:t>
      </w:r>
      <w:r>
        <w:t xml:space="preserve"> a provision that Gulf </w:t>
      </w:r>
      <w:r w:rsidR="00AB5E29">
        <w:t>w</w:t>
      </w:r>
      <w:r w:rsidR="001F0333">
        <w:t>ill</w:t>
      </w:r>
      <w:r w:rsidR="00AB5E29">
        <w:t xml:space="preserve"> </w:t>
      </w:r>
      <w:r>
        <w:t xml:space="preserve">file rate schedules that implement the Settlement for Commission review and approval within 20 days following the approval of the Settlement. Accordingly, Gulf filed tariffs and rates on April </w:t>
      </w:r>
      <w:r w:rsidR="00897106">
        <w:t>18</w:t>
      </w:r>
      <w:r>
        <w:t xml:space="preserve">, 2017. </w:t>
      </w:r>
      <w:r w:rsidR="00202FF0">
        <w:t xml:space="preserve">Staff reviewed Gulf’s filing and emailed Gulf clarifying follow-up questions. Gulf responded </w:t>
      </w:r>
      <w:r w:rsidR="00F304AD">
        <w:t xml:space="preserve">via email </w:t>
      </w:r>
      <w:r w:rsidR="00202FF0">
        <w:t>on April 21, 2017</w:t>
      </w:r>
      <w:r w:rsidR="00D12673">
        <w:t>,</w:t>
      </w:r>
      <w:r w:rsidR="00202FF0">
        <w:t xml:space="preserve"> and staff p</w:t>
      </w:r>
      <w:r w:rsidR="00582F81">
        <w:t>laced</w:t>
      </w:r>
      <w:r w:rsidR="00202FF0">
        <w:t xml:space="preserve"> the questions and Gulf’s responses in the docket file.</w:t>
      </w:r>
      <w:r w:rsidR="00582F81">
        <w:rPr>
          <w:rStyle w:val="FootnoteReference"/>
        </w:rPr>
        <w:footnoteReference w:id="6"/>
      </w:r>
      <w:r w:rsidR="00202FF0">
        <w:t xml:space="preserve"> </w:t>
      </w:r>
      <w:r w:rsidR="00B65E0B" w:rsidRPr="00FC79D5">
        <w:t>Th</w:t>
      </w:r>
      <w:r w:rsidR="00B65E0B">
        <w:t>e</w:t>
      </w:r>
      <w:r w:rsidR="00B65E0B" w:rsidRPr="00FC79D5">
        <w:t xml:space="preserve"> Commission </w:t>
      </w:r>
      <w:r w:rsidR="00B65E0B">
        <w:t>has</w:t>
      </w:r>
      <w:r w:rsidR="00B65E0B" w:rsidRPr="00FC79D5">
        <w:t xml:space="preserve"> jurisdiction </w:t>
      </w:r>
      <w:r w:rsidR="004F1CFB">
        <w:t>pursuant</w:t>
      </w:r>
      <w:r w:rsidR="00B65E0B">
        <w:t xml:space="preserve"> to</w:t>
      </w:r>
      <w:r w:rsidR="00B65E0B" w:rsidRPr="00FC79D5">
        <w:t xml:space="preserve"> the provisions of Chapter 366, F.S.</w:t>
      </w:r>
    </w:p>
    <w:p w:rsidR="0068481F" w:rsidRDefault="0068481F">
      <w:pPr>
        <w:pStyle w:val="BodyText"/>
      </w:pPr>
    </w:p>
    <w:p w:rsidR="00B00356" w:rsidRDefault="00B00356">
      <w:pPr>
        <w:pStyle w:val="BodyText"/>
      </w:pPr>
    </w:p>
    <w:p w:rsidR="00B00356" w:rsidRDefault="00B00356">
      <w:pPr>
        <w:pStyle w:val="BodyText"/>
      </w:pP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8" w:name="DiscussionOfIssues"/>
      <w:r>
        <w:lastRenderedPageBreak/>
        <w:t>Discussion of Issues</w:t>
      </w:r>
    </w:p>
    <w:bookmarkEnd w:id="18"/>
    <w:p w:rsidR="00B65E0B" w:rsidRDefault="00B65E0B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5A4A67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A4A67">
        <w:rPr>
          <w:noProof/>
        </w:rPr>
        <w:instrText>1</w:instrText>
      </w:r>
      <w:r>
        <w:fldChar w:fldCharType="end"/>
      </w:r>
      <w:r>
        <w:tab/>
        <w:instrText xml:space="preserve">(Draper)" \l 1 </w:instrText>
      </w:r>
      <w:r>
        <w:fldChar w:fldCharType="end"/>
      </w:r>
      <w:r>
        <w:t> </w:t>
      </w:r>
    </w:p>
    <w:p w:rsidR="00B65E0B" w:rsidRDefault="00B65E0B">
      <w:pPr>
        <w:pStyle w:val="BodyText"/>
      </w:pPr>
      <w:r>
        <w:t> Should the Commission approve Gulf's proposed tariffs and rate schedules?</w:t>
      </w:r>
    </w:p>
    <w:p w:rsidR="00B65E0B" w:rsidRPr="004C3641" w:rsidRDefault="00B65E0B">
      <w:pPr>
        <w:pStyle w:val="IssueSubsectionHeading"/>
        <w:rPr>
          <w:vanish/>
          <w:specVanish/>
        </w:rPr>
      </w:pPr>
      <w:r w:rsidRPr="004C3641">
        <w:t>Recommendation: </w:t>
      </w:r>
    </w:p>
    <w:p w:rsidR="00B65E0B" w:rsidRDefault="00B65E0B">
      <w:pPr>
        <w:pStyle w:val="BodyText"/>
      </w:pPr>
      <w:r>
        <w:t> </w:t>
      </w:r>
      <w:r w:rsidR="00897106">
        <w:t>Yes, the Commission should approve Gulf’s proposed tariffs and rate schedules effective July 1, 2017.</w:t>
      </w:r>
      <w:r>
        <w:t xml:space="preserve"> (Draper)</w:t>
      </w:r>
    </w:p>
    <w:p w:rsidR="00B65E0B" w:rsidRPr="004C3641" w:rsidRDefault="00B65E0B">
      <w:pPr>
        <w:pStyle w:val="IssueSubsectionHeading"/>
        <w:rPr>
          <w:vanish/>
          <w:specVanish/>
        </w:rPr>
      </w:pPr>
      <w:r w:rsidRPr="004C3641">
        <w:t>Staff Analysis: </w:t>
      </w:r>
    </w:p>
    <w:p w:rsidR="001C328A" w:rsidRDefault="00B65E0B">
      <w:pPr>
        <w:pStyle w:val="BodyText"/>
      </w:pPr>
      <w:r>
        <w:t> </w:t>
      </w:r>
    </w:p>
    <w:p w:rsidR="001C328A" w:rsidRDefault="00DC02E2">
      <w:pPr>
        <w:pStyle w:val="BodyText"/>
      </w:pPr>
      <w:r>
        <w:t>The Settlement provides for a base rate increase of $6</w:t>
      </w:r>
      <w:r w:rsidR="00907613">
        <w:t>1.99</w:t>
      </w:r>
      <w:r>
        <w:t xml:space="preserve"> million</w:t>
      </w:r>
      <w:r w:rsidR="00907613">
        <w:t xml:space="preserve"> and a $7.7 million revenue credit to the capacity clause from the existing wholesale contract with Flint EMC, resulting in a net increase of $54.3 million. </w:t>
      </w:r>
      <w:r w:rsidR="001C328A">
        <w:t>Gulf’s</w:t>
      </w:r>
      <w:r w:rsidR="00907613">
        <w:t xml:space="preserve"> new rates will be effective July 1, 2017</w:t>
      </w:r>
      <w:r w:rsidR="00582F81">
        <w:t>,</w:t>
      </w:r>
      <w:r w:rsidR="001C328A">
        <w:t xml:space="preserve"> and</w:t>
      </w:r>
      <w:r w:rsidR="00907613">
        <w:t xml:space="preserve"> the new rates will be applied to meter readings beginning with billing cycle one for July 2017.</w:t>
      </w:r>
      <w:r w:rsidR="00F304AD">
        <w:t xml:space="preserve"> </w:t>
      </w:r>
    </w:p>
    <w:p w:rsidR="00B65E0B" w:rsidRDefault="004A1CEF">
      <w:pPr>
        <w:pStyle w:val="BodyText"/>
      </w:pPr>
      <w:r>
        <w:t xml:space="preserve">On April 18, 2017, Gulf </w:t>
      </w:r>
      <w:r w:rsidR="001C328A">
        <w:t>submitted</w:t>
      </w:r>
      <w:r>
        <w:t xml:space="preserve"> its proposed tariffs and </w:t>
      </w:r>
      <w:r w:rsidR="00DC0689">
        <w:t xml:space="preserve">rate schedules </w:t>
      </w:r>
      <w:r w:rsidR="001C328A">
        <w:t>pursuant to pa</w:t>
      </w:r>
      <w:r w:rsidR="00DC0689">
        <w:t>ragraph 8(a) of the Settlement</w:t>
      </w:r>
      <w:r>
        <w:t>.</w:t>
      </w:r>
      <w:r w:rsidR="001C328A">
        <w:rPr>
          <w:rStyle w:val="FootnoteReference"/>
        </w:rPr>
        <w:footnoteReference w:id="7"/>
      </w:r>
      <w:r>
        <w:t xml:space="preserve"> The proposed tariffs are shown in </w:t>
      </w:r>
      <w:r w:rsidR="00DC0689">
        <w:t xml:space="preserve">clean format in </w:t>
      </w:r>
      <w:r>
        <w:t>Attachment A to Gulf’s filing</w:t>
      </w:r>
      <w:r w:rsidR="00DC0689">
        <w:t xml:space="preserve"> and in legislative format in Attachment B to Gulf’s filing.</w:t>
      </w:r>
      <w:r w:rsidR="006C2D1F">
        <w:rPr>
          <w:rStyle w:val="FootnoteReference"/>
        </w:rPr>
        <w:footnoteReference w:id="8"/>
      </w:r>
      <w:r>
        <w:t xml:space="preserve"> </w:t>
      </w:r>
      <w:r w:rsidR="00DC0689">
        <w:t>D</w:t>
      </w:r>
      <w:r>
        <w:t xml:space="preserve">ue to the voluminous nature </w:t>
      </w:r>
      <w:r w:rsidR="00DC0689">
        <w:t xml:space="preserve">the tariffs </w:t>
      </w:r>
      <w:r>
        <w:t>are not attached to this recommendation.</w:t>
      </w:r>
      <w:r w:rsidR="00D37D0F" w:rsidRPr="00D37D0F">
        <w:rPr>
          <w:rStyle w:val="FootnoteReference"/>
        </w:rPr>
        <w:t xml:space="preserve"> </w:t>
      </w:r>
      <w:r w:rsidR="00F304AD">
        <w:t>Attachment A to th</w:t>
      </w:r>
      <w:r w:rsidR="00582F81">
        <w:t>e</w:t>
      </w:r>
      <w:r w:rsidR="00F304AD">
        <w:t xml:space="preserve"> recommendation shows </w:t>
      </w:r>
      <w:r w:rsidR="00253FA5">
        <w:t xml:space="preserve">a summary of </w:t>
      </w:r>
      <w:r w:rsidR="00F304AD">
        <w:t xml:space="preserve">current and proposed base rates for </w:t>
      </w:r>
      <w:r w:rsidR="0029032B">
        <w:t xml:space="preserve">all </w:t>
      </w:r>
      <w:r w:rsidR="00F304AD">
        <w:t>the rate classes except</w:t>
      </w:r>
      <w:r w:rsidR="00582F81">
        <w:t xml:space="preserve"> the</w:t>
      </w:r>
      <w:r w:rsidR="00F304AD">
        <w:t xml:space="preserve"> lighting</w:t>
      </w:r>
      <w:r w:rsidR="00582F81">
        <w:t xml:space="preserve"> rate schedules</w:t>
      </w:r>
      <w:r w:rsidR="00F304AD">
        <w:t>.</w:t>
      </w:r>
      <w:r>
        <w:t xml:space="preserve"> </w:t>
      </w:r>
    </w:p>
    <w:p w:rsidR="00D9172B" w:rsidRDefault="00DC0689">
      <w:pPr>
        <w:pStyle w:val="BodyText"/>
      </w:pPr>
      <w:r>
        <w:t xml:space="preserve">In addition to the </w:t>
      </w:r>
      <w:r w:rsidR="001C328A">
        <w:t xml:space="preserve">proposed </w:t>
      </w:r>
      <w:r>
        <w:t>tariffs, Gulf provided</w:t>
      </w:r>
      <w:r w:rsidR="00D9172B">
        <w:t xml:space="preserve"> the following supporting information:</w:t>
      </w:r>
    </w:p>
    <w:p w:rsidR="00D9172B" w:rsidRDefault="00D9172B" w:rsidP="00601253">
      <w:pPr>
        <w:pStyle w:val="BodyText"/>
        <w:numPr>
          <w:ilvl w:val="0"/>
          <w:numId w:val="12"/>
        </w:numPr>
      </w:pPr>
      <w:r>
        <w:t>Attachment C</w:t>
      </w:r>
      <w:r w:rsidR="00DC02E2">
        <w:t xml:space="preserve"> - </w:t>
      </w:r>
      <w:r>
        <w:t>rate summary table, allocation of rate increase to the rate classes, proof of revenue</w:t>
      </w:r>
      <w:r w:rsidR="00601253">
        <w:t>.</w:t>
      </w:r>
      <w:r w:rsidR="006C2D1F">
        <w:rPr>
          <w:rStyle w:val="FootnoteReference"/>
        </w:rPr>
        <w:footnoteReference w:id="9"/>
      </w:r>
    </w:p>
    <w:p w:rsidR="00D9172B" w:rsidRDefault="00D9172B" w:rsidP="00601253">
      <w:pPr>
        <w:pStyle w:val="BodyText"/>
        <w:numPr>
          <w:ilvl w:val="0"/>
          <w:numId w:val="12"/>
        </w:numPr>
      </w:pPr>
      <w:r>
        <w:t xml:space="preserve">Attachment D </w:t>
      </w:r>
      <w:r w:rsidR="00DC02E2">
        <w:t xml:space="preserve">- </w:t>
      </w:r>
      <w:r>
        <w:t xml:space="preserve">derivation of revised 2017 purchased power capacity clause </w:t>
      </w:r>
      <w:r w:rsidR="00B219D9">
        <w:t>factors</w:t>
      </w:r>
      <w:r>
        <w:t xml:space="preserve"> </w:t>
      </w:r>
      <w:r w:rsidR="0029032B">
        <w:t xml:space="preserve">for all rate classes </w:t>
      </w:r>
      <w:r>
        <w:t xml:space="preserve">resulting from the </w:t>
      </w:r>
      <w:r w:rsidR="00B219D9">
        <w:t xml:space="preserve">$7.7 million </w:t>
      </w:r>
      <w:r>
        <w:t>credit of Flint EMC revenues through the capacity clause</w:t>
      </w:r>
      <w:r w:rsidR="00DC02E2">
        <w:t xml:space="preserve"> as contained in paragraph 5 of the Settlement</w:t>
      </w:r>
      <w:r w:rsidR="00601253">
        <w:t>.</w:t>
      </w:r>
      <w:r w:rsidR="006C2D1F">
        <w:rPr>
          <w:rStyle w:val="FootnoteReference"/>
        </w:rPr>
        <w:footnoteReference w:id="10"/>
      </w:r>
    </w:p>
    <w:p w:rsidR="00DC0689" w:rsidRDefault="00DC02E2" w:rsidP="00601253">
      <w:pPr>
        <w:pStyle w:val="BodyText"/>
        <w:numPr>
          <w:ilvl w:val="0"/>
          <w:numId w:val="12"/>
        </w:numPr>
      </w:pPr>
      <w:r>
        <w:t xml:space="preserve">Attachment E - support for the </w:t>
      </w:r>
      <w:r w:rsidR="00C3585D">
        <w:t>O</w:t>
      </w:r>
      <w:r>
        <w:t>n-</w:t>
      </w:r>
      <w:r w:rsidR="00C3585D">
        <w:t>P</w:t>
      </w:r>
      <w:r>
        <w:t xml:space="preserve">eak </w:t>
      </w:r>
      <w:r w:rsidR="00C3585D">
        <w:t>D</w:t>
      </w:r>
      <w:r>
        <w:t xml:space="preserve">emand </w:t>
      </w:r>
      <w:r w:rsidR="00C3585D">
        <w:t>C</w:t>
      </w:r>
      <w:r>
        <w:t>redit</w:t>
      </w:r>
      <w:r w:rsidR="00C3585D">
        <w:t xml:space="preserve"> and Critical Peak Demand Charge</w:t>
      </w:r>
      <w:r>
        <w:t xml:space="preserve"> for the Critical Peak Option for the Large Power Time of Use rate schedule as contained in paragraphs 8(b) and 18 of the Settlement</w:t>
      </w:r>
      <w:r w:rsidR="00601253">
        <w:t>.</w:t>
      </w:r>
      <w:r w:rsidR="001C328A">
        <w:rPr>
          <w:rStyle w:val="FootnoteReference"/>
        </w:rPr>
        <w:footnoteReference w:id="11"/>
      </w:r>
    </w:p>
    <w:p w:rsidR="00B65E0B" w:rsidRDefault="004A1CEF">
      <w:pPr>
        <w:pStyle w:val="BodyText"/>
      </w:pPr>
      <w:r>
        <w:t xml:space="preserve">The impact of the Settlement on </w:t>
      </w:r>
      <w:r w:rsidR="001C328A">
        <w:t>a</w:t>
      </w:r>
      <w:r>
        <w:t xml:space="preserve"> 1,000 kilowatt-hour </w:t>
      </w:r>
      <w:r w:rsidR="00601253">
        <w:t xml:space="preserve">(kWh) </w:t>
      </w:r>
      <w:r>
        <w:t>residential bill is shown in the table below.</w:t>
      </w:r>
    </w:p>
    <w:p w:rsidR="005C2829" w:rsidRDefault="005C2829">
      <w:pPr>
        <w:pStyle w:val="BodyText"/>
      </w:pPr>
    </w:p>
    <w:p w:rsidR="004A1CEF" w:rsidRDefault="004A1CEF" w:rsidP="00B105DD">
      <w:pPr>
        <w:pStyle w:val="TableNumber"/>
        <w:keepNext/>
      </w:pPr>
      <w:r w:rsidRPr="004A1CEF">
        <w:lastRenderedPageBreak/>
        <w:t>Table 1-1</w:t>
      </w:r>
    </w:p>
    <w:p w:rsidR="00B105DD" w:rsidRDefault="00B105DD" w:rsidP="00B105DD">
      <w:pPr>
        <w:pStyle w:val="TableTitle"/>
        <w:keepNext/>
      </w:pPr>
      <w:r>
        <w:t xml:space="preserve">Current and </w:t>
      </w:r>
      <w:r w:rsidR="00B219D9">
        <w:t>Proposed</w:t>
      </w:r>
      <w:r>
        <w:t xml:space="preserve"> 1,000 </w:t>
      </w:r>
      <w:r w:rsidR="00601253">
        <w:t>kWh</w:t>
      </w:r>
      <w:r>
        <w:t xml:space="preserve"> Residential Bill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70"/>
        <w:gridCol w:w="1980"/>
        <w:gridCol w:w="2268"/>
      </w:tblGrid>
      <w:tr w:rsidR="00B105DD" w:rsidTr="00601253">
        <w:tc>
          <w:tcPr>
            <w:tcW w:w="3258" w:type="dxa"/>
          </w:tcPr>
          <w:p w:rsidR="00B105DD" w:rsidRDefault="00B105DD" w:rsidP="00B105DD"/>
        </w:tc>
        <w:tc>
          <w:tcPr>
            <w:tcW w:w="2070" w:type="dxa"/>
          </w:tcPr>
          <w:p w:rsidR="00B105DD" w:rsidRDefault="00B105DD" w:rsidP="00B105DD">
            <w:r>
              <w:t>Current</w:t>
            </w:r>
          </w:p>
        </w:tc>
        <w:tc>
          <w:tcPr>
            <w:tcW w:w="1980" w:type="dxa"/>
          </w:tcPr>
          <w:p w:rsidR="00B105DD" w:rsidRDefault="00B219D9" w:rsidP="00453C5F">
            <w:r>
              <w:t>Proposed</w:t>
            </w:r>
          </w:p>
        </w:tc>
        <w:tc>
          <w:tcPr>
            <w:tcW w:w="2268" w:type="dxa"/>
          </w:tcPr>
          <w:p w:rsidR="00B105DD" w:rsidRDefault="00B105DD" w:rsidP="00B105DD">
            <w:r>
              <w:t>Increase/(Decrease)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B105DD">
            <w:r>
              <w:t>Base Charge</w:t>
            </w:r>
          </w:p>
        </w:tc>
        <w:tc>
          <w:tcPr>
            <w:tcW w:w="2070" w:type="dxa"/>
          </w:tcPr>
          <w:p w:rsidR="00B105DD" w:rsidRDefault="00B105DD" w:rsidP="00B105DD">
            <w:r>
              <w:t>$18.60</w:t>
            </w:r>
          </w:p>
        </w:tc>
        <w:tc>
          <w:tcPr>
            <w:tcW w:w="1980" w:type="dxa"/>
          </w:tcPr>
          <w:p w:rsidR="00B105DD" w:rsidRDefault="00B105DD" w:rsidP="00B105DD">
            <w:r>
              <w:t>$19.50</w:t>
            </w:r>
          </w:p>
        </w:tc>
        <w:tc>
          <w:tcPr>
            <w:tcW w:w="2268" w:type="dxa"/>
          </w:tcPr>
          <w:p w:rsidR="00B105DD" w:rsidRDefault="00B105DD" w:rsidP="00B105DD">
            <w:r>
              <w:t>$0.90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B105DD">
            <w:r>
              <w:t>Energy Charge</w:t>
            </w:r>
          </w:p>
        </w:tc>
        <w:tc>
          <w:tcPr>
            <w:tcW w:w="2070" w:type="dxa"/>
          </w:tcPr>
          <w:p w:rsidR="00B105DD" w:rsidRDefault="00B105DD" w:rsidP="00B105DD">
            <w:r>
              <w:t>$45.85</w:t>
            </w:r>
          </w:p>
        </w:tc>
        <w:tc>
          <w:tcPr>
            <w:tcW w:w="1980" w:type="dxa"/>
          </w:tcPr>
          <w:p w:rsidR="00B105DD" w:rsidRDefault="00B105DD" w:rsidP="00B105DD">
            <w:r>
              <w:t>$51.81</w:t>
            </w:r>
          </w:p>
        </w:tc>
        <w:tc>
          <w:tcPr>
            <w:tcW w:w="2268" w:type="dxa"/>
          </w:tcPr>
          <w:p w:rsidR="00B105DD" w:rsidRDefault="00B105DD" w:rsidP="00B105DD">
            <w:r>
              <w:t>$5.96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601253">
            <w:r>
              <w:t>Fuel C</w:t>
            </w:r>
            <w:r w:rsidR="00601253">
              <w:t>harge</w:t>
            </w:r>
          </w:p>
        </w:tc>
        <w:tc>
          <w:tcPr>
            <w:tcW w:w="2070" w:type="dxa"/>
          </w:tcPr>
          <w:p w:rsidR="00B105DD" w:rsidRDefault="00B105DD" w:rsidP="00B105DD">
            <w:r>
              <w:t>$31.63</w:t>
            </w:r>
          </w:p>
        </w:tc>
        <w:tc>
          <w:tcPr>
            <w:tcW w:w="1980" w:type="dxa"/>
          </w:tcPr>
          <w:p w:rsidR="00B105DD" w:rsidRDefault="00B105DD" w:rsidP="00B105DD">
            <w:r>
              <w:t>$31.63</w:t>
            </w:r>
          </w:p>
        </w:tc>
        <w:tc>
          <w:tcPr>
            <w:tcW w:w="2268" w:type="dxa"/>
          </w:tcPr>
          <w:p w:rsidR="00B105DD" w:rsidRDefault="00B105DD" w:rsidP="00B105DD">
            <w:r>
              <w:t>$0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601253">
            <w:r>
              <w:t>Capacity C</w:t>
            </w:r>
            <w:r w:rsidR="00601253">
              <w:t>harge</w:t>
            </w:r>
          </w:p>
        </w:tc>
        <w:tc>
          <w:tcPr>
            <w:tcW w:w="2070" w:type="dxa"/>
          </w:tcPr>
          <w:p w:rsidR="00B105DD" w:rsidRDefault="00B105DD" w:rsidP="00B105DD">
            <w:r>
              <w:t>$8.88</w:t>
            </w:r>
          </w:p>
        </w:tc>
        <w:tc>
          <w:tcPr>
            <w:tcW w:w="1980" w:type="dxa"/>
          </w:tcPr>
          <w:p w:rsidR="00B105DD" w:rsidRDefault="00B105DD" w:rsidP="00B105DD">
            <w:r>
              <w:t>$8.07</w:t>
            </w:r>
          </w:p>
        </w:tc>
        <w:tc>
          <w:tcPr>
            <w:tcW w:w="2268" w:type="dxa"/>
          </w:tcPr>
          <w:p w:rsidR="00B105DD" w:rsidRDefault="00B105DD" w:rsidP="00B105DD">
            <w:r>
              <w:t>($0.81)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B105DD">
            <w:r>
              <w:t>Conservation</w:t>
            </w:r>
            <w:r w:rsidR="00601253">
              <w:t xml:space="preserve"> Charge</w:t>
            </w:r>
          </w:p>
        </w:tc>
        <w:tc>
          <w:tcPr>
            <w:tcW w:w="2070" w:type="dxa"/>
          </w:tcPr>
          <w:p w:rsidR="00B105DD" w:rsidRDefault="00B105DD" w:rsidP="00B105DD">
            <w:r>
              <w:t>$1.60</w:t>
            </w:r>
          </w:p>
        </w:tc>
        <w:tc>
          <w:tcPr>
            <w:tcW w:w="1980" w:type="dxa"/>
          </w:tcPr>
          <w:p w:rsidR="00B105DD" w:rsidRDefault="00B105DD" w:rsidP="00601253">
            <w:r>
              <w:t>$1</w:t>
            </w:r>
            <w:r w:rsidR="00601253">
              <w:t>.</w:t>
            </w:r>
            <w:r>
              <w:t>60</w:t>
            </w:r>
          </w:p>
        </w:tc>
        <w:tc>
          <w:tcPr>
            <w:tcW w:w="2268" w:type="dxa"/>
          </w:tcPr>
          <w:p w:rsidR="00B105DD" w:rsidRDefault="00B105DD" w:rsidP="00B105DD">
            <w:r>
              <w:t>$0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B105DD">
            <w:r>
              <w:t>Environmental</w:t>
            </w:r>
            <w:r w:rsidR="00601253">
              <w:t xml:space="preserve"> Charge</w:t>
            </w:r>
          </w:p>
        </w:tc>
        <w:tc>
          <w:tcPr>
            <w:tcW w:w="2070" w:type="dxa"/>
          </w:tcPr>
          <w:p w:rsidR="00B105DD" w:rsidRDefault="00B105DD" w:rsidP="00B105DD">
            <w:r>
              <w:t>$21.58</w:t>
            </w:r>
          </w:p>
        </w:tc>
        <w:tc>
          <w:tcPr>
            <w:tcW w:w="1980" w:type="dxa"/>
          </w:tcPr>
          <w:p w:rsidR="00B105DD" w:rsidRDefault="00B105DD" w:rsidP="00B105DD">
            <w:r>
              <w:t>$21.58</w:t>
            </w:r>
          </w:p>
        </w:tc>
        <w:tc>
          <w:tcPr>
            <w:tcW w:w="2268" w:type="dxa"/>
          </w:tcPr>
          <w:p w:rsidR="00B105DD" w:rsidRDefault="00B105DD" w:rsidP="00B105DD">
            <w:r>
              <w:t>$0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B105DD">
            <w:r>
              <w:t>Gross Receipts Tax</w:t>
            </w:r>
          </w:p>
        </w:tc>
        <w:tc>
          <w:tcPr>
            <w:tcW w:w="2070" w:type="dxa"/>
          </w:tcPr>
          <w:p w:rsidR="00B105DD" w:rsidRDefault="00B105DD" w:rsidP="00B105DD">
            <w:r>
              <w:t>$3.29</w:t>
            </w:r>
          </w:p>
        </w:tc>
        <w:tc>
          <w:tcPr>
            <w:tcW w:w="1980" w:type="dxa"/>
          </w:tcPr>
          <w:p w:rsidR="00B105DD" w:rsidRDefault="00B105DD" w:rsidP="00B105DD">
            <w:r>
              <w:t>$3.44</w:t>
            </w:r>
          </w:p>
        </w:tc>
        <w:tc>
          <w:tcPr>
            <w:tcW w:w="2268" w:type="dxa"/>
          </w:tcPr>
          <w:p w:rsidR="00B105DD" w:rsidRDefault="001339C4" w:rsidP="00B105DD">
            <w:r>
              <w:t>$0.15</w:t>
            </w:r>
          </w:p>
        </w:tc>
      </w:tr>
      <w:tr w:rsidR="00B105DD" w:rsidTr="00601253">
        <w:tc>
          <w:tcPr>
            <w:tcW w:w="3258" w:type="dxa"/>
          </w:tcPr>
          <w:p w:rsidR="00B105DD" w:rsidRDefault="00B105DD" w:rsidP="00B105DD">
            <w:r>
              <w:t>Total Bill</w:t>
            </w:r>
          </w:p>
        </w:tc>
        <w:tc>
          <w:tcPr>
            <w:tcW w:w="2070" w:type="dxa"/>
          </w:tcPr>
          <w:p w:rsidR="00B105DD" w:rsidRDefault="00B105DD" w:rsidP="00B105DD">
            <w:r>
              <w:t>$131.43</w:t>
            </w:r>
          </w:p>
        </w:tc>
        <w:tc>
          <w:tcPr>
            <w:tcW w:w="1980" w:type="dxa"/>
          </w:tcPr>
          <w:p w:rsidR="00B105DD" w:rsidRDefault="00B105DD" w:rsidP="00B105DD">
            <w:r>
              <w:t>$137.63</w:t>
            </w:r>
          </w:p>
        </w:tc>
        <w:tc>
          <w:tcPr>
            <w:tcW w:w="2268" w:type="dxa"/>
          </w:tcPr>
          <w:p w:rsidR="00B105DD" w:rsidRDefault="001339C4" w:rsidP="00B105DD">
            <w:r>
              <w:t>$6.20</w:t>
            </w:r>
          </w:p>
        </w:tc>
      </w:tr>
    </w:tbl>
    <w:p w:rsidR="00B105DD" w:rsidRDefault="00B105DD" w:rsidP="00B105DD">
      <w:pPr>
        <w:pStyle w:val="TableSource"/>
      </w:pPr>
      <w:r>
        <w:t xml:space="preserve">Source: </w:t>
      </w:r>
      <w:r w:rsidR="001339C4">
        <w:t>Gulf’s April 18, 2017 filing.</w:t>
      </w:r>
    </w:p>
    <w:p w:rsidR="00F304AD" w:rsidRDefault="001339C4" w:rsidP="00492A6E">
      <w:pPr>
        <w:pStyle w:val="BodyText"/>
      </w:pPr>
      <w:r>
        <w:t xml:space="preserve">Staff notes that </w:t>
      </w:r>
      <w:r w:rsidR="0029032B">
        <w:t>Gulf’s</w:t>
      </w:r>
      <w:r w:rsidR="00492A6E" w:rsidRPr="001339C4">
        <w:t xml:space="preserve"> Base Charge is stated as a daily charge</w:t>
      </w:r>
      <w:r w:rsidR="00D12673">
        <w:t xml:space="preserve"> in its tariff</w:t>
      </w:r>
      <w:r w:rsidR="00492A6E" w:rsidRPr="001339C4">
        <w:t xml:space="preserve">. </w:t>
      </w:r>
      <w:r w:rsidR="0029032B">
        <w:t>Gulf’s</w:t>
      </w:r>
      <w:r>
        <w:t xml:space="preserve"> c</w:t>
      </w:r>
      <w:r w:rsidR="00492A6E" w:rsidRPr="001339C4">
        <w:t>urrent Base Charge is $</w:t>
      </w:r>
      <w:r>
        <w:t>0.62 per day</w:t>
      </w:r>
      <w:r w:rsidR="0029032B">
        <w:t>,</w:t>
      </w:r>
      <w:r>
        <w:t xml:space="preserve"> </w:t>
      </w:r>
      <w:r w:rsidR="0029032B">
        <w:t>while</w:t>
      </w:r>
      <w:r>
        <w:t xml:space="preserve"> the </w:t>
      </w:r>
      <w:r w:rsidR="00B219D9">
        <w:t>proposed</w:t>
      </w:r>
      <w:r w:rsidR="00492A6E" w:rsidRPr="001339C4">
        <w:t xml:space="preserve"> Base Charge is $0.65 per day. </w:t>
      </w:r>
      <w:r>
        <w:t>The above c</w:t>
      </w:r>
      <w:r w:rsidR="00492A6E" w:rsidRPr="001339C4">
        <w:t>alculation</w:t>
      </w:r>
      <w:r w:rsidR="006C2D1F">
        <w:t xml:space="preserve"> for the Base Charge</w:t>
      </w:r>
      <w:r w:rsidR="00492A6E" w:rsidRPr="001339C4">
        <w:t xml:space="preserve"> assumes 30 days in the month.</w:t>
      </w:r>
      <w:r>
        <w:t xml:space="preserve"> The reduction in the capacity </w:t>
      </w:r>
      <w:r w:rsidR="0029032B">
        <w:t>charge</w:t>
      </w:r>
      <w:r>
        <w:t xml:space="preserve"> is the result of</w:t>
      </w:r>
      <w:r w:rsidR="00582F81">
        <w:t xml:space="preserve"> the</w:t>
      </w:r>
      <w:r>
        <w:t xml:space="preserve"> $7.7 million credit in the capacity clause</w:t>
      </w:r>
      <w:r w:rsidR="005D31D2">
        <w:t xml:space="preserve"> as provided in </w:t>
      </w:r>
      <w:r w:rsidR="0029032B">
        <w:t>P</w:t>
      </w:r>
      <w:r w:rsidR="005D31D2">
        <w:t>aragraph 5 of the Settlement.</w:t>
      </w:r>
      <w:r w:rsidR="00907613">
        <w:t xml:space="preserve"> </w:t>
      </w:r>
    </w:p>
    <w:p w:rsidR="004A1CEF" w:rsidRDefault="00907613" w:rsidP="00492A6E">
      <w:pPr>
        <w:pStyle w:val="BodyText"/>
      </w:pPr>
      <w:r>
        <w:t>Bill impacts on commercial and industrial customers will vary depending on usage</w:t>
      </w:r>
      <w:r w:rsidR="00F304AD">
        <w:t xml:space="preserve">; however, on average commercial/industrial bills will increase </w:t>
      </w:r>
      <w:r w:rsidR="00A26DE5">
        <w:t xml:space="preserve">by </w:t>
      </w:r>
      <w:r w:rsidR="00F304AD">
        <w:t>approximately three to six percent</w:t>
      </w:r>
      <w:r w:rsidR="00631478">
        <w:t>.</w:t>
      </w:r>
      <w:r w:rsidR="00F304AD">
        <w:t xml:space="preserve"> Gulf provided typical bill calculations for residential and the major commercial/industrial rate schedules</w:t>
      </w:r>
      <w:r w:rsidR="00253FA5">
        <w:t>.</w:t>
      </w:r>
      <w:r w:rsidR="00582F81">
        <w:rPr>
          <w:rStyle w:val="FootnoteReference"/>
        </w:rPr>
        <w:footnoteReference w:id="12"/>
      </w:r>
    </w:p>
    <w:p w:rsidR="000617FF" w:rsidRDefault="000617FF" w:rsidP="00492A6E">
      <w:pPr>
        <w:pStyle w:val="BodyText"/>
      </w:pPr>
      <w:r>
        <w:t xml:space="preserve">As required by Rule </w:t>
      </w:r>
      <w:r w:rsidRPr="000617FF">
        <w:t>25-22.0406</w:t>
      </w:r>
      <w:r>
        <w:t>(8), F.A.C., Gulf will notify its customer</w:t>
      </w:r>
      <w:r w:rsidR="002A62B4">
        <w:t>s</w:t>
      </w:r>
      <w:r w:rsidR="0029032B">
        <w:t xml:space="preserve"> of the approved rates with customers’</w:t>
      </w:r>
      <w:r>
        <w:t xml:space="preserve"> July 2017 bills.</w:t>
      </w:r>
      <w:r w:rsidR="00601253">
        <w:t xml:space="preserve"> Gulf will provide a copy of the customer notification for </w:t>
      </w:r>
      <w:r w:rsidR="00A26DE5">
        <w:t xml:space="preserve">staff’s </w:t>
      </w:r>
      <w:r w:rsidR="00601253">
        <w:t>review and approval prior to its mailing.</w:t>
      </w:r>
      <w:r>
        <w:t xml:space="preserve"> </w:t>
      </w:r>
    </w:p>
    <w:p w:rsidR="000617FF" w:rsidRPr="001339C4" w:rsidRDefault="000617FF" w:rsidP="00492A6E">
      <w:pPr>
        <w:pStyle w:val="BodyText"/>
      </w:pPr>
      <w:r>
        <w:t xml:space="preserve">Staff has reviewed Gulf’s proposed tariffs and supporting information as filed on April 18, 2017, and </w:t>
      </w:r>
      <w:r w:rsidR="0029032B">
        <w:t>staff believes they</w:t>
      </w:r>
      <w:r>
        <w:t xml:space="preserve"> are consistent with the approved Settlement. Therefore, staff recommends approval of Gulf’s tariffs and rate schedules </w:t>
      </w:r>
      <w:r w:rsidR="0029032B">
        <w:t>effective July 1, 2017</w:t>
      </w:r>
      <w:r>
        <w:t xml:space="preserve">. </w:t>
      </w:r>
    </w:p>
    <w:p w:rsidR="00B65E0B" w:rsidRDefault="00B65E0B">
      <w:pPr>
        <w:pStyle w:val="BodyText"/>
      </w:pPr>
    </w:p>
    <w:p w:rsidR="00B65E0B" w:rsidRDefault="00B65E0B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5A4A67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A4A67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B65E0B" w:rsidRDefault="00B65E0B">
      <w:pPr>
        <w:pStyle w:val="BodyText"/>
      </w:pPr>
      <w:r>
        <w:t> Should this docket be closed?</w:t>
      </w:r>
      <w:r w:rsidR="007D4772">
        <w:t xml:space="preserve"> </w:t>
      </w:r>
    </w:p>
    <w:p w:rsidR="00B65E0B" w:rsidRPr="004C3641" w:rsidRDefault="00B65E0B">
      <w:pPr>
        <w:pStyle w:val="IssueSubsectionHeading"/>
        <w:rPr>
          <w:vanish/>
          <w:specVanish/>
        </w:rPr>
      </w:pPr>
      <w:r w:rsidRPr="004C3641">
        <w:t>Recommendation: </w:t>
      </w:r>
    </w:p>
    <w:p w:rsidR="00B65E0B" w:rsidRDefault="00B65E0B">
      <w:pPr>
        <w:pStyle w:val="BodyText"/>
      </w:pPr>
      <w:r>
        <w:t> </w:t>
      </w:r>
      <w:bookmarkStart w:id="19" w:name="IssueRecommendation"/>
      <w:r w:rsidR="00AB5E29">
        <w:t>Yes. If the Commission approves the tariffs, the docket should be closed if no appeal is timely filed.</w:t>
      </w:r>
      <w:bookmarkEnd w:id="19"/>
      <w:r w:rsidR="0029032B">
        <w:t xml:space="preserve"> (Corbari)</w:t>
      </w:r>
    </w:p>
    <w:p w:rsidR="00B65E0B" w:rsidRPr="004C3641" w:rsidRDefault="00B65E0B">
      <w:pPr>
        <w:pStyle w:val="IssueSubsectionHeading"/>
        <w:rPr>
          <w:vanish/>
          <w:specVanish/>
        </w:rPr>
      </w:pPr>
      <w:r w:rsidRPr="004C3641">
        <w:t>Staff Analysis: </w:t>
      </w:r>
    </w:p>
    <w:p w:rsidR="004A2764" w:rsidRDefault="00B65E0B">
      <w:pPr>
        <w:pStyle w:val="BodyText"/>
        <w:sectPr w:rsidR="004A2764" w:rsidSect="0068481F">
          <w:headerReference w:type="default" r:id="rId12"/>
          <w:headerReference w:type="first" r:id="rId13"/>
          <w:footerReference w:type="first" r:id="rId14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  <w:r>
        <w:t> </w:t>
      </w:r>
      <w:bookmarkStart w:id="20" w:name="IssueStaffAnalysis"/>
      <w:r w:rsidR="00AB5E29">
        <w:t>If the Commission approves the tariffs, the docket should be closed if no appeal is timely filed.</w:t>
      </w:r>
      <w:bookmarkEnd w:id="20"/>
    </w:p>
    <w:p w:rsidR="00A7259D" w:rsidRDefault="00A7259D" w:rsidP="00A7259D">
      <w:pPr>
        <w:pStyle w:val="BodyText"/>
        <w:spacing w:after="0"/>
        <w:jc w:val="right"/>
      </w:pPr>
      <w:r>
        <w:lastRenderedPageBreak/>
        <w:t>Attachment A</w:t>
      </w:r>
    </w:p>
    <w:p w:rsidR="00A7259D" w:rsidRDefault="00A7259D" w:rsidP="00A7259D">
      <w:pPr>
        <w:pStyle w:val="BodyText"/>
        <w:spacing w:after="0"/>
        <w:jc w:val="right"/>
      </w:pPr>
      <w:r>
        <w:t>Page 1 of 3</w:t>
      </w:r>
    </w:p>
    <w:p w:rsidR="00BF206C" w:rsidRDefault="00BF206C" w:rsidP="00BF206C">
      <w:pPr>
        <w:pStyle w:val="BodyText"/>
        <w:spacing w:after="0"/>
        <w:jc w:val="center"/>
      </w:pPr>
    </w:p>
    <w:p w:rsidR="00A7259D" w:rsidRDefault="00BF206C" w:rsidP="00BF206C">
      <w:pPr>
        <w:pStyle w:val="BodyText"/>
        <w:spacing w:after="0"/>
        <w:jc w:val="center"/>
      </w:pPr>
      <w:r>
        <w:t>Docket No. 160186-EI</w:t>
      </w:r>
    </w:p>
    <w:p w:rsidR="00BF206C" w:rsidRDefault="00BF206C" w:rsidP="00BF206C">
      <w:pPr>
        <w:pStyle w:val="BodyText"/>
        <w:spacing w:after="0"/>
        <w:jc w:val="center"/>
      </w:pPr>
      <w:r>
        <w:t>Gulf Power Company</w:t>
      </w:r>
    </w:p>
    <w:p w:rsidR="00BF206C" w:rsidRDefault="00BF206C" w:rsidP="00BF206C">
      <w:pPr>
        <w:pStyle w:val="BodyText"/>
        <w:jc w:val="center"/>
      </w:pPr>
      <w:r>
        <w:t>Current and Proposed Rates</w:t>
      </w:r>
    </w:p>
    <w:p w:rsidR="00A26DE5" w:rsidRDefault="00BF206C">
      <w:pPr>
        <w:pStyle w:val="BodyText"/>
      </w:pPr>
      <w:r w:rsidRPr="00BF206C">
        <w:rPr>
          <w:noProof/>
        </w:rPr>
        <w:drawing>
          <wp:inline distT="0" distB="0" distL="0" distR="0">
            <wp:extent cx="5692140" cy="60883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E5" w:rsidRDefault="00A26DE5" w:rsidP="00A26DE5">
      <w:r>
        <w:br w:type="page"/>
      </w:r>
    </w:p>
    <w:p w:rsidR="00A7259D" w:rsidRDefault="00A7259D" w:rsidP="00A7259D">
      <w:pPr>
        <w:pStyle w:val="BodyText"/>
        <w:spacing w:after="0"/>
        <w:jc w:val="right"/>
      </w:pPr>
      <w:r>
        <w:lastRenderedPageBreak/>
        <w:t>Attachment A</w:t>
      </w:r>
    </w:p>
    <w:p w:rsidR="00A7259D" w:rsidRDefault="00A7259D" w:rsidP="00A7259D">
      <w:pPr>
        <w:pStyle w:val="BodyText"/>
        <w:spacing w:after="0"/>
        <w:jc w:val="right"/>
      </w:pPr>
      <w:r>
        <w:t>Page 2 of 3</w:t>
      </w:r>
    </w:p>
    <w:p w:rsidR="00A7259D" w:rsidRDefault="00A7259D" w:rsidP="00A7259D">
      <w:pPr>
        <w:pStyle w:val="BodyText"/>
        <w:jc w:val="right"/>
      </w:pPr>
    </w:p>
    <w:p w:rsidR="00A7259D" w:rsidRDefault="00A7259D">
      <w:pPr>
        <w:pStyle w:val="BodyText"/>
      </w:pPr>
    </w:p>
    <w:p w:rsidR="00824E82" w:rsidRDefault="00A26DE5">
      <w:pPr>
        <w:pStyle w:val="BodyText"/>
      </w:pPr>
      <w:r w:rsidRPr="00A26DE5">
        <w:rPr>
          <w:noProof/>
        </w:rPr>
        <w:drawing>
          <wp:inline distT="0" distB="0" distL="0" distR="0">
            <wp:extent cx="5356860" cy="544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82" w:rsidRDefault="00824E82">
      <w:pPr>
        <w:pStyle w:val="BodyText"/>
      </w:pPr>
    </w:p>
    <w:p w:rsidR="00824E82" w:rsidRDefault="00824E82">
      <w:pPr>
        <w:pStyle w:val="BodyText"/>
      </w:pPr>
    </w:p>
    <w:p w:rsidR="00824E82" w:rsidRDefault="00824E82">
      <w:r>
        <w:br w:type="page"/>
      </w:r>
    </w:p>
    <w:p w:rsidR="00A7259D" w:rsidRDefault="00A7259D" w:rsidP="00A7259D">
      <w:pPr>
        <w:pStyle w:val="BodyText"/>
        <w:spacing w:after="0"/>
        <w:jc w:val="right"/>
      </w:pPr>
      <w:r>
        <w:lastRenderedPageBreak/>
        <w:t>Attachment A</w:t>
      </w:r>
    </w:p>
    <w:p w:rsidR="00A7259D" w:rsidRDefault="00A7259D" w:rsidP="00A7259D">
      <w:pPr>
        <w:pStyle w:val="BodyText"/>
        <w:spacing w:after="0"/>
        <w:jc w:val="right"/>
      </w:pPr>
      <w:r>
        <w:t>Page 3 of 3</w:t>
      </w:r>
    </w:p>
    <w:p w:rsidR="00824E82" w:rsidRDefault="00824E82">
      <w:pPr>
        <w:pStyle w:val="BodyText"/>
      </w:pPr>
    </w:p>
    <w:p w:rsidR="00824E82" w:rsidRDefault="00A26DE5">
      <w:pPr>
        <w:pStyle w:val="BodyText"/>
      </w:pPr>
      <w:r w:rsidRPr="00A26DE5">
        <w:rPr>
          <w:noProof/>
        </w:rPr>
        <w:drawing>
          <wp:inline distT="0" distB="0" distL="0" distR="0">
            <wp:extent cx="5356860" cy="6408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29" w:rsidRDefault="00AB5E29" w:rsidP="00E275D8">
      <w:pPr>
        <w:pStyle w:val="BodyText"/>
      </w:pPr>
    </w:p>
    <w:sectPr w:rsidR="00AB5E29" w:rsidSect="0068481F">
      <w:headerReference w:type="default" r:id="rId18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56" w:rsidRDefault="00B00356">
      <w:r>
        <w:separator/>
      </w:r>
    </w:p>
  </w:endnote>
  <w:endnote w:type="continuationSeparator" w:id="0">
    <w:p w:rsidR="00B00356" w:rsidRDefault="00B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3808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56" w:rsidRDefault="00B00356">
      <w:r>
        <w:separator/>
      </w:r>
    </w:p>
  </w:footnote>
  <w:footnote w:type="continuationSeparator" w:id="0">
    <w:p w:rsidR="00B00356" w:rsidRDefault="00B00356">
      <w:r>
        <w:continuationSeparator/>
      </w:r>
    </w:p>
  </w:footnote>
  <w:footnote w:id="1">
    <w:p w:rsidR="00B00356" w:rsidRPr="002F5726" w:rsidRDefault="00B00356" w:rsidP="00B00356">
      <w:pPr>
        <w:pStyle w:val="FootnoteText"/>
        <w:rPr>
          <w:u w:val="single"/>
        </w:rPr>
      </w:pPr>
      <w:r>
        <w:rPr>
          <w:rStyle w:val="FootnoteReference"/>
        </w:rPr>
        <w:footnoteRef/>
      </w:r>
      <w:r>
        <w:t xml:space="preserve"> Order No. </w:t>
      </w:r>
      <w:bookmarkStart w:id="14" w:name="OrderNo0511"/>
      <w:r>
        <w:t>PSC-16-0511-PCO-EI</w:t>
      </w:r>
      <w:bookmarkEnd w:id="14"/>
      <w:r>
        <w:t xml:space="preserve">, issued on November 9, 2016, in Docket No. 160186-EI, </w:t>
      </w:r>
      <w:r w:rsidRPr="00B00356">
        <w:rPr>
          <w:i/>
        </w:rPr>
        <w:t xml:space="preserve">In re: </w:t>
      </w:r>
      <w:bookmarkStart w:id="15" w:name="SSInRe"/>
      <w:bookmarkEnd w:id="15"/>
      <w:r w:rsidRPr="00B00356">
        <w:rPr>
          <w:i/>
        </w:rPr>
        <w:t>Petition for rate increase by Gulf Power Company</w:t>
      </w:r>
      <w:r>
        <w:t>; and</w:t>
      </w:r>
      <w:r w:rsidRPr="002F5726">
        <w:t xml:space="preserve"> Docket No. 160</w:t>
      </w:r>
      <w:r>
        <w:t>170</w:t>
      </w:r>
      <w:r w:rsidRPr="002F5726">
        <w:t xml:space="preserve">-EI, </w:t>
      </w:r>
      <w:r w:rsidRPr="00B00356">
        <w:rPr>
          <w:i/>
        </w:rPr>
        <w:t>In re: Petition for approval of 2016 depreciation and dismantlement studies, approval of proposed depreciation rates and annual dismantlement accruals and Plant Smith Units 1 and 2 regulatory asset amortization, by Gulf Power Company</w:t>
      </w:r>
      <w:r w:rsidRPr="00E1022E">
        <w:t>.</w:t>
      </w:r>
      <w:r>
        <w:rPr>
          <w:u w:val="single"/>
        </w:rPr>
        <w:t xml:space="preserve"> </w:t>
      </w:r>
    </w:p>
  </w:footnote>
  <w:footnote w:id="2">
    <w:p w:rsidR="00B00356" w:rsidRPr="00C11BAA" w:rsidRDefault="00B00356" w:rsidP="00B00356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“Order Acknowledging Intervention,” Order No. PSC-16-0466-PCO-EI, issued on October 14, 2016; and “Orders Granting Intervention,” Order No. PSC-16-0546-PCO-EI, issued on December 2, 2016; Order No. PSC-16-0550-PCO-EI, issued on December 8, 2016; Order No. PSC-16-0568-EI, issued on December 19, 2016; Order No. PSC-16-0585-PCO-EI, issued on December 30, 2016</w:t>
      </w:r>
      <w:r w:rsidR="00D37D0F">
        <w:t>;</w:t>
      </w:r>
      <w:r>
        <w:t xml:space="preserve"> Order No. PSC-17-0013-PCO-EI, issued on January 4, 2017, and Order No. PSC-17-0035-PCO-EI, issued on January 26, 2017, in Docket Nos. 160186-EI and 160170-EI</w:t>
      </w:r>
      <w:r w:rsidRPr="00E1022E">
        <w:t>.</w:t>
      </w:r>
    </w:p>
  </w:footnote>
  <w:footnote w:id="3">
    <w:p w:rsidR="00AB5E29" w:rsidRDefault="00AB5E29">
      <w:pPr>
        <w:pStyle w:val="FootnoteText"/>
      </w:pPr>
      <w:r>
        <w:rPr>
          <w:rStyle w:val="FootnoteReference"/>
        </w:rPr>
        <w:footnoteRef/>
      </w:r>
      <w:r>
        <w:t xml:space="preserve"> Document Nos. 03681-17 and 03713-17 (Stipulation and Settlement Agreement).</w:t>
      </w:r>
    </w:p>
  </w:footnote>
  <w:footnote w:id="4">
    <w:p w:rsidR="00AB5E29" w:rsidRDefault="00AB5E29">
      <w:pPr>
        <w:pStyle w:val="FootnoteText"/>
      </w:pPr>
      <w:r>
        <w:rPr>
          <w:rStyle w:val="FootnoteReference"/>
        </w:rPr>
        <w:footnoteRef/>
      </w:r>
      <w:r>
        <w:t xml:space="preserve"> Document Nos. 03712-17 (FIPUG) and 04013-17 (SACE).</w:t>
      </w:r>
    </w:p>
  </w:footnote>
  <w:footnote w:id="5">
    <w:p w:rsidR="00AB5E29" w:rsidRDefault="00AB5E29">
      <w:pPr>
        <w:pStyle w:val="FootnoteText"/>
      </w:pPr>
      <w:r>
        <w:rPr>
          <w:rStyle w:val="FootnoteReference"/>
        </w:rPr>
        <w:footnoteRef/>
      </w:r>
      <w:r>
        <w:t xml:space="preserve"> Document Nos. 03903-17 and 04225-17.</w:t>
      </w:r>
    </w:p>
  </w:footnote>
  <w:footnote w:id="6">
    <w:p w:rsidR="00582F81" w:rsidRDefault="00582F81">
      <w:pPr>
        <w:pStyle w:val="FootnoteText"/>
      </w:pPr>
      <w:r>
        <w:rPr>
          <w:rStyle w:val="FootnoteReference"/>
        </w:rPr>
        <w:footnoteRef/>
      </w:r>
      <w:r>
        <w:t xml:space="preserve"> Document No. </w:t>
      </w:r>
      <w:r w:rsidR="00D37D0F">
        <w:t>04386-17</w:t>
      </w:r>
      <w:r>
        <w:t>.</w:t>
      </w:r>
    </w:p>
  </w:footnote>
  <w:footnote w:id="7">
    <w:p w:rsidR="001C328A" w:rsidRDefault="001C328A">
      <w:pPr>
        <w:pStyle w:val="FootnoteText"/>
      </w:pPr>
      <w:r>
        <w:rPr>
          <w:rStyle w:val="FootnoteReference"/>
        </w:rPr>
        <w:footnoteRef/>
      </w:r>
      <w:r>
        <w:t xml:space="preserve"> Document No. 04264-17.</w:t>
      </w:r>
    </w:p>
  </w:footnote>
  <w:footnote w:id="8">
    <w:p w:rsidR="006C2D1F" w:rsidRDefault="006C2D1F" w:rsidP="006C2D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28A">
        <w:rPr>
          <w:u w:val="single"/>
        </w:rPr>
        <w:t>Id</w:t>
      </w:r>
      <w:r>
        <w:t>. at pgs 2-129.</w:t>
      </w:r>
    </w:p>
  </w:footnote>
  <w:footnote w:id="9">
    <w:p w:rsidR="006C2D1F" w:rsidRDefault="006C2D1F" w:rsidP="006C2D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28A">
        <w:rPr>
          <w:u w:val="single"/>
        </w:rPr>
        <w:t>Id</w:t>
      </w:r>
      <w:r>
        <w:t>. at pgs 130-163.</w:t>
      </w:r>
    </w:p>
  </w:footnote>
  <w:footnote w:id="10">
    <w:p w:rsidR="006C2D1F" w:rsidRDefault="006C2D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D1F">
        <w:rPr>
          <w:u w:val="single"/>
        </w:rPr>
        <w:t>Id</w:t>
      </w:r>
      <w:r>
        <w:t>. at pgs 164-166.</w:t>
      </w:r>
    </w:p>
  </w:footnote>
  <w:footnote w:id="11">
    <w:p w:rsidR="001C328A" w:rsidRDefault="001C32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DE5">
        <w:rPr>
          <w:u w:val="single"/>
        </w:rPr>
        <w:t>Id</w:t>
      </w:r>
      <w:r>
        <w:t>. at pgs 167-169.</w:t>
      </w:r>
    </w:p>
  </w:footnote>
  <w:footnote w:id="12">
    <w:p w:rsidR="00582F81" w:rsidRDefault="00582F81">
      <w:pPr>
        <w:pStyle w:val="FootnoteText"/>
      </w:pPr>
      <w:r>
        <w:rPr>
          <w:rStyle w:val="FootnoteReference"/>
        </w:rPr>
        <w:footnoteRef/>
      </w:r>
      <w:r>
        <w:t xml:space="preserve"> Document No. </w:t>
      </w:r>
      <w:r w:rsidR="00D37D0F">
        <w:t>04386-17.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B00356" w:rsidP="00220732">
    <w:pPr>
      <w:pStyle w:val="Header"/>
      <w:tabs>
        <w:tab w:val="clear" w:pos="4320"/>
        <w:tab w:val="clear" w:pos="8640"/>
        <w:tab w:val="right" w:pos="9360"/>
      </w:tabs>
    </w:pPr>
    <w:bookmarkStart w:id="16" w:name="DocketLabel"/>
    <w:r>
      <w:t>Docket No.</w:t>
    </w:r>
    <w:bookmarkEnd w:id="16"/>
    <w:r w:rsidR="00212B17">
      <w:t xml:space="preserve"> </w:t>
    </w:r>
    <w:bookmarkStart w:id="17" w:name="DocketList"/>
    <w:r>
      <w:t>160186-EI</w:t>
    </w:r>
    <w:bookmarkEnd w:id="17"/>
  </w:p>
  <w:p w:rsidR="00212B17" w:rsidRDefault="00212B17">
    <w:pPr>
      <w:pStyle w:val="Header"/>
    </w:pPr>
    <w:r>
      <w:t xml:space="preserve">Date: </w:t>
    </w:r>
    <w:fldSimple w:instr=" REF FilingDate ">
      <w:r w:rsidR="005A4A67">
        <w:t>April 28, 2017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5A4A67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5A4A67">
      <w:t>160186-EI</w:t>
    </w:r>
    <w:r>
      <w:fldChar w:fldCharType="end"/>
    </w:r>
    <w:r>
      <w:tab/>
      <w:t xml:space="preserve">Issue </w:t>
    </w:r>
    <w:fldSimple w:instr=" Seq Issue \c \* Arabic ">
      <w:r w:rsidR="00EC3808">
        <w:rPr>
          <w:noProof/>
        </w:rPr>
        <w:t>2</w:t>
      </w:r>
    </w:fldSimple>
  </w:p>
  <w:p w:rsidR="00212B17" w:rsidRDefault="00212B17">
    <w:pPr>
      <w:pStyle w:val="Header"/>
    </w:pPr>
    <w:r>
      <w:t xml:space="preserve">Date: </w:t>
    </w:r>
    <w:fldSimple w:instr=" REF FilingDate ">
      <w:r w:rsidR="005A4A67">
        <w:t>April 28, 2017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82" w:rsidRDefault="00824E82" w:rsidP="00824E82">
    <w:pPr>
      <w:pStyle w:val="Header"/>
      <w:tabs>
        <w:tab w:val="clear" w:pos="4320"/>
        <w:tab w:val="clear" w:pos="8640"/>
        <w:tab w:val="left" w:pos="756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5A4A67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5A4A67">
      <w:t>160186-EI</w:t>
    </w:r>
    <w:r>
      <w:fldChar w:fldCharType="end"/>
    </w:r>
    <w:r>
      <w:tab/>
    </w:r>
  </w:p>
  <w:p w:rsidR="00824E82" w:rsidRDefault="00824E82">
    <w:pPr>
      <w:pStyle w:val="Header"/>
    </w:pPr>
    <w:r>
      <w:t xml:space="preserve">Date: </w:t>
    </w:r>
    <w:fldSimple w:instr=" REF FilingDate ">
      <w:r w:rsidR="005A4A67">
        <w:t>April 28, 2017</w:t>
      </w:r>
    </w:fldSimple>
    <w:r>
      <w:tab/>
    </w:r>
    <w:r>
      <w:tab/>
      <w:t xml:space="preserve">  </w:t>
    </w:r>
    <w:r w:rsidR="00863E85"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05A65"/>
    <w:multiLevelType w:val="hybridMultilevel"/>
    <w:tmpl w:val="5168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1610B"/>
    <w:multiLevelType w:val="hybridMultilevel"/>
    <w:tmpl w:val="16DC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B00356"/>
    <w:rsid w:val="000043D5"/>
    <w:rsid w:val="00010E37"/>
    <w:rsid w:val="000172DA"/>
    <w:rsid w:val="000247C5"/>
    <w:rsid w:val="000277C2"/>
    <w:rsid w:val="00035B48"/>
    <w:rsid w:val="00036CE2"/>
    <w:rsid w:val="00040D7F"/>
    <w:rsid w:val="000437FE"/>
    <w:rsid w:val="000513BE"/>
    <w:rsid w:val="000617FF"/>
    <w:rsid w:val="00065A06"/>
    <w:rsid w:val="000666F3"/>
    <w:rsid w:val="00070DCB"/>
    <w:rsid w:val="00073120"/>
    <w:rsid w:val="000764D0"/>
    <w:rsid w:val="000828D3"/>
    <w:rsid w:val="000A2B57"/>
    <w:rsid w:val="000A418B"/>
    <w:rsid w:val="000C4431"/>
    <w:rsid w:val="000D1C06"/>
    <w:rsid w:val="000D4319"/>
    <w:rsid w:val="000D7C91"/>
    <w:rsid w:val="000F374A"/>
    <w:rsid w:val="00117C8C"/>
    <w:rsid w:val="00124E2E"/>
    <w:rsid w:val="00125ED4"/>
    <w:rsid w:val="001305E9"/>
    <w:rsid w:val="001307AF"/>
    <w:rsid w:val="001339C4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328A"/>
    <w:rsid w:val="001C52B5"/>
    <w:rsid w:val="001D0D3E"/>
    <w:rsid w:val="001F0333"/>
    <w:rsid w:val="001F2245"/>
    <w:rsid w:val="001F6DA1"/>
    <w:rsid w:val="00202FF0"/>
    <w:rsid w:val="002044E6"/>
    <w:rsid w:val="00205C82"/>
    <w:rsid w:val="00205DC2"/>
    <w:rsid w:val="00212B17"/>
    <w:rsid w:val="002163B6"/>
    <w:rsid w:val="00220732"/>
    <w:rsid w:val="00221D32"/>
    <w:rsid w:val="00225C3F"/>
    <w:rsid w:val="00253FA5"/>
    <w:rsid w:val="00263D44"/>
    <w:rsid w:val="002702AD"/>
    <w:rsid w:val="0029032B"/>
    <w:rsid w:val="00292D82"/>
    <w:rsid w:val="002963CB"/>
    <w:rsid w:val="002A62B4"/>
    <w:rsid w:val="002C2B62"/>
    <w:rsid w:val="002D226D"/>
    <w:rsid w:val="002F6030"/>
    <w:rsid w:val="003037E1"/>
    <w:rsid w:val="00307E51"/>
    <w:rsid w:val="003103EC"/>
    <w:rsid w:val="003144EF"/>
    <w:rsid w:val="00322F74"/>
    <w:rsid w:val="003321C1"/>
    <w:rsid w:val="00340073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B3366"/>
    <w:rsid w:val="003C2CC4"/>
    <w:rsid w:val="003E0EFC"/>
    <w:rsid w:val="003E4A2B"/>
    <w:rsid w:val="003E76C2"/>
    <w:rsid w:val="003F1679"/>
    <w:rsid w:val="003F4A35"/>
    <w:rsid w:val="003F7FDD"/>
    <w:rsid w:val="00402481"/>
    <w:rsid w:val="004027EF"/>
    <w:rsid w:val="004042B4"/>
    <w:rsid w:val="00405E0A"/>
    <w:rsid w:val="00412DAE"/>
    <w:rsid w:val="00431598"/>
    <w:rsid w:val="004319AD"/>
    <w:rsid w:val="004426B8"/>
    <w:rsid w:val="00444432"/>
    <w:rsid w:val="00453C5F"/>
    <w:rsid w:val="00471860"/>
    <w:rsid w:val="00482EF8"/>
    <w:rsid w:val="00492A6E"/>
    <w:rsid w:val="004A1CEF"/>
    <w:rsid w:val="004A2764"/>
    <w:rsid w:val="004B60BD"/>
    <w:rsid w:val="004C3150"/>
    <w:rsid w:val="004C3641"/>
    <w:rsid w:val="004C4390"/>
    <w:rsid w:val="004C4AF7"/>
    <w:rsid w:val="004C6118"/>
    <w:rsid w:val="004D2881"/>
    <w:rsid w:val="004D385F"/>
    <w:rsid w:val="004D5B39"/>
    <w:rsid w:val="004E330D"/>
    <w:rsid w:val="004E5147"/>
    <w:rsid w:val="004F1CFB"/>
    <w:rsid w:val="004F5C43"/>
    <w:rsid w:val="0050652D"/>
    <w:rsid w:val="00506C03"/>
    <w:rsid w:val="00511A11"/>
    <w:rsid w:val="00516496"/>
    <w:rsid w:val="0052572A"/>
    <w:rsid w:val="00543CB3"/>
    <w:rsid w:val="00552319"/>
    <w:rsid w:val="00560FF0"/>
    <w:rsid w:val="005614BD"/>
    <w:rsid w:val="0057154F"/>
    <w:rsid w:val="00581CA3"/>
    <w:rsid w:val="00582F81"/>
    <w:rsid w:val="00587A44"/>
    <w:rsid w:val="00597730"/>
    <w:rsid w:val="005977EC"/>
    <w:rsid w:val="00597DE7"/>
    <w:rsid w:val="005A4A67"/>
    <w:rsid w:val="005A4AA2"/>
    <w:rsid w:val="005B34B6"/>
    <w:rsid w:val="005B439D"/>
    <w:rsid w:val="005B6BF5"/>
    <w:rsid w:val="005B6C8F"/>
    <w:rsid w:val="005B6EC3"/>
    <w:rsid w:val="005C2829"/>
    <w:rsid w:val="005D0F74"/>
    <w:rsid w:val="005D2E7D"/>
    <w:rsid w:val="005D31D2"/>
    <w:rsid w:val="005D4A8F"/>
    <w:rsid w:val="005D561B"/>
    <w:rsid w:val="005D5ECF"/>
    <w:rsid w:val="005D625E"/>
    <w:rsid w:val="005F468D"/>
    <w:rsid w:val="005F69A3"/>
    <w:rsid w:val="0060125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1478"/>
    <w:rsid w:val="00632264"/>
    <w:rsid w:val="006470BC"/>
    <w:rsid w:val="006554D3"/>
    <w:rsid w:val="00657696"/>
    <w:rsid w:val="00657E07"/>
    <w:rsid w:val="00667036"/>
    <w:rsid w:val="00673BDB"/>
    <w:rsid w:val="006771B8"/>
    <w:rsid w:val="006843B6"/>
    <w:rsid w:val="0068481F"/>
    <w:rsid w:val="00696F5D"/>
    <w:rsid w:val="00697249"/>
    <w:rsid w:val="006B3947"/>
    <w:rsid w:val="006B4293"/>
    <w:rsid w:val="006B624F"/>
    <w:rsid w:val="006C2D1F"/>
    <w:rsid w:val="006C31E3"/>
    <w:rsid w:val="006D18D3"/>
    <w:rsid w:val="006E08CB"/>
    <w:rsid w:val="006E598D"/>
    <w:rsid w:val="0070437D"/>
    <w:rsid w:val="00704CF1"/>
    <w:rsid w:val="00705B04"/>
    <w:rsid w:val="00734820"/>
    <w:rsid w:val="007349DC"/>
    <w:rsid w:val="0074365E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D0F35"/>
    <w:rsid w:val="007D4772"/>
    <w:rsid w:val="007D4FEB"/>
    <w:rsid w:val="007D6146"/>
    <w:rsid w:val="007E0CE7"/>
    <w:rsid w:val="007F1193"/>
    <w:rsid w:val="007F417F"/>
    <w:rsid w:val="008042BD"/>
    <w:rsid w:val="00816624"/>
    <w:rsid w:val="00822427"/>
    <w:rsid w:val="00822562"/>
    <w:rsid w:val="00823663"/>
    <w:rsid w:val="00824E82"/>
    <w:rsid w:val="00832DDC"/>
    <w:rsid w:val="00842625"/>
    <w:rsid w:val="00850BAC"/>
    <w:rsid w:val="00854A3E"/>
    <w:rsid w:val="00855D08"/>
    <w:rsid w:val="00863E85"/>
    <w:rsid w:val="00864457"/>
    <w:rsid w:val="00874344"/>
    <w:rsid w:val="00882155"/>
    <w:rsid w:val="0088233B"/>
    <w:rsid w:val="0088599E"/>
    <w:rsid w:val="00886C37"/>
    <w:rsid w:val="00892D99"/>
    <w:rsid w:val="00897106"/>
    <w:rsid w:val="008B62AE"/>
    <w:rsid w:val="008C04B5"/>
    <w:rsid w:val="008C13E2"/>
    <w:rsid w:val="008C14FA"/>
    <w:rsid w:val="008D4057"/>
    <w:rsid w:val="008E1F19"/>
    <w:rsid w:val="008F2262"/>
    <w:rsid w:val="008F4870"/>
    <w:rsid w:val="008F7736"/>
    <w:rsid w:val="0090019E"/>
    <w:rsid w:val="00901086"/>
    <w:rsid w:val="00901C8A"/>
    <w:rsid w:val="00905886"/>
    <w:rsid w:val="009070D6"/>
    <w:rsid w:val="00907613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B22E2"/>
    <w:rsid w:val="009C3DB9"/>
    <w:rsid w:val="009C5039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6DE5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259D"/>
    <w:rsid w:val="00A7581F"/>
    <w:rsid w:val="00A92FB1"/>
    <w:rsid w:val="00A95A0C"/>
    <w:rsid w:val="00AA2765"/>
    <w:rsid w:val="00AA77B5"/>
    <w:rsid w:val="00AB5E29"/>
    <w:rsid w:val="00AB6C5D"/>
    <w:rsid w:val="00AC51A7"/>
    <w:rsid w:val="00AD444B"/>
    <w:rsid w:val="00AD6C78"/>
    <w:rsid w:val="00AE2EAB"/>
    <w:rsid w:val="00AF5F89"/>
    <w:rsid w:val="00AF73CB"/>
    <w:rsid w:val="00B002D6"/>
    <w:rsid w:val="00B00356"/>
    <w:rsid w:val="00B05B51"/>
    <w:rsid w:val="00B06F9B"/>
    <w:rsid w:val="00B105DD"/>
    <w:rsid w:val="00B14E5A"/>
    <w:rsid w:val="00B15370"/>
    <w:rsid w:val="00B16DA4"/>
    <w:rsid w:val="00B17BEB"/>
    <w:rsid w:val="00B219D9"/>
    <w:rsid w:val="00B21A3C"/>
    <w:rsid w:val="00B223C0"/>
    <w:rsid w:val="00B234ED"/>
    <w:rsid w:val="00B249B2"/>
    <w:rsid w:val="00B25CA3"/>
    <w:rsid w:val="00B2765A"/>
    <w:rsid w:val="00B57A6A"/>
    <w:rsid w:val="00B65E0B"/>
    <w:rsid w:val="00B760F1"/>
    <w:rsid w:val="00B7669E"/>
    <w:rsid w:val="00B77DA1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D0F48"/>
    <w:rsid w:val="00BF206C"/>
    <w:rsid w:val="00BF5010"/>
    <w:rsid w:val="00C03D5F"/>
    <w:rsid w:val="00C13791"/>
    <w:rsid w:val="00C31BB3"/>
    <w:rsid w:val="00C337D9"/>
    <w:rsid w:val="00C3585D"/>
    <w:rsid w:val="00C36977"/>
    <w:rsid w:val="00C467DA"/>
    <w:rsid w:val="00C477D9"/>
    <w:rsid w:val="00C60BA3"/>
    <w:rsid w:val="00C623F7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C75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12565"/>
    <w:rsid w:val="00D12673"/>
    <w:rsid w:val="00D14127"/>
    <w:rsid w:val="00D37D0F"/>
    <w:rsid w:val="00D60B16"/>
    <w:rsid w:val="00D60F02"/>
    <w:rsid w:val="00D66E49"/>
    <w:rsid w:val="00D70D71"/>
    <w:rsid w:val="00D72F74"/>
    <w:rsid w:val="00D77367"/>
    <w:rsid w:val="00D81563"/>
    <w:rsid w:val="00D85907"/>
    <w:rsid w:val="00D9073E"/>
    <w:rsid w:val="00D9172B"/>
    <w:rsid w:val="00D9221D"/>
    <w:rsid w:val="00D958DF"/>
    <w:rsid w:val="00D96DA1"/>
    <w:rsid w:val="00DA51E7"/>
    <w:rsid w:val="00DB1C78"/>
    <w:rsid w:val="00DB7D96"/>
    <w:rsid w:val="00DC02E2"/>
    <w:rsid w:val="00DC0689"/>
    <w:rsid w:val="00DC23FE"/>
    <w:rsid w:val="00DC2959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33E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B2DB3"/>
    <w:rsid w:val="00EC3808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304AD"/>
    <w:rsid w:val="00F32978"/>
    <w:rsid w:val="00F45CB2"/>
    <w:rsid w:val="00F544C0"/>
    <w:rsid w:val="00F55332"/>
    <w:rsid w:val="00F56024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2F29"/>
    <w:rsid w:val="00FD4FED"/>
    <w:rsid w:val="00FE0577"/>
    <w:rsid w:val="00FE59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uiPriority w:val="99"/>
    <w:rsid w:val="00B00356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B00356"/>
  </w:style>
  <w:style w:type="paragraph" w:customStyle="1" w:styleId="OrderBody">
    <w:name w:val="Order Body"/>
    <w:basedOn w:val="Normal"/>
    <w:link w:val="OrderBodyChar"/>
    <w:rsid w:val="00AB5E29"/>
    <w:pPr>
      <w:jc w:val="both"/>
    </w:pPr>
  </w:style>
  <w:style w:type="character" w:customStyle="1" w:styleId="OrderBodyChar">
    <w:name w:val="Order Body Char"/>
    <w:link w:val="OrderBody"/>
    <w:rsid w:val="00AB5E2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3E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uiPriority w:val="99"/>
    <w:rsid w:val="00B00356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B00356"/>
  </w:style>
  <w:style w:type="paragraph" w:customStyle="1" w:styleId="OrderBody">
    <w:name w:val="Order Body"/>
    <w:basedOn w:val="Normal"/>
    <w:link w:val="OrderBodyChar"/>
    <w:rsid w:val="00AB5E29"/>
    <w:pPr>
      <w:jc w:val="both"/>
    </w:pPr>
  </w:style>
  <w:style w:type="character" w:customStyle="1" w:styleId="OrderBodyChar">
    <w:name w:val="Order Body Char"/>
    <w:link w:val="OrderBody"/>
    <w:rsid w:val="00AB5E2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3E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7B71-D868-4953-96E6-4C8473E0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8</Pages>
  <Words>1111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Elisabeth Draper</dc:creator>
  <cp:lastModifiedBy>Jackie Colson</cp:lastModifiedBy>
  <cp:revision>2</cp:revision>
  <cp:lastPrinted>2017-04-25T14:55:00Z</cp:lastPrinted>
  <dcterms:created xsi:type="dcterms:W3CDTF">2017-04-26T13:35:00Z</dcterms:created>
  <dcterms:modified xsi:type="dcterms:W3CDTF">2017-04-26T13:35:00Z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160186-EI</vt:lpwstr>
  </property>
  <property fmtid="{D5CDD505-2E9C-101B-9397-08002B2CF9AE}" pid="3" name="MasterDocument">
    <vt:bool>false</vt:bool>
  </property>
</Properties>
</file>