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40F1D" w:rsidP="00D40F1D">
      <w:pPr>
        <w:pStyle w:val="OrderHeading"/>
      </w:pPr>
      <w:r>
        <w:t>BEFORE THE FLORIDA PUBLIC SERVICE COMMISSION</w:t>
      </w:r>
    </w:p>
    <w:p w:rsidR="00D40F1D" w:rsidRDefault="00D40F1D" w:rsidP="00D40F1D">
      <w:pPr>
        <w:pStyle w:val="OrderBody"/>
      </w:pPr>
    </w:p>
    <w:p w:rsidR="00D40F1D" w:rsidRDefault="00D40F1D" w:rsidP="00D40F1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40F1D" w:rsidRPr="00C63FCF" w:rsidTr="00BC6BDE">
        <w:trPr>
          <w:trHeight w:val="828"/>
        </w:trPr>
        <w:tc>
          <w:tcPr>
            <w:tcW w:w="4788" w:type="dxa"/>
            <w:tcBorders>
              <w:bottom w:val="single" w:sz="8" w:space="0" w:color="auto"/>
              <w:right w:val="double" w:sz="6" w:space="0" w:color="auto"/>
            </w:tcBorders>
            <w:shd w:val="clear" w:color="auto" w:fill="auto"/>
          </w:tcPr>
          <w:p w:rsidR="00D40F1D" w:rsidRDefault="00D40F1D" w:rsidP="00BC6BDE">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D40F1D" w:rsidRPr="00412481" w:rsidRDefault="00D40F1D" w:rsidP="00D40F1D">
            <w:pPr>
              <w:pStyle w:val="OrderBody"/>
            </w:pPr>
            <w:r w:rsidRPr="00412481">
              <w:t xml:space="preserve">DOCKET NO. </w:t>
            </w:r>
            <w:bookmarkStart w:id="1" w:name="SSDocketNo"/>
            <w:bookmarkEnd w:id="1"/>
            <w:r w:rsidR="00412481" w:rsidRPr="00412481">
              <w:t>20210001</w:t>
            </w:r>
            <w:r w:rsidRPr="00412481">
              <w:t>-EI</w:t>
            </w:r>
          </w:p>
          <w:p w:rsidR="00D40F1D" w:rsidRDefault="00D40F1D" w:rsidP="00BC6BDE">
            <w:pPr>
              <w:pStyle w:val="OrderBody"/>
              <w:tabs>
                <w:tab w:val="center" w:pos="4320"/>
                <w:tab w:val="right" w:pos="8640"/>
              </w:tabs>
              <w:jc w:val="left"/>
            </w:pPr>
            <w:r>
              <w:t xml:space="preserve">ORDER NO. </w:t>
            </w:r>
            <w:bookmarkStart w:id="2" w:name="OrderNo0024"/>
            <w:r w:rsidR="00412481">
              <w:t>PSC-2021-0024-FOF-EI</w:t>
            </w:r>
            <w:bookmarkEnd w:id="2"/>
          </w:p>
          <w:p w:rsidR="00D40F1D" w:rsidRDefault="00D40F1D" w:rsidP="00BC6BDE">
            <w:pPr>
              <w:pStyle w:val="OrderBody"/>
              <w:tabs>
                <w:tab w:val="center" w:pos="4320"/>
                <w:tab w:val="right" w:pos="8640"/>
              </w:tabs>
              <w:jc w:val="left"/>
            </w:pPr>
            <w:r>
              <w:t xml:space="preserve">ISSUED: </w:t>
            </w:r>
            <w:r w:rsidR="00412481">
              <w:t>January 6, 2021</w:t>
            </w:r>
          </w:p>
        </w:tc>
      </w:tr>
    </w:tbl>
    <w:p w:rsidR="00D40F1D" w:rsidRDefault="00D40F1D" w:rsidP="00D40F1D"/>
    <w:p w:rsidR="00D40F1D" w:rsidRDefault="00D40F1D" w:rsidP="00B67A43">
      <w:pPr>
        <w:ind w:firstLine="720"/>
        <w:jc w:val="both"/>
      </w:pPr>
      <w:bookmarkStart w:id="3" w:name="Commissioners"/>
      <w:bookmarkEnd w:id="3"/>
      <w:r>
        <w:t>The following Commissioners participated in the disposition of this matter:</w:t>
      </w:r>
    </w:p>
    <w:p w:rsidR="00D40F1D" w:rsidRDefault="00D40F1D" w:rsidP="00B67A43"/>
    <w:p w:rsidR="00D40F1D" w:rsidRDefault="00D40F1D" w:rsidP="00B67A43">
      <w:pPr>
        <w:jc w:val="center"/>
      </w:pPr>
      <w:r>
        <w:t>GARY F. CLARK, Chairman</w:t>
      </w:r>
    </w:p>
    <w:p w:rsidR="00D40F1D" w:rsidRDefault="00D40F1D" w:rsidP="00B67A43">
      <w:pPr>
        <w:jc w:val="center"/>
      </w:pPr>
      <w:r>
        <w:t>ART GRAHAM</w:t>
      </w:r>
    </w:p>
    <w:p w:rsidR="00D40F1D" w:rsidRDefault="00D40F1D" w:rsidP="00B67A43">
      <w:pPr>
        <w:jc w:val="center"/>
      </w:pPr>
      <w:r>
        <w:t>JULIE I. BROWN</w:t>
      </w:r>
    </w:p>
    <w:p w:rsidR="00D40F1D" w:rsidRDefault="00D40F1D" w:rsidP="00B67A43">
      <w:pPr>
        <w:jc w:val="center"/>
      </w:pPr>
      <w:r>
        <w:t>DONALD J. POLMANN</w:t>
      </w:r>
    </w:p>
    <w:p w:rsidR="00D40F1D" w:rsidRDefault="00D40F1D" w:rsidP="00B67A43">
      <w:pPr>
        <w:jc w:val="center"/>
      </w:pPr>
      <w:r>
        <w:t>ANDREW GILES FAY</w:t>
      </w:r>
    </w:p>
    <w:p w:rsidR="00D40F1D" w:rsidRDefault="00D40F1D" w:rsidP="00B67A43">
      <w:pPr>
        <w:jc w:val="center"/>
      </w:pPr>
    </w:p>
    <w:p w:rsidR="00D40F1D" w:rsidRDefault="00D40F1D" w:rsidP="00D40F1D">
      <w:pPr>
        <w:pStyle w:val="CenterUnderline"/>
      </w:pPr>
      <w:r>
        <w:t>FINAL ORDER</w:t>
      </w:r>
      <w:bookmarkStart w:id="4" w:name="OrderTitle"/>
      <w:r>
        <w:t xml:space="preserve"> APPROVING DUKE ENERGY FLORIDA, LLC’S EXPENDITURES</w:t>
      </w:r>
    </w:p>
    <w:p w:rsidR="00D40F1D" w:rsidRDefault="00D40F1D" w:rsidP="00D40F1D">
      <w:pPr>
        <w:pStyle w:val="CenterUnderline"/>
      </w:pPr>
      <w:r>
        <w:t xml:space="preserve">AND TRUE-UP AMOUNTS FOR FUEL ADJUSTMENT FACTORS; GPIF TARGETS, RANGES, AND REWARDS; AND PROJECTED EXPENDITURES AND TRUE-UP AMOUNTS FOR CAPACITY COST RECOVERY FACTORS </w:t>
      </w:r>
    </w:p>
    <w:p w:rsidR="00D40F1D" w:rsidRDefault="00D40F1D" w:rsidP="00D40F1D">
      <w:pPr>
        <w:pStyle w:val="CenterUnderline"/>
      </w:pPr>
      <w:r>
        <w:t xml:space="preserve"> </w:t>
      </w:r>
      <w:bookmarkEnd w:id="4"/>
    </w:p>
    <w:p w:rsidR="00D40F1D" w:rsidRPr="0004473B" w:rsidRDefault="00D40F1D" w:rsidP="00D40F1D">
      <w:pPr>
        <w:pStyle w:val="CenterUnderline"/>
        <w:jc w:val="both"/>
        <w:rPr>
          <w:u w:val="none"/>
        </w:rPr>
      </w:pPr>
      <w:r w:rsidRPr="0004473B">
        <w:rPr>
          <w:u w:val="none"/>
        </w:rPr>
        <w:t>APPEARANCES:</w:t>
      </w:r>
    </w:p>
    <w:p w:rsidR="00D40F1D" w:rsidRDefault="00D40F1D" w:rsidP="00D40F1D">
      <w:pPr>
        <w:pStyle w:val="CenterUnderline"/>
        <w:jc w:val="both"/>
      </w:pPr>
    </w:p>
    <w:p w:rsidR="00D40F1D" w:rsidRDefault="00D40F1D" w:rsidP="00D40F1D">
      <w:pPr>
        <w:ind w:left="1440"/>
        <w:jc w:val="both"/>
      </w:pPr>
      <w:r w:rsidRPr="00503582">
        <w:t xml:space="preserve">MATTHEW BERNIER, </w:t>
      </w:r>
      <w:r>
        <w:t xml:space="preserve">ESQUIRE, </w:t>
      </w:r>
      <w:r w:rsidRPr="00503582">
        <w:t>106 East College Avenue, Tallahassee, Florida 32301-7740</w:t>
      </w:r>
      <w:r>
        <w:t xml:space="preserve">; and </w:t>
      </w:r>
      <w:r w:rsidRPr="00503582">
        <w:t>DIANNE M. TRIPLETT,</w:t>
      </w:r>
      <w:r>
        <w:t xml:space="preserve"> ESQUIRE</w:t>
      </w:r>
      <w:r w:rsidRPr="00503582">
        <w:t>,</w:t>
      </w:r>
      <w:r>
        <w:t xml:space="preserve"> 299 First Avenue North, St. Petersburg, Florida 33701</w:t>
      </w:r>
    </w:p>
    <w:p w:rsidR="00D40F1D" w:rsidRPr="00503582" w:rsidRDefault="00D40F1D" w:rsidP="00D40F1D">
      <w:pPr>
        <w:ind w:left="720" w:firstLine="720"/>
        <w:jc w:val="both"/>
      </w:pPr>
      <w:r w:rsidRPr="00503582">
        <w:rPr>
          <w:u w:val="single"/>
        </w:rPr>
        <w:t>On beh</w:t>
      </w:r>
      <w:r>
        <w:rPr>
          <w:u w:val="single"/>
        </w:rPr>
        <w:t>alf of Duke Energy Florida, LLC</w:t>
      </w:r>
      <w:r w:rsidRPr="00503582">
        <w:rPr>
          <w:u w:val="single"/>
        </w:rPr>
        <w:t xml:space="preserve"> (DEF)</w:t>
      </w:r>
    </w:p>
    <w:p w:rsidR="00D40F1D" w:rsidRDefault="00D40F1D" w:rsidP="00D40F1D">
      <w:pPr>
        <w:jc w:val="both"/>
        <w:rPr>
          <w:caps/>
        </w:rPr>
      </w:pPr>
    </w:p>
    <w:p w:rsidR="00D40F1D" w:rsidRPr="00503582" w:rsidRDefault="00D40F1D" w:rsidP="00D40F1D">
      <w:pPr>
        <w:ind w:left="1440"/>
        <w:jc w:val="both"/>
      </w:pPr>
      <w:r w:rsidRPr="00503582">
        <w:t>MARIA J. MONCADA</w:t>
      </w:r>
      <w:r>
        <w:t xml:space="preserve">, WADE R. LITCHFIELD, and DAVID M. LEE, </w:t>
      </w:r>
      <w:r w:rsidRPr="00503582">
        <w:t>ESQUIRE</w:t>
      </w:r>
      <w:r>
        <w:t>S</w:t>
      </w:r>
      <w:r w:rsidRPr="00503582">
        <w:t>, Florida Power &amp; Light Company, 700 Universe Boulevard, Juno Beach, Florida 33408-0420</w:t>
      </w:r>
    </w:p>
    <w:p w:rsidR="00D40F1D" w:rsidRPr="00503582" w:rsidRDefault="00D40F1D" w:rsidP="00D40F1D">
      <w:pPr>
        <w:ind w:left="1440"/>
        <w:jc w:val="both"/>
        <w:rPr>
          <w:u w:val="single"/>
        </w:rPr>
      </w:pPr>
      <w:r w:rsidRPr="00503582">
        <w:rPr>
          <w:u w:val="single"/>
        </w:rPr>
        <w:t>On behalf of Florida Power &amp; Light Company (FPL)</w:t>
      </w:r>
    </w:p>
    <w:p w:rsidR="00D40F1D" w:rsidRPr="00503582" w:rsidRDefault="00D40F1D" w:rsidP="00D40F1D">
      <w:pPr>
        <w:jc w:val="both"/>
      </w:pPr>
    </w:p>
    <w:p w:rsidR="00D40F1D" w:rsidRPr="00503582" w:rsidRDefault="00D40F1D" w:rsidP="00D40F1D">
      <w:pPr>
        <w:ind w:left="1440"/>
        <w:jc w:val="both"/>
      </w:pPr>
      <w:r w:rsidRPr="00503582">
        <w:t>BETH KEATING, ESQUIRE, Gunster, Yoakley &amp; Stewart, P.A., 215 South Monroe St., Suite 601, Tallahassee, Florida 32301</w:t>
      </w:r>
    </w:p>
    <w:p w:rsidR="00D40F1D" w:rsidRPr="00503582" w:rsidRDefault="00D40F1D" w:rsidP="00D40F1D">
      <w:pPr>
        <w:jc w:val="both"/>
        <w:rPr>
          <w:u w:val="single"/>
        </w:rPr>
      </w:pPr>
      <w:r w:rsidRPr="00503582">
        <w:tab/>
      </w:r>
      <w:r w:rsidRPr="00503582">
        <w:tab/>
      </w:r>
      <w:r w:rsidRPr="00503582">
        <w:rPr>
          <w:u w:val="single"/>
        </w:rPr>
        <w:t>On behalf of Florida Public Utilities Company (FPUC)</w:t>
      </w:r>
    </w:p>
    <w:p w:rsidR="00D40F1D" w:rsidRPr="00503582" w:rsidRDefault="00D40F1D" w:rsidP="00D40F1D">
      <w:pPr>
        <w:jc w:val="both"/>
      </w:pPr>
    </w:p>
    <w:p w:rsidR="00D40F1D" w:rsidRPr="00503582" w:rsidRDefault="00D40F1D" w:rsidP="00D40F1D">
      <w:pPr>
        <w:ind w:left="1440" w:hanging="1440"/>
        <w:jc w:val="both"/>
      </w:pPr>
      <w:r w:rsidRPr="00503582">
        <w:tab/>
        <w:t>RUSSELL A. BADDERS</w:t>
      </w:r>
      <w:r>
        <w:t>, ESQUIRE, Gulf Power Company, One Energy Place, Pensacola, Florida 32520;</w:t>
      </w:r>
      <w:r w:rsidRPr="00503582">
        <w:t xml:space="preserve"> and MARIA J. MONCADA</w:t>
      </w:r>
      <w:r>
        <w:t xml:space="preserve">, ESQUIRE, </w:t>
      </w:r>
      <w:r w:rsidRPr="00503582">
        <w:t>Florida Power &amp; Light Company, 700 Universe Boulevard, Juno Beach, Florida 33408-0420</w:t>
      </w:r>
    </w:p>
    <w:p w:rsidR="00D40F1D" w:rsidRPr="00503582" w:rsidRDefault="00D40F1D" w:rsidP="00D40F1D">
      <w:pPr>
        <w:ind w:left="1440" w:hanging="1440"/>
        <w:jc w:val="both"/>
        <w:rPr>
          <w:u w:val="single"/>
        </w:rPr>
      </w:pPr>
      <w:r w:rsidRPr="00503582">
        <w:tab/>
      </w:r>
      <w:r w:rsidRPr="00503582">
        <w:rPr>
          <w:u w:val="single"/>
        </w:rPr>
        <w:t>On behalf of Gulf Power Company (G</w:t>
      </w:r>
      <w:r>
        <w:rPr>
          <w:u w:val="single"/>
        </w:rPr>
        <w:t>ulf</w:t>
      </w:r>
      <w:r w:rsidRPr="00503582">
        <w:rPr>
          <w:u w:val="single"/>
        </w:rPr>
        <w:t>)</w:t>
      </w:r>
    </w:p>
    <w:p w:rsidR="00D40F1D" w:rsidRPr="00503582" w:rsidRDefault="00D40F1D" w:rsidP="00D40F1D">
      <w:pPr>
        <w:jc w:val="both"/>
      </w:pPr>
    </w:p>
    <w:p w:rsidR="00D40F1D" w:rsidRPr="00503582" w:rsidRDefault="00D40F1D" w:rsidP="00D40F1D">
      <w:pPr>
        <w:ind w:left="1440" w:hanging="1440"/>
        <w:jc w:val="both"/>
        <w:rPr>
          <w:rFonts w:cs="Arial"/>
          <w:spacing w:val="-3"/>
        </w:rPr>
      </w:pPr>
      <w:r w:rsidRPr="00503582">
        <w:tab/>
      </w:r>
      <w:r w:rsidRPr="00503582">
        <w:rPr>
          <w:rFonts w:cs="Arial"/>
          <w:spacing w:val="-3"/>
        </w:rPr>
        <w:t>JAMES D. BEASLEY</w:t>
      </w:r>
      <w:r>
        <w:rPr>
          <w:rFonts w:cs="Arial"/>
          <w:spacing w:val="-3"/>
        </w:rPr>
        <w:t>,</w:t>
      </w:r>
      <w:r>
        <w:t xml:space="preserve"> MALCOLM N. MEANS, </w:t>
      </w:r>
      <w:r>
        <w:rPr>
          <w:rFonts w:cs="Arial"/>
          <w:spacing w:val="-3"/>
        </w:rPr>
        <w:t xml:space="preserve">and </w:t>
      </w:r>
      <w:r w:rsidRPr="00503582">
        <w:rPr>
          <w:rFonts w:cs="Arial"/>
          <w:spacing w:val="-3"/>
        </w:rPr>
        <w:t>J. JEFFRY WAHLEN</w:t>
      </w:r>
      <w:r>
        <w:rPr>
          <w:rFonts w:cs="Arial"/>
          <w:spacing w:val="-3"/>
        </w:rPr>
        <w:t>,</w:t>
      </w:r>
      <w:r w:rsidRPr="00503582">
        <w:rPr>
          <w:rFonts w:cs="Arial"/>
          <w:spacing w:val="-3"/>
        </w:rPr>
        <w:t xml:space="preserve"> </w:t>
      </w:r>
      <w:r>
        <w:rPr>
          <w:rFonts w:cs="Arial"/>
          <w:spacing w:val="-3"/>
        </w:rPr>
        <w:t xml:space="preserve"> </w:t>
      </w:r>
      <w:r w:rsidRPr="00503582">
        <w:rPr>
          <w:rFonts w:cs="Arial"/>
          <w:spacing w:val="-3"/>
        </w:rPr>
        <w:t>ESQUIRES, Ausley McMullen, Post Office Box 391, Tallahassee, Florida 32302</w:t>
      </w:r>
    </w:p>
    <w:p w:rsidR="00D40F1D" w:rsidRPr="00503582" w:rsidRDefault="00D40F1D" w:rsidP="00D40F1D">
      <w:pPr>
        <w:ind w:left="1440" w:hanging="1440"/>
        <w:jc w:val="both"/>
        <w:rPr>
          <w:rFonts w:cs="Arial"/>
          <w:spacing w:val="-3"/>
        </w:rPr>
      </w:pPr>
      <w:r w:rsidRPr="00503582">
        <w:rPr>
          <w:rFonts w:cs="Arial"/>
          <w:spacing w:val="-3"/>
        </w:rPr>
        <w:tab/>
      </w:r>
      <w:r w:rsidRPr="00503582">
        <w:rPr>
          <w:rFonts w:cs="Arial"/>
          <w:spacing w:val="-3"/>
          <w:u w:val="single"/>
        </w:rPr>
        <w:t>On behalf of Tampa Electric Company (TECO)</w:t>
      </w:r>
    </w:p>
    <w:p w:rsidR="00D40F1D" w:rsidRPr="00503582" w:rsidRDefault="00D40F1D" w:rsidP="00D40F1D">
      <w:pPr>
        <w:ind w:left="1440" w:hanging="1440"/>
        <w:jc w:val="both"/>
        <w:rPr>
          <w:rFonts w:cs="Arial"/>
          <w:spacing w:val="-3"/>
        </w:rPr>
      </w:pPr>
    </w:p>
    <w:p w:rsidR="00CB5276" w:rsidRDefault="00CB5276">
      <w:pPr>
        <w:pStyle w:val="OrderBody"/>
      </w:pPr>
    </w:p>
    <w:p w:rsidR="00D40F1D" w:rsidRPr="00503582" w:rsidRDefault="00D40F1D" w:rsidP="00D40F1D">
      <w:pPr>
        <w:ind w:left="1440" w:hanging="1440"/>
        <w:jc w:val="both"/>
      </w:pPr>
      <w:r>
        <w:rPr>
          <w:rFonts w:cs="Arial"/>
          <w:spacing w:val="-3"/>
        </w:rPr>
        <w:lastRenderedPageBreak/>
        <w:tab/>
      </w:r>
      <w:r w:rsidRPr="00503582">
        <w:rPr>
          <w:rFonts w:cs="Arial"/>
          <w:spacing w:val="-3"/>
        </w:rPr>
        <w:t>J.R. KELLY,</w:t>
      </w:r>
      <w:r>
        <w:rPr>
          <w:rFonts w:cs="Arial"/>
          <w:spacing w:val="-3"/>
        </w:rPr>
        <w:t xml:space="preserve"> PUBLIC COUNSEL; </w:t>
      </w:r>
      <w:r w:rsidRPr="00503582">
        <w:t>CHARLES REHWINKEL</w:t>
      </w:r>
      <w:r>
        <w:t xml:space="preserve">, DEPUTY PUBLIC COUNSEL; </w:t>
      </w:r>
      <w:r w:rsidRPr="004A6555">
        <w:t>PATRICIA A. CHRISTENSEN</w:t>
      </w:r>
      <w:r>
        <w:t>,</w:t>
      </w:r>
      <w:r w:rsidRPr="00F67112">
        <w:t xml:space="preserve"> </w:t>
      </w:r>
      <w:r>
        <w:t xml:space="preserve">STEPHANIE MORSE, A. MIREILLE FALL-FRY, and THOMAS A. DAVID, </w:t>
      </w:r>
      <w:r w:rsidRPr="00503582">
        <w:t>ESQUIRES, Office of Public Counsel, c/o The Florida Legislature, 111 West Madison Street, Room 812, Tallahassee, Florida 32399-1400</w:t>
      </w:r>
    </w:p>
    <w:p w:rsidR="00D40F1D" w:rsidRPr="00503582" w:rsidRDefault="00D40F1D" w:rsidP="00D40F1D">
      <w:pPr>
        <w:ind w:left="1440" w:hanging="1440"/>
        <w:jc w:val="both"/>
      </w:pPr>
      <w:r w:rsidRPr="00503582">
        <w:tab/>
      </w:r>
      <w:r w:rsidRPr="00503582">
        <w:rPr>
          <w:u w:val="single"/>
        </w:rPr>
        <w:t>On behalf of the Citizens of the State of Florida (OPC)</w:t>
      </w:r>
    </w:p>
    <w:p w:rsidR="00D40F1D" w:rsidRPr="00503582" w:rsidRDefault="00D40F1D" w:rsidP="00D40F1D">
      <w:pPr>
        <w:jc w:val="both"/>
      </w:pPr>
    </w:p>
    <w:p w:rsidR="00D40F1D" w:rsidRPr="00503582" w:rsidRDefault="00D40F1D" w:rsidP="00D40F1D">
      <w:pPr>
        <w:ind w:left="1440" w:hanging="1440"/>
        <w:jc w:val="both"/>
        <w:rPr>
          <w:bCs/>
        </w:rPr>
      </w:pPr>
      <w:r w:rsidRPr="00503582">
        <w:rPr>
          <w:rFonts w:cs="Arial"/>
          <w:spacing w:val="-3"/>
        </w:rPr>
        <w:tab/>
      </w:r>
      <w:r w:rsidRPr="00503582">
        <w:rPr>
          <w:bCs/>
        </w:rPr>
        <w:t xml:space="preserve">JON C. MOYLE, JR. and KAREN </w:t>
      </w:r>
      <w:r>
        <w:rPr>
          <w:bCs/>
        </w:rPr>
        <w:t xml:space="preserve">A. </w:t>
      </w:r>
      <w:r w:rsidRPr="00503582">
        <w:rPr>
          <w:bCs/>
        </w:rPr>
        <w:t>PUTNAL, ESQUIRES, Moyle Law Firm, PA, The Perkins House, 118 North Gadsden Street, Tallahassee, Florida 32301</w:t>
      </w:r>
    </w:p>
    <w:p w:rsidR="00D40F1D" w:rsidRPr="00503582" w:rsidRDefault="00D40F1D" w:rsidP="00D40F1D">
      <w:pPr>
        <w:ind w:left="1440" w:hanging="1440"/>
        <w:jc w:val="both"/>
        <w:rPr>
          <w:u w:val="single"/>
        </w:rPr>
      </w:pPr>
      <w:r w:rsidRPr="00503582">
        <w:rPr>
          <w:bCs/>
        </w:rPr>
        <w:tab/>
      </w:r>
      <w:r w:rsidRPr="00503582">
        <w:rPr>
          <w:bCs/>
          <w:u w:val="single"/>
        </w:rPr>
        <w:t>On behalf of the Florida Industrial Power Users Group (FIPUG)</w:t>
      </w:r>
    </w:p>
    <w:p w:rsidR="00D40F1D" w:rsidRPr="00503582" w:rsidRDefault="00D40F1D" w:rsidP="00D40F1D">
      <w:pPr>
        <w:jc w:val="both"/>
      </w:pPr>
    </w:p>
    <w:p w:rsidR="00D40F1D" w:rsidRPr="00503582" w:rsidRDefault="00D40F1D" w:rsidP="00D40F1D">
      <w:pPr>
        <w:ind w:left="1440" w:hanging="1440"/>
        <w:jc w:val="both"/>
      </w:pPr>
      <w:r w:rsidRPr="00503582">
        <w:tab/>
        <w:t>JAMES W. BREW</w:t>
      </w:r>
      <w:r w:rsidRPr="00503582">
        <w:rPr>
          <w:caps/>
        </w:rPr>
        <w:t xml:space="preserve"> </w:t>
      </w:r>
      <w:r w:rsidRPr="00503582">
        <w:t xml:space="preserve">and LAURA </w:t>
      </w:r>
      <w:r>
        <w:t>WYNN</w:t>
      </w:r>
      <w:r w:rsidRPr="00503582">
        <w:t xml:space="preserve"> </w:t>
      </w:r>
      <w:r>
        <w:t>BAKER</w:t>
      </w:r>
      <w:r w:rsidRPr="00503582">
        <w:t>, ESQUIRES, Stone Mattheis Xenopoulos &amp; Brew, PC, 1025 Thomas Jefferson St., NW, Eighth Floor, West Tower, Washington, DC 20007</w:t>
      </w:r>
    </w:p>
    <w:p w:rsidR="00D40F1D" w:rsidRPr="00503582" w:rsidRDefault="00D40F1D" w:rsidP="00D40F1D">
      <w:pPr>
        <w:ind w:left="1440" w:hanging="1440"/>
        <w:jc w:val="both"/>
      </w:pPr>
      <w:r w:rsidRPr="00503582">
        <w:tab/>
      </w:r>
      <w:r w:rsidRPr="00503582">
        <w:rPr>
          <w:u w:val="single"/>
        </w:rPr>
        <w:t>On behalf of White Springs Agricultural Chemicals, Inc. d/b/a PCS Phosphate – White Springs (PCS Phosphate)</w:t>
      </w:r>
    </w:p>
    <w:p w:rsidR="00D40F1D" w:rsidRPr="00503582" w:rsidRDefault="00D40F1D" w:rsidP="00D40F1D">
      <w:pPr>
        <w:jc w:val="both"/>
      </w:pPr>
      <w:r w:rsidRPr="00503582">
        <w:tab/>
      </w:r>
      <w:r w:rsidRPr="00503582">
        <w:tab/>
      </w:r>
    </w:p>
    <w:p w:rsidR="00D40F1D" w:rsidRPr="00503582" w:rsidRDefault="00D40F1D" w:rsidP="00D40F1D">
      <w:pPr>
        <w:ind w:left="1440"/>
        <w:jc w:val="both"/>
      </w:pPr>
      <w:r w:rsidRPr="00503582">
        <w:t>SUZANNE BROWNLESS, ESQUIRE, Florida Public Service Commission, 2540 Shumard Oak Boulevard, Tallahassee, Florida 32399-0850</w:t>
      </w:r>
    </w:p>
    <w:p w:rsidR="00D40F1D" w:rsidRPr="00503582" w:rsidRDefault="00D40F1D" w:rsidP="00D40F1D">
      <w:pPr>
        <w:ind w:left="720" w:firstLine="720"/>
        <w:jc w:val="both"/>
      </w:pPr>
      <w:r w:rsidRPr="00503582">
        <w:rPr>
          <w:u w:val="single"/>
        </w:rPr>
        <w:t>On behalf of the Florida Public Service Commission (Staff)</w:t>
      </w:r>
    </w:p>
    <w:p w:rsidR="00D40F1D" w:rsidRPr="00701945" w:rsidRDefault="00D40F1D" w:rsidP="00D40F1D">
      <w:pPr>
        <w:jc w:val="center"/>
        <w:rPr>
          <w:b/>
          <w:bCs/>
          <w:u w:val="single"/>
        </w:rPr>
      </w:pPr>
    </w:p>
    <w:p w:rsidR="00D40F1D" w:rsidRPr="00701945" w:rsidRDefault="00D40F1D" w:rsidP="00D40F1D">
      <w:pPr>
        <w:ind w:left="1440"/>
        <w:jc w:val="both"/>
      </w:pPr>
      <w:r>
        <w:t xml:space="preserve">MARY ANNE HELTON, ESQUIRE, Deputy General Counsel, </w:t>
      </w:r>
      <w:r w:rsidRPr="00701945">
        <w:t>Florida Public Service Commission, 2540 Shumard Oak Boulevard, Tallahassee, Florida 32399-0850</w:t>
      </w:r>
    </w:p>
    <w:p w:rsidR="00D40F1D" w:rsidRPr="00701945" w:rsidRDefault="00D40F1D" w:rsidP="00D40F1D">
      <w:pPr>
        <w:ind w:left="720" w:firstLine="720"/>
        <w:jc w:val="both"/>
      </w:pPr>
      <w:r>
        <w:rPr>
          <w:u w:val="single"/>
        </w:rPr>
        <w:t>Advisor to the</w:t>
      </w:r>
      <w:r w:rsidRPr="00701945">
        <w:rPr>
          <w:u w:val="single"/>
        </w:rPr>
        <w:t xml:space="preserve"> Florida Public Service Commission</w:t>
      </w:r>
    </w:p>
    <w:p w:rsidR="00D40F1D" w:rsidRDefault="00D40F1D" w:rsidP="00D40F1D">
      <w:pPr>
        <w:ind w:left="1440"/>
        <w:jc w:val="both"/>
        <w:rPr>
          <w:caps/>
        </w:rPr>
      </w:pPr>
    </w:p>
    <w:p w:rsidR="00D40F1D" w:rsidRPr="00503582" w:rsidRDefault="00D40F1D" w:rsidP="00D40F1D">
      <w:pPr>
        <w:ind w:left="1440"/>
        <w:jc w:val="both"/>
      </w:pPr>
      <w:r w:rsidRPr="00503582">
        <w:rPr>
          <w:caps/>
        </w:rPr>
        <w:t>Keith hetrick</w:t>
      </w:r>
      <w:r w:rsidRPr="00503582">
        <w:t>, ESQUIRE, General Counsel, Florida Public Service Commission, 2540 Shumard Oak Boulevard, Tallahassee, Florida 32399-0850</w:t>
      </w:r>
    </w:p>
    <w:p w:rsidR="00D40F1D" w:rsidRDefault="00D40F1D" w:rsidP="00D40F1D">
      <w:pPr>
        <w:pStyle w:val="CenterUnderline"/>
        <w:jc w:val="both"/>
      </w:pPr>
      <w:r>
        <w:rPr>
          <w:u w:val="none"/>
        </w:rPr>
        <w:tab/>
      </w:r>
      <w:r>
        <w:rPr>
          <w:u w:val="none"/>
        </w:rPr>
        <w:tab/>
      </w:r>
      <w:r w:rsidRPr="00503582">
        <w:t>Florida Public Service Commission General Counsel</w:t>
      </w:r>
    </w:p>
    <w:p w:rsidR="00D40F1D" w:rsidRDefault="00D40F1D" w:rsidP="00D40F1D"/>
    <w:p w:rsidR="00D40F1D" w:rsidRDefault="00D40F1D" w:rsidP="00D40F1D">
      <w:r>
        <w:t>BY THE COMMISSION</w:t>
      </w:r>
    </w:p>
    <w:p w:rsidR="00D40F1D" w:rsidRPr="00A8584E" w:rsidRDefault="00D40F1D" w:rsidP="00D40F1D">
      <w:pPr>
        <w:jc w:val="center"/>
        <w:rPr>
          <w:u w:val="single"/>
        </w:rPr>
      </w:pPr>
      <w:r w:rsidRPr="00A8584E">
        <w:rPr>
          <w:u w:val="single"/>
        </w:rPr>
        <w:t>BACKGROUND</w:t>
      </w:r>
    </w:p>
    <w:p w:rsidR="00D40F1D" w:rsidRDefault="00D40F1D" w:rsidP="00D40F1D">
      <w:pPr>
        <w:jc w:val="center"/>
      </w:pPr>
    </w:p>
    <w:p w:rsidR="00D40F1D" w:rsidRPr="003700F4" w:rsidRDefault="00D40F1D" w:rsidP="00D40F1D">
      <w:pPr>
        <w:pStyle w:val="BodyText"/>
        <w:jc w:val="both"/>
      </w:pPr>
      <w:r>
        <w:tab/>
      </w:r>
      <w:bookmarkStart w:id="5" w:name="OrderText"/>
      <w:bookmarkEnd w:id="5"/>
      <w:r w:rsidRPr="003700F4">
        <w:t xml:space="preserve">As part of the continuing fuel and purchased power adjustment and generating performance incentive clause proceedings, an administrative hearing was held by the Florida Public Service Commission (Commission) on November 3, 2020. </w:t>
      </w:r>
      <w:r>
        <w:t xml:space="preserve"> </w:t>
      </w:r>
      <w:r w:rsidRPr="003700F4">
        <w:t>The purpose of this hearing was to review and ultimately determine electric service providers</w:t>
      </w:r>
      <w:r>
        <w:t>’</w:t>
      </w:r>
      <w:r w:rsidRPr="003700F4">
        <w:t xml:space="preserve"> period-specific fuel and fuel-related service costs, net purchased power costs, incentives associated with the efficient operation of generation facilities, and capacity-related</w:t>
      </w:r>
      <w:r>
        <w:t xml:space="preserve"> service</w:t>
      </w:r>
      <w:r w:rsidRPr="003700F4">
        <w:t xml:space="preserve"> costs.</w:t>
      </w:r>
      <w:r>
        <w:t xml:space="preserve">  </w:t>
      </w:r>
      <w:r w:rsidRPr="003700F4">
        <w:t>These service costs are recovered through the fuel and capacity cost recovery factors that are set annually in this docket.</w:t>
      </w:r>
    </w:p>
    <w:p w:rsidR="00D40F1D" w:rsidRDefault="00D40F1D" w:rsidP="00D40F1D">
      <w:pPr>
        <w:pStyle w:val="OrderBody"/>
      </w:pPr>
      <w:r>
        <w:tab/>
      </w:r>
      <w:r w:rsidRPr="003700F4">
        <w:t xml:space="preserve">At the November 3, 2020 hearing, all issues for Florida Power &amp; Light Company, Florida Public Utilities Company, Gulf Power Company, and Tampa Electric Company were resolved by a bench vote approving the proposed stipulations and </w:t>
      </w:r>
      <w:r>
        <w:t xml:space="preserve">Commission </w:t>
      </w:r>
      <w:r w:rsidRPr="003700F4">
        <w:t>staff’s oral recommendations</w:t>
      </w:r>
    </w:p>
    <w:p w:rsidR="00D40F1D" w:rsidRDefault="00D40F1D">
      <w:r>
        <w:br w:type="page"/>
      </w:r>
    </w:p>
    <w:p w:rsidR="00D40F1D" w:rsidRDefault="00D40F1D" w:rsidP="00D40F1D">
      <w:pPr>
        <w:pStyle w:val="BodyText"/>
        <w:jc w:val="both"/>
      </w:pPr>
      <w:r w:rsidRPr="003700F4">
        <w:lastRenderedPageBreak/>
        <w:t>on non-stipulated issues.</w:t>
      </w:r>
      <w:r w:rsidRPr="003700F4">
        <w:rPr>
          <w:vertAlign w:val="superscript"/>
        </w:rPr>
        <w:footnoteReference w:id="1"/>
      </w:r>
      <w:r w:rsidRPr="003700F4">
        <w:t xml:space="preserve">  </w:t>
      </w:r>
      <w:r>
        <w:t xml:space="preserve"> </w:t>
      </w:r>
      <w:r w:rsidRPr="003700F4">
        <w:t xml:space="preserve">None of </w:t>
      </w:r>
      <w:r>
        <w:t>Duke Energy Florida, LLC’s (DEF)</w:t>
      </w:r>
      <w:r w:rsidRPr="003700F4">
        <w:t xml:space="preserve"> issues were resolved at the November 3, 2020 hearing.</w:t>
      </w:r>
    </w:p>
    <w:p w:rsidR="00D40F1D" w:rsidRDefault="00D40F1D" w:rsidP="00D40F1D">
      <w:pPr>
        <w:pStyle w:val="BodyText"/>
        <w:jc w:val="both"/>
      </w:pPr>
      <w:r>
        <w:tab/>
      </w:r>
      <w:r w:rsidRPr="003700F4">
        <w:t>With regard to DEF’s issues, at hearing</w:t>
      </w:r>
      <w:r>
        <w:t>, w</w:t>
      </w:r>
      <w:r w:rsidRPr="003700F4">
        <w:t xml:space="preserve">itness Menendez testified on behalf of DEF and was cross-examined by the parties. </w:t>
      </w:r>
      <w:r>
        <w:t xml:space="preserve"> </w:t>
      </w:r>
      <w:r w:rsidRPr="003700F4">
        <w:t>In lieu of closing arguments on DEF’s issues, the Office of Public Counsel (OPC), Florida Industrial Power Users Group (FIPUG), and White Springs Agricultural Chemicals, Inc.</w:t>
      </w:r>
      <w:r>
        <w:t xml:space="preserve"> </w:t>
      </w:r>
      <w:r w:rsidRPr="003700F4">
        <w:t xml:space="preserve">d/b/a PCS Phosphate – White Springs (PCS Phosphate), collectively referred to herein as Intervenors, agreed to brief only DEF Issues 1A, 10, 11, 18, 20 and 22 and to treat all </w:t>
      </w:r>
      <w:r w:rsidRPr="006E6578">
        <w:t>other DEF issues</w:t>
      </w:r>
      <w:r w:rsidRPr="003700F4">
        <w:t xml:space="preserve"> as Type 2 stipulations.</w:t>
      </w:r>
      <w:r w:rsidRPr="003700F4">
        <w:rPr>
          <w:vertAlign w:val="superscript"/>
        </w:rPr>
        <w:footnoteReference w:id="2"/>
      </w:r>
      <w:r w:rsidRPr="003700F4">
        <w:t xml:space="preserve"> DEF, PCS Phosphate, and OPC and FIPUG jointly, filed briefs on Issues 1A</w:t>
      </w:r>
      <w:r>
        <w:t>,</w:t>
      </w:r>
      <w:r w:rsidRPr="003700F4">
        <w:t xml:space="preserve"> 10, 11, 18, 20</w:t>
      </w:r>
      <w:r>
        <w:t>,</w:t>
      </w:r>
      <w:r w:rsidRPr="003700F4">
        <w:t xml:space="preserve"> and 22 on November 10, 2020.</w:t>
      </w:r>
    </w:p>
    <w:p w:rsidR="00D40F1D" w:rsidRDefault="00D40F1D" w:rsidP="00D40F1D">
      <w:pPr>
        <w:pStyle w:val="BodyText"/>
        <w:jc w:val="both"/>
      </w:pPr>
      <w:r>
        <w:tab/>
      </w:r>
      <w:r w:rsidRPr="003700F4">
        <w:t xml:space="preserve">This </w:t>
      </w:r>
      <w:r>
        <w:t xml:space="preserve">order </w:t>
      </w:r>
      <w:r w:rsidRPr="003700F4">
        <w:t>add</w:t>
      </w:r>
      <w:r>
        <w:t xml:space="preserve">resses all of DEF’s issues. We are </w:t>
      </w:r>
      <w:r w:rsidRPr="003700F4">
        <w:t>vested with jurisdiction over th</w:t>
      </w:r>
      <w:r>
        <w:t>is</w:t>
      </w:r>
      <w:r w:rsidRPr="003700F4">
        <w:t xml:space="preserve"> subject matter by the provisions of Chapter 366, Florida Statutes (F.S.), including Sections 366.04, 366.05, and 366.06, F.S.</w:t>
      </w:r>
    </w:p>
    <w:p w:rsidR="00D40F1D" w:rsidRPr="008541E3" w:rsidRDefault="00D40F1D" w:rsidP="00D40F1D">
      <w:pPr>
        <w:pStyle w:val="BodyText"/>
        <w:jc w:val="both"/>
      </w:pPr>
      <w:r>
        <w:rPr>
          <w:b/>
        </w:rPr>
        <w:t>BARTO</w:t>
      </w:r>
      <w:r w:rsidRPr="008541E3">
        <w:rPr>
          <w:b/>
        </w:rPr>
        <w:t>W UNIT 4 FEBRUARY 2017 OUTAGE</w:t>
      </w:r>
    </w:p>
    <w:p w:rsidR="00D40F1D" w:rsidRDefault="00D40F1D" w:rsidP="00D40F1D">
      <w:pPr>
        <w:pStyle w:val="BodyText"/>
        <w:jc w:val="both"/>
      </w:pPr>
      <w:r>
        <w:tab/>
      </w:r>
      <w:r w:rsidR="00690A60">
        <w:t>We first address w</w:t>
      </w:r>
      <w:r>
        <w:t>hat action should be taken in response to Commission Order No. PSC-2020-0368-FOF-EI regarding the Bartow Unit 4 February 2017 outage</w:t>
      </w:r>
      <w:r w:rsidR="00690A60">
        <w:t xml:space="preserve">.  </w:t>
      </w:r>
      <w:r>
        <w:t xml:space="preserve">The arguments of all parties presented in the Intervenors’ post-hearing briefs are related to DEF’s Motion for Stay and Amended Motion for Stay of Order Nos. PSC-2020-0368-FOF-EI and PSC-2020-0368A-FOF-EI, filed on October 15 and October 29, 2020, respectively. These orders established fuel cost recovery for DEF which denied DEF’s filed exceptions on these issues and adopted the recommended order issued by the administrative law judge following an evidentiary hearing held on February 4-5, 2020.  In Order Nos. PSC-2020-0368-FOF-EI and PSC-2020-0368A-FOF-EI, we found that DEF failed to demonstrate that it acted prudently in the operation of its Bartow Unit 4 plant and in restoring the unit to service after the February 2017 forced outage, and that DEF should refund a total of $16,116,782 to its customers.  </w:t>
      </w:r>
    </w:p>
    <w:p w:rsidR="00D40F1D" w:rsidRDefault="00D40F1D" w:rsidP="00D40F1D">
      <w:pPr>
        <w:pStyle w:val="BodyText"/>
        <w:jc w:val="both"/>
      </w:pPr>
      <w:r>
        <w:tab/>
        <w:t>In its Motions for Stay, DEF argued that since it was ordered to pay a refund, the plain language of Rule 25-22.061(1), F</w:t>
      </w:r>
      <w:r w:rsidR="00690A60">
        <w:t xml:space="preserve">lorida </w:t>
      </w:r>
      <w:r>
        <w:t>A</w:t>
      </w:r>
      <w:r w:rsidR="00690A60">
        <w:t xml:space="preserve">dministrative </w:t>
      </w:r>
      <w:r>
        <w:t>C</w:t>
      </w:r>
      <w:r w:rsidR="00690A60">
        <w:t>ode (F.A.C.)</w:t>
      </w:r>
      <w:r>
        <w:t xml:space="preserve">, required that we grant a stay pending appeal. OPC, FIPUG and PCS Phosphate argued that because of the self-correcting nature of the fuel cost recovery clause, Rule 25-22.061(1), F.A.C., should not apply to the fuel clause docket.  </w:t>
      </w:r>
    </w:p>
    <w:p w:rsidR="00D40F1D" w:rsidRDefault="00D40F1D" w:rsidP="00D40F1D">
      <w:pPr>
        <w:pStyle w:val="BodyText"/>
        <w:jc w:val="both"/>
      </w:pPr>
      <w:r>
        <w:tab/>
      </w:r>
      <w:r w:rsidR="00690A60">
        <w:t xml:space="preserve">By Order No. PSC-2020-0486-FOF-EI, issued </w:t>
      </w:r>
      <w:r>
        <w:t>December 1</w:t>
      </w:r>
      <w:r w:rsidR="00690A60">
        <w:t>0</w:t>
      </w:r>
      <w:r>
        <w:t>, 2020, we grant</w:t>
      </w:r>
      <w:r w:rsidR="004F4063">
        <w:t>ed</w:t>
      </w:r>
      <w:r>
        <w:t xml:space="preserve"> DEF’s Motion for Stay and Amended Motion for Stay of Order Nos. PSC-2020-0368-FOF-EI and PSC-2020-0368A-FOF-EI pending the resolution of DEF’s appeal.  Therefore, we find that no further action can be taken with regard to refunding $16,116,782 for the Bartow Unit 4 February 2017 outage until the appellate review process is concluded.</w:t>
      </w:r>
    </w:p>
    <w:p w:rsidR="00B24FAB" w:rsidRDefault="00B24FAB" w:rsidP="00D40F1D">
      <w:pPr>
        <w:pStyle w:val="BodyText"/>
        <w:jc w:val="both"/>
      </w:pPr>
      <w:r>
        <w:lastRenderedPageBreak/>
        <w:tab/>
      </w:r>
      <w:r w:rsidR="004F4063">
        <w:t>A</w:t>
      </w:r>
      <w:r>
        <w:t>djustments w</w:t>
      </w:r>
      <w:r w:rsidR="00BC4AE3">
        <w:t>ill</w:t>
      </w:r>
      <w:r>
        <w:t xml:space="preserve"> have to be made </w:t>
      </w:r>
      <w:r w:rsidR="004F4063">
        <w:t xml:space="preserve">to other cost recovery calculations </w:t>
      </w:r>
      <w:r w:rsidR="00A846F1">
        <w:t xml:space="preserve">in a future fuel clause proceeding </w:t>
      </w:r>
      <w:r>
        <w:t xml:space="preserve">if the $16,116,782 refund is upheld on appeal.  At this time, however, it is not appropriate to make the adjustments associated with </w:t>
      </w:r>
      <w:r w:rsidR="005E515D">
        <w:t xml:space="preserve">the $16,116,782 refund </w:t>
      </w:r>
      <w:r>
        <w:t>proposed by the Intervenors in their briefs</w:t>
      </w:r>
      <w:r w:rsidR="005E515D">
        <w:t xml:space="preserve"> since we have granted DEF a stay of the order requiring the refund pending the conclusion of the appeal. </w:t>
      </w:r>
    </w:p>
    <w:p w:rsidR="00D40F1D" w:rsidRDefault="00D40F1D" w:rsidP="00D40F1D">
      <w:pPr>
        <w:pStyle w:val="BodyText"/>
        <w:jc w:val="both"/>
      </w:pPr>
      <w:r>
        <w:tab/>
      </w:r>
      <w:r w:rsidR="004F4063">
        <w:t xml:space="preserve">We next </w:t>
      </w:r>
      <w:r w:rsidRPr="00E82430">
        <w:t>determin</w:t>
      </w:r>
      <w:r>
        <w:t>e</w:t>
      </w:r>
      <w:r w:rsidRPr="00E82430">
        <w:t xml:space="preserve"> </w:t>
      </w:r>
      <w:r>
        <w:t xml:space="preserve">the </w:t>
      </w:r>
      <w:r w:rsidR="004F4063">
        <w:t xml:space="preserve">appropriate </w:t>
      </w:r>
      <w:r>
        <w:t xml:space="preserve">net amount of prior and current period over- or under-collected revenue to be accounted for in setting the future period (2021) fuel factor.  We find that the record evidence in this proceeding indicates the final fuel revenue true-up amount for the period January 2019 through December 2019 is an under-recovery of $21,535,230. Further, </w:t>
      </w:r>
      <w:r w:rsidRPr="00E82430">
        <w:t>the actual</w:t>
      </w:r>
      <w:r>
        <w:t>/estimated</w:t>
      </w:r>
      <w:r w:rsidRPr="00E82430">
        <w:t xml:space="preserve"> </w:t>
      </w:r>
      <w:r>
        <w:t xml:space="preserve">or current period </w:t>
      </w:r>
      <w:r w:rsidRPr="00E82430">
        <w:t>fuel revenue true-up amount for the period January 20</w:t>
      </w:r>
      <w:r>
        <w:t>20</w:t>
      </w:r>
      <w:r w:rsidRPr="00E82430">
        <w:t xml:space="preserve"> through December 20</w:t>
      </w:r>
      <w:r>
        <w:t>20</w:t>
      </w:r>
      <w:r w:rsidRPr="00E82430">
        <w:t xml:space="preserve"> is an </w:t>
      </w:r>
      <w:r>
        <w:t>ov</w:t>
      </w:r>
      <w:r w:rsidRPr="00E82430">
        <w:t xml:space="preserve">er-recovery of </w:t>
      </w:r>
      <w:r w:rsidRPr="00732C78">
        <w:t>$160,850,438</w:t>
      </w:r>
      <w:r>
        <w:t xml:space="preserve">.  However, DEF accounted for a two-month actual/ten-month estimated 2020 fuel revenue net over-recovery of </w:t>
      </w:r>
      <w:r w:rsidRPr="00732C78">
        <w:t>$</w:t>
      </w:r>
      <w:r>
        <w:t>78</w:t>
      </w:r>
      <w:r w:rsidRPr="00732C78">
        <w:t>,</w:t>
      </w:r>
      <w:r>
        <w:t>231</w:t>
      </w:r>
      <w:r w:rsidRPr="00732C78">
        <w:t>,</w:t>
      </w:r>
      <w:r>
        <w:t xml:space="preserve">785 ($99,767,015 gross projected 2020 over-recovery) to develop its then-proposed mid-course fuel factors approved in Order No. </w:t>
      </w:r>
      <w:r w:rsidRPr="00F97F23">
        <w:t>PSC-2020-0154-PCO-EI</w:t>
      </w:r>
      <w:r>
        <w:t>.</w:t>
      </w:r>
      <w:r>
        <w:rPr>
          <w:rStyle w:val="FootnoteReference"/>
        </w:rPr>
        <w:footnoteReference w:id="3"/>
      </w:r>
      <w:r>
        <w:t xml:space="preserve">  As such, </w:t>
      </w:r>
      <w:r w:rsidR="00A924D2">
        <w:t xml:space="preserve">we find that </w:t>
      </w:r>
      <w:r>
        <w:t>the effective remaining actual/estimated true up amount to be included in setting DEF’s 2021 fuel cost recovery factors is an over-recovery of $61,083,424.</w:t>
      </w:r>
    </w:p>
    <w:p w:rsidR="00D40F1D" w:rsidRDefault="00D40F1D" w:rsidP="00D40F1D">
      <w:pPr>
        <w:pStyle w:val="BodyText"/>
        <w:jc w:val="both"/>
      </w:pPr>
      <w:r>
        <w:tab/>
      </w:r>
      <w:r w:rsidRPr="00A51E68">
        <w:t>The</w:t>
      </w:r>
      <w:r>
        <w:t xml:space="preserve"> total </w:t>
      </w:r>
      <w:r w:rsidRPr="000F2AEE">
        <w:t xml:space="preserve">projected </w:t>
      </w:r>
      <w:r>
        <w:t>jurisdictional</w:t>
      </w:r>
      <w:r w:rsidRPr="00A51E68">
        <w:t xml:space="preserve"> </w:t>
      </w:r>
      <w:r>
        <w:t xml:space="preserve">2021 fuel and purchased power </w:t>
      </w:r>
      <w:r w:rsidRPr="003F0196">
        <w:t>cost</w:t>
      </w:r>
      <w:r>
        <w:t>s consist</w:t>
      </w:r>
      <w:r w:rsidRPr="003F0196">
        <w:t xml:space="preserve"> of fuel costs for self-generation and purchased power, as well as credits for economy, stratified, and wholesale energy sales. </w:t>
      </w:r>
      <w:r>
        <w:t xml:space="preserve"> </w:t>
      </w:r>
      <w:r w:rsidRPr="003F0196">
        <w:t>A</w:t>
      </w:r>
      <w:r>
        <w:t xml:space="preserve">n adjustment to account for jurisdictional line losses is also incorporated.  The record evidence in this proceeding, as proffered by DEF witness Menendez, indicates </w:t>
      </w:r>
      <w:r w:rsidRPr="00A51E68">
        <w:t>the</w:t>
      </w:r>
      <w:r>
        <w:t xml:space="preserve"> total</w:t>
      </w:r>
      <w:r w:rsidRPr="00A51E68">
        <w:t xml:space="preserve"> </w:t>
      </w:r>
      <w:r>
        <w:t xml:space="preserve">projected fuel and purchased power costs for the period of January 2021 through December 2021 is </w:t>
      </w:r>
      <w:r w:rsidRPr="00D469AE">
        <w:t>$1,279,043,741</w:t>
      </w:r>
      <w:r>
        <w:t xml:space="preserve">.  </w:t>
      </w:r>
      <w:r w:rsidR="004F4063">
        <w:t>W</w:t>
      </w:r>
      <w:r>
        <w:t>e</w:t>
      </w:r>
      <w:r w:rsidR="004F4063">
        <w:t xml:space="preserve"> agree and </w:t>
      </w:r>
      <w:r>
        <w:t>find that the total</w:t>
      </w:r>
      <w:r w:rsidRPr="00A51E68">
        <w:t xml:space="preserve"> </w:t>
      </w:r>
      <w:r>
        <w:t xml:space="preserve">projected fuel and purchased power costs for the period of January 2021 through December 2021 is </w:t>
      </w:r>
      <w:r w:rsidRPr="00D469AE">
        <w:t>$1,279,043,741</w:t>
      </w:r>
      <w:r>
        <w:t>.</w:t>
      </w:r>
    </w:p>
    <w:p w:rsidR="00D40F1D" w:rsidRDefault="00D40F1D" w:rsidP="00D40F1D">
      <w:pPr>
        <w:pStyle w:val="OrderBody"/>
      </w:pPr>
      <w:r>
        <w:tab/>
      </w:r>
      <w:r w:rsidR="004F4063">
        <w:t>T</w:t>
      </w:r>
      <w:r w:rsidRPr="00D22EDB">
        <w:t xml:space="preserve">he appropriate net amount of fuel and purchased power </w:t>
      </w:r>
      <w:r>
        <w:t xml:space="preserve">costs </w:t>
      </w:r>
      <w:r w:rsidRPr="00D22EDB">
        <w:t>to be included in developing the recovery factor for the period of January 2021 through December 2021</w:t>
      </w:r>
      <w:r w:rsidR="004F4063">
        <w:t xml:space="preserve"> </w:t>
      </w:r>
      <w:r w:rsidRPr="00D22EDB">
        <w:t>is essentially a “</w:t>
      </w:r>
      <w:r>
        <w:t>fall-out</w:t>
      </w:r>
      <w:r w:rsidRPr="00D22EDB">
        <w:t xml:space="preserve">” issue, where the dollar values of </w:t>
      </w:r>
      <w:r w:rsidR="004F4063">
        <w:t xml:space="preserve">several components </w:t>
      </w:r>
      <w:r w:rsidRPr="00D22EDB">
        <w:t xml:space="preserve">are tabulated and summed to arrive at the </w:t>
      </w:r>
      <w:r w:rsidR="004F4063">
        <w:t xml:space="preserve">appropriate </w:t>
      </w:r>
      <w:r w:rsidRPr="00D22EDB">
        <w:t xml:space="preserve">amount to recover. </w:t>
      </w:r>
      <w:r>
        <w:t xml:space="preserve"> </w:t>
      </w:r>
      <w:r w:rsidRPr="00D22EDB">
        <w:t>The relevant components required to calculate the projected 2021</w:t>
      </w:r>
      <w:r>
        <w:t xml:space="preserve"> recovery amount</w:t>
      </w:r>
      <w:r w:rsidRPr="00D22EDB">
        <w:t xml:space="preserve"> are: total jurisdictional fuel and purchase power cost (adjusted for line losses), total true-up, revenue tax, and the GPIF amount. </w:t>
      </w:r>
      <w:r>
        <w:t xml:space="preserve"> The derivation of DEF’s 2021 fuel cost recovery amount is shown in Table 1 below:</w:t>
      </w:r>
    </w:p>
    <w:p w:rsidR="005E515D" w:rsidRDefault="005E515D">
      <w:r>
        <w:br w:type="page"/>
      </w:r>
    </w:p>
    <w:tbl>
      <w:tblPr>
        <w:tblStyle w:val="TableGrid"/>
        <w:tblW w:w="9370" w:type="dxa"/>
        <w:tblInd w:w="-10" w:type="dxa"/>
        <w:tblLook w:val="04A0" w:firstRow="1" w:lastRow="0" w:firstColumn="1" w:lastColumn="0" w:noHBand="0" w:noVBand="1"/>
      </w:tblPr>
      <w:tblGrid>
        <w:gridCol w:w="4870"/>
        <w:gridCol w:w="4500"/>
      </w:tblGrid>
      <w:tr w:rsidR="00D40F1D" w:rsidRPr="00B573BF" w:rsidTr="00BC6BDE">
        <w:trPr>
          <w:cantSplit/>
          <w:tblHeader/>
        </w:trPr>
        <w:tc>
          <w:tcPr>
            <w:tcW w:w="9370" w:type="dxa"/>
            <w:gridSpan w:val="2"/>
            <w:tcBorders>
              <w:top w:val="nil"/>
              <w:left w:val="nil"/>
              <w:bottom w:val="nil"/>
              <w:right w:val="nil"/>
            </w:tcBorders>
          </w:tcPr>
          <w:p w:rsidR="00D40F1D" w:rsidRPr="00757DF9" w:rsidRDefault="00D40F1D" w:rsidP="00D40F1D">
            <w:pPr>
              <w:tabs>
                <w:tab w:val="left" w:pos="1768"/>
                <w:tab w:val="center" w:pos="4577"/>
              </w:tabs>
              <w:rPr>
                <w:b/>
                <w:bCs/>
              </w:rPr>
            </w:pPr>
            <w:r>
              <w:rPr>
                <w:rFonts w:ascii="Arial" w:hAnsi="Arial" w:cs="Arial"/>
                <w:b/>
              </w:rPr>
              <w:lastRenderedPageBreak/>
              <w:tab/>
            </w:r>
            <w:r>
              <w:rPr>
                <w:rFonts w:ascii="Arial" w:hAnsi="Arial" w:cs="Arial"/>
                <w:b/>
              </w:rPr>
              <w:tab/>
            </w:r>
            <w:r w:rsidRPr="00B573BF">
              <w:rPr>
                <w:rFonts w:ascii="Arial" w:hAnsi="Arial" w:cs="Arial"/>
                <w:b/>
              </w:rPr>
              <w:t>Table 1</w:t>
            </w:r>
          </w:p>
        </w:tc>
      </w:tr>
      <w:tr w:rsidR="00D40F1D" w:rsidRPr="00B573BF" w:rsidTr="00BC6BDE">
        <w:trPr>
          <w:cantSplit/>
          <w:tblHeader/>
        </w:trPr>
        <w:tc>
          <w:tcPr>
            <w:tcW w:w="9370" w:type="dxa"/>
            <w:gridSpan w:val="2"/>
            <w:tcBorders>
              <w:top w:val="nil"/>
              <w:left w:val="nil"/>
              <w:bottom w:val="nil"/>
              <w:right w:val="nil"/>
            </w:tcBorders>
          </w:tcPr>
          <w:p w:rsidR="00D40F1D" w:rsidRPr="00757DF9" w:rsidRDefault="00D40F1D" w:rsidP="00BC6BDE">
            <w:pPr>
              <w:jc w:val="center"/>
              <w:rPr>
                <w:b/>
                <w:bCs/>
              </w:rPr>
            </w:pPr>
            <w:r w:rsidRPr="00B573BF">
              <w:rPr>
                <w:rFonts w:ascii="Arial" w:hAnsi="Arial" w:cs="Arial"/>
                <w:b/>
              </w:rPr>
              <w:t>DEF</w:t>
            </w:r>
            <w:r>
              <w:rPr>
                <w:rFonts w:ascii="Arial" w:hAnsi="Arial" w:cs="Arial"/>
                <w:b/>
              </w:rPr>
              <w:t xml:space="preserve"> 2021</w:t>
            </w:r>
            <w:r w:rsidRPr="00B573BF">
              <w:rPr>
                <w:rFonts w:ascii="Arial" w:hAnsi="Arial" w:cs="Arial"/>
                <w:b/>
              </w:rPr>
              <w:t xml:space="preserve"> Fuel </w:t>
            </w:r>
            <w:r>
              <w:rPr>
                <w:rFonts w:ascii="Arial" w:hAnsi="Arial" w:cs="Arial"/>
                <w:b/>
              </w:rPr>
              <w:t>Cost Recovery</w:t>
            </w:r>
          </w:p>
        </w:tc>
      </w:tr>
      <w:tr w:rsidR="00D40F1D" w:rsidRPr="00B573BF" w:rsidTr="00BC6BDE">
        <w:trPr>
          <w:cantSplit/>
          <w:tblHeader/>
        </w:trPr>
        <w:tc>
          <w:tcPr>
            <w:tcW w:w="4870" w:type="dxa"/>
            <w:tcBorders>
              <w:top w:val="single" w:sz="4" w:space="0" w:color="auto"/>
              <w:left w:val="single" w:sz="4" w:space="0" w:color="auto"/>
              <w:bottom w:val="single" w:sz="4" w:space="0" w:color="auto"/>
              <w:right w:val="single" w:sz="4" w:space="0" w:color="auto"/>
            </w:tcBorders>
          </w:tcPr>
          <w:p w:rsidR="00D40F1D" w:rsidRPr="00757DF9" w:rsidRDefault="00D40F1D" w:rsidP="00BC6BDE">
            <w:pPr>
              <w:jc w:val="center"/>
              <w:rPr>
                <w:b/>
                <w:bCs/>
              </w:rPr>
            </w:pPr>
            <w:r>
              <w:rPr>
                <w:b/>
                <w:bCs/>
              </w:rPr>
              <w:t>Factor Component</w:t>
            </w:r>
          </w:p>
        </w:tc>
        <w:tc>
          <w:tcPr>
            <w:tcW w:w="4500" w:type="dxa"/>
            <w:tcBorders>
              <w:top w:val="single" w:sz="4" w:space="0" w:color="auto"/>
              <w:left w:val="single" w:sz="4" w:space="0" w:color="auto"/>
              <w:bottom w:val="single" w:sz="4" w:space="0" w:color="auto"/>
              <w:right w:val="single" w:sz="4" w:space="0" w:color="auto"/>
            </w:tcBorders>
            <w:hideMark/>
          </w:tcPr>
          <w:p w:rsidR="00D40F1D" w:rsidRPr="00757DF9" w:rsidRDefault="00D40F1D" w:rsidP="00BC6BDE">
            <w:pPr>
              <w:jc w:val="center"/>
              <w:rPr>
                <w:b/>
                <w:bCs/>
              </w:rPr>
            </w:pPr>
            <w:r>
              <w:rPr>
                <w:b/>
                <w:bCs/>
              </w:rPr>
              <w:t>Amount</w:t>
            </w:r>
          </w:p>
        </w:tc>
      </w:tr>
      <w:tr w:rsidR="00D40F1D" w:rsidRPr="00B573BF" w:rsidTr="00BC6BDE">
        <w:tc>
          <w:tcPr>
            <w:tcW w:w="4870" w:type="dxa"/>
            <w:tcBorders>
              <w:top w:val="single" w:sz="4" w:space="0" w:color="auto"/>
              <w:left w:val="single" w:sz="4" w:space="0" w:color="auto"/>
              <w:bottom w:val="single" w:sz="4" w:space="0" w:color="auto"/>
              <w:right w:val="single" w:sz="4" w:space="0" w:color="auto"/>
            </w:tcBorders>
            <w:vAlign w:val="bottom"/>
          </w:tcPr>
          <w:p w:rsidR="00D40F1D" w:rsidRPr="00B573BF" w:rsidRDefault="00D40F1D" w:rsidP="0096515A">
            <w:r>
              <w:t xml:space="preserve">Jurisdictional Fuel and P.P. Cost </w:t>
            </w:r>
          </w:p>
        </w:tc>
        <w:tc>
          <w:tcPr>
            <w:tcW w:w="4500" w:type="dxa"/>
            <w:tcBorders>
              <w:top w:val="single" w:sz="4" w:space="0" w:color="auto"/>
              <w:left w:val="single" w:sz="4" w:space="0" w:color="auto"/>
              <w:bottom w:val="single" w:sz="4" w:space="0" w:color="auto"/>
              <w:right w:val="single" w:sz="4" w:space="0" w:color="auto"/>
            </w:tcBorders>
            <w:vAlign w:val="bottom"/>
          </w:tcPr>
          <w:p w:rsidR="00D40F1D" w:rsidRPr="00B43AF5" w:rsidRDefault="00D40F1D" w:rsidP="00BC6BDE">
            <w:pPr>
              <w:jc w:val="right"/>
            </w:pPr>
            <w:r>
              <w:t>$1,279,043,741</w:t>
            </w:r>
          </w:p>
        </w:tc>
      </w:tr>
      <w:tr w:rsidR="00D40F1D" w:rsidRPr="00B573BF" w:rsidTr="00BC6BDE">
        <w:tc>
          <w:tcPr>
            <w:tcW w:w="4870" w:type="dxa"/>
            <w:tcBorders>
              <w:top w:val="single" w:sz="4" w:space="0" w:color="auto"/>
              <w:left w:val="single" w:sz="4" w:space="0" w:color="auto"/>
              <w:bottom w:val="single" w:sz="4" w:space="0" w:color="auto"/>
              <w:right w:val="single" w:sz="4" w:space="0" w:color="auto"/>
            </w:tcBorders>
            <w:vAlign w:val="bottom"/>
          </w:tcPr>
          <w:p w:rsidR="00D40F1D" w:rsidRPr="00B573BF" w:rsidRDefault="00D40F1D" w:rsidP="0096515A">
            <w:r>
              <w:t xml:space="preserve">Total True-up </w:t>
            </w:r>
          </w:p>
        </w:tc>
        <w:tc>
          <w:tcPr>
            <w:tcW w:w="4500" w:type="dxa"/>
            <w:tcBorders>
              <w:top w:val="single" w:sz="4" w:space="0" w:color="auto"/>
              <w:left w:val="single" w:sz="4" w:space="0" w:color="auto"/>
              <w:bottom w:val="single" w:sz="4" w:space="0" w:color="auto"/>
              <w:right w:val="single" w:sz="4" w:space="0" w:color="auto"/>
            </w:tcBorders>
            <w:vAlign w:val="bottom"/>
          </w:tcPr>
          <w:p w:rsidR="00D40F1D" w:rsidRPr="00D22EDB" w:rsidRDefault="00D40F1D" w:rsidP="00BC6BDE">
            <w:pPr>
              <w:jc w:val="right"/>
              <w:rPr>
                <w:u w:val="single"/>
              </w:rPr>
            </w:pPr>
            <w:r w:rsidRPr="00D22EDB">
              <w:rPr>
                <w:u w:val="single"/>
              </w:rPr>
              <w:t>(61,083,424)</w:t>
            </w:r>
          </w:p>
        </w:tc>
      </w:tr>
      <w:tr w:rsidR="00D40F1D" w:rsidRPr="00B573BF" w:rsidTr="00BC6BDE">
        <w:tc>
          <w:tcPr>
            <w:tcW w:w="4870" w:type="dxa"/>
            <w:tcBorders>
              <w:top w:val="single" w:sz="4" w:space="0" w:color="auto"/>
              <w:left w:val="single" w:sz="4" w:space="0" w:color="auto"/>
              <w:bottom w:val="single" w:sz="4" w:space="0" w:color="auto"/>
              <w:right w:val="single" w:sz="4" w:space="0" w:color="auto"/>
            </w:tcBorders>
            <w:vAlign w:val="bottom"/>
          </w:tcPr>
          <w:p w:rsidR="00D40F1D" w:rsidRPr="00B573BF" w:rsidRDefault="00D40F1D" w:rsidP="0096515A">
            <w:r>
              <w:t xml:space="preserve">Revenue Tax </w:t>
            </w:r>
          </w:p>
        </w:tc>
        <w:tc>
          <w:tcPr>
            <w:tcW w:w="4500" w:type="dxa"/>
            <w:tcBorders>
              <w:top w:val="single" w:sz="4" w:space="0" w:color="auto"/>
              <w:left w:val="single" w:sz="4" w:space="0" w:color="auto"/>
              <w:bottom w:val="single" w:sz="4" w:space="0" w:color="auto"/>
              <w:right w:val="single" w:sz="4" w:space="0" w:color="auto"/>
            </w:tcBorders>
            <w:vAlign w:val="bottom"/>
          </w:tcPr>
          <w:p w:rsidR="00D40F1D" w:rsidRPr="00D22EDB" w:rsidRDefault="00D40F1D" w:rsidP="00BC6BDE">
            <w:pPr>
              <w:jc w:val="right"/>
            </w:pPr>
            <w:r w:rsidRPr="00D22EDB">
              <w:t>876,931</w:t>
            </w:r>
          </w:p>
        </w:tc>
      </w:tr>
      <w:tr w:rsidR="00D40F1D" w:rsidRPr="00B573BF" w:rsidTr="00BC6BDE">
        <w:tc>
          <w:tcPr>
            <w:tcW w:w="4870" w:type="dxa"/>
            <w:tcBorders>
              <w:top w:val="single" w:sz="4" w:space="0" w:color="auto"/>
              <w:left w:val="single" w:sz="4" w:space="0" w:color="auto"/>
              <w:bottom w:val="single" w:sz="4" w:space="0" w:color="auto"/>
              <w:right w:val="single" w:sz="4" w:space="0" w:color="auto"/>
            </w:tcBorders>
            <w:vAlign w:val="bottom"/>
          </w:tcPr>
          <w:p w:rsidR="00D40F1D" w:rsidRPr="00B573BF" w:rsidRDefault="00D40F1D" w:rsidP="0096515A">
            <w:r>
              <w:t xml:space="preserve">GPIF </w:t>
            </w:r>
          </w:p>
        </w:tc>
        <w:tc>
          <w:tcPr>
            <w:tcW w:w="4500" w:type="dxa"/>
            <w:tcBorders>
              <w:top w:val="single" w:sz="4" w:space="0" w:color="auto"/>
              <w:left w:val="single" w:sz="4" w:space="0" w:color="auto"/>
              <w:bottom w:val="single" w:sz="4" w:space="0" w:color="auto"/>
              <w:right w:val="single" w:sz="4" w:space="0" w:color="auto"/>
            </w:tcBorders>
            <w:vAlign w:val="bottom"/>
          </w:tcPr>
          <w:p w:rsidR="00D40F1D" w:rsidRPr="00D22EDB" w:rsidRDefault="00D40F1D" w:rsidP="00BC6BDE">
            <w:pPr>
              <w:jc w:val="right"/>
              <w:rPr>
                <w:u w:val="single"/>
              </w:rPr>
            </w:pPr>
            <w:r w:rsidRPr="00D22EDB">
              <w:rPr>
                <w:u w:val="single"/>
              </w:rPr>
              <w:t>4,407,712</w:t>
            </w:r>
          </w:p>
        </w:tc>
      </w:tr>
      <w:tr w:rsidR="00D40F1D" w:rsidRPr="00B573BF" w:rsidTr="00BC6BDE">
        <w:trPr>
          <w:trHeight w:val="287"/>
        </w:trPr>
        <w:tc>
          <w:tcPr>
            <w:tcW w:w="4870" w:type="dxa"/>
            <w:tcBorders>
              <w:top w:val="single" w:sz="4" w:space="0" w:color="auto"/>
              <w:left w:val="single" w:sz="4" w:space="0" w:color="auto"/>
              <w:bottom w:val="single" w:sz="4" w:space="0" w:color="auto"/>
              <w:right w:val="single" w:sz="4" w:space="0" w:color="auto"/>
            </w:tcBorders>
            <w:vAlign w:val="bottom"/>
          </w:tcPr>
          <w:p w:rsidR="00D40F1D" w:rsidRPr="006A4DA9" w:rsidRDefault="00D40F1D" w:rsidP="00BC6BDE">
            <w:pPr>
              <w:rPr>
                <w:b/>
                <w:bCs/>
              </w:rPr>
            </w:pPr>
            <w:r w:rsidRPr="00757DF9">
              <w:rPr>
                <w:rFonts w:cstheme="minorHAnsi"/>
                <w:b/>
                <w:bCs/>
                <w:sz w:val="22"/>
                <w:szCs w:val="22"/>
              </w:rPr>
              <w:t>Total</w:t>
            </w:r>
            <w:r w:rsidRPr="00DA29D9">
              <w:rPr>
                <w:rFonts w:cstheme="minorHAnsi"/>
                <w:sz w:val="22"/>
                <w:szCs w:val="22"/>
              </w:rPr>
              <w:t>*</w:t>
            </w:r>
          </w:p>
        </w:tc>
        <w:tc>
          <w:tcPr>
            <w:tcW w:w="4500" w:type="dxa"/>
            <w:tcBorders>
              <w:top w:val="single" w:sz="4" w:space="0" w:color="auto"/>
              <w:left w:val="single" w:sz="4" w:space="0" w:color="auto"/>
              <w:bottom w:val="single" w:sz="4" w:space="0" w:color="auto"/>
              <w:right w:val="single" w:sz="4" w:space="0" w:color="auto"/>
            </w:tcBorders>
            <w:vAlign w:val="bottom"/>
          </w:tcPr>
          <w:p w:rsidR="00D40F1D" w:rsidRPr="00D22EDB" w:rsidRDefault="00D40F1D" w:rsidP="00BC6BDE">
            <w:pPr>
              <w:jc w:val="right"/>
              <w:rPr>
                <w:u w:val="double"/>
              </w:rPr>
            </w:pPr>
            <w:r w:rsidRPr="00D22EDB">
              <w:rPr>
                <w:u w:val="double"/>
              </w:rPr>
              <w:t>$1,223,244,961</w:t>
            </w:r>
          </w:p>
        </w:tc>
      </w:tr>
    </w:tbl>
    <w:p w:rsidR="00D40F1D" w:rsidRDefault="00D40F1D" w:rsidP="00D40F1D">
      <w:pPr>
        <w:pStyle w:val="OrderBody"/>
      </w:pPr>
      <w:r>
        <w:t>Sources: Exhibit Nos. 2, 6, 7, 8</w:t>
      </w:r>
      <w:r w:rsidR="00B24FAB">
        <w:t>.</w:t>
      </w:r>
    </w:p>
    <w:p w:rsidR="00D40F1D" w:rsidRDefault="00D40F1D" w:rsidP="00D40F1D">
      <w:pPr>
        <w:pStyle w:val="OrderBody"/>
      </w:pPr>
      <w:r>
        <w:t>*May not compute exactly due to rounding.</w:t>
      </w:r>
    </w:p>
    <w:p w:rsidR="00B24FAB" w:rsidRDefault="00B24FAB" w:rsidP="00D40F1D">
      <w:pPr>
        <w:pStyle w:val="OrderBody"/>
      </w:pPr>
    </w:p>
    <w:p w:rsidR="00D40F1D" w:rsidRDefault="00D40F1D" w:rsidP="00D40F1D">
      <w:pPr>
        <w:pStyle w:val="BodyText"/>
        <w:jc w:val="both"/>
      </w:pPr>
      <w:r>
        <w:t xml:space="preserve"> </w:t>
      </w:r>
      <w:r>
        <w:tab/>
      </w:r>
      <w:r w:rsidRPr="00D22EDB">
        <w:t xml:space="preserve">The record evidence </w:t>
      </w:r>
      <w:r>
        <w:t>indicates, and we find, that the appropriate projected net fuel and purchased power cost recovery amount, including the GPIF reward, to be included in the fuel cost recovery factor for the period January 2021 through December 2021 is $1,223,244,961.</w:t>
      </w:r>
    </w:p>
    <w:p w:rsidR="00CA28BE" w:rsidRDefault="00D40F1D" w:rsidP="00CA28BE">
      <w:pPr>
        <w:pStyle w:val="BodyText"/>
        <w:jc w:val="both"/>
      </w:pPr>
      <w:r>
        <w:tab/>
      </w:r>
      <w:r w:rsidR="00224409">
        <w:t xml:space="preserve">We next address the </w:t>
      </w:r>
      <w:r w:rsidR="00CA28BE">
        <w:t xml:space="preserve">appropriate levelized fuel cost recovery factor needed to recover the total projected net cost of fuel and purchased power for the period of January 2021 through December 2021.  Included in the levelized fuel cost recovery factor are the </w:t>
      </w:r>
      <w:r w:rsidR="00CA28BE" w:rsidRPr="005B5B96">
        <w:t xml:space="preserve">total jurisdictional fuel and purchase power </w:t>
      </w:r>
      <w:r w:rsidR="00CA28BE">
        <w:t>cost</w:t>
      </w:r>
      <w:r w:rsidR="00CA28BE" w:rsidRPr="005B5B96">
        <w:t xml:space="preserve"> (adjusted for line losses), total true-up, revenue tax, and the GPIF component.</w:t>
      </w:r>
      <w:r w:rsidR="00CA28BE">
        <w:t xml:space="preserve">  These components of </w:t>
      </w:r>
      <w:r w:rsidR="00CA28BE" w:rsidRPr="0003787B">
        <w:t xml:space="preserve">the </w:t>
      </w:r>
      <w:r w:rsidR="00CA28BE">
        <w:t>fuel cost recovery factor</w:t>
      </w:r>
      <w:r w:rsidR="00CA28BE" w:rsidRPr="0003787B">
        <w:t xml:space="preserve"> were spread evenly (levelized) across the </w:t>
      </w:r>
      <w:r w:rsidR="00CA28BE">
        <w:t>2021 (12-month)</w:t>
      </w:r>
      <w:r w:rsidR="00CA28BE" w:rsidRPr="0003787B">
        <w:t xml:space="preserve"> jurisdictional megawatt-hour </w:t>
      </w:r>
      <w:r w:rsidR="00CA28BE">
        <w:t xml:space="preserve">(MWh) </w:t>
      </w:r>
      <w:r w:rsidR="00CA28BE" w:rsidRPr="0003787B">
        <w:t>sales</w:t>
      </w:r>
      <w:r w:rsidR="00CA28BE">
        <w:t xml:space="preserve"> forecast</w:t>
      </w:r>
      <w:r w:rsidR="00CA28BE" w:rsidRPr="0003787B">
        <w:t xml:space="preserve"> </w:t>
      </w:r>
      <w:r w:rsidR="00CA28BE">
        <w:t xml:space="preserve">of 39,588,176 MWh (or 39,588,176,000 kilowatt-hours), to arrive at the proposed rounded levelized fuel cost recovery factor of </w:t>
      </w:r>
      <w:r w:rsidR="00CA28BE" w:rsidRPr="00B914BC">
        <w:t>3.090 cents</w:t>
      </w:r>
      <w:r w:rsidR="00CA28BE">
        <w:t xml:space="preserve"> per </w:t>
      </w:r>
      <w:r w:rsidR="00CA28BE" w:rsidRPr="00B914BC">
        <w:t>kWh</w:t>
      </w:r>
      <w:r w:rsidR="00CA28BE">
        <w:t xml:space="preserve">. </w:t>
      </w:r>
    </w:p>
    <w:p w:rsidR="00CA28BE" w:rsidRDefault="00CA28BE" w:rsidP="00CA28BE">
      <w:pPr>
        <w:pStyle w:val="BodyText"/>
        <w:jc w:val="both"/>
      </w:pPr>
      <w:r>
        <w:tab/>
      </w:r>
      <w:r w:rsidRPr="00845F8D">
        <w:t>DEF witnesses Menendez and Lewter</w:t>
      </w:r>
      <w:r>
        <w:t xml:space="preserve"> testified at hearing that </w:t>
      </w:r>
      <w:r w:rsidRPr="00845F8D">
        <w:t>the appropriate levelized fuel cost recovery factor needed to recover the total projected net cost of fuel and purchased power for the period of January 2021 through December 2021 is 3.090 cents per kWh.</w:t>
      </w:r>
      <w:r>
        <w:t xml:space="preserve">  </w:t>
      </w:r>
      <w:r w:rsidR="00224409">
        <w:t>W</w:t>
      </w:r>
      <w:r>
        <w:t xml:space="preserve">e </w:t>
      </w:r>
      <w:r w:rsidR="00224409">
        <w:t xml:space="preserve">agree with this testimony and </w:t>
      </w:r>
      <w:r>
        <w:t xml:space="preserve">find that </w:t>
      </w:r>
      <w:r w:rsidRPr="00845F8D">
        <w:t>the appropriate levelized fuel cost recovery factor needed to recover the total projected net cost of fuel and purchased power for the period of January 2021 through December 2021 is 3.090 cents per kWh.</w:t>
      </w:r>
      <w:r>
        <w:t xml:space="preserve"> </w:t>
      </w:r>
    </w:p>
    <w:p w:rsidR="00CA28BE" w:rsidRDefault="00CA28BE" w:rsidP="00CA28BE">
      <w:pPr>
        <w:pStyle w:val="BodyText"/>
        <w:spacing w:before="240"/>
        <w:jc w:val="both"/>
      </w:pPr>
      <w:r>
        <w:tab/>
      </w:r>
      <w:r w:rsidR="00224409">
        <w:t>T</w:t>
      </w:r>
      <w:r>
        <w:t xml:space="preserve">he proposed fuel cost recovery factors for each rate group </w:t>
      </w:r>
      <w:r w:rsidR="00224409">
        <w:t xml:space="preserve">are </w:t>
      </w:r>
      <w:r>
        <w:t xml:space="preserve">primarily determined by our </w:t>
      </w:r>
      <w:r w:rsidR="00224409">
        <w:t xml:space="preserve">previous </w:t>
      </w:r>
      <w:r>
        <w:t xml:space="preserve">decision on </w:t>
      </w:r>
      <w:r w:rsidR="00224409">
        <w:t xml:space="preserve">the net amount of fuel and purchased power costs to be included in the recovery factor for the period January through December 2021.  </w:t>
      </w:r>
      <w:r w:rsidRPr="00F83004">
        <w:t>The other component</w:t>
      </w:r>
      <w:r w:rsidR="00224409">
        <w:t xml:space="preserve"> used in this calculation </w:t>
      </w:r>
      <w:r w:rsidRPr="00F83004">
        <w:t>is DEF’s effective 2021 jurisdictional sales forecast.</w:t>
      </w:r>
      <w:r>
        <w:t xml:space="preserve"> Further, “tiered” and “time-of-use” factors, relative to the levelized factors, are also </w:t>
      </w:r>
      <w:r w:rsidR="00224409">
        <w:t>necessary</w:t>
      </w:r>
      <w:r>
        <w:t>.</w:t>
      </w:r>
      <w:r w:rsidR="00224409">
        <w:t xml:space="preserve"> </w:t>
      </w:r>
      <w:r>
        <w:t xml:space="preserve"> Time-of-use factors involve calculating on- and off-peak multipliers, which is accomplished by ascertaining both applicable on-peak and off-peak average marginal fuel costs and dividing those figures by the applicable total average marginal fuel cost.  For 2021, DEF’s proposed on- and off-peak multipliers are 1.251 and 0.887</w:t>
      </w:r>
      <w:r w:rsidR="007C5327">
        <w:t>,</w:t>
      </w:r>
      <w:r>
        <w:t xml:space="preserve"> respectively. </w:t>
      </w:r>
    </w:p>
    <w:p w:rsidR="00CA28BE" w:rsidRDefault="00CA28BE" w:rsidP="00CA28BE">
      <w:pPr>
        <w:pStyle w:val="BodyText"/>
        <w:spacing w:before="240"/>
        <w:jc w:val="both"/>
      </w:pPr>
      <w:r>
        <w:tab/>
      </w:r>
      <w:r w:rsidRPr="00845F8D">
        <w:t>DEF witness Menendez</w:t>
      </w:r>
      <w:r>
        <w:t xml:space="preserve"> testified that</w:t>
      </w:r>
      <w:r w:rsidRPr="00845F8D">
        <w:t xml:space="preserve"> the</w:t>
      </w:r>
      <w:r>
        <w:t xml:space="preserve"> proposed</w:t>
      </w:r>
      <w:r w:rsidRPr="008E565A">
        <w:t xml:space="preserve"> fuel cost recovery factors for each rate </w:t>
      </w:r>
      <w:r>
        <w:t>group</w:t>
      </w:r>
      <w:r w:rsidRPr="008E565A">
        <w:t>/delivery voltage level adjusted</w:t>
      </w:r>
      <w:r>
        <w:t xml:space="preserve"> </w:t>
      </w:r>
      <w:r w:rsidRPr="008E565A">
        <w:t xml:space="preserve">for line losses for the period January 2021 through December 2021, are </w:t>
      </w:r>
      <w:r>
        <w:t>as listed in</w:t>
      </w:r>
      <w:r w:rsidRPr="008E565A">
        <w:t xml:space="preserve"> Table </w:t>
      </w:r>
      <w:r>
        <w:t>2</w:t>
      </w:r>
      <w:r w:rsidRPr="008E565A">
        <w:t xml:space="preserve"> below:</w:t>
      </w:r>
    </w:p>
    <w:p w:rsidR="005E515D" w:rsidRDefault="005E515D">
      <w: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520"/>
        <w:gridCol w:w="990"/>
        <w:gridCol w:w="967"/>
        <w:gridCol w:w="1193"/>
        <w:gridCol w:w="1350"/>
        <w:gridCol w:w="1440"/>
      </w:tblGrid>
      <w:tr w:rsidR="00CA28BE" w:rsidRPr="008E565A" w:rsidTr="00BC6BDE">
        <w:trPr>
          <w:cantSplit/>
          <w:tblHeader/>
        </w:trPr>
        <w:tc>
          <w:tcPr>
            <w:tcW w:w="9468" w:type="dxa"/>
            <w:gridSpan w:val="7"/>
            <w:tcBorders>
              <w:top w:val="nil"/>
              <w:left w:val="nil"/>
              <w:bottom w:val="nil"/>
              <w:right w:val="nil"/>
            </w:tcBorders>
            <w:vAlign w:val="center"/>
          </w:tcPr>
          <w:p w:rsidR="00CA28BE" w:rsidRPr="008B55A0" w:rsidRDefault="00CA28BE" w:rsidP="00CA28BE">
            <w:pPr>
              <w:ind w:left="1440" w:hanging="1440"/>
              <w:jc w:val="center"/>
              <w:rPr>
                <w:rFonts w:ascii="Arial" w:hAnsi="Arial" w:cs="Arial"/>
                <w:b/>
              </w:rPr>
            </w:pPr>
            <w:r w:rsidRPr="008E565A">
              <w:rPr>
                <w:rFonts w:ascii="Arial" w:hAnsi="Arial" w:cs="Arial"/>
                <w:b/>
              </w:rPr>
              <w:lastRenderedPageBreak/>
              <w:t>Table 2</w:t>
            </w:r>
          </w:p>
        </w:tc>
      </w:tr>
      <w:tr w:rsidR="00CA28BE" w:rsidRPr="008E565A" w:rsidTr="00BC6BDE">
        <w:trPr>
          <w:cantSplit/>
          <w:tblHeader/>
        </w:trPr>
        <w:tc>
          <w:tcPr>
            <w:tcW w:w="9468" w:type="dxa"/>
            <w:gridSpan w:val="7"/>
            <w:tcBorders>
              <w:top w:val="nil"/>
              <w:left w:val="nil"/>
              <w:right w:val="nil"/>
            </w:tcBorders>
            <w:vAlign w:val="center"/>
          </w:tcPr>
          <w:p w:rsidR="00CA28BE" w:rsidRPr="00757DF9" w:rsidRDefault="00CA28BE" w:rsidP="00CA28BE">
            <w:pPr>
              <w:keepNext/>
              <w:keepLines/>
              <w:jc w:val="center"/>
              <w:rPr>
                <w:b/>
                <w:bCs/>
              </w:rPr>
            </w:pPr>
            <w:r w:rsidRPr="008E565A">
              <w:rPr>
                <w:rFonts w:ascii="Arial" w:hAnsi="Arial" w:cs="Arial"/>
                <w:b/>
              </w:rPr>
              <w:t>Fuel Cost Recovery Factors for the period January-December, 2021</w:t>
            </w:r>
          </w:p>
        </w:tc>
      </w:tr>
      <w:tr w:rsidR="00CA28BE" w:rsidRPr="008E565A" w:rsidTr="00BC6BDE">
        <w:trPr>
          <w:cantSplit/>
          <w:tblHeader/>
        </w:trPr>
        <w:tc>
          <w:tcPr>
            <w:tcW w:w="1008" w:type="dxa"/>
            <w:vMerge w:val="restart"/>
            <w:vAlign w:val="center"/>
          </w:tcPr>
          <w:p w:rsidR="00CA28BE" w:rsidRPr="00757DF9" w:rsidRDefault="00CA28BE" w:rsidP="00A846F1">
            <w:pPr>
              <w:keepNext/>
              <w:keepLines/>
              <w:jc w:val="center"/>
              <w:rPr>
                <w:b/>
                <w:bCs/>
              </w:rPr>
            </w:pPr>
            <w:r w:rsidRPr="00757DF9">
              <w:rPr>
                <w:b/>
                <w:bCs/>
              </w:rPr>
              <w:t>Group</w:t>
            </w:r>
          </w:p>
        </w:tc>
        <w:tc>
          <w:tcPr>
            <w:tcW w:w="2520" w:type="dxa"/>
            <w:vMerge w:val="restart"/>
            <w:vAlign w:val="center"/>
          </w:tcPr>
          <w:p w:rsidR="00CA28BE" w:rsidRPr="00757DF9" w:rsidRDefault="00CA28BE" w:rsidP="00A846F1">
            <w:pPr>
              <w:keepNext/>
              <w:keepLines/>
              <w:jc w:val="center"/>
              <w:rPr>
                <w:b/>
                <w:bCs/>
              </w:rPr>
            </w:pPr>
            <w:r w:rsidRPr="00757DF9">
              <w:rPr>
                <w:b/>
                <w:bCs/>
              </w:rPr>
              <w:t>Delivery</w:t>
            </w:r>
          </w:p>
          <w:p w:rsidR="00CA28BE" w:rsidRPr="00757DF9" w:rsidRDefault="00CA28BE" w:rsidP="00A846F1">
            <w:pPr>
              <w:keepNext/>
              <w:keepLines/>
              <w:jc w:val="center"/>
              <w:rPr>
                <w:b/>
                <w:bCs/>
              </w:rPr>
            </w:pPr>
            <w:r w:rsidRPr="00757DF9">
              <w:rPr>
                <w:b/>
                <w:bCs/>
              </w:rPr>
              <w:t>Voltage Level</w:t>
            </w:r>
          </w:p>
        </w:tc>
        <w:tc>
          <w:tcPr>
            <w:tcW w:w="3150" w:type="dxa"/>
            <w:gridSpan w:val="3"/>
            <w:vAlign w:val="center"/>
          </w:tcPr>
          <w:p w:rsidR="00CA28BE" w:rsidRPr="00757DF9" w:rsidRDefault="00CA28BE" w:rsidP="00A846F1">
            <w:pPr>
              <w:keepNext/>
              <w:keepLines/>
              <w:jc w:val="center"/>
              <w:rPr>
                <w:b/>
                <w:bCs/>
              </w:rPr>
            </w:pPr>
            <w:r w:rsidRPr="00757DF9">
              <w:rPr>
                <w:b/>
                <w:bCs/>
              </w:rPr>
              <w:t>Fuel Cost Recovery Factors (cents/kWh)</w:t>
            </w:r>
          </w:p>
        </w:tc>
        <w:tc>
          <w:tcPr>
            <w:tcW w:w="2790" w:type="dxa"/>
            <w:gridSpan w:val="2"/>
            <w:vAlign w:val="center"/>
          </w:tcPr>
          <w:p w:rsidR="00CA28BE" w:rsidRDefault="00CA28BE" w:rsidP="00A846F1">
            <w:pPr>
              <w:keepNext/>
              <w:keepLines/>
              <w:jc w:val="center"/>
              <w:rPr>
                <w:b/>
                <w:bCs/>
              </w:rPr>
            </w:pPr>
            <w:r w:rsidRPr="00757DF9">
              <w:rPr>
                <w:b/>
                <w:bCs/>
              </w:rPr>
              <w:t>Time of Use</w:t>
            </w:r>
          </w:p>
          <w:p w:rsidR="00CA28BE" w:rsidRPr="00757DF9" w:rsidRDefault="00CA28BE" w:rsidP="00A846F1">
            <w:pPr>
              <w:keepNext/>
              <w:keepLines/>
              <w:jc w:val="center"/>
              <w:rPr>
                <w:b/>
                <w:bCs/>
              </w:rPr>
            </w:pPr>
            <w:r w:rsidRPr="00757DF9">
              <w:rPr>
                <w:b/>
                <w:bCs/>
              </w:rPr>
              <w:t>(cents/kWh)</w:t>
            </w:r>
          </w:p>
        </w:tc>
      </w:tr>
      <w:tr w:rsidR="00CA28BE" w:rsidRPr="008E565A" w:rsidTr="00BC6BDE">
        <w:trPr>
          <w:cantSplit/>
          <w:tblHeader/>
        </w:trPr>
        <w:tc>
          <w:tcPr>
            <w:tcW w:w="1008" w:type="dxa"/>
            <w:vMerge/>
          </w:tcPr>
          <w:p w:rsidR="00CA28BE" w:rsidRPr="00757DF9" w:rsidRDefault="00CA28BE" w:rsidP="00CA28BE">
            <w:pPr>
              <w:keepNext/>
              <w:keepLines/>
              <w:jc w:val="both"/>
              <w:rPr>
                <w:b/>
                <w:bCs/>
              </w:rPr>
            </w:pPr>
          </w:p>
        </w:tc>
        <w:tc>
          <w:tcPr>
            <w:tcW w:w="2520" w:type="dxa"/>
            <w:vMerge/>
          </w:tcPr>
          <w:p w:rsidR="00CA28BE" w:rsidRPr="00757DF9" w:rsidRDefault="00CA28BE" w:rsidP="00CA28BE">
            <w:pPr>
              <w:keepNext/>
              <w:keepLines/>
              <w:jc w:val="both"/>
              <w:rPr>
                <w:b/>
                <w:bCs/>
              </w:rPr>
            </w:pPr>
          </w:p>
        </w:tc>
        <w:tc>
          <w:tcPr>
            <w:tcW w:w="990" w:type="dxa"/>
            <w:vAlign w:val="center"/>
          </w:tcPr>
          <w:p w:rsidR="00CA28BE" w:rsidRPr="00757DF9" w:rsidRDefault="00CA28BE" w:rsidP="00A846F1">
            <w:pPr>
              <w:keepNext/>
              <w:keepLines/>
              <w:jc w:val="center"/>
              <w:rPr>
                <w:b/>
                <w:bCs/>
              </w:rPr>
            </w:pPr>
            <w:r w:rsidRPr="00757DF9">
              <w:rPr>
                <w:b/>
                <w:bCs/>
              </w:rPr>
              <w:t>First Tier</w:t>
            </w:r>
          </w:p>
        </w:tc>
        <w:tc>
          <w:tcPr>
            <w:tcW w:w="967" w:type="dxa"/>
            <w:vAlign w:val="center"/>
          </w:tcPr>
          <w:p w:rsidR="00CA28BE" w:rsidRPr="00757DF9" w:rsidRDefault="00CA28BE" w:rsidP="00CA28BE">
            <w:pPr>
              <w:keepNext/>
              <w:keepLines/>
              <w:jc w:val="both"/>
              <w:rPr>
                <w:b/>
                <w:bCs/>
              </w:rPr>
            </w:pPr>
            <w:r w:rsidRPr="00757DF9">
              <w:rPr>
                <w:b/>
                <w:bCs/>
              </w:rPr>
              <w:t>Second Tier</w:t>
            </w:r>
          </w:p>
        </w:tc>
        <w:tc>
          <w:tcPr>
            <w:tcW w:w="1193" w:type="dxa"/>
            <w:vAlign w:val="center"/>
          </w:tcPr>
          <w:p w:rsidR="00CA28BE" w:rsidRPr="00757DF9" w:rsidRDefault="00CA28BE" w:rsidP="00A846F1">
            <w:pPr>
              <w:keepNext/>
              <w:keepLines/>
              <w:jc w:val="center"/>
              <w:rPr>
                <w:b/>
                <w:bCs/>
              </w:rPr>
            </w:pPr>
            <w:r w:rsidRPr="00757DF9">
              <w:rPr>
                <w:b/>
                <w:bCs/>
              </w:rPr>
              <w:t>Levelized</w:t>
            </w:r>
          </w:p>
        </w:tc>
        <w:tc>
          <w:tcPr>
            <w:tcW w:w="1350" w:type="dxa"/>
            <w:vAlign w:val="center"/>
          </w:tcPr>
          <w:p w:rsidR="00CA28BE" w:rsidRPr="00757DF9" w:rsidRDefault="00CA28BE" w:rsidP="00A846F1">
            <w:pPr>
              <w:keepNext/>
              <w:keepLines/>
              <w:jc w:val="center"/>
              <w:rPr>
                <w:b/>
                <w:bCs/>
              </w:rPr>
            </w:pPr>
            <w:r w:rsidRPr="00757DF9">
              <w:rPr>
                <w:b/>
                <w:bCs/>
              </w:rPr>
              <w:t>On-Peak</w:t>
            </w:r>
          </w:p>
        </w:tc>
        <w:tc>
          <w:tcPr>
            <w:tcW w:w="1440" w:type="dxa"/>
            <w:vAlign w:val="center"/>
          </w:tcPr>
          <w:p w:rsidR="00CA28BE" w:rsidRPr="00757DF9" w:rsidRDefault="00CA28BE" w:rsidP="00A846F1">
            <w:pPr>
              <w:keepNext/>
              <w:keepLines/>
              <w:jc w:val="center"/>
              <w:rPr>
                <w:b/>
                <w:bCs/>
              </w:rPr>
            </w:pPr>
            <w:r w:rsidRPr="00757DF9">
              <w:rPr>
                <w:b/>
                <w:bCs/>
              </w:rPr>
              <w:t>Off-Peak</w:t>
            </w:r>
          </w:p>
        </w:tc>
      </w:tr>
      <w:tr w:rsidR="00CA28BE" w:rsidRPr="008E565A" w:rsidTr="00BC6BDE">
        <w:tc>
          <w:tcPr>
            <w:tcW w:w="1008" w:type="dxa"/>
            <w:vAlign w:val="bottom"/>
          </w:tcPr>
          <w:p w:rsidR="00CA28BE" w:rsidRPr="008E565A" w:rsidRDefault="00CA28BE" w:rsidP="00902E49">
            <w:pPr>
              <w:keepNext/>
              <w:keepLines/>
            </w:pPr>
            <w:r w:rsidRPr="008E565A">
              <w:t>A</w:t>
            </w:r>
          </w:p>
        </w:tc>
        <w:tc>
          <w:tcPr>
            <w:tcW w:w="2520" w:type="dxa"/>
            <w:vAlign w:val="bottom"/>
          </w:tcPr>
          <w:p w:rsidR="00CA28BE" w:rsidRPr="008E565A" w:rsidRDefault="00CA28BE" w:rsidP="00CA28BE">
            <w:pPr>
              <w:keepNext/>
              <w:keepLines/>
              <w:jc w:val="both"/>
            </w:pPr>
            <w:r w:rsidRPr="008E565A">
              <w:t>Transmission</w:t>
            </w:r>
          </w:p>
        </w:tc>
        <w:tc>
          <w:tcPr>
            <w:tcW w:w="990" w:type="dxa"/>
            <w:vAlign w:val="bottom"/>
          </w:tcPr>
          <w:p w:rsidR="00CA28BE" w:rsidRPr="008E565A" w:rsidRDefault="00CA28BE" w:rsidP="00A846F1">
            <w:pPr>
              <w:keepNext/>
              <w:keepLines/>
              <w:jc w:val="center"/>
            </w:pPr>
            <w:r w:rsidRPr="008E565A">
              <w:t>--</w:t>
            </w:r>
          </w:p>
        </w:tc>
        <w:tc>
          <w:tcPr>
            <w:tcW w:w="967" w:type="dxa"/>
            <w:vAlign w:val="bottom"/>
          </w:tcPr>
          <w:p w:rsidR="00CA28BE" w:rsidRPr="008E565A" w:rsidRDefault="00CA28BE" w:rsidP="00902E49">
            <w:pPr>
              <w:keepNext/>
              <w:keepLines/>
              <w:jc w:val="center"/>
            </w:pPr>
            <w:r w:rsidRPr="008E565A">
              <w:t>--</w:t>
            </w:r>
          </w:p>
        </w:tc>
        <w:tc>
          <w:tcPr>
            <w:tcW w:w="1193" w:type="dxa"/>
            <w:vAlign w:val="bottom"/>
          </w:tcPr>
          <w:p w:rsidR="00CA28BE" w:rsidRPr="008E565A" w:rsidRDefault="00CA28BE" w:rsidP="00A846F1">
            <w:pPr>
              <w:keepNext/>
              <w:keepLines/>
              <w:jc w:val="right"/>
            </w:pPr>
            <w:r w:rsidRPr="008E565A">
              <w:t>3.032</w:t>
            </w:r>
          </w:p>
        </w:tc>
        <w:tc>
          <w:tcPr>
            <w:tcW w:w="1350" w:type="dxa"/>
            <w:vAlign w:val="bottom"/>
          </w:tcPr>
          <w:p w:rsidR="00CA28BE" w:rsidRPr="008E565A" w:rsidRDefault="00CA28BE" w:rsidP="00A846F1">
            <w:pPr>
              <w:keepNext/>
              <w:keepLines/>
              <w:jc w:val="right"/>
            </w:pPr>
            <w:r w:rsidRPr="008E565A">
              <w:t>3.793</w:t>
            </w:r>
          </w:p>
        </w:tc>
        <w:tc>
          <w:tcPr>
            <w:tcW w:w="1440" w:type="dxa"/>
            <w:vAlign w:val="bottom"/>
          </w:tcPr>
          <w:p w:rsidR="00CA28BE" w:rsidRPr="008E565A" w:rsidRDefault="00CA28BE" w:rsidP="00A846F1">
            <w:pPr>
              <w:keepNext/>
              <w:keepLines/>
              <w:jc w:val="right"/>
            </w:pPr>
            <w:r w:rsidRPr="008E565A">
              <w:t>2.689</w:t>
            </w:r>
          </w:p>
        </w:tc>
      </w:tr>
      <w:tr w:rsidR="00CA28BE" w:rsidRPr="008E565A" w:rsidTr="00BC6BDE">
        <w:tc>
          <w:tcPr>
            <w:tcW w:w="1008" w:type="dxa"/>
            <w:vAlign w:val="bottom"/>
          </w:tcPr>
          <w:p w:rsidR="00CA28BE" w:rsidRPr="008E565A" w:rsidRDefault="00CA28BE" w:rsidP="00902E49">
            <w:pPr>
              <w:keepNext/>
              <w:keepLines/>
            </w:pPr>
            <w:r w:rsidRPr="008E565A">
              <w:t>B</w:t>
            </w:r>
          </w:p>
        </w:tc>
        <w:tc>
          <w:tcPr>
            <w:tcW w:w="2520" w:type="dxa"/>
            <w:vAlign w:val="bottom"/>
          </w:tcPr>
          <w:p w:rsidR="00CA28BE" w:rsidRPr="008E565A" w:rsidRDefault="00CA28BE" w:rsidP="00CA28BE">
            <w:pPr>
              <w:keepNext/>
              <w:keepLines/>
              <w:jc w:val="both"/>
            </w:pPr>
            <w:r w:rsidRPr="008E565A">
              <w:t>Distribution Primary</w:t>
            </w:r>
          </w:p>
        </w:tc>
        <w:tc>
          <w:tcPr>
            <w:tcW w:w="990" w:type="dxa"/>
            <w:vAlign w:val="bottom"/>
          </w:tcPr>
          <w:p w:rsidR="00CA28BE" w:rsidRPr="008E565A" w:rsidRDefault="00CA28BE" w:rsidP="00A846F1">
            <w:pPr>
              <w:keepNext/>
              <w:keepLines/>
              <w:jc w:val="center"/>
            </w:pPr>
            <w:r w:rsidRPr="008E565A">
              <w:t>--</w:t>
            </w:r>
          </w:p>
        </w:tc>
        <w:tc>
          <w:tcPr>
            <w:tcW w:w="967" w:type="dxa"/>
            <w:vAlign w:val="bottom"/>
          </w:tcPr>
          <w:p w:rsidR="00CA28BE" w:rsidRPr="008E565A" w:rsidRDefault="00CA28BE" w:rsidP="00902E49">
            <w:pPr>
              <w:keepNext/>
              <w:keepLines/>
              <w:jc w:val="center"/>
            </w:pPr>
            <w:r w:rsidRPr="008E565A">
              <w:t>--</w:t>
            </w:r>
          </w:p>
        </w:tc>
        <w:tc>
          <w:tcPr>
            <w:tcW w:w="1193" w:type="dxa"/>
            <w:vAlign w:val="bottom"/>
          </w:tcPr>
          <w:p w:rsidR="00CA28BE" w:rsidRPr="008E565A" w:rsidRDefault="00CA28BE" w:rsidP="00A846F1">
            <w:pPr>
              <w:keepNext/>
              <w:keepLines/>
              <w:jc w:val="right"/>
            </w:pPr>
            <w:r w:rsidRPr="008E565A">
              <w:t>3.063</w:t>
            </w:r>
          </w:p>
        </w:tc>
        <w:tc>
          <w:tcPr>
            <w:tcW w:w="1350" w:type="dxa"/>
            <w:vAlign w:val="bottom"/>
          </w:tcPr>
          <w:p w:rsidR="00CA28BE" w:rsidRPr="008E565A" w:rsidRDefault="00CA28BE" w:rsidP="00A846F1">
            <w:pPr>
              <w:keepNext/>
              <w:keepLines/>
              <w:jc w:val="right"/>
            </w:pPr>
            <w:r w:rsidRPr="008E565A">
              <w:t>3.832</w:t>
            </w:r>
          </w:p>
        </w:tc>
        <w:tc>
          <w:tcPr>
            <w:tcW w:w="1440" w:type="dxa"/>
            <w:vAlign w:val="bottom"/>
          </w:tcPr>
          <w:p w:rsidR="00CA28BE" w:rsidRPr="008E565A" w:rsidRDefault="00CA28BE" w:rsidP="00A846F1">
            <w:pPr>
              <w:keepNext/>
              <w:keepLines/>
              <w:jc w:val="right"/>
            </w:pPr>
            <w:r w:rsidRPr="008E565A">
              <w:t>2.717</w:t>
            </w:r>
          </w:p>
        </w:tc>
      </w:tr>
      <w:tr w:rsidR="00CA28BE" w:rsidRPr="008E565A" w:rsidTr="00BC6BDE">
        <w:tc>
          <w:tcPr>
            <w:tcW w:w="1008" w:type="dxa"/>
            <w:vAlign w:val="bottom"/>
          </w:tcPr>
          <w:p w:rsidR="00CA28BE" w:rsidRPr="008E565A" w:rsidRDefault="00CA28BE" w:rsidP="00902E49">
            <w:pPr>
              <w:keepNext/>
              <w:keepLines/>
            </w:pPr>
            <w:r w:rsidRPr="008E565A">
              <w:t>C</w:t>
            </w:r>
          </w:p>
        </w:tc>
        <w:tc>
          <w:tcPr>
            <w:tcW w:w="2520" w:type="dxa"/>
            <w:vAlign w:val="bottom"/>
          </w:tcPr>
          <w:p w:rsidR="00CA28BE" w:rsidRPr="008E565A" w:rsidRDefault="00CA28BE" w:rsidP="00CA28BE">
            <w:pPr>
              <w:keepNext/>
              <w:keepLines/>
              <w:jc w:val="both"/>
            </w:pPr>
            <w:r w:rsidRPr="008E565A">
              <w:t>Distribution Secondary</w:t>
            </w:r>
          </w:p>
        </w:tc>
        <w:tc>
          <w:tcPr>
            <w:tcW w:w="990" w:type="dxa"/>
            <w:vAlign w:val="bottom"/>
          </w:tcPr>
          <w:p w:rsidR="00CA28BE" w:rsidRPr="008E565A" w:rsidRDefault="00CA28BE" w:rsidP="00A846F1">
            <w:pPr>
              <w:keepNext/>
              <w:keepLines/>
              <w:jc w:val="right"/>
            </w:pPr>
            <w:r w:rsidRPr="008E565A">
              <w:t>2.811</w:t>
            </w:r>
          </w:p>
        </w:tc>
        <w:tc>
          <w:tcPr>
            <w:tcW w:w="967" w:type="dxa"/>
            <w:vAlign w:val="bottom"/>
          </w:tcPr>
          <w:p w:rsidR="00CA28BE" w:rsidRPr="008E565A" w:rsidRDefault="00CA28BE" w:rsidP="00902E49">
            <w:pPr>
              <w:keepNext/>
              <w:keepLines/>
              <w:jc w:val="right"/>
            </w:pPr>
            <w:r w:rsidRPr="008E565A">
              <w:t>3.811</w:t>
            </w:r>
          </w:p>
        </w:tc>
        <w:tc>
          <w:tcPr>
            <w:tcW w:w="1193" w:type="dxa"/>
            <w:vAlign w:val="bottom"/>
          </w:tcPr>
          <w:p w:rsidR="00CA28BE" w:rsidRPr="008E565A" w:rsidRDefault="00CA28BE" w:rsidP="00A846F1">
            <w:pPr>
              <w:keepNext/>
              <w:keepLines/>
              <w:jc w:val="right"/>
            </w:pPr>
            <w:r w:rsidRPr="008E565A">
              <w:t>3.094</w:t>
            </w:r>
          </w:p>
        </w:tc>
        <w:tc>
          <w:tcPr>
            <w:tcW w:w="1350" w:type="dxa"/>
            <w:vAlign w:val="bottom"/>
          </w:tcPr>
          <w:p w:rsidR="00CA28BE" w:rsidRPr="008E565A" w:rsidRDefault="00CA28BE" w:rsidP="00A846F1">
            <w:pPr>
              <w:keepNext/>
              <w:keepLines/>
              <w:jc w:val="right"/>
            </w:pPr>
            <w:r w:rsidRPr="008E565A">
              <w:t>3.871</w:t>
            </w:r>
          </w:p>
        </w:tc>
        <w:tc>
          <w:tcPr>
            <w:tcW w:w="1440" w:type="dxa"/>
            <w:vAlign w:val="bottom"/>
          </w:tcPr>
          <w:p w:rsidR="00CA28BE" w:rsidRPr="008E565A" w:rsidRDefault="00CA28BE" w:rsidP="00A846F1">
            <w:pPr>
              <w:keepNext/>
              <w:keepLines/>
              <w:jc w:val="right"/>
            </w:pPr>
            <w:r w:rsidRPr="008E565A">
              <w:t>2.744</w:t>
            </w:r>
          </w:p>
        </w:tc>
      </w:tr>
      <w:tr w:rsidR="00CA28BE" w:rsidRPr="008E565A" w:rsidTr="00BC6BDE">
        <w:trPr>
          <w:trHeight w:val="251"/>
        </w:trPr>
        <w:tc>
          <w:tcPr>
            <w:tcW w:w="1008" w:type="dxa"/>
            <w:vAlign w:val="bottom"/>
          </w:tcPr>
          <w:p w:rsidR="00CA28BE" w:rsidRPr="008E565A" w:rsidRDefault="00CA28BE" w:rsidP="00902E49">
            <w:pPr>
              <w:keepNext/>
              <w:keepLines/>
            </w:pPr>
            <w:r w:rsidRPr="008E565A">
              <w:t>D</w:t>
            </w:r>
          </w:p>
        </w:tc>
        <w:tc>
          <w:tcPr>
            <w:tcW w:w="2520" w:type="dxa"/>
            <w:vAlign w:val="bottom"/>
          </w:tcPr>
          <w:p w:rsidR="00CA28BE" w:rsidRPr="008E565A" w:rsidRDefault="00CA28BE" w:rsidP="00CA28BE">
            <w:pPr>
              <w:keepNext/>
              <w:keepLines/>
              <w:jc w:val="both"/>
            </w:pPr>
            <w:r w:rsidRPr="008E565A">
              <w:t>Lighting Service</w:t>
            </w:r>
          </w:p>
        </w:tc>
        <w:tc>
          <w:tcPr>
            <w:tcW w:w="990" w:type="dxa"/>
            <w:vAlign w:val="bottom"/>
          </w:tcPr>
          <w:p w:rsidR="00CA28BE" w:rsidRPr="008E565A" w:rsidRDefault="00CA28BE" w:rsidP="00A846F1">
            <w:pPr>
              <w:keepNext/>
              <w:keepLines/>
              <w:jc w:val="center"/>
            </w:pPr>
            <w:r w:rsidRPr="008E565A">
              <w:t>--</w:t>
            </w:r>
          </w:p>
        </w:tc>
        <w:tc>
          <w:tcPr>
            <w:tcW w:w="967" w:type="dxa"/>
            <w:vAlign w:val="bottom"/>
          </w:tcPr>
          <w:p w:rsidR="00CA28BE" w:rsidRPr="008E565A" w:rsidRDefault="00CA28BE" w:rsidP="00902E49">
            <w:pPr>
              <w:keepNext/>
              <w:keepLines/>
              <w:jc w:val="center"/>
            </w:pPr>
            <w:r w:rsidRPr="008E565A">
              <w:t>--</w:t>
            </w:r>
          </w:p>
        </w:tc>
        <w:tc>
          <w:tcPr>
            <w:tcW w:w="1193" w:type="dxa"/>
            <w:vAlign w:val="bottom"/>
          </w:tcPr>
          <w:p w:rsidR="00CA28BE" w:rsidRPr="008E565A" w:rsidRDefault="00CA28BE" w:rsidP="00A846F1">
            <w:pPr>
              <w:keepNext/>
              <w:keepLines/>
              <w:jc w:val="right"/>
            </w:pPr>
            <w:r w:rsidRPr="008E565A">
              <w:t>2.955</w:t>
            </w:r>
          </w:p>
        </w:tc>
        <w:tc>
          <w:tcPr>
            <w:tcW w:w="1350" w:type="dxa"/>
            <w:vAlign w:val="bottom"/>
          </w:tcPr>
          <w:p w:rsidR="00CA28BE" w:rsidRPr="008E565A" w:rsidRDefault="00CA28BE" w:rsidP="00A846F1">
            <w:pPr>
              <w:keepNext/>
              <w:keepLines/>
              <w:jc w:val="center"/>
            </w:pPr>
            <w:r w:rsidRPr="008E565A">
              <w:t>--</w:t>
            </w:r>
          </w:p>
        </w:tc>
        <w:tc>
          <w:tcPr>
            <w:tcW w:w="1440" w:type="dxa"/>
            <w:vAlign w:val="bottom"/>
          </w:tcPr>
          <w:p w:rsidR="00CA28BE" w:rsidRPr="008E565A" w:rsidRDefault="00CA28BE" w:rsidP="00A846F1">
            <w:pPr>
              <w:keepNext/>
              <w:keepLines/>
              <w:jc w:val="center"/>
            </w:pPr>
            <w:r w:rsidRPr="008E565A">
              <w:t>--</w:t>
            </w:r>
          </w:p>
        </w:tc>
      </w:tr>
    </w:tbl>
    <w:p w:rsidR="00CA28BE" w:rsidRDefault="00CA28BE" w:rsidP="00CA28BE">
      <w:pPr>
        <w:ind w:left="720" w:hanging="720"/>
        <w:jc w:val="both"/>
        <w:rPr>
          <w:sz w:val="22"/>
          <w:szCs w:val="22"/>
        </w:rPr>
      </w:pPr>
      <w:r w:rsidRPr="008E565A">
        <w:fldChar w:fldCharType="begin"/>
      </w:r>
      <w:r w:rsidRPr="008E565A">
        <w:instrText>ADVANCE \u3</w:instrText>
      </w:r>
      <w:r w:rsidRPr="008E565A">
        <w:fldChar w:fldCharType="end"/>
      </w:r>
      <w:r w:rsidRPr="008E565A">
        <w:rPr>
          <w:sz w:val="22"/>
          <w:szCs w:val="22"/>
        </w:rPr>
        <w:t xml:space="preserve"> Source: </w:t>
      </w:r>
      <w:r>
        <w:rPr>
          <w:sz w:val="22"/>
          <w:szCs w:val="22"/>
        </w:rPr>
        <w:t>E</w:t>
      </w:r>
      <w:r w:rsidR="00B24FAB">
        <w:rPr>
          <w:sz w:val="22"/>
          <w:szCs w:val="22"/>
        </w:rPr>
        <w:t>xhibit No. 7.</w:t>
      </w:r>
    </w:p>
    <w:p w:rsidR="00CA28BE" w:rsidRDefault="00CA28BE" w:rsidP="00CA28BE">
      <w:pPr>
        <w:ind w:left="720" w:hanging="720"/>
        <w:jc w:val="both"/>
        <w:rPr>
          <w:sz w:val="22"/>
          <w:szCs w:val="22"/>
        </w:rPr>
      </w:pPr>
    </w:p>
    <w:p w:rsidR="00B24FAB" w:rsidRDefault="00B24FAB" w:rsidP="005E515D">
      <w:pPr>
        <w:jc w:val="both"/>
      </w:pPr>
      <w:r>
        <w:tab/>
        <w:t>We a</w:t>
      </w:r>
      <w:r w:rsidR="00224409">
        <w:t>gree with</w:t>
      </w:r>
      <w:r>
        <w:t xml:space="preserve"> the testimony of witness Menendez and find that the appropriate fuel cost recovery actors for each rate class/delivery voltage level class, adjusted for line losses, are as listed on Table 2. </w:t>
      </w:r>
    </w:p>
    <w:p w:rsidR="005E515D" w:rsidRDefault="005E515D" w:rsidP="005E515D">
      <w:pPr>
        <w:jc w:val="both"/>
      </w:pPr>
    </w:p>
    <w:p w:rsidR="005E515D" w:rsidRPr="00BC4AE3" w:rsidRDefault="005E515D" w:rsidP="00BC4AE3">
      <w:pPr>
        <w:pStyle w:val="BodyText"/>
        <w:jc w:val="both"/>
        <w:rPr>
          <w:b/>
        </w:rPr>
      </w:pPr>
      <w:r w:rsidRPr="00BC4AE3">
        <w:rPr>
          <w:b/>
        </w:rPr>
        <w:t>NON-CONTESTED ISSUES</w:t>
      </w:r>
    </w:p>
    <w:p w:rsidR="005E515D" w:rsidRDefault="005E515D" w:rsidP="00BC4AE3">
      <w:pPr>
        <w:pStyle w:val="BodyText"/>
        <w:jc w:val="both"/>
      </w:pPr>
      <w:r w:rsidRPr="00BC4AE3">
        <w:tab/>
      </w:r>
      <w:r w:rsidR="00BC4AE3" w:rsidRPr="00BC4AE3">
        <w:t xml:space="preserve">The remaining </w:t>
      </w:r>
      <w:r w:rsidR="00BC4AE3">
        <w:t>DEF issues</w:t>
      </w:r>
      <w:r w:rsidR="004F71FA">
        <w:t xml:space="preserve"> in this case are not affected by our decision on what action to take regarding the Bartow Unit 4 February 2017 outage</w:t>
      </w:r>
      <w:r w:rsidR="00BC4AE3">
        <w:t>.  The Intervenors did not take positions on these issues</w:t>
      </w:r>
      <w:r w:rsidR="00842F9D">
        <w:t xml:space="preserve"> at the Prehearing Conference </w:t>
      </w:r>
      <w:r w:rsidR="00C87A4E">
        <w:t xml:space="preserve">and agreed at that time not to </w:t>
      </w:r>
      <w:r w:rsidR="00BC4AE3">
        <w:t>brief</w:t>
      </w:r>
      <w:r w:rsidR="00842F9D">
        <w:t xml:space="preserve"> them</w:t>
      </w:r>
      <w:r w:rsidR="00C87A4E">
        <w:t xml:space="preserve"> and did not do so.  With regard to these issues OPC stated as follows: </w:t>
      </w:r>
    </w:p>
    <w:p w:rsidR="00C87A4E" w:rsidRDefault="00C87A4E" w:rsidP="00C87A4E">
      <w:pPr>
        <w:pStyle w:val="BodyText"/>
        <w:ind w:left="720" w:right="720"/>
        <w:jc w:val="both"/>
      </w:pPr>
      <w:bookmarkStart w:id="6" w:name="_Hlk55451850"/>
      <w:r w:rsidRPr="00DF15BC">
        <w:t>OPC takes no position on this issue nor does it have the burden of proof related to it.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bookmarkEnd w:id="6"/>
    </w:p>
    <w:p w:rsidR="00C87A4E" w:rsidRDefault="00C87A4E" w:rsidP="00324A2A">
      <w:pPr>
        <w:pStyle w:val="BodyText"/>
        <w:jc w:val="both"/>
      </w:pPr>
      <w:r>
        <w:tab/>
      </w:r>
      <w:r w:rsidR="00934BCE">
        <w:t xml:space="preserve">FIPUG </w:t>
      </w:r>
      <w:r>
        <w:t>agreed</w:t>
      </w:r>
      <w:r w:rsidR="00934BCE">
        <w:t xml:space="preserve"> with OPC’s statement on all remaining DEF issues.  PCS Phosphate agreed with OPC’s statement for all issues except </w:t>
      </w:r>
      <w:r w:rsidR="004F71FA">
        <w:t xml:space="preserve">for the treatment of the </w:t>
      </w:r>
      <w:r w:rsidR="00071C29">
        <w:t xml:space="preserve">three year </w:t>
      </w:r>
      <w:r w:rsidR="004F71FA">
        <w:t>reduction in Flor</w:t>
      </w:r>
      <w:r w:rsidR="00071C29">
        <w:t>i</w:t>
      </w:r>
      <w:r w:rsidR="004F71FA">
        <w:t>da’s corporate income tax rate</w:t>
      </w:r>
      <w:r w:rsidR="00071C29">
        <w:t xml:space="preserve"> </w:t>
      </w:r>
      <w:r w:rsidR="00934BCE">
        <w:t>where they agreed with DEF’s position.  Given these facts</w:t>
      </w:r>
      <w:r>
        <w:t>, we find that DEF’s positions</w:t>
      </w:r>
      <w:r w:rsidR="006A1242">
        <w:t xml:space="preserve"> on these issues, as discussed below, </w:t>
      </w:r>
      <w:r w:rsidR="00A924D2">
        <w:t xml:space="preserve">shall be </w:t>
      </w:r>
      <w:r w:rsidR="00934BCE">
        <w:t>approved</w:t>
      </w:r>
      <w:r w:rsidR="006A1242">
        <w:t>.</w:t>
      </w:r>
    </w:p>
    <w:p w:rsidR="006A1242" w:rsidRDefault="006A1242" w:rsidP="006A1242">
      <w:pPr>
        <w:pStyle w:val="BodyText"/>
        <w:jc w:val="both"/>
      </w:pPr>
      <w:r>
        <w:tab/>
        <w:t xml:space="preserve">The appropriate </w:t>
      </w:r>
      <w:r w:rsidR="00071C29">
        <w:t xml:space="preserve">2020 </w:t>
      </w:r>
      <w:r>
        <w:t xml:space="preserve">benchmark </w:t>
      </w:r>
      <w:r w:rsidR="00071C29">
        <w:t xml:space="preserve">for gains on non-separated wholesale energy sales eligible for a shareholder incentive </w:t>
      </w:r>
      <w:r>
        <w:t>is a three-year rolling average of actual prior gains on non-separated wholesale energy sales. DEF’s customers will retain 100 percent of the gain at or below</w:t>
      </w:r>
      <w:r w:rsidRPr="00985EEC">
        <w:t xml:space="preserve"> </w:t>
      </w:r>
      <w:r>
        <w:t xml:space="preserve">the benchmark level, and 80 percent above the benchmark level, while DEF’s shareholders will retain 20 percent of the gain in excess of the prior three-year rolling benchmark.  This methodology was approved by </w:t>
      </w:r>
      <w:r w:rsidR="00071C29">
        <w:t>us</w:t>
      </w:r>
      <w:r>
        <w:t xml:space="preserve"> in Order No. PSC-01-2371-FOF-EI.</w:t>
      </w:r>
      <w:r>
        <w:rPr>
          <w:rStyle w:val="FootnoteReference"/>
        </w:rPr>
        <w:footnoteReference w:id="4"/>
      </w:r>
      <w:r>
        <w:t xml:space="preserve">  The relevant time period of this analysis is calendar years 2017 through 2019.  DEF witness Menendez testified that the 2017-2019 benchmark, or three-year rolling average gain on economy sales is </w:t>
      </w:r>
      <w:r w:rsidRPr="00B52537">
        <w:t>$1,602,141.</w:t>
      </w:r>
      <w:r>
        <w:t xml:space="preserve">  We agree with this testimony and hereby find that the appropriate </w:t>
      </w:r>
      <w:r>
        <w:lastRenderedPageBreak/>
        <w:t xml:space="preserve">actual benchmark level of gains on non-separated energy sales eligible for a shareholder incentive in 2020 is $1,602,141.  </w:t>
      </w:r>
    </w:p>
    <w:p w:rsidR="006A1242" w:rsidRDefault="00324A2A" w:rsidP="00324A2A">
      <w:pPr>
        <w:pStyle w:val="BodyText"/>
        <w:jc w:val="both"/>
      </w:pPr>
      <w:r>
        <w:tab/>
      </w:r>
      <w:r w:rsidR="00071C29">
        <w:t xml:space="preserve">We next address </w:t>
      </w:r>
      <w:r w:rsidRPr="00E82430">
        <w:t>DEF’s</w:t>
      </w:r>
      <w:r w:rsidRPr="00C13750">
        <w:t xml:space="preserve"> 202</w:t>
      </w:r>
      <w:r>
        <w:t>1</w:t>
      </w:r>
      <w:r w:rsidRPr="00C13750">
        <w:t xml:space="preserve"> </w:t>
      </w:r>
      <w:r>
        <w:t xml:space="preserve">estimated </w:t>
      </w:r>
      <w:r w:rsidRPr="00C13750">
        <w:t>benchmark for gains on non-separated wholesale energy sales eligible for</w:t>
      </w:r>
      <w:r>
        <w:t xml:space="preserve"> shareholder incentive.  DEF’s customers will retain 100 percent of the gain at or below</w:t>
      </w:r>
      <w:r w:rsidRPr="00985EEC">
        <w:t xml:space="preserve"> </w:t>
      </w:r>
      <w:r>
        <w:t>the benchmark level, and 80 percent above the benchmark level, while DEF’s shareholders will retain 20 percent of the gain in excess of the prior three-year rolling average.</w:t>
      </w:r>
      <w:r>
        <w:rPr>
          <w:rStyle w:val="FootnoteReference"/>
        </w:rPr>
        <w:footnoteReference w:id="5"/>
      </w:r>
      <w:r w:rsidR="00804230">
        <w:t xml:space="preserve">  </w:t>
      </w:r>
      <w:r>
        <w:t xml:space="preserve">DEF witness Menendez testified that </w:t>
      </w:r>
      <w:r w:rsidRPr="00C13750">
        <w:t>DEF’s 202</w:t>
      </w:r>
      <w:r>
        <w:t>1</w:t>
      </w:r>
      <w:r w:rsidRPr="00C13750">
        <w:t xml:space="preserve"> </w:t>
      </w:r>
      <w:r>
        <w:t xml:space="preserve">estimated </w:t>
      </w:r>
      <w:r w:rsidRPr="00C13750">
        <w:t>benchmark for gains on non-separated wholesale energy sales eligible for</w:t>
      </w:r>
      <w:r>
        <w:t xml:space="preserve"> a shareholder incentive</w:t>
      </w:r>
      <w:r w:rsidRPr="00B52537">
        <w:t xml:space="preserve"> </w:t>
      </w:r>
      <w:r>
        <w:t xml:space="preserve">is </w:t>
      </w:r>
      <w:r w:rsidRPr="00B52537">
        <w:t>$1,6</w:t>
      </w:r>
      <w:r>
        <w:t>8</w:t>
      </w:r>
      <w:r w:rsidRPr="00B52537">
        <w:t>2,</w:t>
      </w:r>
      <w:r>
        <w:t>538</w:t>
      </w:r>
      <w:r w:rsidRPr="00B52537">
        <w:t>.</w:t>
      </w:r>
      <w:r>
        <w:t xml:space="preserve">  We </w:t>
      </w:r>
      <w:r w:rsidR="00CA1377">
        <w:t xml:space="preserve">agree </w:t>
      </w:r>
      <w:r>
        <w:t xml:space="preserve">and find that </w:t>
      </w:r>
      <w:r w:rsidRPr="00C13750">
        <w:t>DEF’s 202</w:t>
      </w:r>
      <w:r>
        <w:t>1</w:t>
      </w:r>
      <w:r w:rsidRPr="00C13750">
        <w:t xml:space="preserve"> </w:t>
      </w:r>
      <w:r>
        <w:t xml:space="preserve">estimated </w:t>
      </w:r>
      <w:r w:rsidRPr="00C13750">
        <w:t>benchmark for gains on non-separated wholesale energy sales eligible for</w:t>
      </w:r>
      <w:r>
        <w:t xml:space="preserve"> a shareholder incentive</w:t>
      </w:r>
      <w:r w:rsidRPr="00B52537">
        <w:t xml:space="preserve"> </w:t>
      </w:r>
      <w:r>
        <w:t xml:space="preserve">is </w:t>
      </w:r>
      <w:r w:rsidRPr="00B52537">
        <w:t>$1,6</w:t>
      </w:r>
      <w:r>
        <w:t>8</w:t>
      </w:r>
      <w:r w:rsidRPr="00B52537">
        <w:t>2,</w:t>
      </w:r>
      <w:r>
        <w:t>538</w:t>
      </w:r>
      <w:r w:rsidRPr="00B52537">
        <w:t>.</w:t>
      </w:r>
    </w:p>
    <w:p w:rsidR="00324A2A" w:rsidRDefault="00324A2A" w:rsidP="00324A2A">
      <w:pPr>
        <w:pStyle w:val="BodyText"/>
        <w:jc w:val="both"/>
      </w:pPr>
      <w:r>
        <w:tab/>
      </w:r>
      <w:r w:rsidRPr="00E82430">
        <w:t>DEF’s</w:t>
      </w:r>
      <w:r>
        <w:t xml:space="preserve"> final fuel revenue true-up amount for the period January 2019 through December 2019 represents the difference between calendar-year 2019 actual fuel cost and period-applicable revenue that was collected to cover such cost.  </w:t>
      </w:r>
      <w:r w:rsidR="00CC0BCE">
        <w:t>W</w:t>
      </w:r>
      <w:r w:rsidR="000E7ABA">
        <w:t>e find that</w:t>
      </w:r>
      <w:r w:rsidRPr="006E6205">
        <w:t xml:space="preserve"> </w:t>
      </w:r>
      <w:r>
        <w:t xml:space="preserve">the appropriate final fuel adjustment true-up amount for the period January 2019 through December 2019 is an </w:t>
      </w:r>
      <w:r w:rsidRPr="00732C78">
        <w:t xml:space="preserve">under-recovery </w:t>
      </w:r>
      <w:r>
        <w:t xml:space="preserve">of </w:t>
      </w:r>
      <w:r w:rsidRPr="00732C78">
        <w:t xml:space="preserve">$21,535,230, which was </w:t>
      </w:r>
      <w:r>
        <w:t>incorporated in</w:t>
      </w:r>
      <w:r w:rsidR="00804230">
        <w:t>to</w:t>
      </w:r>
      <w:r>
        <w:t xml:space="preserve"> DEF’s mid-course fuel factors approved by Order No. </w:t>
      </w:r>
      <w:r w:rsidRPr="00F97F23">
        <w:t>PSC-2020-0154-PCO-EI</w:t>
      </w:r>
      <w:r>
        <w:t>.</w:t>
      </w:r>
    </w:p>
    <w:p w:rsidR="000E7ABA" w:rsidRDefault="000E7ABA" w:rsidP="000E7ABA">
      <w:pPr>
        <w:pStyle w:val="BodyText"/>
        <w:jc w:val="both"/>
      </w:pPr>
      <w:r>
        <w:tab/>
      </w:r>
      <w:r w:rsidRPr="00395F39">
        <w:t>DEF’s actual/estimated fuel revenue true-up amount for the period January 2020 through December 2020</w:t>
      </w:r>
      <w:r>
        <w:t xml:space="preserve"> is based on</w:t>
      </w:r>
      <w:r w:rsidRPr="00395F39">
        <w:t xml:space="preserve"> six months (January-June 2020) of actual fuel cost- and revenue-related data, and a re-</w:t>
      </w:r>
      <w:r>
        <w:t>estimated</w:t>
      </w:r>
      <w:r w:rsidRPr="00395F39">
        <w:t xml:space="preserve"> six months (July-Dec</w:t>
      </w:r>
      <w:r>
        <w:t>ember</w:t>
      </w:r>
      <w:r w:rsidRPr="00395F39">
        <w:t xml:space="preserve"> 2020) of fuel cost- and revenue-related data</w:t>
      </w:r>
      <w:r>
        <w:t xml:space="preserve"> relative to the in</w:t>
      </w:r>
      <w:r w:rsidR="00934BCE">
        <w:t>i</w:t>
      </w:r>
      <w:r>
        <w:t>tial 12-month projection performed the prior year</w:t>
      </w:r>
      <w:r w:rsidRPr="00395F39">
        <w:t>.</w:t>
      </w:r>
      <w:r w:rsidRPr="00E82430">
        <w:t xml:space="preserve"> </w:t>
      </w:r>
      <w:r w:rsidR="00CA1377">
        <w:t>T</w:t>
      </w:r>
      <w:r w:rsidRPr="00E82430">
        <w:t xml:space="preserve">he record evidence in this </w:t>
      </w:r>
      <w:r>
        <w:t>proceeding</w:t>
      </w:r>
      <w:r w:rsidRPr="00E82430">
        <w:t xml:space="preserve"> </w:t>
      </w:r>
      <w:r>
        <w:t>es</w:t>
      </w:r>
      <w:r w:rsidR="009A6D12">
        <w:t>tablishes</w:t>
      </w:r>
      <w:r>
        <w:t xml:space="preserve"> </w:t>
      </w:r>
      <w:r w:rsidRPr="00E82430">
        <w:t>the actual</w:t>
      </w:r>
      <w:r>
        <w:t>/estimated</w:t>
      </w:r>
      <w:r w:rsidRPr="00E82430">
        <w:t xml:space="preserve"> fuel revenue true-up amount for the period January 20</w:t>
      </w:r>
      <w:r>
        <w:t>20</w:t>
      </w:r>
      <w:r w:rsidRPr="00E82430">
        <w:t xml:space="preserve"> through December 20</w:t>
      </w:r>
      <w:r>
        <w:t>20</w:t>
      </w:r>
      <w:r w:rsidRPr="00E82430">
        <w:t xml:space="preserve"> is an </w:t>
      </w:r>
      <w:r>
        <w:t>ov</w:t>
      </w:r>
      <w:r w:rsidRPr="00E82430">
        <w:t xml:space="preserve">er-recovery of </w:t>
      </w:r>
      <w:r w:rsidRPr="00732C78">
        <w:t>$160,850,438</w:t>
      </w:r>
      <w:r>
        <w:t xml:space="preserve">.  However, DEF incorporated a two-month actual/ten-month estimated 2020 fuel revenue net over-recovery of </w:t>
      </w:r>
      <w:r w:rsidRPr="00732C78">
        <w:t>$</w:t>
      </w:r>
      <w:r>
        <w:t>78</w:t>
      </w:r>
      <w:r w:rsidRPr="00732C78">
        <w:t>,</w:t>
      </w:r>
      <w:r>
        <w:t>231</w:t>
      </w:r>
      <w:r w:rsidRPr="00732C78">
        <w:t>,</w:t>
      </w:r>
      <w:r>
        <w:t xml:space="preserve">785 ($99,767,015 gross projected 2020 over-recovery) in developing its then-proposed mid-course fuel factors that were approved in Order No. </w:t>
      </w:r>
      <w:r w:rsidRPr="00F97F23">
        <w:t>PSC-2020-0154-PCO-EI</w:t>
      </w:r>
      <w:r>
        <w:t>.</w:t>
      </w:r>
      <w:r w:rsidR="00804230">
        <w:t xml:space="preserve"> </w:t>
      </w:r>
      <w:r>
        <w:t xml:space="preserve">  As such, </w:t>
      </w:r>
      <w:r w:rsidR="00CC263E">
        <w:t xml:space="preserve">we find that </w:t>
      </w:r>
      <w:r>
        <w:t>the effective remaining actual/estimated true-up amount to be included in DEF’s 2021 fuel cost recovery factors</w:t>
      </w:r>
      <w:r w:rsidR="00804230">
        <w:t xml:space="preserve"> </w:t>
      </w:r>
      <w:r>
        <w:t>is an over-recovery of $61,083,424.</w:t>
      </w:r>
    </w:p>
    <w:p w:rsidR="00CC263E" w:rsidRDefault="00CC263E" w:rsidP="00CC263E">
      <w:pPr>
        <w:pStyle w:val="BodyText"/>
        <w:jc w:val="both"/>
      </w:pPr>
      <w:r>
        <w:tab/>
      </w:r>
      <w:bookmarkStart w:id="7" w:name="_Hlk55539472"/>
      <w:r w:rsidR="00804230">
        <w:t xml:space="preserve">We next address </w:t>
      </w:r>
      <w:r>
        <w:t xml:space="preserve">the </w:t>
      </w:r>
      <w:r w:rsidRPr="00FA5EA3">
        <w:t xml:space="preserve">appropriate generating performance incentive factor </w:t>
      </w:r>
      <w:r>
        <w:t>(</w:t>
      </w:r>
      <w:r w:rsidRPr="00FA5EA3">
        <w:t>GPIF</w:t>
      </w:r>
      <w:r>
        <w:t>)</w:t>
      </w:r>
      <w:r w:rsidRPr="00FA5EA3">
        <w:t xml:space="preserve"> reward or penalty for ac</w:t>
      </w:r>
      <w:r>
        <w:t>tual</w:t>
      </w:r>
      <w:r w:rsidRPr="00FA5EA3">
        <w:t xml:space="preserve"> generating unit</w:t>
      </w:r>
      <w:r>
        <w:t xml:space="preserve"> availability and</w:t>
      </w:r>
      <w:r w:rsidRPr="00FA5EA3">
        <w:t xml:space="preserve"> heat rate efficiency during the period January 2019 through December 2019</w:t>
      </w:r>
      <w:r>
        <w:t xml:space="preserve">.  The purpose of the </w:t>
      </w:r>
      <w:r w:rsidRPr="00FA5EA3">
        <w:t>GPIF</w:t>
      </w:r>
      <w:r>
        <w:t xml:space="preserve"> program is</w:t>
      </w:r>
      <w:r w:rsidRPr="00FA5EA3">
        <w:t xml:space="preserve"> to encourage </w:t>
      </w:r>
      <w:r>
        <w:t xml:space="preserve">generating </w:t>
      </w:r>
      <w:r w:rsidRPr="00FA5EA3">
        <w:t>utilit</w:t>
      </w:r>
      <w:r>
        <w:t>ies</w:t>
      </w:r>
      <w:r w:rsidRPr="00FA5EA3">
        <w:t xml:space="preserve"> to maximize </w:t>
      </w:r>
      <w:r>
        <w:t>the</w:t>
      </w:r>
      <w:r w:rsidRPr="00FA5EA3">
        <w:t xml:space="preserve"> heat</w:t>
      </w:r>
      <w:r>
        <w:t xml:space="preserve"> </w:t>
      </w:r>
      <w:r w:rsidRPr="00FA5EA3">
        <w:t>rate efficiency</w:t>
      </w:r>
      <w:r>
        <w:t xml:space="preserve"> of their production units.  A generating</w:t>
      </w:r>
      <w:r w:rsidRPr="00FA5EA3">
        <w:t xml:space="preserve"> utility will either </w:t>
      </w:r>
      <w:r>
        <w:t>achieve</w:t>
      </w:r>
      <w:r w:rsidRPr="00FA5EA3">
        <w:t xml:space="preserve"> a reward</w:t>
      </w:r>
      <w:r>
        <w:t>,</w:t>
      </w:r>
      <w:r w:rsidRPr="00FA5EA3">
        <w:t xml:space="preserve"> or incur a penalty</w:t>
      </w:r>
      <w:r>
        <w:t>,</w:t>
      </w:r>
      <w:r w:rsidRPr="00FA5EA3">
        <w:t xml:space="preserve"> based on</w:t>
      </w:r>
      <w:r>
        <w:t xml:space="preserve"> actual plant operational </w:t>
      </w:r>
      <w:r w:rsidRPr="00FA5EA3">
        <w:t xml:space="preserve">performance </w:t>
      </w:r>
      <w:r>
        <w:t>relative</w:t>
      </w:r>
      <w:r w:rsidRPr="00FA5EA3">
        <w:t xml:space="preserve"> to </w:t>
      </w:r>
      <w:r>
        <w:t>specific</w:t>
      </w:r>
      <w:r w:rsidRPr="00FA5EA3">
        <w:t xml:space="preserve"> efficiency targets</w:t>
      </w:r>
      <w:r>
        <w:t xml:space="preserve"> that</w:t>
      </w:r>
      <w:r w:rsidRPr="00FA5EA3">
        <w:t xml:space="preserve"> are set annually in this proceeding. </w:t>
      </w:r>
    </w:p>
    <w:p w:rsidR="00CC263E" w:rsidRDefault="00CC263E" w:rsidP="00CC263E">
      <w:pPr>
        <w:pStyle w:val="BodyText"/>
        <w:jc w:val="both"/>
      </w:pPr>
      <w:r>
        <w:tab/>
      </w:r>
      <w:r w:rsidR="00804230">
        <w:t>T</w:t>
      </w:r>
      <w:r>
        <w:t xml:space="preserve">he 2019 GPIF efficiency targets applicable to DEF </w:t>
      </w:r>
      <w:r w:rsidR="00E35EF3">
        <w:t xml:space="preserve">for the period January 2019 through December 2019 </w:t>
      </w:r>
      <w:r w:rsidR="00804230">
        <w:t xml:space="preserve">were </w:t>
      </w:r>
      <w:r w:rsidR="00E35EF3">
        <w:t xml:space="preserve">established by </w:t>
      </w:r>
      <w:r>
        <w:t xml:space="preserve">Order No. </w:t>
      </w:r>
      <w:r w:rsidRPr="007E4C4F">
        <w:t>PSC-2018-0610-FOF-EI</w:t>
      </w:r>
      <w:r>
        <w:t>.</w:t>
      </w:r>
      <w:r>
        <w:rPr>
          <w:rStyle w:val="FootnoteReference"/>
        </w:rPr>
        <w:footnoteReference w:id="6"/>
      </w:r>
      <w:r>
        <w:t xml:space="preserve">  DEF witness Lewter testified that the appropriate GPIF reward applicable to DEF for th</w:t>
      </w:r>
      <w:r w:rsidR="00E35EF3">
        <w:t>is</w:t>
      </w:r>
      <w:r>
        <w:t xml:space="preserve"> period is</w:t>
      </w:r>
      <w:bookmarkEnd w:id="7"/>
      <w:r>
        <w:t xml:space="preserve"> </w:t>
      </w:r>
      <w:r w:rsidRPr="00AF292A">
        <w:t>$4,407,712</w:t>
      </w:r>
      <w:r>
        <w:t xml:space="preserve">.  We </w:t>
      </w:r>
      <w:r>
        <w:lastRenderedPageBreak/>
        <w:t xml:space="preserve">hereby adopt witness Lewter’s testimony and find that the appropriate GPIF reward applicable to DEF for the period January 2019 through December 2019 is </w:t>
      </w:r>
      <w:r w:rsidRPr="00AF292A">
        <w:t>$4,407,712</w:t>
      </w:r>
      <w:r>
        <w:t>.</w:t>
      </w:r>
    </w:p>
    <w:p w:rsidR="00CC263E" w:rsidRDefault="00CC263E" w:rsidP="00CC263E">
      <w:pPr>
        <w:pStyle w:val="BodyText"/>
        <w:jc w:val="both"/>
      </w:pPr>
      <w:r>
        <w:tab/>
        <w:t xml:space="preserve">We </w:t>
      </w:r>
      <w:r w:rsidR="00E35EF3">
        <w:t xml:space="preserve">further </w:t>
      </w:r>
      <w:r>
        <w:t>find that t</w:t>
      </w:r>
      <w:r w:rsidRPr="00C13589">
        <w:t>he GPIF targets and ranges applicable to DEF for the period January 2021 through December 20</w:t>
      </w:r>
      <w:r>
        <w:t>2</w:t>
      </w:r>
      <w:r w:rsidRPr="00C13589">
        <w:t xml:space="preserve">1 </w:t>
      </w:r>
      <w:r>
        <w:t>are as stated in Table 3</w:t>
      </w:r>
      <w:r w:rsidR="00D21771">
        <w:t xml:space="preserve"> below</w:t>
      </w:r>
      <w: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1620"/>
        <w:gridCol w:w="990"/>
        <w:gridCol w:w="900"/>
        <w:gridCol w:w="990"/>
        <w:gridCol w:w="1440"/>
        <w:gridCol w:w="1350"/>
        <w:gridCol w:w="1278"/>
      </w:tblGrid>
      <w:tr w:rsidR="00CC263E" w:rsidRPr="00DA29D9" w:rsidTr="00BC6BDE">
        <w:trPr>
          <w:cantSplit/>
          <w:trHeight w:val="300"/>
          <w:tblHeader/>
        </w:trPr>
        <w:tc>
          <w:tcPr>
            <w:tcW w:w="9360" w:type="dxa"/>
            <w:gridSpan w:val="8"/>
            <w:tcBorders>
              <w:top w:val="nil"/>
              <w:left w:val="nil"/>
              <w:bottom w:val="nil"/>
              <w:right w:val="nil"/>
            </w:tcBorders>
            <w:shd w:val="clear" w:color="auto" w:fill="auto"/>
            <w:noWrap/>
            <w:vAlign w:val="center"/>
          </w:tcPr>
          <w:p w:rsidR="00CC263E" w:rsidRPr="00757DF9" w:rsidRDefault="00CC263E" w:rsidP="00CC263E">
            <w:pPr>
              <w:jc w:val="center"/>
              <w:rPr>
                <w:rFonts w:ascii="Arial" w:hAnsi="Arial" w:cs="Arial"/>
                <w:b/>
              </w:rPr>
            </w:pPr>
            <w:r>
              <w:br w:type="page"/>
            </w:r>
            <w:r>
              <w:rPr>
                <w:rFonts w:ascii="Arial" w:hAnsi="Arial" w:cs="Arial"/>
                <w:b/>
              </w:rPr>
              <w:t>Table 3</w:t>
            </w:r>
          </w:p>
        </w:tc>
      </w:tr>
      <w:tr w:rsidR="00CC263E" w:rsidRPr="00DA29D9" w:rsidTr="00BC6BDE">
        <w:trPr>
          <w:cantSplit/>
          <w:trHeight w:val="300"/>
          <w:tblHeader/>
        </w:trPr>
        <w:tc>
          <w:tcPr>
            <w:tcW w:w="9360" w:type="dxa"/>
            <w:gridSpan w:val="8"/>
            <w:tcBorders>
              <w:top w:val="nil"/>
              <w:left w:val="nil"/>
              <w:right w:val="nil"/>
            </w:tcBorders>
            <w:shd w:val="clear" w:color="auto" w:fill="auto"/>
            <w:noWrap/>
            <w:vAlign w:val="center"/>
          </w:tcPr>
          <w:p w:rsidR="00CC263E" w:rsidRPr="00757DF9" w:rsidRDefault="00CC263E" w:rsidP="00BC6BDE">
            <w:pPr>
              <w:jc w:val="center"/>
            </w:pPr>
            <w:bookmarkStart w:id="8" w:name="_Hlk40104337"/>
            <w:r w:rsidRPr="00757DF9">
              <w:rPr>
                <w:rFonts w:ascii="Arial" w:hAnsi="Arial" w:cs="Arial"/>
                <w:b/>
              </w:rPr>
              <w:t>GPIF Targets/Ranges for the period January-December, 2021</w:t>
            </w:r>
          </w:p>
        </w:tc>
      </w:tr>
      <w:bookmarkEnd w:id="8"/>
      <w:tr w:rsidR="00CC263E" w:rsidRPr="00DA29D9" w:rsidTr="00BC6BDE">
        <w:trPr>
          <w:cantSplit/>
          <w:trHeight w:val="300"/>
          <w:tblHeader/>
        </w:trPr>
        <w:tc>
          <w:tcPr>
            <w:tcW w:w="2412"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CC263E" w:rsidRPr="00757DF9" w:rsidRDefault="00CC263E" w:rsidP="00BC6BDE">
            <w:pPr>
              <w:jc w:val="center"/>
              <w:rPr>
                <w:rFonts w:cstheme="minorHAnsi"/>
                <w:b/>
                <w:bCs/>
                <w:sz w:val="22"/>
                <w:szCs w:val="22"/>
              </w:rPr>
            </w:pPr>
            <w:r w:rsidRPr="00757DF9">
              <w:rPr>
                <w:rFonts w:cstheme="minorHAnsi"/>
                <w:b/>
                <w:bCs/>
                <w:sz w:val="22"/>
                <w:szCs w:val="22"/>
              </w:rPr>
              <w:t>Plant/Unit</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263E" w:rsidRPr="00757DF9" w:rsidRDefault="00CC263E" w:rsidP="00BC6BDE">
            <w:pPr>
              <w:jc w:val="center"/>
              <w:rPr>
                <w:rFonts w:cstheme="minorHAnsi"/>
                <w:b/>
                <w:bCs/>
                <w:sz w:val="22"/>
                <w:szCs w:val="22"/>
              </w:rPr>
            </w:pPr>
            <w:r w:rsidRPr="00757DF9">
              <w:rPr>
                <w:rFonts w:cstheme="minorHAnsi"/>
                <w:b/>
                <w:bCs/>
                <w:sz w:val="22"/>
                <w:szCs w:val="22"/>
              </w:rPr>
              <w:t>E</w:t>
            </w:r>
            <w:r>
              <w:rPr>
                <w:rFonts w:cstheme="minorHAnsi"/>
                <w:b/>
                <w:bCs/>
                <w:sz w:val="22"/>
                <w:szCs w:val="22"/>
              </w:rPr>
              <w:t xml:space="preserve">quivalent </w:t>
            </w:r>
            <w:r w:rsidRPr="00757DF9">
              <w:rPr>
                <w:rFonts w:cstheme="minorHAnsi"/>
                <w:b/>
                <w:bCs/>
                <w:sz w:val="22"/>
                <w:szCs w:val="22"/>
              </w:rPr>
              <w:t>A</w:t>
            </w:r>
            <w:r>
              <w:rPr>
                <w:rFonts w:cstheme="minorHAnsi"/>
                <w:b/>
                <w:bCs/>
                <w:sz w:val="22"/>
                <w:szCs w:val="22"/>
              </w:rPr>
              <w:t xml:space="preserve">vailability </w:t>
            </w:r>
            <w:r w:rsidRPr="00757DF9">
              <w:rPr>
                <w:rFonts w:cstheme="minorHAnsi"/>
                <w:b/>
                <w:bCs/>
                <w:sz w:val="22"/>
                <w:szCs w:val="22"/>
              </w:rPr>
              <w:t>F</w:t>
            </w:r>
            <w:r>
              <w:rPr>
                <w:rFonts w:cstheme="minorHAnsi"/>
                <w:b/>
                <w:bCs/>
                <w:sz w:val="22"/>
                <w:szCs w:val="22"/>
              </w:rPr>
              <w:t>actor</w:t>
            </w:r>
          </w:p>
        </w:tc>
        <w:tc>
          <w:tcPr>
            <w:tcW w:w="40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263E" w:rsidRPr="00757DF9" w:rsidRDefault="00CC263E" w:rsidP="00BC6BDE">
            <w:pPr>
              <w:jc w:val="center"/>
              <w:rPr>
                <w:rFonts w:cstheme="minorHAnsi"/>
                <w:b/>
                <w:bCs/>
                <w:sz w:val="22"/>
                <w:szCs w:val="22"/>
              </w:rPr>
            </w:pPr>
            <w:r w:rsidRPr="00757DF9">
              <w:rPr>
                <w:rFonts w:cstheme="minorHAnsi"/>
                <w:b/>
                <w:bCs/>
                <w:sz w:val="22"/>
                <w:szCs w:val="22"/>
              </w:rPr>
              <w:t>A</w:t>
            </w:r>
            <w:r>
              <w:rPr>
                <w:rFonts w:cstheme="minorHAnsi"/>
                <w:b/>
                <w:bCs/>
                <w:sz w:val="22"/>
                <w:szCs w:val="22"/>
              </w:rPr>
              <w:t xml:space="preserve">verage </w:t>
            </w:r>
            <w:r w:rsidRPr="00757DF9">
              <w:rPr>
                <w:rFonts w:cstheme="minorHAnsi"/>
                <w:b/>
                <w:bCs/>
                <w:sz w:val="22"/>
                <w:szCs w:val="22"/>
              </w:rPr>
              <w:t>N</w:t>
            </w:r>
            <w:r>
              <w:rPr>
                <w:rFonts w:cstheme="minorHAnsi"/>
                <w:b/>
                <w:bCs/>
                <w:sz w:val="22"/>
                <w:szCs w:val="22"/>
              </w:rPr>
              <w:t xml:space="preserve">et </w:t>
            </w:r>
            <w:r w:rsidRPr="00757DF9">
              <w:rPr>
                <w:rFonts w:cstheme="minorHAnsi"/>
                <w:b/>
                <w:bCs/>
                <w:sz w:val="22"/>
                <w:szCs w:val="22"/>
              </w:rPr>
              <w:t>O</w:t>
            </w:r>
            <w:r>
              <w:rPr>
                <w:rFonts w:cstheme="minorHAnsi"/>
                <w:b/>
                <w:bCs/>
                <w:sz w:val="22"/>
                <w:szCs w:val="22"/>
              </w:rPr>
              <w:t xml:space="preserve">perating </w:t>
            </w:r>
            <w:r w:rsidRPr="00757DF9">
              <w:rPr>
                <w:rFonts w:cstheme="minorHAnsi"/>
                <w:b/>
                <w:bCs/>
                <w:sz w:val="22"/>
                <w:szCs w:val="22"/>
              </w:rPr>
              <w:t>H</w:t>
            </w:r>
            <w:r>
              <w:rPr>
                <w:rFonts w:cstheme="minorHAnsi"/>
                <w:b/>
                <w:bCs/>
                <w:sz w:val="22"/>
                <w:szCs w:val="22"/>
              </w:rPr>
              <w:t xml:space="preserve">eat </w:t>
            </w:r>
            <w:r w:rsidRPr="00757DF9">
              <w:rPr>
                <w:rFonts w:cstheme="minorHAnsi"/>
                <w:b/>
                <w:bCs/>
                <w:sz w:val="22"/>
                <w:szCs w:val="22"/>
              </w:rPr>
              <w:t>R</w:t>
            </w:r>
            <w:r>
              <w:rPr>
                <w:rFonts w:cstheme="minorHAnsi"/>
                <w:b/>
                <w:bCs/>
                <w:sz w:val="22"/>
                <w:szCs w:val="22"/>
              </w:rPr>
              <w:t>ate</w:t>
            </w:r>
          </w:p>
        </w:tc>
      </w:tr>
      <w:tr w:rsidR="00CC263E" w:rsidRPr="00DA29D9" w:rsidTr="00BC6BDE">
        <w:trPr>
          <w:cantSplit/>
          <w:trHeight w:val="300"/>
          <w:tblHeader/>
        </w:trPr>
        <w:tc>
          <w:tcPr>
            <w:tcW w:w="2412" w:type="dxa"/>
            <w:gridSpan w:val="2"/>
            <w:vMerge/>
            <w:tcBorders>
              <w:left w:val="single" w:sz="4" w:space="0" w:color="auto"/>
              <w:right w:val="single" w:sz="4" w:space="0" w:color="auto"/>
            </w:tcBorders>
            <w:shd w:val="clear" w:color="auto" w:fill="auto"/>
            <w:vAlign w:val="center"/>
            <w:hideMark/>
          </w:tcPr>
          <w:p w:rsidR="00CC263E" w:rsidRPr="00757DF9" w:rsidRDefault="00CC263E" w:rsidP="00BC6BDE">
            <w:pPr>
              <w:jc w:val="center"/>
              <w:rPr>
                <w:rFonts w:cstheme="minorHAnsi"/>
                <w:b/>
                <w:bCs/>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263E" w:rsidRPr="00757DF9" w:rsidRDefault="00CC263E" w:rsidP="00BC6BDE">
            <w:pPr>
              <w:jc w:val="center"/>
              <w:rPr>
                <w:rFonts w:cstheme="minorHAnsi"/>
                <w:b/>
                <w:bCs/>
                <w:sz w:val="22"/>
                <w:szCs w:val="22"/>
              </w:rPr>
            </w:pPr>
            <w:r w:rsidRPr="00757DF9">
              <w:rPr>
                <w:rFonts w:cstheme="minorHAnsi"/>
                <w:b/>
                <w:bCs/>
                <w:sz w:val="22"/>
                <w:szCs w:val="22"/>
              </w:rPr>
              <w:t>Target</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263E" w:rsidRPr="00757DF9" w:rsidRDefault="00CC263E" w:rsidP="00BC6BDE">
            <w:pPr>
              <w:jc w:val="center"/>
              <w:rPr>
                <w:rFonts w:cstheme="minorHAnsi"/>
                <w:b/>
                <w:bCs/>
                <w:sz w:val="22"/>
                <w:szCs w:val="22"/>
              </w:rPr>
            </w:pPr>
            <w:r w:rsidRPr="00757DF9">
              <w:rPr>
                <w:rFonts w:cstheme="minorHAnsi"/>
                <w:b/>
                <w:bCs/>
                <w:sz w:val="22"/>
                <w:szCs w:val="22"/>
              </w:rPr>
              <w:t>Maximum</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263E" w:rsidRPr="00757DF9" w:rsidRDefault="00CC263E" w:rsidP="00BC6BDE">
            <w:pPr>
              <w:jc w:val="center"/>
              <w:rPr>
                <w:rFonts w:cstheme="minorHAnsi"/>
                <w:b/>
                <w:bCs/>
                <w:sz w:val="22"/>
                <w:szCs w:val="22"/>
              </w:rPr>
            </w:pPr>
            <w:r w:rsidRPr="00757DF9">
              <w:rPr>
                <w:rFonts w:cstheme="minorHAnsi"/>
                <w:b/>
                <w:bCs/>
                <w:sz w:val="22"/>
                <w:szCs w:val="22"/>
              </w:rPr>
              <w:t>Target</w:t>
            </w:r>
          </w:p>
        </w:tc>
        <w:tc>
          <w:tcPr>
            <w:tcW w:w="26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263E" w:rsidRPr="00757DF9" w:rsidRDefault="00CC263E" w:rsidP="00BC6BDE">
            <w:pPr>
              <w:jc w:val="center"/>
              <w:rPr>
                <w:rFonts w:cstheme="minorHAnsi"/>
                <w:b/>
                <w:bCs/>
                <w:sz w:val="22"/>
                <w:szCs w:val="22"/>
              </w:rPr>
            </w:pPr>
            <w:r w:rsidRPr="00757DF9">
              <w:rPr>
                <w:rFonts w:cstheme="minorHAnsi"/>
                <w:b/>
                <w:bCs/>
                <w:sz w:val="22"/>
                <w:szCs w:val="22"/>
              </w:rPr>
              <w:t>Maximum</w:t>
            </w:r>
          </w:p>
        </w:tc>
      </w:tr>
      <w:tr w:rsidR="00CC263E" w:rsidRPr="00DA29D9" w:rsidTr="00BC6BDE">
        <w:trPr>
          <w:cantSplit/>
          <w:trHeight w:val="610"/>
          <w:tblHeader/>
        </w:trPr>
        <w:tc>
          <w:tcPr>
            <w:tcW w:w="2412" w:type="dxa"/>
            <w:gridSpan w:val="2"/>
            <w:vMerge/>
            <w:tcBorders>
              <w:left w:val="single" w:sz="4" w:space="0" w:color="auto"/>
              <w:right w:val="single" w:sz="4" w:space="0" w:color="auto"/>
            </w:tcBorders>
            <w:shd w:val="clear" w:color="auto" w:fill="auto"/>
            <w:vAlign w:val="center"/>
            <w:hideMark/>
          </w:tcPr>
          <w:p w:rsidR="00CC263E" w:rsidRPr="00757DF9" w:rsidRDefault="00CC263E" w:rsidP="00BC6BDE">
            <w:pPr>
              <w:jc w:val="center"/>
              <w:rPr>
                <w:rFonts w:cstheme="minorHAnsi"/>
                <w:b/>
                <w:bCs/>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263E" w:rsidRPr="00757DF9" w:rsidRDefault="00CC263E" w:rsidP="00BC6BDE">
            <w:pPr>
              <w:jc w:val="center"/>
              <w:rPr>
                <w:rFonts w:cstheme="minorHAnsi"/>
                <w:b/>
                <w:bCs/>
                <w:sz w:val="22"/>
                <w:szCs w:val="22"/>
              </w:rPr>
            </w:pPr>
            <w:r w:rsidRPr="00757DF9">
              <w:rPr>
                <w:rFonts w:cstheme="minorHAnsi"/>
                <w:b/>
                <w:bCs/>
                <w:sz w:val="22"/>
                <w:szCs w:val="22"/>
              </w:rPr>
              <w:t>EAF</w:t>
            </w:r>
          </w:p>
          <w:p w:rsidR="00CC263E" w:rsidRPr="00757DF9" w:rsidRDefault="00CC263E" w:rsidP="00BC6BDE">
            <w:pPr>
              <w:jc w:val="center"/>
              <w:rPr>
                <w:rFonts w:cstheme="minorHAnsi"/>
                <w:b/>
                <w:bCs/>
                <w:sz w:val="22"/>
                <w:szCs w:val="22"/>
              </w:rPr>
            </w:pPr>
            <w:r w:rsidRPr="00757DF9">
              <w:rPr>
                <w:rFonts w:cstheme="minorHAnsi"/>
                <w:b/>
                <w:bCs/>
                <w:sz w:val="22"/>
                <w:szCs w:val="22"/>
              </w:rPr>
              <w:t>( %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263E" w:rsidRPr="00757DF9" w:rsidRDefault="00CC263E" w:rsidP="00BC6BDE">
            <w:pPr>
              <w:jc w:val="center"/>
              <w:rPr>
                <w:rFonts w:cstheme="minorHAnsi"/>
                <w:b/>
                <w:bCs/>
                <w:sz w:val="22"/>
                <w:szCs w:val="22"/>
              </w:rPr>
            </w:pPr>
            <w:r w:rsidRPr="00757DF9">
              <w:rPr>
                <w:rFonts w:cstheme="minorHAnsi"/>
                <w:b/>
                <w:bCs/>
                <w:sz w:val="22"/>
                <w:szCs w:val="22"/>
              </w:rPr>
              <w:t>EAF</w:t>
            </w:r>
          </w:p>
          <w:p w:rsidR="00CC263E" w:rsidRPr="00757DF9" w:rsidRDefault="00CC263E" w:rsidP="00BC6BDE">
            <w:pPr>
              <w:jc w:val="center"/>
              <w:rPr>
                <w:rFonts w:cstheme="minorHAnsi"/>
                <w:b/>
                <w:bCs/>
                <w:sz w:val="22"/>
                <w:szCs w:val="22"/>
              </w:rPr>
            </w:pPr>
            <w:r w:rsidRPr="00757DF9">
              <w:rPr>
                <w:rFonts w:cstheme="minorHAnsi"/>
                <w:b/>
                <w:bCs/>
                <w:sz w:val="22"/>
                <w:szCs w:val="22"/>
              </w:rPr>
              <w:t>( %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263E" w:rsidRPr="00757DF9" w:rsidRDefault="00CC263E" w:rsidP="00BC6BDE">
            <w:pPr>
              <w:jc w:val="center"/>
              <w:rPr>
                <w:rFonts w:cstheme="minorHAnsi"/>
                <w:b/>
                <w:bCs/>
                <w:sz w:val="22"/>
                <w:szCs w:val="22"/>
              </w:rPr>
            </w:pPr>
            <w:r w:rsidRPr="00757DF9">
              <w:rPr>
                <w:rFonts w:cstheme="minorHAnsi"/>
                <w:b/>
                <w:bCs/>
                <w:sz w:val="22"/>
                <w:szCs w:val="22"/>
              </w:rPr>
              <w:t>Savings</w:t>
            </w:r>
          </w:p>
          <w:p w:rsidR="00CC263E" w:rsidRPr="00757DF9" w:rsidRDefault="00CC263E" w:rsidP="00BC6BDE">
            <w:pPr>
              <w:jc w:val="center"/>
              <w:rPr>
                <w:rFonts w:cstheme="minorHAnsi"/>
                <w:b/>
                <w:bCs/>
                <w:sz w:val="22"/>
                <w:szCs w:val="22"/>
              </w:rPr>
            </w:pPr>
            <w:r w:rsidRPr="00757DF9">
              <w:rPr>
                <w:rFonts w:cstheme="minorHAnsi"/>
                <w:b/>
                <w:bCs/>
                <w:sz w:val="22"/>
                <w:szCs w:val="22"/>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263E" w:rsidRPr="00757DF9" w:rsidRDefault="00CC263E" w:rsidP="00BC6BDE">
            <w:pPr>
              <w:jc w:val="center"/>
              <w:rPr>
                <w:rFonts w:cstheme="minorHAnsi"/>
                <w:b/>
                <w:bCs/>
                <w:sz w:val="22"/>
                <w:szCs w:val="22"/>
              </w:rPr>
            </w:pPr>
            <w:r w:rsidRPr="00757DF9">
              <w:rPr>
                <w:rFonts w:cstheme="minorHAnsi"/>
                <w:b/>
                <w:bCs/>
                <w:sz w:val="22"/>
                <w:szCs w:val="22"/>
              </w:rPr>
              <w:t>ANOHR</w:t>
            </w:r>
          </w:p>
          <w:p w:rsidR="00CC263E" w:rsidRPr="00757DF9" w:rsidRDefault="00CC263E" w:rsidP="00BC6BDE">
            <w:pPr>
              <w:jc w:val="center"/>
              <w:rPr>
                <w:rFonts w:cstheme="minorHAnsi"/>
                <w:b/>
                <w:bCs/>
                <w:sz w:val="22"/>
                <w:szCs w:val="22"/>
              </w:rPr>
            </w:pPr>
            <w:r w:rsidRPr="00757DF9">
              <w:rPr>
                <w:rFonts w:cstheme="minorHAnsi"/>
                <w:b/>
                <w:bCs/>
                <w:sz w:val="22"/>
                <w:szCs w:val="22"/>
              </w:rPr>
              <w:t>B</w:t>
            </w:r>
            <w:r>
              <w:rPr>
                <w:rFonts w:cstheme="minorHAnsi"/>
                <w:b/>
                <w:bCs/>
                <w:sz w:val="22"/>
                <w:szCs w:val="22"/>
              </w:rPr>
              <w:t>tu</w:t>
            </w:r>
            <w:r w:rsidRPr="00757DF9">
              <w:rPr>
                <w:rFonts w:cstheme="minorHAnsi"/>
                <w:b/>
                <w:bCs/>
                <w:sz w:val="22"/>
                <w:szCs w:val="22"/>
              </w:rPr>
              <w:t>/</w:t>
            </w:r>
            <w:r>
              <w:rPr>
                <w:rFonts w:cstheme="minorHAnsi"/>
                <w:b/>
                <w:bCs/>
                <w:sz w:val="22"/>
                <w:szCs w:val="22"/>
              </w:rPr>
              <w:t>k</w:t>
            </w:r>
            <w:r w:rsidRPr="00757DF9">
              <w:rPr>
                <w:rFonts w:cstheme="minorHAnsi"/>
                <w:b/>
                <w:bCs/>
                <w:sz w:val="22"/>
                <w:szCs w:val="22"/>
              </w:rPr>
              <w:t>W</w:t>
            </w:r>
            <w:r>
              <w:rPr>
                <w:rFonts w:cstheme="minorHAnsi"/>
                <w:b/>
                <w:bCs/>
                <w:sz w:val="22"/>
                <w:szCs w:val="22"/>
              </w:rPr>
              <w:t>h</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263E" w:rsidRPr="00757DF9" w:rsidRDefault="00CC263E" w:rsidP="00BC6BDE">
            <w:pPr>
              <w:jc w:val="center"/>
              <w:rPr>
                <w:rFonts w:cstheme="minorHAnsi"/>
                <w:b/>
                <w:bCs/>
                <w:sz w:val="22"/>
                <w:szCs w:val="22"/>
              </w:rPr>
            </w:pPr>
            <w:r w:rsidRPr="00757DF9">
              <w:rPr>
                <w:rFonts w:cstheme="minorHAnsi"/>
                <w:b/>
                <w:bCs/>
                <w:sz w:val="22"/>
                <w:szCs w:val="22"/>
              </w:rPr>
              <w:t>ANOHR</w:t>
            </w:r>
          </w:p>
          <w:p w:rsidR="00CC263E" w:rsidRPr="00757DF9" w:rsidRDefault="00CC263E" w:rsidP="00BC6BDE">
            <w:pPr>
              <w:jc w:val="center"/>
              <w:rPr>
                <w:rFonts w:cstheme="minorHAnsi"/>
                <w:b/>
                <w:bCs/>
                <w:sz w:val="22"/>
                <w:szCs w:val="22"/>
              </w:rPr>
            </w:pPr>
            <w:r w:rsidRPr="00757DF9">
              <w:rPr>
                <w:rFonts w:cstheme="minorHAnsi"/>
                <w:b/>
                <w:bCs/>
                <w:sz w:val="22"/>
                <w:szCs w:val="22"/>
              </w:rPr>
              <w:t>B</w:t>
            </w:r>
            <w:r>
              <w:rPr>
                <w:rFonts w:cstheme="minorHAnsi"/>
                <w:b/>
                <w:bCs/>
                <w:sz w:val="22"/>
                <w:szCs w:val="22"/>
              </w:rPr>
              <w:t>tu</w:t>
            </w:r>
            <w:r w:rsidRPr="00757DF9">
              <w:rPr>
                <w:rFonts w:cstheme="minorHAnsi"/>
                <w:b/>
                <w:bCs/>
                <w:sz w:val="22"/>
                <w:szCs w:val="22"/>
              </w:rPr>
              <w:t>/</w:t>
            </w:r>
            <w:r>
              <w:rPr>
                <w:rFonts w:cstheme="minorHAnsi"/>
                <w:b/>
                <w:bCs/>
                <w:sz w:val="22"/>
                <w:szCs w:val="22"/>
              </w:rPr>
              <w:t>k</w:t>
            </w:r>
            <w:r w:rsidRPr="00757DF9">
              <w:rPr>
                <w:rFonts w:cstheme="minorHAnsi"/>
                <w:b/>
                <w:bCs/>
                <w:sz w:val="22"/>
                <w:szCs w:val="22"/>
              </w:rPr>
              <w:t>W</w:t>
            </w:r>
            <w:r>
              <w:rPr>
                <w:rFonts w:cstheme="minorHAnsi"/>
                <w:b/>
                <w:bCs/>
                <w:sz w:val="22"/>
                <w:szCs w:val="22"/>
              </w:rPr>
              <w:t>h</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263E" w:rsidRPr="00757DF9" w:rsidRDefault="00CC263E" w:rsidP="00BC6BDE">
            <w:pPr>
              <w:jc w:val="center"/>
              <w:rPr>
                <w:rFonts w:cstheme="minorHAnsi"/>
                <w:b/>
                <w:bCs/>
                <w:sz w:val="22"/>
                <w:szCs w:val="22"/>
              </w:rPr>
            </w:pPr>
            <w:r w:rsidRPr="00757DF9">
              <w:rPr>
                <w:rFonts w:cstheme="minorHAnsi"/>
                <w:b/>
                <w:bCs/>
                <w:sz w:val="22"/>
                <w:szCs w:val="22"/>
              </w:rPr>
              <w:t>Savings</w:t>
            </w:r>
          </w:p>
          <w:p w:rsidR="00CC263E" w:rsidRPr="00757DF9" w:rsidRDefault="00CC263E" w:rsidP="00BC6BDE">
            <w:pPr>
              <w:jc w:val="center"/>
              <w:rPr>
                <w:rFonts w:cstheme="minorHAnsi"/>
                <w:b/>
                <w:bCs/>
                <w:sz w:val="22"/>
                <w:szCs w:val="22"/>
              </w:rPr>
            </w:pPr>
            <w:r w:rsidRPr="00757DF9">
              <w:rPr>
                <w:rFonts w:cstheme="minorHAnsi"/>
                <w:b/>
                <w:bCs/>
                <w:sz w:val="22"/>
                <w:szCs w:val="22"/>
              </w:rPr>
              <w:t>(000)</w:t>
            </w:r>
          </w:p>
        </w:tc>
      </w:tr>
      <w:tr w:rsidR="00CC263E" w:rsidRPr="00312018" w:rsidTr="00BC6BDE">
        <w:trPr>
          <w:trHeight w:val="300"/>
        </w:trPr>
        <w:tc>
          <w:tcPr>
            <w:tcW w:w="792" w:type="dxa"/>
            <w:vMerge w:val="restart"/>
            <w:tcBorders>
              <w:left w:val="single" w:sz="4" w:space="0" w:color="auto"/>
              <w:right w:val="single" w:sz="4" w:space="0" w:color="auto"/>
            </w:tcBorders>
            <w:shd w:val="clear" w:color="auto" w:fill="auto"/>
            <w:noWrap/>
            <w:vAlign w:val="center"/>
            <w:hideMark/>
          </w:tcPr>
          <w:p w:rsidR="00CC263E" w:rsidRPr="00DA29D9" w:rsidRDefault="00CC263E" w:rsidP="00BC6BDE">
            <w:pPr>
              <w:jc w:val="center"/>
              <w:rPr>
                <w:rFonts w:cstheme="minorHAnsi"/>
                <w:sz w:val="22"/>
                <w:szCs w:val="22"/>
              </w:rPr>
            </w:pPr>
            <w:r w:rsidRPr="008A0F86">
              <w:rPr>
                <w:rFonts w:cstheme="minorHAnsi"/>
                <w:sz w:val="22"/>
                <w:szCs w:val="22"/>
              </w:rPr>
              <w:t>DEF</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263E" w:rsidRPr="00312018" w:rsidRDefault="00CC263E" w:rsidP="00BC6BDE">
            <w:pPr>
              <w:rPr>
                <w:rFonts w:cstheme="minorHAnsi"/>
                <w:sz w:val="22"/>
                <w:szCs w:val="22"/>
              </w:rPr>
            </w:pPr>
            <w:r w:rsidRPr="00312018">
              <w:rPr>
                <w:rFonts w:cstheme="minorHAnsi"/>
                <w:sz w:val="22"/>
                <w:szCs w:val="22"/>
              </w:rPr>
              <w:t>Bartow 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jc w:val="right"/>
              <w:rPr>
                <w:rFonts w:cstheme="minorHAnsi"/>
                <w:sz w:val="22"/>
                <w:szCs w:val="22"/>
              </w:rPr>
            </w:pPr>
            <w:r w:rsidRPr="00312018">
              <w:rPr>
                <w:rFonts w:cstheme="minorHAnsi"/>
                <w:sz w:val="22"/>
                <w:szCs w:val="22"/>
              </w:rPr>
              <w:t>91.05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jc w:val="right"/>
              <w:rPr>
                <w:rFonts w:cstheme="minorHAnsi"/>
                <w:sz w:val="22"/>
                <w:szCs w:val="22"/>
              </w:rPr>
            </w:pPr>
            <w:r w:rsidRPr="00312018">
              <w:rPr>
                <w:rFonts w:cstheme="minorHAnsi"/>
                <w:sz w:val="22"/>
                <w:szCs w:val="22"/>
              </w:rPr>
              <w:t>93.10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jc w:val="right"/>
              <w:rPr>
                <w:rFonts w:cstheme="minorHAnsi"/>
                <w:sz w:val="22"/>
                <w:szCs w:val="22"/>
              </w:rPr>
            </w:pPr>
            <w:r w:rsidRPr="00312018">
              <w:rPr>
                <w:rFonts w:cstheme="minorHAnsi"/>
                <w:sz w:val="22"/>
                <w:szCs w:val="22"/>
              </w:rPr>
              <w:t>$523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jc w:val="right"/>
              <w:rPr>
                <w:rFonts w:cstheme="minorHAnsi"/>
                <w:sz w:val="22"/>
                <w:szCs w:val="22"/>
              </w:rPr>
            </w:pPr>
            <w:r w:rsidRPr="00312018">
              <w:rPr>
                <w:rFonts w:cstheme="minorHAnsi"/>
                <w:sz w:val="22"/>
                <w:szCs w:val="22"/>
              </w:rPr>
              <w:t>7,705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jc w:val="right"/>
              <w:rPr>
                <w:rFonts w:cstheme="minorHAnsi"/>
                <w:sz w:val="22"/>
                <w:szCs w:val="22"/>
              </w:rPr>
            </w:pPr>
            <w:r w:rsidRPr="00312018">
              <w:rPr>
                <w:rFonts w:cstheme="minorHAnsi"/>
                <w:sz w:val="22"/>
                <w:szCs w:val="22"/>
              </w:rPr>
              <w:t>7,950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jc w:val="right"/>
              <w:rPr>
                <w:rFonts w:cstheme="minorHAnsi"/>
                <w:sz w:val="22"/>
                <w:szCs w:val="22"/>
              </w:rPr>
            </w:pPr>
            <w:r w:rsidRPr="00312018">
              <w:rPr>
                <w:rFonts w:cstheme="minorHAnsi"/>
                <w:sz w:val="22"/>
                <w:szCs w:val="22"/>
              </w:rPr>
              <w:t>$4,418</w:t>
            </w:r>
          </w:p>
        </w:tc>
      </w:tr>
      <w:tr w:rsidR="00CC263E" w:rsidRPr="00312018" w:rsidTr="00BC6BDE">
        <w:trPr>
          <w:trHeight w:val="300"/>
        </w:trPr>
        <w:tc>
          <w:tcPr>
            <w:tcW w:w="792" w:type="dxa"/>
            <w:vMerge/>
            <w:tcBorders>
              <w:left w:val="single" w:sz="4" w:space="0" w:color="auto"/>
              <w:right w:val="single" w:sz="4" w:space="0" w:color="auto"/>
            </w:tcBorders>
            <w:shd w:val="clear" w:color="auto" w:fill="auto"/>
            <w:vAlign w:val="center"/>
          </w:tcPr>
          <w:p w:rsidR="00CC263E" w:rsidRPr="00DA29D9" w:rsidRDefault="00CC263E" w:rsidP="00BC6BDE">
            <w:pPr>
              <w:rPr>
                <w:rFonts w:cstheme="minorHAnsi"/>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rPr>
                <w:rFonts w:cstheme="minorHAnsi"/>
                <w:sz w:val="22"/>
                <w:szCs w:val="22"/>
              </w:rPr>
            </w:pPr>
            <w:r w:rsidRPr="00312018">
              <w:rPr>
                <w:rFonts w:cstheme="minorHAnsi"/>
                <w:sz w:val="22"/>
                <w:szCs w:val="22"/>
              </w:rPr>
              <w:t>Crystal River 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jc w:val="right"/>
              <w:rPr>
                <w:rFonts w:cstheme="minorHAnsi"/>
                <w:sz w:val="22"/>
                <w:szCs w:val="22"/>
              </w:rPr>
            </w:pPr>
            <w:r w:rsidRPr="00312018">
              <w:rPr>
                <w:rFonts w:cstheme="minorHAnsi"/>
                <w:sz w:val="22"/>
                <w:szCs w:val="22"/>
              </w:rPr>
              <w:t>86.11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jc w:val="right"/>
              <w:rPr>
                <w:rFonts w:cstheme="minorHAnsi"/>
                <w:sz w:val="22"/>
                <w:szCs w:val="22"/>
              </w:rPr>
            </w:pPr>
            <w:r w:rsidRPr="00312018">
              <w:rPr>
                <w:rFonts w:cstheme="minorHAnsi"/>
                <w:sz w:val="22"/>
                <w:szCs w:val="22"/>
              </w:rPr>
              <w:t>92.55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jc w:val="right"/>
              <w:rPr>
                <w:rFonts w:cstheme="minorHAnsi"/>
                <w:sz w:val="22"/>
                <w:szCs w:val="22"/>
              </w:rPr>
            </w:pPr>
            <w:r w:rsidRPr="00312018">
              <w:rPr>
                <w:rFonts w:cstheme="minorHAnsi"/>
                <w:sz w:val="22"/>
                <w:szCs w:val="22"/>
              </w:rPr>
              <w:t>2,187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jc w:val="right"/>
              <w:rPr>
                <w:rFonts w:cstheme="minorHAnsi"/>
                <w:sz w:val="22"/>
                <w:szCs w:val="22"/>
              </w:rPr>
            </w:pPr>
            <w:r w:rsidRPr="00312018">
              <w:rPr>
                <w:rFonts w:cstheme="minorHAnsi"/>
                <w:sz w:val="22"/>
                <w:szCs w:val="22"/>
              </w:rPr>
              <w:t>10,299</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jc w:val="right"/>
              <w:rPr>
                <w:rFonts w:cstheme="minorHAnsi"/>
                <w:sz w:val="22"/>
                <w:szCs w:val="22"/>
              </w:rPr>
            </w:pPr>
            <w:r w:rsidRPr="00312018">
              <w:rPr>
                <w:rFonts w:cstheme="minorHAnsi"/>
                <w:sz w:val="22"/>
                <w:szCs w:val="22"/>
              </w:rPr>
              <w:t>10,885</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jc w:val="right"/>
              <w:rPr>
                <w:rFonts w:cstheme="minorHAnsi"/>
                <w:sz w:val="22"/>
                <w:szCs w:val="22"/>
              </w:rPr>
            </w:pPr>
            <w:r w:rsidRPr="00312018">
              <w:rPr>
                <w:rFonts w:cstheme="minorHAnsi"/>
                <w:sz w:val="22"/>
                <w:szCs w:val="22"/>
              </w:rPr>
              <w:t>5,836</w:t>
            </w:r>
          </w:p>
        </w:tc>
      </w:tr>
      <w:tr w:rsidR="00CC263E" w:rsidRPr="00312018" w:rsidTr="00BC6BDE">
        <w:trPr>
          <w:trHeight w:val="300"/>
        </w:trPr>
        <w:tc>
          <w:tcPr>
            <w:tcW w:w="792" w:type="dxa"/>
            <w:vMerge/>
            <w:tcBorders>
              <w:left w:val="single" w:sz="4" w:space="0" w:color="auto"/>
              <w:right w:val="single" w:sz="4" w:space="0" w:color="auto"/>
            </w:tcBorders>
            <w:shd w:val="clear" w:color="auto" w:fill="auto"/>
            <w:vAlign w:val="center"/>
            <w:hideMark/>
          </w:tcPr>
          <w:p w:rsidR="00CC263E" w:rsidRPr="00DA29D9" w:rsidRDefault="00CC263E" w:rsidP="00BC6BDE">
            <w:pPr>
              <w:rPr>
                <w:rFonts w:cstheme="minorHAnsi"/>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rPr>
                <w:rFonts w:cstheme="minorHAnsi"/>
                <w:sz w:val="22"/>
                <w:szCs w:val="22"/>
              </w:rPr>
            </w:pPr>
            <w:r w:rsidRPr="00312018">
              <w:rPr>
                <w:rFonts w:cstheme="minorHAnsi"/>
                <w:sz w:val="22"/>
                <w:szCs w:val="22"/>
              </w:rPr>
              <w:t>Crystal River 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jc w:val="right"/>
              <w:rPr>
                <w:rFonts w:cstheme="minorHAnsi"/>
                <w:sz w:val="22"/>
                <w:szCs w:val="22"/>
              </w:rPr>
            </w:pPr>
            <w:r w:rsidRPr="00312018">
              <w:rPr>
                <w:rFonts w:cstheme="minorHAnsi"/>
                <w:sz w:val="22"/>
                <w:szCs w:val="22"/>
              </w:rPr>
              <w:t>81.01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jc w:val="right"/>
              <w:rPr>
                <w:rFonts w:cstheme="minorHAnsi"/>
                <w:sz w:val="22"/>
                <w:szCs w:val="22"/>
              </w:rPr>
            </w:pPr>
            <w:r w:rsidRPr="00312018">
              <w:rPr>
                <w:rFonts w:cstheme="minorHAnsi"/>
                <w:sz w:val="22"/>
                <w:szCs w:val="22"/>
              </w:rPr>
              <w:t>86.28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jc w:val="right"/>
              <w:rPr>
                <w:rFonts w:cstheme="minorHAnsi"/>
                <w:sz w:val="22"/>
                <w:szCs w:val="22"/>
              </w:rPr>
            </w:pPr>
            <w:r w:rsidRPr="00312018">
              <w:rPr>
                <w:rFonts w:cstheme="minorHAnsi"/>
                <w:sz w:val="22"/>
                <w:szCs w:val="22"/>
              </w:rPr>
              <w:t>1,626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jc w:val="right"/>
              <w:rPr>
                <w:rFonts w:cstheme="minorHAnsi"/>
                <w:sz w:val="22"/>
                <w:szCs w:val="22"/>
              </w:rPr>
            </w:pPr>
            <w:r w:rsidRPr="00312018">
              <w:rPr>
                <w:rFonts w:cstheme="minorHAnsi"/>
                <w:sz w:val="22"/>
                <w:szCs w:val="22"/>
              </w:rPr>
              <w:t>10,434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jc w:val="right"/>
              <w:rPr>
                <w:rFonts w:cstheme="minorHAnsi"/>
                <w:sz w:val="22"/>
                <w:szCs w:val="22"/>
              </w:rPr>
            </w:pPr>
            <w:r w:rsidRPr="00312018">
              <w:rPr>
                <w:rFonts w:cstheme="minorHAnsi"/>
                <w:sz w:val="22"/>
                <w:szCs w:val="22"/>
              </w:rPr>
              <w:t>11,058</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jc w:val="right"/>
              <w:rPr>
                <w:rFonts w:cstheme="minorHAnsi"/>
                <w:sz w:val="22"/>
                <w:szCs w:val="22"/>
              </w:rPr>
            </w:pPr>
            <w:r w:rsidRPr="00312018">
              <w:rPr>
                <w:rFonts w:cstheme="minorHAnsi"/>
                <w:sz w:val="22"/>
                <w:szCs w:val="22"/>
              </w:rPr>
              <w:t>5,056</w:t>
            </w:r>
          </w:p>
        </w:tc>
      </w:tr>
      <w:tr w:rsidR="00CC263E" w:rsidRPr="00312018" w:rsidTr="00BC6BDE">
        <w:trPr>
          <w:trHeight w:val="300"/>
        </w:trPr>
        <w:tc>
          <w:tcPr>
            <w:tcW w:w="792" w:type="dxa"/>
            <w:vMerge/>
            <w:tcBorders>
              <w:left w:val="single" w:sz="4" w:space="0" w:color="auto"/>
              <w:right w:val="single" w:sz="4" w:space="0" w:color="auto"/>
            </w:tcBorders>
            <w:shd w:val="clear" w:color="auto" w:fill="auto"/>
            <w:vAlign w:val="center"/>
            <w:hideMark/>
          </w:tcPr>
          <w:p w:rsidR="00CC263E" w:rsidRPr="00DA29D9" w:rsidRDefault="00CC263E" w:rsidP="00BC6BDE">
            <w:pPr>
              <w:rPr>
                <w:rFonts w:cstheme="minorHAnsi"/>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rPr>
                <w:rFonts w:cstheme="minorHAnsi"/>
                <w:sz w:val="22"/>
                <w:szCs w:val="22"/>
              </w:rPr>
            </w:pPr>
            <w:r w:rsidRPr="00312018">
              <w:rPr>
                <w:rFonts w:cstheme="minorHAnsi"/>
                <w:sz w:val="22"/>
                <w:szCs w:val="22"/>
              </w:rPr>
              <w:t>Hines 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jc w:val="right"/>
              <w:rPr>
                <w:rFonts w:cstheme="minorHAnsi"/>
                <w:sz w:val="22"/>
                <w:szCs w:val="22"/>
              </w:rPr>
            </w:pPr>
            <w:r w:rsidRPr="00312018">
              <w:rPr>
                <w:rFonts w:cstheme="minorHAnsi"/>
                <w:sz w:val="22"/>
                <w:szCs w:val="22"/>
              </w:rPr>
              <w:t>84.13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jc w:val="right"/>
              <w:rPr>
                <w:rFonts w:cstheme="minorHAnsi"/>
                <w:sz w:val="22"/>
                <w:szCs w:val="22"/>
              </w:rPr>
            </w:pPr>
            <w:r w:rsidRPr="00312018">
              <w:rPr>
                <w:rFonts w:cstheme="minorHAnsi"/>
                <w:sz w:val="22"/>
                <w:szCs w:val="22"/>
              </w:rPr>
              <w:t>85.91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jc w:val="right"/>
              <w:rPr>
                <w:rFonts w:cstheme="minorHAnsi"/>
                <w:sz w:val="22"/>
                <w:szCs w:val="22"/>
              </w:rPr>
            </w:pPr>
            <w:r w:rsidRPr="00312018">
              <w:rPr>
                <w:rFonts w:cstheme="minorHAnsi"/>
                <w:sz w:val="22"/>
                <w:szCs w:val="22"/>
              </w:rPr>
              <w:t>193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jc w:val="right"/>
              <w:rPr>
                <w:rFonts w:cstheme="minorHAnsi"/>
                <w:sz w:val="22"/>
                <w:szCs w:val="22"/>
              </w:rPr>
            </w:pPr>
            <w:r w:rsidRPr="00312018">
              <w:rPr>
                <w:rFonts w:cstheme="minorHAnsi"/>
                <w:sz w:val="22"/>
                <w:szCs w:val="22"/>
              </w:rPr>
              <w:t>7,470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jc w:val="right"/>
              <w:rPr>
                <w:rFonts w:cstheme="minorHAnsi"/>
                <w:sz w:val="22"/>
                <w:szCs w:val="22"/>
              </w:rPr>
            </w:pPr>
            <w:r w:rsidRPr="00312018">
              <w:rPr>
                <w:rFonts w:cstheme="minorHAnsi"/>
                <w:sz w:val="22"/>
                <w:szCs w:val="22"/>
              </w:rPr>
              <w:t>7,599</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jc w:val="right"/>
              <w:rPr>
                <w:rFonts w:cstheme="minorHAnsi"/>
                <w:sz w:val="22"/>
                <w:szCs w:val="22"/>
              </w:rPr>
            </w:pPr>
            <w:r w:rsidRPr="00312018">
              <w:rPr>
                <w:rFonts w:cstheme="minorHAnsi"/>
                <w:sz w:val="22"/>
                <w:szCs w:val="22"/>
              </w:rPr>
              <w:t>621</w:t>
            </w:r>
          </w:p>
        </w:tc>
      </w:tr>
      <w:tr w:rsidR="00CC263E" w:rsidRPr="00312018" w:rsidTr="00BC6BDE">
        <w:trPr>
          <w:trHeight w:val="300"/>
        </w:trPr>
        <w:tc>
          <w:tcPr>
            <w:tcW w:w="792" w:type="dxa"/>
            <w:vMerge/>
            <w:tcBorders>
              <w:left w:val="single" w:sz="4" w:space="0" w:color="auto"/>
              <w:right w:val="single" w:sz="4" w:space="0" w:color="auto"/>
            </w:tcBorders>
            <w:shd w:val="clear" w:color="auto" w:fill="auto"/>
            <w:vAlign w:val="center"/>
            <w:hideMark/>
          </w:tcPr>
          <w:p w:rsidR="00CC263E" w:rsidRPr="00DA29D9" w:rsidRDefault="00CC263E" w:rsidP="00BC6BDE">
            <w:pPr>
              <w:rPr>
                <w:rFonts w:cstheme="minorHAnsi"/>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rPr>
                <w:rFonts w:cstheme="minorHAnsi"/>
                <w:sz w:val="22"/>
                <w:szCs w:val="22"/>
              </w:rPr>
            </w:pPr>
            <w:r w:rsidRPr="00312018">
              <w:rPr>
                <w:rFonts w:cstheme="minorHAnsi"/>
                <w:sz w:val="22"/>
                <w:szCs w:val="22"/>
              </w:rPr>
              <w:t>Hines 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jc w:val="right"/>
              <w:rPr>
                <w:rFonts w:cstheme="minorHAnsi"/>
                <w:sz w:val="22"/>
                <w:szCs w:val="22"/>
              </w:rPr>
            </w:pPr>
            <w:r w:rsidRPr="00312018">
              <w:rPr>
                <w:rFonts w:cstheme="minorHAnsi"/>
                <w:sz w:val="22"/>
                <w:szCs w:val="22"/>
              </w:rPr>
              <w:t>94.71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jc w:val="right"/>
              <w:rPr>
                <w:rFonts w:cstheme="minorHAnsi"/>
                <w:sz w:val="22"/>
                <w:szCs w:val="22"/>
              </w:rPr>
            </w:pPr>
            <w:r w:rsidRPr="00312018">
              <w:rPr>
                <w:rFonts w:cstheme="minorHAnsi"/>
                <w:sz w:val="22"/>
                <w:szCs w:val="22"/>
              </w:rPr>
              <w:t>95.40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jc w:val="right"/>
              <w:rPr>
                <w:rFonts w:cstheme="minorHAnsi"/>
                <w:sz w:val="22"/>
                <w:szCs w:val="22"/>
              </w:rPr>
            </w:pPr>
            <w:r w:rsidRPr="00312018">
              <w:rPr>
                <w:rFonts w:cstheme="minorHAnsi"/>
                <w:sz w:val="22"/>
                <w:szCs w:val="22"/>
              </w:rPr>
              <w:t>41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jc w:val="right"/>
              <w:rPr>
                <w:rFonts w:cstheme="minorHAnsi"/>
                <w:sz w:val="22"/>
                <w:szCs w:val="22"/>
              </w:rPr>
            </w:pPr>
            <w:r w:rsidRPr="00312018">
              <w:rPr>
                <w:rFonts w:cstheme="minorHAnsi"/>
                <w:sz w:val="22"/>
                <w:szCs w:val="22"/>
              </w:rPr>
              <w:t>7,402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jc w:val="right"/>
              <w:rPr>
                <w:rFonts w:cstheme="minorHAnsi"/>
                <w:sz w:val="22"/>
                <w:szCs w:val="22"/>
              </w:rPr>
            </w:pPr>
            <w:r w:rsidRPr="00312018">
              <w:rPr>
                <w:rFonts w:cstheme="minorHAnsi"/>
                <w:sz w:val="22"/>
                <w:szCs w:val="22"/>
              </w:rPr>
              <w:t>7,599</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jc w:val="right"/>
              <w:rPr>
                <w:rFonts w:cstheme="minorHAnsi"/>
                <w:sz w:val="22"/>
                <w:szCs w:val="22"/>
              </w:rPr>
            </w:pPr>
            <w:r w:rsidRPr="00312018">
              <w:rPr>
                <w:rFonts w:cstheme="minorHAnsi"/>
                <w:sz w:val="22"/>
                <w:szCs w:val="22"/>
              </w:rPr>
              <w:t>1,173</w:t>
            </w:r>
          </w:p>
        </w:tc>
      </w:tr>
      <w:tr w:rsidR="00CC263E" w:rsidRPr="00312018" w:rsidTr="00BC6BDE">
        <w:trPr>
          <w:trHeight w:val="300"/>
        </w:trPr>
        <w:tc>
          <w:tcPr>
            <w:tcW w:w="792" w:type="dxa"/>
            <w:vMerge/>
            <w:tcBorders>
              <w:left w:val="single" w:sz="4" w:space="0" w:color="auto"/>
              <w:right w:val="single" w:sz="4" w:space="0" w:color="auto"/>
            </w:tcBorders>
            <w:shd w:val="clear" w:color="auto" w:fill="auto"/>
            <w:vAlign w:val="center"/>
            <w:hideMark/>
          </w:tcPr>
          <w:p w:rsidR="00CC263E" w:rsidRPr="00DA29D9" w:rsidRDefault="00CC263E" w:rsidP="00BC6BDE">
            <w:pPr>
              <w:rPr>
                <w:rFonts w:cstheme="minorHAnsi"/>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rPr>
                <w:rFonts w:cstheme="minorHAnsi"/>
                <w:sz w:val="22"/>
                <w:szCs w:val="22"/>
              </w:rPr>
            </w:pPr>
            <w:r w:rsidRPr="00312018">
              <w:rPr>
                <w:rFonts w:cstheme="minorHAnsi"/>
                <w:sz w:val="22"/>
                <w:szCs w:val="22"/>
              </w:rPr>
              <w:t>Hines 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jc w:val="right"/>
              <w:rPr>
                <w:rFonts w:cstheme="minorHAnsi"/>
                <w:sz w:val="22"/>
                <w:szCs w:val="22"/>
              </w:rPr>
            </w:pPr>
            <w:r w:rsidRPr="00312018">
              <w:rPr>
                <w:rFonts w:cstheme="minorHAnsi"/>
                <w:sz w:val="22"/>
                <w:szCs w:val="22"/>
              </w:rPr>
              <w:t>73.66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jc w:val="right"/>
              <w:rPr>
                <w:rFonts w:cstheme="minorHAnsi"/>
                <w:sz w:val="22"/>
                <w:szCs w:val="22"/>
              </w:rPr>
            </w:pPr>
            <w:r w:rsidRPr="00312018">
              <w:rPr>
                <w:rFonts w:cstheme="minorHAnsi"/>
                <w:sz w:val="22"/>
                <w:szCs w:val="22"/>
              </w:rPr>
              <w:t>74.45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jc w:val="right"/>
              <w:rPr>
                <w:rFonts w:cstheme="minorHAnsi"/>
                <w:sz w:val="22"/>
                <w:szCs w:val="22"/>
              </w:rPr>
            </w:pPr>
            <w:r w:rsidRPr="00312018">
              <w:rPr>
                <w:rFonts w:cstheme="minorHAnsi"/>
                <w:sz w:val="22"/>
                <w:szCs w:val="22"/>
              </w:rPr>
              <w:t>201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jc w:val="right"/>
              <w:rPr>
                <w:rFonts w:cstheme="minorHAnsi"/>
                <w:sz w:val="22"/>
                <w:szCs w:val="22"/>
              </w:rPr>
            </w:pPr>
            <w:r w:rsidRPr="00312018">
              <w:rPr>
                <w:rFonts w:cstheme="minorHAnsi"/>
                <w:sz w:val="22"/>
                <w:szCs w:val="22"/>
              </w:rPr>
              <w:t>7,174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jc w:val="right"/>
              <w:rPr>
                <w:rFonts w:cstheme="minorHAnsi"/>
                <w:sz w:val="22"/>
                <w:szCs w:val="22"/>
              </w:rPr>
            </w:pPr>
            <w:r w:rsidRPr="00312018">
              <w:rPr>
                <w:rFonts w:cstheme="minorHAnsi"/>
                <w:sz w:val="22"/>
                <w:szCs w:val="22"/>
              </w:rPr>
              <w:t>7,373</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jc w:val="right"/>
              <w:rPr>
                <w:rFonts w:cstheme="minorHAnsi"/>
                <w:sz w:val="22"/>
                <w:szCs w:val="22"/>
              </w:rPr>
            </w:pPr>
            <w:r w:rsidRPr="00312018">
              <w:rPr>
                <w:rFonts w:cstheme="minorHAnsi"/>
                <w:sz w:val="22"/>
                <w:szCs w:val="22"/>
              </w:rPr>
              <w:t>1,210</w:t>
            </w:r>
          </w:p>
        </w:tc>
      </w:tr>
      <w:tr w:rsidR="00CC263E" w:rsidRPr="00312018" w:rsidTr="00BC6BDE">
        <w:trPr>
          <w:trHeight w:val="300"/>
        </w:trPr>
        <w:tc>
          <w:tcPr>
            <w:tcW w:w="792" w:type="dxa"/>
            <w:vMerge/>
            <w:tcBorders>
              <w:left w:val="single" w:sz="4" w:space="0" w:color="auto"/>
              <w:right w:val="single" w:sz="4" w:space="0" w:color="auto"/>
            </w:tcBorders>
            <w:shd w:val="clear" w:color="auto" w:fill="auto"/>
            <w:vAlign w:val="center"/>
            <w:hideMark/>
          </w:tcPr>
          <w:p w:rsidR="00CC263E" w:rsidRPr="00DA29D9" w:rsidRDefault="00CC263E" w:rsidP="00BC6BDE">
            <w:pPr>
              <w:rPr>
                <w:rFonts w:cstheme="minorHAnsi"/>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rPr>
                <w:rFonts w:cstheme="minorHAnsi"/>
                <w:sz w:val="22"/>
                <w:szCs w:val="22"/>
              </w:rPr>
            </w:pPr>
            <w:r w:rsidRPr="00312018">
              <w:rPr>
                <w:rFonts w:cstheme="minorHAnsi"/>
                <w:sz w:val="22"/>
                <w:szCs w:val="22"/>
              </w:rPr>
              <w:t>Hines 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jc w:val="right"/>
              <w:rPr>
                <w:rFonts w:cstheme="minorHAnsi"/>
                <w:sz w:val="22"/>
                <w:szCs w:val="22"/>
              </w:rPr>
            </w:pPr>
            <w:r w:rsidRPr="00312018">
              <w:rPr>
                <w:rFonts w:cstheme="minorHAnsi"/>
                <w:sz w:val="22"/>
                <w:szCs w:val="22"/>
              </w:rPr>
              <w:t>93.68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jc w:val="right"/>
              <w:rPr>
                <w:rFonts w:cstheme="minorHAnsi"/>
                <w:sz w:val="22"/>
                <w:szCs w:val="22"/>
              </w:rPr>
            </w:pPr>
            <w:r w:rsidRPr="00312018">
              <w:rPr>
                <w:rFonts w:cstheme="minorHAnsi"/>
                <w:sz w:val="22"/>
                <w:szCs w:val="22"/>
              </w:rPr>
              <w:t>94.85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jc w:val="right"/>
              <w:rPr>
                <w:rFonts w:cstheme="minorHAnsi"/>
                <w:sz w:val="22"/>
                <w:szCs w:val="22"/>
                <w:u w:val="single"/>
              </w:rPr>
            </w:pPr>
            <w:r w:rsidRPr="00312018">
              <w:rPr>
                <w:rFonts w:cstheme="minorHAnsi"/>
                <w:sz w:val="22"/>
                <w:szCs w:val="22"/>
                <w:u w:val="single"/>
              </w:rPr>
              <w:t>317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jc w:val="right"/>
              <w:rPr>
                <w:rFonts w:cstheme="minorHAnsi"/>
                <w:sz w:val="22"/>
                <w:szCs w:val="22"/>
              </w:rPr>
            </w:pPr>
            <w:r w:rsidRPr="00312018">
              <w:rPr>
                <w:rFonts w:cstheme="minorHAnsi"/>
                <w:sz w:val="22"/>
                <w:szCs w:val="22"/>
              </w:rPr>
              <w:t>6,999</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jc w:val="right"/>
              <w:rPr>
                <w:rFonts w:cstheme="minorHAnsi"/>
                <w:sz w:val="22"/>
                <w:szCs w:val="22"/>
              </w:rPr>
            </w:pPr>
            <w:r w:rsidRPr="00312018">
              <w:rPr>
                <w:rFonts w:cstheme="minorHAnsi"/>
                <w:sz w:val="22"/>
                <w:szCs w:val="22"/>
              </w:rPr>
              <w:t>7,173</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jc w:val="right"/>
              <w:rPr>
                <w:rFonts w:cstheme="minorHAnsi"/>
                <w:sz w:val="22"/>
                <w:szCs w:val="22"/>
                <w:u w:val="single"/>
              </w:rPr>
            </w:pPr>
            <w:r w:rsidRPr="00312018">
              <w:rPr>
                <w:rFonts w:cstheme="minorHAnsi"/>
                <w:sz w:val="22"/>
                <w:szCs w:val="22"/>
                <w:u w:val="single"/>
              </w:rPr>
              <w:t>1,625</w:t>
            </w:r>
          </w:p>
        </w:tc>
      </w:tr>
      <w:tr w:rsidR="00CC263E" w:rsidRPr="00312018" w:rsidTr="00BC6BDE">
        <w:trPr>
          <w:trHeight w:val="300"/>
        </w:trPr>
        <w:tc>
          <w:tcPr>
            <w:tcW w:w="792" w:type="dxa"/>
            <w:vMerge/>
            <w:tcBorders>
              <w:left w:val="single" w:sz="4" w:space="0" w:color="auto"/>
              <w:right w:val="single" w:sz="4" w:space="0" w:color="auto"/>
            </w:tcBorders>
            <w:shd w:val="clear" w:color="auto" w:fill="auto"/>
            <w:vAlign w:val="center"/>
            <w:hideMark/>
          </w:tcPr>
          <w:p w:rsidR="00CC263E" w:rsidRPr="00DA29D9" w:rsidRDefault="00CC263E" w:rsidP="00BC6BDE">
            <w:pPr>
              <w:rPr>
                <w:rFonts w:cstheme="minorHAnsi"/>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rPr>
                <w:rFonts w:cstheme="minorHAnsi"/>
                <w:sz w:val="22"/>
                <w:szCs w:val="22"/>
              </w:rPr>
            </w:pPr>
            <w:r w:rsidRPr="00312018">
              <w:rPr>
                <w:rFonts w:cstheme="minorHAnsi"/>
                <w:b/>
                <w:bCs/>
                <w:sz w:val="22"/>
                <w:szCs w:val="22"/>
              </w:rPr>
              <w:t>Total</w:t>
            </w:r>
            <w:r w:rsidRPr="00312018">
              <w:rPr>
                <w:rFonts w:cstheme="minorHAnsi"/>
                <w:sz w:val="22"/>
                <w:szCs w:val="22"/>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jc w:val="right"/>
              <w:rPr>
                <w:rFonts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jc w:val="right"/>
              <w:rPr>
                <w:rFonts w:cstheme="minorHAnsi"/>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jc w:val="right"/>
              <w:rPr>
                <w:rFonts w:cstheme="minorHAnsi"/>
                <w:sz w:val="22"/>
                <w:szCs w:val="22"/>
                <w:u w:val="double"/>
              </w:rPr>
            </w:pPr>
            <w:r w:rsidRPr="00312018">
              <w:rPr>
                <w:rFonts w:cstheme="minorHAnsi"/>
                <w:sz w:val="22"/>
                <w:szCs w:val="22"/>
                <w:u w:val="double"/>
              </w:rPr>
              <w:t xml:space="preserve">$5,087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jc w:val="right"/>
              <w:rPr>
                <w:rFonts w:cstheme="minorHAnsi"/>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jc w:val="right"/>
              <w:rPr>
                <w:rFonts w:cstheme="minorHAnsi"/>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63E" w:rsidRPr="00312018" w:rsidRDefault="00CC263E" w:rsidP="00BC6BDE">
            <w:pPr>
              <w:jc w:val="right"/>
              <w:rPr>
                <w:rFonts w:cstheme="minorHAnsi"/>
                <w:sz w:val="22"/>
                <w:szCs w:val="22"/>
                <w:u w:val="double"/>
              </w:rPr>
            </w:pPr>
            <w:r w:rsidRPr="00312018">
              <w:rPr>
                <w:rFonts w:cstheme="minorHAnsi"/>
                <w:sz w:val="22"/>
                <w:szCs w:val="22"/>
                <w:u w:val="double"/>
              </w:rPr>
              <w:t>$19,938</w:t>
            </w:r>
          </w:p>
        </w:tc>
      </w:tr>
    </w:tbl>
    <w:p w:rsidR="00CC263E" w:rsidRDefault="00CC263E" w:rsidP="00CC263E">
      <w:pPr>
        <w:pStyle w:val="BodyText"/>
        <w:spacing w:after="0"/>
        <w:jc w:val="both"/>
      </w:pPr>
      <w:r>
        <w:t>Source: Exhibit 9.</w:t>
      </w:r>
    </w:p>
    <w:p w:rsidR="00CC263E" w:rsidRDefault="00D21771" w:rsidP="00CC263E">
      <w:pPr>
        <w:pStyle w:val="BodyText"/>
        <w:spacing w:after="0"/>
        <w:jc w:val="both"/>
      </w:pPr>
      <w:r>
        <w:t>*</w:t>
      </w:r>
      <w:r w:rsidR="00CC263E">
        <w:t>May not compute exactly due to rounding.</w:t>
      </w:r>
    </w:p>
    <w:p w:rsidR="00D21771" w:rsidRDefault="00D21771" w:rsidP="00CC263E">
      <w:pPr>
        <w:pStyle w:val="BodyText"/>
        <w:spacing w:after="0"/>
        <w:jc w:val="both"/>
      </w:pPr>
    </w:p>
    <w:p w:rsidR="00D21771" w:rsidRDefault="00D21771" w:rsidP="00E35EF3">
      <w:pPr>
        <w:pStyle w:val="BodyText"/>
        <w:jc w:val="both"/>
      </w:pPr>
      <w:r>
        <w:tab/>
      </w:r>
      <w:r w:rsidR="008260CF">
        <w:t xml:space="preserve">Rule </w:t>
      </w:r>
      <w:r w:rsidR="008260CF" w:rsidRPr="00944D9C">
        <w:t>25-6.0131</w:t>
      </w:r>
      <w:r w:rsidR="008260CF">
        <w:t>(1)(a.), F.A.C., specifies that: “[e]</w:t>
      </w:r>
      <w:r w:rsidR="008260CF" w:rsidRPr="00944D9C">
        <w:t>ach investor-owned electric company shall pay a regulatory assessment fee in the amount of .00072 of gross operating revenues derived from intrastate business, excluding sales for resale between public utilities, municipal electric utilities, and rural electric cooperatives or any combination thereof</w:t>
      </w:r>
      <w:r w:rsidR="008260CF">
        <w:t>.”</w:t>
      </w:r>
      <w:r w:rsidR="008260CF">
        <w:rPr>
          <w:rStyle w:val="FootnoteReference"/>
        </w:rPr>
        <w:footnoteReference w:id="7"/>
      </w:r>
      <w:r w:rsidR="008260CF">
        <w:t xml:space="preserve"> </w:t>
      </w:r>
      <w:r w:rsidR="00E35EF3">
        <w:t xml:space="preserve"> Based on DEF witness Menendez’s testimony, w</w:t>
      </w:r>
      <w:r w:rsidR="008260CF">
        <w:t xml:space="preserve">e find that the correct </w:t>
      </w:r>
      <w:r w:rsidR="008260CF" w:rsidRPr="00E76C03">
        <w:t>tax factor (1.00072) was applied</w:t>
      </w:r>
      <w:r w:rsidR="008260CF">
        <w:t xml:space="preserve"> to the appropriate projected amount of fuel-related revenue to be collected for the period of January 2021 through December, 2021.  </w:t>
      </w:r>
    </w:p>
    <w:p w:rsidR="008260CF" w:rsidRDefault="008260CF" w:rsidP="008260CF">
      <w:pPr>
        <w:pStyle w:val="BodyText"/>
        <w:jc w:val="both"/>
      </w:pPr>
      <w:r>
        <w:tab/>
      </w:r>
      <w:r w:rsidRPr="00893E3B">
        <w:t xml:space="preserve">Due to the physics involved, a certain quantity of electricity is lost during its transmission and </w:t>
      </w:r>
      <w:r w:rsidRPr="00F729AC">
        <w:t xml:space="preserve">distribution through the electric grid which leads to variations in efficiency levels of delivered electricity. </w:t>
      </w:r>
      <w:r>
        <w:t xml:space="preserve"> </w:t>
      </w:r>
      <w:r w:rsidRPr="00F729AC">
        <w:t>Because DEF must provide enough electricity to meet customer demand which will inherently include a quantity of line loss/differences in delivery efficiencies, a portion of this loss is accounted for and reflected through the “line loss multiplier.”</w:t>
      </w:r>
      <w:r w:rsidR="00E35EF3">
        <w:t xml:space="preserve">  </w:t>
      </w:r>
      <w:r w:rsidRPr="00893E3B">
        <w:t>DEF witness Menendez</w:t>
      </w:r>
      <w:r>
        <w:t xml:space="preserve"> testified</w:t>
      </w:r>
      <w:r w:rsidR="00E35EF3">
        <w:t>, and we find,</w:t>
      </w:r>
      <w:r>
        <w:t xml:space="preserve"> that</w:t>
      </w:r>
      <w:r w:rsidRPr="00893E3B">
        <w:t xml:space="preserve"> the fuel recovery line loss multipliers to be applied to the fuel cost recovery factors for the period of January 2021 through December 2021 are as shown in Table </w:t>
      </w:r>
      <w:r>
        <w:t>4</w:t>
      </w:r>
      <w:r w:rsidRPr="00893E3B">
        <w:t xml:space="preserve"> below:</w:t>
      </w:r>
      <w:r>
        <w:t xml:space="preserve"> </w:t>
      </w:r>
      <w:r w:rsidRPr="00E510E6">
        <w:t xml:space="preserve"> </w:t>
      </w:r>
      <w:r>
        <w:t xml:space="preserve">        </w:t>
      </w:r>
    </w:p>
    <w:p w:rsidR="00E35EF3" w:rsidRDefault="00E35EF3">
      <w:r>
        <w:br w:type="page"/>
      </w:r>
    </w:p>
    <w:tbl>
      <w:tblPr>
        <w:tblStyle w:val="TableGrid"/>
        <w:tblW w:w="9360" w:type="dxa"/>
        <w:tblInd w:w="-5" w:type="dxa"/>
        <w:tblLook w:val="04A0" w:firstRow="1" w:lastRow="0" w:firstColumn="1" w:lastColumn="0" w:noHBand="0" w:noVBand="1"/>
      </w:tblPr>
      <w:tblGrid>
        <w:gridCol w:w="1350"/>
        <w:gridCol w:w="4140"/>
        <w:gridCol w:w="3870"/>
      </w:tblGrid>
      <w:tr w:rsidR="008260CF" w:rsidRPr="00B573BF" w:rsidTr="00BC6BDE">
        <w:trPr>
          <w:cantSplit/>
          <w:tblHeader/>
        </w:trPr>
        <w:tc>
          <w:tcPr>
            <w:tcW w:w="9360" w:type="dxa"/>
            <w:gridSpan w:val="3"/>
            <w:tcBorders>
              <w:top w:val="nil"/>
              <w:left w:val="nil"/>
              <w:bottom w:val="nil"/>
              <w:right w:val="nil"/>
            </w:tcBorders>
          </w:tcPr>
          <w:p w:rsidR="008260CF" w:rsidRPr="00CD2248" w:rsidRDefault="008260CF" w:rsidP="008260CF">
            <w:pPr>
              <w:ind w:left="1440" w:hanging="1440"/>
              <w:jc w:val="center"/>
              <w:rPr>
                <w:rFonts w:ascii="Arial" w:hAnsi="Arial" w:cs="Arial"/>
                <w:b/>
              </w:rPr>
            </w:pPr>
            <w:r w:rsidRPr="00B573BF">
              <w:rPr>
                <w:rFonts w:ascii="Arial" w:hAnsi="Arial" w:cs="Arial"/>
                <w:b/>
              </w:rPr>
              <w:lastRenderedPageBreak/>
              <w:t xml:space="preserve">Table </w:t>
            </w:r>
            <w:r>
              <w:rPr>
                <w:rFonts w:ascii="Arial" w:hAnsi="Arial" w:cs="Arial"/>
                <w:b/>
              </w:rPr>
              <w:t>4</w:t>
            </w:r>
          </w:p>
        </w:tc>
      </w:tr>
      <w:tr w:rsidR="008260CF" w:rsidRPr="00B573BF" w:rsidTr="00BC6BDE">
        <w:trPr>
          <w:cantSplit/>
          <w:tblHeader/>
        </w:trPr>
        <w:tc>
          <w:tcPr>
            <w:tcW w:w="9360" w:type="dxa"/>
            <w:gridSpan w:val="3"/>
            <w:tcBorders>
              <w:top w:val="nil"/>
              <w:left w:val="nil"/>
              <w:bottom w:val="nil"/>
              <w:right w:val="nil"/>
            </w:tcBorders>
          </w:tcPr>
          <w:p w:rsidR="008260CF" w:rsidRPr="00CD2248" w:rsidRDefault="008260CF" w:rsidP="00BC6BDE">
            <w:pPr>
              <w:keepNext/>
              <w:keepLines/>
              <w:jc w:val="center"/>
              <w:rPr>
                <w:rFonts w:ascii="Arial" w:hAnsi="Arial" w:cs="Arial"/>
                <w:b/>
              </w:rPr>
            </w:pPr>
            <w:r w:rsidRPr="00B573BF">
              <w:rPr>
                <w:rFonts w:ascii="Arial" w:hAnsi="Arial" w:cs="Arial"/>
                <w:b/>
              </w:rPr>
              <w:t>DEF Fuel Recovery Line Loss Multipliers</w:t>
            </w:r>
          </w:p>
        </w:tc>
      </w:tr>
      <w:tr w:rsidR="008260CF" w:rsidRPr="00B573BF" w:rsidTr="00BC6BDE">
        <w:trPr>
          <w:cantSplit/>
          <w:tblHeader/>
        </w:trPr>
        <w:tc>
          <w:tcPr>
            <w:tcW w:w="9360" w:type="dxa"/>
            <w:gridSpan w:val="3"/>
            <w:tcBorders>
              <w:top w:val="nil"/>
              <w:left w:val="nil"/>
              <w:bottom w:val="single" w:sz="4" w:space="0" w:color="auto"/>
              <w:right w:val="nil"/>
            </w:tcBorders>
          </w:tcPr>
          <w:p w:rsidR="008260CF" w:rsidRPr="00B573BF" w:rsidRDefault="008260CF" w:rsidP="00BC6BDE">
            <w:pPr>
              <w:keepNext/>
              <w:keepLines/>
              <w:jc w:val="center"/>
            </w:pPr>
            <w:r w:rsidRPr="00B573BF">
              <w:rPr>
                <w:rFonts w:ascii="Arial" w:hAnsi="Arial" w:cs="Arial"/>
                <w:b/>
              </w:rPr>
              <w:t>January</w:t>
            </w:r>
            <w:r>
              <w:rPr>
                <w:rFonts w:ascii="Arial" w:hAnsi="Arial" w:cs="Arial"/>
                <w:b/>
              </w:rPr>
              <w:t xml:space="preserve"> </w:t>
            </w:r>
            <w:r w:rsidRPr="00B573BF">
              <w:rPr>
                <w:rFonts w:ascii="Arial" w:hAnsi="Arial" w:cs="Arial"/>
                <w:b/>
              </w:rPr>
              <w:t>-</w:t>
            </w:r>
            <w:r>
              <w:rPr>
                <w:rFonts w:ascii="Arial" w:hAnsi="Arial" w:cs="Arial"/>
                <w:b/>
              </w:rPr>
              <w:t xml:space="preserve"> </w:t>
            </w:r>
            <w:r w:rsidRPr="00B573BF">
              <w:rPr>
                <w:rFonts w:ascii="Arial" w:hAnsi="Arial" w:cs="Arial"/>
                <w:b/>
              </w:rPr>
              <w:t>December, 202</w:t>
            </w:r>
            <w:r>
              <w:rPr>
                <w:rFonts w:ascii="Arial" w:hAnsi="Arial" w:cs="Arial"/>
                <w:b/>
              </w:rPr>
              <w:t>1</w:t>
            </w:r>
          </w:p>
        </w:tc>
      </w:tr>
      <w:tr w:rsidR="008260CF" w:rsidRPr="00B573BF" w:rsidTr="00BC6BDE">
        <w:trPr>
          <w:cantSplit/>
          <w:tblHeader/>
        </w:trPr>
        <w:tc>
          <w:tcPr>
            <w:tcW w:w="1350" w:type="dxa"/>
            <w:tcBorders>
              <w:top w:val="single" w:sz="4" w:space="0" w:color="auto"/>
              <w:left w:val="single" w:sz="4" w:space="0" w:color="auto"/>
              <w:bottom w:val="single" w:sz="4" w:space="0" w:color="auto"/>
              <w:right w:val="single" w:sz="4" w:space="0" w:color="auto"/>
            </w:tcBorders>
            <w:hideMark/>
          </w:tcPr>
          <w:p w:rsidR="008260CF" w:rsidRPr="00757DF9" w:rsidRDefault="008260CF" w:rsidP="00BC6BDE">
            <w:pPr>
              <w:jc w:val="center"/>
              <w:rPr>
                <w:b/>
                <w:bCs/>
              </w:rPr>
            </w:pPr>
            <w:r w:rsidRPr="00757DF9">
              <w:rPr>
                <w:b/>
                <w:bCs/>
              </w:rPr>
              <w:t>Group</w:t>
            </w:r>
          </w:p>
        </w:tc>
        <w:tc>
          <w:tcPr>
            <w:tcW w:w="4140" w:type="dxa"/>
            <w:tcBorders>
              <w:top w:val="single" w:sz="4" w:space="0" w:color="auto"/>
              <w:left w:val="single" w:sz="4" w:space="0" w:color="auto"/>
              <w:bottom w:val="single" w:sz="4" w:space="0" w:color="auto"/>
              <w:right w:val="single" w:sz="4" w:space="0" w:color="auto"/>
            </w:tcBorders>
          </w:tcPr>
          <w:p w:rsidR="008260CF" w:rsidRPr="00757DF9" w:rsidRDefault="008260CF" w:rsidP="00BC6BDE">
            <w:pPr>
              <w:jc w:val="center"/>
              <w:rPr>
                <w:b/>
                <w:bCs/>
              </w:rPr>
            </w:pPr>
            <w:r w:rsidRPr="00757DF9">
              <w:rPr>
                <w:b/>
                <w:bCs/>
              </w:rPr>
              <w:t>Delivery Voltage Level</w:t>
            </w:r>
          </w:p>
        </w:tc>
        <w:tc>
          <w:tcPr>
            <w:tcW w:w="3870" w:type="dxa"/>
            <w:tcBorders>
              <w:top w:val="single" w:sz="4" w:space="0" w:color="auto"/>
              <w:left w:val="single" w:sz="4" w:space="0" w:color="auto"/>
              <w:bottom w:val="single" w:sz="4" w:space="0" w:color="auto"/>
              <w:right w:val="single" w:sz="4" w:space="0" w:color="auto"/>
            </w:tcBorders>
            <w:hideMark/>
          </w:tcPr>
          <w:p w:rsidR="008260CF" w:rsidRPr="00757DF9" w:rsidRDefault="008260CF" w:rsidP="00BC6BDE">
            <w:pPr>
              <w:jc w:val="center"/>
              <w:rPr>
                <w:b/>
                <w:bCs/>
              </w:rPr>
            </w:pPr>
            <w:r w:rsidRPr="00757DF9">
              <w:rPr>
                <w:b/>
                <w:bCs/>
              </w:rPr>
              <w:t>Line Loss Multiplier</w:t>
            </w:r>
          </w:p>
        </w:tc>
      </w:tr>
      <w:tr w:rsidR="008260CF" w:rsidRPr="00B573BF" w:rsidTr="00BC6BDE">
        <w:tc>
          <w:tcPr>
            <w:tcW w:w="1350" w:type="dxa"/>
            <w:tcBorders>
              <w:top w:val="single" w:sz="4" w:space="0" w:color="auto"/>
              <w:left w:val="single" w:sz="4" w:space="0" w:color="auto"/>
              <w:bottom w:val="single" w:sz="4" w:space="0" w:color="auto"/>
              <w:right w:val="single" w:sz="4" w:space="0" w:color="auto"/>
            </w:tcBorders>
            <w:hideMark/>
          </w:tcPr>
          <w:p w:rsidR="008260CF" w:rsidRPr="00B573BF" w:rsidRDefault="008260CF" w:rsidP="00BC6BDE">
            <w:r w:rsidRPr="00B573BF">
              <w:t>A</w:t>
            </w:r>
          </w:p>
        </w:tc>
        <w:tc>
          <w:tcPr>
            <w:tcW w:w="4140" w:type="dxa"/>
            <w:tcBorders>
              <w:top w:val="single" w:sz="4" w:space="0" w:color="auto"/>
              <w:left w:val="single" w:sz="4" w:space="0" w:color="auto"/>
              <w:bottom w:val="single" w:sz="4" w:space="0" w:color="auto"/>
              <w:right w:val="single" w:sz="4" w:space="0" w:color="auto"/>
            </w:tcBorders>
          </w:tcPr>
          <w:p w:rsidR="008260CF" w:rsidRPr="00B573BF" w:rsidRDefault="008260CF" w:rsidP="00BC6BDE">
            <w:r w:rsidRPr="00B573BF">
              <w:t>Transmission</w:t>
            </w:r>
          </w:p>
        </w:tc>
        <w:tc>
          <w:tcPr>
            <w:tcW w:w="3870" w:type="dxa"/>
            <w:tcBorders>
              <w:top w:val="single" w:sz="4" w:space="0" w:color="auto"/>
              <w:left w:val="single" w:sz="4" w:space="0" w:color="auto"/>
              <w:bottom w:val="single" w:sz="4" w:space="0" w:color="auto"/>
              <w:right w:val="single" w:sz="4" w:space="0" w:color="auto"/>
            </w:tcBorders>
            <w:hideMark/>
          </w:tcPr>
          <w:p w:rsidR="008260CF" w:rsidRPr="00B43AF5" w:rsidRDefault="008260CF" w:rsidP="00BC6BDE">
            <w:pPr>
              <w:jc w:val="right"/>
            </w:pPr>
            <w:r w:rsidRPr="00B43AF5">
              <w:t>0.98</w:t>
            </w:r>
          </w:p>
        </w:tc>
      </w:tr>
      <w:tr w:rsidR="008260CF" w:rsidRPr="00B573BF" w:rsidTr="00BC6BDE">
        <w:tc>
          <w:tcPr>
            <w:tcW w:w="1350" w:type="dxa"/>
            <w:tcBorders>
              <w:top w:val="single" w:sz="4" w:space="0" w:color="auto"/>
              <w:left w:val="single" w:sz="4" w:space="0" w:color="auto"/>
              <w:bottom w:val="single" w:sz="4" w:space="0" w:color="auto"/>
              <w:right w:val="single" w:sz="4" w:space="0" w:color="auto"/>
            </w:tcBorders>
          </w:tcPr>
          <w:p w:rsidR="008260CF" w:rsidRPr="00B573BF" w:rsidRDefault="008260CF" w:rsidP="00BC6BDE">
            <w:r w:rsidRPr="00B573BF">
              <w:t>B</w:t>
            </w:r>
          </w:p>
        </w:tc>
        <w:tc>
          <w:tcPr>
            <w:tcW w:w="4140" w:type="dxa"/>
            <w:tcBorders>
              <w:top w:val="single" w:sz="4" w:space="0" w:color="auto"/>
              <w:left w:val="single" w:sz="4" w:space="0" w:color="auto"/>
              <w:bottom w:val="single" w:sz="4" w:space="0" w:color="auto"/>
              <w:right w:val="single" w:sz="4" w:space="0" w:color="auto"/>
            </w:tcBorders>
          </w:tcPr>
          <w:p w:rsidR="008260CF" w:rsidRPr="00B573BF" w:rsidRDefault="008260CF" w:rsidP="00BC6BDE">
            <w:r w:rsidRPr="00B573BF">
              <w:t>Distribution Primary</w:t>
            </w:r>
          </w:p>
        </w:tc>
        <w:tc>
          <w:tcPr>
            <w:tcW w:w="3870" w:type="dxa"/>
            <w:tcBorders>
              <w:top w:val="single" w:sz="4" w:space="0" w:color="auto"/>
              <w:left w:val="single" w:sz="4" w:space="0" w:color="auto"/>
              <w:bottom w:val="single" w:sz="4" w:space="0" w:color="auto"/>
              <w:right w:val="single" w:sz="4" w:space="0" w:color="auto"/>
            </w:tcBorders>
          </w:tcPr>
          <w:p w:rsidR="008260CF" w:rsidRPr="00B43AF5" w:rsidRDefault="008260CF" w:rsidP="00BC6BDE">
            <w:pPr>
              <w:jc w:val="right"/>
            </w:pPr>
            <w:r w:rsidRPr="00B43AF5">
              <w:t>0.99</w:t>
            </w:r>
          </w:p>
        </w:tc>
      </w:tr>
      <w:tr w:rsidR="008260CF" w:rsidRPr="00B573BF" w:rsidTr="00BC6BDE">
        <w:tc>
          <w:tcPr>
            <w:tcW w:w="1350" w:type="dxa"/>
            <w:tcBorders>
              <w:top w:val="single" w:sz="4" w:space="0" w:color="auto"/>
              <w:left w:val="single" w:sz="4" w:space="0" w:color="auto"/>
              <w:bottom w:val="single" w:sz="4" w:space="0" w:color="auto"/>
              <w:right w:val="single" w:sz="4" w:space="0" w:color="auto"/>
            </w:tcBorders>
          </w:tcPr>
          <w:p w:rsidR="008260CF" w:rsidRPr="00B573BF" w:rsidRDefault="008260CF" w:rsidP="00BC6BDE">
            <w:r w:rsidRPr="00B573BF">
              <w:t>C</w:t>
            </w:r>
          </w:p>
        </w:tc>
        <w:tc>
          <w:tcPr>
            <w:tcW w:w="4140" w:type="dxa"/>
            <w:tcBorders>
              <w:top w:val="single" w:sz="4" w:space="0" w:color="auto"/>
              <w:left w:val="single" w:sz="4" w:space="0" w:color="auto"/>
              <w:bottom w:val="single" w:sz="4" w:space="0" w:color="auto"/>
              <w:right w:val="single" w:sz="4" w:space="0" w:color="auto"/>
            </w:tcBorders>
          </w:tcPr>
          <w:p w:rsidR="008260CF" w:rsidRPr="00B573BF" w:rsidRDefault="008260CF" w:rsidP="00BC6BDE">
            <w:r w:rsidRPr="00B573BF">
              <w:t>Distribution Secondary</w:t>
            </w:r>
          </w:p>
        </w:tc>
        <w:tc>
          <w:tcPr>
            <w:tcW w:w="3870" w:type="dxa"/>
            <w:tcBorders>
              <w:top w:val="single" w:sz="4" w:space="0" w:color="auto"/>
              <w:left w:val="single" w:sz="4" w:space="0" w:color="auto"/>
              <w:bottom w:val="single" w:sz="4" w:space="0" w:color="auto"/>
              <w:right w:val="single" w:sz="4" w:space="0" w:color="auto"/>
            </w:tcBorders>
          </w:tcPr>
          <w:p w:rsidR="008260CF" w:rsidRPr="00B43AF5" w:rsidRDefault="008260CF" w:rsidP="00BC6BDE">
            <w:pPr>
              <w:jc w:val="right"/>
            </w:pPr>
            <w:r w:rsidRPr="00B43AF5">
              <w:t>1.00</w:t>
            </w:r>
          </w:p>
        </w:tc>
      </w:tr>
      <w:tr w:rsidR="008260CF" w:rsidRPr="00B573BF" w:rsidTr="00BC6BDE">
        <w:tc>
          <w:tcPr>
            <w:tcW w:w="1350" w:type="dxa"/>
            <w:tcBorders>
              <w:top w:val="single" w:sz="4" w:space="0" w:color="auto"/>
              <w:left w:val="single" w:sz="4" w:space="0" w:color="auto"/>
              <w:bottom w:val="single" w:sz="4" w:space="0" w:color="auto"/>
              <w:right w:val="single" w:sz="4" w:space="0" w:color="auto"/>
            </w:tcBorders>
            <w:hideMark/>
          </w:tcPr>
          <w:p w:rsidR="008260CF" w:rsidRPr="00B573BF" w:rsidRDefault="008260CF" w:rsidP="00BC6BDE">
            <w:r w:rsidRPr="00B573BF">
              <w:t>D</w:t>
            </w:r>
          </w:p>
        </w:tc>
        <w:tc>
          <w:tcPr>
            <w:tcW w:w="4140" w:type="dxa"/>
            <w:tcBorders>
              <w:top w:val="single" w:sz="4" w:space="0" w:color="auto"/>
              <w:left w:val="single" w:sz="4" w:space="0" w:color="auto"/>
              <w:bottom w:val="single" w:sz="4" w:space="0" w:color="auto"/>
              <w:right w:val="single" w:sz="4" w:space="0" w:color="auto"/>
            </w:tcBorders>
          </w:tcPr>
          <w:p w:rsidR="008260CF" w:rsidRPr="00B573BF" w:rsidRDefault="008260CF" w:rsidP="00BC6BDE">
            <w:r w:rsidRPr="00B573BF">
              <w:t>Lighting Service</w:t>
            </w:r>
          </w:p>
        </w:tc>
        <w:tc>
          <w:tcPr>
            <w:tcW w:w="3870" w:type="dxa"/>
            <w:tcBorders>
              <w:top w:val="single" w:sz="4" w:space="0" w:color="auto"/>
              <w:left w:val="single" w:sz="4" w:space="0" w:color="auto"/>
              <w:bottom w:val="single" w:sz="4" w:space="0" w:color="auto"/>
              <w:right w:val="single" w:sz="4" w:space="0" w:color="auto"/>
            </w:tcBorders>
            <w:hideMark/>
          </w:tcPr>
          <w:p w:rsidR="008260CF" w:rsidRPr="00B43AF5" w:rsidRDefault="008260CF" w:rsidP="00BC6BDE">
            <w:pPr>
              <w:jc w:val="right"/>
            </w:pPr>
            <w:r w:rsidRPr="00B43AF5">
              <w:t>1.00</w:t>
            </w:r>
          </w:p>
        </w:tc>
      </w:tr>
    </w:tbl>
    <w:p w:rsidR="008260CF" w:rsidRDefault="008260CF" w:rsidP="008260CF">
      <w:pPr>
        <w:pStyle w:val="BodyText"/>
      </w:pPr>
      <w:r>
        <w:t>Source: E</w:t>
      </w:r>
      <w:r w:rsidR="00BC3E61">
        <w:t>xhibit</w:t>
      </w:r>
      <w:r>
        <w:t xml:space="preserve"> 7</w:t>
      </w:r>
      <w:r w:rsidR="00BC3E61">
        <w:t>.</w:t>
      </w:r>
    </w:p>
    <w:p w:rsidR="008260CF" w:rsidRDefault="008260CF" w:rsidP="00B6580F">
      <w:pPr>
        <w:pStyle w:val="BodyText"/>
        <w:jc w:val="both"/>
      </w:pPr>
      <w:r>
        <w:tab/>
      </w:r>
      <w:r w:rsidR="00B6580F">
        <w:t xml:space="preserve">We next address </w:t>
      </w:r>
      <w:r>
        <w:t>the</w:t>
      </w:r>
      <w:r w:rsidRPr="00475485">
        <w:t xml:space="preserve"> remaining/stranded net book value (NBV) associated with two of DEF’s</w:t>
      </w:r>
      <w:r>
        <w:t xml:space="preserve"> now-retired</w:t>
      </w:r>
      <w:r w:rsidRPr="00475485">
        <w:t xml:space="preserve"> generating units, namely Crystal River Units 1&amp;2, or Crystal River South (CRS). </w:t>
      </w:r>
      <w:r w:rsidR="009A6D12">
        <w:t xml:space="preserve"> </w:t>
      </w:r>
      <w:r w:rsidRPr="00475485">
        <w:t xml:space="preserve">CRS </w:t>
      </w:r>
      <w:r>
        <w:t>was</w:t>
      </w:r>
      <w:r w:rsidRPr="00475485">
        <w:t xml:space="preserve"> retired in 2019 </w:t>
      </w:r>
      <w:r>
        <w:t>coinciding with</w:t>
      </w:r>
      <w:r w:rsidRPr="00475485">
        <w:t xml:space="preserve"> the </w:t>
      </w:r>
      <w:r>
        <w:t xml:space="preserve">in-service of the </w:t>
      </w:r>
      <w:r w:rsidRPr="00475485">
        <w:t>“Citrus County or Crystal River Energy Complex</w:t>
      </w:r>
      <w:r>
        <w:t>.</w:t>
      </w:r>
      <w:r w:rsidRPr="00475485">
        <w:t xml:space="preserve">” </w:t>
      </w:r>
      <w:r w:rsidR="009A6D12">
        <w:t xml:space="preserve"> </w:t>
      </w:r>
      <w:r>
        <w:t>A</w:t>
      </w:r>
      <w:r w:rsidRPr="00475485">
        <w:t xml:space="preserve">uthorization for capacity clause recovery of the CRS-associated NBV came </w:t>
      </w:r>
      <w:r>
        <w:t>with the approval of</w:t>
      </w:r>
      <w:r w:rsidRPr="00475485">
        <w:t xml:space="preserve"> DEF’s 2017 Second Revised and Restated Settlement Agreement (2017 Settlement).</w:t>
      </w:r>
      <w:r w:rsidRPr="00475485">
        <w:rPr>
          <w:rStyle w:val="FootnoteReference"/>
        </w:rPr>
        <w:footnoteReference w:id="8"/>
      </w:r>
      <w:r w:rsidRPr="00475485">
        <w:t xml:space="preserve"> </w:t>
      </w:r>
      <w:r w:rsidR="009A6D12">
        <w:t xml:space="preserve"> </w:t>
      </w:r>
      <w:r w:rsidRPr="00475485">
        <w:t>The 2017 Settlement specifies December 31, 2020</w:t>
      </w:r>
      <w:r>
        <w:t>,</w:t>
      </w:r>
      <w:r w:rsidRPr="00475485">
        <w:t xml:space="preserve"> as the </w:t>
      </w:r>
      <w:r>
        <w:t>end-point</w:t>
      </w:r>
      <w:r w:rsidRPr="00475485">
        <w:t xml:space="preserve"> </w:t>
      </w:r>
      <w:r>
        <w:t>to</w:t>
      </w:r>
      <w:r w:rsidRPr="00475485">
        <w:t xml:space="preserve"> </w:t>
      </w:r>
      <w:r>
        <w:t>develop</w:t>
      </w:r>
      <w:r w:rsidRPr="00475485">
        <w:t xml:space="preserve"> the final NBV of CRS</w:t>
      </w:r>
      <w:r>
        <w:t xml:space="preserve"> assets</w:t>
      </w:r>
      <w:r w:rsidRPr="009C50A6">
        <w:t xml:space="preserve"> </w:t>
      </w:r>
      <w:r>
        <w:t>for accounting purposes/amount eligible for capa</w:t>
      </w:r>
      <w:r w:rsidR="002956FF">
        <w:t>c</w:t>
      </w:r>
      <w:r>
        <w:t>ity cost recovery</w:t>
      </w:r>
      <w:r w:rsidRPr="00475485">
        <w:t xml:space="preserve">. </w:t>
      </w:r>
      <w:r w:rsidR="009A6D12">
        <w:t xml:space="preserve"> </w:t>
      </w:r>
      <w:r w:rsidRPr="00475485">
        <w:t>DEF witness Menendez</w:t>
      </w:r>
      <w:r w:rsidR="009A6D12">
        <w:t xml:space="preserve"> testified that</w:t>
      </w:r>
      <w:r w:rsidRPr="00475485">
        <w:t xml:space="preserve"> </w:t>
      </w:r>
      <w:r w:rsidR="009A6D12" w:rsidRPr="00475485">
        <w:t>the</w:t>
      </w:r>
      <w:r w:rsidR="009A6D12">
        <w:t xml:space="preserve"> proposed </w:t>
      </w:r>
      <w:r w:rsidR="009A6D12" w:rsidRPr="00475485">
        <w:t xml:space="preserve">NBV of CRS </w:t>
      </w:r>
      <w:r w:rsidR="009A6D12">
        <w:t>assets to be included for capacity clause</w:t>
      </w:r>
      <w:r w:rsidR="009A6D12" w:rsidRPr="00475485">
        <w:t xml:space="preserve"> recovery in 2021 is $80,592,431.</w:t>
      </w:r>
      <w:r w:rsidR="009A6D12">
        <w:t xml:space="preserve">  We agree with the testimony of witness Menendez and find that </w:t>
      </w:r>
      <w:r w:rsidR="009A6D12" w:rsidRPr="00475485">
        <w:t>the</w:t>
      </w:r>
      <w:r w:rsidR="009A6D12">
        <w:t xml:space="preserve"> proposed </w:t>
      </w:r>
      <w:r w:rsidR="009A6D12" w:rsidRPr="00475485">
        <w:t xml:space="preserve">NBV of CRS </w:t>
      </w:r>
      <w:r w:rsidR="009A6D12">
        <w:t>assets to be included for capacity clause</w:t>
      </w:r>
      <w:r w:rsidR="009A6D12" w:rsidRPr="00475485">
        <w:t xml:space="preserve"> recovery in 2021 is $80,592,431.</w:t>
      </w:r>
    </w:p>
    <w:p w:rsidR="009A6D12" w:rsidRDefault="009A6D12" w:rsidP="00BA4F27">
      <w:pPr>
        <w:pStyle w:val="BodyText"/>
        <w:jc w:val="both"/>
        <w:rPr>
          <w:highlight w:val="yellow"/>
        </w:rPr>
      </w:pPr>
      <w:r>
        <w:tab/>
      </w:r>
      <w:r w:rsidR="00B6580F">
        <w:t xml:space="preserve">We authorized 2021 </w:t>
      </w:r>
      <w:r w:rsidRPr="00475485">
        <w:t xml:space="preserve">capacity clause recovery of the </w:t>
      </w:r>
      <w:r w:rsidR="00B6580F">
        <w:t xml:space="preserve">amortization associated with the Crystal River Unit No. 3 (CR3) </w:t>
      </w:r>
      <w:r w:rsidR="00B6580F" w:rsidRPr="0041357F">
        <w:t>Independent Spent Fuel Storage Installation (ISFSI)</w:t>
      </w:r>
      <w:r>
        <w:t xml:space="preserve"> </w:t>
      </w:r>
      <w:r w:rsidR="00B6580F">
        <w:t xml:space="preserve">as part of our approval of </w:t>
      </w:r>
      <w:r w:rsidRPr="00475485">
        <w:t>DEF’s 2017 Settlement.</w:t>
      </w:r>
      <w:r w:rsidRPr="00475485">
        <w:rPr>
          <w:rStyle w:val="FootnoteReference"/>
        </w:rPr>
        <w:footnoteReference w:id="9"/>
      </w:r>
      <w:r>
        <w:t xml:space="preserve"> </w:t>
      </w:r>
      <w:r w:rsidR="009F5FCD">
        <w:t xml:space="preserve"> </w:t>
      </w:r>
      <w:r w:rsidRPr="00475485">
        <w:t xml:space="preserve">DEF witness </w:t>
      </w:r>
      <w:r w:rsidRPr="00615AE9">
        <w:t>Menendez</w:t>
      </w:r>
      <w:r w:rsidR="00BA4F27">
        <w:t xml:space="preserve"> testified that</w:t>
      </w:r>
      <w:r w:rsidRPr="00615AE9">
        <w:t xml:space="preserve"> the amount of </w:t>
      </w:r>
      <w:r>
        <w:t xml:space="preserve">amortization </w:t>
      </w:r>
      <w:r w:rsidRPr="00615AE9">
        <w:t>associated</w:t>
      </w:r>
      <w:r>
        <w:t xml:space="preserve"> with the CR3 ISFSI</w:t>
      </w:r>
      <w:r w:rsidRPr="00615AE9">
        <w:t xml:space="preserve"> to be included in the 2021 capacity factors is $6,879,837.</w:t>
      </w:r>
      <w:r>
        <w:t xml:space="preserve"> This annual recovery amount consists of ISFSI investment, return, and revenue tax. </w:t>
      </w:r>
      <w:r w:rsidR="00BA4F27">
        <w:t xml:space="preserve"> We agree with witness Menendez’s testimony and find that </w:t>
      </w:r>
      <w:r w:rsidR="00BA4F27" w:rsidRPr="00615AE9">
        <w:t xml:space="preserve">the amount of </w:t>
      </w:r>
      <w:r w:rsidR="00BA4F27">
        <w:t xml:space="preserve">amortization </w:t>
      </w:r>
      <w:r w:rsidR="00BA4F27" w:rsidRPr="00615AE9">
        <w:t>associated</w:t>
      </w:r>
      <w:r w:rsidR="00BA4F27">
        <w:t xml:space="preserve"> with the CR3 ISFSI</w:t>
      </w:r>
      <w:r w:rsidR="00BA4F27" w:rsidRPr="00615AE9">
        <w:t xml:space="preserve"> to be included in the 2021 capacity factors is $6,879,837.</w:t>
      </w:r>
      <w:r w:rsidR="00BA4F27">
        <w:t xml:space="preserve"> </w:t>
      </w:r>
    </w:p>
    <w:p w:rsidR="00BA4F27" w:rsidRDefault="00BA4F27" w:rsidP="00BA4F27">
      <w:pPr>
        <w:pStyle w:val="BodyText"/>
        <w:jc w:val="both"/>
      </w:pPr>
      <w:r>
        <w:tab/>
        <w:t xml:space="preserve">The </w:t>
      </w:r>
      <w:r w:rsidRPr="004A4291">
        <w:t>Florida State</w:t>
      </w:r>
      <w:r w:rsidRPr="00CF6D6A">
        <w:t xml:space="preserve"> </w:t>
      </w:r>
      <w:r>
        <w:t>Corporate</w:t>
      </w:r>
      <w:r w:rsidRPr="004A4291">
        <w:t xml:space="preserve"> Income Tax</w:t>
      </w:r>
      <w:r>
        <w:t xml:space="preserve"> rate was reduced from 5.5 percent</w:t>
      </w:r>
      <w:r w:rsidRPr="00B63DF3">
        <w:t xml:space="preserve"> </w:t>
      </w:r>
      <w:r>
        <w:t>to 4.458 percent for calendar years 2019, 2020, and 2021.  A</w:t>
      </w:r>
      <w:r w:rsidRPr="004A4291">
        <w:t xml:space="preserve"> provision addressing and accounting for possible</w:t>
      </w:r>
      <w:r>
        <w:t xml:space="preserve"> future</w:t>
      </w:r>
      <w:r w:rsidRPr="004A4291">
        <w:t xml:space="preserve"> changes in tax rates was </w:t>
      </w:r>
      <w:r>
        <w:t>part of</w:t>
      </w:r>
      <w:r w:rsidRPr="004A4291">
        <w:t xml:space="preserve"> DEF’s 2017 Settlement.</w:t>
      </w:r>
      <w:r w:rsidRPr="004A4291">
        <w:rPr>
          <w:rStyle w:val="FootnoteReference"/>
        </w:rPr>
        <w:footnoteReference w:id="10"/>
      </w:r>
      <w:r w:rsidR="009F5FCD">
        <w:t xml:space="preserve">  </w:t>
      </w:r>
      <w:r w:rsidR="009E23B5">
        <w:t xml:space="preserve"> DEF has requested that we approve the Third Implementation Stipulation which outlines the treatment of this state corporate tax reduction.  </w:t>
      </w:r>
      <w:r>
        <w:t>T</w:t>
      </w:r>
      <w:r w:rsidRPr="004A4291">
        <w:t xml:space="preserve">he tax-related accounting treatment </w:t>
      </w:r>
      <w:r>
        <w:t>associated with the three year state corporate income tax reduction outlined</w:t>
      </w:r>
      <w:r w:rsidRPr="004A4291">
        <w:t xml:space="preserve"> in the Third Implementation Stipulation was agreed to by the parties to the 2017 Settlement, which include</w:t>
      </w:r>
      <w:r>
        <w:t>d</w:t>
      </w:r>
      <w:r w:rsidRPr="004A4291">
        <w:t xml:space="preserve"> </w:t>
      </w:r>
      <w:r>
        <w:t>OPC, FIPUG</w:t>
      </w:r>
      <w:r w:rsidR="009E23B5">
        <w:t>,</w:t>
      </w:r>
      <w:r>
        <w:t xml:space="preserve"> and PCS Phosphate</w:t>
      </w:r>
      <w:r w:rsidRPr="004A4291">
        <w:t xml:space="preserve">. </w:t>
      </w:r>
      <w:r>
        <w:t xml:space="preserve"> </w:t>
      </w:r>
      <w:r w:rsidRPr="004A4291">
        <w:lastRenderedPageBreak/>
        <w:t>Although the OPC, and by extension FIPUG, “takes</w:t>
      </w:r>
      <w:r w:rsidRPr="00BA7FF7">
        <w:t xml:space="preserve"> no position on this issue nor does it have the burden of proof related to it</w:t>
      </w:r>
      <w:r>
        <w:t xml:space="preserve">,” both groups signed the </w:t>
      </w:r>
      <w:r w:rsidRPr="008F720F">
        <w:t>Third Implementation Stipulation</w:t>
      </w:r>
      <w:r>
        <w:t>.</w:t>
      </w:r>
      <w:r w:rsidR="009E23B5">
        <w:t xml:space="preserve">  </w:t>
      </w:r>
      <w:r>
        <w:t xml:space="preserve">PCS Phosphate (as “White Springs Agricultural Chemical, Inc.”) also signed the </w:t>
      </w:r>
      <w:r w:rsidRPr="008F720F">
        <w:t>Third Implementation Stipulation</w:t>
      </w:r>
      <w:r>
        <w:t xml:space="preserve">, and supports </w:t>
      </w:r>
      <w:r w:rsidR="009E23B5">
        <w:t>approval of the Third Implementation Stipulation</w:t>
      </w:r>
      <w:r>
        <w:t xml:space="preserve">. </w:t>
      </w:r>
    </w:p>
    <w:p w:rsidR="009A6D12" w:rsidRDefault="00BA4F27" w:rsidP="00764D54">
      <w:pPr>
        <w:pStyle w:val="BodyText"/>
        <w:jc w:val="both"/>
      </w:pPr>
      <w:r>
        <w:tab/>
      </w:r>
      <w:r w:rsidR="009E23B5">
        <w:t>T</w:t>
      </w:r>
      <w:r>
        <w:t>he proposed Third Implementation Stipulation was filed on July 27, 2020, as an appendix to DEF witness Menendez’ actual/estimated testimony.</w:t>
      </w:r>
      <w:r w:rsidR="009E23B5">
        <w:t xml:space="preserve">  </w:t>
      </w:r>
      <w:r w:rsidR="009F5FCD">
        <w:t xml:space="preserve">We hereby </w:t>
      </w:r>
      <w:r w:rsidR="00A924D2">
        <w:t xml:space="preserve">approve the Third Implementation Stipulation, </w:t>
      </w:r>
      <w:r w:rsidR="009E23B5">
        <w:t>and find that t</w:t>
      </w:r>
      <w:r w:rsidRPr="00E00C3E">
        <w:t>he total</w:t>
      </w:r>
      <w:r>
        <w:t xml:space="preserve"> proposed</w:t>
      </w:r>
      <w:r w:rsidRPr="00E00C3E">
        <w:t xml:space="preserve"> refund to DEF’s customers</w:t>
      </w:r>
      <w:r>
        <w:t xml:space="preserve"> associated with</w:t>
      </w:r>
      <w:r w:rsidRPr="00E00C3E">
        <w:t xml:space="preserve"> </w:t>
      </w:r>
      <w:r w:rsidRPr="00FD5C17">
        <w:t xml:space="preserve">the </w:t>
      </w:r>
      <w:r>
        <w:t xml:space="preserve">three-year </w:t>
      </w:r>
      <w:r w:rsidRPr="00FD5C17">
        <w:t xml:space="preserve">Florida State </w:t>
      </w:r>
      <w:r>
        <w:t xml:space="preserve">Corporate </w:t>
      </w:r>
      <w:r w:rsidRPr="00FD5C17">
        <w:t>Income Tax reduction</w:t>
      </w:r>
      <w:r>
        <w:t xml:space="preserve"> </w:t>
      </w:r>
      <w:r w:rsidRPr="00E00C3E">
        <w:t>is $8,379,91</w:t>
      </w:r>
      <w:r>
        <w:t>8</w:t>
      </w:r>
      <w:r w:rsidRPr="00E00C3E">
        <w:t xml:space="preserve">, which is the amount </w:t>
      </w:r>
      <w:r w:rsidR="009E23B5">
        <w:t xml:space="preserve">that shall be </w:t>
      </w:r>
      <w:r w:rsidRPr="00E00C3E">
        <w:t>inclu</w:t>
      </w:r>
      <w:r w:rsidR="009E23B5">
        <w:t>ded</w:t>
      </w:r>
      <w:r w:rsidRPr="00E00C3E">
        <w:t xml:space="preserve"> </w:t>
      </w:r>
      <w:r>
        <w:t>in</w:t>
      </w:r>
      <w:r w:rsidRPr="00E00C3E">
        <w:t xml:space="preserve"> </w:t>
      </w:r>
      <w:r w:rsidR="009E23B5">
        <w:t xml:space="preserve">calculating </w:t>
      </w:r>
      <w:r w:rsidRPr="00E00C3E">
        <w:t xml:space="preserve">the </w:t>
      </w:r>
      <w:r>
        <w:t xml:space="preserve">recoverable </w:t>
      </w:r>
      <w:r w:rsidRPr="00E00C3E">
        <w:t xml:space="preserve">2021 capacity </w:t>
      </w:r>
      <w:r>
        <w:t>cost</w:t>
      </w:r>
      <w:r w:rsidR="009E23B5">
        <w:t>.</w:t>
      </w:r>
    </w:p>
    <w:p w:rsidR="00764D54" w:rsidRDefault="009E23B5" w:rsidP="00764D54">
      <w:pPr>
        <w:pStyle w:val="BodyText"/>
        <w:jc w:val="both"/>
      </w:pPr>
      <w:r>
        <w:tab/>
      </w:r>
      <w:r w:rsidR="009F5FCD">
        <w:t xml:space="preserve">We next address </w:t>
      </w:r>
      <w:r w:rsidR="00764D54" w:rsidRPr="00615AE9">
        <w:t xml:space="preserve">the specific true-up amounts associated with a number of DEF’s SoBRA-recovered projects, namely plants: Columbia, DeBary, Lake Placid, and Trenton. </w:t>
      </w:r>
      <w:r w:rsidR="00764D54">
        <w:t xml:space="preserve"> </w:t>
      </w:r>
      <w:r w:rsidR="00764D54" w:rsidRPr="00615AE9">
        <w:t>These projects were approved b</w:t>
      </w:r>
      <w:r w:rsidR="00764D54">
        <w:t xml:space="preserve">y </w:t>
      </w:r>
      <w:r w:rsidR="00764D54" w:rsidRPr="00615AE9">
        <w:t>Order Nos. PSC-2019-0159-</w:t>
      </w:r>
      <w:r w:rsidR="00764D54" w:rsidRPr="0002035A">
        <w:t>FOF-EI and PSC-2019-0292-FOF-EI.</w:t>
      </w:r>
      <w:r w:rsidR="00764D54" w:rsidRPr="0002035A">
        <w:rPr>
          <w:rStyle w:val="FootnoteReference"/>
        </w:rPr>
        <w:footnoteReference w:id="11"/>
      </w:r>
    </w:p>
    <w:p w:rsidR="009E23B5" w:rsidRDefault="00764D54" w:rsidP="00764D54">
      <w:pPr>
        <w:pStyle w:val="BodyText"/>
        <w:jc w:val="both"/>
      </w:pPr>
      <w:r>
        <w:tab/>
      </w:r>
      <w:r w:rsidR="009F5FCD" w:rsidRPr="00200060">
        <w:t>As part of the SoBRA framework,</w:t>
      </w:r>
      <w:r w:rsidR="009F5FCD">
        <w:t xml:space="preserve"> </w:t>
      </w:r>
      <w:r w:rsidRPr="00200060">
        <w:t>approv</w:t>
      </w:r>
      <w:r w:rsidR="009F5FCD">
        <w:t>ed</w:t>
      </w:r>
      <w:r w:rsidRPr="00200060">
        <w:t xml:space="preserve"> </w:t>
      </w:r>
      <w:r w:rsidR="00A5741F">
        <w:t xml:space="preserve">as part of </w:t>
      </w:r>
      <w:r w:rsidRPr="00200060">
        <w:t>the 2017 Settlement</w:t>
      </w:r>
      <w:r w:rsidR="009F5FCD">
        <w:t>,</w:t>
      </w:r>
      <w:r w:rsidRPr="00200060">
        <w:rPr>
          <w:rStyle w:val="FootnoteReference"/>
        </w:rPr>
        <w:footnoteReference w:id="12"/>
      </w:r>
      <w:r w:rsidRPr="00200060">
        <w:t xml:space="preserve"> </w:t>
      </w:r>
      <w:r>
        <w:t xml:space="preserve"> </w:t>
      </w:r>
      <w:r w:rsidRPr="00200060">
        <w:t>DEF is required</w:t>
      </w:r>
      <w:r>
        <w:t xml:space="preserve"> to</w:t>
      </w:r>
      <w:r w:rsidRPr="00200060">
        <w:t xml:space="preserve"> perform a true-up if the actual/final capital expenditures are lower than the approved capital expenditures</w:t>
      </w:r>
      <w:r>
        <w:t>,</w:t>
      </w:r>
      <w:r w:rsidRPr="00200060">
        <w:t xml:space="preserve"> or if the </w:t>
      </w:r>
      <w:r>
        <w:t xml:space="preserve">facility </w:t>
      </w:r>
      <w:r w:rsidRPr="00200060">
        <w:t>in-service dates vary from those originally assumed.</w:t>
      </w:r>
      <w:r w:rsidRPr="005544A2">
        <w:t xml:space="preserve"> Any</w:t>
      </w:r>
      <w:r>
        <w:t xml:space="preserve"> credit/refund is</w:t>
      </w:r>
      <w:r w:rsidRPr="0002035A">
        <w:t xml:space="preserve"> to be effectuated through the capacity clause.</w:t>
      </w:r>
      <w:r>
        <w:t xml:space="preserve">  </w:t>
      </w:r>
      <w:r w:rsidRPr="0002035A">
        <w:t>DEF witness Menendez</w:t>
      </w:r>
      <w:r>
        <w:t>,</w:t>
      </w:r>
      <w:r w:rsidRPr="0002035A">
        <w:t xml:space="preserve"> </w:t>
      </w:r>
      <w:r>
        <w:t xml:space="preserve">testified that </w:t>
      </w:r>
      <w:r w:rsidRPr="0002035A">
        <w:t>the total</w:t>
      </w:r>
      <w:r>
        <w:t xml:space="preserve"> </w:t>
      </w:r>
      <w:r w:rsidRPr="0002035A">
        <w:t xml:space="preserve">proposed </w:t>
      </w:r>
      <w:r>
        <w:t>SoBRA-related credit</w:t>
      </w:r>
      <w:r w:rsidRPr="00456F01">
        <w:t xml:space="preserve"> to be included in the 2021 </w:t>
      </w:r>
      <w:r>
        <w:t xml:space="preserve">total recoverable </w:t>
      </w:r>
      <w:r w:rsidRPr="00456F01">
        <w:t xml:space="preserve">capacity </w:t>
      </w:r>
      <w:r>
        <w:t xml:space="preserve">cost </w:t>
      </w:r>
      <w:r w:rsidRPr="00456F01">
        <w:t>is $1,023,01</w:t>
      </w:r>
      <w:r>
        <w:t>5</w:t>
      </w:r>
      <w:r w:rsidRPr="00456F01">
        <w:t>.</w:t>
      </w:r>
      <w:r>
        <w:t xml:space="preserve">  We agree with the testimony of witness Menendez and find that </w:t>
      </w:r>
      <w:r w:rsidRPr="0002035A">
        <w:t>the total</w:t>
      </w:r>
      <w:r>
        <w:t xml:space="preserve"> </w:t>
      </w:r>
      <w:r w:rsidRPr="0002035A">
        <w:t xml:space="preserve">proposed </w:t>
      </w:r>
      <w:r>
        <w:t>SoBRA-related credit</w:t>
      </w:r>
      <w:r w:rsidRPr="00456F01">
        <w:t xml:space="preserve"> to be included in the 2021 </w:t>
      </w:r>
      <w:r>
        <w:t xml:space="preserve">total recoverable </w:t>
      </w:r>
      <w:r w:rsidRPr="00456F01">
        <w:t xml:space="preserve">capacity </w:t>
      </w:r>
      <w:r>
        <w:t xml:space="preserve">cost </w:t>
      </w:r>
      <w:r w:rsidRPr="00456F01">
        <w:t>is $1,023,01</w:t>
      </w:r>
      <w:r>
        <w:t>5</w:t>
      </w:r>
      <w:r w:rsidRPr="00456F01">
        <w:t>.</w:t>
      </w:r>
    </w:p>
    <w:p w:rsidR="00764D54" w:rsidRDefault="00764D54" w:rsidP="00764D54">
      <w:pPr>
        <w:pStyle w:val="BodyText"/>
        <w:jc w:val="both"/>
      </w:pPr>
      <w:r>
        <w:tab/>
      </w:r>
      <w:r w:rsidRPr="00F11CDE">
        <w:t xml:space="preserve">DEF’s </w:t>
      </w:r>
      <w:r>
        <w:t>final</w:t>
      </w:r>
      <w:r w:rsidRPr="00F11CDE">
        <w:t xml:space="preserve"> </w:t>
      </w:r>
      <w:r>
        <w:t>capacity</w:t>
      </w:r>
      <w:r w:rsidRPr="00F11CDE">
        <w:t xml:space="preserve"> revenue true-up amount for the period </w:t>
      </w:r>
      <w:r>
        <w:t>of</w:t>
      </w:r>
      <w:r w:rsidRPr="00F11CDE">
        <w:t xml:space="preserve"> January 2019 through December 2019 represents the difference between calendar-year 2019 actual </w:t>
      </w:r>
      <w:r>
        <w:t>capacity</w:t>
      </w:r>
      <w:r w:rsidRPr="00F11CDE">
        <w:t xml:space="preserve"> cost</w:t>
      </w:r>
      <w:r>
        <w:t>s</w:t>
      </w:r>
      <w:r w:rsidRPr="00F11CDE">
        <w:t xml:space="preserve"> and </w:t>
      </w:r>
      <w:r>
        <w:t>period-applicable</w:t>
      </w:r>
      <w:r w:rsidRPr="00F11CDE">
        <w:t xml:space="preserve"> </w:t>
      </w:r>
      <w:r>
        <w:t xml:space="preserve">capacity </w:t>
      </w:r>
      <w:r w:rsidRPr="00F11CDE">
        <w:t>revenue</w:t>
      </w:r>
      <w:r>
        <w:t>s</w:t>
      </w:r>
      <w:r w:rsidRPr="00F11CDE">
        <w:t xml:space="preserve"> that w</w:t>
      </w:r>
      <w:r>
        <w:t>ere</w:t>
      </w:r>
      <w:r w:rsidRPr="00F11CDE">
        <w:t xml:space="preserve"> collected to cover such cost. </w:t>
      </w:r>
      <w:r>
        <w:t xml:space="preserve"> DEF witness Menendez</w:t>
      </w:r>
      <w:r w:rsidRPr="00F11CDE">
        <w:t xml:space="preserve"> </w:t>
      </w:r>
      <w:r>
        <w:t xml:space="preserve">testified that </w:t>
      </w:r>
      <w:r w:rsidRPr="00F11CDE">
        <w:t xml:space="preserve">the actual </w:t>
      </w:r>
      <w:r>
        <w:t>capacity</w:t>
      </w:r>
      <w:r w:rsidRPr="00F11CDE">
        <w:t xml:space="preserve"> revenue true-up amount for the period January 2019 through December 2019 </w:t>
      </w:r>
      <w:r w:rsidRPr="000E6857">
        <w:t>is an under-recovery of $797,779.</w:t>
      </w:r>
      <w:r>
        <w:t xml:space="preserve">  We agree and find that </w:t>
      </w:r>
      <w:r w:rsidRPr="00F11CDE">
        <w:t xml:space="preserve">the actual </w:t>
      </w:r>
      <w:r>
        <w:t>capacity</w:t>
      </w:r>
      <w:r w:rsidRPr="00F11CDE">
        <w:t xml:space="preserve"> revenue true-up amount for the period January 2019 through December 2019 </w:t>
      </w:r>
      <w:r w:rsidRPr="000E6857">
        <w:t>is an under-recovery of $797,779.</w:t>
      </w:r>
    </w:p>
    <w:p w:rsidR="00764D54" w:rsidRDefault="00764D54" w:rsidP="00764D54">
      <w:pPr>
        <w:pStyle w:val="BodyText"/>
        <w:jc w:val="both"/>
      </w:pPr>
      <w:r>
        <w:tab/>
      </w:r>
      <w:r w:rsidRPr="006D5CFF">
        <w:t xml:space="preserve">DEF’s actual/estimated </w:t>
      </w:r>
      <w:r>
        <w:t>capacity</w:t>
      </w:r>
      <w:r w:rsidRPr="006D5CFF">
        <w:t xml:space="preserve"> revenue true-up amount for the period </w:t>
      </w:r>
      <w:r>
        <w:t>of</w:t>
      </w:r>
      <w:r w:rsidRPr="006D5CFF">
        <w:t xml:space="preserve"> January 2020 through December 2020</w:t>
      </w:r>
      <w:r>
        <w:t xml:space="preserve"> is based on</w:t>
      </w:r>
      <w:r w:rsidRPr="00200060">
        <w:t xml:space="preserve"> six months (January-June 2020) of actual capacity cost- and revenue-related data, and a re-projected six months (July-Dec. 2020) of capacity</w:t>
      </w:r>
      <w:r>
        <w:t xml:space="preserve"> cost- and revenue-related data relative to the projection performed the prior year.  DEF witness Menendez testified that </w:t>
      </w:r>
      <w:r w:rsidRPr="006D5CFF">
        <w:t xml:space="preserve">the actual/estimated </w:t>
      </w:r>
      <w:r>
        <w:t>capacity</w:t>
      </w:r>
      <w:r w:rsidRPr="006D5CFF">
        <w:t xml:space="preserve"> revenue true-up amount for the period January 2020 through December 2020 is an over-recovery o</w:t>
      </w:r>
      <w:r>
        <w:t xml:space="preserve">f </w:t>
      </w:r>
      <w:r w:rsidRPr="007D3C46">
        <w:t>$334,</w:t>
      </w:r>
      <w:r w:rsidRPr="0002035A">
        <w:t>694.</w:t>
      </w:r>
      <w:r>
        <w:t xml:space="preserve">  We agree and find that </w:t>
      </w:r>
      <w:r w:rsidRPr="006D5CFF">
        <w:t xml:space="preserve">the actual/estimated </w:t>
      </w:r>
      <w:r>
        <w:t>capacity</w:t>
      </w:r>
      <w:r w:rsidRPr="006D5CFF">
        <w:t xml:space="preserve"> revenue true-up amount for the period January 2020 through December 2020 is an over-recovery o</w:t>
      </w:r>
      <w:r>
        <w:t xml:space="preserve">f </w:t>
      </w:r>
      <w:r w:rsidRPr="007D3C46">
        <w:t>$334,</w:t>
      </w:r>
      <w:r w:rsidRPr="0002035A">
        <w:t>694.</w:t>
      </w:r>
    </w:p>
    <w:p w:rsidR="00BC6BDE" w:rsidRDefault="00BC6BDE" w:rsidP="00BC6BDE">
      <w:pPr>
        <w:pStyle w:val="BodyText"/>
        <w:jc w:val="both"/>
      </w:pPr>
      <w:r>
        <w:tab/>
      </w:r>
      <w:r w:rsidR="00A5741F">
        <w:t>T</w:t>
      </w:r>
      <w:r w:rsidRPr="002E1CC3">
        <w:t>he net amount of prior and current period over- or under-collected revenue</w:t>
      </w:r>
      <w:r>
        <w:t xml:space="preserve"> to be accounted for</w:t>
      </w:r>
      <w:r w:rsidRPr="002E1CC3">
        <w:t xml:space="preserve"> in</w:t>
      </w:r>
      <w:r>
        <w:t xml:space="preserve"> setting</w:t>
      </w:r>
      <w:r w:rsidRPr="002E1CC3">
        <w:t xml:space="preserve"> the </w:t>
      </w:r>
      <w:r>
        <w:t>2021</w:t>
      </w:r>
      <w:r w:rsidRPr="002E1CC3">
        <w:t xml:space="preserve"> </w:t>
      </w:r>
      <w:r>
        <w:t>capacity</w:t>
      </w:r>
      <w:r w:rsidRPr="002E1CC3">
        <w:t xml:space="preserve"> factor</w:t>
      </w:r>
      <w:r>
        <w:t>s</w:t>
      </w:r>
      <w:r w:rsidR="00A5741F">
        <w:t xml:space="preserve"> is next to be determined</w:t>
      </w:r>
      <w:r>
        <w:t xml:space="preserve">.  We have previously </w:t>
      </w:r>
      <w:r>
        <w:lastRenderedPageBreak/>
        <w:t>found that t</w:t>
      </w:r>
      <w:r w:rsidRPr="002E1CC3">
        <w:t xml:space="preserve">he </w:t>
      </w:r>
      <w:r>
        <w:t>final</w:t>
      </w:r>
      <w:r w:rsidRPr="002E1CC3">
        <w:t xml:space="preserve"> </w:t>
      </w:r>
      <w:r w:rsidRPr="00382F97">
        <w:t>capacity</w:t>
      </w:r>
      <w:r w:rsidRPr="002E1CC3">
        <w:t xml:space="preserve"> </w:t>
      </w:r>
      <w:r w:rsidRPr="00244FF3">
        <w:t>revenue true-up amount for the period January 2019 through December 2019 is an under-recovery of $797,779.</w:t>
      </w:r>
      <w:r>
        <w:t xml:space="preserve">  </w:t>
      </w:r>
      <w:r w:rsidRPr="00244FF3">
        <w:t xml:space="preserve">Further, </w:t>
      </w:r>
      <w:r>
        <w:t xml:space="preserve">we have also found that </w:t>
      </w:r>
      <w:r w:rsidRPr="00244FF3">
        <w:t>the actual/estimated capacity revenue true-up amount for the period January 2020 through December 2020 is an over-recovery of $334,694.</w:t>
      </w:r>
      <w:r>
        <w:t xml:space="preserve">  Based on these findings, </w:t>
      </w:r>
      <w:r w:rsidR="00CA1377">
        <w:t xml:space="preserve">we further find that </w:t>
      </w:r>
      <w:r w:rsidRPr="00244FF3">
        <w:t xml:space="preserve">the </w:t>
      </w:r>
      <w:r>
        <w:t>total</w:t>
      </w:r>
      <w:r w:rsidRPr="00244FF3">
        <w:t xml:space="preserve"> true</w:t>
      </w:r>
      <w:r>
        <w:t>-</w:t>
      </w:r>
      <w:r w:rsidRPr="00244FF3">
        <w:t>up to be applied</w:t>
      </w:r>
      <w:r>
        <w:t xml:space="preserve"> to the </w:t>
      </w:r>
      <w:r w:rsidRPr="002E1CC3">
        <w:t>January</w:t>
      </w:r>
      <w:r>
        <w:t xml:space="preserve"> </w:t>
      </w:r>
      <w:r w:rsidRPr="002E1CC3">
        <w:t>through December 202</w:t>
      </w:r>
      <w:r>
        <w:t>1 capacity cost recovery factors is a net under-recovery of $463,084.</w:t>
      </w:r>
    </w:p>
    <w:p w:rsidR="00BC6BDE" w:rsidRDefault="00BC6BDE" w:rsidP="00BC6BDE">
      <w:pPr>
        <w:pStyle w:val="BodyText"/>
        <w:jc w:val="both"/>
      </w:pPr>
      <w:r>
        <w:tab/>
      </w:r>
      <w:r w:rsidRPr="00A443E6">
        <w:t xml:space="preserve">The </w:t>
      </w:r>
      <w:r>
        <w:t xml:space="preserve">projected </w:t>
      </w:r>
      <w:r w:rsidR="00F12375" w:rsidRPr="00A443E6">
        <w:t>total</w:t>
      </w:r>
      <w:r w:rsidR="00F12375">
        <w:t xml:space="preserve"> </w:t>
      </w:r>
      <w:r>
        <w:t>2021</w:t>
      </w:r>
      <w:r w:rsidRPr="00A443E6">
        <w:t xml:space="preserve"> jurisdictional capacity cost consists of </w:t>
      </w:r>
      <w:r>
        <w:t>general</w:t>
      </w:r>
      <w:r w:rsidRPr="00A443E6">
        <w:t xml:space="preserve"> and other capacity</w:t>
      </w:r>
      <w:r>
        <w:t>-related</w:t>
      </w:r>
      <w:r w:rsidRPr="00A443E6">
        <w:t xml:space="preserve"> costs, CRS costs, as well as tax- and SoBRA-related credits.</w:t>
      </w:r>
      <w:r w:rsidR="00F12375">
        <w:t xml:space="preserve">  </w:t>
      </w:r>
      <w:r w:rsidRPr="00A443E6">
        <w:t>DEF witness Menendez</w:t>
      </w:r>
      <w:r>
        <w:t xml:space="preserve"> testified that</w:t>
      </w:r>
      <w:r w:rsidRPr="00A443E6">
        <w:t xml:space="preserve"> the projected total capacity cost for the period of January 2021 through December 2021 is $479,983,370.</w:t>
      </w:r>
      <w:r>
        <w:t xml:space="preserve">  We agree and find that </w:t>
      </w:r>
      <w:r w:rsidRPr="00A443E6">
        <w:t>the projected total capacity cost for the period of January 2021 through December 2021 is $479,983,370.</w:t>
      </w:r>
    </w:p>
    <w:p w:rsidR="00BC6BDE" w:rsidRDefault="00BC6BDE" w:rsidP="00F6691E">
      <w:pPr>
        <w:pStyle w:val="BodyText"/>
        <w:jc w:val="both"/>
      </w:pPr>
      <w:r>
        <w:tab/>
      </w:r>
      <w:r w:rsidRPr="00A7473F">
        <w:t>The relevant</w:t>
      </w:r>
      <w:r w:rsidRPr="00512558">
        <w:t xml:space="preserve"> components required to calculate the</w:t>
      </w:r>
      <w:r>
        <w:t xml:space="preserve"> 2021 capacity cost recovery</w:t>
      </w:r>
      <w:r w:rsidRPr="00512558">
        <w:t xml:space="preserve"> amount are: total jurisdictional net capacity costs, true-up, and revenue tax. </w:t>
      </w:r>
      <w:r w:rsidR="00F6691E">
        <w:t xml:space="preserve">Based on our </w:t>
      </w:r>
      <w:r w:rsidR="00F12375">
        <w:t xml:space="preserve">previous </w:t>
      </w:r>
      <w:r w:rsidR="00F6691E">
        <w:t>decisions</w:t>
      </w:r>
      <w:r>
        <w:t>,</w:t>
      </w:r>
      <w:r w:rsidRPr="00512558">
        <w:t xml:space="preserve"> the appropriate projected net purchased power capacity cost</w:t>
      </w:r>
      <w:r>
        <w:t xml:space="preserve"> </w:t>
      </w:r>
      <w:r w:rsidRPr="00512558">
        <w:t xml:space="preserve">to be included in </w:t>
      </w:r>
      <w:r>
        <w:t xml:space="preserve">setting </w:t>
      </w:r>
      <w:r w:rsidRPr="00512558">
        <w:t>the cost recovery factor</w:t>
      </w:r>
      <w:r>
        <w:t>s</w:t>
      </w:r>
      <w:r w:rsidRPr="00512558">
        <w:t xml:space="preserve"> for the period of January 2021 through December 2021</w:t>
      </w:r>
      <w:r>
        <w:t xml:space="preserve"> is</w:t>
      </w:r>
      <w:r w:rsidRPr="00512558">
        <w:t xml:space="preserve"> $487,677,167.</w:t>
      </w:r>
      <w:r w:rsidR="00F6691E">
        <w:t xml:space="preserve">  We further find that t</w:t>
      </w:r>
      <w:r w:rsidRPr="00512558">
        <w:t>he derivation of DEF’s 2021</w:t>
      </w:r>
      <w:r>
        <w:t xml:space="preserve"> proposed</w:t>
      </w:r>
      <w:r w:rsidRPr="00512558">
        <w:t xml:space="preserve"> </w:t>
      </w:r>
      <w:r>
        <w:t>capacity</w:t>
      </w:r>
      <w:r w:rsidRPr="00512558">
        <w:t xml:space="preserve"> cost recovery amount is </w:t>
      </w:r>
      <w:r w:rsidR="00F6691E">
        <w:t xml:space="preserve">as </w:t>
      </w:r>
      <w:r w:rsidRPr="00512558">
        <w:t xml:space="preserve">shown </w:t>
      </w:r>
      <w:r w:rsidR="00F6691E">
        <w:t>o</w:t>
      </w:r>
      <w:r w:rsidRPr="00512558">
        <w:t xml:space="preserve">n Table </w:t>
      </w:r>
      <w:r w:rsidR="00F6691E">
        <w:t xml:space="preserve">5 </w:t>
      </w:r>
      <w:r w:rsidRPr="00512558">
        <w:t>below</w:t>
      </w:r>
      <w:r>
        <w:t>:</w:t>
      </w:r>
    </w:p>
    <w:tbl>
      <w:tblPr>
        <w:tblStyle w:val="TableGrid"/>
        <w:tblW w:w="9370" w:type="dxa"/>
        <w:tblInd w:w="-10" w:type="dxa"/>
        <w:tblLook w:val="04A0" w:firstRow="1" w:lastRow="0" w:firstColumn="1" w:lastColumn="0" w:noHBand="0" w:noVBand="1"/>
      </w:tblPr>
      <w:tblGrid>
        <w:gridCol w:w="5590"/>
        <w:gridCol w:w="3780"/>
      </w:tblGrid>
      <w:tr w:rsidR="00BC6BDE" w:rsidRPr="00B573BF" w:rsidTr="00BC6BDE">
        <w:trPr>
          <w:cantSplit/>
          <w:tblHeader/>
        </w:trPr>
        <w:tc>
          <w:tcPr>
            <w:tcW w:w="9370" w:type="dxa"/>
            <w:gridSpan w:val="2"/>
            <w:tcBorders>
              <w:top w:val="nil"/>
              <w:left w:val="nil"/>
              <w:bottom w:val="nil"/>
              <w:right w:val="nil"/>
            </w:tcBorders>
          </w:tcPr>
          <w:p w:rsidR="00BC6BDE" w:rsidRPr="00757DF9" w:rsidRDefault="00F6691E" w:rsidP="00F12375">
            <w:pPr>
              <w:jc w:val="center"/>
              <w:rPr>
                <w:b/>
                <w:bCs/>
              </w:rPr>
            </w:pPr>
            <w:r>
              <w:br w:type="page"/>
            </w:r>
            <w:r w:rsidR="00BC6BDE" w:rsidRPr="00B573BF">
              <w:rPr>
                <w:rFonts w:ascii="Arial" w:hAnsi="Arial" w:cs="Arial"/>
                <w:b/>
              </w:rPr>
              <w:t xml:space="preserve">Table </w:t>
            </w:r>
            <w:r>
              <w:rPr>
                <w:rFonts w:ascii="Arial" w:hAnsi="Arial" w:cs="Arial"/>
                <w:b/>
              </w:rPr>
              <w:t>5</w:t>
            </w:r>
          </w:p>
        </w:tc>
      </w:tr>
      <w:tr w:rsidR="00BC6BDE" w:rsidRPr="00B573BF" w:rsidTr="00BC6BDE">
        <w:trPr>
          <w:cantSplit/>
          <w:tblHeader/>
        </w:trPr>
        <w:tc>
          <w:tcPr>
            <w:tcW w:w="9370" w:type="dxa"/>
            <w:gridSpan w:val="2"/>
            <w:tcBorders>
              <w:top w:val="nil"/>
              <w:left w:val="nil"/>
              <w:bottom w:val="nil"/>
              <w:right w:val="nil"/>
            </w:tcBorders>
          </w:tcPr>
          <w:p w:rsidR="00BC6BDE" w:rsidRPr="00757DF9" w:rsidRDefault="00BC6BDE" w:rsidP="00BC6BDE">
            <w:pPr>
              <w:jc w:val="center"/>
              <w:rPr>
                <w:b/>
                <w:bCs/>
              </w:rPr>
            </w:pPr>
            <w:r w:rsidRPr="00B573BF">
              <w:rPr>
                <w:rFonts w:ascii="Arial" w:hAnsi="Arial" w:cs="Arial"/>
                <w:b/>
              </w:rPr>
              <w:t>DEF</w:t>
            </w:r>
            <w:r>
              <w:rPr>
                <w:rFonts w:ascii="Arial" w:hAnsi="Arial" w:cs="Arial"/>
                <w:b/>
              </w:rPr>
              <w:t xml:space="preserve"> 2021</w:t>
            </w:r>
            <w:r w:rsidRPr="00B573BF">
              <w:rPr>
                <w:rFonts w:ascii="Arial" w:hAnsi="Arial" w:cs="Arial"/>
                <w:b/>
              </w:rPr>
              <w:t xml:space="preserve"> </w:t>
            </w:r>
            <w:r>
              <w:rPr>
                <w:rFonts w:ascii="Arial" w:hAnsi="Arial" w:cs="Arial"/>
                <w:b/>
              </w:rPr>
              <w:t xml:space="preserve">Capacity Cost Recovery </w:t>
            </w:r>
          </w:p>
        </w:tc>
      </w:tr>
      <w:tr w:rsidR="00BC6BDE" w:rsidRPr="00B573BF" w:rsidTr="00BC6BDE">
        <w:trPr>
          <w:cantSplit/>
          <w:tblHeader/>
        </w:trPr>
        <w:tc>
          <w:tcPr>
            <w:tcW w:w="5590" w:type="dxa"/>
            <w:tcBorders>
              <w:top w:val="single" w:sz="4" w:space="0" w:color="auto"/>
              <w:left w:val="single" w:sz="4" w:space="0" w:color="auto"/>
              <w:bottom w:val="single" w:sz="4" w:space="0" w:color="auto"/>
              <w:right w:val="single" w:sz="4" w:space="0" w:color="auto"/>
            </w:tcBorders>
          </w:tcPr>
          <w:p w:rsidR="00BC6BDE" w:rsidRPr="00757DF9" w:rsidRDefault="00BC6BDE" w:rsidP="00BC6BDE">
            <w:pPr>
              <w:jc w:val="center"/>
              <w:rPr>
                <w:b/>
                <w:bCs/>
              </w:rPr>
            </w:pPr>
            <w:r>
              <w:rPr>
                <w:b/>
                <w:bCs/>
              </w:rPr>
              <w:t>Cost Component</w:t>
            </w:r>
          </w:p>
        </w:tc>
        <w:tc>
          <w:tcPr>
            <w:tcW w:w="3780" w:type="dxa"/>
            <w:tcBorders>
              <w:top w:val="single" w:sz="4" w:space="0" w:color="auto"/>
              <w:left w:val="single" w:sz="4" w:space="0" w:color="auto"/>
              <w:bottom w:val="single" w:sz="4" w:space="0" w:color="auto"/>
              <w:right w:val="single" w:sz="4" w:space="0" w:color="auto"/>
            </w:tcBorders>
            <w:hideMark/>
          </w:tcPr>
          <w:p w:rsidR="00BC6BDE" w:rsidRPr="00757DF9" w:rsidRDefault="00BC6BDE" w:rsidP="00BC6BDE">
            <w:pPr>
              <w:jc w:val="center"/>
              <w:rPr>
                <w:b/>
                <w:bCs/>
              </w:rPr>
            </w:pPr>
            <w:r>
              <w:rPr>
                <w:b/>
                <w:bCs/>
              </w:rPr>
              <w:t>Amount</w:t>
            </w:r>
          </w:p>
        </w:tc>
      </w:tr>
      <w:tr w:rsidR="00BC6BDE" w:rsidRPr="00B573BF" w:rsidTr="00BC6BDE">
        <w:tc>
          <w:tcPr>
            <w:tcW w:w="5590" w:type="dxa"/>
            <w:tcBorders>
              <w:top w:val="single" w:sz="4" w:space="0" w:color="auto"/>
              <w:left w:val="single" w:sz="4" w:space="0" w:color="auto"/>
              <w:bottom w:val="single" w:sz="4" w:space="0" w:color="auto"/>
              <w:right w:val="single" w:sz="4" w:space="0" w:color="auto"/>
            </w:tcBorders>
            <w:vAlign w:val="bottom"/>
          </w:tcPr>
          <w:p w:rsidR="00BC6BDE" w:rsidRPr="0002035A" w:rsidRDefault="00BC6BDE" w:rsidP="0096515A">
            <w:r w:rsidRPr="0002035A">
              <w:t xml:space="preserve">Projected Total Capacity Costs </w:t>
            </w:r>
          </w:p>
        </w:tc>
        <w:tc>
          <w:tcPr>
            <w:tcW w:w="3780" w:type="dxa"/>
            <w:tcBorders>
              <w:top w:val="single" w:sz="4" w:space="0" w:color="auto"/>
              <w:left w:val="single" w:sz="4" w:space="0" w:color="auto"/>
              <w:bottom w:val="single" w:sz="4" w:space="0" w:color="auto"/>
              <w:right w:val="single" w:sz="4" w:space="0" w:color="auto"/>
            </w:tcBorders>
            <w:vAlign w:val="bottom"/>
          </w:tcPr>
          <w:p w:rsidR="00BC6BDE" w:rsidRPr="0002035A" w:rsidRDefault="00BC6BDE" w:rsidP="00BC6BDE">
            <w:pPr>
              <w:jc w:val="right"/>
            </w:pPr>
            <w:r w:rsidRPr="0002035A">
              <w:t>$486,863,207</w:t>
            </w:r>
          </w:p>
        </w:tc>
      </w:tr>
      <w:tr w:rsidR="00BC6BDE" w:rsidRPr="00B573BF" w:rsidTr="00BC6BDE">
        <w:tc>
          <w:tcPr>
            <w:tcW w:w="5590" w:type="dxa"/>
            <w:tcBorders>
              <w:top w:val="single" w:sz="4" w:space="0" w:color="auto"/>
              <w:left w:val="single" w:sz="4" w:space="0" w:color="auto"/>
              <w:bottom w:val="single" w:sz="4" w:space="0" w:color="auto"/>
              <w:right w:val="single" w:sz="4" w:space="0" w:color="auto"/>
            </w:tcBorders>
            <w:vAlign w:val="bottom"/>
          </w:tcPr>
          <w:p w:rsidR="00BC6BDE" w:rsidRPr="0002035A" w:rsidRDefault="00BC6BDE" w:rsidP="0096515A">
            <w:r>
              <w:t xml:space="preserve">Total </w:t>
            </w:r>
            <w:r w:rsidRPr="0002035A">
              <w:t xml:space="preserve">True-up </w:t>
            </w:r>
          </w:p>
        </w:tc>
        <w:tc>
          <w:tcPr>
            <w:tcW w:w="3780" w:type="dxa"/>
            <w:tcBorders>
              <w:top w:val="single" w:sz="4" w:space="0" w:color="auto"/>
              <w:left w:val="single" w:sz="4" w:space="0" w:color="auto"/>
              <w:bottom w:val="single" w:sz="4" w:space="0" w:color="auto"/>
              <w:right w:val="single" w:sz="4" w:space="0" w:color="auto"/>
            </w:tcBorders>
            <w:vAlign w:val="bottom"/>
          </w:tcPr>
          <w:p w:rsidR="00BC6BDE" w:rsidRPr="0002035A" w:rsidRDefault="00BC6BDE" w:rsidP="00BC6BDE">
            <w:pPr>
              <w:jc w:val="right"/>
            </w:pPr>
            <w:r w:rsidRPr="0002035A">
              <w:t>463,084</w:t>
            </w:r>
          </w:p>
        </w:tc>
      </w:tr>
      <w:tr w:rsidR="00BC6BDE" w:rsidRPr="00B573BF" w:rsidTr="00BC6BDE">
        <w:tc>
          <w:tcPr>
            <w:tcW w:w="5590" w:type="dxa"/>
            <w:tcBorders>
              <w:top w:val="single" w:sz="4" w:space="0" w:color="auto"/>
              <w:left w:val="single" w:sz="4" w:space="0" w:color="auto"/>
              <w:bottom w:val="single" w:sz="4" w:space="0" w:color="auto"/>
              <w:right w:val="single" w:sz="4" w:space="0" w:color="auto"/>
            </w:tcBorders>
            <w:vAlign w:val="bottom"/>
          </w:tcPr>
          <w:p w:rsidR="00BC6BDE" w:rsidRPr="0002035A" w:rsidRDefault="00BC6BDE" w:rsidP="0096515A">
            <w:r w:rsidRPr="0002035A">
              <w:t xml:space="preserve">Revenue Tax </w:t>
            </w:r>
          </w:p>
        </w:tc>
        <w:tc>
          <w:tcPr>
            <w:tcW w:w="3780" w:type="dxa"/>
            <w:tcBorders>
              <w:top w:val="single" w:sz="4" w:space="0" w:color="auto"/>
              <w:left w:val="single" w:sz="4" w:space="0" w:color="auto"/>
              <w:bottom w:val="single" w:sz="4" w:space="0" w:color="auto"/>
              <w:right w:val="single" w:sz="4" w:space="0" w:color="auto"/>
            </w:tcBorders>
            <w:vAlign w:val="bottom"/>
          </w:tcPr>
          <w:p w:rsidR="00BC6BDE" w:rsidRPr="0002035A" w:rsidRDefault="00BC6BDE" w:rsidP="00BC6BDE">
            <w:pPr>
              <w:jc w:val="right"/>
              <w:rPr>
                <w:u w:val="single"/>
              </w:rPr>
            </w:pPr>
            <w:r w:rsidRPr="0002035A">
              <w:rPr>
                <w:u w:val="single"/>
              </w:rPr>
              <w:t>350,875</w:t>
            </w:r>
          </w:p>
        </w:tc>
      </w:tr>
      <w:tr w:rsidR="00BC6BDE" w:rsidRPr="00B573BF" w:rsidTr="00BC6BDE">
        <w:trPr>
          <w:trHeight w:val="287"/>
        </w:trPr>
        <w:tc>
          <w:tcPr>
            <w:tcW w:w="5590" w:type="dxa"/>
            <w:tcBorders>
              <w:top w:val="single" w:sz="4" w:space="0" w:color="auto"/>
              <w:left w:val="single" w:sz="4" w:space="0" w:color="auto"/>
              <w:bottom w:val="single" w:sz="4" w:space="0" w:color="auto"/>
              <w:right w:val="single" w:sz="4" w:space="0" w:color="auto"/>
            </w:tcBorders>
            <w:vAlign w:val="bottom"/>
          </w:tcPr>
          <w:p w:rsidR="00BC6BDE" w:rsidRPr="0002035A" w:rsidRDefault="00BC6BDE" w:rsidP="00BC6BDE">
            <w:pPr>
              <w:rPr>
                <w:b/>
                <w:bCs/>
              </w:rPr>
            </w:pPr>
            <w:r w:rsidRPr="0002035A">
              <w:rPr>
                <w:b/>
                <w:bCs/>
              </w:rPr>
              <w:t>Total</w:t>
            </w:r>
            <w:r>
              <w:rPr>
                <w:b/>
                <w:bCs/>
              </w:rPr>
              <w:t>*</w:t>
            </w:r>
          </w:p>
        </w:tc>
        <w:tc>
          <w:tcPr>
            <w:tcW w:w="3780" w:type="dxa"/>
            <w:tcBorders>
              <w:top w:val="single" w:sz="4" w:space="0" w:color="auto"/>
              <w:left w:val="single" w:sz="4" w:space="0" w:color="auto"/>
              <w:bottom w:val="single" w:sz="4" w:space="0" w:color="auto"/>
              <w:right w:val="single" w:sz="4" w:space="0" w:color="auto"/>
            </w:tcBorders>
            <w:vAlign w:val="bottom"/>
          </w:tcPr>
          <w:p w:rsidR="00BC6BDE" w:rsidRPr="0002035A" w:rsidRDefault="00BC6BDE" w:rsidP="00BC6BDE">
            <w:pPr>
              <w:jc w:val="right"/>
              <w:rPr>
                <w:u w:val="double"/>
              </w:rPr>
            </w:pPr>
            <w:r w:rsidRPr="0002035A">
              <w:rPr>
                <w:u w:val="double"/>
              </w:rPr>
              <w:t>$487,677,167</w:t>
            </w:r>
          </w:p>
        </w:tc>
      </w:tr>
    </w:tbl>
    <w:p w:rsidR="00BC6BDE" w:rsidRDefault="00BC6BDE" w:rsidP="00BC6BDE">
      <w:r w:rsidRPr="0002035A">
        <w:t>Source</w:t>
      </w:r>
      <w:r>
        <w:t>s</w:t>
      </w:r>
      <w:r w:rsidRPr="0002035A">
        <w:t>: E</w:t>
      </w:r>
      <w:r w:rsidR="00BC3E61">
        <w:t>xhibits 3,</w:t>
      </w:r>
      <w:r w:rsidRPr="0002035A">
        <w:t xml:space="preserve"> 7</w:t>
      </w:r>
      <w:r w:rsidR="00BC3E61">
        <w:t>.</w:t>
      </w:r>
      <w:r w:rsidRPr="00C51A6A">
        <w:t xml:space="preserve"> </w:t>
      </w:r>
    </w:p>
    <w:p w:rsidR="00BC6BDE" w:rsidRDefault="00BC6BDE" w:rsidP="00F6691E">
      <w:pPr>
        <w:pStyle w:val="BodyText"/>
        <w:jc w:val="both"/>
      </w:pPr>
      <w:r w:rsidRPr="00DA29D9">
        <w:t xml:space="preserve">*May not compute </w:t>
      </w:r>
      <w:r>
        <w:t xml:space="preserve">exactly </w:t>
      </w:r>
      <w:r w:rsidRPr="00DA29D9">
        <w:t>due to rounding</w:t>
      </w:r>
      <w:r>
        <w:t>.</w:t>
      </w:r>
    </w:p>
    <w:p w:rsidR="00F6691E" w:rsidRDefault="00F6691E" w:rsidP="00F6691E">
      <w:pPr>
        <w:pStyle w:val="BodyText"/>
        <w:jc w:val="both"/>
      </w:pPr>
      <w:r>
        <w:tab/>
      </w:r>
      <w:r w:rsidRPr="00A74360">
        <w:t>A provision addressing demand-related jurisdic</w:t>
      </w:r>
      <w:r>
        <w:t xml:space="preserve">tional separation factors </w:t>
      </w:r>
      <w:r w:rsidRPr="00A74360">
        <w:t>was part of DEF’s 2017 Settlement.</w:t>
      </w:r>
      <w:r w:rsidRPr="00A74360">
        <w:rPr>
          <w:rStyle w:val="FootnoteReference"/>
        </w:rPr>
        <w:footnoteReference w:id="13"/>
      </w:r>
      <w:r w:rsidRPr="00A74360">
        <w:t xml:space="preserve"> As specified in the 2017 </w:t>
      </w:r>
      <w:r>
        <w:t>Settle</w:t>
      </w:r>
      <w:r w:rsidRPr="00A74360">
        <w:t xml:space="preserve">ment, and </w:t>
      </w:r>
      <w:r>
        <w:t xml:space="preserve">testified to by </w:t>
      </w:r>
      <w:r w:rsidRPr="00A74360">
        <w:t>DEF witness Menendez, the agreed upon demand-related jurisdictional separation factors applicable</w:t>
      </w:r>
      <w:r>
        <w:t xml:space="preserve"> to</w:t>
      </w:r>
      <w:r w:rsidRPr="00A74360">
        <w:t xml:space="preserve"> cost recovery clauses are </w:t>
      </w:r>
      <w:r>
        <w:t>shown</w:t>
      </w:r>
      <w:r w:rsidRPr="00A74360">
        <w:t xml:space="preserve"> in Table </w:t>
      </w:r>
      <w:r>
        <w:t>6</w:t>
      </w:r>
      <w:r w:rsidRPr="00A74360">
        <w:t xml:space="preserve"> below:</w:t>
      </w:r>
    </w:p>
    <w:tbl>
      <w:tblPr>
        <w:tblStyle w:val="TableGrid"/>
        <w:tblW w:w="9360" w:type="dxa"/>
        <w:jc w:val="center"/>
        <w:tblLook w:val="04A0" w:firstRow="1" w:lastRow="0" w:firstColumn="1" w:lastColumn="0" w:noHBand="0" w:noVBand="1"/>
      </w:tblPr>
      <w:tblGrid>
        <w:gridCol w:w="5220"/>
        <w:gridCol w:w="4140"/>
      </w:tblGrid>
      <w:tr w:rsidR="00F6691E" w:rsidRPr="00B573BF" w:rsidTr="00A846F1">
        <w:trPr>
          <w:tblHeader/>
          <w:jc w:val="center"/>
        </w:trPr>
        <w:tc>
          <w:tcPr>
            <w:tcW w:w="9360" w:type="dxa"/>
            <w:gridSpan w:val="2"/>
            <w:tcBorders>
              <w:top w:val="nil"/>
              <w:left w:val="nil"/>
              <w:bottom w:val="nil"/>
              <w:right w:val="nil"/>
            </w:tcBorders>
          </w:tcPr>
          <w:p w:rsidR="00F6691E" w:rsidRPr="00757DF9" w:rsidRDefault="00F6691E" w:rsidP="00F6691E">
            <w:pPr>
              <w:jc w:val="center"/>
              <w:rPr>
                <w:b/>
                <w:bCs/>
              </w:rPr>
            </w:pPr>
            <w:r w:rsidRPr="00B573BF">
              <w:rPr>
                <w:rFonts w:ascii="Arial" w:hAnsi="Arial" w:cs="Arial"/>
                <w:b/>
              </w:rPr>
              <w:t xml:space="preserve">Table </w:t>
            </w:r>
            <w:r>
              <w:rPr>
                <w:rFonts w:ascii="Arial" w:hAnsi="Arial" w:cs="Arial"/>
                <w:b/>
              </w:rPr>
              <w:t>6</w:t>
            </w:r>
          </w:p>
        </w:tc>
      </w:tr>
      <w:tr w:rsidR="00F6691E" w:rsidRPr="00B573BF" w:rsidTr="00A846F1">
        <w:trPr>
          <w:tblHeader/>
          <w:jc w:val="center"/>
        </w:trPr>
        <w:tc>
          <w:tcPr>
            <w:tcW w:w="9360" w:type="dxa"/>
            <w:gridSpan w:val="2"/>
            <w:tcBorders>
              <w:top w:val="nil"/>
              <w:left w:val="nil"/>
              <w:bottom w:val="nil"/>
              <w:right w:val="nil"/>
            </w:tcBorders>
          </w:tcPr>
          <w:p w:rsidR="00F6691E" w:rsidRPr="00757DF9" w:rsidRDefault="00F6691E" w:rsidP="00A846F1">
            <w:pPr>
              <w:jc w:val="center"/>
              <w:rPr>
                <w:b/>
                <w:bCs/>
              </w:rPr>
            </w:pPr>
            <w:r w:rsidRPr="00B573BF">
              <w:rPr>
                <w:rFonts w:ascii="Arial" w:hAnsi="Arial" w:cs="Arial"/>
                <w:b/>
              </w:rPr>
              <w:t>DEF</w:t>
            </w:r>
            <w:r>
              <w:rPr>
                <w:rFonts w:ascii="Arial" w:hAnsi="Arial" w:cs="Arial"/>
                <w:b/>
              </w:rPr>
              <w:t xml:space="preserve"> Jurisdictional Separation</w:t>
            </w:r>
            <w:r w:rsidRPr="00B573BF">
              <w:rPr>
                <w:rFonts w:ascii="Arial" w:hAnsi="Arial" w:cs="Arial"/>
                <w:b/>
              </w:rPr>
              <w:t xml:space="preserve"> </w:t>
            </w:r>
            <w:r>
              <w:rPr>
                <w:rFonts w:ascii="Arial" w:hAnsi="Arial" w:cs="Arial"/>
                <w:b/>
              </w:rPr>
              <w:t>Facto</w:t>
            </w:r>
            <w:r w:rsidRPr="00B573BF">
              <w:rPr>
                <w:rFonts w:ascii="Arial" w:hAnsi="Arial" w:cs="Arial"/>
                <w:b/>
              </w:rPr>
              <w:t>rs</w:t>
            </w:r>
            <w:r>
              <w:rPr>
                <w:rFonts w:ascii="Arial" w:hAnsi="Arial" w:cs="Arial"/>
                <w:b/>
              </w:rPr>
              <w:t xml:space="preserve"> - Capacity</w:t>
            </w:r>
          </w:p>
        </w:tc>
      </w:tr>
      <w:tr w:rsidR="00F6691E" w:rsidRPr="00B573BF" w:rsidTr="00A846F1">
        <w:trPr>
          <w:tblHeader/>
          <w:jc w:val="center"/>
        </w:trPr>
        <w:tc>
          <w:tcPr>
            <w:tcW w:w="9360" w:type="dxa"/>
            <w:gridSpan w:val="2"/>
            <w:tcBorders>
              <w:top w:val="nil"/>
              <w:left w:val="nil"/>
              <w:bottom w:val="single" w:sz="4" w:space="0" w:color="auto"/>
              <w:right w:val="nil"/>
            </w:tcBorders>
          </w:tcPr>
          <w:p w:rsidR="00F6691E" w:rsidRPr="00757DF9" w:rsidRDefault="00F6691E" w:rsidP="00A846F1">
            <w:pPr>
              <w:jc w:val="center"/>
              <w:rPr>
                <w:b/>
                <w:bCs/>
              </w:rPr>
            </w:pPr>
            <w:r w:rsidRPr="00B573BF">
              <w:rPr>
                <w:rFonts w:ascii="Arial" w:hAnsi="Arial" w:cs="Arial"/>
                <w:b/>
              </w:rPr>
              <w:t>January</w:t>
            </w:r>
            <w:r>
              <w:rPr>
                <w:rFonts w:ascii="Arial" w:hAnsi="Arial" w:cs="Arial"/>
                <w:b/>
              </w:rPr>
              <w:t xml:space="preserve"> </w:t>
            </w:r>
            <w:r w:rsidRPr="00B573BF">
              <w:rPr>
                <w:rFonts w:ascii="Arial" w:hAnsi="Arial" w:cs="Arial"/>
                <w:b/>
              </w:rPr>
              <w:t>-</w:t>
            </w:r>
            <w:r>
              <w:rPr>
                <w:rFonts w:ascii="Arial" w:hAnsi="Arial" w:cs="Arial"/>
                <w:b/>
              </w:rPr>
              <w:t xml:space="preserve"> </w:t>
            </w:r>
            <w:r w:rsidRPr="00B573BF">
              <w:rPr>
                <w:rFonts w:ascii="Arial" w:hAnsi="Arial" w:cs="Arial"/>
                <w:b/>
              </w:rPr>
              <w:t>December, 202</w:t>
            </w:r>
            <w:r>
              <w:rPr>
                <w:rFonts w:ascii="Arial" w:hAnsi="Arial" w:cs="Arial"/>
                <w:b/>
              </w:rPr>
              <w:t>1</w:t>
            </w:r>
          </w:p>
        </w:tc>
      </w:tr>
      <w:tr w:rsidR="00F6691E" w:rsidRPr="00B573BF" w:rsidTr="00A846F1">
        <w:trPr>
          <w:tblHeader/>
          <w:jc w:val="center"/>
        </w:trPr>
        <w:tc>
          <w:tcPr>
            <w:tcW w:w="5220" w:type="dxa"/>
            <w:tcBorders>
              <w:top w:val="single" w:sz="4" w:space="0" w:color="auto"/>
              <w:left w:val="single" w:sz="4" w:space="0" w:color="auto"/>
              <w:bottom w:val="single" w:sz="4" w:space="0" w:color="auto"/>
              <w:right w:val="single" w:sz="4" w:space="0" w:color="auto"/>
            </w:tcBorders>
          </w:tcPr>
          <w:p w:rsidR="00F6691E" w:rsidRPr="00757DF9" w:rsidRDefault="00F6691E" w:rsidP="00A846F1">
            <w:pPr>
              <w:jc w:val="center"/>
              <w:rPr>
                <w:b/>
                <w:bCs/>
              </w:rPr>
            </w:pPr>
            <w:r>
              <w:rPr>
                <w:b/>
                <w:bCs/>
              </w:rPr>
              <w:t>Classification</w:t>
            </w:r>
          </w:p>
        </w:tc>
        <w:tc>
          <w:tcPr>
            <w:tcW w:w="4140" w:type="dxa"/>
            <w:tcBorders>
              <w:top w:val="single" w:sz="4" w:space="0" w:color="auto"/>
              <w:left w:val="single" w:sz="4" w:space="0" w:color="auto"/>
              <w:bottom w:val="single" w:sz="4" w:space="0" w:color="auto"/>
              <w:right w:val="single" w:sz="4" w:space="0" w:color="auto"/>
            </w:tcBorders>
            <w:hideMark/>
          </w:tcPr>
          <w:p w:rsidR="00F6691E" w:rsidRPr="00757DF9" w:rsidRDefault="00F6691E" w:rsidP="00A846F1">
            <w:pPr>
              <w:jc w:val="center"/>
              <w:rPr>
                <w:b/>
                <w:bCs/>
              </w:rPr>
            </w:pPr>
            <w:r>
              <w:rPr>
                <w:b/>
                <w:bCs/>
              </w:rPr>
              <w:t>Separation Factor (%)</w:t>
            </w:r>
          </w:p>
        </w:tc>
      </w:tr>
      <w:tr w:rsidR="00F6691E" w:rsidRPr="00B573BF" w:rsidTr="00A846F1">
        <w:trPr>
          <w:jc w:val="center"/>
        </w:trPr>
        <w:tc>
          <w:tcPr>
            <w:tcW w:w="5220" w:type="dxa"/>
            <w:tcBorders>
              <w:top w:val="single" w:sz="4" w:space="0" w:color="auto"/>
              <w:left w:val="single" w:sz="4" w:space="0" w:color="auto"/>
              <w:bottom w:val="single" w:sz="4" w:space="0" w:color="auto"/>
              <w:right w:val="single" w:sz="4" w:space="0" w:color="auto"/>
            </w:tcBorders>
          </w:tcPr>
          <w:p w:rsidR="00F6691E" w:rsidRPr="00B573BF" w:rsidRDefault="00F6691E" w:rsidP="00A846F1">
            <w:r w:rsidRPr="00D4312E">
              <w:t>Base</w:t>
            </w:r>
          </w:p>
        </w:tc>
        <w:tc>
          <w:tcPr>
            <w:tcW w:w="4140" w:type="dxa"/>
            <w:tcBorders>
              <w:top w:val="single" w:sz="4" w:space="0" w:color="auto"/>
              <w:left w:val="single" w:sz="4" w:space="0" w:color="auto"/>
              <w:bottom w:val="single" w:sz="4" w:space="0" w:color="auto"/>
              <w:right w:val="single" w:sz="4" w:space="0" w:color="auto"/>
            </w:tcBorders>
            <w:hideMark/>
          </w:tcPr>
          <w:p w:rsidR="00F6691E" w:rsidRPr="00B43AF5" w:rsidRDefault="00F6691E" w:rsidP="00A846F1">
            <w:pPr>
              <w:jc w:val="right"/>
            </w:pPr>
            <w:r w:rsidRPr="00D4312E">
              <w:t>92.885</w:t>
            </w:r>
          </w:p>
        </w:tc>
      </w:tr>
      <w:tr w:rsidR="00F6691E" w:rsidRPr="00B573BF" w:rsidTr="00A846F1">
        <w:trPr>
          <w:jc w:val="center"/>
        </w:trPr>
        <w:tc>
          <w:tcPr>
            <w:tcW w:w="5220" w:type="dxa"/>
            <w:tcBorders>
              <w:top w:val="single" w:sz="4" w:space="0" w:color="auto"/>
              <w:left w:val="single" w:sz="4" w:space="0" w:color="auto"/>
              <w:bottom w:val="single" w:sz="4" w:space="0" w:color="auto"/>
              <w:right w:val="single" w:sz="4" w:space="0" w:color="auto"/>
            </w:tcBorders>
          </w:tcPr>
          <w:p w:rsidR="00F6691E" w:rsidRPr="00B573BF" w:rsidRDefault="00F6691E" w:rsidP="00A846F1">
            <w:r w:rsidRPr="00D4312E">
              <w:t>Intermediate</w:t>
            </w:r>
          </w:p>
        </w:tc>
        <w:tc>
          <w:tcPr>
            <w:tcW w:w="4140" w:type="dxa"/>
            <w:tcBorders>
              <w:top w:val="single" w:sz="4" w:space="0" w:color="auto"/>
              <w:left w:val="single" w:sz="4" w:space="0" w:color="auto"/>
              <w:bottom w:val="single" w:sz="4" w:space="0" w:color="auto"/>
              <w:right w:val="single" w:sz="4" w:space="0" w:color="auto"/>
            </w:tcBorders>
          </w:tcPr>
          <w:p w:rsidR="00F6691E" w:rsidRPr="00B43AF5" w:rsidRDefault="00F6691E" w:rsidP="00A846F1">
            <w:pPr>
              <w:jc w:val="right"/>
            </w:pPr>
            <w:r w:rsidRPr="00D4312E">
              <w:t>72.703</w:t>
            </w:r>
          </w:p>
        </w:tc>
      </w:tr>
      <w:tr w:rsidR="00F6691E" w:rsidRPr="00B573BF" w:rsidTr="00A846F1">
        <w:trPr>
          <w:jc w:val="center"/>
        </w:trPr>
        <w:tc>
          <w:tcPr>
            <w:tcW w:w="5220" w:type="dxa"/>
            <w:tcBorders>
              <w:top w:val="single" w:sz="4" w:space="0" w:color="auto"/>
              <w:left w:val="single" w:sz="4" w:space="0" w:color="auto"/>
              <w:bottom w:val="single" w:sz="4" w:space="0" w:color="auto"/>
              <w:right w:val="single" w:sz="4" w:space="0" w:color="auto"/>
            </w:tcBorders>
          </w:tcPr>
          <w:p w:rsidR="00F6691E" w:rsidRPr="00B573BF" w:rsidRDefault="00F6691E" w:rsidP="00A846F1">
            <w:r w:rsidRPr="00D4312E">
              <w:t>Peaking</w:t>
            </w:r>
          </w:p>
        </w:tc>
        <w:tc>
          <w:tcPr>
            <w:tcW w:w="4140" w:type="dxa"/>
            <w:tcBorders>
              <w:top w:val="single" w:sz="4" w:space="0" w:color="auto"/>
              <w:left w:val="single" w:sz="4" w:space="0" w:color="auto"/>
              <w:bottom w:val="single" w:sz="4" w:space="0" w:color="auto"/>
              <w:right w:val="single" w:sz="4" w:space="0" w:color="auto"/>
            </w:tcBorders>
          </w:tcPr>
          <w:p w:rsidR="00F6691E" w:rsidRPr="00B43AF5" w:rsidRDefault="00F6691E" w:rsidP="00A846F1">
            <w:pPr>
              <w:jc w:val="right"/>
            </w:pPr>
            <w:r w:rsidRPr="00D4312E">
              <w:t>95.924</w:t>
            </w:r>
          </w:p>
        </w:tc>
      </w:tr>
    </w:tbl>
    <w:p w:rsidR="00F6691E" w:rsidRDefault="00F6691E" w:rsidP="00F6691E">
      <w:pPr>
        <w:pStyle w:val="BodyText"/>
      </w:pPr>
      <w:r>
        <w:t xml:space="preserve">Sources: Exhibit 7; </w:t>
      </w:r>
      <w:r w:rsidRPr="00717120">
        <w:t>Order No. PSC-2017-0451-AS-EU</w:t>
      </w:r>
      <w:r>
        <w:t>.</w:t>
      </w:r>
    </w:p>
    <w:p w:rsidR="00CA1377" w:rsidRDefault="00CA1377" w:rsidP="00CA1377">
      <w:pPr>
        <w:pStyle w:val="BodyText"/>
        <w:jc w:val="both"/>
      </w:pPr>
      <w:r>
        <w:tab/>
        <w:t>We agree with witness Menendez and hereby approve the demand</w:t>
      </w:r>
      <w:r w:rsidRPr="00A74360">
        <w:t>-related jurisdictional separation factors applicable</w:t>
      </w:r>
      <w:r>
        <w:t xml:space="preserve"> to</w:t>
      </w:r>
      <w:r w:rsidRPr="00A74360">
        <w:t xml:space="preserve"> cost recovery clauses a</w:t>
      </w:r>
      <w:r>
        <w:t>s</w:t>
      </w:r>
      <w:r w:rsidRPr="00A74360">
        <w:t xml:space="preserve"> </w:t>
      </w:r>
      <w:r>
        <w:t>shown</w:t>
      </w:r>
      <w:r w:rsidRPr="00A74360">
        <w:t xml:space="preserve"> in Table </w:t>
      </w:r>
      <w:r>
        <w:t>6 above.</w:t>
      </w:r>
    </w:p>
    <w:p w:rsidR="00F6691E" w:rsidRDefault="00F6691E" w:rsidP="00F6691E">
      <w:pPr>
        <w:pStyle w:val="BodyText"/>
        <w:jc w:val="both"/>
      </w:pPr>
      <w:r>
        <w:lastRenderedPageBreak/>
        <w:tab/>
      </w:r>
      <w:r w:rsidR="00F12375">
        <w:t>T</w:t>
      </w:r>
      <w:r w:rsidRPr="006B70A9">
        <w:t xml:space="preserve">he </w:t>
      </w:r>
      <w:r>
        <w:t>2021</w:t>
      </w:r>
      <w:r w:rsidRPr="006B70A9">
        <w:t xml:space="preserve"> capac</w:t>
      </w:r>
      <w:r>
        <w:t xml:space="preserve">ity cost recovery factors </w:t>
      </w:r>
      <w:r w:rsidRPr="006B70A9">
        <w:t>for each rate class</w:t>
      </w:r>
      <w:r w:rsidR="00F12375">
        <w:t xml:space="preserve"> are</w:t>
      </w:r>
      <w:r w:rsidRPr="006B70A9">
        <w:t xml:space="preserve"> primarily determined by </w:t>
      </w:r>
      <w:r>
        <w:t xml:space="preserve">our decisions </w:t>
      </w:r>
      <w:r w:rsidR="00836BE6">
        <w:t>on the net amount of capacity costs to be included in the recovery factors for 2021 and the jurisdictional separation factors used</w:t>
      </w:r>
      <w:r w:rsidRPr="00F32DE3">
        <w:t>.</w:t>
      </w:r>
      <w:r w:rsidR="00836BE6">
        <w:t xml:space="preserve">  Additionally</w:t>
      </w:r>
      <w:r>
        <w:t xml:space="preserve">, </w:t>
      </w:r>
      <w:r w:rsidRPr="00A74360">
        <w:t>DEF’s 2017 Settlement</w:t>
      </w:r>
      <w:r>
        <w:t xml:space="preserve"> contains a</w:t>
      </w:r>
      <w:r w:rsidRPr="00A74360">
        <w:t xml:space="preserve"> provision addressing </w:t>
      </w:r>
      <w:r>
        <w:t xml:space="preserve">the </w:t>
      </w:r>
      <w:r w:rsidRPr="00A74360">
        <w:t xml:space="preserve">demand-related </w:t>
      </w:r>
      <w:r>
        <w:t>cost allocation methodology to be used for</w:t>
      </w:r>
      <w:r w:rsidRPr="00DF6696">
        <w:t xml:space="preserve"> </w:t>
      </w:r>
      <w:r>
        <w:t>capacity clause rate-making purposes</w:t>
      </w:r>
      <w:r w:rsidRPr="00A74360">
        <w:t>.</w:t>
      </w:r>
      <w:r w:rsidRPr="00A74360">
        <w:rPr>
          <w:rStyle w:val="FootnoteReference"/>
        </w:rPr>
        <w:footnoteReference w:id="14"/>
      </w:r>
      <w:r w:rsidRPr="00A74360">
        <w:t xml:space="preserve"> </w:t>
      </w:r>
      <w:r>
        <w:t xml:space="preserve"> The 2017 Settlement specifies that DEF will utilize the “12 Coincident Peak Load and 1/13 Average Demand” cost allocation methodology.  </w:t>
      </w:r>
      <w:r w:rsidRPr="00F32DE3">
        <w:t>The other component</w:t>
      </w:r>
      <w:r>
        <w:t xml:space="preserve"> utilized for rate making in this issue</w:t>
      </w:r>
      <w:r w:rsidR="00836BE6">
        <w:t xml:space="preserve"> </w:t>
      </w:r>
      <w:r w:rsidRPr="00F32DE3">
        <w:t xml:space="preserve">is DEF’s </w:t>
      </w:r>
      <w:r>
        <w:t xml:space="preserve">effective </w:t>
      </w:r>
      <w:r w:rsidRPr="00F32DE3">
        <w:t xml:space="preserve">2021 class-specific jurisdictional sales forecast. </w:t>
      </w:r>
    </w:p>
    <w:p w:rsidR="00F6691E" w:rsidRDefault="00F6691E" w:rsidP="00F6691E">
      <w:pPr>
        <w:pStyle w:val="BodyText"/>
        <w:jc w:val="both"/>
      </w:pPr>
      <w:r>
        <w:tab/>
      </w:r>
      <w:r w:rsidR="008E0C6F" w:rsidRPr="00A74360">
        <w:t>DEF witness Menendez</w:t>
      </w:r>
      <w:r w:rsidR="008E0C6F">
        <w:t xml:space="preserve"> testified to t</w:t>
      </w:r>
      <w:r>
        <w:t xml:space="preserve">he proposed </w:t>
      </w:r>
      <w:r w:rsidRPr="005D112E">
        <w:t xml:space="preserve">capacity cost recovery factors </w:t>
      </w:r>
      <w:r>
        <w:t>shown by</w:t>
      </w:r>
      <w:r w:rsidRPr="005D112E">
        <w:t xml:space="preserve"> rate class </w:t>
      </w:r>
      <w:r>
        <w:t xml:space="preserve">in </w:t>
      </w:r>
      <w:r w:rsidRPr="005D112E">
        <w:t xml:space="preserve">Table </w:t>
      </w:r>
      <w:r w:rsidR="008E0C6F">
        <w:t>7</w:t>
      </w:r>
      <w:r w:rsidRPr="005D112E">
        <w:t xml:space="preserve"> below:</w:t>
      </w:r>
    </w:p>
    <w:p w:rsidR="0096515A" w:rsidRDefault="0096515A" w:rsidP="00F6691E">
      <w:pPr>
        <w:pStyle w:val="BodyText"/>
        <w:jc w:val="both"/>
      </w:pPr>
    </w:p>
    <w:tbl>
      <w:tblPr>
        <w:tblStyle w:val="TableGrid"/>
        <w:tblW w:w="0" w:type="auto"/>
        <w:tblLook w:val="04A0" w:firstRow="1" w:lastRow="0" w:firstColumn="1" w:lastColumn="0" w:noHBand="0" w:noVBand="1"/>
      </w:tblPr>
      <w:tblGrid>
        <w:gridCol w:w="1621"/>
        <w:gridCol w:w="4442"/>
        <w:gridCol w:w="1589"/>
        <w:gridCol w:w="1698"/>
      </w:tblGrid>
      <w:tr w:rsidR="008E0C6F" w:rsidRPr="00B573BF" w:rsidTr="00A846F1">
        <w:trPr>
          <w:cantSplit/>
          <w:tblHeader/>
        </w:trPr>
        <w:tc>
          <w:tcPr>
            <w:tcW w:w="9350" w:type="dxa"/>
            <w:gridSpan w:val="4"/>
            <w:tcBorders>
              <w:top w:val="nil"/>
              <w:left w:val="nil"/>
              <w:bottom w:val="nil"/>
              <w:right w:val="nil"/>
            </w:tcBorders>
            <w:vAlign w:val="center"/>
          </w:tcPr>
          <w:p w:rsidR="008E0C6F" w:rsidRPr="008B55A0" w:rsidRDefault="008E0C6F" w:rsidP="008E0C6F">
            <w:pPr>
              <w:ind w:left="1440" w:hanging="1440"/>
              <w:jc w:val="center"/>
              <w:rPr>
                <w:rFonts w:ascii="Arial" w:hAnsi="Arial" w:cs="Arial"/>
                <w:b/>
              </w:rPr>
            </w:pPr>
            <w:r>
              <w:br w:type="page"/>
            </w:r>
            <w:r w:rsidRPr="00B573BF">
              <w:rPr>
                <w:rFonts w:ascii="Arial" w:hAnsi="Arial" w:cs="Arial"/>
                <w:b/>
              </w:rPr>
              <w:t xml:space="preserve">Table </w:t>
            </w:r>
            <w:r>
              <w:rPr>
                <w:rFonts w:ascii="Arial" w:hAnsi="Arial" w:cs="Arial"/>
                <w:b/>
              </w:rPr>
              <w:t>7</w:t>
            </w:r>
          </w:p>
        </w:tc>
      </w:tr>
      <w:tr w:rsidR="008E0C6F" w:rsidRPr="00B573BF" w:rsidTr="00A846F1">
        <w:trPr>
          <w:cantSplit/>
          <w:tblHeader/>
        </w:trPr>
        <w:tc>
          <w:tcPr>
            <w:tcW w:w="9350" w:type="dxa"/>
            <w:gridSpan w:val="4"/>
            <w:tcBorders>
              <w:top w:val="nil"/>
              <w:left w:val="nil"/>
              <w:bottom w:val="nil"/>
              <w:right w:val="nil"/>
            </w:tcBorders>
            <w:vAlign w:val="center"/>
          </w:tcPr>
          <w:p w:rsidR="008E0C6F" w:rsidRPr="005D0BDE" w:rsidRDefault="008E0C6F" w:rsidP="00A846F1">
            <w:pPr>
              <w:autoSpaceDE w:val="0"/>
              <w:autoSpaceDN w:val="0"/>
              <w:adjustRightInd w:val="0"/>
              <w:jc w:val="center"/>
              <w:rPr>
                <w:b/>
                <w:bCs/>
                <w:sz w:val="22"/>
                <w:szCs w:val="22"/>
              </w:rPr>
            </w:pPr>
            <w:r w:rsidRPr="00B573BF">
              <w:rPr>
                <w:rFonts w:ascii="Arial" w:hAnsi="Arial" w:cs="Arial"/>
                <w:b/>
              </w:rPr>
              <w:t>DEF Capacity Cost Recovery Factors</w:t>
            </w:r>
          </w:p>
        </w:tc>
      </w:tr>
      <w:tr w:rsidR="008E0C6F" w:rsidRPr="00B573BF" w:rsidTr="00A846F1">
        <w:trPr>
          <w:cantSplit/>
          <w:tblHeader/>
        </w:trPr>
        <w:tc>
          <w:tcPr>
            <w:tcW w:w="9350" w:type="dxa"/>
            <w:gridSpan w:val="4"/>
            <w:tcBorders>
              <w:top w:val="nil"/>
              <w:left w:val="nil"/>
              <w:bottom w:val="single" w:sz="4" w:space="0" w:color="auto"/>
              <w:right w:val="nil"/>
            </w:tcBorders>
            <w:vAlign w:val="center"/>
          </w:tcPr>
          <w:p w:rsidR="008E0C6F" w:rsidRPr="00B573BF" w:rsidRDefault="008E0C6F" w:rsidP="00A846F1">
            <w:pPr>
              <w:autoSpaceDE w:val="0"/>
              <w:autoSpaceDN w:val="0"/>
              <w:adjustRightInd w:val="0"/>
              <w:jc w:val="center"/>
              <w:rPr>
                <w:rFonts w:ascii="Arial" w:hAnsi="Arial" w:cs="Arial"/>
                <w:b/>
              </w:rPr>
            </w:pPr>
            <w:r w:rsidRPr="00B573BF">
              <w:rPr>
                <w:rFonts w:ascii="Arial" w:hAnsi="Arial" w:cs="Arial"/>
                <w:b/>
              </w:rPr>
              <w:t>January-December, 202</w:t>
            </w:r>
            <w:r>
              <w:rPr>
                <w:rFonts w:ascii="Arial" w:hAnsi="Arial" w:cs="Arial"/>
                <w:b/>
              </w:rPr>
              <w:t>1</w:t>
            </w:r>
          </w:p>
        </w:tc>
      </w:tr>
      <w:tr w:rsidR="008E0C6F" w:rsidRPr="00B573BF" w:rsidTr="00A846F1">
        <w:trPr>
          <w:cantSplit/>
          <w:tblHeader/>
        </w:trPr>
        <w:tc>
          <w:tcPr>
            <w:tcW w:w="60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E0C6F" w:rsidRPr="005D0BDE" w:rsidRDefault="008E0C6F" w:rsidP="00A846F1">
            <w:pPr>
              <w:autoSpaceDE w:val="0"/>
              <w:autoSpaceDN w:val="0"/>
              <w:adjustRightInd w:val="0"/>
              <w:jc w:val="center"/>
              <w:rPr>
                <w:b/>
                <w:bCs/>
                <w:sz w:val="22"/>
                <w:szCs w:val="22"/>
              </w:rPr>
            </w:pPr>
            <w:r w:rsidRPr="005D0BDE">
              <w:rPr>
                <w:b/>
                <w:bCs/>
                <w:sz w:val="22"/>
                <w:szCs w:val="22"/>
              </w:rPr>
              <w:t>Rate Class</w:t>
            </w:r>
          </w:p>
        </w:tc>
        <w:tc>
          <w:tcPr>
            <w:tcW w:w="3287" w:type="dxa"/>
            <w:gridSpan w:val="2"/>
            <w:tcBorders>
              <w:top w:val="single" w:sz="4" w:space="0" w:color="auto"/>
              <w:left w:val="single" w:sz="4" w:space="0" w:color="auto"/>
              <w:bottom w:val="single" w:sz="4" w:space="0" w:color="auto"/>
              <w:right w:val="single" w:sz="4" w:space="0" w:color="auto"/>
            </w:tcBorders>
            <w:hideMark/>
          </w:tcPr>
          <w:p w:rsidR="008E0C6F" w:rsidRPr="005D0BDE" w:rsidRDefault="008E0C6F" w:rsidP="00A846F1">
            <w:pPr>
              <w:autoSpaceDE w:val="0"/>
              <w:autoSpaceDN w:val="0"/>
              <w:adjustRightInd w:val="0"/>
              <w:jc w:val="center"/>
              <w:rPr>
                <w:b/>
                <w:bCs/>
                <w:sz w:val="22"/>
                <w:szCs w:val="22"/>
              </w:rPr>
            </w:pPr>
            <w:r w:rsidRPr="005D0BDE">
              <w:rPr>
                <w:b/>
                <w:bCs/>
                <w:sz w:val="22"/>
                <w:szCs w:val="22"/>
              </w:rPr>
              <w:t xml:space="preserve">2021 Capacity and </w:t>
            </w:r>
            <w:r>
              <w:rPr>
                <w:b/>
                <w:bCs/>
                <w:sz w:val="22"/>
                <w:szCs w:val="22"/>
              </w:rPr>
              <w:t>CR3 ISFSI</w:t>
            </w:r>
          </w:p>
          <w:p w:rsidR="008E0C6F" w:rsidRPr="005D0BDE" w:rsidRDefault="008E0C6F" w:rsidP="00A846F1">
            <w:pPr>
              <w:autoSpaceDE w:val="0"/>
              <w:autoSpaceDN w:val="0"/>
              <w:adjustRightInd w:val="0"/>
              <w:jc w:val="center"/>
              <w:rPr>
                <w:b/>
                <w:bCs/>
                <w:sz w:val="22"/>
                <w:szCs w:val="22"/>
              </w:rPr>
            </w:pPr>
            <w:r w:rsidRPr="005D0BDE">
              <w:rPr>
                <w:b/>
                <w:bCs/>
                <w:sz w:val="22"/>
                <w:szCs w:val="22"/>
              </w:rPr>
              <w:t>Cost Recovery Factors</w:t>
            </w:r>
          </w:p>
        </w:tc>
      </w:tr>
      <w:tr w:rsidR="008E0C6F" w:rsidRPr="00B573BF" w:rsidTr="00A846F1">
        <w:trPr>
          <w:cantSplit/>
          <w:tblHead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E0C6F" w:rsidRPr="002B7FAE" w:rsidRDefault="008E0C6F" w:rsidP="00A846F1">
            <w:pPr>
              <w:jc w:val="center"/>
              <w:rPr>
                <w:b/>
                <w:bCs/>
                <w:sz w:val="22"/>
                <w:szCs w:val="22"/>
                <w:highlight w:val="yellow"/>
              </w:rPr>
            </w:pPr>
          </w:p>
        </w:tc>
        <w:tc>
          <w:tcPr>
            <w:tcW w:w="1589" w:type="dxa"/>
            <w:tcBorders>
              <w:top w:val="single" w:sz="4" w:space="0" w:color="auto"/>
              <w:left w:val="single" w:sz="4" w:space="0" w:color="auto"/>
              <w:bottom w:val="single" w:sz="4" w:space="0" w:color="auto"/>
              <w:right w:val="single" w:sz="4" w:space="0" w:color="auto"/>
            </w:tcBorders>
            <w:hideMark/>
          </w:tcPr>
          <w:p w:rsidR="008E0C6F" w:rsidRPr="008B55A0" w:rsidRDefault="008E0C6F" w:rsidP="00A846F1">
            <w:pPr>
              <w:autoSpaceDE w:val="0"/>
              <w:autoSpaceDN w:val="0"/>
              <w:adjustRightInd w:val="0"/>
              <w:jc w:val="center"/>
              <w:rPr>
                <w:b/>
                <w:sz w:val="22"/>
                <w:szCs w:val="22"/>
              </w:rPr>
            </w:pPr>
            <w:r w:rsidRPr="008B55A0">
              <w:rPr>
                <w:b/>
                <w:sz w:val="22"/>
                <w:szCs w:val="22"/>
              </w:rPr>
              <w:t xml:space="preserve">Cents </w:t>
            </w:r>
            <w:r>
              <w:rPr>
                <w:b/>
                <w:sz w:val="22"/>
                <w:szCs w:val="22"/>
              </w:rPr>
              <w:t>per</w:t>
            </w:r>
          </w:p>
          <w:p w:rsidR="008E0C6F" w:rsidRPr="008B55A0" w:rsidRDefault="008E0C6F" w:rsidP="00A846F1">
            <w:pPr>
              <w:autoSpaceDE w:val="0"/>
              <w:autoSpaceDN w:val="0"/>
              <w:adjustRightInd w:val="0"/>
              <w:jc w:val="center"/>
              <w:rPr>
                <w:b/>
                <w:sz w:val="22"/>
                <w:szCs w:val="22"/>
              </w:rPr>
            </w:pPr>
            <w:r w:rsidRPr="008B55A0">
              <w:rPr>
                <w:b/>
                <w:sz w:val="22"/>
                <w:szCs w:val="22"/>
              </w:rPr>
              <w:t>kWh</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8E0C6F" w:rsidRPr="008B55A0" w:rsidRDefault="008E0C6F" w:rsidP="00A846F1">
            <w:pPr>
              <w:autoSpaceDE w:val="0"/>
              <w:autoSpaceDN w:val="0"/>
              <w:adjustRightInd w:val="0"/>
              <w:jc w:val="center"/>
              <w:rPr>
                <w:b/>
                <w:sz w:val="22"/>
                <w:szCs w:val="22"/>
                <w:highlight w:val="yellow"/>
              </w:rPr>
            </w:pPr>
            <w:r w:rsidRPr="008B55A0">
              <w:rPr>
                <w:b/>
                <w:sz w:val="22"/>
                <w:szCs w:val="22"/>
              </w:rPr>
              <w:t xml:space="preserve">Dollars </w:t>
            </w:r>
            <w:r>
              <w:rPr>
                <w:b/>
                <w:sz w:val="22"/>
                <w:szCs w:val="22"/>
              </w:rPr>
              <w:t>per</w:t>
            </w:r>
            <w:r w:rsidRPr="008B55A0">
              <w:rPr>
                <w:b/>
                <w:sz w:val="22"/>
                <w:szCs w:val="22"/>
              </w:rPr>
              <w:t xml:space="preserve"> kW-month</w:t>
            </w:r>
          </w:p>
        </w:tc>
      </w:tr>
      <w:tr w:rsidR="008E0C6F" w:rsidRPr="00B573BF" w:rsidTr="00A846F1">
        <w:tc>
          <w:tcPr>
            <w:tcW w:w="6063" w:type="dxa"/>
            <w:gridSpan w:val="2"/>
            <w:tcBorders>
              <w:top w:val="single" w:sz="4" w:space="0" w:color="auto"/>
              <w:left w:val="single" w:sz="4" w:space="0" w:color="auto"/>
              <w:bottom w:val="single" w:sz="4" w:space="0" w:color="auto"/>
              <w:right w:val="single" w:sz="4" w:space="0" w:color="auto"/>
            </w:tcBorders>
            <w:hideMark/>
          </w:tcPr>
          <w:p w:rsidR="008E0C6F" w:rsidRPr="00692EF5" w:rsidRDefault="008E0C6F" w:rsidP="00A846F1">
            <w:pPr>
              <w:autoSpaceDE w:val="0"/>
              <w:autoSpaceDN w:val="0"/>
              <w:adjustRightInd w:val="0"/>
              <w:rPr>
                <w:bCs/>
                <w:sz w:val="22"/>
                <w:szCs w:val="22"/>
              </w:rPr>
            </w:pPr>
            <w:r w:rsidRPr="00692EF5">
              <w:rPr>
                <w:bCs/>
                <w:sz w:val="22"/>
                <w:szCs w:val="22"/>
              </w:rPr>
              <w:t>Residential (RS-1, RST-1, RSL-1, RSL-2, RSS-1)</w:t>
            </w:r>
          </w:p>
          <w:p w:rsidR="008E0C6F" w:rsidRPr="00692EF5" w:rsidRDefault="008E0C6F" w:rsidP="00A846F1">
            <w:pPr>
              <w:autoSpaceDE w:val="0"/>
              <w:autoSpaceDN w:val="0"/>
              <w:adjustRightInd w:val="0"/>
              <w:rPr>
                <w:bCs/>
                <w:sz w:val="22"/>
                <w:szCs w:val="22"/>
              </w:rPr>
            </w:pPr>
            <w:r w:rsidRPr="00692EF5">
              <w:rPr>
                <w:bCs/>
                <w:sz w:val="22"/>
                <w:szCs w:val="22"/>
              </w:rPr>
              <w:t xml:space="preserve">At Secondary Voltage </w:t>
            </w:r>
          </w:p>
        </w:tc>
        <w:tc>
          <w:tcPr>
            <w:tcW w:w="1589" w:type="dxa"/>
            <w:tcBorders>
              <w:top w:val="single" w:sz="4" w:space="0" w:color="auto"/>
              <w:left w:val="single" w:sz="4" w:space="0" w:color="auto"/>
              <w:bottom w:val="single" w:sz="4" w:space="0" w:color="auto"/>
              <w:right w:val="single" w:sz="4" w:space="0" w:color="auto"/>
            </w:tcBorders>
            <w:vAlign w:val="bottom"/>
            <w:hideMark/>
          </w:tcPr>
          <w:p w:rsidR="008E0C6F" w:rsidRPr="00692EF5" w:rsidRDefault="008E0C6F" w:rsidP="00A846F1">
            <w:pPr>
              <w:autoSpaceDE w:val="0"/>
              <w:autoSpaceDN w:val="0"/>
              <w:adjustRightInd w:val="0"/>
              <w:jc w:val="right"/>
              <w:rPr>
                <w:bCs/>
                <w:sz w:val="22"/>
                <w:szCs w:val="22"/>
              </w:rPr>
            </w:pPr>
            <w:r w:rsidRPr="00692EF5">
              <w:rPr>
                <w:bCs/>
                <w:sz w:val="22"/>
                <w:szCs w:val="22"/>
              </w:rPr>
              <w:t>1.405</w:t>
            </w:r>
          </w:p>
        </w:tc>
        <w:tc>
          <w:tcPr>
            <w:tcW w:w="1698" w:type="dxa"/>
            <w:vMerge w:val="restart"/>
            <w:tcBorders>
              <w:top w:val="single" w:sz="4" w:space="0" w:color="auto"/>
              <w:left w:val="single" w:sz="4" w:space="0" w:color="auto"/>
              <w:bottom w:val="nil"/>
              <w:right w:val="single" w:sz="4" w:space="0" w:color="auto"/>
            </w:tcBorders>
            <w:vAlign w:val="center"/>
          </w:tcPr>
          <w:p w:rsidR="008E0C6F" w:rsidRPr="00692EF5" w:rsidRDefault="008E0C6F" w:rsidP="00A846F1">
            <w:pPr>
              <w:autoSpaceDE w:val="0"/>
              <w:autoSpaceDN w:val="0"/>
              <w:adjustRightInd w:val="0"/>
              <w:jc w:val="center"/>
              <w:rPr>
                <w:bCs/>
                <w:sz w:val="22"/>
                <w:szCs w:val="22"/>
              </w:rPr>
            </w:pPr>
          </w:p>
        </w:tc>
      </w:tr>
      <w:tr w:rsidR="008E0C6F" w:rsidRPr="00B573BF" w:rsidTr="00A846F1">
        <w:tc>
          <w:tcPr>
            <w:tcW w:w="6063" w:type="dxa"/>
            <w:gridSpan w:val="2"/>
            <w:tcBorders>
              <w:top w:val="single" w:sz="4" w:space="0" w:color="auto"/>
              <w:left w:val="single" w:sz="4" w:space="0" w:color="auto"/>
              <w:bottom w:val="single" w:sz="4" w:space="0" w:color="auto"/>
              <w:right w:val="single" w:sz="4" w:space="0" w:color="auto"/>
            </w:tcBorders>
            <w:hideMark/>
          </w:tcPr>
          <w:p w:rsidR="008E0C6F" w:rsidRPr="00692EF5" w:rsidRDefault="008E0C6F" w:rsidP="00A846F1">
            <w:pPr>
              <w:autoSpaceDE w:val="0"/>
              <w:autoSpaceDN w:val="0"/>
              <w:adjustRightInd w:val="0"/>
              <w:rPr>
                <w:bCs/>
                <w:sz w:val="22"/>
                <w:szCs w:val="22"/>
              </w:rPr>
            </w:pPr>
            <w:r w:rsidRPr="00692EF5">
              <w:rPr>
                <w:bCs/>
                <w:sz w:val="22"/>
                <w:szCs w:val="22"/>
              </w:rPr>
              <w:t>General Service Non-Demand (GS-1, GST-1)</w:t>
            </w:r>
          </w:p>
        </w:tc>
        <w:tc>
          <w:tcPr>
            <w:tcW w:w="1589" w:type="dxa"/>
            <w:tcBorders>
              <w:top w:val="single" w:sz="4" w:space="0" w:color="auto"/>
              <w:left w:val="single" w:sz="4" w:space="0" w:color="auto"/>
              <w:bottom w:val="single" w:sz="4" w:space="0" w:color="auto"/>
              <w:right w:val="single" w:sz="4" w:space="0" w:color="auto"/>
            </w:tcBorders>
            <w:vAlign w:val="bottom"/>
          </w:tcPr>
          <w:p w:rsidR="008E0C6F" w:rsidRPr="00692EF5" w:rsidRDefault="008E0C6F" w:rsidP="00A846F1">
            <w:pPr>
              <w:autoSpaceDE w:val="0"/>
              <w:autoSpaceDN w:val="0"/>
              <w:adjustRightInd w:val="0"/>
              <w:jc w:val="right"/>
              <w:rPr>
                <w:bCs/>
                <w:sz w:val="22"/>
                <w:szCs w:val="22"/>
              </w:rPr>
            </w:pPr>
          </w:p>
        </w:tc>
        <w:tc>
          <w:tcPr>
            <w:tcW w:w="0" w:type="auto"/>
            <w:vMerge/>
            <w:tcBorders>
              <w:top w:val="single" w:sz="4" w:space="0" w:color="auto"/>
              <w:left w:val="single" w:sz="4" w:space="0" w:color="auto"/>
              <w:bottom w:val="nil"/>
              <w:right w:val="single" w:sz="4" w:space="0" w:color="auto"/>
            </w:tcBorders>
            <w:vAlign w:val="center"/>
            <w:hideMark/>
          </w:tcPr>
          <w:p w:rsidR="008E0C6F" w:rsidRPr="00692EF5" w:rsidRDefault="008E0C6F" w:rsidP="00A846F1">
            <w:pPr>
              <w:rPr>
                <w:bCs/>
                <w:sz w:val="22"/>
                <w:szCs w:val="22"/>
              </w:rPr>
            </w:pPr>
          </w:p>
        </w:tc>
      </w:tr>
      <w:tr w:rsidR="008E0C6F" w:rsidRPr="00B573BF" w:rsidTr="00A846F1">
        <w:tc>
          <w:tcPr>
            <w:tcW w:w="1621" w:type="dxa"/>
            <w:vMerge w:val="restart"/>
            <w:tcBorders>
              <w:top w:val="single" w:sz="4" w:space="0" w:color="auto"/>
              <w:left w:val="single" w:sz="4" w:space="0" w:color="auto"/>
              <w:bottom w:val="single" w:sz="4" w:space="0" w:color="auto"/>
              <w:right w:val="single" w:sz="4" w:space="0" w:color="auto"/>
            </w:tcBorders>
            <w:vAlign w:val="center"/>
          </w:tcPr>
          <w:p w:rsidR="008E0C6F" w:rsidRPr="00692EF5" w:rsidRDefault="008E0C6F" w:rsidP="00A846F1">
            <w:pPr>
              <w:autoSpaceDE w:val="0"/>
              <w:autoSpaceDN w:val="0"/>
              <w:adjustRightInd w:val="0"/>
              <w:jc w:val="center"/>
              <w:rPr>
                <w:bCs/>
                <w:sz w:val="22"/>
                <w:szCs w:val="22"/>
              </w:rPr>
            </w:pPr>
          </w:p>
        </w:tc>
        <w:tc>
          <w:tcPr>
            <w:tcW w:w="4442" w:type="dxa"/>
            <w:tcBorders>
              <w:top w:val="single" w:sz="4" w:space="0" w:color="auto"/>
              <w:left w:val="single" w:sz="4" w:space="0" w:color="auto"/>
              <w:bottom w:val="single" w:sz="4" w:space="0" w:color="auto"/>
              <w:right w:val="single" w:sz="4" w:space="0" w:color="auto"/>
            </w:tcBorders>
            <w:hideMark/>
          </w:tcPr>
          <w:p w:rsidR="008E0C6F" w:rsidRPr="00692EF5" w:rsidRDefault="008E0C6F" w:rsidP="00A846F1">
            <w:pPr>
              <w:autoSpaceDE w:val="0"/>
              <w:autoSpaceDN w:val="0"/>
              <w:adjustRightInd w:val="0"/>
              <w:rPr>
                <w:bCs/>
                <w:sz w:val="22"/>
                <w:szCs w:val="22"/>
              </w:rPr>
            </w:pPr>
            <w:r w:rsidRPr="00692EF5">
              <w:rPr>
                <w:bCs/>
                <w:sz w:val="22"/>
                <w:szCs w:val="22"/>
              </w:rPr>
              <w:t>At Secondary Voltage</w:t>
            </w:r>
          </w:p>
        </w:tc>
        <w:tc>
          <w:tcPr>
            <w:tcW w:w="1589" w:type="dxa"/>
            <w:tcBorders>
              <w:top w:val="single" w:sz="4" w:space="0" w:color="auto"/>
              <w:left w:val="single" w:sz="4" w:space="0" w:color="auto"/>
              <w:bottom w:val="single" w:sz="4" w:space="0" w:color="auto"/>
              <w:right w:val="single" w:sz="4" w:space="0" w:color="auto"/>
            </w:tcBorders>
            <w:vAlign w:val="bottom"/>
            <w:hideMark/>
          </w:tcPr>
          <w:p w:rsidR="008E0C6F" w:rsidRPr="00692EF5" w:rsidRDefault="008E0C6F" w:rsidP="00A846F1">
            <w:pPr>
              <w:autoSpaceDE w:val="0"/>
              <w:autoSpaceDN w:val="0"/>
              <w:adjustRightInd w:val="0"/>
              <w:jc w:val="right"/>
              <w:rPr>
                <w:bCs/>
                <w:sz w:val="22"/>
                <w:szCs w:val="22"/>
              </w:rPr>
            </w:pPr>
            <w:r w:rsidRPr="00692EF5">
              <w:rPr>
                <w:bCs/>
                <w:sz w:val="22"/>
                <w:szCs w:val="22"/>
              </w:rPr>
              <w:t>1.342</w:t>
            </w:r>
          </w:p>
        </w:tc>
        <w:tc>
          <w:tcPr>
            <w:tcW w:w="0" w:type="auto"/>
            <w:vMerge/>
            <w:tcBorders>
              <w:top w:val="single" w:sz="4" w:space="0" w:color="auto"/>
              <w:left w:val="single" w:sz="4" w:space="0" w:color="auto"/>
              <w:bottom w:val="nil"/>
              <w:right w:val="single" w:sz="4" w:space="0" w:color="auto"/>
            </w:tcBorders>
            <w:vAlign w:val="center"/>
            <w:hideMark/>
          </w:tcPr>
          <w:p w:rsidR="008E0C6F" w:rsidRPr="00692EF5" w:rsidRDefault="008E0C6F" w:rsidP="00A846F1">
            <w:pPr>
              <w:rPr>
                <w:bCs/>
                <w:sz w:val="22"/>
                <w:szCs w:val="22"/>
              </w:rPr>
            </w:pPr>
          </w:p>
        </w:tc>
      </w:tr>
      <w:tr w:rsidR="008E0C6F" w:rsidRPr="00B573BF" w:rsidTr="00A846F1">
        <w:tc>
          <w:tcPr>
            <w:tcW w:w="0" w:type="auto"/>
            <w:vMerge/>
            <w:tcBorders>
              <w:top w:val="single" w:sz="4" w:space="0" w:color="auto"/>
              <w:left w:val="single" w:sz="4" w:space="0" w:color="auto"/>
              <w:bottom w:val="single" w:sz="4" w:space="0" w:color="auto"/>
              <w:right w:val="single" w:sz="4" w:space="0" w:color="auto"/>
            </w:tcBorders>
            <w:vAlign w:val="center"/>
            <w:hideMark/>
          </w:tcPr>
          <w:p w:rsidR="008E0C6F" w:rsidRPr="00692EF5" w:rsidRDefault="008E0C6F" w:rsidP="00A846F1">
            <w:pPr>
              <w:rPr>
                <w:bCs/>
                <w:sz w:val="22"/>
                <w:szCs w:val="22"/>
              </w:rPr>
            </w:pPr>
          </w:p>
        </w:tc>
        <w:tc>
          <w:tcPr>
            <w:tcW w:w="4442" w:type="dxa"/>
            <w:tcBorders>
              <w:top w:val="single" w:sz="4" w:space="0" w:color="auto"/>
              <w:left w:val="single" w:sz="4" w:space="0" w:color="auto"/>
              <w:bottom w:val="single" w:sz="4" w:space="0" w:color="auto"/>
              <w:right w:val="single" w:sz="4" w:space="0" w:color="auto"/>
            </w:tcBorders>
            <w:hideMark/>
          </w:tcPr>
          <w:p w:rsidR="008E0C6F" w:rsidRPr="00692EF5" w:rsidRDefault="008E0C6F" w:rsidP="00A846F1">
            <w:pPr>
              <w:autoSpaceDE w:val="0"/>
              <w:autoSpaceDN w:val="0"/>
              <w:adjustRightInd w:val="0"/>
              <w:rPr>
                <w:bCs/>
                <w:sz w:val="22"/>
                <w:szCs w:val="22"/>
              </w:rPr>
            </w:pPr>
            <w:r w:rsidRPr="00692EF5">
              <w:rPr>
                <w:bCs/>
                <w:sz w:val="22"/>
                <w:szCs w:val="22"/>
              </w:rPr>
              <w:t>At Primary Voltage</w:t>
            </w:r>
          </w:p>
        </w:tc>
        <w:tc>
          <w:tcPr>
            <w:tcW w:w="1589" w:type="dxa"/>
            <w:tcBorders>
              <w:top w:val="single" w:sz="4" w:space="0" w:color="auto"/>
              <w:left w:val="single" w:sz="4" w:space="0" w:color="auto"/>
              <w:bottom w:val="single" w:sz="4" w:space="0" w:color="auto"/>
              <w:right w:val="single" w:sz="4" w:space="0" w:color="auto"/>
            </w:tcBorders>
            <w:vAlign w:val="bottom"/>
            <w:hideMark/>
          </w:tcPr>
          <w:p w:rsidR="008E0C6F" w:rsidRPr="00692EF5" w:rsidRDefault="008E0C6F" w:rsidP="00A846F1">
            <w:pPr>
              <w:autoSpaceDE w:val="0"/>
              <w:autoSpaceDN w:val="0"/>
              <w:adjustRightInd w:val="0"/>
              <w:jc w:val="right"/>
              <w:rPr>
                <w:bCs/>
                <w:sz w:val="22"/>
                <w:szCs w:val="22"/>
              </w:rPr>
            </w:pPr>
            <w:r w:rsidRPr="00692EF5">
              <w:rPr>
                <w:bCs/>
                <w:sz w:val="22"/>
                <w:szCs w:val="22"/>
              </w:rPr>
              <w:t>1.329</w:t>
            </w:r>
          </w:p>
        </w:tc>
        <w:tc>
          <w:tcPr>
            <w:tcW w:w="0" w:type="auto"/>
            <w:vMerge/>
            <w:tcBorders>
              <w:top w:val="single" w:sz="4" w:space="0" w:color="auto"/>
              <w:left w:val="single" w:sz="4" w:space="0" w:color="auto"/>
              <w:bottom w:val="nil"/>
              <w:right w:val="single" w:sz="4" w:space="0" w:color="auto"/>
            </w:tcBorders>
            <w:vAlign w:val="center"/>
            <w:hideMark/>
          </w:tcPr>
          <w:p w:rsidR="008E0C6F" w:rsidRPr="00692EF5" w:rsidRDefault="008E0C6F" w:rsidP="00A846F1">
            <w:pPr>
              <w:rPr>
                <w:bCs/>
                <w:sz w:val="22"/>
                <w:szCs w:val="22"/>
              </w:rPr>
            </w:pPr>
          </w:p>
        </w:tc>
      </w:tr>
      <w:tr w:rsidR="008E0C6F" w:rsidRPr="00B573BF" w:rsidTr="00A846F1">
        <w:tc>
          <w:tcPr>
            <w:tcW w:w="0" w:type="auto"/>
            <w:vMerge/>
            <w:tcBorders>
              <w:top w:val="single" w:sz="4" w:space="0" w:color="auto"/>
              <w:left w:val="single" w:sz="4" w:space="0" w:color="auto"/>
              <w:bottom w:val="single" w:sz="4" w:space="0" w:color="auto"/>
              <w:right w:val="single" w:sz="4" w:space="0" w:color="auto"/>
            </w:tcBorders>
            <w:vAlign w:val="center"/>
            <w:hideMark/>
          </w:tcPr>
          <w:p w:rsidR="008E0C6F" w:rsidRPr="00692EF5" w:rsidRDefault="008E0C6F" w:rsidP="00A846F1">
            <w:pPr>
              <w:rPr>
                <w:bCs/>
                <w:sz w:val="22"/>
                <w:szCs w:val="22"/>
              </w:rPr>
            </w:pPr>
          </w:p>
        </w:tc>
        <w:tc>
          <w:tcPr>
            <w:tcW w:w="4442" w:type="dxa"/>
            <w:tcBorders>
              <w:top w:val="single" w:sz="4" w:space="0" w:color="auto"/>
              <w:left w:val="single" w:sz="4" w:space="0" w:color="auto"/>
              <w:bottom w:val="single" w:sz="4" w:space="0" w:color="auto"/>
              <w:right w:val="single" w:sz="4" w:space="0" w:color="auto"/>
            </w:tcBorders>
            <w:hideMark/>
          </w:tcPr>
          <w:p w:rsidR="008E0C6F" w:rsidRPr="00692EF5" w:rsidRDefault="008E0C6F" w:rsidP="00A846F1">
            <w:pPr>
              <w:autoSpaceDE w:val="0"/>
              <w:autoSpaceDN w:val="0"/>
              <w:adjustRightInd w:val="0"/>
              <w:rPr>
                <w:bCs/>
                <w:sz w:val="22"/>
                <w:szCs w:val="22"/>
              </w:rPr>
            </w:pPr>
            <w:r w:rsidRPr="00692EF5">
              <w:rPr>
                <w:bCs/>
                <w:sz w:val="22"/>
                <w:szCs w:val="22"/>
              </w:rPr>
              <w:t>At Transmission Voltage</w:t>
            </w:r>
          </w:p>
        </w:tc>
        <w:tc>
          <w:tcPr>
            <w:tcW w:w="1589" w:type="dxa"/>
            <w:tcBorders>
              <w:top w:val="single" w:sz="4" w:space="0" w:color="auto"/>
              <w:left w:val="single" w:sz="4" w:space="0" w:color="auto"/>
              <w:bottom w:val="single" w:sz="4" w:space="0" w:color="auto"/>
              <w:right w:val="single" w:sz="4" w:space="0" w:color="auto"/>
            </w:tcBorders>
            <w:vAlign w:val="bottom"/>
            <w:hideMark/>
          </w:tcPr>
          <w:p w:rsidR="008E0C6F" w:rsidRPr="00692EF5" w:rsidRDefault="008E0C6F" w:rsidP="00A846F1">
            <w:pPr>
              <w:autoSpaceDE w:val="0"/>
              <w:autoSpaceDN w:val="0"/>
              <w:adjustRightInd w:val="0"/>
              <w:jc w:val="right"/>
              <w:rPr>
                <w:bCs/>
                <w:sz w:val="22"/>
                <w:szCs w:val="22"/>
              </w:rPr>
            </w:pPr>
            <w:r w:rsidRPr="00692EF5">
              <w:rPr>
                <w:bCs/>
                <w:sz w:val="22"/>
                <w:szCs w:val="22"/>
              </w:rPr>
              <w:t xml:space="preserve">1.315 </w:t>
            </w:r>
          </w:p>
        </w:tc>
        <w:tc>
          <w:tcPr>
            <w:tcW w:w="0" w:type="auto"/>
            <w:vMerge/>
            <w:tcBorders>
              <w:top w:val="single" w:sz="4" w:space="0" w:color="auto"/>
              <w:left w:val="single" w:sz="4" w:space="0" w:color="auto"/>
              <w:bottom w:val="nil"/>
              <w:right w:val="single" w:sz="4" w:space="0" w:color="auto"/>
            </w:tcBorders>
            <w:vAlign w:val="center"/>
            <w:hideMark/>
          </w:tcPr>
          <w:p w:rsidR="008E0C6F" w:rsidRPr="00692EF5" w:rsidRDefault="008E0C6F" w:rsidP="00A846F1">
            <w:pPr>
              <w:rPr>
                <w:bCs/>
                <w:sz w:val="22"/>
                <w:szCs w:val="22"/>
              </w:rPr>
            </w:pPr>
          </w:p>
        </w:tc>
      </w:tr>
      <w:tr w:rsidR="008E0C6F" w:rsidRPr="00B573BF" w:rsidTr="00A846F1">
        <w:tc>
          <w:tcPr>
            <w:tcW w:w="6063" w:type="dxa"/>
            <w:gridSpan w:val="2"/>
            <w:tcBorders>
              <w:top w:val="single" w:sz="4" w:space="0" w:color="auto"/>
              <w:left w:val="single" w:sz="4" w:space="0" w:color="auto"/>
              <w:bottom w:val="single" w:sz="4" w:space="0" w:color="auto"/>
              <w:right w:val="single" w:sz="4" w:space="0" w:color="auto"/>
            </w:tcBorders>
            <w:hideMark/>
          </w:tcPr>
          <w:p w:rsidR="008E0C6F" w:rsidRPr="00692EF5" w:rsidRDefault="008E0C6F" w:rsidP="00A846F1">
            <w:pPr>
              <w:autoSpaceDE w:val="0"/>
              <w:autoSpaceDN w:val="0"/>
              <w:adjustRightInd w:val="0"/>
              <w:rPr>
                <w:bCs/>
                <w:sz w:val="22"/>
                <w:szCs w:val="22"/>
              </w:rPr>
            </w:pPr>
            <w:r w:rsidRPr="00692EF5">
              <w:rPr>
                <w:bCs/>
                <w:sz w:val="22"/>
                <w:szCs w:val="22"/>
              </w:rPr>
              <w:t>General Service (GS-2)</w:t>
            </w:r>
          </w:p>
        </w:tc>
        <w:tc>
          <w:tcPr>
            <w:tcW w:w="1589" w:type="dxa"/>
            <w:tcBorders>
              <w:top w:val="single" w:sz="4" w:space="0" w:color="auto"/>
              <w:left w:val="single" w:sz="4" w:space="0" w:color="auto"/>
              <w:bottom w:val="single" w:sz="4" w:space="0" w:color="auto"/>
              <w:right w:val="single" w:sz="4" w:space="0" w:color="auto"/>
            </w:tcBorders>
            <w:vAlign w:val="bottom"/>
            <w:hideMark/>
          </w:tcPr>
          <w:p w:rsidR="008E0C6F" w:rsidRPr="00692EF5" w:rsidRDefault="008E0C6F" w:rsidP="00A846F1">
            <w:pPr>
              <w:autoSpaceDE w:val="0"/>
              <w:autoSpaceDN w:val="0"/>
              <w:adjustRightInd w:val="0"/>
              <w:jc w:val="right"/>
              <w:rPr>
                <w:bCs/>
                <w:sz w:val="22"/>
                <w:szCs w:val="22"/>
              </w:rPr>
            </w:pPr>
            <w:r w:rsidRPr="00692EF5">
              <w:rPr>
                <w:bCs/>
                <w:sz w:val="22"/>
                <w:szCs w:val="22"/>
              </w:rPr>
              <w:t>0.808</w:t>
            </w:r>
          </w:p>
        </w:tc>
        <w:tc>
          <w:tcPr>
            <w:tcW w:w="0" w:type="auto"/>
            <w:vMerge/>
            <w:tcBorders>
              <w:top w:val="single" w:sz="4" w:space="0" w:color="auto"/>
              <w:left w:val="single" w:sz="4" w:space="0" w:color="auto"/>
              <w:bottom w:val="nil"/>
              <w:right w:val="single" w:sz="4" w:space="0" w:color="auto"/>
            </w:tcBorders>
            <w:vAlign w:val="center"/>
            <w:hideMark/>
          </w:tcPr>
          <w:p w:rsidR="008E0C6F" w:rsidRPr="00692EF5" w:rsidRDefault="008E0C6F" w:rsidP="00A846F1">
            <w:pPr>
              <w:rPr>
                <w:bCs/>
                <w:sz w:val="22"/>
                <w:szCs w:val="22"/>
              </w:rPr>
            </w:pPr>
          </w:p>
        </w:tc>
      </w:tr>
      <w:tr w:rsidR="008E0C6F" w:rsidRPr="00B573BF" w:rsidTr="00A846F1">
        <w:tc>
          <w:tcPr>
            <w:tcW w:w="6063" w:type="dxa"/>
            <w:gridSpan w:val="2"/>
            <w:tcBorders>
              <w:top w:val="single" w:sz="4" w:space="0" w:color="auto"/>
              <w:left w:val="single" w:sz="4" w:space="0" w:color="auto"/>
              <w:bottom w:val="single" w:sz="4" w:space="0" w:color="auto"/>
              <w:right w:val="single" w:sz="4" w:space="0" w:color="auto"/>
            </w:tcBorders>
          </w:tcPr>
          <w:p w:rsidR="008E0C6F" w:rsidRPr="00692EF5" w:rsidRDefault="008E0C6F" w:rsidP="00A846F1">
            <w:pPr>
              <w:autoSpaceDE w:val="0"/>
              <w:autoSpaceDN w:val="0"/>
              <w:adjustRightInd w:val="0"/>
              <w:rPr>
                <w:bCs/>
                <w:sz w:val="22"/>
                <w:szCs w:val="22"/>
              </w:rPr>
            </w:pPr>
            <w:r w:rsidRPr="00692EF5">
              <w:rPr>
                <w:bCs/>
                <w:sz w:val="22"/>
                <w:szCs w:val="22"/>
              </w:rPr>
              <w:t>Lighting (LS-1)</w:t>
            </w:r>
          </w:p>
        </w:tc>
        <w:tc>
          <w:tcPr>
            <w:tcW w:w="1589" w:type="dxa"/>
            <w:tcBorders>
              <w:top w:val="single" w:sz="4" w:space="0" w:color="auto"/>
              <w:left w:val="single" w:sz="4" w:space="0" w:color="auto"/>
              <w:bottom w:val="single" w:sz="4" w:space="0" w:color="auto"/>
              <w:right w:val="single" w:sz="4" w:space="0" w:color="auto"/>
            </w:tcBorders>
            <w:vAlign w:val="bottom"/>
          </w:tcPr>
          <w:p w:rsidR="008E0C6F" w:rsidRPr="00692EF5" w:rsidRDefault="008E0C6F" w:rsidP="00A846F1">
            <w:pPr>
              <w:autoSpaceDE w:val="0"/>
              <w:autoSpaceDN w:val="0"/>
              <w:adjustRightInd w:val="0"/>
              <w:jc w:val="right"/>
              <w:rPr>
                <w:bCs/>
                <w:sz w:val="22"/>
                <w:szCs w:val="22"/>
              </w:rPr>
            </w:pPr>
            <w:r w:rsidRPr="00692EF5">
              <w:rPr>
                <w:bCs/>
                <w:sz w:val="22"/>
                <w:szCs w:val="22"/>
              </w:rPr>
              <w:t>0.172</w:t>
            </w:r>
          </w:p>
        </w:tc>
        <w:tc>
          <w:tcPr>
            <w:tcW w:w="0" w:type="auto"/>
            <w:tcBorders>
              <w:top w:val="nil"/>
              <w:left w:val="single" w:sz="4" w:space="0" w:color="auto"/>
              <w:bottom w:val="single" w:sz="4" w:space="0" w:color="auto"/>
              <w:right w:val="single" w:sz="4" w:space="0" w:color="auto"/>
            </w:tcBorders>
            <w:vAlign w:val="center"/>
          </w:tcPr>
          <w:p w:rsidR="008E0C6F" w:rsidRPr="00692EF5" w:rsidRDefault="008E0C6F" w:rsidP="00A846F1">
            <w:pPr>
              <w:rPr>
                <w:bCs/>
                <w:sz w:val="22"/>
                <w:szCs w:val="22"/>
              </w:rPr>
            </w:pPr>
          </w:p>
        </w:tc>
      </w:tr>
      <w:tr w:rsidR="008E0C6F" w:rsidRPr="00B573BF" w:rsidTr="00A846F1">
        <w:tc>
          <w:tcPr>
            <w:tcW w:w="9350" w:type="dxa"/>
            <w:gridSpan w:val="4"/>
            <w:tcBorders>
              <w:top w:val="single" w:sz="4" w:space="0" w:color="auto"/>
              <w:left w:val="single" w:sz="4" w:space="0" w:color="auto"/>
              <w:bottom w:val="single" w:sz="4" w:space="0" w:color="auto"/>
              <w:right w:val="single" w:sz="4" w:space="0" w:color="auto"/>
            </w:tcBorders>
            <w:hideMark/>
          </w:tcPr>
          <w:p w:rsidR="008E0C6F" w:rsidRPr="00692EF5" w:rsidRDefault="008E0C6F" w:rsidP="00A846F1">
            <w:pPr>
              <w:autoSpaceDE w:val="0"/>
              <w:autoSpaceDN w:val="0"/>
              <w:adjustRightInd w:val="0"/>
              <w:rPr>
                <w:bCs/>
                <w:sz w:val="22"/>
                <w:szCs w:val="22"/>
              </w:rPr>
            </w:pPr>
            <w:r w:rsidRPr="00692EF5">
              <w:rPr>
                <w:bCs/>
                <w:sz w:val="22"/>
                <w:szCs w:val="22"/>
              </w:rPr>
              <w:t>General Service Demand (GSD-1, GSDT-1, SS-1)</w:t>
            </w:r>
          </w:p>
        </w:tc>
      </w:tr>
      <w:tr w:rsidR="008E0C6F" w:rsidRPr="00B573BF" w:rsidTr="00A846F1">
        <w:tc>
          <w:tcPr>
            <w:tcW w:w="1621" w:type="dxa"/>
            <w:vMerge w:val="restart"/>
            <w:tcBorders>
              <w:top w:val="single" w:sz="4" w:space="0" w:color="auto"/>
              <w:left w:val="single" w:sz="4" w:space="0" w:color="auto"/>
              <w:bottom w:val="single" w:sz="4" w:space="0" w:color="auto"/>
              <w:right w:val="single" w:sz="4" w:space="0" w:color="auto"/>
            </w:tcBorders>
            <w:vAlign w:val="center"/>
          </w:tcPr>
          <w:p w:rsidR="008E0C6F" w:rsidRPr="00692EF5" w:rsidRDefault="008E0C6F" w:rsidP="00A846F1">
            <w:pPr>
              <w:autoSpaceDE w:val="0"/>
              <w:autoSpaceDN w:val="0"/>
              <w:adjustRightInd w:val="0"/>
              <w:jc w:val="center"/>
              <w:rPr>
                <w:bCs/>
                <w:sz w:val="22"/>
                <w:szCs w:val="22"/>
              </w:rPr>
            </w:pPr>
          </w:p>
        </w:tc>
        <w:tc>
          <w:tcPr>
            <w:tcW w:w="4442" w:type="dxa"/>
            <w:tcBorders>
              <w:top w:val="single" w:sz="4" w:space="0" w:color="auto"/>
              <w:left w:val="single" w:sz="4" w:space="0" w:color="auto"/>
              <w:bottom w:val="single" w:sz="4" w:space="0" w:color="auto"/>
              <w:right w:val="single" w:sz="4" w:space="0" w:color="auto"/>
            </w:tcBorders>
            <w:hideMark/>
          </w:tcPr>
          <w:p w:rsidR="008E0C6F" w:rsidRPr="00692EF5" w:rsidRDefault="008E0C6F" w:rsidP="00A846F1">
            <w:pPr>
              <w:autoSpaceDE w:val="0"/>
              <w:autoSpaceDN w:val="0"/>
              <w:adjustRightInd w:val="0"/>
              <w:rPr>
                <w:bCs/>
                <w:sz w:val="22"/>
                <w:szCs w:val="22"/>
              </w:rPr>
            </w:pPr>
            <w:r w:rsidRPr="00692EF5">
              <w:rPr>
                <w:bCs/>
                <w:sz w:val="22"/>
                <w:szCs w:val="22"/>
              </w:rPr>
              <w:t>At Secondary Voltage</w:t>
            </w:r>
          </w:p>
        </w:tc>
        <w:tc>
          <w:tcPr>
            <w:tcW w:w="1589" w:type="dxa"/>
            <w:vMerge w:val="restart"/>
            <w:tcBorders>
              <w:top w:val="single" w:sz="4" w:space="0" w:color="auto"/>
              <w:left w:val="single" w:sz="4" w:space="0" w:color="auto"/>
              <w:bottom w:val="single" w:sz="4" w:space="0" w:color="auto"/>
              <w:right w:val="single" w:sz="4" w:space="0" w:color="auto"/>
            </w:tcBorders>
            <w:vAlign w:val="center"/>
          </w:tcPr>
          <w:p w:rsidR="008E0C6F" w:rsidRPr="00692EF5" w:rsidRDefault="008E0C6F" w:rsidP="00A846F1">
            <w:pPr>
              <w:autoSpaceDE w:val="0"/>
              <w:autoSpaceDN w:val="0"/>
              <w:adjustRightInd w:val="0"/>
              <w:jc w:val="center"/>
              <w:rPr>
                <w:bCs/>
                <w:sz w:val="22"/>
                <w:szCs w:val="22"/>
              </w:rPr>
            </w:pPr>
          </w:p>
        </w:tc>
        <w:tc>
          <w:tcPr>
            <w:tcW w:w="1698" w:type="dxa"/>
            <w:tcBorders>
              <w:top w:val="single" w:sz="4" w:space="0" w:color="auto"/>
              <w:left w:val="single" w:sz="4" w:space="0" w:color="auto"/>
              <w:bottom w:val="single" w:sz="4" w:space="0" w:color="auto"/>
              <w:right w:val="single" w:sz="4" w:space="0" w:color="auto"/>
            </w:tcBorders>
            <w:vAlign w:val="bottom"/>
            <w:hideMark/>
          </w:tcPr>
          <w:p w:rsidR="008E0C6F" w:rsidRPr="00692EF5" w:rsidRDefault="008E0C6F" w:rsidP="00A846F1">
            <w:pPr>
              <w:autoSpaceDE w:val="0"/>
              <w:autoSpaceDN w:val="0"/>
              <w:adjustRightInd w:val="0"/>
              <w:jc w:val="right"/>
              <w:rPr>
                <w:bCs/>
                <w:sz w:val="22"/>
                <w:szCs w:val="22"/>
              </w:rPr>
            </w:pPr>
            <w:r w:rsidRPr="00692EF5">
              <w:rPr>
                <w:bCs/>
                <w:sz w:val="22"/>
                <w:szCs w:val="22"/>
              </w:rPr>
              <w:t>4.20</w:t>
            </w:r>
          </w:p>
        </w:tc>
      </w:tr>
      <w:tr w:rsidR="008E0C6F" w:rsidRPr="00B573BF" w:rsidTr="00A846F1">
        <w:tc>
          <w:tcPr>
            <w:tcW w:w="0" w:type="auto"/>
            <w:vMerge/>
            <w:tcBorders>
              <w:top w:val="single" w:sz="4" w:space="0" w:color="auto"/>
              <w:left w:val="single" w:sz="4" w:space="0" w:color="auto"/>
              <w:bottom w:val="single" w:sz="4" w:space="0" w:color="auto"/>
              <w:right w:val="single" w:sz="4" w:space="0" w:color="auto"/>
            </w:tcBorders>
            <w:vAlign w:val="center"/>
            <w:hideMark/>
          </w:tcPr>
          <w:p w:rsidR="008E0C6F" w:rsidRPr="00692EF5" w:rsidRDefault="008E0C6F" w:rsidP="00A846F1">
            <w:pPr>
              <w:rPr>
                <w:bCs/>
                <w:sz w:val="22"/>
                <w:szCs w:val="22"/>
              </w:rPr>
            </w:pPr>
          </w:p>
        </w:tc>
        <w:tc>
          <w:tcPr>
            <w:tcW w:w="4442" w:type="dxa"/>
            <w:tcBorders>
              <w:top w:val="single" w:sz="4" w:space="0" w:color="auto"/>
              <w:left w:val="single" w:sz="4" w:space="0" w:color="auto"/>
              <w:bottom w:val="single" w:sz="4" w:space="0" w:color="auto"/>
              <w:right w:val="single" w:sz="4" w:space="0" w:color="auto"/>
            </w:tcBorders>
            <w:hideMark/>
          </w:tcPr>
          <w:p w:rsidR="008E0C6F" w:rsidRPr="00692EF5" w:rsidRDefault="008E0C6F" w:rsidP="00A846F1">
            <w:pPr>
              <w:autoSpaceDE w:val="0"/>
              <w:autoSpaceDN w:val="0"/>
              <w:adjustRightInd w:val="0"/>
              <w:rPr>
                <w:bCs/>
                <w:sz w:val="22"/>
                <w:szCs w:val="22"/>
              </w:rPr>
            </w:pPr>
            <w:r w:rsidRPr="00692EF5">
              <w:rPr>
                <w:bCs/>
                <w:sz w:val="22"/>
                <w:szCs w:val="22"/>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C6F" w:rsidRPr="00692EF5" w:rsidRDefault="008E0C6F" w:rsidP="00A846F1">
            <w:pPr>
              <w:rPr>
                <w:bCs/>
                <w:sz w:val="22"/>
                <w:szCs w:val="22"/>
              </w:rPr>
            </w:pPr>
          </w:p>
        </w:tc>
        <w:tc>
          <w:tcPr>
            <w:tcW w:w="1698" w:type="dxa"/>
            <w:tcBorders>
              <w:top w:val="single" w:sz="4" w:space="0" w:color="auto"/>
              <w:left w:val="single" w:sz="4" w:space="0" w:color="auto"/>
              <w:bottom w:val="single" w:sz="4" w:space="0" w:color="auto"/>
              <w:right w:val="single" w:sz="4" w:space="0" w:color="auto"/>
            </w:tcBorders>
            <w:vAlign w:val="bottom"/>
            <w:hideMark/>
          </w:tcPr>
          <w:p w:rsidR="008E0C6F" w:rsidRPr="00692EF5" w:rsidRDefault="008E0C6F" w:rsidP="00A846F1">
            <w:pPr>
              <w:autoSpaceDE w:val="0"/>
              <w:autoSpaceDN w:val="0"/>
              <w:adjustRightInd w:val="0"/>
              <w:jc w:val="right"/>
              <w:rPr>
                <w:bCs/>
                <w:sz w:val="22"/>
                <w:szCs w:val="22"/>
              </w:rPr>
            </w:pPr>
            <w:r w:rsidRPr="00692EF5">
              <w:rPr>
                <w:bCs/>
                <w:sz w:val="22"/>
                <w:szCs w:val="22"/>
              </w:rPr>
              <w:t xml:space="preserve">4.16 </w:t>
            </w:r>
          </w:p>
        </w:tc>
      </w:tr>
      <w:tr w:rsidR="008E0C6F" w:rsidRPr="00B573BF" w:rsidTr="00A846F1">
        <w:tc>
          <w:tcPr>
            <w:tcW w:w="0" w:type="auto"/>
            <w:vMerge/>
            <w:tcBorders>
              <w:top w:val="single" w:sz="4" w:space="0" w:color="auto"/>
              <w:left w:val="single" w:sz="4" w:space="0" w:color="auto"/>
              <w:bottom w:val="single" w:sz="4" w:space="0" w:color="auto"/>
              <w:right w:val="single" w:sz="4" w:space="0" w:color="auto"/>
            </w:tcBorders>
            <w:vAlign w:val="center"/>
            <w:hideMark/>
          </w:tcPr>
          <w:p w:rsidR="008E0C6F" w:rsidRPr="00692EF5" w:rsidRDefault="008E0C6F" w:rsidP="00A846F1">
            <w:pPr>
              <w:rPr>
                <w:bCs/>
                <w:sz w:val="22"/>
                <w:szCs w:val="22"/>
              </w:rPr>
            </w:pPr>
          </w:p>
        </w:tc>
        <w:tc>
          <w:tcPr>
            <w:tcW w:w="4442" w:type="dxa"/>
            <w:tcBorders>
              <w:top w:val="single" w:sz="4" w:space="0" w:color="auto"/>
              <w:left w:val="single" w:sz="4" w:space="0" w:color="auto"/>
              <w:bottom w:val="single" w:sz="4" w:space="0" w:color="auto"/>
              <w:right w:val="single" w:sz="4" w:space="0" w:color="auto"/>
            </w:tcBorders>
            <w:hideMark/>
          </w:tcPr>
          <w:p w:rsidR="008E0C6F" w:rsidRPr="00692EF5" w:rsidRDefault="008E0C6F" w:rsidP="00A846F1">
            <w:pPr>
              <w:autoSpaceDE w:val="0"/>
              <w:autoSpaceDN w:val="0"/>
              <w:adjustRightInd w:val="0"/>
              <w:rPr>
                <w:bCs/>
                <w:sz w:val="22"/>
                <w:szCs w:val="22"/>
              </w:rPr>
            </w:pPr>
            <w:r w:rsidRPr="00692EF5">
              <w:rPr>
                <w:bCs/>
                <w:sz w:val="22"/>
                <w:szCs w:val="22"/>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C6F" w:rsidRPr="00692EF5" w:rsidRDefault="008E0C6F" w:rsidP="00A846F1">
            <w:pPr>
              <w:rPr>
                <w:bCs/>
                <w:sz w:val="22"/>
                <w:szCs w:val="22"/>
              </w:rPr>
            </w:pPr>
          </w:p>
        </w:tc>
        <w:tc>
          <w:tcPr>
            <w:tcW w:w="1698" w:type="dxa"/>
            <w:tcBorders>
              <w:top w:val="single" w:sz="4" w:space="0" w:color="auto"/>
              <w:left w:val="single" w:sz="4" w:space="0" w:color="auto"/>
              <w:bottom w:val="single" w:sz="4" w:space="0" w:color="auto"/>
              <w:right w:val="single" w:sz="4" w:space="0" w:color="auto"/>
            </w:tcBorders>
            <w:vAlign w:val="bottom"/>
            <w:hideMark/>
          </w:tcPr>
          <w:p w:rsidR="008E0C6F" w:rsidRPr="00692EF5" w:rsidRDefault="008E0C6F" w:rsidP="00A846F1">
            <w:pPr>
              <w:autoSpaceDE w:val="0"/>
              <w:autoSpaceDN w:val="0"/>
              <w:adjustRightInd w:val="0"/>
              <w:jc w:val="right"/>
              <w:rPr>
                <w:bCs/>
                <w:sz w:val="22"/>
                <w:szCs w:val="22"/>
              </w:rPr>
            </w:pPr>
            <w:r w:rsidRPr="00692EF5">
              <w:rPr>
                <w:bCs/>
                <w:sz w:val="22"/>
                <w:szCs w:val="22"/>
              </w:rPr>
              <w:t xml:space="preserve">4.12 </w:t>
            </w:r>
          </w:p>
        </w:tc>
      </w:tr>
      <w:tr w:rsidR="008E0C6F" w:rsidRPr="00B573BF" w:rsidTr="00A846F1">
        <w:tc>
          <w:tcPr>
            <w:tcW w:w="9350" w:type="dxa"/>
            <w:gridSpan w:val="4"/>
            <w:tcBorders>
              <w:top w:val="single" w:sz="4" w:space="0" w:color="auto"/>
              <w:left w:val="single" w:sz="4" w:space="0" w:color="auto"/>
              <w:bottom w:val="single" w:sz="4" w:space="0" w:color="auto"/>
              <w:right w:val="single" w:sz="4" w:space="0" w:color="auto"/>
            </w:tcBorders>
            <w:hideMark/>
          </w:tcPr>
          <w:p w:rsidR="008E0C6F" w:rsidRPr="00692EF5" w:rsidRDefault="008E0C6F" w:rsidP="00A846F1">
            <w:pPr>
              <w:autoSpaceDE w:val="0"/>
              <w:autoSpaceDN w:val="0"/>
              <w:adjustRightInd w:val="0"/>
              <w:rPr>
                <w:bCs/>
                <w:sz w:val="22"/>
                <w:szCs w:val="22"/>
              </w:rPr>
            </w:pPr>
            <w:r w:rsidRPr="00692EF5">
              <w:rPr>
                <w:bCs/>
                <w:sz w:val="22"/>
                <w:szCs w:val="22"/>
              </w:rPr>
              <w:t>Curtailable (CS-1, CST-1, CS-2, CST-2, CS-3, CST-3, SS-3)</w:t>
            </w:r>
          </w:p>
        </w:tc>
      </w:tr>
      <w:tr w:rsidR="008E0C6F" w:rsidRPr="00B573BF" w:rsidTr="00A846F1">
        <w:tc>
          <w:tcPr>
            <w:tcW w:w="1621" w:type="dxa"/>
            <w:vMerge w:val="restart"/>
            <w:tcBorders>
              <w:top w:val="single" w:sz="4" w:space="0" w:color="auto"/>
              <w:left w:val="single" w:sz="4" w:space="0" w:color="auto"/>
              <w:bottom w:val="single" w:sz="4" w:space="0" w:color="auto"/>
              <w:right w:val="single" w:sz="4" w:space="0" w:color="auto"/>
            </w:tcBorders>
            <w:vAlign w:val="center"/>
          </w:tcPr>
          <w:p w:rsidR="008E0C6F" w:rsidRPr="00692EF5" w:rsidRDefault="008E0C6F" w:rsidP="00A846F1">
            <w:pPr>
              <w:autoSpaceDE w:val="0"/>
              <w:autoSpaceDN w:val="0"/>
              <w:adjustRightInd w:val="0"/>
              <w:jc w:val="center"/>
              <w:rPr>
                <w:bCs/>
                <w:sz w:val="22"/>
                <w:szCs w:val="22"/>
              </w:rPr>
            </w:pPr>
          </w:p>
        </w:tc>
        <w:tc>
          <w:tcPr>
            <w:tcW w:w="4442" w:type="dxa"/>
            <w:tcBorders>
              <w:top w:val="single" w:sz="4" w:space="0" w:color="auto"/>
              <w:left w:val="single" w:sz="4" w:space="0" w:color="auto"/>
              <w:bottom w:val="single" w:sz="4" w:space="0" w:color="auto"/>
              <w:right w:val="single" w:sz="4" w:space="0" w:color="auto"/>
            </w:tcBorders>
            <w:hideMark/>
          </w:tcPr>
          <w:p w:rsidR="008E0C6F" w:rsidRPr="00692EF5" w:rsidRDefault="008E0C6F" w:rsidP="00A846F1">
            <w:pPr>
              <w:autoSpaceDE w:val="0"/>
              <w:autoSpaceDN w:val="0"/>
              <w:adjustRightInd w:val="0"/>
              <w:rPr>
                <w:bCs/>
                <w:sz w:val="22"/>
                <w:szCs w:val="22"/>
              </w:rPr>
            </w:pPr>
            <w:r w:rsidRPr="00692EF5">
              <w:rPr>
                <w:bCs/>
                <w:sz w:val="22"/>
                <w:szCs w:val="22"/>
              </w:rPr>
              <w:t>At Secondary Voltage</w:t>
            </w:r>
          </w:p>
        </w:tc>
        <w:tc>
          <w:tcPr>
            <w:tcW w:w="1589" w:type="dxa"/>
            <w:vMerge w:val="restart"/>
            <w:tcBorders>
              <w:top w:val="single" w:sz="4" w:space="0" w:color="auto"/>
              <w:left w:val="single" w:sz="4" w:space="0" w:color="auto"/>
              <w:bottom w:val="single" w:sz="4" w:space="0" w:color="auto"/>
              <w:right w:val="single" w:sz="4" w:space="0" w:color="auto"/>
            </w:tcBorders>
            <w:vAlign w:val="center"/>
          </w:tcPr>
          <w:p w:rsidR="008E0C6F" w:rsidRPr="00692EF5" w:rsidRDefault="008E0C6F" w:rsidP="00A846F1">
            <w:pPr>
              <w:autoSpaceDE w:val="0"/>
              <w:autoSpaceDN w:val="0"/>
              <w:adjustRightInd w:val="0"/>
              <w:jc w:val="center"/>
              <w:rPr>
                <w:bCs/>
                <w:sz w:val="22"/>
                <w:szCs w:val="22"/>
              </w:rPr>
            </w:pPr>
          </w:p>
        </w:tc>
        <w:tc>
          <w:tcPr>
            <w:tcW w:w="1698" w:type="dxa"/>
            <w:tcBorders>
              <w:top w:val="single" w:sz="4" w:space="0" w:color="auto"/>
              <w:left w:val="single" w:sz="4" w:space="0" w:color="auto"/>
              <w:bottom w:val="single" w:sz="4" w:space="0" w:color="auto"/>
              <w:right w:val="single" w:sz="4" w:space="0" w:color="auto"/>
            </w:tcBorders>
            <w:vAlign w:val="bottom"/>
            <w:hideMark/>
          </w:tcPr>
          <w:p w:rsidR="008E0C6F" w:rsidRPr="00692EF5" w:rsidRDefault="008E0C6F" w:rsidP="00A846F1">
            <w:pPr>
              <w:autoSpaceDE w:val="0"/>
              <w:autoSpaceDN w:val="0"/>
              <w:adjustRightInd w:val="0"/>
              <w:jc w:val="right"/>
              <w:rPr>
                <w:bCs/>
                <w:sz w:val="22"/>
                <w:szCs w:val="22"/>
              </w:rPr>
            </w:pPr>
            <w:r w:rsidRPr="00692EF5">
              <w:rPr>
                <w:bCs/>
                <w:sz w:val="22"/>
                <w:szCs w:val="22"/>
              </w:rPr>
              <w:t>1.22</w:t>
            </w:r>
          </w:p>
        </w:tc>
      </w:tr>
      <w:tr w:rsidR="008E0C6F" w:rsidRPr="00B573BF" w:rsidTr="00A846F1">
        <w:tc>
          <w:tcPr>
            <w:tcW w:w="0" w:type="auto"/>
            <w:vMerge/>
            <w:tcBorders>
              <w:top w:val="single" w:sz="4" w:space="0" w:color="auto"/>
              <w:left w:val="single" w:sz="4" w:space="0" w:color="auto"/>
              <w:bottom w:val="single" w:sz="4" w:space="0" w:color="auto"/>
              <w:right w:val="single" w:sz="4" w:space="0" w:color="auto"/>
            </w:tcBorders>
            <w:vAlign w:val="center"/>
            <w:hideMark/>
          </w:tcPr>
          <w:p w:rsidR="008E0C6F" w:rsidRPr="00692EF5" w:rsidRDefault="008E0C6F" w:rsidP="00A846F1">
            <w:pPr>
              <w:rPr>
                <w:bCs/>
                <w:sz w:val="22"/>
                <w:szCs w:val="22"/>
              </w:rPr>
            </w:pPr>
          </w:p>
        </w:tc>
        <w:tc>
          <w:tcPr>
            <w:tcW w:w="4442" w:type="dxa"/>
            <w:tcBorders>
              <w:top w:val="single" w:sz="4" w:space="0" w:color="auto"/>
              <w:left w:val="single" w:sz="4" w:space="0" w:color="auto"/>
              <w:bottom w:val="single" w:sz="4" w:space="0" w:color="auto"/>
              <w:right w:val="single" w:sz="4" w:space="0" w:color="auto"/>
            </w:tcBorders>
            <w:hideMark/>
          </w:tcPr>
          <w:p w:rsidR="008E0C6F" w:rsidRPr="00692EF5" w:rsidRDefault="008E0C6F" w:rsidP="00A846F1">
            <w:pPr>
              <w:autoSpaceDE w:val="0"/>
              <w:autoSpaceDN w:val="0"/>
              <w:adjustRightInd w:val="0"/>
              <w:rPr>
                <w:bCs/>
                <w:sz w:val="22"/>
                <w:szCs w:val="22"/>
              </w:rPr>
            </w:pPr>
            <w:r w:rsidRPr="00692EF5">
              <w:rPr>
                <w:bCs/>
                <w:sz w:val="22"/>
                <w:szCs w:val="22"/>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C6F" w:rsidRPr="00692EF5" w:rsidRDefault="008E0C6F" w:rsidP="00A846F1">
            <w:pPr>
              <w:rPr>
                <w:bCs/>
                <w:sz w:val="22"/>
                <w:szCs w:val="22"/>
              </w:rPr>
            </w:pPr>
          </w:p>
        </w:tc>
        <w:tc>
          <w:tcPr>
            <w:tcW w:w="1698" w:type="dxa"/>
            <w:tcBorders>
              <w:top w:val="single" w:sz="4" w:space="0" w:color="auto"/>
              <w:left w:val="single" w:sz="4" w:space="0" w:color="auto"/>
              <w:bottom w:val="single" w:sz="4" w:space="0" w:color="auto"/>
              <w:right w:val="single" w:sz="4" w:space="0" w:color="auto"/>
            </w:tcBorders>
            <w:vAlign w:val="bottom"/>
            <w:hideMark/>
          </w:tcPr>
          <w:p w:rsidR="008E0C6F" w:rsidRPr="00692EF5" w:rsidRDefault="008E0C6F" w:rsidP="00A846F1">
            <w:pPr>
              <w:autoSpaceDE w:val="0"/>
              <w:autoSpaceDN w:val="0"/>
              <w:adjustRightInd w:val="0"/>
              <w:jc w:val="right"/>
              <w:rPr>
                <w:bCs/>
                <w:sz w:val="22"/>
                <w:szCs w:val="22"/>
              </w:rPr>
            </w:pPr>
            <w:r w:rsidRPr="00692EF5">
              <w:rPr>
                <w:bCs/>
                <w:sz w:val="22"/>
                <w:szCs w:val="22"/>
              </w:rPr>
              <w:t xml:space="preserve">1.21 </w:t>
            </w:r>
          </w:p>
        </w:tc>
      </w:tr>
      <w:tr w:rsidR="008E0C6F" w:rsidRPr="00B573BF" w:rsidTr="00A846F1">
        <w:tc>
          <w:tcPr>
            <w:tcW w:w="0" w:type="auto"/>
            <w:vMerge/>
            <w:tcBorders>
              <w:top w:val="single" w:sz="4" w:space="0" w:color="auto"/>
              <w:left w:val="single" w:sz="4" w:space="0" w:color="auto"/>
              <w:bottom w:val="single" w:sz="4" w:space="0" w:color="auto"/>
              <w:right w:val="single" w:sz="4" w:space="0" w:color="auto"/>
            </w:tcBorders>
            <w:vAlign w:val="center"/>
            <w:hideMark/>
          </w:tcPr>
          <w:p w:rsidR="008E0C6F" w:rsidRPr="00692EF5" w:rsidRDefault="008E0C6F" w:rsidP="00A846F1">
            <w:pPr>
              <w:rPr>
                <w:bCs/>
                <w:sz w:val="22"/>
                <w:szCs w:val="22"/>
              </w:rPr>
            </w:pPr>
          </w:p>
        </w:tc>
        <w:tc>
          <w:tcPr>
            <w:tcW w:w="4442" w:type="dxa"/>
            <w:tcBorders>
              <w:top w:val="single" w:sz="4" w:space="0" w:color="auto"/>
              <w:left w:val="single" w:sz="4" w:space="0" w:color="auto"/>
              <w:bottom w:val="single" w:sz="4" w:space="0" w:color="auto"/>
              <w:right w:val="single" w:sz="4" w:space="0" w:color="auto"/>
            </w:tcBorders>
            <w:hideMark/>
          </w:tcPr>
          <w:p w:rsidR="008E0C6F" w:rsidRPr="00692EF5" w:rsidRDefault="008E0C6F" w:rsidP="00A846F1">
            <w:pPr>
              <w:autoSpaceDE w:val="0"/>
              <w:autoSpaceDN w:val="0"/>
              <w:adjustRightInd w:val="0"/>
              <w:rPr>
                <w:bCs/>
                <w:sz w:val="22"/>
                <w:szCs w:val="22"/>
              </w:rPr>
            </w:pPr>
            <w:r w:rsidRPr="00692EF5">
              <w:rPr>
                <w:bCs/>
                <w:sz w:val="22"/>
                <w:szCs w:val="22"/>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C6F" w:rsidRPr="00692EF5" w:rsidRDefault="008E0C6F" w:rsidP="00A846F1">
            <w:pPr>
              <w:rPr>
                <w:bCs/>
                <w:sz w:val="22"/>
                <w:szCs w:val="22"/>
              </w:rPr>
            </w:pPr>
          </w:p>
        </w:tc>
        <w:tc>
          <w:tcPr>
            <w:tcW w:w="1698" w:type="dxa"/>
            <w:tcBorders>
              <w:top w:val="single" w:sz="4" w:space="0" w:color="auto"/>
              <w:left w:val="single" w:sz="4" w:space="0" w:color="auto"/>
              <w:bottom w:val="single" w:sz="4" w:space="0" w:color="auto"/>
              <w:right w:val="single" w:sz="4" w:space="0" w:color="auto"/>
            </w:tcBorders>
            <w:vAlign w:val="bottom"/>
            <w:hideMark/>
          </w:tcPr>
          <w:p w:rsidR="008E0C6F" w:rsidRPr="00692EF5" w:rsidRDefault="008E0C6F" w:rsidP="00A846F1">
            <w:pPr>
              <w:autoSpaceDE w:val="0"/>
              <w:autoSpaceDN w:val="0"/>
              <w:adjustRightInd w:val="0"/>
              <w:jc w:val="right"/>
              <w:rPr>
                <w:bCs/>
                <w:sz w:val="22"/>
                <w:szCs w:val="22"/>
              </w:rPr>
            </w:pPr>
            <w:r w:rsidRPr="00692EF5">
              <w:rPr>
                <w:bCs/>
                <w:sz w:val="22"/>
                <w:szCs w:val="22"/>
              </w:rPr>
              <w:t>1.20</w:t>
            </w:r>
          </w:p>
        </w:tc>
      </w:tr>
      <w:tr w:rsidR="008E0C6F" w:rsidRPr="00B573BF" w:rsidTr="00A846F1">
        <w:tc>
          <w:tcPr>
            <w:tcW w:w="9350" w:type="dxa"/>
            <w:gridSpan w:val="4"/>
            <w:tcBorders>
              <w:top w:val="single" w:sz="4" w:space="0" w:color="auto"/>
              <w:left w:val="single" w:sz="4" w:space="0" w:color="auto"/>
              <w:bottom w:val="single" w:sz="4" w:space="0" w:color="auto"/>
              <w:right w:val="single" w:sz="4" w:space="0" w:color="auto"/>
            </w:tcBorders>
            <w:hideMark/>
          </w:tcPr>
          <w:p w:rsidR="008E0C6F" w:rsidRPr="00692EF5" w:rsidRDefault="008E0C6F" w:rsidP="00A846F1">
            <w:pPr>
              <w:autoSpaceDE w:val="0"/>
              <w:autoSpaceDN w:val="0"/>
              <w:adjustRightInd w:val="0"/>
              <w:rPr>
                <w:bCs/>
                <w:sz w:val="22"/>
                <w:szCs w:val="22"/>
              </w:rPr>
            </w:pPr>
            <w:r w:rsidRPr="00692EF5">
              <w:rPr>
                <w:bCs/>
                <w:sz w:val="22"/>
                <w:szCs w:val="22"/>
              </w:rPr>
              <w:t>Interruptible (IS-1, IST-1, IS-2, IST-2, SS-2)</w:t>
            </w:r>
          </w:p>
        </w:tc>
      </w:tr>
      <w:tr w:rsidR="008E0C6F" w:rsidRPr="00B573BF" w:rsidTr="00A846F1">
        <w:trPr>
          <w:trHeight w:val="251"/>
        </w:trPr>
        <w:tc>
          <w:tcPr>
            <w:tcW w:w="1621" w:type="dxa"/>
            <w:vMerge w:val="restart"/>
            <w:tcBorders>
              <w:top w:val="single" w:sz="4" w:space="0" w:color="auto"/>
              <w:left w:val="single" w:sz="4" w:space="0" w:color="auto"/>
              <w:bottom w:val="single" w:sz="4" w:space="0" w:color="auto"/>
              <w:right w:val="single" w:sz="4" w:space="0" w:color="auto"/>
            </w:tcBorders>
            <w:vAlign w:val="center"/>
          </w:tcPr>
          <w:p w:rsidR="008E0C6F" w:rsidRPr="00692EF5" w:rsidRDefault="008E0C6F" w:rsidP="00A846F1">
            <w:pPr>
              <w:autoSpaceDE w:val="0"/>
              <w:autoSpaceDN w:val="0"/>
              <w:adjustRightInd w:val="0"/>
              <w:jc w:val="center"/>
              <w:rPr>
                <w:bCs/>
                <w:sz w:val="22"/>
                <w:szCs w:val="22"/>
              </w:rPr>
            </w:pPr>
          </w:p>
        </w:tc>
        <w:tc>
          <w:tcPr>
            <w:tcW w:w="4442" w:type="dxa"/>
            <w:tcBorders>
              <w:top w:val="single" w:sz="4" w:space="0" w:color="auto"/>
              <w:left w:val="single" w:sz="4" w:space="0" w:color="auto"/>
              <w:bottom w:val="single" w:sz="4" w:space="0" w:color="auto"/>
              <w:right w:val="single" w:sz="4" w:space="0" w:color="auto"/>
            </w:tcBorders>
            <w:hideMark/>
          </w:tcPr>
          <w:p w:rsidR="008E0C6F" w:rsidRPr="00692EF5" w:rsidRDefault="008E0C6F" w:rsidP="00A846F1">
            <w:pPr>
              <w:autoSpaceDE w:val="0"/>
              <w:autoSpaceDN w:val="0"/>
              <w:adjustRightInd w:val="0"/>
              <w:rPr>
                <w:bCs/>
                <w:sz w:val="22"/>
                <w:szCs w:val="22"/>
              </w:rPr>
            </w:pPr>
            <w:r w:rsidRPr="00692EF5">
              <w:rPr>
                <w:bCs/>
                <w:sz w:val="22"/>
                <w:szCs w:val="22"/>
              </w:rPr>
              <w:t>At Secondary Voltage</w:t>
            </w:r>
          </w:p>
        </w:tc>
        <w:tc>
          <w:tcPr>
            <w:tcW w:w="1589" w:type="dxa"/>
            <w:vMerge w:val="restart"/>
            <w:tcBorders>
              <w:top w:val="single" w:sz="4" w:space="0" w:color="auto"/>
              <w:left w:val="single" w:sz="4" w:space="0" w:color="auto"/>
              <w:bottom w:val="single" w:sz="4" w:space="0" w:color="auto"/>
              <w:right w:val="single" w:sz="4" w:space="0" w:color="auto"/>
            </w:tcBorders>
            <w:vAlign w:val="center"/>
          </w:tcPr>
          <w:p w:rsidR="008E0C6F" w:rsidRPr="00692EF5" w:rsidRDefault="008E0C6F" w:rsidP="00A846F1">
            <w:pPr>
              <w:autoSpaceDE w:val="0"/>
              <w:autoSpaceDN w:val="0"/>
              <w:adjustRightInd w:val="0"/>
              <w:jc w:val="center"/>
              <w:rPr>
                <w:bCs/>
                <w:sz w:val="22"/>
                <w:szCs w:val="22"/>
              </w:rPr>
            </w:pPr>
          </w:p>
        </w:tc>
        <w:tc>
          <w:tcPr>
            <w:tcW w:w="1698" w:type="dxa"/>
            <w:tcBorders>
              <w:top w:val="single" w:sz="4" w:space="0" w:color="auto"/>
              <w:left w:val="single" w:sz="4" w:space="0" w:color="auto"/>
              <w:bottom w:val="single" w:sz="4" w:space="0" w:color="auto"/>
              <w:right w:val="single" w:sz="4" w:space="0" w:color="auto"/>
            </w:tcBorders>
            <w:vAlign w:val="bottom"/>
            <w:hideMark/>
          </w:tcPr>
          <w:p w:rsidR="008E0C6F" w:rsidRPr="00692EF5" w:rsidRDefault="008E0C6F" w:rsidP="00A846F1">
            <w:pPr>
              <w:autoSpaceDE w:val="0"/>
              <w:autoSpaceDN w:val="0"/>
              <w:adjustRightInd w:val="0"/>
              <w:jc w:val="right"/>
              <w:rPr>
                <w:bCs/>
                <w:sz w:val="22"/>
                <w:szCs w:val="22"/>
              </w:rPr>
            </w:pPr>
            <w:r w:rsidRPr="00692EF5">
              <w:rPr>
                <w:bCs/>
                <w:sz w:val="22"/>
                <w:szCs w:val="22"/>
              </w:rPr>
              <w:t>3.50</w:t>
            </w:r>
          </w:p>
        </w:tc>
      </w:tr>
      <w:tr w:rsidR="008E0C6F" w:rsidRPr="00B573BF" w:rsidTr="00A846F1">
        <w:tc>
          <w:tcPr>
            <w:tcW w:w="0" w:type="auto"/>
            <w:vMerge/>
            <w:tcBorders>
              <w:top w:val="single" w:sz="4" w:space="0" w:color="auto"/>
              <w:left w:val="single" w:sz="4" w:space="0" w:color="auto"/>
              <w:bottom w:val="single" w:sz="4" w:space="0" w:color="auto"/>
              <w:right w:val="single" w:sz="4" w:space="0" w:color="auto"/>
            </w:tcBorders>
            <w:vAlign w:val="center"/>
            <w:hideMark/>
          </w:tcPr>
          <w:p w:rsidR="008E0C6F" w:rsidRPr="00692EF5" w:rsidRDefault="008E0C6F" w:rsidP="00A846F1">
            <w:pPr>
              <w:rPr>
                <w:bCs/>
                <w:sz w:val="22"/>
                <w:szCs w:val="22"/>
              </w:rPr>
            </w:pPr>
          </w:p>
        </w:tc>
        <w:tc>
          <w:tcPr>
            <w:tcW w:w="4442" w:type="dxa"/>
            <w:tcBorders>
              <w:top w:val="single" w:sz="4" w:space="0" w:color="auto"/>
              <w:left w:val="single" w:sz="4" w:space="0" w:color="auto"/>
              <w:bottom w:val="single" w:sz="4" w:space="0" w:color="auto"/>
              <w:right w:val="single" w:sz="4" w:space="0" w:color="auto"/>
            </w:tcBorders>
            <w:hideMark/>
          </w:tcPr>
          <w:p w:rsidR="008E0C6F" w:rsidRPr="00692EF5" w:rsidRDefault="008E0C6F" w:rsidP="00A846F1">
            <w:pPr>
              <w:autoSpaceDE w:val="0"/>
              <w:autoSpaceDN w:val="0"/>
              <w:adjustRightInd w:val="0"/>
              <w:rPr>
                <w:bCs/>
                <w:sz w:val="22"/>
                <w:szCs w:val="22"/>
              </w:rPr>
            </w:pPr>
            <w:r w:rsidRPr="00692EF5">
              <w:rPr>
                <w:bCs/>
                <w:sz w:val="22"/>
                <w:szCs w:val="22"/>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C6F" w:rsidRPr="00692EF5" w:rsidRDefault="008E0C6F" w:rsidP="00A846F1">
            <w:pPr>
              <w:rPr>
                <w:bCs/>
                <w:sz w:val="22"/>
                <w:szCs w:val="22"/>
              </w:rPr>
            </w:pPr>
          </w:p>
        </w:tc>
        <w:tc>
          <w:tcPr>
            <w:tcW w:w="1698" w:type="dxa"/>
            <w:tcBorders>
              <w:top w:val="single" w:sz="4" w:space="0" w:color="auto"/>
              <w:left w:val="single" w:sz="4" w:space="0" w:color="auto"/>
              <w:bottom w:val="single" w:sz="4" w:space="0" w:color="auto"/>
              <w:right w:val="single" w:sz="4" w:space="0" w:color="auto"/>
            </w:tcBorders>
            <w:vAlign w:val="bottom"/>
            <w:hideMark/>
          </w:tcPr>
          <w:p w:rsidR="008E0C6F" w:rsidRPr="00692EF5" w:rsidRDefault="008E0C6F" w:rsidP="00A846F1">
            <w:pPr>
              <w:autoSpaceDE w:val="0"/>
              <w:autoSpaceDN w:val="0"/>
              <w:adjustRightInd w:val="0"/>
              <w:jc w:val="right"/>
              <w:rPr>
                <w:bCs/>
                <w:sz w:val="22"/>
                <w:szCs w:val="22"/>
              </w:rPr>
            </w:pPr>
            <w:r w:rsidRPr="00692EF5">
              <w:rPr>
                <w:bCs/>
                <w:sz w:val="22"/>
                <w:szCs w:val="22"/>
              </w:rPr>
              <w:t>3.47</w:t>
            </w:r>
          </w:p>
        </w:tc>
      </w:tr>
      <w:tr w:rsidR="008E0C6F" w:rsidRPr="00B573BF" w:rsidTr="00A846F1">
        <w:tc>
          <w:tcPr>
            <w:tcW w:w="0" w:type="auto"/>
            <w:vMerge/>
            <w:tcBorders>
              <w:top w:val="single" w:sz="4" w:space="0" w:color="auto"/>
              <w:left w:val="single" w:sz="4" w:space="0" w:color="auto"/>
              <w:bottom w:val="single" w:sz="4" w:space="0" w:color="auto"/>
              <w:right w:val="single" w:sz="4" w:space="0" w:color="auto"/>
            </w:tcBorders>
            <w:vAlign w:val="center"/>
            <w:hideMark/>
          </w:tcPr>
          <w:p w:rsidR="008E0C6F" w:rsidRPr="00692EF5" w:rsidRDefault="008E0C6F" w:rsidP="00A846F1">
            <w:pPr>
              <w:rPr>
                <w:bCs/>
                <w:sz w:val="22"/>
                <w:szCs w:val="22"/>
              </w:rPr>
            </w:pPr>
          </w:p>
        </w:tc>
        <w:tc>
          <w:tcPr>
            <w:tcW w:w="4442" w:type="dxa"/>
            <w:tcBorders>
              <w:top w:val="single" w:sz="4" w:space="0" w:color="auto"/>
              <w:left w:val="single" w:sz="4" w:space="0" w:color="auto"/>
              <w:bottom w:val="single" w:sz="4" w:space="0" w:color="auto"/>
              <w:right w:val="single" w:sz="4" w:space="0" w:color="auto"/>
            </w:tcBorders>
            <w:hideMark/>
          </w:tcPr>
          <w:p w:rsidR="008E0C6F" w:rsidRPr="00692EF5" w:rsidRDefault="008E0C6F" w:rsidP="00A846F1">
            <w:pPr>
              <w:autoSpaceDE w:val="0"/>
              <w:autoSpaceDN w:val="0"/>
              <w:adjustRightInd w:val="0"/>
              <w:rPr>
                <w:bCs/>
                <w:sz w:val="22"/>
                <w:szCs w:val="22"/>
              </w:rPr>
            </w:pPr>
            <w:r w:rsidRPr="00692EF5">
              <w:rPr>
                <w:bCs/>
                <w:sz w:val="22"/>
                <w:szCs w:val="22"/>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C6F" w:rsidRPr="00692EF5" w:rsidRDefault="008E0C6F" w:rsidP="00A846F1">
            <w:pPr>
              <w:rPr>
                <w:bCs/>
                <w:sz w:val="22"/>
                <w:szCs w:val="22"/>
              </w:rPr>
            </w:pPr>
          </w:p>
        </w:tc>
        <w:tc>
          <w:tcPr>
            <w:tcW w:w="1698" w:type="dxa"/>
            <w:tcBorders>
              <w:top w:val="single" w:sz="4" w:space="0" w:color="auto"/>
              <w:left w:val="single" w:sz="4" w:space="0" w:color="auto"/>
              <w:bottom w:val="single" w:sz="4" w:space="0" w:color="auto"/>
              <w:right w:val="single" w:sz="4" w:space="0" w:color="auto"/>
            </w:tcBorders>
            <w:vAlign w:val="bottom"/>
            <w:hideMark/>
          </w:tcPr>
          <w:p w:rsidR="008E0C6F" w:rsidRPr="00692EF5" w:rsidRDefault="008E0C6F" w:rsidP="00A846F1">
            <w:pPr>
              <w:autoSpaceDE w:val="0"/>
              <w:autoSpaceDN w:val="0"/>
              <w:adjustRightInd w:val="0"/>
              <w:jc w:val="right"/>
              <w:rPr>
                <w:bCs/>
                <w:sz w:val="22"/>
                <w:szCs w:val="22"/>
              </w:rPr>
            </w:pPr>
            <w:r w:rsidRPr="00692EF5">
              <w:rPr>
                <w:bCs/>
                <w:sz w:val="22"/>
                <w:szCs w:val="22"/>
              </w:rPr>
              <w:t>3.43</w:t>
            </w:r>
          </w:p>
        </w:tc>
      </w:tr>
      <w:tr w:rsidR="008E0C6F" w:rsidRPr="00B573BF" w:rsidTr="00A846F1">
        <w:tc>
          <w:tcPr>
            <w:tcW w:w="9350" w:type="dxa"/>
            <w:gridSpan w:val="4"/>
            <w:tcBorders>
              <w:top w:val="single" w:sz="4" w:space="0" w:color="auto"/>
              <w:left w:val="single" w:sz="4" w:space="0" w:color="auto"/>
              <w:bottom w:val="single" w:sz="4" w:space="0" w:color="auto"/>
              <w:right w:val="single" w:sz="4" w:space="0" w:color="auto"/>
            </w:tcBorders>
            <w:hideMark/>
          </w:tcPr>
          <w:p w:rsidR="008E0C6F" w:rsidRPr="00C22AF7" w:rsidRDefault="008E0C6F" w:rsidP="00A846F1">
            <w:pPr>
              <w:autoSpaceDE w:val="0"/>
              <w:autoSpaceDN w:val="0"/>
              <w:adjustRightInd w:val="0"/>
              <w:rPr>
                <w:bCs/>
                <w:sz w:val="22"/>
                <w:szCs w:val="22"/>
              </w:rPr>
            </w:pPr>
            <w:r w:rsidRPr="00C22AF7">
              <w:rPr>
                <w:bCs/>
                <w:sz w:val="22"/>
                <w:szCs w:val="22"/>
              </w:rPr>
              <w:t>Standby Monthly (SS-1, 2, 3)</w:t>
            </w:r>
          </w:p>
        </w:tc>
      </w:tr>
      <w:tr w:rsidR="008E0C6F" w:rsidRPr="00B573BF" w:rsidTr="00A846F1">
        <w:tc>
          <w:tcPr>
            <w:tcW w:w="1621" w:type="dxa"/>
            <w:vMerge w:val="restart"/>
            <w:tcBorders>
              <w:top w:val="single" w:sz="4" w:space="0" w:color="auto"/>
              <w:left w:val="single" w:sz="4" w:space="0" w:color="auto"/>
              <w:bottom w:val="single" w:sz="4" w:space="0" w:color="auto"/>
              <w:right w:val="single" w:sz="4" w:space="0" w:color="auto"/>
            </w:tcBorders>
          </w:tcPr>
          <w:p w:rsidR="008E0C6F" w:rsidRPr="00C22AF7" w:rsidRDefault="008E0C6F" w:rsidP="00A846F1">
            <w:pPr>
              <w:autoSpaceDE w:val="0"/>
              <w:autoSpaceDN w:val="0"/>
              <w:adjustRightInd w:val="0"/>
              <w:jc w:val="center"/>
              <w:rPr>
                <w:bCs/>
                <w:sz w:val="22"/>
                <w:szCs w:val="22"/>
              </w:rPr>
            </w:pPr>
          </w:p>
        </w:tc>
        <w:tc>
          <w:tcPr>
            <w:tcW w:w="4442" w:type="dxa"/>
            <w:tcBorders>
              <w:top w:val="single" w:sz="4" w:space="0" w:color="auto"/>
              <w:left w:val="single" w:sz="4" w:space="0" w:color="auto"/>
              <w:bottom w:val="single" w:sz="4" w:space="0" w:color="auto"/>
              <w:right w:val="single" w:sz="4" w:space="0" w:color="auto"/>
            </w:tcBorders>
            <w:hideMark/>
          </w:tcPr>
          <w:p w:rsidR="008E0C6F" w:rsidRPr="00C22AF7" w:rsidRDefault="008E0C6F" w:rsidP="00A846F1">
            <w:pPr>
              <w:autoSpaceDE w:val="0"/>
              <w:autoSpaceDN w:val="0"/>
              <w:adjustRightInd w:val="0"/>
              <w:rPr>
                <w:bCs/>
                <w:sz w:val="22"/>
                <w:szCs w:val="22"/>
              </w:rPr>
            </w:pPr>
            <w:r w:rsidRPr="00C22AF7">
              <w:rPr>
                <w:bCs/>
                <w:sz w:val="22"/>
                <w:szCs w:val="22"/>
              </w:rPr>
              <w:t>At Secondary Voltage</w:t>
            </w:r>
          </w:p>
        </w:tc>
        <w:tc>
          <w:tcPr>
            <w:tcW w:w="1589" w:type="dxa"/>
            <w:vMerge w:val="restart"/>
            <w:tcBorders>
              <w:top w:val="single" w:sz="4" w:space="0" w:color="auto"/>
              <w:left w:val="single" w:sz="4" w:space="0" w:color="auto"/>
              <w:bottom w:val="single" w:sz="4" w:space="0" w:color="auto"/>
              <w:right w:val="single" w:sz="4" w:space="0" w:color="auto"/>
            </w:tcBorders>
            <w:vAlign w:val="center"/>
          </w:tcPr>
          <w:p w:rsidR="008E0C6F" w:rsidRPr="00C22AF7" w:rsidRDefault="008E0C6F" w:rsidP="00A846F1">
            <w:pPr>
              <w:autoSpaceDE w:val="0"/>
              <w:autoSpaceDN w:val="0"/>
              <w:adjustRightInd w:val="0"/>
              <w:jc w:val="center"/>
              <w:rPr>
                <w:bCs/>
                <w:sz w:val="22"/>
                <w:szCs w:val="22"/>
              </w:rPr>
            </w:pPr>
          </w:p>
        </w:tc>
        <w:tc>
          <w:tcPr>
            <w:tcW w:w="1698" w:type="dxa"/>
            <w:tcBorders>
              <w:top w:val="single" w:sz="4" w:space="0" w:color="auto"/>
              <w:left w:val="single" w:sz="4" w:space="0" w:color="auto"/>
              <w:bottom w:val="single" w:sz="4" w:space="0" w:color="auto"/>
              <w:right w:val="single" w:sz="4" w:space="0" w:color="auto"/>
            </w:tcBorders>
            <w:vAlign w:val="bottom"/>
            <w:hideMark/>
          </w:tcPr>
          <w:p w:rsidR="008E0C6F" w:rsidRPr="00C22AF7" w:rsidRDefault="008E0C6F" w:rsidP="00A846F1">
            <w:pPr>
              <w:autoSpaceDE w:val="0"/>
              <w:autoSpaceDN w:val="0"/>
              <w:adjustRightInd w:val="0"/>
              <w:jc w:val="right"/>
              <w:rPr>
                <w:bCs/>
                <w:sz w:val="22"/>
                <w:szCs w:val="22"/>
              </w:rPr>
            </w:pPr>
            <w:r w:rsidRPr="00C22AF7">
              <w:rPr>
                <w:bCs/>
                <w:sz w:val="22"/>
                <w:szCs w:val="22"/>
              </w:rPr>
              <w:t>0.404</w:t>
            </w:r>
          </w:p>
        </w:tc>
      </w:tr>
      <w:tr w:rsidR="008E0C6F" w:rsidRPr="00B573BF" w:rsidTr="00A846F1">
        <w:tc>
          <w:tcPr>
            <w:tcW w:w="0" w:type="auto"/>
            <w:vMerge/>
            <w:tcBorders>
              <w:top w:val="single" w:sz="4" w:space="0" w:color="auto"/>
              <w:left w:val="single" w:sz="4" w:space="0" w:color="auto"/>
              <w:bottom w:val="single" w:sz="4" w:space="0" w:color="auto"/>
              <w:right w:val="single" w:sz="4" w:space="0" w:color="auto"/>
            </w:tcBorders>
            <w:vAlign w:val="center"/>
            <w:hideMark/>
          </w:tcPr>
          <w:p w:rsidR="008E0C6F" w:rsidRPr="00C22AF7" w:rsidRDefault="008E0C6F" w:rsidP="00A846F1">
            <w:pPr>
              <w:rPr>
                <w:bCs/>
                <w:sz w:val="22"/>
                <w:szCs w:val="22"/>
              </w:rPr>
            </w:pPr>
          </w:p>
        </w:tc>
        <w:tc>
          <w:tcPr>
            <w:tcW w:w="4442" w:type="dxa"/>
            <w:tcBorders>
              <w:top w:val="single" w:sz="4" w:space="0" w:color="auto"/>
              <w:left w:val="single" w:sz="4" w:space="0" w:color="auto"/>
              <w:bottom w:val="single" w:sz="4" w:space="0" w:color="auto"/>
              <w:right w:val="single" w:sz="4" w:space="0" w:color="auto"/>
            </w:tcBorders>
            <w:hideMark/>
          </w:tcPr>
          <w:p w:rsidR="008E0C6F" w:rsidRPr="00C22AF7" w:rsidRDefault="008E0C6F" w:rsidP="00A846F1">
            <w:pPr>
              <w:autoSpaceDE w:val="0"/>
              <w:autoSpaceDN w:val="0"/>
              <w:adjustRightInd w:val="0"/>
              <w:rPr>
                <w:bCs/>
                <w:sz w:val="22"/>
                <w:szCs w:val="22"/>
              </w:rPr>
            </w:pPr>
            <w:r w:rsidRPr="00C22AF7">
              <w:rPr>
                <w:bCs/>
                <w:sz w:val="22"/>
                <w:szCs w:val="22"/>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C6F" w:rsidRPr="00C22AF7" w:rsidRDefault="008E0C6F" w:rsidP="00A846F1">
            <w:pPr>
              <w:rPr>
                <w:bCs/>
                <w:sz w:val="22"/>
                <w:szCs w:val="22"/>
              </w:rPr>
            </w:pPr>
          </w:p>
        </w:tc>
        <w:tc>
          <w:tcPr>
            <w:tcW w:w="1698" w:type="dxa"/>
            <w:tcBorders>
              <w:top w:val="single" w:sz="4" w:space="0" w:color="auto"/>
              <w:left w:val="single" w:sz="4" w:space="0" w:color="auto"/>
              <w:bottom w:val="single" w:sz="4" w:space="0" w:color="auto"/>
              <w:right w:val="single" w:sz="4" w:space="0" w:color="auto"/>
            </w:tcBorders>
            <w:vAlign w:val="bottom"/>
            <w:hideMark/>
          </w:tcPr>
          <w:p w:rsidR="008E0C6F" w:rsidRPr="00C22AF7" w:rsidRDefault="008E0C6F" w:rsidP="00A846F1">
            <w:pPr>
              <w:autoSpaceDE w:val="0"/>
              <w:autoSpaceDN w:val="0"/>
              <w:adjustRightInd w:val="0"/>
              <w:jc w:val="right"/>
              <w:rPr>
                <w:bCs/>
                <w:sz w:val="22"/>
                <w:szCs w:val="22"/>
              </w:rPr>
            </w:pPr>
            <w:r w:rsidRPr="00C22AF7">
              <w:rPr>
                <w:bCs/>
                <w:sz w:val="22"/>
                <w:szCs w:val="22"/>
              </w:rPr>
              <w:t xml:space="preserve">0.400 </w:t>
            </w:r>
          </w:p>
        </w:tc>
      </w:tr>
      <w:tr w:rsidR="008E0C6F" w:rsidRPr="00B573BF" w:rsidTr="00A846F1">
        <w:tc>
          <w:tcPr>
            <w:tcW w:w="0" w:type="auto"/>
            <w:vMerge/>
            <w:tcBorders>
              <w:top w:val="single" w:sz="4" w:space="0" w:color="auto"/>
              <w:left w:val="single" w:sz="4" w:space="0" w:color="auto"/>
              <w:bottom w:val="single" w:sz="4" w:space="0" w:color="auto"/>
              <w:right w:val="single" w:sz="4" w:space="0" w:color="auto"/>
            </w:tcBorders>
            <w:vAlign w:val="center"/>
            <w:hideMark/>
          </w:tcPr>
          <w:p w:rsidR="008E0C6F" w:rsidRPr="00C22AF7" w:rsidRDefault="008E0C6F" w:rsidP="00A846F1">
            <w:pPr>
              <w:rPr>
                <w:bCs/>
                <w:sz w:val="22"/>
                <w:szCs w:val="22"/>
              </w:rPr>
            </w:pPr>
          </w:p>
        </w:tc>
        <w:tc>
          <w:tcPr>
            <w:tcW w:w="4442" w:type="dxa"/>
            <w:tcBorders>
              <w:top w:val="single" w:sz="4" w:space="0" w:color="auto"/>
              <w:left w:val="single" w:sz="4" w:space="0" w:color="auto"/>
              <w:bottom w:val="single" w:sz="4" w:space="0" w:color="auto"/>
              <w:right w:val="single" w:sz="4" w:space="0" w:color="auto"/>
            </w:tcBorders>
            <w:hideMark/>
          </w:tcPr>
          <w:p w:rsidR="008E0C6F" w:rsidRPr="00C22AF7" w:rsidRDefault="008E0C6F" w:rsidP="00A846F1">
            <w:pPr>
              <w:autoSpaceDE w:val="0"/>
              <w:autoSpaceDN w:val="0"/>
              <w:adjustRightInd w:val="0"/>
              <w:rPr>
                <w:bCs/>
                <w:sz w:val="22"/>
                <w:szCs w:val="22"/>
              </w:rPr>
            </w:pPr>
            <w:r w:rsidRPr="00C22AF7">
              <w:rPr>
                <w:bCs/>
                <w:sz w:val="22"/>
                <w:szCs w:val="22"/>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C6F" w:rsidRPr="00C22AF7" w:rsidRDefault="008E0C6F" w:rsidP="00A846F1">
            <w:pPr>
              <w:rPr>
                <w:bCs/>
                <w:sz w:val="22"/>
                <w:szCs w:val="22"/>
              </w:rPr>
            </w:pPr>
          </w:p>
        </w:tc>
        <w:tc>
          <w:tcPr>
            <w:tcW w:w="1698" w:type="dxa"/>
            <w:tcBorders>
              <w:top w:val="single" w:sz="4" w:space="0" w:color="auto"/>
              <w:left w:val="single" w:sz="4" w:space="0" w:color="auto"/>
              <w:bottom w:val="single" w:sz="4" w:space="0" w:color="auto"/>
              <w:right w:val="single" w:sz="4" w:space="0" w:color="auto"/>
            </w:tcBorders>
            <w:vAlign w:val="bottom"/>
            <w:hideMark/>
          </w:tcPr>
          <w:p w:rsidR="008E0C6F" w:rsidRPr="00C22AF7" w:rsidRDefault="008E0C6F" w:rsidP="00A846F1">
            <w:pPr>
              <w:autoSpaceDE w:val="0"/>
              <w:autoSpaceDN w:val="0"/>
              <w:adjustRightInd w:val="0"/>
              <w:jc w:val="right"/>
              <w:rPr>
                <w:bCs/>
                <w:sz w:val="22"/>
                <w:szCs w:val="22"/>
              </w:rPr>
            </w:pPr>
            <w:r w:rsidRPr="00C22AF7">
              <w:rPr>
                <w:bCs/>
                <w:sz w:val="22"/>
                <w:szCs w:val="22"/>
              </w:rPr>
              <w:t>0.396</w:t>
            </w:r>
          </w:p>
        </w:tc>
      </w:tr>
      <w:tr w:rsidR="008E0C6F" w:rsidRPr="00B573BF" w:rsidTr="00A846F1">
        <w:tc>
          <w:tcPr>
            <w:tcW w:w="9350" w:type="dxa"/>
            <w:gridSpan w:val="4"/>
            <w:tcBorders>
              <w:top w:val="single" w:sz="4" w:space="0" w:color="auto"/>
              <w:left w:val="single" w:sz="4" w:space="0" w:color="auto"/>
              <w:bottom w:val="single" w:sz="4" w:space="0" w:color="auto"/>
              <w:right w:val="single" w:sz="4" w:space="0" w:color="auto"/>
            </w:tcBorders>
            <w:hideMark/>
          </w:tcPr>
          <w:p w:rsidR="008E0C6F" w:rsidRPr="00C22AF7" w:rsidRDefault="008E0C6F" w:rsidP="00A846F1">
            <w:pPr>
              <w:autoSpaceDE w:val="0"/>
              <w:autoSpaceDN w:val="0"/>
              <w:adjustRightInd w:val="0"/>
              <w:rPr>
                <w:bCs/>
                <w:sz w:val="22"/>
                <w:szCs w:val="22"/>
              </w:rPr>
            </w:pPr>
            <w:r w:rsidRPr="00C22AF7">
              <w:rPr>
                <w:bCs/>
                <w:sz w:val="22"/>
                <w:szCs w:val="22"/>
              </w:rPr>
              <w:t>Standby Daily (SS-1, 2, 3)</w:t>
            </w:r>
          </w:p>
        </w:tc>
      </w:tr>
      <w:tr w:rsidR="008E0C6F" w:rsidRPr="00B573BF" w:rsidTr="00A846F1">
        <w:tc>
          <w:tcPr>
            <w:tcW w:w="1621" w:type="dxa"/>
            <w:vMerge w:val="restart"/>
            <w:tcBorders>
              <w:top w:val="single" w:sz="4" w:space="0" w:color="auto"/>
              <w:left w:val="single" w:sz="4" w:space="0" w:color="auto"/>
              <w:bottom w:val="single" w:sz="4" w:space="0" w:color="auto"/>
              <w:right w:val="single" w:sz="4" w:space="0" w:color="auto"/>
            </w:tcBorders>
            <w:vAlign w:val="center"/>
          </w:tcPr>
          <w:p w:rsidR="008E0C6F" w:rsidRPr="00C22AF7" w:rsidRDefault="008E0C6F" w:rsidP="00A846F1">
            <w:pPr>
              <w:autoSpaceDE w:val="0"/>
              <w:autoSpaceDN w:val="0"/>
              <w:adjustRightInd w:val="0"/>
              <w:jc w:val="center"/>
              <w:rPr>
                <w:bCs/>
                <w:sz w:val="22"/>
                <w:szCs w:val="22"/>
              </w:rPr>
            </w:pPr>
          </w:p>
        </w:tc>
        <w:tc>
          <w:tcPr>
            <w:tcW w:w="4442" w:type="dxa"/>
            <w:tcBorders>
              <w:top w:val="single" w:sz="4" w:space="0" w:color="auto"/>
              <w:left w:val="single" w:sz="4" w:space="0" w:color="auto"/>
              <w:bottom w:val="single" w:sz="4" w:space="0" w:color="auto"/>
              <w:right w:val="single" w:sz="4" w:space="0" w:color="auto"/>
            </w:tcBorders>
            <w:hideMark/>
          </w:tcPr>
          <w:p w:rsidR="008E0C6F" w:rsidRPr="00C22AF7" w:rsidRDefault="008E0C6F" w:rsidP="00A846F1">
            <w:pPr>
              <w:autoSpaceDE w:val="0"/>
              <w:autoSpaceDN w:val="0"/>
              <w:adjustRightInd w:val="0"/>
              <w:rPr>
                <w:bCs/>
                <w:sz w:val="22"/>
                <w:szCs w:val="22"/>
              </w:rPr>
            </w:pPr>
            <w:r w:rsidRPr="00C22AF7">
              <w:rPr>
                <w:bCs/>
                <w:sz w:val="22"/>
                <w:szCs w:val="22"/>
              </w:rPr>
              <w:t>At Secondary Voltage</w:t>
            </w:r>
          </w:p>
        </w:tc>
        <w:tc>
          <w:tcPr>
            <w:tcW w:w="1589" w:type="dxa"/>
            <w:vMerge w:val="restart"/>
            <w:tcBorders>
              <w:top w:val="single" w:sz="4" w:space="0" w:color="auto"/>
              <w:left w:val="single" w:sz="4" w:space="0" w:color="auto"/>
              <w:bottom w:val="single" w:sz="4" w:space="0" w:color="auto"/>
              <w:right w:val="single" w:sz="4" w:space="0" w:color="auto"/>
            </w:tcBorders>
            <w:vAlign w:val="center"/>
          </w:tcPr>
          <w:p w:rsidR="008E0C6F" w:rsidRPr="00C22AF7" w:rsidRDefault="008E0C6F" w:rsidP="00A846F1">
            <w:pPr>
              <w:autoSpaceDE w:val="0"/>
              <w:autoSpaceDN w:val="0"/>
              <w:adjustRightInd w:val="0"/>
              <w:jc w:val="center"/>
              <w:rPr>
                <w:bCs/>
                <w:sz w:val="22"/>
                <w:szCs w:val="22"/>
              </w:rPr>
            </w:pPr>
          </w:p>
        </w:tc>
        <w:tc>
          <w:tcPr>
            <w:tcW w:w="1698" w:type="dxa"/>
            <w:tcBorders>
              <w:top w:val="single" w:sz="4" w:space="0" w:color="auto"/>
              <w:left w:val="single" w:sz="4" w:space="0" w:color="auto"/>
              <w:bottom w:val="single" w:sz="4" w:space="0" w:color="auto"/>
              <w:right w:val="single" w:sz="4" w:space="0" w:color="auto"/>
            </w:tcBorders>
            <w:vAlign w:val="bottom"/>
            <w:hideMark/>
          </w:tcPr>
          <w:p w:rsidR="008E0C6F" w:rsidRPr="00C22AF7" w:rsidRDefault="008E0C6F" w:rsidP="00A846F1">
            <w:pPr>
              <w:autoSpaceDE w:val="0"/>
              <w:autoSpaceDN w:val="0"/>
              <w:adjustRightInd w:val="0"/>
              <w:jc w:val="right"/>
              <w:rPr>
                <w:bCs/>
                <w:sz w:val="22"/>
                <w:szCs w:val="22"/>
              </w:rPr>
            </w:pPr>
            <w:r w:rsidRPr="00C22AF7">
              <w:rPr>
                <w:bCs/>
                <w:sz w:val="22"/>
                <w:szCs w:val="22"/>
              </w:rPr>
              <w:t>0.192</w:t>
            </w:r>
          </w:p>
        </w:tc>
      </w:tr>
      <w:tr w:rsidR="008E0C6F" w:rsidRPr="00B573BF" w:rsidTr="00A846F1">
        <w:tc>
          <w:tcPr>
            <w:tcW w:w="0" w:type="auto"/>
            <w:vMerge/>
            <w:tcBorders>
              <w:top w:val="single" w:sz="4" w:space="0" w:color="auto"/>
              <w:left w:val="single" w:sz="4" w:space="0" w:color="auto"/>
              <w:bottom w:val="single" w:sz="4" w:space="0" w:color="auto"/>
              <w:right w:val="single" w:sz="4" w:space="0" w:color="auto"/>
            </w:tcBorders>
            <w:vAlign w:val="center"/>
            <w:hideMark/>
          </w:tcPr>
          <w:p w:rsidR="008E0C6F" w:rsidRPr="00C22AF7" w:rsidRDefault="008E0C6F" w:rsidP="00A846F1">
            <w:pPr>
              <w:rPr>
                <w:bCs/>
                <w:sz w:val="22"/>
                <w:szCs w:val="22"/>
              </w:rPr>
            </w:pPr>
          </w:p>
        </w:tc>
        <w:tc>
          <w:tcPr>
            <w:tcW w:w="4442" w:type="dxa"/>
            <w:tcBorders>
              <w:top w:val="single" w:sz="4" w:space="0" w:color="auto"/>
              <w:left w:val="single" w:sz="4" w:space="0" w:color="auto"/>
              <w:bottom w:val="single" w:sz="4" w:space="0" w:color="auto"/>
              <w:right w:val="single" w:sz="4" w:space="0" w:color="auto"/>
            </w:tcBorders>
            <w:hideMark/>
          </w:tcPr>
          <w:p w:rsidR="008E0C6F" w:rsidRPr="00C22AF7" w:rsidRDefault="008E0C6F" w:rsidP="00A846F1">
            <w:pPr>
              <w:autoSpaceDE w:val="0"/>
              <w:autoSpaceDN w:val="0"/>
              <w:adjustRightInd w:val="0"/>
              <w:rPr>
                <w:bCs/>
                <w:sz w:val="22"/>
                <w:szCs w:val="22"/>
              </w:rPr>
            </w:pPr>
            <w:r w:rsidRPr="00C22AF7">
              <w:rPr>
                <w:bCs/>
                <w:sz w:val="22"/>
                <w:szCs w:val="22"/>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C6F" w:rsidRPr="00C22AF7" w:rsidRDefault="008E0C6F" w:rsidP="00A846F1">
            <w:pPr>
              <w:rPr>
                <w:bCs/>
                <w:sz w:val="22"/>
                <w:szCs w:val="22"/>
              </w:rPr>
            </w:pPr>
          </w:p>
        </w:tc>
        <w:tc>
          <w:tcPr>
            <w:tcW w:w="1698" w:type="dxa"/>
            <w:tcBorders>
              <w:top w:val="single" w:sz="4" w:space="0" w:color="auto"/>
              <w:left w:val="single" w:sz="4" w:space="0" w:color="auto"/>
              <w:bottom w:val="single" w:sz="4" w:space="0" w:color="auto"/>
              <w:right w:val="single" w:sz="4" w:space="0" w:color="auto"/>
            </w:tcBorders>
            <w:vAlign w:val="bottom"/>
            <w:hideMark/>
          </w:tcPr>
          <w:p w:rsidR="008E0C6F" w:rsidRPr="00C22AF7" w:rsidRDefault="008E0C6F" w:rsidP="00A846F1">
            <w:pPr>
              <w:autoSpaceDE w:val="0"/>
              <w:autoSpaceDN w:val="0"/>
              <w:adjustRightInd w:val="0"/>
              <w:jc w:val="right"/>
              <w:rPr>
                <w:bCs/>
                <w:sz w:val="22"/>
                <w:szCs w:val="22"/>
              </w:rPr>
            </w:pPr>
            <w:r w:rsidRPr="00C22AF7">
              <w:rPr>
                <w:bCs/>
                <w:sz w:val="22"/>
                <w:szCs w:val="22"/>
              </w:rPr>
              <w:t xml:space="preserve">0.190 </w:t>
            </w:r>
          </w:p>
        </w:tc>
      </w:tr>
      <w:tr w:rsidR="008E0C6F" w:rsidRPr="00B573BF" w:rsidTr="00A846F1">
        <w:tc>
          <w:tcPr>
            <w:tcW w:w="0" w:type="auto"/>
            <w:vMerge/>
            <w:tcBorders>
              <w:top w:val="single" w:sz="4" w:space="0" w:color="auto"/>
              <w:left w:val="single" w:sz="4" w:space="0" w:color="auto"/>
              <w:bottom w:val="single" w:sz="4" w:space="0" w:color="auto"/>
              <w:right w:val="single" w:sz="4" w:space="0" w:color="auto"/>
            </w:tcBorders>
            <w:vAlign w:val="center"/>
            <w:hideMark/>
          </w:tcPr>
          <w:p w:rsidR="008E0C6F" w:rsidRPr="00C22AF7" w:rsidRDefault="008E0C6F" w:rsidP="00A846F1">
            <w:pPr>
              <w:rPr>
                <w:bCs/>
                <w:sz w:val="22"/>
                <w:szCs w:val="22"/>
              </w:rPr>
            </w:pPr>
          </w:p>
        </w:tc>
        <w:tc>
          <w:tcPr>
            <w:tcW w:w="4442" w:type="dxa"/>
            <w:tcBorders>
              <w:top w:val="single" w:sz="4" w:space="0" w:color="auto"/>
              <w:left w:val="single" w:sz="4" w:space="0" w:color="auto"/>
              <w:bottom w:val="single" w:sz="4" w:space="0" w:color="auto"/>
              <w:right w:val="single" w:sz="4" w:space="0" w:color="auto"/>
            </w:tcBorders>
            <w:hideMark/>
          </w:tcPr>
          <w:p w:rsidR="008E0C6F" w:rsidRPr="00C22AF7" w:rsidRDefault="008E0C6F" w:rsidP="00A846F1">
            <w:pPr>
              <w:autoSpaceDE w:val="0"/>
              <w:autoSpaceDN w:val="0"/>
              <w:adjustRightInd w:val="0"/>
              <w:rPr>
                <w:bCs/>
                <w:sz w:val="22"/>
                <w:szCs w:val="22"/>
              </w:rPr>
            </w:pPr>
            <w:r w:rsidRPr="00C22AF7">
              <w:rPr>
                <w:bCs/>
                <w:sz w:val="22"/>
                <w:szCs w:val="22"/>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C6F" w:rsidRPr="00C22AF7" w:rsidRDefault="008E0C6F" w:rsidP="00A846F1">
            <w:pPr>
              <w:rPr>
                <w:bCs/>
                <w:sz w:val="22"/>
                <w:szCs w:val="22"/>
              </w:rPr>
            </w:pPr>
          </w:p>
        </w:tc>
        <w:tc>
          <w:tcPr>
            <w:tcW w:w="1698" w:type="dxa"/>
            <w:tcBorders>
              <w:top w:val="single" w:sz="4" w:space="0" w:color="auto"/>
              <w:left w:val="single" w:sz="4" w:space="0" w:color="auto"/>
              <w:bottom w:val="single" w:sz="4" w:space="0" w:color="auto"/>
              <w:right w:val="single" w:sz="4" w:space="0" w:color="auto"/>
            </w:tcBorders>
            <w:vAlign w:val="bottom"/>
            <w:hideMark/>
          </w:tcPr>
          <w:p w:rsidR="008E0C6F" w:rsidRPr="00C22AF7" w:rsidRDefault="008E0C6F" w:rsidP="00A846F1">
            <w:pPr>
              <w:autoSpaceDE w:val="0"/>
              <w:autoSpaceDN w:val="0"/>
              <w:adjustRightInd w:val="0"/>
              <w:jc w:val="right"/>
              <w:rPr>
                <w:bCs/>
                <w:sz w:val="22"/>
                <w:szCs w:val="22"/>
              </w:rPr>
            </w:pPr>
            <w:r w:rsidRPr="00C22AF7">
              <w:rPr>
                <w:bCs/>
                <w:sz w:val="22"/>
                <w:szCs w:val="22"/>
              </w:rPr>
              <w:t>0.188</w:t>
            </w:r>
          </w:p>
        </w:tc>
      </w:tr>
    </w:tbl>
    <w:p w:rsidR="008E0C6F" w:rsidRDefault="008E0C6F" w:rsidP="00FA5789">
      <w:pPr>
        <w:pStyle w:val="BodyText"/>
        <w:jc w:val="both"/>
      </w:pPr>
      <w:r w:rsidRPr="00B573BF">
        <w:rPr>
          <w:sz w:val="22"/>
          <w:szCs w:val="22"/>
        </w:rPr>
        <w:t xml:space="preserve">Source: </w:t>
      </w:r>
      <w:r>
        <w:rPr>
          <w:sz w:val="22"/>
          <w:szCs w:val="22"/>
        </w:rPr>
        <w:t xml:space="preserve"> </w:t>
      </w:r>
      <w:r w:rsidRPr="00FA5789">
        <w:t>Exhibit 7.</w:t>
      </w:r>
    </w:p>
    <w:p w:rsidR="008E0C6F" w:rsidRDefault="008E0C6F" w:rsidP="00FA5789">
      <w:pPr>
        <w:pStyle w:val="BodyText"/>
        <w:jc w:val="both"/>
      </w:pPr>
      <w:r>
        <w:tab/>
        <w:t xml:space="preserve">We agree with witness Menendez and </w:t>
      </w:r>
      <w:r w:rsidR="00FA5789">
        <w:t>hereby approve</w:t>
      </w:r>
      <w:r>
        <w:t xml:space="preserve"> the </w:t>
      </w:r>
      <w:r w:rsidR="00FA5789" w:rsidRPr="005D112E">
        <w:t xml:space="preserve">capacity cost recovery factors </w:t>
      </w:r>
      <w:r w:rsidR="00FA5789">
        <w:t>shown by</w:t>
      </w:r>
      <w:r w:rsidR="00FA5789" w:rsidRPr="005D112E">
        <w:t xml:space="preserve"> rate class </w:t>
      </w:r>
      <w:r w:rsidR="00FA5789">
        <w:t xml:space="preserve">in </w:t>
      </w:r>
      <w:r w:rsidR="00FA5789" w:rsidRPr="005D112E">
        <w:t xml:space="preserve">Table </w:t>
      </w:r>
      <w:r w:rsidR="00FA5789">
        <w:t>7 above.</w:t>
      </w:r>
    </w:p>
    <w:p w:rsidR="00FA5789" w:rsidRDefault="00FA5789" w:rsidP="00FA5789">
      <w:pPr>
        <w:pStyle w:val="BodyText"/>
        <w:jc w:val="both"/>
      </w:pPr>
      <w:r>
        <w:tab/>
        <w:t xml:space="preserve">We find that </w:t>
      </w:r>
      <w:r w:rsidRPr="002C1B3B">
        <w:t xml:space="preserve">the new factors </w:t>
      </w:r>
      <w:r w:rsidR="00625154">
        <w:t xml:space="preserve">for DEF </w:t>
      </w:r>
      <w:r w:rsidRPr="002C1B3B">
        <w:t>sh</w:t>
      </w:r>
      <w:r w:rsidR="00CA1377">
        <w:t>all</w:t>
      </w:r>
      <w:r w:rsidRPr="002C1B3B">
        <w:t xml:space="preserve"> be</w:t>
      </w:r>
      <w:r w:rsidR="00CA1377">
        <w:t>come</w:t>
      </w:r>
      <w:r w:rsidRPr="002C1B3B">
        <w:t xml:space="preserve"> effective begin</w:t>
      </w:r>
      <w:r>
        <w:t>ning</w:t>
      </w:r>
      <w:r w:rsidRPr="002C1B3B">
        <w:t xml:space="preserve"> with the first billing cycle for January 2021 through the last billing cycle for December 2021. </w:t>
      </w:r>
      <w:r>
        <w:t xml:space="preserve"> </w:t>
      </w:r>
      <w:r w:rsidRPr="002C1B3B">
        <w:t>The first billing cycle may start before January 1, 2021, and the last cycle may be read after December 31, 2021, so that each customer is billed for twelve months regardless of when the recovery factors became effective. </w:t>
      </w:r>
      <w:r>
        <w:t xml:space="preserve"> </w:t>
      </w:r>
      <w:r w:rsidRPr="002C1B3B">
        <w:t>Further, the new factors sh</w:t>
      </w:r>
      <w:r w:rsidR="00CA1377">
        <w:t>all</w:t>
      </w:r>
      <w:r w:rsidRPr="002C1B3B">
        <w:t xml:space="preserve"> continue to be effective until modified by th</w:t>
      </w:r>
      <w:r>
        <w:t>is</w:t>
      </w:r>
      <w:r w:rsidRPr="002C1B3B">
        <w:t xml:space="preserve"> Commission.</w:t>
      </w:r>
    </w:p>
    <w:p w:rsidR="00FA5789" w:rsidRDefault="00FA5789" w:rsidP="00FA5789">
      <w:pPr>
        <w:pStyle w:val="BodyText"/>
        <w:jc w:val="both"/>
      </w:pPr>
      <w:r>
        <w:tab/>
        <w:t xml:space="preserve">We hereby </w:t>
      </w:r>
      <w:r w:rsidR="00625154">
        <w:t xml:space="preserve">approve </w:t>
      </w:r>
      <w:r w:rsidRPr="00761A47">
        <w:t xml:space="preserve">revised tariffs </w:t>
      </w:r>
      <w:r w:rsidR="00625154">
        <w:t xml:space="preserve">for DEF </w:t>
      </w:r>
      <w:r w:rsidRPr="00761A47">
        <w:t>reflecting the fuel adjustment factors and capacity cost recovery factors determined to be reasonable in this proceeding</w:t>
      </w:r>
      <w:r w:rsidR="00836BE6">
        <w:t xml:space="preserve"> and</w:t>
      </w:r>
      <w:r w:rsidR="00625154">
        <w:t xml:space="preserve"> direct </w:t>
      </w:r>
      <w:r w:rsidR="00836BE6">
        <w:t xml:space="preserve">our </w:t>
      </w:r>
      <w:r w:rsidR="00625154">
        <w:t>staff to verify that the revised tariffs are consistent with our decision</w:t>
      </w:r>
      <w:r w:rsidR="00CC2B82">
        <w:t>s</w:t>
      </w:r>
      <w:r w:rsidR="00625154">
        <w:t>.</w:t>
      </w:r>
      <w:r>
        <w:t xml:space="preserve"> </w:t>
      </w:r>
    </w:p>
    <w:p w:rsidR="00FA5789" w:rsidRDefault="00FA5789" w:rsidP="00FA5789">
      <w:pPr>
        <w:pStyle w:val="BodyText"/>
        <w:jc w:val="both"/>
      </w:pPr>
      <w:r>
        <w:tab/>
        <w:t xml:space="preserve">Finally, DEF is correct that parties are unable to take a position on, or to brief, issues on which they did not take a position by the date set at the Prehearing Conference.  DEF is also correct that OPC, FIPUG and PCS Phosphate did not take positions on </w:t>
      </w:r>
      <w:r w:rsidR="00836BE6">
        <w:t>whether this docket should be closed</w:t>
      </w:r>
      <w:r>
        <w:t>.  However, we reject DEF’s position that the docket be closed</w:t>
      </w:r>
      <w:r w:rsidR="00CA1377">
        <w:t>.</w:t>
      </w:r>
      <w:r>
        <w:t xml:space="preserve"> While a separate docket number is assigned each year for administrative convenience, this is a continuing docket and </w:t>
      </w:r>
      <w:r w:rsidR="00CA1377">
        <w:t xml:space="preserve">we find that it </w:t>
      </w:r>
      <w:r>
        <w:t>sh</w:t>
      </w:r>
      <w:r w:rsidR="00836BE6">
        <w:t>all</w:t>
      </w:r>
      <w:r>
        <w:t xml:space="preserve"> remain open. </w:t>
      </w:r>
    </w:p>
    <w:p w:rsidR="00625154" w:rsidRDefault="00625154" w:rsidP="00625154">
      <w:pPr>
        <w:autoSpaceDE w:val="0"/>
        <w:autoSpaceDN w:val="0"/>
        <w:adjustRightInd w:val="0"/>
        <w:jc w:val="both"/>
      </w:pPr>
      <w:r>
        <w:tab/>
        <w:t xml:space="preserve">Based on the foregoing, it is </w:t>
      </w:r>
    </w:p>
    <w:p w:rsidR="00625154" w:rsidRDefault="00625154" w:rsidP="00625154">
      <w:pPr>
        <w:autoSpaceDE w:val="0"/>
        <w:autoSpaceDN w:val="0"/>
        <w:adjustRightInd w:val="0"/>
        <w:jc w:val="both"/>
      </w:pPr>
    </w:p>
    <w:p w:rsidR="00625154" w:rsidRDefault="00625154" w:rsidP="00625154">
      <w:pPr>
        <w:pStyle w:val="BodyText"/>
        <w:jc w:val="both"/>
        <w:rPr>
          <w:bCs/>
        </w:rPr>
      </w:pPr>
      <w:r>
        <w:rPr>
          <w:bCs/>
        </w:rPr>
        <w:tab/>
        <w:t>ORDERED by the Florida Public Service Commission that the findings set forth in the body of this Order are hereby approved.  It is further</w:t>
      </w:r>
    </w:p>
    <w:p w:rsidR="00625154" w:rsidRDefault="00625154" w:rsidP="00625154">
      <w:pPr>
        <w:pStyle w:val="BodyText"/>
        <w:jc w:val="both"/>
      </w:pPr>
      <w:r>
        <w:rPr>
          <w:bCs/>
        </w:rPr>
        <w:tab/>
        <w:t>ORDERED that Duke Energy Florida, LLC is</w:t>
      </w:r>
      <w:r>
        <w:t xml:space="preserve"> hereby authorized to apply the fuel cost recovery factors set forth herein during the period January 2021 through December 2021.  It is further</w:t>
      </w:r>
    </w:p>
    <w:p w:rsidR="00625154" w:rsidRDefault="00625154" w:rsidP="00625154">
      <w:pPr>
        <w:pStyle w:val="BodyText"/>
        <w:jc w:val="both"/>
      </w:pPr>
      <w:r w:rsidRPr="00773A9E">
        <w:rPr>
          <w:bCs/>
        </w:rPr>
        <w:tab/>
      </w:r>
      <w:r>
        <w:t>ORDERED that the estimated true-up amounts contained in the fuel cost recovery factors approved herein are hereby authorized subject to final true-up and further subject to proof of the reasonableness and prudence of the expenditures upon which the amounts are based.  It is further</w:t>
      </w:r>
    </w:p>
    <w:p w:rsidR="00625154" w:rsidRDefault="00625154" w:rsidP="00625154">
      <w:pPr>
        <w:pStyle w:val="BodyText"/>
        <w:jc w:val="both"/>
      </w:pPr>
      <w:r>
        <w:tab/>
        <w:t xml:space="preserve">ORDERED that </w:t>
      </w:r>
      <w:r>
        <w:rPr>
          <w:bCs/>
        </w:rPr>
        <w:t>Duke Energy Florida, LLC</w:t>
      </w:r>
      <w:r>
        <w:t xml:space="preserve"> is hereby authorized to apply the capacity cost recovery factors set forth herein during the period January 2021 through December 2021.  It is further</w:t>
      </w:r>
    </w:p>
    <w:p w:rsidR="00625154" w:rsidRDefault="00625154" w:rsidP="00625154">
      <w:pPr>
        <w:pStyle w:val="BodyText"/>
        <w:jc w:val="both"/>
      </w:pPr>
      <w:r>
        <w:lastRenderedPageBreak/>
        <w:tab/>
        <w:t>ORDERED that the estimated true-up amounts contained in the capacity cost recovery factors approved herein are hereby authorized subject to final true-up and further subject to proof of the reasonableness and prudence of the expenditures upon which the amounts are based.  It is further</w:t>
      </w:r>
    </w:p>
    <w:p w:rsidR="00625154" w:rsidRDefault="00625154" w:rsidP="00625154">
      <w:pPr>
        <w:pStyle w:val="BodyText"/>
        <w:jc w:val="both"/>
      </w:pPr>
      <w:r>
        <w:tab/>
        <w:t>ORDERED that the revised tariffs reflecting the fuel adjustment factors and capacity cost recovery factors determined to be appropriate in this proceeding are hereby approved and we direct Commission staff to verify that the revised tariffs are consistent with our decision</w:t>
      </w:r>
      <w:r w:rsidR="00F10145">
        <w:t>s</w:t>
      </w:r>
      <w:r>
        <w:t xml:space="preserve">.  It is further   </w:t>
      </w:r>
    </w:p>
    <w:p w:rsidR="00625154" w:rsidRDefault="00625154" w:rsidP="00625154">
      <w:pPr>
        <w:autoSpaceDE w:val="0"/>
        <w:autoSpaceDN w:val="0"/>
        <w:adjustRightInd w:val="0"/>
        <w:jc w:val="both"/>
      </w:pPr>
      <w:r>
        <w:t xml:space="preserve">     </w:t>
      </w:r>
      <w:r>
        <w:tab/>
        <w:t>ORDERED that while the Fuel and Purchased Power Cost Recovery Clause with Generating Performance Incentive Factor docket is assigned a separate docket number each year for administrative convenience, it is a continuing docket and shall remain open.</w:t>
      </w:r>
    </w:p>
    <w:p w:rsidR="00836BE6" w:rsidRDefault="00836BE6" w:rsidP="00625154">
      <w:pPr>
        <w:autoSpaceDE w:val="0"/>
        <w:autoSpaceDN w:val="0"/>
        <w:adjustRightInd w:val="0"/>
        <w:jc w:val="both"/>
      </w:pPr>
    </w:p>
    <w:p w:rsidR="00836BE6" w:rsidRDefault="00836BE6" w:rsidP="00836BE6">
      <w:pPr>
        <w:pStyle w:val="BodyText"/>
        <w:keepNext/>
        <w:keepLines/>
        <w:jc w:val="both"/>
      </w:pPr>
      <w:r>
        <w:tab/>
        <w:t xml:space="preserve">By ORDER of the Florida Public Service Commission this </w:t>
      </w:r>
      <w:bookmarkStart w:id="9" w:name="replaceDate"/>
      <w:bookmarkEnd w:id="9"/>
      <w:r w:rsidR="00412481">
        <w:rPr>
          <w:u w:val="single"/>
        </w:rPr>
        <w:t>6th</w:t>
      </w:r>
      <w:r w:rsidR="00412481">
        <w:t xml:space="preserve"> day of </w:t>
      </w:r>
      <w:r w:rsidR="00412481">
        <w:rPr>
          <w:u w:val="single"/>
        </w:rPr>
        <w:t>January</w:t>
      </w:r>
      <w:r w:rsidR="00412481">
        <w:t xml:space="preserve">, </w:t>
      </w:r>
      <w:r w:rsidR="00412481">
        <w:rPr>
          <w:u w:val="single"/>
        </w:rPr>
        <w:t>2021</w:t>
      </w:r>
      <w:r w:rsidR="00412481">
        <w:t>.</w:t>
      </w:r>
    </w:p>
    <w:p w:rsidR="00412481" w:rsidRDefault="00412481" w:rsidP="00836BE6">
      <w:pPr>
        <w:pStyle w:val="BodyText"/>
        <w:keepNext/>
        <w:keepLines/>
        <w:jc w:val="both"/>
      </w:pPr>
      <w:bookmarkStart w:id="10" w:name="_GoBack"/>
      <w:bookmarkEnd w:id="10"/>
    </w:p>
    <w:p w:rsidR="006308BF" w:rsidRPr="00412481" w:rsidRDefault="006308BF" w:rsidP="00836BE6">
      <w:pPr>
        <w:pStyle w:val="BodyText"/>
        <w:keepNext/>
        <w:keepLines/>
        <w:jc w:val="both"/>
      </w:pPr>
    </w:p>
    <w:tbl>
      <w:tblPr>
        <w:tblW w:w="4720" w:type="dxa"/>
        <w:tblInd w:w="3800" w:type="dxa"/>
        <w:tblLayout w:type="fixed"/>
        <w:tblLook w:val="0000" w:firstRow="0" w:lastRow="0" w:firstColumn="0" w:lastColumn="0" w:noHBand="0" w:noVBand="0"/>
      </w:tblPr>
      <w:tblGrid>
        <w:gridCol w:w="686"/>
        <w:gridCol w:w="4034"/>
      </w:tblGrid>
      <w:tr w:rsidR="00836BE6" w:rsidTr="00D076FD">
        <w:tc>
          <w:tcPr>
            <w:tcW w:w="686" w:type="dxa"/>
            <w:shd w:val="clear" w:color="auto" w:fill="auto"/>
          </w:tcPr>
          <w:p w:rsidR="00836BE6" w:rsidRDefault="00836BE6" w:rsidP="00D076FD">
            <w:pPr>
              <w:pStyle w:val="BodyText"/>
              <w:keepNext/>
              <w:keepLines/>
              <w:jc w:val="both"/>
            </w:pPr>
            <w:bookmarkStart w:id="11" w:name="bkmrkSignature" w:colFirst="0" w:colLast="0"/>
          </w:p>
        </w:tc>
        <w:tc>
          <w:tcPr>
            <w:tcW w:w="4034" w:type="dxa"/>
            <w:tcBorders>
              <w:bottom w:val="single" w:sz="4" w:space="0" w:color="auto"/>
            </w:tcBorders>
            <w:shd w:val="clear" w:color="auto" w:fill="auto"/>
          </w:tcPr>
          <w:p w:rsidR="00836BE6" w:rsidRDefault="00ED4E65" w:rsidP="00D076FD">
            <w:pPr>
              <w:pStyle w:val="BodyText"/>
              <w:keepNext/>
              <w:keepLines/>
              <w:jc w:val="both"/>
            </w:pPr>
            <w:r>
              <w:t>/s/ Adam J. Teitzman</w:t>
            </w:r>
          </w:p>
        </w:tc>
      </w:tr>
      <w:bookmarkEnd w:id="11"/>
      <w:tr w:rsidR="00836BE6" w:rsidTr="00D076FD">
        <w:tc>
          <w:tcPr>
            <w:tcW w:w="686" w:type="dxa"/>
            <w:shd w:val="clear" w:color="auto" w:fill="auto"/>
          </w:tcPr>
          <w:p w:rsidR="00836BE6" w:rsidRDefault="00836BE6" w:rsidP="00D076FD">
            <w:pPr>
              <w:pStyle w:val="BodyText"/>
              <w:keepNext/>
              <w:keepLines/>
              <w:jc w:val="both"/>
            </w:pPr>
          </w:p>
        </w:tc>
        <w:tc>
          <w:tcPr>
            <w:tcW w:w="4034" w:type="dxa"/>
            <w:tcBorders>
              <w:top w:val="single" w:sz="4" w:space="0" w:color="auto"/>
            </w:tcBorders>
            <w:shd w:val="clear" w:color="auto" w:fill="auto"/>
          </w:tcPr>
          <w:p w:rsidR="00836BE6" w:rsidRDefault="00836BE6" w:rsidP="006308BF">
            <w:pPr>
              <w:pStyle w:val="BodyText"/>
              <w:keepNext/>
              <w:keepLines/>
              <w:spacing w:after="0"/>
              <w:jc w:val="both"/>
            </w:pPr>
            <w:r>
              <w:t>ADAM J. TEITZMAN</w:t>
            </w:r>
          </w:p>
          <w:p w:rsidR="00836BE6" w:rsidRDefault="00836BE6" w:rsidP="006308BF">
            <w:pPr>
              <w:pStyle w:val="BodyText"/>
              <w:keepNext/>
              <w:keepLines/>
              <w:spacing w:after="0"/>
              <w:jc w:val="both"/>
            </w:pPr>
            <w:r>
              <w:t>Commission Clerk</w:t>
            </w:r>
          </w:p>
        </w:tc>
      </w:tr>
    </w:tbl>
    <w:p w:rsidR="00836BE6" w:rsidRDefault="00836BE6" w:rsidP="00836BE6">
      <w:pPr>
        <w:pStyle w:val="OrderSigInfo"/>
        <w:keepNext/>
        <w:keepLines/>
      </w:pPr>
      <w:r>
        <w:t>Florida Public Service Commission</w:t>
      </w:r>
    </w:p>
    <w:p w:rsidR="00836BE6" w:rsidRDefault="00836BE6" w:rsidP="00836BE6">
      <w:pPr>
        <w:pStyle w:val="OrderSigInfo"/>
        <w:keepNext/>
        <w:keepLines/>
      </w:pPr>
      <w:r>
        <w:t>2540 Shumard Oak Boulevard</w:t>
      </w:r>
    </w:p>
    <w:p w:rsidR="00836BE6" w:rsidRDefault="00836BE6" w:rsidP="00836BE6">
      <w:pPr>
        <w:pStyle w:val="OrderSigInfo"/>
        <w:keepNext/>
        <w:keepLines/>
      </w:pPr>
      <w:r>
        <w:t>Tallahassee, Florida 32399</w:t>
      </w:r>
    </w:p>
    <w:p w:rsidR="00836BE6" w:rsidRDefault="00836BE6" w:rsidP="00836BE6">
      <w:pPr>
        <w:pStyle w:val="OrderSigInfo"/>
        <w:keepNext/>
        <w:keepLines/>
      </w:pPr>
      <w:r>
        <w:t>(850) 413</w:t>
      </w:r>
      <w:r>
        <w:noBreakHyphen/>
        <w:t>6770</w:t>
      </w:r>
    </w:p>
    <w:p w:rsidR="00836BE6" w:rsidRDefault="00836BE6" w:rsidP="00836BE6">
      <w:pPr>
        <w:pStyle w:val="OrderSigInfo"/>
        <w:keepNext/>
        <w:keepLines/>
      </w:pPr>
      <w:r>
        <w:t>www.floridapsc.com</w:t>
      </w:r>
    </w:p>
    <w:p w:rsidR="00836BE6" w:rsidRDefault="00836BE6" w:rsidP="00836BE6">
      <w:pPr>
        <w:pStyle w:val="OrderSigInfo"/>
        <w:keepNext/>
        <w:keepLines/>
      </w:pPr>
    </w:p>
    <w:p w:rsidR="00836BE6" w:rsidRDefault="00836BE6" w:rsidP="00836BE6">
      <w:pPr>
        <w:pStyle w:val="OrderSigInfo"/>
        <w:keepNext/>
        <w:keepLines/>
      </w:pPr>
      <w:r>
        <w:t>Copies furnished:  A copy of this document is provided to the parties of record at the time of issuance and, if applicable, interested persons.</w:t>
      </w:r>
    </w:p>
    <w:p w:rsidR="00836BE6" w:rsidRDefault="00836BE6" w:rsidP="00836BE6">
      <w:pPr>
        <w:pStyle w:val="OrderBody"/>
        <w:keepNext/>
        <w:keepLines/>
      </w:pPr>
    </w:p>
    <w:p w:rsidR="00836BE6" w:rsidRDefault="00836BE6" w:rsidP="00836BE6">
      <w:pPr>
        <w:pStyle w:val="BodyText"/>
        <w:keepNext/>
        <w:keepLines/>
        <w:jc w:val="both"/>
      </w:pPr>
      <w:r>
        <w:t>SBr</w:t>
      </w:r>
    </w:p>
    <w:p w:rsidR="00625154" w:rsidRDefault="00625154" w:rsidP="00625154">
      <w:pPr>
        <w:pStyle w:val="CenterUnderline"/>
      </w:pPr>
      <w:r>
        <w:t>NOTICE OF FURTHER PROCEEDINGS OR JUDICIAL REVIEW</w:t>
      </w:r>
    </w:p>
    <w:p w:rsidR="00625154" w:rsidRDefault="00625154" w:rsidP="00625154">
      <w:pPr>
        <w:pStyle w:val="OrderBody"/>
      </w:pPr>
    </w:p>
    <w:p w:rsidR="00625154" w:rsidRDefault="00625154" w:rsidP="0062515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25154" w:rsidRDefault="00625154" w:rsidP="00625154">
      <w:pPr>
        <w:pStyle w:val="OrderBody"/>
      </w:pPr>
    </w:p>
    <w:p w:rsidR="00625154" w:rsidRDefault="00625154" w:rsidP="00625154">
      <w:pPr>
        <w:pStyle w:val="OrderBody"/>
      </w:pPr>
      <w:r>
        <w:tab/>
        <w:t xml:space="preserve">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w:t>
      </w:r>
      <w:r>
        <w:lastRenderedPageBreak/>
        <w:t>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25154" w:rsidRDefault="00625154" w:rsidP="00625154">
      <w:pPr>
        <w:pStyle w:val="OrderBody"/>
      </w:pPr>
    </w:p>
    <w:p w:rsidR="00625154" w:rsidRDefault="00625154" w:rsidP="00625154">
      <w:pPr>
        <w:pStyle w:val="OrderBody"/>
      </w:pPr>
    </w:p>
    <w:sectPr w:rsidR="0062515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B1E" w:rsidRDefault="00C37B1E">
      <w:r>
        <w:separator/>
      </w:r>
    </w:p>
  </w:endnote>
  <w:endnote w:type="continuationSeparator" w:id="0">
    <w:p w:rsidR="00C37B1E" w:rsidRDefault="00C37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B1E" w:rsidRDefault="00C37B1E">
    <w:pPr>
      <w:pStyle w:val="Footer"/>
    </w:pPr>
  </w:p>
  <w:p w:rsidR="00C37B1E" w:rsidRDefault="00C37B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B1E" w:rsidRDefault="00C37B1E">
      <w:r>
        <w:separator/>
      </w:r>
    </w:p>
  </w:footnote>
  <w:footnote w:type="continuationSeparator" w:id="0">
    <w:p w:rsidR="00C37B1E" w:rsidRDefault="00C37B1E">
      <w:r>
        <w:continuationSeparator/>
      </w:r>
    </w:p>
  </w:footnote>
  <w:footnote w:id="1">
    <w:p w:rsidR="00C37B1E" w:rsidRDefault="00C37B1E" w:rsidP="00D40F1D">
      <w:pPr>
        <w:pStyle w:val="FootnoteText"/>
      </w:pPr>
      <w:r>
        <w:rPr>
          <w:rStyle w:val="FootnoteReference"/>
        </w:rPr>
        <w:footnoteRef/>
      </w:r>
      <w:r>
        <w:t xml:space="preserve">Order No. PSC-2020-0415-PHO-EI, issued October 30, 2020, in Docket No. 20200001-EI, </w:t>
      </w:r>
      <w:r>
        <w:rPr>
          <w:i/>
          <w:iCs/>
        </w:rPr>
        <w:t>In re: Fuel and purchased power cost recovery clause with generating performance incentive factor</w:t>
      </w:r>
      <w:r>
        <w:t xml:space="preserve">, and Order No. PSC-2020-0439-FOF-EI, issued November 16, 2020, Docket No. 20200001-EI, </w:t>
      </w:r>
      <w:r>
        <w:rPr>
          <w:i/>
          <w:iCs/>
        </w:rPr>
        <w:t>In re: Fuel and purchased power cost recovery clause with generating performance incentive factor</w:t>
      </w:r>
      <w:r>
        <w:t>.</w:t>
      </w:r>
    </w:p>
  </w:footnote>
  <w:footnote w:id="2">
    <w:p w:rsidR="00C37B1E" w:rsidRDefault="00C37B1E" w:rsidP="00D40F1D">
      <w:pPr>
        <w:pStyle w:val="FootnoteText"/>
      </w:pPr>
      <w:r>
        <w:rPr>
          <w:rStyle w:val="FootnoteReference"/>
        </w:rPr>
        <w:footnoteRef/>
      </w:r>
      <w:r>
        <w:t>A Type 2 stipulation occurs on an issue when the utility and Commission staff, or the utility and at least one party adversarial to the utility, agree on the resolution of the issue and the remaining parties (including staff if they do not join in the agreement) do not object to this Commission relying on the agreed language to resolve that issue in a final order.</w:t>
      </w:r>
    </w:p>
  </w:footnote>
  <w:footnote w:id="3">
    <w:p w:rsidR="00C37B1E" w:rsidRPr="00C37B1E" w:rsidRDefault="00C37B1E" w:rsidP="00D40F1D">
      <w:pPr>
        <w:pStyle w:val="FootnoteText"/>
        <w:rPr>
          <w:i/>
        </w:rPr>
      </w:pPr>
      <w:r>
        <w:rPr>
          <w:rStyle w:val="FootnoteReference"/>
        </w:rPr>
        <w:footnoteRef/>
      </w:r>
      <w:r w:rsidRPr="00F97F23">
        <w:t>Order No. PSC-2020-0154-PCO-EI</w:t>
      </w:r>
      <w:r>
        <w:t xml:space="preserve">, issued May 14, 2020, in Docket No. 20200001-EI, </w:t>
      </w:r>
      <w:r>
        <w:rPr>
          <w:i/>
        </w:rPr>
        <w:t>In re: Fuel and purchased power cost recovery clause with generating performance incentive factor.</w:t>
      </w:r>
    </w:p>
  </w:footnote>
  <w:footnote w:id="4">
    <w:p w:rsidR="00C37B1E" w:rsidRDefault="00C37B1E" w:rsidP="006A1242">
      <w:pPr>
        <w:pStyle w:val="FootnoteText"/>
      </w:pPr>
      <w:r>
        <w:rPr>
          <w:rStyle w:val="FootnoteReference"/>
        </w:rPr>
        <w:footnoteRef/>
      </w:r>
      <w:r w:rsidRPr="0060238B">
        <w:t xml:space="preserve">Order No. PSC-01-2371-FOF-EI, </w:t>
      </w:r>
      <w:r>
        <w:t>i</w:t>
      </w:r>
      <w:r w:rsidRPr="0060238B">
        <w:t xml:space="preserve">ssued December 7, 2001, in Docket No. 010283-EI, </w:t>
      </w:r>
      <w:r w:rsidRPr="0060238B">
        <w:rPr>
          <w:i/>
          <w:iCs/>
        </w:rPr>
        <w:t>In re: Calculation of gains and appropriate regulatory treatment for non-separated wholesale energy sales by investor-owned electric utilities</w:t>
      </w:r>
      <w:r w:rsidRPr="0060238B">
        <w:t>.</w:t>
      </w:r>
    </w:p>
  </w:footnote>
  <w:footnote w:id="5">
    <w:p w:rsidR="00C37B1E" w:rsidRDefault="00C37B1E" w:rsidP="00324A2A">
      <w:pPr>
        <w:pStyle w:val="FootnoteText"/>
      </w:pPr>
      <w:r>
        <w:rPr>
          <w:rStyle w:val="FootnoteReference"/>
        </w:rPr>
        <w:footnoteRef/>
      </w:r>
      <w:r w:rsidRPr="00E6205F">
        <w:t xml:space="preserve">Order No. PSC-00-1744-PAA-EI, </w:t>
      </w:r>
      <w:r>
        <w:t>i</w:t>
      </w:r>
      <w:r w:rsidRPr="00E6205F">
        <w:t xml:space="preserve">ssued September 26, 2000, in Docket No. 991779-EI, </w:t>
      </w:r>
      <w:r w:rsidRPr="00BE4DB8">
        <w:rPr>
          <w:i/>
          <w:iCs/>
        </w:rPr>
        <w:t xml:space="preserve">In re: Review of the appropriate application of incentives to wholesale power sales by investor-owned electric utilities </w:t>
      </w:r>
      <w:r w:rsidRPr="00194D8A">
        <w:t>a</w:t>
      </w:r>
      <w:r>
        <w:t>nd Order No. PSC-01-2371-FOF-EI, i</w:t>
      </w:r>
      <w:r w:rsidRPr="0060238B">
        <w:t xml:space="preserve">ssued December 7, 2001, in Docket No. 010283-EI, </w:t>
      </w:r>
      <w:r w:rsidRPr="0060238B">
        <w:rPr>
          <w:i/>
          <w:iCs/>
        </w:rPr>
        <w:t>In re: Calculation of gains and appropriate regulatory treatment for non-separated wholesale energy sales by investor-owned electric utilities</w:t>
      </w:r>
      <w:r w:rsidRPr="0060238B">
        <w:t>.</w:t>
      </w:r>
    </w:p>
  </w:footnote>
  <w:footnote w:id="6">
    <w:p w:rsidR="00C37B1E" w:rsidRDefault="00C37B1E" w:rsidP="00CC263E">
      <w:pPr>
        <w:pStyle w:val="FootnoteText"/>
      </w:pPr>
      <w:r>
        <w:rPr>
          <w:rStyle w:val="FootnoteReference"/>
        </w:rPr>
        <w:footnoteRef/>
      </w:r>
      <w:r w:rsidRPr="007E4C4F">
        <w:t xml:space="preserve">Order No. PSC-2018-0610-FOF-EI, </w:t>
      </w:r>
      <w:r>
        <w:t>i</w:t>
      </w:r>
      <w:r w:rsidRPr="007E4C4F">
        <w:t xml:space="preserve">ssued December 26, 2018, Docket No. 20180001-EI, </w:t>
      </w:r>
      <w:r w:rsidRPr="007E68DD">
        <w:rPr>
          <w:i/>
          <w:iCs/>
        </w:rPr>
        <w:t>In re: Fuel and purchased power cost recovery clause with generating performance incentive factor</w:t>
      </w:r>
      <w:r>
        <w:t>.</w:t>
      </w:r>
    </w:p>
  </w:footnote>
  <w:footnote w:id="7">
    <w:p w:rsidR="00C37B1E" w:rsidRDefault="00C37B1E" w:rsidP="008260CF">
      <w:pPr>
        <w:pStyle w:val="FootnoteText"/>
      </w:pPr>
      <w:r>
        <w:rPr>
          <w:rStyle w:val="FootnoteReference"/>
        </w:rPr>
        <w:footnoteRef/>
      </w:r>
      <w:r w:rsidR="00E35EF3">
        <w:t xml:space="preserve">Rule </w:t>
      </w:r>
      <w:r w:rsidRPr="00715E31">
        <w:t>25-6.0131</w:t>
      </w:r>
      <w:r>
        <w:t>, F.A.C.,</w:t>
      </w:r>
      <w:r w:rsidRPr="00715E31">
        <w:t xml:space="preserve"> </w:t>
      </w:r>
      <w:r w:rsidRPr="00715E31">
        <w:rPr>
          <w:i/>
          <w:iCs/>
        </w:rPr>
        <w:t>Regulatory Assessment Fees; Investor-owned Electric Companies, Municipal Electric Utilities, Rural Electric Cooperatives</w:t>
      </w:r>
      <w:r w:rsidRPr="00715E31">
        <w:t>.</w:t>
      </w:r>
    </w:p>
  </w:footnote>
  <w:footnote w:id="8">
    <w:p w:rsidR="00C37B1E" w:rsidRPr="00717120" w:rsidRDefault="00C37B1E" w:rsidP="008260CF">
      <w:pPr>
        <w:pStyle w:val="FootnoteText"/>
      </w:pPr>
      <w:r w:rsidRPr="00717120">
        <w:rPr>
          <w:rStyle w:val="FootnoteReference"/>
        </w:rPr>
        <w:footnoteRef/>
      </w:r>
      <w:r w:rsidRPr="00717120">
        <w:t xml:space="preserve">Order No. PSC-2017-0451-AS-EU, </w:t>
      </w:r>
      <w:r>
        <w:t>i</w:t>
      </w:r>
      <w:r w:rsidRPr="00717120">
        <w:t xml:space="preserve">ssued November 20, 2017, in Docket No. 20170183-EI, </w:t>
      </w:r>
      <w:r w:rsidRPr="002532DD">
        <w:rPr>
          <w:i/>
          <w:iCs/>
        </w:rPr>
        <w:t>In re: Application for limited proceeding to approve 2017 second revised and restated settlement agreement, including certain rate adjustments, by Duke Energy Florida, LLC</w:t>
      </w:r>
      <w:r w:rsidRPr="00717120">
        <w:t xml:space="preserve">; Docket No. 20100437-EI, </w:t>
      </w:r>
      <w:r w:rsidRPr="002532DD">
        <w:rPr>
          <w:i/>
          <w:iCs/>
        </w:rPr>
        <w:t>In re: Examination of the outage and replacement fuel/power costs associated with the CR3 steam generator replacement project, by Progress Energy Florida, Inc</w:t>
      </w:r>
      <w:r w:rsidRPr="00717120">
        <w:t>.; Docket No. 20150171-EI</w:t>
      </w:r>
      <w:r w:rsidRPr="002532DD">
        <w:rPr>
          <w:i/>
          <w:iCs/>
        </w:rPr>
        <w:t>, In re: Petition for issuance of nuclear asset-recovery financing order, by Duke Energy Florida, Inc. d/b/a Duke Energy</w:t>
      </w:r>
      <w:r w:rsidRPr="00717120">
        <w:t xml:space="preserve">; Docket No. 20170001-EI, </w:t>
      </w:r>
      <w:r w:rsidRPr="002532DD">
        <w:rPr>
          <w:i/>
          <w:iCs/>
        </w:rPr>
        <w:t>In re: Fuel and purchased power cost recovery clause with generating performance incentive factor</w:t>
      </w:r>
      <w:r w:rsidRPr="00717120">
        <w:t xml:space="preserve">; Docket No. 20170002-EG, </w:t>
      </w:r>
      <w:r w:rsidRPr="002532DD">
        <w:rPr>
          <w:i/>
          <w:iCs/>
        </w:rPr>
        <w:t>In re: Energy conservation cost recovery clause</w:t>
      </w:r>
      <w:r w:rsidRPr="00717120">
        <w:t xml:space="preserve">; Docket No. 20170009-EI, </w:t>
      </w:r>
      <w:r w:rsidRPr="002532DD">
        <w:rPr>
          <w:i/>
          <w:iCs/>
        </w:rPr>
        <w:t>In re: Nuclear cost recovery clause</w:t>
      </w:r>
      <w:r w:rsidRPr="00717120">
        <w:t>.</w:t>
      </w:r>
    </w:p>
  </w:footnote>
  <w:footnote w:id="9">
    <w:p w:rsidR="00C37B1E" w:rsidRPr="00717120" w:rsidRDefault="00C37B1E" w:rsidP="009A6D12">
      <w:pPr>
        <w:pStyle w:val="FootnoteText"/>
      </w:pPr>
      <w:r w:rsidRPr="00717120">
        <w:rPr>
          <w:rStyle w:val="FootnoteReference"/>
        </w:rPr>
        <w:footnoteRef/>
      </w:r>
      <w:r w:rsidRPr="00717120">
        <w:t>Order No. PSC-2017-0451-AS-EU.</w:t>
      </w:r>
    </w:p>
  </w:footnote>
  <w:footnote w:id="10">
    <w:p w:rsidR="00C37B1E" w:rsidRPr="009F5FCD" w:rsidRDefault="00C37B1E" w:rsidP="00BA4F27">
      <w:pPr>
        <w:pStyle w:val="FootnoteText"/>
        <w:rPr>
          <w:i/>
        </w:rPr>
      </w:pPr>
      <w:r>
        <w:rPr>
          <w:rStyle w:val="FootnoteReference"/>
        </w:rPr>
        <w:footnoteRef/>
      </w:r>
      <w:r w:rsidR="009F5FCD">
        <w:rPr>
          <w:i/>
        </w:rPr>
        <w:t>Id.</w:t>
      </w:r>
    </w:p>
  </w:footnote>
  <w:footnote w:id="11">
    <w:p w:rsidR="00C37B1E" w:rsidRPr="00456F01" w:rsidRDefault="00C37B1E" w:rsidP="00764D54">
      <w:pPr>
        <w:pStyle w:val="FootnoteText"/>
      </w:pPr>
      <w:r>
        <w:rPr>
          <w:rStyle w:val="FootnoteReference"/>
        </w:rPr>
        <w:footnoteRef/>
      </w:r>
      <w:r w:rsidRPr="00456F01">
        <w:t xml:space="preserve">Order No. PSC-2019-0159-FOF-EI, </w:t>
      </w:r>
      <w:r>
        <w:t>i</w:t>
      </w:r>
      <w:r w:rsidRPr="00456F01">
        <w:t xml:space="preserve">ssued April 30, 2019, in Docket No. 20180149-EI, </w:t>
      </w:r>
      <w:r w:rsidRPr="00456F01">
        <w:rPr>
          <w:i/>
          <w:iCs/>
        </w:rPr>
        <w:t>In re: Petition for a limited proceeding to approve first solar base rate adjustment, by Duke Energy Florida, LLC</w:t>
      </w:r>
      <w:r>
        <w:t xml:space="preserve">, and </w:t>
      </w:r>
      <w:r w:rsidRPr="00456F01">
        <w:t xml:space="preserve">Order No. PSC-2019-0292-FOF-EI, </w:t>
      </w:r>
      <w:r>
        <w:t>i</w:t>
      </w:r>
      <w:r w:rsidRPr="00456F01">
        <w:t>ssued July 22, 2019, in Docket N</w:t>
      </w:r>
      <w:r>
        <w:t>o</w:t>
      </w:r>
      <w:r w:rsidRPr="00456F01">
        <w:t xml:space="preserve">. 20190072-EI, </w:t>
      </w:r>
      <w:r w:rsidRPr="00456F01">
        <w:rPr>
          <w:i/>
          <w:iCs/>
        </w:rPr>
        <w:t>In re: Petition for a limited proceeding to approve second solar base rate adjustment, by Duke Energy Florida, LLC</w:t>
      </w:r>
      <w:r>
        <w:t>.</w:t>
      </w:r>
    </w:p>
  </w:footnote>
  <w:footnote w:id="12">
    <w:p w:rsidR="00C37B1E" w:rsidRPr="00717120" w:rsidRDefault="00C37B1E" w:rsidP="00764D54">
      <w:pPr>
        <w:pStyle w:val="FootnoteText"/>
      </w:pPr>
      <w:r w:rsidRPr="00717120">
        <w:rPr>
          <w:rStyle w:val="FootnoteReference"/>
        </w:rPr>
        <w:footnoteRef/>
      </w:r>
      <w:r w:rsidRPr="00717120">
        <w:t>Order No. PSC-2017-0451-AS-EU.</w:t>
      </w:r>
    </w:p>
  </w:footnote>
  <w:footnote w:id="13">
    <w:p w:rsidR="00C37B1E" w:rsidRDefault="00C37B1E" w:rsidP="00F6691E">
      <w:pPr>
        <w:pStyle w:val="FootnoteText"/>
      </w:pPr>
      <w:r>
        <w:rPr>
          <w:rStyle w:val="FootnoteReference"/>
        </w:rPr>
        <w:footnoteRef/>
      </w:r>
      <w:r w:rsidRPr="00717120">
        <w:t>Order No. PSC-2017-0451-AS-EU</w:t>
      </w:r>
      <w:r>
        <w:t>.</w:t>
      </w:r>
    </w:p>
  </w:footnote>
  <w:footnote w:id="14">
    <w:p w:rsidR="00C37B1E" w:rsidRDefault="00C37B1E" w:rsidP="00F6691E">
      <w:pPr>
        <w:pStyle w:val="FootnoteText"/>
      </w:pPr>
      <w:r>
        <w:rPr>
          <w:rStyle w:val="FootnoteReference"/>
        </w:rPr>
        <w:footnoteRef/>
      </w:r>
      <w:r w:rsidRPr="00717120">
        <w:t>Order No. PSC-2017-0451-AS-EU</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B1E" w:rsidRDefault="00C37B1E">
    <w:pPr>
      <w:pStyle w:val="OrderHeader"/>
    </w:pPr>
    <w:r>
      <w:t xml:space="preserve">ORDER NO. </w:t>
    </w:r>
    <w:fldSimple w:instr=" REF OrderNo0024 ">
      <w:r w:rsidR="00ED4E65">
        <w:t>PSC-2021-0024-FOF-EI</w:t>
      </w:r>
    </w:fldSimple>
  </w:p>
  <w:p w:rsidR="00C37B1E" w:rsidRDefault="00412481">
    <w:pPr>
      <w:pStyle w:val="OrderHeader"/>
    </w:pPr>
    <w:bookmarkStart w:id="12" w:name="HeaderDocketNo"/>
    <w:bookmarkEnd w:id="12"/>
    <w:r>
      <w:t xml:space="preserve">DOCKET NO. </w:t>
    </w:r>
    <w:r w:rsidR="00DD52FF" w:rsidRPr="00DD52FF">
      <w:t>20210001</w:t>
    </w:r>
    <w:r w:rsidR="00C37B1E">
      <w:t>-EI</w:t>
    </w:r>
  </w:p>
  <w:p w:rsidR="00C37B1E" w:rsidRDefault="00C37B1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D4E65">
      <w:rPr>
        <w:rStyle w:val="PageNumber"/>
        <w:noProof/>
      </w:rPr>
      <w:t>14</w:t>
    </w:r>
    <w:r>
      <w:rPr>
        <w:rStyle w:val="PageNumber"/>
      </w:rPr>
      <w:fldChar w:fldCharType="end"/>
    </w:r>
  </w:p>
  <w:p w:rsidR="00C37B1E" w:rsidRDefault="00C37B1E">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D40F1D"/>
    <w:rsid w:val="000022B8"/>
    <w:rsid w:val="00025C9D"/>
    <w:rsid w:val="0003433F"/>
    <w:rsid w:val="00035A8C"/>
    <w:rsid w:val="00036BDD"/>
    <w:rsid w:val="00053AB9"/>
    <w:rsid w:val="00056229"/>
    <w:rsid w:val="00057AF1"/>
    <w:rsid w:val="00065FC2"/>
    <w:rsid w:val="00067685"/>
    <w:rsid w:val="00067B07"/>
    <w:rsid w:val="00071C29"/>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E7ABA"/>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4409"/>
    <w:rsid w:val="0022721A"/>
    <w:rsid w:val="00230BB9"/>
    <w:rsid w:val="00241CEF"/>
    <w:rsid w:val="0025124E"/>
    <w:rsid w:val="00252B30"/>
    <w:rsid w:val="002613E4"/>
    <w:rsid w:val="0026544B"/>
    <w:rsid w:val="00276CDC"/>
    <w:rsid w:val="00277655"/>
    <w:rsid w:val="002824B7"/>
    <w:rsid w:val="00282AC4"/>
    <w:rsid w:val="00293DC9"/>
    <w:rsid w:val="002956FF"/>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4A2A"/>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2D2E"/>
    <w:rsid w:val="003D4CCA"/>
    <w:rsid w:val="003D52A6"/>
    <w:rsid w:val="003D6416"/>
    <w:rsid w:val="003E1D48"/>
    <w:rsid w:val="003E711F"/>
    <w:rsid w:val="003F1D2B"/>
    <w:rsid w:val="00411DF2"/>
    <w:rsid w:val="00411E8F"/>
    <w:rsid w:val="00412481"/>
    <w:rsid w:val="004247F5"/>
    <w:rsid w:val="0042527B"/>
    <w:rsid w:val="00427EAC"/>
    <w:rsid w:val="004431B4"/>
    <w:rsid w:val="0045537F"/>
    <w:rsid w:val="00457DC7"/>
    <w:rsid w:val="004640B3"/>
    <w:rsid w:val="00472BCC"/>
    <w:rsid w:val="004747C3"/>
    <w:rsid w:val="004A25CD"/>
    <w:rsid w:val="004A26CC"/>
    <w:rsid w:val="004B2108"/>
    <w:rsid w:val="004B3A2B"/>
    <w:rsid w:val="004B70D3"/>
    <w:rsid w:val="004C312D"/>
    <w:rsid w:val="004D2D1B"/>
    <w:rsid w:val="004D5067"/>
    <w:rsid w:val="004D6838"/>
    <w:rsid w:val="004D72BC"/>
    <w:rsid w:val="004E469D"/>
    <w:rsid w:val="004E7F4F"/>
    <w:rsid w:val="004F2DDE"/>
    <w:rsid w:val="004F4063"/>
    <w:rsid w:val="004F71FA"/>
    <w:rsid w:val="004F7826"/>
    <w:rsid w:val="0050097F"/>
    <w:rsid w:val="00514B1F"/>
    <w:rsid w:val="00523C5C"/>
    <w:rsid w:val="00525E93"/>
    <w:rsid w:val="0052671D"/>
    <w:rsid w:val="005300C0"/>
    <w:rsid w:val="00540E6B"/>
    <w:rsid w:val="00551689"/>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515D"/>
    <w:rsid w:val="005E751B"/>
    <w:rsid w:val="005F3354"/>
    <w:rsid w:val="0060005E"/>
    <w:rsid w:val="0060095B"/>
    <w:rsid w:val="00601266"/>
    <w:rsid w:val="00610221"/>
    <w:rsid w:val="00610E73"/>
    <w:rsid w:val="00616DF2"/>
    <w:rsid w:val="00625154"/>
    <w:rsid w:val="006308BF"/>
    <w:rsid w:val="0063168D"/>
    <w:rsid w:val="00647025"/>
    <w:rsid w:val="0064730A"/>
    <w:rsid w:val="006531A4"/>
    <w:rsid w:val="00660774"/>
    <w:rsid w:val="0066389A"/>
    <w:rsid w:val="0066495C"/>
    <w:rsid w:val="00665CC7"/>
    <w:rsid w:val="00672612"/>
    <w:rsid w:val="00677F18"/>
    <w:rsid w:val="00690A60"/>
    <w:rsid w:val="00693483"/>
    <w:rsid w:val="006A0BF3"/>
    <w:rsid w:val="006A1242"/>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4D54"/>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5327"/>
    <w:rsid w:val="007C7134"/>
    <w:rsid w:val="007D3D20"/>
    <w:rsid w:val="007D742E"/>
    <w:rsid w:val="007E3AFD"/>
    <w:rsid w:val="00801DAD"/>
    <w:rsid w:val="00803189"/>
    <w:rsid w:val="00804230"/>
    <w:rsid w:val="00804E7A"/>
    <w:rsid w:val="00805FBB"/>
    <w:rsid w:val="008169A4"/>
    <w:rsid w:val="008260CF"/>
    <w:rsid w:val="008278FE"/>
    <w:rsid w:val="00832598"/>
    <w:rsid w:val="00833455"/>
    <w:rsid w:val="0083397E"/>
    <w:rsid w:val="0083534B"/>
    <w:rsid w:val="00836BE6"/>
    <w:rsid w:val="00842035"/>
    <w:rsid w:val="00842602"/>
    <w:rsid w:val="00842F9D"/>
    <w:rsid w:val="008449F0"/>
    <w:rsid w:val="00847B45"/>
    <w:rsid w:val="00863A66"/>
    <w:rsid w:val="008703D7"/>
    <w:rsid w:val="00874429"/>
    <w:rsid w:val="00875D22"/>
    <w:rsid w:val="00883D9A"/>
    <w:rsid w:val="008919EF"/>
    <w:rsid w:val="00892B20"/>
    <w:rsid w:val="008931BC"/>
    <w:rsid w:val="0089695B"/>
    <w:rsid w:val="00897F88"/>
    <w:rsid w:val="008A12EC"/>
    <w:rsid w:val="008B19A6"/>
    <w:rsid w:val="008B4EFB"/>
    <w:rsid w:val="008C21C8"/>
    <w:rsid w:val="008C6375"/>
    <w:rsid w:val="008C6A5B"/>
    <w:rsid w:val="008D498D"/>
    <w:rsid w:val="008D6D36"/>
    <w:rsid w:val="008E0693"/>
    <w:rsid w:val="008E0C6F"/>
    <w:rsid w:val="008E26A5"/>
    <w:rsid w:val="008E42D2"/>
    <w:rsid w:val="008E6328"/>
    <w:rsid w:val="008F578F"/>
    <w:rsid w:val="00902E49"/>
    <w:rsid w:val="009040EE"/>
    <w:rsid w:val="009057FD"/>
    <w:rsid w:val="00906FBA"/>
    <w:rsid w:val="009163E8"/>
    <w:rsid w:val="009228C7"/>
    <w:rsid w:val="00922A7F"/>
    <w:rsid w:val="00923A5E"/>
    <w:rsid w:val="00924FE7"/>
    <w:rsid w:val="00926E27"/>
    <w:rsid w:val="00931C8C"/>
    <w:rsid w:val="00934BCE"/>
    <w:rsid w:val="00943D21"/>
    <w:rsid w:val="0094504B"/>
    <w:rsid w:val="00964A38"/>
    <w:rsid w:val="0096515A"/>
    <w:rsid w:val="00966A9D"/>
    <w:rsid w:val="0096742B"/>
    <w:rsid w:val="009718C5"/>
    <w:rsid w:val="009924CF"/>
    <w:rsid w:val="00994100"/>
    <w:rsid w:val="009A6B17"/>
    <w:rsid w:val="009A6D12"/>
    <w:rsid w:val="009C4D56"/>
    <w:rsid w:val="009D4C29"/>
    <w:rsid w:val="009E23B5"/>
    <w:rsid w:val="009F5FCD"/>
    <w:rsid w:val="009F6AD2"/>
    <w:rsid w:val="00A00D8D"/>
    <w:rsid w:val="00A01BB6"/>
    <w:rsid w:val="00A4303C"/>
    <w:rsid w:val="00A46CAF"/>
    <w:rsid w:val="00A470FD"/>
    <w:rsid w:val="00A50B5E"/>
    <w:rsid w:val="00A5741F"/>
    <w:rsid w:val="00A62DAB"/>
    <w:rsid w:val="00A6757A"/>
    <w:rsid w:val="00A726A6"/>
    <w:rsid w:val="00A74842"/>
    <w:rsid w:val="00A846F1"/>
    <w:rsid w:val="00A924D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24FAB"/>
    <w:rsid w:val="00B3644F"/>
    <w:rsid w:val="00B4057A"/>
    <w:rsid w:val="00B40894"/>
    <w:rsid w:val="00B41039"/>
    <w:rsid w:val="00B42987"/>
    <w:rsid w:val="00B444AE"/>
    <w:rsid w:val="00B45E75"/>
    <w:rsid w:val="00B50876"/>
    <w:rsid w:val="00B51074"/>
    <w:rsid w:val="00B54DAA"/>
    <w:rsid w:val="00B552E0"/>
    <w:rsid w:val="00B55AB0"/>
    <w:rsid w:val="00B55EE5"/>
    <w:rsid w:val="00B6580F"/>
    <w:rsid w:val="00B67A43"/>
    <w:rsid w:val="00B71D1F"/>
    <w:rsid w:val="00B72CFF"/>
    <w:rsid w:val="00B73DE6"/>
    <w:rsid w:val="00B761CD"/>
    <w:rsid w:val="00B86EF0"/>
    <w:rsid w:val="00B96969"/>
    <w:rsid w:val="00B97900"/>
    <w:rsid w:val="00BA1229"/>
    <w:rsid w:val="00BA44A8"/>
    <w:rsid w:val="00BA49C5"/>
    <w:rsid w:val="00BA4F27"/>
    <w:rsid w:val="00BC3E61"/>
    <w:rsid w:val="00BC4AE3"/>
    <w:rsid w:val="00BC6BDE"/>
    <w:rsid w:val="00BC786E"/>
    <w:rsid w:val="00BD5C92"/>
    <w:rsid w:val="00BE50E6"/>
    <w:rsid w:val="00BE7A0C"/>
    <w:rsid w:val="00BF6691"/>
    <w:rsid w:val="00C028FC"/>
    <w:rsid w:val="00C037F2"/>
    <w:rsid w:val="00C0386D"/>
    <w:rsid w:val="00C065A1"/>
    <w:rsid w:val="00C10ED5"/>
    <w:rsid w:val="00C151A6"/>
    <w:rsid w:val="00C24098"/>
    <w:rsid w:val="00C30A4E"/>
    <w:rsid w:val="00C35CD2"/>
    <w:rsid w:val="00C37B1E"/>
    <w:rsid w:val="00C411F3"/>
    <w:rsid w:val="00C44105"/>
    <w:rsid w:val="00C55A33"/>
    <w:rsid w:val="00C66692"/>
    <w:rsid w:val="00C673B5"/>
    <w:rsid w:val="00C7063D"/>
    <w:rsid w:val="00C830BC"/>
    <w:rsid w:val="00C8524D"/>
    <w:rsid w:val="00C87A4E"/>
    <w:rsid w:val="00C90904"/>
    <w:rsid w:val="00C91123"/>
    <w:rsid w:val="00CA1377"/>
    <w:rsid w:val="00CA28BE"/>
    <w:rsid w:val="00CA71FF"/>
    <w:rsid w:val="00CB5276"/>
    <w:rsid w:val="00CB5BFC"/>
    <w:rsid w:val="00CB68D7"/>
    <w:rsid w:val="00CB785B"/>
    <w:rsid w:val="00CC0BCE"/>
    <w:rsid w:val="00CC263E"/>
    <w:rsid w:val="00CC2B82"/>
    <w:rsid w:val="00CC7E68"/>
    <w:rsid w:val="00CD7132"/>
    <w:rsid w:val="00CE0E6F"/>
    <w:rsid w:val="00CE3B21"/>
    <w:rsid w:val="00CE56FC"/>
    <w:rsid w:val="00CE7A4D"/>
    <w:rsid w:val="00CF32D2"/>
    <w:rsid w:val="00CF4CFE"/>
    <w:rsid w:val="00D02E0F"/>
    <w:rsid w:val="00D03EE8"/>
    <w:rsid w:val="00D13535"/>
    <w:rsid w:val="00D15497"/>
    <w:rsid w:val="00D17B79"/>
    <w:rsid w:val="00D21771"/>
    <w:rsid w:val="00D23FEA"/>
    <w:rsid w:val="00D269CA"/>
    <w:rsid w:val="00D30B48"/>
    <w:rsid w:val="00D3168A"/>
    <w:rsid w:val="00D40F1D"/>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D52FF"/>
    <w:rsid w:val="00DE057F"/>
    <w:rsid w:val="00DE2082"/>
    <w:rsid w:val="00DE2289"/>
    <w:rsid w:val="00DF09A7"/>
    <w:rsid w:val="00DF2B51"/>
    <w:rsid w:val="00E001D6"/>
    <w:rsid w:val="00E03A76"/>
    <w:rsid w:val="00E04410"/>
    <w:rsid w:val="00E07484"/>
    <w:rsid w:val="00E11351"/>
    <w:rsid w:val="00E35EF3"/>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4E65"/>
    <w:rsid w:val="00ED6A79"/>
    <w:rsid w:val="00EE17DF"/>
    <w:rsid w:val="00EF1482"/>
    <w:rsid w:val="00EF4621"/>
    <w:rsid w:val="00EF4D52"/>
    <w:rsid w:val="00EF6312"/>
    <w:rsid w:val="00F038B0"/>
    <w:rsid w:val="00F05F34"/>
    <w:rsid w:val="00F10145"/>
    <w:rsid w:val="00F12375"/>
    <w:rsid w:val="00F22B27"/>
    <w:rsid w:val="00F234A7"/>
    <w:rsid w:val="00F277B6"/>
    <w:rsid w:val="00F27DA5"/>
    <w:rsid w:val="00F37E07"/>
    <w:rsid w:val="00F4182A"/>
    <w:rsid w:val="00F54380"/>
    <w:rsid w:val="00F54B47"/>
    <w:rsid w:val="00F61247"/>
    <w:rsid w:val="00F63191"/>
    <w:rsid w:val="00F6691E"/>
    <w:rsid w:val="00F6702E"/>
    <w:rsid w:val="00F70E84"/>
    <w:rsid w:val="00FA092B"/>
    <w:rsid w:val="00FA4F6C"/>
    <w:rsid w:val="00FA5789"/>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D40F1D"/>
  </w:style>
  <w:style w:type="paragraph" w:customStyle="1" w:styleId="RecommendationMajorSectionHeading">
    <w:name w:val="Recommendation Major Section Heading"/>
    <w:basedOn w:val="Heading1"/>
    <w:next w:val="BodyText"/>
    <w:rsid w:val="00CA28BE"/>
    <w:pPr>
      <w:jc w:val="center"/>
    </w:pPr>
    <w:rPr>
      <w:rFonts w:ascii="Arial" w:hAnsi="Arial"/>
      <w:b/>
    </w:rPr>
  </w:style>
  <w:style w:type="paragraph" w:styleId="BalloonText">
    <w:name w:val="Balloon Text"/>
    <w:basedOn w:val="Normal"/>
    <w:link w:val="BalloonTextChar"/>
    <w:semiHidden/>
    <w:unhideWhenUsed/>
    <w:rsid w:val="009C4D56"/>
    <w:rPr>
      <w:rFonts w:ascii="Tahoma" w:hAnsi="Tahoma" w:cs="Tahoma"/>
      <w:sz w:val="16"/>
      <w:szCs w:val="16"/>
    </w:rPr>
  </w:style>
  <w:style w:type="character" w:customStyle="1" w:styleId="BalloonTextChar">
    <w:name w:val="Balloon Text Char"/>
    <w:basedOn w:val="DefaultParagraphFont"/>
    <w:link w:val="BalloonText"/>
    <w:semiHidden/>
    <w:rsid w:val="009C4D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777F5-CCF8-4D0A-AC86-47A753B4F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15</Pages>
  <Words>5248</Words>
  <Characters>29914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2021-01-06T18:49:00Z</dcterms:created>
  <dcterms:modified xsi:type="dcterms:W3CDTF">2021-01-06T20:59:00Z</dcterms:modified>
</cp:coreProperties>
</file>