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54"/>
        <w:gridCol w:w="948"/>
        <w:gridCol w:w="1488"/>
        <w:gridCol w:w="5785"/>
      </w:tblGrid>
      <w:tr w:rsidR="007C0528">
        <w:tc>
          <w:tcPr>
            <w:tcW w:w="2202" w:type="dxa"/>
            <w:gridSpan w:val="2"/>
            <w:tcBorders>
              <w:top w:val="nil"/>
              <w:left w:val="nil"/>
              <w:bottom w:val="single" w:sz="24" w:space="0" w:color="auto"/>
              <w:right w:val="nil"/>
            </w:tcBorders>
            <w:shd w:val="clear" w:color="auto" w:fill="auto"/>
            <w:tcMar>
              <w:top w:w="0" w:type="dxa"/>
              <w:left w:w="0" w:type="dxa"/>
              <w:bottom w:w="0" w:type="dxa"/>
              <w:right w:w="0" w:type="dxa"/>
            </w:tcMar>
          </w:tcPr>
          <w:p w:rsidR="007C0528" w:rsidRDefault="007C0528" w:rsidP="00532DFB">
            <w:pPr>
              <w:pStyle w:val="MastHeadState"/>
            </w:pPr>
            <w:bookmarkStart w:id="0" w:name="_GoBack"/>
            <w:bookmarkEnd w:id="0"/>
            <w:r>
              <w:t>State of Florida</w:t>
            </w:r>
          </w:p>
          <w:p w:rsidR="007C0528" w:rsidRDefault="00072CCA">
            <w:pPr>
              <w:jc w:val="center"/>
            </w:pPr>
            <w:r>
              <w:rPr>
                <w:noProof/>
              </w:rPr>
              <w:drawing>
                <wp:inline distT="0" distB="0" distL="0" distR="0">
                  <wp:extent cx="923925" cy="914400"/>
                  <wp:effectExtent l="0" t="0" r="9525" b="0"/>
                  <wp:docPr id="1" name="Picture 1" descr="psc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cSEA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23925" cy="914400"/>
                          </a:xfrm>
                          <a:prstGeom prst="rect">
                            <a:avLst/>
                          </a:prstGeom>
                          <a:noFill/>
                          <a:ln>
                            <a:noFill/>
                          </a:ln>
                        </pic:spPr>
                      </pic:pic>
                    </a:graphicData>
                  </a:graphic>
                </wp:inline>
              </w:drawing>
            </w:r>
          </w:p>
          <w:p w:rsidR="007C0528" w:rsidRDefault="007C0528"/>
        </w:tc>
        <w:tc>
          <w:tcPr>
            <w:tcW w:w="7273" w:type="dxa"/>
            <w:gridSpan w:val="2"/>
            <w:tcBorders>
              <w:top w:val="nil"/>
              <w:left w:val="nil"/>
              <w:bottom w:val="single" w:sz="24" w:space="0" w:color="auto"/>
              <w:right w:val="nil"/>
            </w:tcBorders>
            <w:shd w:val="clear" w:color="auto" w:fill="auto"/>
            <w:vAlign w:val="bottom"/>
          </w:tcPr>
          <w:p w:rsidR="007C0528" w:rsidRDefault="007C0528">
            <w:pPr>
              <w:pStyle w:val="MastHeadPSC"/>
            </w:pPr>
            <w:r>
              <w:t>Public Service Commission</w:t>
            </w:r>
          </w:p>
          <w:p w:rsidR="007C0528" w:rsidRDefault="007C0528">
            <w:pPr>
              <w:pStyle w:val="MastHeadAddress"/>
            </w:pPr>
            <w:r>
              <w:t>Capital Circle Office Center ● 2540 Shumard Oak Boulevard</w:t>
            </w:r>
            <w:r>
              <w:br/>
              <w:t>Tallahassee, Florida 32399-0850</w:t>
            </w:r>
          </w:p>
          <w:p w:rsidR="007C0528" w:rsidRDefault="007C0528">
            <w:pPr>
              <w:pStyle w:val="MastHeadMemorandum"/>
            </w:pPr>
            <w:r>
              <w:t>-M-E-M-O-R-A-N-D-U-M-</w:t>
            </w:r>
          </w:p>
          <w:p w:rsidR="007C0528" w:rsidRDefault="007C0528">
            <w:pPr>
              <w:pStyle w:val="MemoHeading"/>
            </w:pPr>
          </w:p>
        </w:tc>
      </w:tr>
      <w:tr w:rsidR="007C0528">
        <w:tc>
          <w:tcPr>
            <w:tcW w:w="1254" w:type="dxa"/>
            <w:tcBorders>
              <w:top w:val="single" w:sz="24" w:space="0" w:color="auto"/>
              <w:left w:val="nil"/>
              <w:bottom w:val="nil"/>
              <w:right w:val="nil"/>
            </w:tcBorders>
            <w:shd w:val="clear" w:color="auto" w:fill="auto"/>
            <w:tcMar>
              <w:top w:w="288" w:type="dxa"/>
              <w:bottom w:w="0" w:type="dxa"/>
              <w:right w:w="0" w:type="dxa"/>
            </w:tcMar>
          </w:tcPr>
          <w:p w:rsidR="007C0528" w:rsidRDefault="007C0528" w:rsidP="00506C03">
            <w:pPr>
              <w:pStyle w:val="MemoHeadingLabel"/>
            </w:pPr>
            <w:r>
              <w:t>DATE:</w:t>
            </w:r>
          </w:p>
        </w:tc>
        <w:tc>
          <w:tcPr>
            <w:tcW w:w="8221" w:type="dxa"/>
            <w:gridSpan w:val="3"/>
            <w:tcBorders>
              <w:top w:val="single" w:sz="24" w:space="0" w:color="auto"/>
              <w:left w:val="nil"/>
              <w:bottom w:val="nil"/>
              <w:right w:val="nil"/>
            </w:tcBorders>
            <w:shd w:val="clear" w:color="auto" w:fill="auto"/>
            <w:tcMar>
              <w:bottom w:w="0" w:type="dxa"/>
            </w:tcMar>
          </w:tcPr>
          <w:p w:rsidR="007C0528" w:rsidRDefault="004F634E">
            <w:pPr>
              <w:pStyle w:val="MemoHeading"/>
            </w:pPr>
            <w:bookmarkStart w:id="1" w:name="FilingDate"/>
            <w:r>
              <w:t>March 19, 2021</w:t>
            </w:r>
            <w:bookmarkEnd w:id="1"/>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TO:</w:t>
            </w:r>
          </w:p>
        </w:tc>
        <w:tc>
          <w:tcPr>
            <w:tcW w:w="8221" w:type="dxa"/>
            <w:gridSpan w:val="3"/>
            <w:tcBorders>
              <w:top w:val="nil"/>
              <w:left w:val="nil"/>
              <w:bottom w:val="nil"/>
              <w:right w:val="nil"/>
            </w:tcBorders>
            <w:shd w:val="clear" w:color="auto" w:fill="auto"/>
            <w:tcMar>
              <w:top w:w="288" w:type="dxa"/>
              <w:bottom w:w="0" w:type="dxa"/>
            </w:tcMar>
          </w:tcPr>
          <w:p w:rsidR="007C0528" w:rsidRDefault="007C0528" w:rsidP="0093658B">
            <w:pPr>
              <w:pStyle w:val="MemoHeading"/>
            </w:pPr>
            <w:r>
              <w:t>Office of Commission Clerk (</w:t>
            </w:r>
            <w:r w:rsidR="004E69B5">
              <w:t>Teitzman</w:t>
            </w:r>
            <w:r>
              <w:t>)</w:t>
            </w:r>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FROM:</w:t>
            </w:r>
          </w:p>
        </w:tc>
        <w:tc>
          <w:tcPr>
            <w:tcW w:w="8221" w:type="dxa"/>
            <w:gridSpan w:val="3"/>
            <w:tcBorders>
              <w:top w:val="nil"/>
              <w:left w:val="nil"/>
              <w:bottom w:val="nil"/>
              <w:right w:val="nil"/>
            </w:tcBorders>
            <w:shd w:val="clear" w:color="auto" w:fill="auto"/>
            <w:tcMar>
              <w:top w:w="288" w:type="dxa"/>
              <w:bottom w:w="0" w:type="dxa"/>
            </w:tcMar>
          </w:tcPr>
          <w:p w:rsidR="004F634E" w:rsidRDefault="004F634E">
            <w:pPr>
              <w:pStyle w:val="MemoHeading"/>
            </w:pPr>
            <w:bookmarkStart w:id="2" w:name="From"/>
            <w:r>
              <w:t xml:space="preserve">Division of Accounting and </w:t>
            </w:r>
            <w:r w:rsidR="00D00C07">
              <w:t>Finance (Higgins</w:t>
            </w:r>
            <w:r>
              <w:t>)</w:t>
            </w:r>
          </w:p>
          <w:p w:rsidR="004F634E" w:rsidRDefault="004F634E">
            <w:pPr>
              <w:pStyle w:val="MemoHeading"/>
            </w:pPr>
            <w:r>
              <w:t>Division of Economics (Draper)</w:t>
            </w:r>
          </w:p>
          <w:p w:rsidR="007C0528" w:rsidRDefault="004F634E">
            <w:pPr>
              <w:pStyle w:val="MemoHeading"/>
            </w:pPr>
            <w:r>
              <w:t>Office of the General Counsel (Brownless)</w:t>
            </w:r>
            <w:bookmarkEnd w:id="2"/>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RE:</w:t>
            </w:r>
          </w:p>
        </w:tc>
        <w:tc>
          <w:tcPr>
            <w:tcW w:w="8221" w:type="dxa"/>
            <w:gridSpan w:val="3"/>
            <w:tcBorders>
              <w:top w:val="nil"/>
              <w:left w:val="nil"/>
              <w:bottom w:val="nil"/>
              <w:right w:val="nil"/>
            </w:tcBorders>
            <w:shd w:val="clear" w:color="auto" w:fill="auto"/>
            <w:tcMar>
              <w:top w:w="288" w:type="dxa"/>
            </w:tcMar>
          </w:tcPr>
          <w:p w:rsidR="007C0528" w:rsidRDefault="004F634E">
            <w:pPr>
              <w:pStyle w:val="MemoHeadingRe"/>
            </w:pPr>
            <w:bookmarkStart w:id="3" w:name="Re"/>
            <w:r>
              <w:t>Docket No. 20210001-EI – Fuel and purchased power cost recovery clause with generating performance incentive factor.</w:t>
            </w:r>
            <w:bookmarkEnd w:id="3"/>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AGENDA:</w:t>
            </w:r>
          </w:p>
        </w:tc>
        <w:tc>
          <w:tcPr>
            <w:tcW w:w="8221" w:type="dxa"/>
            <w:gridSpan w:val="3"/>
            <w:tcBorders>
              <w:top w:val="nil"/>
              <w:left w:val="nil"/>
              <w:bottom w:val="nil"/>
              <w:right w:val="nil"/>
            </w:tcBorders>
            <w:shd w:val="clear" w:color="auto" w:fill="auto"/>
            <w:tcMar>
              <w:top w:w="288" w:type="dxa"/>
            </w:tcMar>
          </w:tcPr>
          <w:p w:rsidR="007C0528" w:rsidRDefault="004F634E">
            <w:pPr>
              <w:pStyle w:val="MemoHeading"/>
            </w:pPr>
            <w:bookmarkStart w:id="4" w:name="AgendaDate"/>
            <w:r>
              <w:t>04/01/21</w:t>
            </w:r>
            <w:bookmarkEnd w:id="4"/>
            <w:r w:rsidR="007C0528">
              <w:t xml:space="preserve"> – </w:t>
            </w:r>
            <w:bookmarkStart w:id="5" w:name="PermittedStatus"/>
            <w:r>
              <w:t>Regular Agenda – Interested Persons May Participate</w:t>
            </w:r>
            <w:bookmarkEnd w:id="5"/>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COMMISSIONERS ASSIGNED:</w:t>
            </w:r>
          </w:p>
        </w:tc>
        <w:tc>
          <w:tcPr>
            <w:tcW w:w="5785" w:type="dxa"/>
            <w:tcBorders>
              <w:top w:val="nil"/>
              <w:left w:val="nil"/>
              <w:bottom w:val="nil"/>
              <w:right w:val="nil"/>
            </w:tcBorders>
            <w:shd w:val="clear" w:color="auto" w:fill="auto"/>
          </w:tcPr>
          <w:p w:rsidR="007C0528" w:rsidRDefault="004F634E">
            <w:pPr>
              <w:pStyle w:val="MemoHeading"/>
            </w:pPr>
            <w:bookmarkStart w:id="6" w:name="CommissionersAssigned"/>
            <w:r>
              <w:t>All Commissioners</w:t>
            </w:r>
            <w:bookmarkEnd w:id="6"/>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PREHEARING OFFICER:</w:t>
            </w:r>
          </w:p>
        </w:tc>
        <w:tc>
          <w:tcPr>
            <w:tcW w:w="5785" w:type="dxa"/>
            <w:tcBorders>
              <w:top w:val="nil"/>
              <w:left w:val="nil"/>
              <w:bottom w:val="nil"/>
              <w:right w:val="nil"/>
            </w:tcBorders>
            <w:shd w:val="clear" w:color="auto" w:fill="auto"/>
          </w:tcPr>
          <w:p w:rsidR="007C0528" w:rsidRDefault="004F634E">
            <w:pPr>
              <w:pStyle w:val="MemoHeading"/>
            </w:pPr>
            <w:bookmarkStart w:id="7" w:name="PrehearingOfficer"/>
            <w:r>
              <w:t>Fay</w:t>
            </w:r>
            <w:bookmarkEnd w:id="7"/>
          </w:p>
        </w:tc>
      </w:tr>
      <w:tr w:rsidR="007C0528" w:rsidTr="0093658B">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bookmarkStart w:id="8" w:name="CriticalDatesLabel"/>
            <w:r>
              <w:t>CRITICAL DATES:</w:t>
            </w:r>
            <w:bookmarkEnd w:id="8"/>
          </w:p>
        </w:tc>
        <w:tc>
          <w:tcPr>
            <w:tcW w:w="5785" w:type="dxa"/>
            <w:tcBorders>
              <w:top w:val="nil"/>
              <w:left w:val="nil"/>
              <w:bottom w:val="nil"/>
              <w:right w:val="nil"/>
            </w:tcBorders>
            <w:shd w:val="clear" w:color="auto" w:fill="auto"/>
          </w:tcPr>
          <w:p w:rsidR="007C0528" w:rsidRDefault="004F634E">
            <w:pPr>
              <w:pStyle w:val="MemoHeading"/>
            </w:pPr>
            <w:bookmarkStart w:id="9" w:name="CriticalDates"/>
            <w:r>
              <w:t>None</w:t>
            </w:r>
            <w:bookmarkEnd w:id="9"/>
          </w:p>
        </w:tc>
      </w:tr>
      <w:tr w:rsidR="007C0528" w:rsidTr="0093658B">
        <w:tc>
          <w:tcPr>
            <w:tcW w:w="3690" w:type="dxa"/>
            <w:gridSpan w:val="3"/>
            <w:tcBorders>
              <w:top w:val="nil"/>
              <w:left w:val="nil"/>
              <w:bottom w:val="single" w:sz="24" w:space="0" w:color="auto"/>
              <w:right w:val="nil"/>
            </w:tcBorders>
            <w:shd w:val="clear" w:color="auto" w:fill="auto"/>
            <w:tcMar>
              <w:top w:w="288" w:type="dxa"/>
              <w:bottom w:w="216" w:type="dxa"/>
              <w:right w:w="0" w:type="dxa"/>
            </w:tcMar>
          </w:tcPr>
          <w:p w:rsidR="007C0528" w:rsidRDefault="007C0528" w:rsidP="00506C03">
            <w:pPr>
              <w:pStyle w:val="MemoHeadingLabel"/>
            </w:pPr>
            <w:r>
              <w:t>SPECIAL INSTRUCTIONS:</w:t>
            </w:r>
          </w:p>
        </w:tc>
        <w:tc>
          <w:tcPr>
            <w:tcW w:w="5785" w:type="dxa"/>
            <w:tcBorders>
              <w:top w:val="nil"/>
              <w:left w:val="nil"/>
              <w:bottom w:val="single" w:sz="24" w:space="0" w:color="auto"/>
              <w:right w:val="nil"/>
            </w:tcBorders>
            <w:shd w:val="clear" w:color="auto" w:fill="auto"/>
            <w:tcMar>
              <w:bottom w:w="216" w:type="dxa"/>
            </w:tcMar>
          </w:tcPr>
          <w:p w:rsidR="007C0528" w:rsidRDefault="004F634E">
            <w:pPr>
              <w:pStyle w:val="MemoHeading"/>
            </w:pPr>
            <w:bookmarkStart w:id="10" w:name="SpecialInstructions"/>
            <w:r>
              <w:t>None</w:t>
            </w:r>
            <w:bookmarkEnd w:id="10"/>
          </w:p>
        </w:tc>
      </w:tr>
    </w:tbl>
    <w:p w:rsidR="007C0528" w:rsidRDefault="007C0528">
      <w:pPr>
        <w:pStyle w:val="BodyText"/>
      </w:pPr>
    </w:p>
    <w:p w:rsidR="007C0528" w:rsidRDefault="007C0528">
      <w:pPr>
        <w:pStyle w:val="RecommendationMajorSectionHeading"/>
      </w:pPr>
      <w:bookmarkStart w:id="11" w:name="RecToC"/>
      <w:bookmarkEnd w:id="11"/>
      <w:r>
        <w:t xml:space="preserve"> </w:t>
      </w:r>
      <w:bookmarkStart w:id="12" w:name="CaseBackground"/>
      <w:r>
        <w:t>Case Background</w:t>
      </w:r>
      <w:r>
        <w:fldChar w:fldCharType="begin"/>
      </w:r>
      <w:r>
        <w:instrText xml:space="preserve"> TC  "</w:instrText>
      </w:r>
      <w:r>
        <w:tab/>
      </w:r>
      <w:bookmarkStart w:id="13" w:name="_Toc94516455"/>
      <w:r>
        <w:instrText>Case Background</w:instrText>
      </w:r>
      <w:bookmarkEnd w:id="13"/>
      <w:r>
        <w:instrText xml:space="preserve">" \l 1 </w:instrText>
      </w:r>
      <w:r>
        <w:fldChar w:fldCharType="end"/>
      </w:r>
    </w:p>
    <w:p w:rsidR="004F634E" w:rsidRDefault="002F32A9" w:rsidP="001239A6">
      <w:pPr>
        <w:pStyle w:val="BodyText"/>
      </w:pPr>
      <w:r w:rsidRPr="002F32A9">
        <w:t>On February 26, 2021, Florida Power &amp; Light Company (FPL or Company) filed for a mid-course correction (MCC Petition) of its 2021 fuel cost recovery factors. FPL’s current fuel factors were originally approved on November 3, 2020.</w:t>
      </w:r>
      <w:r>
        <w:rPr>
          <w:rStyle w:val="FootnoteReference"/>
        </w:rPr>
        <w:footnoteReference w:id="1"/>
      </w:r>
      <w:r w:rsidRPr="002F32A9">
        <w:t xml:space="preserve"> Underlying the approval of FPL’s 2021 factors was the Florida Public Service Commission’s (Commission) review of the Company’s p</w:t>
      </w:r>
      <w:r w:rsidR="00B057CD">
        <w:t xml:space="preserve">rojected 2021 fuel and </w:t>
      </w:r>
      <w:r w:rsidRPr="002F32A9">
        <w:t>capacity related service costs. These service costs are recovered through the fuel and capacity cost recovery factors that are set/reset annually in this docket</w:t>
      </w:r>
      <w:r w:rsidR="00B057CD">
        <w:t>.</w:t>
      </w:r>
      <w:r w:rsidRPr="002F32A9">
        <w:t xml:space="preserve"> </w:t>
      </w:r>
      <w:r w:rsidR="00B057CD">
        <w:t>These cost recovery factors</w:t>
      </w:r>
      <w:r w:rsidRPr="002F32A9">
        <w:t xml:space="preserve"> are usually effective for a period of 12 months. However, the Commission requires that if an investor-owned electric company’s fuel or capacity cost recovery position is projected to </w:t>
      </w:r>
      <w:r w:rsidR="00002DB1">
        <w:t>exceed</w:t>
      </w:r>
      <w:r w:rsidRPr="002F32A9">
        <w:t xml:space="preserve"> a specified range within the standard 12-month timeframe, then a filing and analysis into the continued reasonableness of the prevailing cost recovery factors must be </w:t>
      </w:r>
      <w:r w:rsidRPr="002F32A9">
        <w:lastRenderedPageBreak/>
        <w:t>performed. This requirement is codified by Rule 25-6.0424, Florida Administrative Code (F.A.C.)</w:t>
      </w:r>
      <w:r w:rsidR="009F0AB4">
        <w:t>,</w:t>
      </w:r>
      <w:r w:rsidRPr="002F32A9">
        <w:t xml:space="preserve"> and is commonly referred to as the Commission’s “mid-course correction rule.” The Commission’s mid-course correction rule and its codified procedures are discussed in greater detail below.</w:t>
      </w:r>
    </w:p>
    <w:p w:rsidR="002F32A9" w:rsidRDefault="00A340FA" w:rsidP="002F32A9">
      <w:pPr>
        <w:pStyle w:val="BodyText"/>
        <w:spacing w:after="0"/>
        <w:rPr>
          <w:rFonts w:ascii="Arial" w:hAnsi="Arial" w:cs="Arial"/>
          <w:b/>
          <w:i/>
        </w:rPr>
      </w:pPr>
      <w:r>
        <w:rPr>
          <w:rFonts w:ascii="Arial" w:hAnsi="Arial" w:cs="Arial"/>
          <w:b/>
          <w:i/>
        </w:rPr>
        <w:t>Mid-Course Correction</w:t>
      </w:r>
    </w:p>
    <w:p w:rsidR="002F32A9" w:rsidRDefault="002F32A9" w:rsidP="002F32A9">
      <w:pPr>
        <w:pStyle w:val="BodyText"/>
        <w:spacing w:after="0"/>
      </w:pPr>
      <w:r>
        <w:t xml:space="preserve">Mid-course corrections are used by the Commission between </w:t>
      </w:r>
      <w:r w:rsidR="00002DB1">
        <w:t xml:space="preserve">annual </w:t>
      </w:r>
      <w:r>
        <w:t>fuel clause hearings when</w:t>
      </w:r>
      <w:r w:rsidR="00D204A1">
        <w:t>ever costs deviate from revenue</w:t>
      </w:r>
      <w:r>
        <w:t xml:space="preserve"> by a significant</w:t>
      </w:r>
      <w:r w:rsidR="009F2932">
        <w:t xml:space="preserve"> margin. Under Rule 25-6.0424, </w:t>
      </w:r>
      <w:r>
        <w:t>F.A.C., a utility must notify the Commission whenever it expects to experience an under- or over-recovery greate</w:t>
      </w:r>
      <w:r w:rsidR="00002DB1">
        <w:t>r than 10 percent.</w:t>
      </w:r>
    </w:p>
    <w:p w:rsidR="002F32A9" w:rsidRPr="005411D2" w:rsidRDefault="002F32A9" w:rsidP="002F32A9">
      <w:pPr>
        <w:pStyle w:val="BodyText"/>
        <w:spacing w:after="0"/>
      </w:pPr>
    </w:p>
    <w:p w:rsidR="002F32A9" w:rsidRPr="00D973DE" w:rsidRDefault="00315DC8" w:rsidP="002F32A9">
      <w:pPr>
        <w:pStyle w:val="BodyText"/>
        <w:spacing w:after="0"/>
      </w:pPr>
      <w:r>
        <w:t>O</w:t>
      </w:r>
      <w:r w:rsidR="002F32A9">
        <w:t>n February 26, 2021, the Company filed its MCC Petition and supporting documentation proposing a mid-course correction of its customer fuel charges.</w:t>
      </w:r>
      <w:r w:rsidR="002F32A9">
        <w:rPr>
          <w:rStyle w:val="FootnoteReference"/>
        </w:rPr>
        <w:footnoteReference w:id="2"/>
      </w:r>
      <w:r w:rsidR="002F32A9">
        <w:t xml:space="preserve"> Specifically, the Commission is being asked to approve an increase in customer fuel charges</w:t>
      </w:r>
      <w:r w:rsidR="00D0694B">
        <w:t xml:space="preserve"> due to the Compa</w:t>
      </w:r>
      <w:r w:rsidR="008F19EF">
        <w:t>ny now projecting an</w:t>
      </w:r>
      <w:r w:rsidR="00D0694B">
        <w:t xml:space="preserve"> under-recovery of </w:t>
      </w:r>
      <w:r w:rsidR="009F2932">
        <w:t>f</w:t>
      </w:r>
      <w:r w:rsidR="00D0694B">
        <w:t>uel costs</w:t>
      </w:r>
      <w:r w:rsidR="009F2932">
        <w:t xml:space="preserve"> in 2021</w:t>
      </w:r>
      <w:r w:rsidR="008F19EF">
        <w:t xml:space="preserve"> that </w:t>
      </w:r>
      <w:r w:rsidR="002A24F5">
        <w:t>exceeds</w:t>
      </w:r>
      <w:r w:rsidR="00D204A1">
        <w:t xml:space="preserve"> the 10</w:t>
      </w:r>
      <w:r w:rsidR="008F19EF">
        <w:t xml:space="preserve"> percent threshold</w:t>
      </w:r>
      <w:r w:rsidR="002F32A9">
        <w:t>. T</w:t>
      </w:r>
      <w:r w:rsidR="002F32A9" w:rsidRPr="00D973DE">
        <w:t>he proposed revisions to FPL’s currently-autho</w:t>
      </w:r>
      <w:r w:rsidR="002F32A9">
        <w:t>rized fuel charges</w:t>
      </w:r>
      <w:r w:rsidR="002F32A9" w:rsidRPr="00D973DE">
        <w:t xml:space="preserve"> </w:t>
      </w:r>
      <w:r w:rsidR="00D0694B">
        <w:t>are</w:t>
      </w:r>
      <w:r w:rsidR="002F32A9" w:rsidRPr="00D973DE">
        <w:t xml:space="preserve"> being driven by </w:t>
      </w:r>
      <w:r w:rsidR="00D204A1">
        <w:t xml:space="preserve">both </w:t>
      </w:r>
      <w:r w:rsidR="002F32A9" w:rsidRPr="00D973DE">
        <w:t>actual</w:t>
      </w:r>
      <w:r w:rsidR="002F32A9">
        <w:t xml:space="preserve"> 2020 and projected 2021</w:t>
      </w:r>
      <w:r w:rsidR="002F32A9" w:rsidRPr="00D973DE">
        <w:t xml:space="preserve"> fuel c</w:t>
      </w:r>
      <w:r w:rsidR="002F32A9">
        <w:t xml:space="preserve">osts being greater than originally projected, as well as other factors </w:t>
      </w:r>
      <w:r w:rsidR="008231D8">
        <w:t xml:space="preserve">that are </w:t>
      </w:r>
      <w:r w:rsidR="002F32A9">
        <w:t>discussed further in Issue 1.</w:t>
      </w:r>
    </w:p>
    <w:p w:rsidR="002F32A9" w:rsidRPr="000105CF" w:rsidRDefault="002F32A9" w:rsidP="002F32A9">
      <w:pPr>
        <w:pStyle w:val="BodyText"/>
        <w:spacing w:after="0"/>
      </w:pPr>
    </w:p>
    <w:p w:rsidR="002F32A9" w:rsidRPr="00B34A54" w:rsidRDefault="002F32A9" w:rsidP="002F32A9">
      <w:pPr>
        <w:pStyle w:val="BodyText"/>
        <w:spacing w:after="0"/>
        <w:rPr>
          <w:rFonts w:ascii="Arial" w:hAnsi="Arial" w:cs="Arial"/>
          <w:b/>
          <w:i/>
        </w:rPr>
      </w:pPr>
      <w:r w:rsidRPr="00B34A54">
        <w:rPr>
          <w:rFonts w:ascii="Arial" w:hAnsi="Arial" w:cs="Arial"/>
          <w:b/>
          <w:i/>
        </w:rPr>
        <w:t>Effective Date and Noticing Requirement</w:t>
      </w:r>
    </w:p>
    <w:p w:rsidR="002F32A9" w:rsidRPr="00D0694B" w:rsidRDefault="002F32A9" w:rsidP="002F32A9">
      <w:pPr>
        <w:pStyle w:val="BodyText"/>
        <w:spacing w:after="0"/>
      </w:pPr>
      <w:r w:rsidRPr="001F2A23">
        <w:t xml:space="preserve">FPL has requested that the </w:t>
      </w:r>
      <w:r w:rsidR="00315DC8">
        <w:t>p</w:t>
      </w:r>
      <w:r w:rsidRPr="001F2A23">
        <w:t>r</w:t>
      </w:r>
      <w:r w:rsidR="00315DC8">
        <w:t>opo</w:t>
      </w:r>
      <w:r w:rsidRPr="001F2A23">
        <w:t xml:space="preserve">sed fuel factors and associated tariffs become effective beginning April 2021. Staff refers to this scenario as FPL’s “as-filed request.” The </w:t>
      </w:r>
      <w:r w:rsidR="00315DC8">
        <w:t>proposed</w:t>
      </w:r>
      <w:r w:rsidRPr="001F2A23">
        <w:t xml:space="preserve"> fuel cost recovery factors are assumed effective through December 2021, or </w:t>
      </w:r>
      <w:r w:rsidR="009F2932">
        <w:t>for nine</w:t>
      </w:r>
      <w:r w:rsidRPr="001F2A23">
        <w:t xml:space="preserve"> months unless </w:t>
      </w:r>
      <w:r w:rsidR="00315DC8">
        <w:t xml:space="preserve">further </w:t>
      </w:r>
      <w:r w:rsidRPr="00D0694B">
        <w:t xml:space="preserve">amended by the Commission. </w:t>
      </w:r>
    </w:p>
    <w:p w:rsidR="002F32A9" w:rsidRPr="00D0694B" w:rsidRDefault="002F32A9" w:rsidP="002F32A9">
      <w:pPr>
        <w:pStyle w:val="BodyText"/>
        <w:spacing w:after="0"/>
      </w:pPr>
    </w:p>
    <w:p w:rsidR="002F32A9" w:rsidRDefault="002F32A9" w:rsidP="002F32A9">
      <w:pPr>
        <w:pStyle w:val="BodyText"/>
        <w:spacing w:after="0"/>
      </w:pPr>
      <w:r w:rsidRPr="00D0694B">
        <w:t>This matter is scheduled to be vote</w:t>
      </w:r>
      <w:r w:rsidR="0000648A">
        <w:t>d on at the April 1, 2021 Commission</w:t>
      </w:r>
      <w:r w:rsidRPr="00D0694B">
        <w:t xml:space="preserve"> Conference. Typically, effective dates </w:t>
      </w:r>
      <w:r w:rsidR="00997F41">
        <w:t xml:space="preserve">for rate increases are </w:t>
      </w:r>
      <w:r w:rsidRPr="00D0694B">
        <w:t>set a minimum of 30 days after a vote modifying charges. This time limit is imposed in order to avoid having new rates applied to energy consumed before the effective date of the Commission’s action, i.e., the date of the vote. In this instance, FPL in support of its case as filed, provided notice of its request for a mid-course correction of its fuel charges, subject to Commission approval, with its customer bills mailed at the beginning o</w:t>
      </w:r>
      <w:r w:rsidR="00872B62">
        <w:t>f March. Staff notes the customer bill</w:t>
      </w:r>
      <w:r w:rsidRPr="00D0694B">
        <w:t xml:space="preserve"> it reviewed as part of its analysis into the Company’s MCC Petition </w:t>
      </w:r>
      <w:r w:rsidR="00584BDD" w:rsidRPr="00D0694B">
        <w:t>reflecte</w:t>
      </w:r>
      <w:r w:rsidRPr="00D0694B">
        <w:t>d a March 2, 2021 statement date.</w:t>
      </w:r>
      <w:r w:rsidRPr="00D0694B">
        <w:rPr>
          <w:rStyle w:val="FootnoteReference"/>
        </w:rPr>
        <w:footnoteReference w:id="3"/>
      </w:r>
      <w:r>
        <w:t xml:space="preserve">  </w:t>
      </w:r>
    </w:p>
    <w:p w:rsidR="002F32A9" w:rsidRDefault="002F32A9" w:rsidP="002F32A9">
      <w:pPr>
        <w:pStyle w:val="BodyText"/>
        <w:spacing w:after="0"/>
      </w:pPr>
    </w:p>
    <w:p w:rsidR="001F2A23" w:rsidRPr="00D0694B" w:rsidRDefault="001F2A23" w:rsidP="002F32A9">
      <w:pPr>
        <w:pStyle w:val="BodyText"/>
        <w:spacing w:after="0"/>
      </w:pPr>
      <w:r w:rsidRPr="00D0694B">
        <w:rPr>
          <w:rFonts w:ascii="Arial" w:hAnsi="Arial" w:cs="Arial"/>
          <w:b/>
          <w:i/>
        </w:rPr>
        <w:t>Alternative Effective Date and Recovery Amounts</w:t>
      </w:r>
    </w:p>
    <w:p w:rsidR="002F32A9" w:rsidRDefault="008F19EF" w:rsidP="002F32A9">
      <w:pPr>
        <w:pStyle w:val="BodyText"/>
        <w:spacing w:after="0"/>
      </w:pPr>
      <w:r>
        <w:t>Staff discusses</w:t>
      </w:r>
      <w:r w:rsidR="00FA5C7D" w:rsidRPr="00D0694B">
        <w:t xml:space="preserve"> and supports its recommendation as to the effective date of revised fuel factors in Issue 2. Alternatively, d</w:t>
      </w:r>
      <w:r w:rsidR="002F32A9" w:rsidRPr="00D0694B">
        <w:t xml:space="preserve">uring the data collection phase of analyzing the Company’s MCC Petition, staff sought to develop various recovery options in both recovery amounts and recovery durations. Specifically, </w:t>
      </w:r>
      <w:r w:rsidR="001F2A23" w:rsidRPr="00D0694B">
        <w:rPr>
          <w:bCs/>
          <w:iCs/>
        </w:rPr>
        <w:t>with respect to varying the recovery amounts, staff sought to bifurcate the mid-course correction total net true-up of $302,560,580 into two components: the “final 2020 true-up” of $72,891,803, and the “estimated 2021 true-up” of $229,668,778. With respect to varying the recovery durations, both the final 2020 true-up a</w:t>
      </w:r>
      <w:r w:rsidR="00584BDD" w:rsidRPr="00D0694B">
        <w:rPr>
          <w:bCs/>
          <w:iCs/>
        </w:rPr>
        <w:t>nd the estimated 2021 true-up w</w:t>
      </w:r>
      <w:r w:rsidR="009F2932">
        <w:rPr>
          <w:bCs/>
          <w:iCs/>
        </w:rPr>
        <w:t>ere spread over the remaining nine</w:t>
      </w:r>
      <w:r w:rsidR="001F2A23" w:rsidRPr="00D0694B">
        <w:rPr>
          <w:bCs/>
          <w:iCs/>
        </w:rPr>
        <w:t xml:space="preserve"> months of the year, or from April 2021 through December 2021,</w:t>
      </w:r>
      <w:r w:rsidR="009F2932">
        <w:rPr>
          <w:bCs/>
          <w:iCs/>
        </w:rPr>
        <w:t xml:space="preserve"> as well as over the remaining eight</w:t>
      </w:r>
      <w:r w:rsidR="001F2A23" w:rsidRPr="00D0694B">
        <w:rPr>
          <w:bCs/>
          <w:iCs/>
        </w:rPr>
        <w:t xml:space="preserve"> months of the year, or from May 2021 through December 2021. </w:t>
      </w:r>
      <w:r w:rsidR="00B057CD" w:rsidRPr="00D0694B">
        <w:t>The results of this</w:t>
      </w:r>
      <w:r w:rsidR="002F32A9" w:rsidRPr="00D0694B">
        <w:t xml:space="preserve"> analysis are discussed further in Issue 1.</w:t>
      </w:r>
    </w:p>
    <w:p w:rsidR="002F32A9" w:rsidRDefault="002F32A9" w:rsidP="002F32A9">
      <w:pPr>
        <w:pStyle w:val="BodyText"/>
        <w:spacing w:after="0"/>
      </w:pPr>
    </w:p>
    <w:p w:rsidR="007C0528" w:rsidRDefault="002F32A9" w:rsidP="002F32A9">
      <w:pPr>
        <w:pStyle w:val="BodyText"/>
      </w:pPr>
      <w:r w:rsidRPr="008A52B0">
        <w:t xml:space="preserve">The Commission is vested with jurisdiction over the subject matter </w:t>
      </w:r>
      <w:r>
        <w:t xml:space="preserve">of this proceeding </w:t>
      </w:r>
      <w:r w:rsidRPr="008A52B0">
        <w:t>by the provisions of Chapter 366, Florida Statutes (F.S.), including Sections 366.04, 366.05, and 366.06, F.S.</w:t>
      </w:r>
    </w:p>
    <w:bookmarkEnd w:id="12"/>
    <w:p w:rsidR="00EA2273" w:rsidRDefault="00EA2273" w:rsidP="001239A6">
      <w:pPr>
        <w:pStyle w:val="BodyText"/>
        <w:sectPr w:rsidR="00EA2273">
          <w:headerReference w:type="default" r:id="rId9"/>
          <w:footerReference w:type="default" r:id="rId10"/>
          <w:type w:val="continuous"/>
          <w:pgSz w:w="12240" w:h="15840" w:code="1"/>
          <w:pgMar w:top="1584" w:right="1440" w:bottom="1440" w:left="1440" w:header="720" w:footer="720" w:gutter="0"/>
          <w:cols w:space="720"/>
          <w:formProt w:val="0"/>
          <w:titlePg/>
          <w:docGrid w:linePitch="360"/>
        </w:sectPr>
      </w:pPr>
    </w:p>
    <w:p w:rsidR="00046A69" w:rsidRDefault="007C0528" w:rsidP="001F2A23">
      <w:pPr>
        <w:pStyle w:val="RecommendationMajorSectionHeading"/>
      </w:pPr>
      <w:bookmarkStart w:id="16" w:name="DiscussionOfIssues"/>
      <w:r>
        <w:t>Discussion of Issues</w:t>
      </w:r>
      <w:bookmarkEnd w:id="16"/>
    </w:p>
    <w:p w:rsidR="001239A6" w:rsidRDefault="001239A6">
      <w:pPr>
        <w:pStyle w:val="IssueHeading"/>
        <w:rPr>
          <w:vanish/>
          <w:specVanish/>
        </w:rPr>
      </w:pPr>
      <w:r w:rsidRPr="004C3641">
        <w:t xml:space="preserve">Issue </w:t>
      </w:r>
      <w:r w:rsidR="000446E9">
        <w:fldChar w:fldCharType="begin"/>
      </w:r>
      <w:r w:rsidR="00046A69">
        <w:instrText>seq issue \r 1</w:instrText>
      </w:r>
      <w:r w:rsidR="000446E9">
        <w:fldChar w:fldCharType="separate"/>
      </w:r>
      <w:r w:rsidR="00D00C07">
        <w:rPr>
          <w:noProof/>
        </w:rPr>
        <w:t>1</w:t>
      </w:r>
      <w:r w:rsidR="000446E9">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r w:rsidR="00D00C07">
        <w:rPr>
          <w:noProof/>
        </w:rPr>
        <w:instrText>1</w:instrText>
      </w:r>
      <w:r>
        <w:fldChar w:fldCharType="end"/>
      </w:r>
      <w:r>
        <w:tab/>
        <w:instrText xml:space="preserve">(Higgins, Draper)" \l 1 </w:instrText>
      </w:r>
      <w:r>
        <w:fldChar w:fldCharType="end"/>
      </w:r>
      <w:r>
        <w:t> </w:t>
      </w:r>
    </w:p>
    <w:p w:rsidR="001239A6" w:rsidRDefault="002C6283">
      <w:pPr>
        <w:pStyle w:val="BodyText"/>
      </w:pPr>
      <w:r w:rsidRPr="002C6283">
        <w:t>Should the Commission modify FPL’s currently-approved fuel adj</w:t>
      </w:r>
      <w:r w:rsidR="00D204A1">
        <w:t>ustment factors for the purpose</w:t>
      </w:r>
      <w:r w:rsidRPr="002C6283">
        <w:t xml:space="preserve"> of addressing a projected 2021 under-recovery of fuel costs?</w:t>
      </w:r>
    </w:p>
    <w:p w:rsidR="001239A6" w:rsidRPr="004C3641" w:rsidRDefault="001239A6">
      <w:pPr>
        <w:pStyle w:val="IssueSubsectionHeading"/>
        <w:rPr>
          <w:vanish/>
          <w:specVanish/>
        </w:rPr>
      </w:pPr>
      <w:r w:rsidRPr="004C3641">
        <w:t>Recommendation: </w:t>
      </w:r>
    </w:p>
    <w:p w:rsidR="001239A6" w:rsidRDefault="001239A6">
      <w:pPr>
        <w:pStyle w:val="BodyText"/>
      </w:pPr>
      <w:r>
        <w:t> </w:t>
      </w:r>
      <w:r w:rsidR="002C6283" w:rsidRPr="002C6283">
        <w:t xml:space="preserve">Yes. Staff recommends the Commission approve adjustments to FPL’s currently-approved fuel factors to incorporate a projected 2021 </w:t>
      </w:r>
      <w:r w:rsidR="002C6283">
        <w:t>period ending</w:t>
      </w:r>
      <w:r w:rsidR="002C6283" w:rsidRPr="002C6283">
        <w:t xml:space="preserve"> under-recovery of $302,560,580.</w:t>
      </w:r>
      <w:r w:rsidR="00431FC1">
        <w:t xml:space="preserve"> (Higgins, Brownless, </w:t>
      </w:r>
      <w:r w:rsidR="000105CF">
        <w:t>Draper)</w:t>
      </w:r>
    </w:p>
    <w:p w:rsidR="001239A6" w:rsidRPr="004C3641" w:rsidRDefault="001239A6">
      <w:pPr>
        <w:pStyle w:val="IssueSubsectionHeading"/>
        <w:rPr>
          <w:vanish/>
          <w:specVanish/>
        </w:rPr>
      </w:pPr>
      <w:r w:rsidRPr="004C3641">
        <w:t>Staff Analysis: </w:t>
      </w:r>
    </w:p>
    <w:p w:rsidR="000105CF" w:rsidRDefault="001239A6" w:rsidP="000105CF">
      <w:pPr>
        <w:pStyle w:val="BodyText"/>
      </w:pPr>
      <w:r>
        <w:t> </w:t>
      </w:r>
      <w:r w:rsidR="000105CF">
        <w:t>FPL participated in the Commission</w:t>
      </w:r>
      <w:r w:rsidR="00584BDD">
        <w:t>’</w:t>
      </w:r>
      <w:r w:rsidR="000105CF">
        <w:t>s most-recent fuel hearing which took place on November 3, 2020. The Fuel Order issued from the 2020 fuel hearing set forth FPL’s fuel, purchase</w:t>
      </w:r>
      <w:r w:rsidR="009509FE">
        <w:t>d</w:t>
      </w:r>
      <w:r w:rsidR="000105CF">
        <w:t xml:space="preserve"> power, and capacity-related</w:t>
      </w:r>
      <w:r w:rsidR="00890DE6">
        <w:t xml:space="preserve"> cost</w:t>
      </w:r>
      <w:r w:rsidR="000105CF">
        <w:t xml:space="preserve"> recovery factors effective with the first billing cycle of 2021.  However, as discussed further below, the currently-authorized fuel cost recove</w:t>
      </w:r>
      <w:r w:rsidR="00853206">
        <w:t>ry factors, i.e.</w:t>
      </w:r>
      <w:r w:rsidR="009F0AB4">
        <w:t>,</w:t>
      </w:r>
      <w:r w:rsidR="00853206">
        <w:t xml:space="preserve"> without modification, are</w:t>
      </w:r>
      <w:r w:rsidR="000105CF">
        <w:t xml:space="preserve"> now projected to under-recover the Company’</w:t>
      </w:r>
      <w:r w:rsidR="00DB7358">
        <w:t>s 2021 fuel cost by greater than</w:t>
      </w:r>
      <w:r w:rsidR="000105CF">
        <w:t xml:space="preserve"> 10 percent. Staff notes the proposed final 2020 fuel true-up is incorporated into the aforementioned under-recovery.</w:t>
      </w:r>
    </w:p>
    <w:p w:rsidR="000105CF" w:rsidRDefault="000105CF" w:rsidP="000105CF">
      <w:pPr>
        <w:pStyle w:val="BodyText"/>
      </w:pPr>
      <w:r>
        <w:t>The Company’s currently-authorized capacity cost recovery factors remain sufficient in returning the required amount of revenue, therefore no change is being sought through this mid-course correction process. Further, the Company’s petition satisfies all filing requirements of Rule 25-6.0424(1)(b), F.A.C.</w:t>
      </w:r>
    </w:p>
    <w:p w:rsidR="000105CF" w:rsidRDefault="000105CF" w:rsidP="000105CF">
      <w:pPr>
        <w:pStyle w:val="BodyText"/>
        <w:spacing w:after="0"/>
        <w:rPr>
          <w:rFonts w:ascii="Arial" w:hAnsi="Arial" w:cs="Arial"/>
          <w:b/>
          <w:bCs/>
          <w:i/>
          <w:iCs/>
        </w:rPr>
      </w:pPr>
      <w:r>
        <w:rPr>
          <w:rFonts w:ascii="Arial" w:hAnsi="Arial" w:cs="Arial"/>
          <w:b/>
          <w:bCs/>
          <w:i/>
          <w:iCs/>
        </w:rPr>
        <w:t xml:space="preserve">FPL </w:t>
      </w:r>
      <w:r w:rsidRPr="00A75D20">
        <w:rPr>
          <w:rFonts w:ascii="Arial" w:hAnsi="Arial" w:cs="Arial"/>
          <w:b/>
          <w:bCs/>
          <w:i/>
          <w:iCs/>
        </w:rPr>
        <w:t>Mid-Course Correction</w:t>
      </w:r>
      <w:r w:rsidR="008231D8">
        <w:rPr>
          <w:rFonts w:ascii="Arial" w:hAnsi="Arial" w:cs="Arial"/>
          <w:b/>
          <w:bCs/>
          <w:i/>
          <w:iCs/>
        </w:rPr>
        <w:t xml:space="preserve"> </w:t>
      </w:r>
      <w:r w:rsidR="00C1740E">
        <w:rPr>
          <w:rFonts w:ascii="Arial" w:hAnsi="Arial" w:cs="Arial"/>
          <w:b/>
          <w:bCs/>
          <w:i/>
          <w:iCs/>
        </w:rPr>
        <w:t>- As Filed</w:t>
      </w:r>
    </w:p>
    <w:p w:rsidR="00002DB1" w:rsidRDefault="00002DB1" w:rsidP="00002DB1">
      <w:pPr>
        <w:pStyle w:val="BodyText"/>
        <w:spacing w:after="0"/>
      </w:pPr>
      <w:r>
        <w:t>The Company filed its MCC Petition on February 26, 2021.</w:t>
      </w:r>
      <w:r w:rsidR="00DF6DE3">
        <w:rPr>
          <w:rStyle w:val="FootnoteReference"/>
        </w:rPr>
        <w:footnoteReference w:id="4"/>
      </w:r>
      <w:r>
        <w:t xml:space="preserve"> Preceding the filing of its MCC Petition and in accordance with the noticing requirement of Rule 25-6.0424(2), F.A.C., FPL filed a letter on</w:t>
      </w:r>
      <w:r w:rsidRPr="00667BB5">
        <w:t xml:space="preserve"> November 13, 2020</w:t>
      </w:r>
      <w:r>
        <w:t>,</w:t>
      </w:r>
      <w:r w:rsidRPr="004E7DE9">
        <w:t xml:space="preserve"> </w:t>
      </w:r>
      <w:r>
        <w:t xml:space="preserve">informing the Commission </w:t>
      </w:r>
      <w:r w:rsidRPr="004E7DE9">
        <w:t>that based on its latest fuel cost pr</w:t>
      </w:r>
      <w:r>
        <w:t>ojections, it</w:t>
      </w:r>
      <w:r w:rsidRPr="004E7DE9">
        <w:t xml:space="preserve"> may be in an under-recovery position of greater than 10 percent for</w:t>
      </w:r>
      <w:r>
        <w:t xml:space="preserve"> the upcoming</w:t>
      </w:r>
      <w:r w:rsidRPr="004E7DE9">
        <w:t xml:space="preserve"> 2021 </w:t>
      </w:r>
      <w:r w:rsidRPr="00636B66">
        <w:t>new year.</w:t>
      </w:r>
      <w:r w:rsidRPr="00636B66">
        <w:rPr>
          <w:rStyle w:val="FootnoteReference"/>
        </w:rPr>
        <w:footnoteReference w:id="5"/>
      </w:r>
      <w:r>
        <w:t xml:space="preserve"> However, at that time, in analyzing settlement prices for natural gas, the Company determined that while volatile, the general direction of prices were declining. Thus, with an indication of potential improvement in its cost recovery position, FPL stated it would continue to monitor the prevailing settlement prices and defer a decision on filing for a mid-course correction of fuel charges by one month.</w:t>
      </w:r>
    </w:p>
    <w:p w:rsidR="00002DB1" w:rsidRDefault="00002DB1" w:rsidP="00002DB1">
      <w:pPr>
        <w:pStyle w:val="BodyText"/>
        <w:spacing w:after="0"/>
      </w:pPr>
    </w:p>
    <w:p w:rsidR="00002DB1" w:rsidRDefault="00002DB1" w:rsidP="00002DB1">
      <w:pPr>
        <w:pStyle w:val="BodyText"/>
        <w:spacing w:after="0"/>
      </w:pPr>
      <w:r>
        <w:t>On December 11, 2020, the Company provided an update to its initial notice filed a month prior in November.</w:t>
      </w:r>
      <w:r>
        <w:rPr>
          <w:rStyle w:val="FootnoteReference"/>
        </w:rPr>
        <w:footnoteReference w:id="6"/>
      </w:r>
      <w:r>
        <w:t xml:space="preserve"> </w:t>
      </w:r>
      <w:r w:rsidRPr="008F7BBA">
        <w:t xml:space="preserve">FPL had reevaluated its fuel cost </w:t>
      </w:r>
      <w:r>
        <w:t>recovery position and based upon then</w:t>
      </w:r>
      <w:r w:rsidRPr="008F7BBA">
        <w:t xml:space="preserve"> prevailing settlem</w:t>
      </w:r>
      <w:r>
        <w:t>ent prices for natural gas,</w:t>
      </w:r>
      <w:r w:rsidRPr="008F7BBA">
        <w:t xml:space="preserve"> it was now projecting</w:t>
      </w:r>
      <w:r>
        <w:t xml:space="preserve"> its</w:t>
      </w:r>
      <w:r w:rsidRPr="008F7BBA">
        <w:t xml:space="preserve"> fuel cost under-recovery to be below the </w:t>
      </w:r>
      <w:r>
        <w:t>10 percent threshold set forth by Rule 25-6.0424 F.A.C. As such,</w:t>
      </w:r>
      <w:r w:rsidRPr="008F7BBA">
        <w:t xml:space="preserve"> a mid-course correction of fuel charges was not warranted at that time.</w:t>
      </w:r>
    </w:p>
    <w:p w:rsidR="00002DB1" w:rsidRDefault="00002DB1" w:rsidP="00002DB1">
      <w:pPr>
        <w:pStyle w:val="BodyText"/>
        <w:spacing w:after="0"/>
      </w:pPr>
    </w:p>
    <w:p w:rsidR="000105CF" w:rsidRPr="00002DB1" w:rsidRDefault="00002DB1" w:rsidP="000105CF">
      <w:pPr>
        <w:pStyle w:val="BodyText"/>
      </w:pPr>
      <w:r>
        <w:t xml:space="preserve">However, as </w:t>
      </w:r>
      <w:r w:rsidR="00DF6DE3">
        <w:t>conditions changed around it</w:t>
      </w:r>
      <w:r w:rsidR="00315DC8">
        <w:t>s</w:t>
      </w:r>
      <w:r w:rsidR="008A3101">
        <w:t xml:space="preserve"> sales,</w:t>
      </w:r>
      <w:r w:rsidR="00DF6DE3">
        <w:t xml:space="preserve"> cost</w:t>
      </w:r>
      <w:r w:rsidR="004A46CD">
        <w:t>,</w:t>
      </w:r>
      <w:r w:rsidR="00DF6DE3">
        <w:t xml:space="preserve"> and revenue projections</w:t>
      </w:r>
      <w:r w:rsidR="00315DC8">
        <w:t xml:space="preserve"> for 2021,</w:t>
      </w:r>
      <w:r>
        <w:t xml:space="preserve"> the Company determined that</w:t>
      </w:r>
      <w:r w:rsidR="00DF6DE3">
        <w:t xml:space="preserve"> filing for</w:t>
      </w:r>
      <w:r>
        <w:t xml:space="preserve"> a mid-course correction of its customer fuel charges </w:t>
      </w:r>
      <w:r w:rsidR="00DF6DE3">
        <w:t>would be required</w:t>
      </w:r>
      <w:r>
        <w:t xml:space="preserve">. </w:t>
      </w:r>
      <w:r w:rsidR="000105CF">
        <w:t>FPL has proposed to</w:t>
      </w:r>
      <w:r w:rsidR="000105CF" w:rsidRPr="00A75D20">
        <w:t xml:space="preserve"> </w:t>
      </w:r>
      <w:r w:rsidR="000105CF">
        <w:t xml:space="preserve">address </w:t>
      </w:r>
      <w:r w:rsidR="000105CF" w:rsidRPr="00A75D20">
        <w:t xml:space="preserve">a </w:t>
      </w:r>
      <w:r w:rsidR="000105CF">
        <w:t>newly-</w:t>
      </w:r>
      <w:r w:rsidR="000105CF" w:rsidRPr="00A75D20">
        <w:t xml:space="preserve">projected 2021 fuel </w:t>
      </w:r>
      <w:r w:rsidR="000105CF">
        <w:t xml:space="preserve">cost </w:t>
      </w:r>
      <w:r w:rsidR="000105CF" w:rsidRPr="00A75D20">
        <w:t>under-recovery of $302,560,580 by increasin</w:t>
      </w:r>
      <w:r w:rsidR="000105CF">
        <w:t xml:space="preserve">g its cost recovery </w:t>
      </w:r>
      <w:r w:rsidR="000105CF" w:rsidRPr="00A75D20">
        <w:t>factors for the remaining nine months of 2021</w:t>
      </w:r>
      <w:r w:rsidR="000105CF">
        <w:t xml:space="preserve">, or </w:t>
      </w:r>
      <w:r w:rsidR="000105CF" w:rsidRPr="001F2A23">
        <w:t>from April</w:t>
      </w:r>
      <w:r w:rsidR="000105CF">
        <w:t xml:space="preserve"> through December 202</w:t>
      </w:r>
      <w:r w:rsidR="009509FE">
        <w:t>1</w:t>
      </w:r>
      <w:r w:rsidR="000105CF" w:rsidRPr="00A75D20">
        <w:t xml:space="preserve">. </w:t>
      </w:r>
      <w:r w:rsidR="000105CF">
        <w:t>As discussed in greater detail below, t</w:t>
      </w:r>
      <w:r w:rsidR="000105CF" w:rsidRPr="00A75D20">
        <w:t>he projected 2021 under-recove</w:t>
      </w:r>
      <w:r w:rsidR="000105CF">
        <w:t>ry of fuel costs is</w:t>
      </w:r>
      <w:r w:rsidR="000105CF" w:rsidRPr="00A75D20">
        <w:t xml:space="preserve"> associated with higher actual and re-projected prices for natural gas than originally assumed. </w:t>
      </w:r>
      <w:r w:rsidR="000105CF">
        <w:t xml:space="preserve">Other factors include variations in both sales and revenue than originally assumed. </w:t>
      </w:r>
    </w:p>
    <w:p w:rsidR="000105CF" w:rsidRPr="00E357D5" w:rsidRDefault="000105CF" w:rsidP="000105CF">
      <w:pPr>
        <w:pStyle w:val="BodyText"/>
        <w:spacing w:after="0"/>
        <w:rPr>
          <w:rFonts w:ascii="Arial" w:hAnsi="Arial" w:cs="Arial"/>
          <w:b/>
          <w:i/>
        </w:rPr>
      </w:pPr>
      <w:r w:rsidRPr="00E357D5">
        <w:rPr>
          <w:rFonts w:ascii="Arial" w:hAnsi="Arial" w:cs="Arial"/>
          <w:b/>
          <w:i/>
        </w:rPr>
        <w:t>2020 Under-Recovery</w:t>
      </w:r>
    </w:p>
    <w:p w:rsidR="000105CF" w:rsidRDefault="000105CF" w:rsidP="000105CF">
      <w:pPr>
        <w:pStyle w:val="BodyText"/>
      </w:pPr>
      <w:r>
        <w:t xml:space="preserve">Accounting for the Company’s 2021 mid-course correction essentially begins with its under-recovery of fuel costs in 2020. In 2020, the Company incurred fuel costs greater than last projected. FPL’s final </w:t>
      </w:r>
      <w:r w:rsidR="00890DE6">
        <w:t>(re)</w:t>
      </w:r>
      <w:r>
        <w:t>projection</w:t>
      </w:r>
      <w:r w:rsidR="00890DE6">
        <w:t xml:space="preserve"> </w:t>
      </w:r>
      <w:r>
        <w:t>of 2020 fuel costs fi</w:t>
      </w:r>
      <w:r w:rsidR="008231D8">
        <w:t>led with the Commission</w:t>
      </w:r>
      <w:r w:rsidR="00584BDD">
        <w:t xml:space="preserve"> was on July 27, 2020,</w:t>
      </w:r>
      <w:r w:rsidR="008231D8">
        <w:t xml:space="preserve"> </w:t>
      </w:r>
      <w:r w:rsidR="00584BDD">
        <w:t>as part of</w:t>
      </w:r>
      <w:r w:rsidR="008231D8">
        <w:t xml:space="preserve"> </w:t>
      </w:r>
      <w:r w:rsidRPr="009C301F">
        <w:t xml:space="preserve">its </w:t>
      </w:r>
      <w:r w:rsidRPr="009C301F">
        <w:rPr>
          <w:i/>
        </w:rPr>
        <w:t>Petition for Approval of Fuel Cost Recovery and Capacity Cost Recovery Actual/Estimated True-Up for the Period January 2020 through December 2020</w:t>
      </w:r>
      <w:r>
        <w:t>.</w:t>
      </w:r>
      <w:r w:rsidRPr="009C301F">
        <w:rPr>
          <w:rStyle w:val="FootnoteReference"/>
        </w:rPr>
        <w:footnoteReference w:id="7"/>
      </w:r>
      <w:r>
        <w:t xml:space="preserve"> Staff notes the Company’s 2020 actual/estimated </w:t>
      </w:r>
      <w:r w:rsidR="00872B62">
        <w:t xml:space="preserve">filing </w:t>
      </w:r>
      <w:r>
        <w:t xml:space="preserve">reflects actual data for January through June 2020, and estimated fuel cost and </w:t>
      </w:r>
      <w:r w:rsidRPr="009C301F">
        <w:t xml:space="preserve">revenue data </w:t>
      </w:r>
      <w:r w:rsidRPr="00AB5531">
        <w:t xml:space="preserve">for July through December 2020. In its actual/estimated filing, the Company projected that the </w:t>
      </w:r>
      <w:r w:rsidR="008231D8">
        <w:t xml:space="preserve">average </w:t>
      </w:r>
      <w:r w:rsidR="0032140E">
        <w:t xml:space="preserve">delivered </w:t>
      </w:r>
      <w:r w:rsidRPr="00AB5531">
        <w:t xml:space="preserve">cost of natural gas for July through December 2020 would be $3.47 per MMBtu. However, FPL’s actual cost of natural gas for July through December 2020 averaged $3.58 per MMBtu (3.17 percent increase). This and other </w:t>
      </w:r>
      <w:r w:rsidR="008231D8">
        <w:t>factor</w:t>
      </w:r>
      <w:r w:rsidRPr="00AB5531">
        <w:t xml:space="preserve">s, such as sales and revenue differences, resulted in a final 2020 under-recovery of </w:t>
      </w:r>
      <w:r w:rsidR="009509FE">
        <w:t>$</w:t>
      </w:r>
      <w:r w:rsidRPr="00AB5531">
        <w:t>72,891,803.</w:t>
      </w:r>
    </w:p>
    <w:p w:rsidR="000105CF" w:rsidRPr="000105CF" w:rsidRDefault="000105CF" w:rsidP="000105CF">
      <w:pPr>
        <w:pStyle w:val="BodyText"/>
        <w:spacing w:after="0"/>
        <w:rPr>
          <w:rFonts w:ascii="Arial" w:hAnsi="Arial" w:cs="Arial"/>
          <w:b/>
          <w:i/>
        </w:rPr>
      </w:pPr>
      <w:r w:rsidRPr="000105CF">
        <w:rPr>
          <w:rFonts w:ascii="Arial" w:hAnsi="Arial" w:cs="Arial"/>
          <w:b/>
          <w:i/>
        </w:rPr>
        <w:t>Projected 2021 Under-Recovery</w:t>
      </w:r>
    </w:p>
    <w:p w:rsidR="000105CF" w:rsidRDefault="000105CF" w:rsidP="000105CF">
      <w:pPr>
        <w:pStyle w:val="BodyText"/>
        <w:spacing w:after="0"/>
      </w:pPr>
      <w:r w:rsidRPr="006A44A0">
        <w:t>FPL’s original</w:t>
      </w:r>
      <w:r w:rsidR="008231D8">
        <w:t>/first</w:t>
      </w:r>
      <w:r w:rsidRPr="006A44A0">
        <w:t xml:space="preserve"> </w:t>
      </w:r>
      <w:r>
        <w:t xml:space="preserve">2021 fuel cost projection </w:t>
      </w:r>
      <w:r w:rsidRPr="006A44A0">
        <w:t>filed</w:t>
      </w:r>
      <w:r w:rsidR="008231D8">
        <w:t xml:space="preserve"> for the purposes of cost recovery was on</w:t>
      </w:r>
      <w:r w:rsidRPr="006A44A0">
        <w:t xml:space="preserve"> September</w:t>
      </w:r>
      <w:r>
        <w:t xml:space="preserve"> 3, 2020, in Docket No. 2020</w:t>
      </w:r>
      <w:r w:rsidRPr="006A44A0">
        <w:t>0001-EI</w:t>
      </w:r>
      <w:r>
        <w:t xml:space="preserve">, as part of the Company’s </w:t>
      </w:r>
      <w:r w:rsidRPr="00C1740E">
        <w:rPr>
          <w:i/>
          <w:iCs/>
        </w:rPr>
        <w:t>Petition for Approval of Fuel Cost Recovery and Capacity Cost Recovery Factors for January through December 2021</w:t>
      </w:r>
      <w:r>
        <w:t>.</w:t>
      </w:r>
      <w:r w:rsidRPr="006A44A0">
        <w:rPr>
          <w:rStyle w:val="FootnoteReference"/>
        </w:rPr>
        <w:footnoteReference w:id="8"/>
      </w:r>
      <w:r>
        <w:t xml:space="preserve"> This original</w:t>
      </w:r>
      <w:r w:rsidRPr="006A44A0">
        <w:t xml:space="preserve"> projection of </w:t>
      </w:r>
      <w:r>
        <w:t xml:space="preserve">2021 </w:t>
      </w:r>
      <w:r w:rsidRPr="006A44A0">
        <w:t>natural gas costs</w:t>
      </w:r>
      <w:r>
        <w:t xml:space="preserve"> was</w:t>
      </w:r>
      <w:r w:rsidRPr="006A44A0">
        <w:t xml:space="preserve"> formulated </w:t>
      </w:r>
      <w:r>
        <w:t>using</w:t>
      </w:r>
      <w:r w:rsidRPr="001F4A84">
        <w:t xml:space="preserve"> </w:t>
      </w:r>
      <w:r>
        <w:t xml:space="preserve">forward market data as of </w:t>
      </w:r>
      <w:r w:rsidRPr="006A44A0">
        <w:t>July</w:t>
      </w:r>
      <w:r>
        <w:t xml:space="preserve"> 1,</w:t>
      </w:r>
      <w:r w:rsidRPr="006A44A0">
        <w:t xml:space="preserve"> 2020</w:t>
      </w:r>
      <w:r>
        <w:t xml:space="preserve">. Using </w:t>
      </w:r>
      <w:r w:rsidRPr="006A44A0">
        <w:t>July</w:t>
      </w:r>
      <w:r>
        <w:t xml:space="preserve"> 1, </w:t>
      </w:r>
      <w:r w:rsidR="00890DE6">
        <w:t>2020 data, FPL projected a</w:t>
      </w:r>
      <w:r w:rsidR="009509FE">
        <w:t>n</w:t>
      </w:r>
      <w:r w:rsidR="00890DE6">
        <w:t xml:space="preserve"> </w:t>
      </w:r>
      <w:r>
        <w:t xml:space="preserve">average </w:t>
      </w:r>
      <w:r w:rsidRPr="006A44A0">
        <w:t>natural gas</w:t>
      </w:r>
      <w:r>
        <w:t xml:space="preserve"> cost of</w:t>
      </w:r>
      <w:r w:rsidRPr="006A44A0">
        <w:t xml:space="preserve"> $4.24 per MMBtu</w:t>
      </w:r>
      <w:r w:rsidR="00890DE6">
        <w:t xml:space="preserve"> for calendar year 2021</w:t>
      </w:r>
      <w:r w:rsidRPr="006A44A0">
        <w:t xml:space="preserve">. </w:t>
      </w:r>
      <w:r>
        <w:t xml:space="preserve">However, </w:t>
      </w:r>
      <w:r w:rsidR="00890DE6">
        <w:t xml:space="preserve">as shown in its MCC Petition, </w:t>
      </w:r>
      <w:r w:rsidRPr="006A44A0">
        <w:t>FPL now projects based on</w:t>
      </w:r>
      <w:r w:rsidRPr="00844A70">
        <w:t xml:space="preserve"> </w:t>
      </w:r>
      <w:r>
        <w:t>forward market data as of</w:t>
      </w:r>
      <w:r w:rsidR="00890DE6">
        <w:t xml:space="preserve"> mid-February 2021</w:t>
      </w:r>
      <w:r>
        <w:t xml:space="preserve"> that</w:t>
      </w:r>
      <w:r w:rsidRPr="006A44A0">
        <w:t xml:space="preserve"> the averag</w:t>
      </w:r>
      <w:r w:rsidR="00C1683C">
        <w:t>e cost of natural gas in 2021 will</w:t>
      </w:r>
      <w:r w:rsidRPr="006A44A0">
        <w:t xml:space="preserve"> be $4.67</w:t>
      </w:r>
      <w:r>
        <w:t xml:space="preserve"> per MMBtu.</w:t>
      </w:r>
      <w:r w:rsidRPr="006A44A0">
        <w:t xml:space="preserve"> </w:t>
      </w:r>
      <w:r>
        <w:t>This new projection</w:t>
      </w:r>
      <w:r w:rsidRPr="006A44A0">
        <w:t xml:space="preserve"> </w:t>
      </w:r>
      <w:r w:rsidRPr="00A5615C">
        <w:t>represents an increase of 10.1 percent</w:t>
      </w:r>
      <w:r>
        <w:t xml:space="preserve"> over the original projection</w:t>
      </w:r>
      <w:r w:rsidRPr="00A5615C">
        <w:t>. Further, the Compan</w:t>
      </w:r>
      <w:r>
        <w:t>y now expects fewer sales (</w:t>
      </w:r>
      <w:r w:rsidRPr="00A5615C">
        <w:t>0.8</w:t>
      </w:r>
      <w:r>
        <w:t>2</w:t>
      </w:r>
      <w:r w:rsidRPr="00A5615C">
        <w:t xml:space="preserve"> </w:t>
      </w:r>
      <w:r>
        <w:t>p</w:t>
      </w:r>
      <w:r w:rsidRPr="00A5615C">
        <w:t>ercent</w:t>
      </w:r>
      <w:r>
        <w:t xml:space="preserve"> decrease) </w:t>
      </w:r>
      <w:r w:rsidR="008231D8">
        <w:t>and</w:t>
      </w:r>
      <w:r>
        <w:t xml:space="preserve"> reduced revenue (1.31 percent decrease) in 2021 over the original projection. </w:t>
      </w:r>
    </w:p>
    <w:p w:rsidR="000105CF" w:rsidRDefault="000105CF" w:rsidP="000105CF">
      <w:pPr>
        <w:pStyle w:val="BodyText"/>
        <w:spacing w:after="0"/>
      </w:pPr>
    </w:p>
    <w:p w:rsidR="000105CF" w:rsidRDefault="000105CF" w:rsidP="000105CF">
      <w:pPr>
        <w:pStyle w:val="BodyText"/>
        <w:spacing w:after="0"/>
      </w:pPr>
      <w:r w:rsidRPr="002F669D">
        <w:t>In Table 1-</w:t>
      </w:r>
      <w:r w:rsidR="00584BDD">
        <w:t>1</w:t>
      </w:r>
      <w:r w:rsidRPr="002F669D">
        <w:t xml:space="preserve"> below, staff displays the</w:t>
      </w:r>
      <w:r>
        <w:t xml:space="preserve"> fuel cost and revenue differences between the original and updated 2021 projections, as well as the other primary accounting components for determining the Company’s fuel cost recovery position under </w:t>
      </w:r>
      <w:r w:rsidRPr="004411BB">
        <w:t>Rule 25-6.0424, F.A.C</w:t>
      </w:r>
      <w:r>
        <w:t>.</w:t>
      </w:r>
    </w:p>
    <w:p w:rsidR="00667E9C" w:rsidRDefault="00667E9C" w:rsidP="000105CF">
      <w:pPr>
        <w:pStyle w:val="BodyText"/>
        <w:spacing w:after="0"/>
      </w:pPr>
    </w:p>
    <w:p w:rsidR="00667E9C" w:rsidRDefault="00667E9C" w:rsidP="000105CF">
      <w:pPr>
        <w:pStyle w:val="BodyText"/>
        <w:spacing w:after="0"/>
      </w:pPr>
    </w:p>
    <w:p w:rsidR="00671F0E" w:rsidRDefault="00671F0E" w:rsidP="000105CF">
      <w:pPr>
        <w:pStyle w:val="BodyText"/>
        <w:spacing w:after="0"/>
      </w:pPr>
    </w:p>
    <w:p w:rsidR="00671F0E" w:rsidRDefault="00671F0E" w:rsidP="000105CF">
      <w:pPr>
        <w:pStyle w:val="BodyText"/>
        <w:spacing w:after="0"/>
      </w:pPr>
    </w:p>
    <w:p w:rsidR="00671F0E" w:rsidRDefault="00671F0E" w:rsidP="000105CF">
      <w:pPr>
        <w:pStyle w:val="BodyText"/>
        <w:spacing w:after="0"/>
      </w:pPr>
    </w:p>
    <w:p w:rsidR="00671F0E" w:rsidRDefault="00671F0E" w:rsidP="000105CF">
      <w:pPr>
        <w:pStyle w:val="BodyText"/>
        <w:spacing w:after="0"/>
      </w:pPr>
    </w:p>
    <w:p w:rsidR="00671F0E" w:rsidRDefault="00671F0E" w:rsidP="000105CF">
      <w:pPr>
        <w:pStyle w:val="BodyText"/>
        <w:spacing w:after="0"/>
      </w:pPr>
    </w:p>
    <w:p w:rsidR="00671F0E" w:rsidRDefault="00671F0E" w:rsidP="000105CF">
      <w:pPr>
        <w:pStyle w:val="BodyText"/>
        <w:spacing w:after="0"/>
      </w:pPr>
    </w:p>
    <w:p w:rsidR="00671F0E" w:rsidRDefault="00671F0E" w:rsidP="000105CF">
      <w:pPr>
        <w:pStyle w:val="BodyText"/>
        <w:spacing w:after="0"/>
      </w:pPr>
    </w:p>
    <w:p w:rsidR="000105CF" w:rsidRDefault="000105CF" w:rsidP="000105CF">
      <w:pPr>
        <w:pStyle w:val="BodyText"/>
        <w:spacing w:after="0"/>
      </w:pPr>
    </w:p>
    <w:tbl>
      <w:tblPr>
        <w:tblStyle w:val="TableGrid"/>
        <w:tblW w:w="4887" w:type="pct"/>
        <w:tblInd w:w="108" w:type="dxa"/>
        <w:tblLook w:val="04A0" w:firstRow="1" w:lastRow="0" w:firstColumn="1" w:lastColumn="0" w:noHBand="0" w:noVBand="1"/>
      </w:tblPr>
      <w:tblGrid>
        <w:gridCol w:w="4588"/>
        <w:gridCol w:w="1627"/>
        <w:gridCol w:w="1526"/>
        <w:gridCol w:w="1619"/>
      </w:tblGrid>
      <w:tr w:rsidR="000105CF" w:rsidTr="00046A69">
        <w:tc>
          <w:tcPr>
            <w:tcW w:w="5000" w:type="pct"/>
            <w:gridSpan w:val="4"/>
            <w:tcBorders>
              <w:top w:val="nil"/>
              <w:left w:val="nil"/>
              <w:bottom w:val="nil"/>
              <w:right w:val="nil"/>
            </w:tcBorders>
            <w:vAlign w:val="center"/>
          </w:tcPr>
          <w:p w:rsidR="000105CF" w:rsidRDefault="000105CF" w:rsidP="000446E9">
            <w:pPr>
              <w:jc w:val="center"/>
              <w:rPr>
                <w:rFonts w:ascii="Arial" w:hAnsi="Arial" w:cs="Arial"/>
                <w:b/>
                <w:bCs/>
                <w:color w:val="000000"/>
              </w:rPr>
            </w:pPr>
            <w:r>
              <w:rPr>
                <w:rFonts w:ascii="Arial" w:hAnsi="Arial" w:cs="Arial"/>
                <w:b/>
                <w:bCs/>
                <w:color w:val="000000"/>
              </w:rPr>
              <w:t>Table 1-1</w:t>
            </w:r>
          </w:p>
        </w:tc>
      </w:tr>
      <w:tr w:rsidR="000105CF" w:rsidTr="00046A69">
        <w:tc>
          <w:tcPr>
            <w:tcW w:w="5000" w:type="pct"/>
            <w:gridSpan w:val="4"/>
            <w:tcBorders>
              <w:top w:val="nil"/>
              <w:left w:val="nil"/>
              <w:bottom w:val="single" w:sz="4" w:space="0" w:color="auto"/>
              <w:right w:val="nil"/>
            </w:tcBorders>
            <w:vAlign w:val="center"/>
          </w:tcPr>
          <w:p w:rsidR="000105CF" w:rsidRDefault="000105CF" w:rsidP="000446E9">
            <w:pPr>
              <w:jc w:val="center"/>
              <w:rPr>
                <w:rFonts w:ascii="Arial" w:hAnsi="Arial" w:cs="Arial"/>
                <w:b/>
                <w:bCs/>
                <w:color w:val="000000"/>
              </w:rPr>
            </w:pPr>
            <w:r>
              <w:rPr>
                <w:rFonts w:ascii="Arial" w:hAnsi="Arial" w:cs="Arial"/>
                <w:b/>
                <w:bCs/>
                <w:color w:val="000000"/>
              </w:rPr>
              <w:t>Mid-Course Correction Components</w:t>
            </w:r>
          </w:p>
        </w:tc>
      </w:tr>
      <w:tr w:rsidR="000105CF" w:rsidRPr="00385073" w:rsidTr="00BA1DF5">
        <w:tc>
          <w:tcPr>
            <w:tcW w:w="2451" w:type="pct"/>
            <w:tcBorders>
              <w:top w:val="single" w:sz="4" w:space="0" w:color="auto"/>
            </w:tcBorders>
            <w:vAlign w:val="center"/>
          </w:tcPr>
          <w:p w:rsidR="000105CF" w:rsidRPr="00C630B3" w:rsidRDefault="000105CF" w:rsidP="000446E9">
            <w:pPr>
              <w:jc w:val="center"/>
              <w:rPr>
                <w:b/>
                <w:sz w:val="22"/>
                <w:szCs w:val="22"/>
              </w:rPr>
            </w:pPr>
            <w:r w:rsidRPr="00C630B3">
              <w:rPr>
                <w:b/>
                <w:sz w:val="22"/>
                <w:szCs w:val="22"/>
              </w:rPr>
              <w:t>Category</w:t>
            </w:r>
          </w:p>
        </w:tc>
        <w:tc>
          <w:tcPr>
            <w:tcW w:w="869" w:type="pct"/>
            <w:tcBorders>
              <w:top w:val="single" w:sz="4" w:space="0" w:color="auto"/>
            </w:tcBorders>
            <w:vAlign w:val="center"/>
          </w:tcPr>
          <w:p w:rsidR="000105CF" w:rsidRDefault="000105CF" w:rsidP="000446E9">
            <w:pPr>
              <w:jc w:val="center"/>
              <w:rPr>
                <w:b/>
                <w:sz w:val="22"/>
                <w:szCs w:val="22"/>
              </w:rPr>
            </w:pPr>
            <w:r w:rsidRPr="00C630B3">
              <w:rPr>
                <w:b/>
                <w:sz w:val="22"/>
                <w:szCs w:val="22"/>
              </w:rPr>
              <w:t>Original Projection</w:t>
            </w:r>
          </w:p>
          <w:p w:rsidR="000105CF" w:rsidRPr="00C630B3" w:rsidRDefault="000105CF" w:rsidP="000446E9">
            <w:pPr>
              <w:jc w:val="center"/>
              <w:rPr>
                <w:b/>
                <w:sz w:val="22"/>
                <w:szCs w:val="22"/>
              </w:rPr>
            </w:pPr>
            <w:r>
              <w:rPr>
                <w:b/>
                <w:sz w:val="22"/>
                <w:szCs w:val="22"/>
              </w:rPr>
              <w:t>($)</w:t>
            </w:r>
          </w:p>
        </w:tc>
        <w:tc>
          <w:tcPr>
            <w:tcW w:w="815" w:type="pct"/>
            <w:tcBorders>
              <w:top w:val="single" w:sz="4" w:space="0" w:color="auto"/>
            </w:tcBorders>
            <w:vAlign w:val="center"/>
          </w:tcPr>
          <w:p w:rsidR="000105CF" w:rsidRDefault="000105CF" w:rsidP="000446E9">
            <w:pPr>
              <w:jc w:val="center"/>
              <w:rPr>
                <w:b/>
                <w:sz w:val="22"/>
                <w:szCs w:val="22"/>
              </w:rPr>
            </w:pPr>
            <w:r>
              <w:rPr>
                <w:b/>
                <w:sz w:val="22"/>
                <w:szCs w:val="22"/>
              </w:rPr>
              <w:t>Mid-Course</w:t>
            </w:r>
          </w:p>
          <w:p w:rsidR="000105CF" w:rsidRDefault="000105CF" w:rsidP="000446E9">
            <w:pPr>
              <w:jc w:val="center"/>
              <w:rPr>
                <w:b/>
                <w:sz w:val="22"/>
                <w:szCs w:val="22"/>
              </w:rPr>
            </w:pPr>
            <w:r>
              <w:rPr>
                <w:b/>
                <w:sz w:val="22"/>
                <w:szCs w:val="22"/>
              </w:rPr>
              <w:t>Projection</w:t>
            </w:r>
          </w:p>
          <w:p w:rsidR="000105CF" w:rsidRPr="00C630B3" w:rsidRDefault="000105CF" w:rsidP="000446E9">
            <w:pPr>
              <w:jc w:val="center"/>
              <w:rPr>
                <w:b/>
                <w:sz w:val="22"/>
                <w:szCs w:val="22"/>
              </w:rPr>
            </w:pPr>
            <w:r>
              <w:rPr>
                <w:b/>
                <w:sz w:val="22"/>
                <w:szCs w:val="22"/>
              </w:rPr>
              <w:t>($)</w:t>
            </w:r>
          </w:p>
        </w:tc>
        <w:tc>
          <w:tcPr>
            <w:tcW w:w="865" w:type="pct"/>
            <w:tcBorders>
              <w:top w:val="single" w:sz="4" w:space="0" w:color="auto"/>
            </w:tcBorders>
            <w:vAlign w:val="center"/>
          </w:tcPr>
          <w:p w:rsidR="000105CF" w:rsidRDefault="000105CF" w:rsidP="000446E9">
            <w:pPr>
              <w:jc w:val="center"/>
              <w:rPr>
                <w:b/>
                <w:sz w:val="22"/>
                <w:szCs w:val="22"/>
              </w:rPr>
            </w:pPr>
            <w:r w:rsidRPr="00C630B3">
              <w:rPr>
                <w:b/>
                <w:sz w:val="22"/>
                <w:szCs w:val="22"/>
              </w:rPr>
              <w:t>Difference from Original Projection</w:t>
            </w:r>
          </w:p>
          <w:p w:rsidR="000105CF" w:rsidRPr="00C630B3" w:rsidRDefault="000105CF" w:rsidP="000446E9">
            <w:pPr>
              <w:jc w:val="center"/>
              <w:rPr>
                <w:b/>
                <w:sz w:val="22"/>
                <w:szCs w:val="22"/>
              </w:rPr>
            </w:pPr>
            <w:r>
              <w:rPr>
                <w:b/>
                <w:sz w:val="22"/>
                <w:szCs w:val="22"/>
              </w:rPr>
              <w:t>(%)</w:t>
            </w:r>
          </w:p>
        </w:tc>
      </w:tr>
      <w:tr w:rsidR="000105CF" w:rsidRPr="00C630B3" w:rsidTr="00046A69">
        <w:trPr>
          <w:trHeight w:val="485"/>
        </w:trPr>
        <w:tc>
          <w:tcPr>
            <w:tcW w:w="2451" w:type="pct"/>
            <w:vAlign w:val="bottom"/>
          </w:tcPr>
          <w:p w:rsidR="000105CF" w:rsidRPr="00C630B3" w:rsidRDefault="000105CF" w:rsidP="000446E9">
            <w:pPr>
              <w:rPr>
                <w:sz w:val="22"/>
                <w:szCs w:val="22"/>
              </w:rPr>
            </w:pPr>
            <w:r w:rsidRPr="00C630B3">
              <w:rPr>
                <w:sz w:val="22"/>
                <w:szCs w:val="22"/>
              </w:rPr>
              <w:t xml:space="preserve">Total </w:t>
            </w:r>
            <w:r>
              <w:rPr>
                <w:sz w:val="22"/>
                <w:szCs w:val="22"/>
              </w:rPr>
              <w:t>Retail Fuel &amp; Net Power Transaction</w:t>
            </w:r>
            <w:r w:rsidRPr="00C630B3">
              <w:rPr>
                <w:sz w:val="22"/>
                <w:szCs w:val="22"/>
              </w:rPr>
              <w:t xml:space="preserve"> Costs </w:t>
            </w:r>
          </w:p>
        </w:tc>
        <w:tc>
          <w:tcPr>
            <w:tcW w:w="869" w:type="pct"/>
            <w:vAlign w:val="bottom"/>
          </w:tcPr>
          <w:p w:rsidR="000105CF" w:rsidRPr="00C630B3" w:rsidRDefault="000105CF" w:rsidP="000446E9">
            <w:pPr>
              <w:jc w:val="right"/>
              <w:rPr>
                <w:sz w:val="22"/>
                <w:szCs w:val="22"/>
              </w:rPr>
            </w:pPr>
            <w:r w:rsidRPr="00C630B3">
              <w:rPr>
                <w:sz w:val="22"/>
                <w:szCs w:val="22"/>
              </w:rPr>
              <w:t xml:space="preserve">2,594,384,059 </w:t>
            </w:r>
          </w:p>
        </w:tc>
        <w:tc>
          <w:tcPr>
            <w:tcW w:w="815" w:type="pct"/>
            <w:vAlign w:val="bottom"/>
          </w:tcPr>
          <w:p w:rsidR="000105CF" w:rsidRPr="00C630B3" w:rsidRDefault="000105CF" w:rsidP="000446E9">
            <w:pPr>
              <w:jc w:val="right"/>
              <w:rPr>
                <w:sz w:val="22"/>
                <w:szCs w:val="22"/>
              </w:rPr>
            </w:pPr>
            <w:r w:rsidRPr="00C630B3">
              <w:rPr>
                <w:sz w:val="22"/>
                <w:szCs w:val="22"/>
              </w:rPr>
              <w:t xml:space="preserve">2,789,828,527 </w:t>
            </w:r>
          </w:p>
        </w:tc>
        <w:tc>
          <w:tcPr>
            <w:tcW w:w="865" w:type="pct"/>
            <w:vAlign w:val="bottom"/>
          </w:tcPr>
          <w:p w:rsidR="000105CF" w:rsidRPr="00C630B3" w:rsidRDefault="000105CF" w:rsidP="000446E9">
            <w:pPr>
              <w:jc w:val="right"/>
              <w:rPr>
                <w:sz w:val="22"/>
                <w:szCs w:val="22"/>
              </w:rPr>
            </w:pPr>
            <w:r w:rsidRPr="00C630B3">
              <w:rPr>
                <w:sz w:val="22"/>
                <w:szCs w:val="22"/>
              </w:rPr>
              <w:t>7.53%</w:t>
            </w:r>
          </w:p>
        </w:tc>
      </w:tr>
      <w:tr w:rsidR="000105CF" w:rsidRPr="00C630B3" w:rsidTr="00046A69">
        <w:trPr>
          <w:trHeight w:val="530"/>
        </w:trPr>
        <w:tc>
          <w:tcPr>
            <w:tcW w:w="2451" w:type="pct"/>
            <w:vAlign w:val="bottom"/>
          </w:tcPr>
          <w:p w:rsidR="000105CF" w:rsidRPr="00C630B3" w:rsidRDefault="000105CF" w:rsidP="000446E9">
            <w:pPr>
              <w:rPr>
                <w:sz w:val="22"/>
                <w:szCs w:val="22"/>
              </w:rPr>
            </w:pPr>
            <w:r w:rsidRPr="00C630B3">
              <w:rPr>
                <w:sz w:val="22"/>
                <w:szCs w:val="22"/>
              </w:rPr>
              <w:t>Total Jurisdictional Period-Applicable Fuel Revenues</w:t>
            </w:r>
          </w:p>
        </w:tc>
        <w:tc>
          <w:tcPr>
            <w:tcW w:w="869" w:type="pct"/>
            <w:vAlign w:val="bottom"/>
          </w:tcPr>
          <w:p w:rsidR="000105CF" w:rsidRPr="00C630B3" w:rsidRDefault="000105CF" w:rsidP="000446E9">
            <w:pPr>
              <w:jc w:val="right"/>
              <w:rPr>
                <w:sz w:val="22"/>
                <w:szCs w:val="22"/>
              </w:rPr>
            </w:pPr>
            <w:r w:rsidRPr="00C630B3">
              <w:rPr>
                <w:sz w:val="22"/>
                <w:szCs w:val="22"/>
              </w:rPr>
              <w:t xml:space="preserve">2,594,384,059 </w:t>
            </w:r>
          </w:p>
        </w:tc>
        <w:tc>
          <w:tcPr>
            <w:tcW w:w="815" w:type="pct"/>
            <w:vAlign w:val="bottom"/>
          </w:tcPr>
          <w:p w:rsidR="000105CF" w:rsidRPr="00C630B3" w:rsidRDefault="000105CF" w:rsidP="000446E9">
            <w:pPr>
              <w:jc w:val="right"/>
              <w:rPr>
                <w:sz w:val="22"/>
                <w:szCs w:val="22"/>
              </w:rPr>
            </w:pPr>
            <w:r w:rsidRPr="00C630B3">
              <w:rPr>
                <w:sz w:val="22"/>
                <w:szCs w:val="22"/>
              </w:rPr>
              <w:t xml:space="preserve">2,560,308,200 </w:t>
            </w:r>
          </w:p>
        </w:tc>
        <w:tc>
          <w:tcPr>
            <w:tcW w:w="865" w:type="pct"/>
            <w:vAlign w:val="bottom"/>
          </w:tcPr>
          <w:p w:rsidR="000105CF" w:rsidRPr="00C630B3" w:rsidRDefault="00C1683C" w:rsidP="000446E9">
            <w:pPr>
              <w:jc w:val="right"/>
              <w:rPr>
                <w:sz w:val="22"/>
                <w:szCs w:val="22"/>
              </w:rPr>
            </w:pPr>
            <w:r>
              <w:rPr>
                <w:sz w:val="22"/>
                <w:szCs w:val="22"/>
              </w:rPr>
              <w:t>(</w:t>
            </w:r>
            <w:r w:rsidR="000105CF" w:rsidRPr="00C630B3">
              <w:rPr>
                <w:sz w:val="22"/>
                <w:szCs w:val="22"/>
              </w:rPr>
              <w:t>1.31%</w:t>
            </w:r>
            <w:r>
              <w:rPr>
                <w:sz w:val="22"/>
                <w:szCs w:val="22"/>
              </w:rPr>
              <w:t>)</w:t>
            </w:r>
          </w:p>
        </w:tc>
      </w:tr>
      <w:tr w:rsidR="000105CF" w:rsidRPr="00C630B3" w:rsidTr="00046A69">
        <w:trPr>
          <w:trHeight w:val="350"/>
        </w:trPr>
        <w:tc>
          <w:tcPr>
            <w:tcW w:w="2451" w:type="pct"/>
            <w:vAlign w:val="bottom"/>
          </w:tcPr>
          <w:p w:rsidR="000105CF" w:rsidRPr="00C630B3" w:rsidRDefault="000105CF" w:rsidP="000446E9">
            <w:pPr>
              <w:rPr>
                <w:sz w:val="22"/>
                <w:szCs w:val="22"/>
              </w:rPr>
            </w:pPr>
            <w:r>
              <w:rPr>
                <w:sz w:val="22"/>
                <w:szCs w:val="22"/>
              </w:rPr>
              <w:t>MCC Actual/Estimated 2021 True-Up</w:t>
            </w:r>
          </w:p>
        </w:tc>
        <w:tc>
          <w:tcPr>
            <w:tcW w:w="869" w:type="pct"/>
            <w:vAlign w:val="bottom"/>
          </w:tcPr>
          <w:p w:rsidR="000105CF" w:rsidRPr="00C630B3" w:rsidRDefault="000105CF" w:rsidP="000446E9">
            <w:pPr>
              <w:jc w:val="right"/>
              <w:rPr>
                <w:sz w:val="22"/>
                <w:szCs w:val="22"/>
              </w:rPr>
            </w:pPr>
            <w:r w:rsidRPr="00C630B3">
              <w:rPr>
                <w:sz w:val="22"/>
                <w:szCs w:val="22"/>
              </w:rPr>
              <w:t>-</w:t>
            </w:r>
          </w:p>
        </w:tc>
        <w:tc>
          <w:tcPr>
            <w:tcW w:w="815" w:type="pct"/>
            <w:vAlign w:val="bottom"/>
          </w:tcPr>
          <w:p w:rsidR="000105CF" w:rsidRPr="00C630B3" w:rsidRDefault="000105CF" w:rsidP="000446E9">
            <w:pPr>
              <w:jc w:val="right"/>
              <w:rPr>
                <w:sz w:val="22"/>
                <w:szCs w:val="22"/>
              </w:rPr>
            </w:pPr>
            <w:r w:rsidRPr="00C630B3">
              <w:rPr>
                <w:sz w:val="22"/>
                <w:szCs w:val="22"/>
              </w:rPr>
              <w:t>(229,520,327)</w:t>
            </w:r>
          </w:p>
        </w:tc>
        <w:tc>
          <w:tcPr>
            <w:tcW w:w="865" w:type="pct"/>
            <w:vAlign w:val="bottom"/>
          </w:tcPr>
          <w:p w:rsidR="000105CF" w:rsidRPr="00C630B3" w:rsidRDefault="000105CF" w:rsidP="000446E9">
            <w:pPr>
              <w:jc w:val="right"/>
              <w:rPr>
                <w:sz w:val="22"/>
                <w:szCs w:val="22"/>
              </w:rPr>
            </w:pPr>
            <w:r w:rsidRPr="00C630B3">
              <w:rPr>
                <w:sz w:val="22"/>
                <w:szCs w:val="22"/>
              </w:rPr>
              <w:t>-</w:t>
            </w:r>
          </w:p>
        </w:tc>
      </w:tr>
      <w:tr w:rsidR="000105CF" w:rsidRPr="00C630B3" w:rsidTr="00046A69">
        <w:trPr>
          <w:trHeight w:val="359"/>
        </w:trPr>
        <w:tc>
          <w:tcPr>
            <w:tcW w:w="2451" w:type="pct"/>
            <w:vAlign w:val="bottom"/>
          </w:tcPr>
          <w:p w:rsidR="000105CF" w:rsidRPr="00C630B3" w:rsidRDefault="000105CF" w:rsidP="000446E9">
            <w:pPr>
              <w:rPr>
                <w:sz w:val="22"/>
                <w:szCs w:val="22"/>
              </w:rPr>
            </w:pPr>
            <w:r w:rsidRPr="00C630B3">
              <w:rPr>
                <w:sz w:val="22"/>
                <w:szCs w:val="22"/>
              </w:rPr>
              <w:t>Interest Provision</w:t>
            </w:r>
          </w:p>
        </w:tc>
        <w:tc>
          <w:tcPr>
            <w:tcW w:w="869" w:type="pct"/>
            <w:vAlign w:val="bottom"/>
          </w:tcPr>
          <w:p w:rsidR="000105CF" w:rsidRPr="00C630B3" w:rsidRDefault="000105CF" w:rsidP="000446E9">
            <w:pPr>
              <w:jc w:val="right"/>
              <w:rPr>
                <w:sz w:val="22"/>
                <w:szCs w:val="22"/>
              </w:rPr>
            </w:pPr>
            <w:r w:rsidRPr="00C630B3">
              <w:rPr>
                <w:sz w:val="22"/>
                <w:szCs w:val="22"/>
              </w:rPr>
              <w:t>-</w:t>
            </w:r>
          </w:p>
        </w:tc>
        <w:tc>
          <w:tcPr>
            <w:tcW w:w="815" w:type="pct"/>
            <w:vAlign w:val="bottom"/>
          </w:tcPr>
          <w:p w:rsidR="000105CF" w:rsidRPr="00C630B3" w:rsidRDefault="000105CF" w:rsidP="000446E9">
            <w:pPr>
              <w:jc w:val="right"/>
              <w:rPr>
                <w:sz w:val="22"/>
                <w:szCs w:val="22"/>
              </w:rPr>
            </w:pPr>
            <w:r w:rsidRPr="00C630B3">
              <w:rPr>
                <w:sz w:val="22"/>
                <w:szCs w:val="22"/>
              </w:rPr>
              <w:t>(148,450)</w:t>
            </w:r>
          </w:p>
        </w:tc>
        <w:tc>
          <w:tcPr>
            <w:tcW w:w="865" w:type="pct"/>
            <w:vAlign w:val="bottom"/>
          </w:tcPr>
          <w:p w:rsidR="000105CF" w:rsidRPr="00C630B3" w:rsidRDefault="000105CF" w:rsidP="000446E9">
            <w:pPr>
              <w:jc w:val="right"/>
              <w:rPr>
                <w:sz w:val="22"/>
                <w:szCs w:val="22"/>
              </w:rPr>
            </w:pPr>
            <w:r w:rsidRPr="00C630B3">
              <w:rPr>
                <w:sz w:val="22"/>
                <w:szCs w:val="22"/>
              </w:rPr>
              <w:t>-</w:t>
            </w:r>
          </w:p>
        </w:tc>
      </w:tr>
      <w:tr w:rsidR="000105CF" w:rsidRPr="00C630B3" w:rsidTr="00046A69">
        <w:trPr>
          <w:trHeight w:val="341"/>
        </w:trPr>
        <w:tc>
          <w:tcPr>
            <w:tcW w:w="2451" w:type="pct"/>
            <w:vAlign w:val="bottom"/>
          </w:tcPr>
          <w:p w:rsidR="000105CF" w:rsidRPr="00C630B3" w:rsidRDefault="000105CF" w:rsidP="000446E9">
            <w:pPr>
              <w:rPr>
                <w:sz w:val="22"/>
                <w:szCs w:val="22"/>
              </w:rPr>
            </w:pPr>
            <w:r>
              <w:rPr>
                <w:sz w:val="22"/>
                <w:szCs w:val="22"/>
              </w:rPr>
              <w:t>Final</w:t>
            </w:r>
            <w:r w:rsidRPr="00C630B3">
              <w:rPr>
                <w:sz w:val="22"/>
                <w:szCs w:val="22"/>
              </w:rPr>
              <w:t xml:space="preserve"> 2020 True-Up </w:t>
            </w:r>
          </w:p>
        </w:tc>
        <w:tc>
          <w:tcPr>
            <w:tcW w:w="869" w:type="pct"/>
            <w:vAlign w:val="bottom"/>
          </w:tcPr>
          <w:p w:rsidR="000105CF" w:rsidRPr="00C630B3" w:rsidRDefault="000105CF" w:rsidP="000446E9">
            <w:pPr>
              <w:jc w:val="right"/>
              <w:rPr>
                <w:sz w:val="22"/>
                <w:szCs w:val="22"/>
              </w:rPr>
            </w:pPr>
            <w:r w:rsidRPr="00C630B3">
              <w:rPr>
                <w:sz w:val="22"/>
                <w:szCs w:val="22"/>
              </w:rPr>
              <w:t>-</w:t>
            </w:r>
          </w:p>
        </w:tc>
        <w:tc>
          <w:tcPr>
            <w:tcW w:w="815" w:type="pct"/>
            <w:vAlign w:val="bottom"/>
          </w:tcPr>
          <w:p w:rsidR="000105CF" w:rsidRPr="00C630B3" w:rsidRDefault="000105CF" w:rsidP="000446E9">
            <w:pPr>
              <w:jc w:val="right"/>
              <w:rPr>
                <w:sz w:val="22"/>
                <w:szCs w:val="22"/>
              </w:rPr>
            </w:pPr>
            <w:r w:rsidRPr="00C630B3">
              <w:rPr>
                <w:sz w:val="22"/>
                <w:szCs w:val="22"/>
              </w:rPr>
              <w:t>(72,891,803)</w:t>
            </w:r>
          </w:p>
        </w:tc>
        <w:tc>
          <w:tcPr>
            <w:tcW w:w="865" w:type="pct"/>
            <w:vAlign w:val="bottom"/>
          </w:tcPr>
          <w:p w:rsidR="000105CF" w:rsidRPr="00C630B3" w:rsidRDefault="000105CF" w:rsidP="000446E9">
            <w:pPr>
              <w:jc w:val="right"/>
              <w:rPr>
                <w:sz w:val="22"/>
                <w:szCs w:val="22"/>
              </w:rPr>
            </w:pPr>
            <w:r w:rsidRPr="00C630B3">
              <w:rPr>
                <w:sz w:val="22"/>
                <w:szCs w:val="22"/>
              </w:rPr>
              <w:t>-</w:t>
            </w:r>
          </w:p>
        </w:tc>
      </w:tr>
      <w:tr w:rsidR="000105CF" w:rsidRPr="00C630B3" w:rsidTr="00046A69">
        <w:trPr>
          <w:trHeight w:val="359"/>
        </w:trPr>
        <w:tc>
          <w:tcPr>
            <w:tcW w:w="2451" w:type="pct"/>
            <w:vAlign w:val="bottom"/>
          </w:tcPr>
          <w:p w:rsidR="000105CF" w:rsidRPr="00C630B3" w:rsidRDefault="000105CF" w:rsidP="000446E9">
            <w:pPr>
              <w:rPr>
                <w:sz w:val="22"/>
                <w:szCs w:val="22"/>
              </w:rPr>
            </w:pPr>
            <w:r w:rsidRPr="00C630B3">
              <w:rPr>
                <w:sz w:val="22"/>
                <w:szCs w:val="22"/>
              </w:rPr>
              <w:t xml:space="preserve">Projected 2021 End of </w:t>
            </w:r>
            <w:r>
              <w:rPr>
                <w:sz w:val="22"/>
                <w:szCs w:val="22"/>
              </w:rPr>
              <w:t>P</w:t>
            </w:r>
            <w:r w:rsidRPr="00C630B3">
              <w:rPr>
                <w:sz w:val="22"/>
                <w:szCs w:val="22"/>
              </w:rPr>
              <w:t xml:space="preserve">eriod </w:t>
            </w:r>
            <w:r>
              <w:rPr>
                <w:sz w:val="22"/>
                <w:szCs w:val="22"/>
              </w:rPr>
              <w:t xml:space="preserve">Total </w:t>
            </w:r>
            <w:r w:rsidRPr="00C630B3">
              <w:rPr>
                <w:sz w:val="22"/>
                <w:szCs w:val="22"/>
              </w:rPr>
              <w:t>Net True-Up</w:t>
            </w:r>
          </w:p>
        </w:tc>
        <w:tc>
          <w:tcPr>
            <w:tcW w:w="869" w:type="pct"/>
            <w:vAlign w:val="bottom"/>
          </w:tcPr>
          <w:p w:rsidR="000105CF" w:rsidRPr="00C630B3" w:rsidRDefault="000105CF" w:rsidP="000446E9">
            <w:pPr>
              <w:jc w:val="right"/>
              <w:rPr>
                <w:sz w:val="22"/>
                <w:szCs w:val="22"/>
              </w:rPr>
            </w:pPr>
            <w:r w:rsidRPr="00C630B3">
              <w:rPr>
                <w:sz w:val="22"/>
                <w:szCs w:val="22"/>
              </w:rPr>
              <w:t>-</w:t>
            </w:r>
          </w:p>
        </w:tc>
        <w:tc>
          <w:tcPr>
            <w:tcW w:w="815" w:type="pct"/>
            <w:vAlign w:val="bottom"/>
          </w:tcPr>
          <w:p w:rsidR="000105CF" w:rsidRPr="00C630B3" w:rsidRDefault="000105CF" w:rsidP="000446E9">
            <w:pPr>
              <w:jc w:val="right"/>
              <w:rPr>
                <w:sz w:val="22"/>
                <w:szCs w:val="22"/>
              </w:rPr>
            </w:pPr>
            <w:r w:rsidRPr="00C630B3">
              <w:rPr>
                <w:sz w:val="22"/>
                <w:szCs w:val="22"/>
              </w:rPr>
              <w:t>(302,560,580)</w:t>
            </w:r>
          </w:p>
        </w:tc>
        <w:tc>
          <w:tcPr>
            <w:tcW w:w="865" w:type="pct"/>
            <w:vAlign w:val="bottom"/>
          </w:tcPr>
          <w:p w:rsidR="000105CF" w:rsidRPr="00C630B3" w:rsidRDefault="000105CF" w:rsidP="000446E9">
            <w:pPr>
              <w:jc w:val="right"/>
              <w:rPr>
                <w:sz w:val="22"/>
                <w:szCs w:val="22"/>
              </w:rPr>
            </w:pPr>
            <w:r w:rsidRPr="00C630B3">
              <w:rPr>
                <w:sz w:val="22"/>
                <w:szCs w:val="22"/>
              </w:rPr>
              <w:t>-</w:t>
            </w:r>
          </w:p>
        </w:tc>
      </w:tr>
    </w:tbl>
    <w:p w:rsidR="000105CF" w:rsidRDefault="000105CF" w:rsidP="000105CF">
      <w:pPr>
        <w:pStyle w:val="FootnoteText"/>
      </w:pPr>
      <w:r w:rsidRPr="004168E9">
        <w:t>Sou</w:t>
      </w:r>
      <w:r>
        <w:t xml:space="preserve">rce: FPL </w:t>
      </w:r>
      <w:r w:rsidR="00A36728">
        <w:t xml:space="preserve">MCC </w:t>
      </w:r>
      <w:r>
        <w:t>Petition, Appendix A, Page 3 of 88</w:t>
      </w:r>
      <w:r w:rsidRPr="004168E9">
        <w:t>.</w:t>
      </w:r>
    </w:p>
    <w:p w:rsidR="000105CF" w:rsidRDefault="000105CF" w:rsidP="000105CF">
      <w:pPr>
        <w:pStyle w:val="BodyText"/>
        <w:spacing w:after="0"/>
      </w:pPr>
    </w:p>
    <w:p w:rsidR="00046A69" w:rsidRDefault="000105CF" w:rsidP="00046A69">
      <w:pPr>
        <w:pStyle w:val="BodyText"/>
        <w:spacing w:after="0"/>
      </w:pPr>
      <w:r w:rsidRPr="00916536">
        <w:t>Following the methodology prescribed in Rule 25-6.0424, F.A.C., the mid-course percentage is equal to the estimated end-of-period total net true-up amount, including interest, divided by the current period’s total actual and estimated jurisdictional fuel revenue applicable to period, or (</w:t>
      </w:r>
      <w:r w:rsidR="00671F0E">
        <w:t>$</w:t>
      </w:r>
      <w:r w:rsidRPr="00916536">
        <w:t xml:space="preserve">302,560,580) / </w:t>
      </w:r>
      <w:r w:rsidR="00671F0E">
        <w:t>$</w:t>
      </w:r>
      <w:r w:rsidRPr="00916536">
        <w:t xml:space="preserve">2,560,308,200. This calculation results in a </w:t>
      </w:r>
      <w:r>
        <w:t>m</w:t>
      </w:r>
      <w:r w:rsidRPr="00916536">
        <w:t>id-</w:t>
      </w:r>
      <w:r>
        <w:t>c</w:t>
      </w:r>
      <w:r w:rsidRPr="00916536">
        <w:t xml:space="preserve">ourse </w:t>
      </w:r>
      <w:r>
        <w:t>c</w:t>
      </w:r>
      <w:r w:rsidRPr="00916536">
        <w:t>orrection</w:t>
      </w:r>
      <w:r w:rsidR="00046A69">
        <w:t xml:space="preserve"> </w:t>
      </w:r>
      <w:r w:rsidR="003C01D9">
        <w:t>l</w:t>
      </w:r>
      <w:r w:rsidR="00046A69">
        <w:t>e</w:t>
      </w:r>
      <w:r w:rsidR="003C01D9">
        <w:t>vel</w:t>
      </w:r>
      <w:r w:rsidR="00046A69">
        <w:t xml:space="preserve"> of </w:t>
      </w:r>
      <w:r w:rsidR="00046A69" w:rsidRPr="00046A69">
        <w:t>(11.82) percent.</w:t>
      </w:r>
    </w:p>
    <w:p w:rsidR="00046A69" w:rsidRPr="00046A69" w:rsidRDefault="00046A69" w:rsidP="00046A69">
      <w:pPr>
        <w:pStyle w:val="BodyText"/>
        <w:spacing w:after="0"/>
      </w:pPr>
    </w:p>
    <w:p w:rsidR="00046A69" w:rsidRPr="00046A69" w:rsidRDefault="001F2A23" w:rsidP="00046A69">
      <w:pPr>
        <w:pStyle w:val="BodyText"/>
        <w:spacing w:after="0"/>
        <w:rPr>
          <w:rFonts w:ascii="Arial" w:hAnsi="Arial" w:cs="Arial"/>
          <w:b/>
          <w:i/>
        </w:rPr>
      </w:pPr>
      <w:r>
        <w:rPr>
          <w:rFonts w:ascii="Arial" w:hAnsi="Arial" w:cs="Arial"/>
          <w:b/>
          <w:i/>
        </w:rPr>
        <w:t>Fuel Factor</w:t>
      </w:r>
    </w:p>
    <w:p w:rsidR="000105CF" w:rsidRDefault="000105CF" w:rsidP="00046A69">
      <w:pPr>
        <w:pStyle w:val="BodyText"/>
        <w:spacing w:after="0"/>
      </w:pPr>
      <w:r w:rsidRPr="00046A69">
        <w:t>FPL’s currently-approved levelized fuel factor for non-time-of-use rates is 2.444 cents per kWh.</w:t>
      </w:r>
      <w:r w:rsidRPr="00890DE6">
        <w:rPr>
          <w:rStyle w:val="FootnoteReference"/>
        </w:rPr>
        <w:footnoteReference w:id="9"/>
      </w:r>
      <w:r w:rsidRPr="00046A69">
        <w:t xml:space="preserve"> The Company is requesting</w:t>
      </w:r>
      <w:r w:rsidR="002A5664">
        <w:t xml:space="preserve"> (as-filed)</w:t>
      </w:r>
      <w:r w:rsidRPr="00046A69">
        <w:t xml:space="preserve"> to increase the current levelized fuel factor for non-time-of-use rates to 2.792 cents per kWh, or by 14.24 percent</w:t>
      </w:r>
      <w:r w:rsidR="00892ACF" w:rsidRPr="00046A69">
        <w:t>.</w:t>
      </w:r>
    </w:p>
    <w:p w:rsidR="00667E9C" w:rsidRDefault="00667E9C" w:rsidP="00046A69">
      <w:pPr>
        <w:pStyle w:val="BodyText"/>
        <w:spacing w:after="0"/>
      </w:pPr>
    </w:p>
    <w:p w:rsidR="000105CF" w:rsidRDefault="00C1740E" w:rsidP="00046A69">
      <w:pPr>
        <w:pStyle w:val="BodyText"/>
        <w:spacing w:after="0"/>
        <w:rPr>
          <w:rFonts w:ascii="Arial" w:hAnsi="Arial" w:cs="Arial"/>
          <w:b/>
          <w:bCs/>
          <w:i/>
          <w:iCs/>
        </w:rPr>
      </w:pPr>
      <w:r w:rsidRPr="00670070">
        <w:rPr>
          <w:rFonts w:ascii="Arial" w:hAnsi="Arial" w:cs="Arial"/>
          <w:b/>
          <w:bCs/>
          <w:i/>
          <w:iCs/>
        </w:rPr>
        <w:t>Bill Impact – Effective April 1</w:t>
      </w:r>
      <w:r w:rsidRPr="00670070">
        <w:rPr>
          <w:rFonts w:ascii="Arial" w:hAnsi="Arial" w:cs="Arial"/>
          <w:b/>
          <w:bCs/>
          <w:i/>
          <w:iCs/>
          <w:vertAlign w:val="superscript"/>
        </w:rPr>
        <w:t>st</w:t>
      </w:r>
    </w:p>
    <w:p w:rsidR="000105CF" w:rsidRDefault="000105CF" w:rsidP="00046A69">
      <w:pPr>
        <w:pStyle w:val="BodyText"/>
        <w:spacing w:after="0"/>
      </w:pPr>
      <w:r w:rsidRPr="002F669D">
        <w:t>In Table 1-</w:t>
      </w:r>
      <w:r>
        <w:t>2</w:t>
      </w:r>
      <w:r w:rsidRPr="002F669D">
        <w:t xml:space="preserve"> below, staff displays the bill impact to a </w:t>
      </w:r>
      <w:r w:rsidR="005D66D9">
        <w:t xml:space="preserve">typical </w:t>
      </w:r>
      <w:r w:rsidRPr="002F669D">
        <w:t>residential customer using 1,00</w:t>
      </w:r>
      <w:r w:rsidR="004A408F">
        <w:t>0 kWh of electricity a month</w:t>
      </w:r>
      <w:r w:rsidRPr="002F669D">
        <w:t xml:space="preserve"> </w:t>
      </w:r>
      <w:r>
        <w:t>under</w:t>
      </w:r>
      <w:r w:rsidRPr="002F669D">
        <w:t xml:space="preserve"> FPL’s </w:t>
      </w:r>
      <w:r w:rsidR="005D66D9">
        <w:t xml:space="preserve">request </w:t>
      </w:r>
      <w:r>
        <w:t>as-filed:</w:t>
      </w:r>
    </w:p>
    <w:p w:rsidR="000105CF" w:rsidRDefault="000105CF" w:rsidP="000105CF">
      <w:pPr>
        <w:pStyle w:val="BodyText"/>
        <w:spacing w:after="0"/>
      </w:pPr>
    </w:p>
    <w:p w:rsidR="00667E9C" w:rsidRDefault="00667E9C" w:rsidP="000105CF">
      <w:pPr>
        <w:pStyle w:val="BodyText"/>
        <w:spacing w:after="0"/>
      </w:pPr>
    </w:p>
    <w:p w:rsidR="00667E9C" w:rsidRDefault="00667E9C" w:rsidP="000105CF">
      <w:pPr>
        <w:pStyle w:val="BodyText"/>
        <w:spacing w:after="0"/>
      </w:pPr>
    </w:p>
    <w:p w:rsidR="00667E9C" w:rsidRDefault="00667E9C" w:rsidP="000105CF">
      <w:pPr>
        <w:pStyle w:val="BodyText"/>
        <w:spacing w:after="0"/>
      </w:pPr>
    </w:p>
    <w:p w:rsidR="00667E9C" w:rsidRDefault="00667E9C" w:rsidP="000105CF">
      <w:pPr>
        <w:pStyle w:val="BodyText"/>
        <w:spacing w:after="0"/>
      </w:pPr>
    </w:p>
    <w:p w:rsidR="00667E9C" w:rsidRDefault="00667E9C" w:rsidP="000105CF">
      <w:pPr>
        <w:pStyle w:val="BodyText"/>
        <w:spacing w:after="0"/>
      </w:pPr>
    </w:p>
    <w:p w:rsidR="00667E9C" w:rsidRDefault="00667E9C" w:rsidP="000105CF">
      <w:pPr>
        <w:pStyle w:val="BodyText"/>
        <w:spacing w:after="0"/>
      </w:pPr>
    </w:p>
    <w:p w:rsidR="00667E9C" w:rsidRDefault="00667E9C" w:rsidP="000105CF">
      <w:pPr>
        <w:pStyle w:val="BodyText"/>
        <w:spacing w:after="0"/>
      </w:pPr>
    </w:p>
    <w:p w:rsidR="00667E9C" w:rsidRDefault="00667E9C" w:rsidP="000105CF">
      <w:pPr>
        <w:pStyle w:val="BodyText"/>
        <w:spacing w:after="0"/>
      </w:pPr>
    </w:p>
    <w:p w:rsidR="00667E9C" w:rsidRDefault="00667E9C" w:rsidP="000105CF">
      <w:pPr>
        <w:pStyle w:val="BodyText"/>
        <w:spacing w:after="0"/>
      </w:pPr>
    </w:p>
    <w:p w:rsidR="00667E9C" w:rsidRDefault="00667E9C" w:rsidP="000105CF">
      <w:pPr>
        <w:pStyle w:val="BodyText"/>
        <w:spacing w:after="0"/>
      </w:pPr>
    </w:p>
    <w:p w:rsidR="00667E9C" w:rsidRDefault="00667E9C" w:rsidP="000105CF">
      <w:pPr>
        <w:pStyle w:val="BodyText"/>
        <w:spacing w:after="0"/>
      </w:pPr>
    </w:p>
    <w:p w:rsidR="00667E9C" w:rsidRDefault="00667E9C" w:rsidP="000105CF">
      <w:pPr>
        <w:pStyle w:val="BodyText"/>
        <w:spacing w:after="0"/>
      </w:pPr>
    </w:p>
    <w:tbl>
      <w:tblPr>
        <w:tblW w:w="4887" w:type="pct"/>
        <w:tblInd w:w="108" w:type="dxa"/>
        <w:tblLook w:val="04A0" w:firstRow="1" w:lastRow="0" w:firstColumn="1" w:lastColumn="0" w:noHBand="0" w:noVBand="1"/>
      </w:tblPr>
      <w:tblGrid>
        <w:gridCol w:w="3481"/>
        <w:gridCol w:w="1496"/>
        <w:gridCol w:w="1496"/>
        <w:gridCol w:w="1496"/>
        <w:gridCol w:w="1391"/>
      </w:tblGrid>
      <w:tr w:rsidR="000105CF" w:rsidTr="00046A69">
        <w:trPr>
          <w:cantSplit/>
          <w:trHeight w:val="310"/>
          <w:tblHeader/>
        </w:trPr>
        <w:tc>
          <w:tcPr>
            <w:tcW w:w="5000" w:type="pct"/>
            <w:gridSpan w:val="5"/>
            <w:tcBorders>
              <w:top w:val="nil"/>
              <w:left w:val="nil"/>
              <w:bottom w:val="nil"/>
              <w:right w:val="nil"/>
            </w:tcBorders>
            <w:shd w:val="clear" w:color="auto" w:fill="auto"/>
            <w:vAlign w:val="center"/>
            <w:hideMark/>
          </w:tcPr>
          <w:p w:rsidR="000105CF" w:rsidRDefault="000105CF" w:rsidP="000446E9">
            <w:pPr>
              <w:jc w:val="center"/>
              <w:rPr>
                <w:rFonts w:ascii="Arial" w:hAnsi="Arial" w:cs="Arial"/>
                <w:b/>
                <w:bCs/>
                <w:color w:val="000000"/>
              </w:rPr>
            </w:pPr>
            <w:r>
              <w:rPr>
                <w:rFonts w:ascii="Arial" w:hAnsi="Arial" w:cs="Arial"/>
                <w:b/>
                <w:bCs/>
                <w:color w:val="000000"/>
              </w:rPr>
              <w:t>Table 1-2</w:t>
            </w:r>
          </w:p>
        </w:tc>
      </w:tr>
      <w:tr w:rsidR="000105CF" w:rsidTr="00046A69">
        <w:trPr>
          <w:cantSplit/>
          <w:trHeight w:val="320"/>
          <w:tblHeader/>
        </w:trPr>
        <w:tc>
          <w:tcPr>
            <w:tcW w:w="5000" w:type="pct"/>
            <w:gridSpan w:val="5"/>
            <w:tcBorders>
              <w:top w:val="nil"/>
              <w:left w:val="nil"/>
              <w:bottom w:val="single" w:sz="4" w:space="0" w:color="auto"/>
              <w:right w:val="nil"/>
            </w:tcBorders>
            <w:shd w:val="clear" w:color="auto" w:fill="auto"/>
            <w:vAlign w:val="center"/>
            <w:hideMark/>
          </w:tcPr>
          <w:p w:rsidR="000105CF" w:rsidRDefault="000105CF" w:rsidP="000446E9">
            <w:pPr>
              <w:jc w:val="center"/>
              <w:rPr>
                <w:rFonts w:ascii="Arial" w:hAnsi="Arial" w:cs="Arial"/>
                <w:b/>
                <w:bCs/>
                <w:color w:val="000000"/>
              </w:rPr>
            </w:pPr>
            <w:r>
              <w:rPr>
                <w:rFonts w:ascii="Arial" w:hAnsi="Arial" w:cs="Arial"/>
                <w:b/>
                <w:bCs/>
                <w:color w:val="000000"/>
              </w:rPr>
              <w:t>Monthly Residential Billing Detail at 1,000 kWh</w:t>
            </w:r>
          </w:p>
        </w:tc>
      </w:tr>
      <w:tr w:rsidR="000105CF" w:rsidRPr="001F2A23" w:rsidTr="00046A69">
        <w:trPr>
          <w:cantSplit/>
          <w:trHeight w:val="1240"/>
          <w:tblHeader/>
        </w:trPr>
        <w:tc>
          <w:tcPr>
            <w:tcW w:w="18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105CF" w:rsidRPr="001F2A23" w:rsidRDefault="000105CF" w:rsidP="000446E9">
            <w:pPr>
              <w:jc w:val="center"/>
              <w:rPr>
                <w:b/>
                <w:bCs/>
                <w:color w:val="000000"/>
                <w:sz w:val="22"/>
                <w:szCs w:val="22"/>
              </w:rPr>
            </w:pPr>
            <w:r w:rsidRPr="001F2A23">
              <w:rPr>
                <w:b/>
                <w:bCs/>
                <w:color w:val="000000"/>
                <w:sz w:val="22"/>
                <w:szCs w:val="22"/>
              </w:rPr>
              <w:t>Invoice Component</w:t>
            </w:r>
          </w:p>
        </w:tc>
        <w:tc>
          <w:tcPr>
            <w:tcW w:w="7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105CF" w:rsidRPr="001F2A23" w:rsidRDefault="000105CF" w:rsidP="000446E9">
            <w:pPr>
              <w:jc w:val="center"/>
              <w:rPr>
                <w:b/>
                <w:bCs/>
                <w:color w:val="000000"/>
                <w:sz w:val="22"/>
                <w:szCs w:val="22"/>
              </w:rPr>
            </w:pPr>
            <w:r w:rsidRPr="001F2A23">
              <w:rPr>
                <w:b/>
                <w:bCs/>
                <w:color w:val="000000"/>
                <w:sz w:val="22"/>
                <w:szCs w:val="22"/>
              </w:rPr>
              <w:t>Currently-Approved Charges</w:t>
            </w:r>
          </w:p>
          <w:p w:rsidR="000105CF" w:rsidRPr="001F2A23" w:rsidRDefault="000105CF" w:rsidP="000446E9">
            <w:pPr>
              <w:jc w:val="center"/>
              <w:rPr>
                <w:b/>
                <w:bCs/>
                <w:color w:val="000000"/>
                <w:sz w:val="22"/>
                <w:szCs w:val="22"/>
              </w:rPr>
            </w:pPr>
            <w:r w:rsidRPr="001F2A23">
              <w:rPr>
                <w:b/>
                <w:bCs/>
                <w:color w:val="000000"/>
                <w:sz w:val="22"/>
                <w:szCs w:val="22"/>
              </w:rPr>
              <w:t>for 2021</w:t>
            </w:r>
          </w:p>
          <w:p w:rsidR="000105CF" w:rsidRPr="001F2A23" w:rsidRDefault="000105CF" w:rsidP="000446E9">
            <w:pPr>
              <w:jc w:val="center"/>
              <w:rPr>
                <w:b/>
                <w:bCs/>
                <w:color w:val="000000"/>
                <w:sz w:val="22"/>
                <w:szCs w:val="22"/>
              </w:rPr>
            </w:pPr>
            <w:r w:rsidRPr="001F2A23">
              <w:rPr>
                <w:b/>
                <w:bCs/>
                <w:color w:val="000000"/>
                <w:sz w:val="22"/>
                <w:szCs w:val="22"/>
              </w:rPr>
              <w:t>($)</w:t>
            </w:r>
          </w:p>
        </w:tc>
        <w:tc>
          <w:tcPr>
            <w:tcW w:w="7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105CF" w:rsidRPr="001F2A23" w:rsidRDefault="000105CF" w:rsidP="000446E9">
            <w:pPr>
              <w:jc w:val="center"/>
              <w:rPr>
                <w:b/>
                <w:bCs/>
                <w:color w:val="000000"/>
                <w:sz w:val="22"/>
                <w:szCs w:val="22"/>
              </w:rPr>
            </w:pPr>
            <w:r w:rsidRPr="001F2A23">
              <w:rPr>
                <w:b/>
                <w:bCs/>
                <w:color w:val="000000"/>
                <w:sz w:val="22"/>
                <w:szCs w:val="22"/>
              </w:rPr>
              <w:t xml:space="preserve">Proposed Charges for </w:t>
            </w:r>
          </w:p>
          <w:p w:rsidR="000105CF" w:rsidRPr="001F2A23" w:rsidRDefault="000105CF" w:rsidP="000446E9">
            <w:pPr>
              <w:jc w:val="center"/>
              <w:rPr>
                <w:b/>
                <w:bCs/>
                <w:color w:val="000000"/>
                <w:sz w:val="22"/>
                <w:szCs w:val="22"/>
              </w:rPr>
            </w:pPr>
            <w:r w:rsidRPr="001F2A23">
              <w:rPr>
                <w:b/>
                <w:bCs/>
                <w:color w:val="000000"/>
                <w:sz w:val="22"/>
                <w:szCs w:val="22"/>
              </w:rPr>
              <w:t>April-Dec. 2021</w:t>
            </w:r>
          </w:p>
          <w:p w:rsidR="000105CF" w:rsidRPr="001F2A23" w:rsidRDefault="000105CF" w:rsidP="000446E9">
            <w:pPr>
              <w:jc w:val="center"/>
              <w:rPr>
                <w:b/>
                <w:bCs/>
                <w:color w:val="000000"/>
                <w:sz w:val="22"/>
                <w:szCs w:val="22"/>
              </w:rPr>
            </w:pPr>
            <w:r w:rsidRPr="001F2A23">
              <w:rPr>
                <w:b/>
                <w:bCs/>
                <w:color w:val="000000"/>
                <w:sz w:val="22"/>
                <w:szCs w:val="22"/>
              </w:rPr>
              <w:t>($)</w:t>
            </w:r>
          </w:p>
        </w:tc>
        <w:tc>
          <w:tcPr>
            <w:tcW w:w="7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105CF" w:rsidRPr="001F2A23" w:rsidRDefault="000105CF" w:rsidP="000446E9">
            <w:pPr>
              <w:jc w:val="center"/>
              <w:rPr>
                <w:b/>
                <w:bCs/>
                <w:color w:val="000000"/>
                <w:sz w:val="22"/>
                <w:szCs w:val="22"/>
              </w:rPr>
            </w:pPr>
            <w:r w:rsidRPr="001F2A23">
              <w:rPr>
                <w:b/>
                <w:bCs/>
                <w:color w:val="000000"/>
                <w:sz w:val="22"/>
                <w:szCs w:val="22"/>
              </w:rPr>
              <w:t>Approved to Proposed Difference</w:t>
            </w:r>
          </w:p>
          <w:p w:rsidR="000105CF" w:rsidRPr="001F2A23" w:rsidRDefault="000105CF" w:rsidP="000446E9">
            <w:pPr>
              <w:jc w:val="center"/>
              <w:rPr>
                <w:b/>
                <w:bCs/>
                <w:color w:val="000000"/>
                <w:sz w:val="22"/>
                <w:szCs w:val="22"/>
              </w:rPr>
            </w:pPr>
            <w:r w:rsidRPr="001F2A23">
              <w:rPr>
                <w:b/>
                <w:bCs/>
                <w:color w:val="000000"/>
                <w:sz w:val="22"/>
                <w:szCs w:val="22"/>
              </w:rPr>
              <w:t>($)</w:t>
            </w:r>
          </w:p>
        </w:tc>
        <w:tc>
          <w:tcPr>
            <w:tcW w:w="7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105CF" w:rsidRPr="001F2A23" w:rsidRDefault="000105CF" w:rsidP="000446E9">
            <w:pPr>
              <w:jc w:val="center"/>
              <w:rPr>
                <w:b/>
                <w:bCs/>
                <w:color w:val="000000"/>
                <w:sz w:val="22"/>
                <w:szCs w:val="22"/>
              </w:rPr>
            </w:pPr>
            <w:r w:rsidRPr="001F2A23">
              <w:rPr>
                <w:b/>
                <w:bCs/>
                <w:color w:val="000000"/>
                <w:sz w:val="22"/>
                <w:szCs w:val="22"/>
              </w:rPr>
              <w:t>Approved to Proposed Difference</w:t>
            </w:r>
          </w:p>
          <w:p w:rsidR="000105CF" w:rsidRPr="001F2A23" w:rsidRDefault="000105CF" w:rsidP="000446E9">
            <w:pPr>
              <w:jc w:val="center"/>
              <w:rPr>
                <w:b/>
                <w:bCs/>
                <w:color w:val="000000"/>
                <w:sz w:val="22"/>
                <w:szCs w:val="22"/>
              </w:rPr>
            </w:pPr>
            <w:r w:rsidRPr="001F2A23">
              <w:rPr>
                <w:b/>
                <w:bCs/>
                <w:color w:val="000000"/>
                <w:sz w:val="22"/>
                <w:szCs w:val="22"/>
              </w:rPr>
              <w:t>(%)</w:t>
            </w:r>
          </w:p>
        </w:tc>
      </w:tr>
      <w:tr w:rsidR="000105CF" w:rsidRPr="001F2A23" w:rsidTr="00046A69">
        <w:trPr>
          <w:trHeight w:val="300"/>
        </w:trPr>
        <w:tc>
          <w:tcPr>
            <w:tcW w:w="18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105CF" w:rsidRPr="001F2A23" w:rsidRDefault="000105CF" w:rsidP="000446E9">
            <w:pPr>
              <w:jc w:val="both"/>
              <w:rPr>
                <w:color w:val="000000"/>
                <w:sz w:val="22"/>
                <w:szCs w:val="22"/>
              </w:rPr>
            </w:pPr>
            <w:r w:rsidRPr="001F2A23">
              <w:rPr>
                <w:color w:val="000000"/>
                <w:sz w:val="22"/>
                <w:szCs w:val="22"/>
              </w:rPr>
              <w:t>Base Charge</w:t>
            </w:r>
          </w:p>
        </w:tc>
        <w:tc>
          <w:tcPr>
            <w:tcW w:w="7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105CF" w:rsidRPr="001F2A23" w:rsidRDefault="000105CF" w:rsidP="000446E9">
            <w:pPr>
              <w:jc w:val="right"/>
              <w:rPr>
                <w:color w:val="000000"/>
                <w:sz w:val="22"/>
                <w:szCs w:val="22"/>
              </w:rPr>
            </w:pPr>
            <w:r w:rsidRPr="001F2A23">
              <w:rPr>
                <w:color w:val="000000"/>
                <w:sz w:val="22"/>
                <w:szCs w:val="22"/>
              </w:rPr>
              <w:t xml:space="preserve">$69.90 </w:t>
            </w:r>
          </w:p>
        </w:tc>
        <w:tc>
          <w:tcPr>
            <w:tcW w:w="7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105CF" w:rsidRPr="001F2A23" w:rsidRDefault="000105CF" w:rsidP="000446E9">
            <w:pPr>
              <w:jc w:val="right"/>
              <w:rPr>
                <w:color w:val="000000"/>
                <w:sz w:val="22"/>
                <w:szCs w:val="22"/>
              </w:rPr>
            </w:pPr>
            <w:r w:rsidRPr="001F2A23">
              <w:rPr>
                <w:color w:val="000000"/>
                <w:sz w:val="22"/>
                <w:szCs w:val="22"/>
              </w:rPr>
              <w:t xml:space="preserve">$69.90 </w:t>
            </w:r>
          </w:p>
        </w:tc>
        <w:tc>
          <w:tcPr>
            <w:tcW w:w="7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105CF" w:rsidRPr="001F2A23" w:rsidRDefault="000105CF" w:rsidP="000446E9">
            <w:pPr>
              <w:jc w:val="right"/>
              <w:rPr>
                <w:color w:val="000000"/>
                <w:sz w:val="22"/>
                <w:szCs w:val="22"/>
              </w:rPr>
            </w:pPr>
            <w:r w:rsidRPr="001F2A23">
              <w:rPr>
                <w:color w:val="000000"/>
                <w:sz w:val="22"/>
                <w:szCs w:val="22"/>
              </w:rPr>
              <w:t xml:space="preserve">$0.00 </w:t>
            </w:r>
          </w:p>
        </w:tc>
        <w:tc>
          <w:tcPr>
            <w:tcW w:w="7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105CF" w:rsidRPr="001F2A23" w:rsidRDefault="000105CF" w:rsidP="000446E9">
            <w:pPr>
              <w:jc w:val="right"/>
              <w:rPr>
                <w:color w:val="000000"/>
                <w:sz w:val="22"/>
                <w:szCs w:val="22"/>
              </w:rPr>
            </w:pPr>
            <w:r w:rsidRPr="001F2A23">
              <w:rPr>
                <w:color w:val="000000"/>
                <w:sz w:val="22"/>
                <w:szCs w:val="22"/>
              </w:rPr>
              <w:t>-</w:t>
            </w:r>
          </w:p>
        </w:tc>
      </w:tr>
      <w:tr w:rsidR="000105CF" w:rsidRPr="001F2A23" w:rsidTr="00046A69">
        <w:trPr>
          <w:trHeight w:val="300"/>
        </w:trPr>
        <w:tc>
          <w:tcPr>
            <w:tcW w:w="18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105CF" w:rsidRPr="001F2A23" w:rsidRDefault="000105CF" w:rsidP="000446E9">
            <w:pPr>
              <w:jc w:val="both"/>
              <w:rPr>
                <w:color w:val="000000"/>
                <w:sz w:val="22"/>
                <w:szCs w:val="22"/>
              </w:rPr>
            </w:pPr>
            <w:r w:rsidRPr="001F2A23">
              <w:rPr>
                <w:color w:val="000000"/>
                <w:sz w:val="22"/>
                <w:szCs w:val="22"/>
              </w:rPr>
              <w:t>Fuel Charge</w:t>
            </w:r>
          </w:p>
        </w:tc>
        <w:tc>
          <w:tcPr>
            <w:tcW w:w="7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105CF" w:rsidRPr="001F2A23" w:rsidRDefault="000105CF" w:rsidP="000446E9">
            <w:pPr>
              <w:jc w:val="right"/>
              <w:rPr>
                <w:color w:val="000000"/>
                <w:sz w:val="22"/>
                <w:szCs w:val="22"/>
              </w:rPr>
            </w:pPr>
            <w:r w:rsidRPr="001F2A23">
              <w:rPr>
                <w:color w:val="000000"/>
                <w:sz w:val="22"/>
                <w:szCs w:val="22"/>
              </w:rPr>
              <w:t xml:space="preserve">21.23 </w:t>
            </w:r>
          </w:p>
        </w:tc>
        <w:tc>
          <w:tcPr>
            <w:tcW w:w="7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105CF" w:rsidRPr="001F2A23" w:rsidRDefault="000105CF" w:rsidP="000446E9">
            <w:pPr>
              <w:jc w:val="right"/>
              <w:rPr>
                <w:color w:val="000000"/>
                <w:sz w:val="22"/>
                <w:szCs w:val="22"/>
              </w:rPr>
            </w:pPr>
            <w:r w:rsidRPr="001F2A23">
              <w:rPr>
                <w:color w:val="000000"/>
                <w:sz w:val="22"/>
                <w:szCs w:val="22"/>
              </w:rPr>
              <w:t xml:space="preserve">24.73 </w:t>
            </w:r>
          </w:p>
        </w:tc>
        <w:tc>
          <w:tcPr>
            <w:tcW w:w="7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105CF" w:rsidRPr="001F2A23" w:rsidRDefault="000105CF" w:rsidP="000446E9">
            <w:pPr>
              <w:jc w:val="right"/>
              <w:rPr>
                <w:color w:val="000000"/>
                <w:sz w:val="22"/>
                <w:szCs w:val="22"/>
              </w:rPr>
            </w:pPr>
            <w:r w:rsidRPr="001F2A23">
              <w:rPr>
                <w:color w:val="000000"/>
                <w:sz w:val="22"/>
                <w:szCs w:val="22"/>
              </w:rPr>
              <w:t xml:space="preserve">3.50 </w:t>
            </w:r>
          </w:p>
        </w:tc>
        <w:tc>
          <w:tcPr>
            <w:tcW w:w="7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105CF" w:rsidRPr="001F2A23" w:rsidRDefault="000105CF" w:rsidP="000446E9">
            <w:pPr>
              <w:jc w:val="right"/>
              <w:rPr>
                <w:color w:val="000000"/>
                <w:sz w:val="22"/>
                <w:szCs w:val="22"/>
              </w:rPr>
            </w:pPr>
            <w:r w:rsidRPr="001F2A23">
              <w:rPr>
                <w:color w:val="000000"/>
                <w:sz w:val="22"/>
                <w:szCs w:val="22"/>
              </w:rPr>
              <w:t>16.49%</w:t>
            </w:r>
          </w:p>
        </w:tc>
      </w:tr>
      <w:tr w:rsidR="000105CF" w:rsidRPr="001F2A23" w:rsidTr="00046A69">
        <w:trPr>
          <w:trHeight w:val="300"/>
        </w:trPr>
        <w:tc>
          <w:tcPr>
            <w:tcW w:w="18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105CF" w:rsidRPr="001F2A23" w:rsidRDefault="000105CF" w:rsidP="000446E9">
            <w:pPr>
              <w:jc w:val="both"/>
              <w:rPr>
                <w:color w:val="000000"/>
                <w:sz w:val="22"/>
                <w:szCs w:val="22"/>
              </w:rPr>
            </w:pPr>
            <w:r w:rsidRPr="001F2A23">
              <w:rPr>
                <w:color w:val="000000"/>
                <w:sz w:val="22"/>
                <w:szCs w:val="22"/>
              </w:rPr>
              <w:t>Conservation Charge</w:t>
            </w:r>
          </w:p>
        </w:tc>
        <w:tc>
          <w:tcPr>
            <w:tcW w:w="7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105CF" w:rsidRPr="001F2A23" w:rsidRDefault="000105CF" w:rsidP="000446E9">
            <w:pPr>
              <w:jc w:val="right"/>
              <w:rPr>
                <w:color w:val="000000"/>
                <w:sz w:val="22"/>
                <w:szCs w:val="22"/>
              </w:rPr>
            </w:pPr>
            <w:r w:rsidRPr="001F2A23">
              <w:rPr>
                <w:color w:val="000000"/>
                <w:sz w:val="22"/>
                <w:szCs w:val="22"/>
              </w:rPr>
              <w:t xml:space="preserve">1.49 </w:t>
            </w:r>
          </w:p>
        </w:tc>
        <w:tc>
          <w:tcPr>
            <w:tcW w:w="7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105CF" w:rsidRPr="001F2A23" w:rsidRDefault="000105CF" w:rsidP="000446E9">
            <w:pPr>
              <w:jc w:val="right"/>
              <w:rPr>
                <w:color w:val="000000"/>
                <w:sz w:val="22"/>
                <w:szCs w:val="22"/>
              </w:rPr>
            </w:pPr>
            <w:r w:rsidRPr="001F2A23">
              <w:rPr>
                <w:color w:val="000000"/>
                <w:sz w:val="22"/>
                <w:szCs w:val="22"/>
              </w:rPr>
              <w:t xml:space="preserve">1.49 </w:t>
            </w:r>
          </w:p>
        </w:tc>
        <w:tc>
          <w:tcPr>
            <w:tcW w:w="7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105CF" w:rsidRPr="001F2A23" w:rsidRDefault="000105CF" w:rsidP="000446E9">
            <w:pPr>
              <w:jc w:val="right"/>
              <w:rPr>
                <w:color w:val="000000"/>
                <w:sz w:val="22"/>
                <w:szCs w:val="22"/>
              </w:rPr>
            </w:pPr>
            <w:r w:rsidRPr="001F2A23">
              <w:rPr>
                <w:color w:val="000000"/>
                <w:sz w:val="22"/>
                <w:szCs w:val="22"/>
              </w:rPr>
              <w:t xml:space="preserve">0.00 </w:t>
            </w:r>
          </w:p>
        </w:tc>
        <w:tc>
          <w:tcPr>
            <w:tcW w:w="7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105CF" w:rsidRPr="001F2A23" w:rsidRDefault="000105CF" w:rsidP="000446E9">
            <w:pPr>
              <w:jc w:val="right"/>
              <w:rPr>
                <w:color w:val="000000"/>
                <w:sz w:val="22"/>
                <w:szCs w:val="22"/>
              </w:rPr>
            </w:pPr>
            <w:r w:rsidRPr="001F2A23">
              <w:rPr>
                <w:color w:val="000000"/>
                <w:sz w:val="22"/>
                <w:szCs w:val="22"/>
              </w:rPr>
              <w:t>-</w:t>
            </w:r>
          </w:p>
        </w:tc>
      </w:tr>
      <w:tr w:rsidR="000105CF" w:rsidRPr="001F2A23" w:rsidTr="00046A69">
        <w:trPr>
          <w:trHeight w:val="300"/>
        </w:trPr>
        <w:tc>
          <w:tcPr>
            <w:tcW w:w="18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105CF" w:rsidRPr="001F2A23" w:rsidRDefault="000105CF" w:rsidP="000446E9">
            <w:pPr>
              <w:jc w:val="both"/>
              <w:rPr>
                <w:color w:val="000000"/>
                <w:sz w:val="22"/>
                <w:szCs w:val="22"/>
              </w:rPr>
            </w:pPr>
            <w:r w:rsidRPr="001F2A23">
              <w:rPr>
                <w:color w:val="000000"/>
                <w:sz w:val="22"/>
                <w:szCs w:val="22"/>
              </w:rPr>
              <w:t>Capacity Charge</w:t>
            </w:r>
          </w:p>
        </w:tc>
        <w:tc>
          <w:tcPr>
            <w:tcW w:w="7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105CF" w:rsidRPr="001F2A23" w:rsidRDefault="000105CF" w:rsidP="000446E9">
            <w:pPr>
              <w:jc w:val="right"/>
              <w:rPr>
                <w:color w:val="000000"/>
                <w:sz w:val="22"/>
                <w:szCs w:val="22"/>
              </w:rPr>
            </w:pPr>
            <w:r w:rsidRPr="001F2A23">
              <w:rPr>
                <w:color w:val="000000"/>
                <w:sz w:val="22"/>
                <w:szCs w:val="22"/>
              </w:rPr>
              <w:t xml:space="preserve">2.04 </w:t>
            </w:r>
          </w:p>
        </w:tc>
        <w:tc>
          <w:tcPr>
            <w:tcW w:w="7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105CF" w:rsidRPr="001F2A23" w:rsidRDefault="000105CF" w:rsidP="000446E9">
            <w:pPr>
              <w:jc w:val="right"/>
              <w:rPr>
                <w:color w:val="000000"/>
                <w:sz w:val="22"/>
                <w:szCs w:val="22"/>
              </w:rPr>
            </w:pPr>
            <w:r w:rsidRPr="001F2A23">
              <w:rPr>
                <w:color w:val="000000"/>
                <w:sz w:val="22"/>
                <w:szCs w:val="22"/>
              </w:rPr>
              <w:t xml:space="preserve">2.04 </w:t>
            </w:r>
          </w:p>
        </w:tc>
        <w:tc>
          <w:tcPr>
            <w:tcW w:w="7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105CF" w:rsidRPr="001F2A23" w:rsidRDefault="000105CF" w:rsidP="000446E9">
            <w:pPr>
              <w:jc w:val="right"/>
              <w:rPr>
                <w:color w:val="000000"/>
                <w:sz w:val="22"/>
                <w:szCs w:val="22"/>
              </w:rPr>
            </w:pPr>
            <w:r w:rsidRPr="001F2A23">
              <w:rPr>
                <w:color w:val="000000"/>
                <w:sz w:val="22"/>
                <w:szCs w:val="22"/>
              </w:rPr>
              <w:t xml:space="preserve">0.00 </w:t>
            </w:r>
          </w:p>
        </w:tc>
        <w:tc>
          <w:tcPr>
            <w:tcW w:w="7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105CF" w:rsidRPr="001F2A23" w:rsidRDefault="000105CF" w:rsidP="000446E9">
            <w:pPr>
              <w:jc w:val="right"/>
              <w:rPr>
                <w:color w:val="000000"/>
                <w:sz w:val="22"/>
                <w:szCs w:val="22"/>
              </w:rPr>
            </w:pPr>
            <w:r w:rsidRPr="001F2A23">
              <w:rPr>
                <w:color w:val="000000"/>
                <w:sz w:val="22"/>
                <w:szCs w:val="22"/>
              </w:rPr>
              <w:t>-</w:t>
            </w:r>
          </w:p>
        </w:tc>
      </w:tr>
      <w:tr w:rsidR="000105CF" w:rsidRPr="001F2A23" w:rsidTr="00046A69">
        <w:trPr>
          <w:trHeight w:val="300"/>
        </w:trPr>
        <w:tc>
          <w:tcPr>
            <w:tcW w:w="18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105CF" w:rsidRPr="001F2A23" w:rsidRDefault="000105CF" w:rsidP="000446E9">
            <w:pPr>
              <w:jc w:val="both"/>
              <w:rPr>
                <w:color w:val="000000"/>
                <w:sz w:val="22"/>
                <w:szCs w:val="22"/>
              </w:rPr>
            </w:pPr>
            <w:r w:rsidRPr="001F2A23">
              <w:rPr>
                <w:color w:val="000000"/>
                <w:sz w:val="22"/>
                <w:szCs w:val="22"/>
              </w:rPr>
              <w:t>Environmental Charge</w:t>
            </w:r>
          </w:p>
        </w:tc>
        <w:tc>
          <w:tcPr>
            <w:tcW w:w="7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105CF" w:rsidRPr="001F2A23" w:rsidRDefault="000105CF" w:rsidP="000446E9">
            <w:pPr>
              <w:jc w:val="right"/>
              <w:rPr>
                <w:color w:val="000000"/>
                <w:sz w:val="22"/>
                <w:szCs w:val="22"/>
              </w:rPr>
            </w:pPr>
            <w:r w:rsidRPr="001F2A23">
              <w:rPr>
                <w:color w:val="000000"/>
                <w:sz w:val="22"/>
                <w:szCs w:val="22"/>
              </w:rPr>
              <w:t xml:space="preserve">1.49 </w:t>
            </w:r>
          </w:p>
        </w:tc>
        <w:tc>
          <w:tcPr>
            <w:tcW w:w="7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105CF" w:rsidRPr="001F2A23" w:rsidRDefault="000105CF" w:rsidP="000446E9">
            <w:pPr>
              <w:jc w:val="right"/>
              <w:rPr>
                <w:color w:val="000000"/>
                <w:sz w:val="22"/>
                <w:szCs w:val="22"/>
              </w:rPr>
            </w:pPr>
            <w:r w:rsidRPr="001F2A23">
              <w:rPr>
                <w:color w:val="000000"/>
                <w:sz w:val="22"/>
                <w:szCs w:val="22"/>
              </w:rPr>
              <w:t xml:space="preserve">1.49 </w:t>
            </w:r>
          </w:p>
        </w:tc>
        <w:tc>
          <w:tcPr>
            <w:tcW w:w="7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105CF" w:rsidRPr="001F2A23" w:rsidRDefault="000105CF" w:rsidP="000446E9">
            <w:pPr>
              <w:jc w:val="right"/>
              <w:rPr>
                <w:color w:val="000000"/>
                <w:sz w:val="22"/>
                <w:szCs w:val="22"/>
              </w:rPr>
            </w:pPr>
            <w:r w:rsidRPr="001F2A23">
              <w:rPr>
                <w:color w:val="000000"/>
                <w:sz w:val="22"/>
                <w:szCs w:val="22"/>
              </w:rPr>
              <w:t xml:space="preserve">0.00 </w:t>
            </w:r>
          </w:p>
        </w:tc>
        <w:tc>
          <w:tcPr>
            <w:tcW w:w="7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105CF" w:rsidRPr="001F2A23" w:rsidRDefault="000105CF" w:rsidP="000446E9">
            <w:pPr>
              <w:jc w:val="right"/>
              <w:rPr>
                <w:color w:val="000000"/>
                <w:sz w:val="22"/>
                <w:szCs w:val="22"/>
              </w:rPr>
            </w:pPr>
            <w:r w:rsidRPr="001F2A23">
              <w:rPr>
                <w:color w:val="000000"/>
                <w:sz w:val="22"/>
                <w:szCs w:val="22"/>
              </w:rPr>
              <w:t>-</w:t>
            </w:r>
          </w:p>
        </w:tc>
      </w:tr>
      <w:tr w:rsidR="000105CF" w:rsidRPr="001F2A23" w:rsidTr="00046A69">
        <w:trPr>
          <w:trHeight w:val="300"/>
        </w:trPr>
        <w:tc>
          <w:tcPr>
            <w:tcW w:w="18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105CF" w:rsidRPr="001F2A23" w:rsidRDefault="000105CF" w:rsidP="000446E9">
            <w:pPr>
              <w:jc w:val="both"/>
              <w:rPr>
                <w:color w:val="000000"/>
                <w:sz w:val="22"/>
                <w:szCs w:val="22"/>
              </w:rPr>
            </w:pPr>
            <w:r w:rsidRPr="001F2A23">
              <w:rPr>
                <w:color w:val="000000"/>
                <w:sz w:val="22"/>
                <w:szCs w:val="22"/>
              </w:rPr>
              <w:t>Storm Protection Plan</w:t>
            </w:r>
          </w:p>
        </w:tc>
        <w:tc>
          <w:tcPr>
            <w:tcW w:w="7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105CF" w:rsidRPr="001F2A23" w:rsidRDefault="000105CF" w:rsidP="000446E9">
            <w:pPr>
              <w:jc w:val="right"/>
              <w:rPr>
                <w:color w:val="000000"/>
                <w:sz w:val="22"/>
                <w:szCs w:val="22"/>
              </w:rPr>
            </w:pPr>
            <w:r w:rsidRPr="001F2A23">
              <w:rPr>
                <w:color w:val="000000"/>
                <w:sz w:val="22"/>
                <w:szCs w:val="22"/>
              </w:rPr>
              <w:t xml:space="preserve">0.42 </w:t>
            </w:r>
          </w:p>
        </w:tc>
        <w:tc>
          <w:tcPr>
            <w:tcW w:w="7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105CF" w:rsidRPr="001F2A23" w:rsidRDefault="000105CF" w:rsidP="000446E9">
            <w:pPr>
              <w:jc w:val="right"/>
              <w:rPr>
                <w:color w:val="000000"/>
                <w:sz w:val="22"/>
                <w:szCs w:val="22"/>
              </w:rPr>
            </w:pPr>
            <w:r w:rsidRPr="001F2A23">
              <w:rPr>
                <w:color w:val="000000"/>
                <w:sz w:val="22"/>
                <w:szCs w:val="22"/>
              </w:rPr>
              <w:t xml:space="preserve">0.42 </w:t>
            </w:r>
          </w:p>
        </w:tc>
        <w:tc>
          <w:tcPr>
            <w:tcW w:w="7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105CF" w:rsidRPr="001F2A23" w:rsidRDefault="000105CF" w:rsidP="000446E9">
            <w:pPr>
              <w:jc w:val="right"/>
              <w:rPr>
                <w:color w:val="000000"/>
                <w:sz w:val="22"/>
                <w:szCs w:val="22"/>
              </w:rPr>
            </w:pPr>
            <w:r w:rsidRPr="001F2A23">
              <w:rPr>
                <w:color w:val="000000"/>
                <w:sz w:val="22"/>
                <w:szCs w:val="22"/>
              </w:rPr>
              <w:t xml:space="preserve">0.00 </w:t>
            </w:r>
          </w:p>
        </w:tc>
        <w:tc>
          <w:tcPr>
            <w:tcW w:w="7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105CF" w:rsidRPr="001F2A23" w:rsidRDefault="000105CF" w:rsidP="000446E9">
            <w:pPr>
              <w:jc w:val="right"/>
              <w:rPr>
                <w:color w:val="000000"/>
                <w:sz w:val="22"/>
                <w:szCs w:val="22"/>
              </w:rPr>
            </w:pPr>
            <w:r w:rsidRPr="001F2A23">
              <w:rPr>
                <w:color w:val="000000"/>
                <w:sz w:val="22"/>
                <w:szCs w:val="22"/>
              </w:rPr>
              <w:t>-</w:t>
            </w:r>
          </w:p>
        </w:tc>
      </w:tr>
      <w:tr w:rsidR="000105CF" w:rsidRPr="001F2A23" w:rsidTr="00046A69">
        <w:trPr>
          <w:trHeight w:val="300"/>
        </w:trPr>
        <w:tc>
          <w:tcPr>
            <w:tcW w:w="18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105CF" w:rsidRPr="001F2A23" w:rsidRDefault="000105CF" w:rsidP="000446E9">
            <w:pPr>
              <w:jc w:val="both"/>
              <w:rPr>
                <w:color w:val="000000"/>
                <w:sz w:val="22"/>
                <w:szCs w:val="22"/>
              </w:rPr>
            </w:pPr>
            <w:r w:rsidRPr="001F2A23">
              <w:rPr>
                <w:color w:val="000000"/>
                <w:sz w:val="22"/>
                <w:szCs w:val="22"/>
              </w:rPr>
              <w:t>Gross Receipts Tax</w:t>
            </w:r>
          </w:p>
        </w:tc>
        <w:tc>
          <w:tcPr>
            <w:tcW w:w="7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105CF" w:rsidRPr="001F2A23" w:rsidRDefault="000105CF" w:rsidP="000446E9">
            <w:pPr>
              <w:jc w:val="right"/>
              <w:rPr>
                <w:color w:val="000000"/>
                <w:sz w:val="22"/>
                <w:szCs w:val="22"/>
                <w:u w:val="single"/>
              </w:rPr>
            </w:pPr>
            <w:r w:rsidRPr="001F2A23">
              <w:rPr>
                <w:color w:val="000000"/>
                <w:sz w:val="22"/>
                <w:szCs w:val="22"/>
                <w:u w:val="single"/>
              </w:rPr>
              <w:t xml:space="preserve">2.48 </w:t>
            </w:r>
          </w:p>
        </w:tc>
        <w:tc>
          <w:tcPr>
            <w:tcW w:w="7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105CF" w:rsidRPr="001F2A23" w:rsidRDefault="000105CF" w:rsidP="000446E9">
            <w:pPr>
              <w:jc w:val="right"/>
              <w:rPr>
                <w:color w:val="000000"/>
                <w:sz w:val="22"/>
                <w:szCs w:val="22"/>
                <w:u w:val="single"/>
              </w:rPr>
            </w:pPr>
            <w:r w:rsidRPr="001F2A23">
              <w:rPr>
                <w:color w:val="000000"/>
                <w:sz w:val="22"/>
                <w:szCs w:val="22"/>
                <w:u w:val="single"/>
              </w:rPr>
              <w:t xml:space="preserve">2.57 </w:t>
            </w:r>
          </w:p>
        </w:tc>
        <w:tc>
          <w:tcPr>
            <w:tcW w:w="7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105CF" w:rsidRPr="001F2A23" w:rsidRDefault="000105CF" w:rsidP="000446E9">
            <w:pPr>
              <w:jc w:val="right"/>
              <w:rPr>
                <w:color w:val="000000"/>
                <w:sz w:val="22"/>
                <w:szCs w:val="22"/>
                <w:u w:val="single"/>
              </w:rPr>
            </w:pPr>
            <w:r w:rsidRPr="001F2A23">
              <w:rPr>
                <w:color w:val="000000"/>
                <w:sz w:val="22"/>
                <w:szCs w:val="22"/>
                <w:u w:val="single"/>
              </w:rPr>
              <w:t xml:space="preserve">0.09 </w:t>
            </w:r>
          </w:p>
        </w:tc>
        <w:tc>
          <w:tcPr>
            <w:tcW w:w="7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105CF" w:rsidRPr="00D204A1" w:rsidRDefault="00D204A1" w:rsidP="000446E9">
            <w:pPr>
              <w:jc w:val="right"/>
              <w:rPr>
                <w:color w:val="000000"/>
                <w:sz w:val="22"/>
                <w:szCs w:val="22"/>
              </w:rPr>
            </w:pPr>
            <w:r>
              <w:rPr>
                <w:color w:val="000000"/>
                <w:sz w:val="22"/>
                <w:szCs w:val="22"/>
              </w:rPr>
              <w:t>3.63%</w:t>
            </w:r>
          </w:p>
        </w:tc>
      </w:tr>
      <w:tr w:rsidR="000105CF" w:rsidRPr="001F2A23" w:rsidTr="00046A69">
        <w:trPr>
          <w:trHeight w:val="300"/>
        </w:trPr>
        <w:tc>
          <w:tcPr>
            <w:tcW w:w="18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105CF" w:rsidRPr="001F2A23" w:rsidRDefault="000105CF" w:rsidP="000446E9">
            <w:pPr>
              <w:jc w:val="both"/>
              <w:rPr>
                <w:b/>
                <w:bCs/>
                <w:color w:val="000000"/>
                <w:sz w:val="22"/>
                <w:szCs w:val="22"/>
              </w:rPr>
            </w:pPr>
            <w:r w:rsidRPr="001F2A23">
              <w:rPr>
                <w:b/>
                <w:bCs/>
                <w:color w:val="000000"/>
                <w:sz w:val="22"/>
                <w:szCs w:val="22"/>
              </w:rPr>
              <w:t>Total</w:t>
            </w:r>
          </w:p>
        </w:tc>
        <w:tc>
          <w:tcPr>
            <w:tcW w:w="7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105CF" w:rsidRPr="001F2A23" w:rsidRDefault="000105CF" w:rsidP="000446E9">
            <w:pPr>
              <w:jc w:val="right"/>
              <w:rPr>
                <w:color w:val="000000"/>
                <w:sz w:val="22"/>
                <w:szCs w:val="22"/>
                <w:u w:val="double"/>
              </w:rPr>
            </w:pPr>
            <w:r w:rsidRPr="001F2A23">
              <w:rPr>
                <w:color w:val="000000"/>
                <w:sz w:val="22"/>
                <w:szCs w:val="22"/>
                <w:u w:val="double"/>
              </w:rPr>
              <w:t xml:space="preserve">$99.05 </w:t>
            </w:r>
          </w:p>
        </w:tc>
        <w:tc>
          <w:tcPr>
            <w:tcW w:w="7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105CF" w:rsidRPr="001F2A23" w:rsidRDefault="000105CF" w:rsidP="000446E9">
            <w:pPr>
              <w:jc w:val="right"/>
              <w:rPr>
                <w:color w:val="000000"/>
                <w:sz w:val="22"/>
                <w:szCs w:val="22"/>
                <w:u w:val="double"/>
              </w:rPr>
            </w:pPr>
            <w:r w:rsidRPr="001F2A23">
              <w:rPr>
                <w:color w:val="000000"/>
                <w:sz w:val="22"/>
                <w:szCs w:val="22"/>
                <w:u w:val="double"/>
              </w:rPr>
              <w:t xml:space="preserve">$102.64 </w:t>
            </w:r>
          </w:p>
        </w:tc>
        <w:tc>
          <w:tcPr>
            <w:tcW w:w="7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105CF" w:rsidRPr="001F2A23" w:rsidRDefault="000105CF" w:rsidP="000446E9">
            <w:pPr>
              <w:jc w:val="right"/>
              <w:rPr>
                <w:color w:val="000000"/>
                <w:sz w:val="22"/>
                <w:szCs w:val="22"/>
                <w:u w:val="double"/>
              </w:rPr>
            </w:pPr>
            <w:r w:rsidRPr="001F2A23">
              <w:rPr>
                <w:color w:val="000000"/>
                <w:sz w:val="22"/>
                <w:szCs w:val="22"/>
                <w:u w:val="double"/>
              </w:rPr>
              <w:t xml:space="preserve">$3.59 </w:t>
            </w:r>
          </w:p>
        </w:tc>
        <w:tc>
          <w:tcPr>
            <w:tcW w:w="7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105CF" w:rsidRPr="001F2A23" w:rsidRDefault="000105CF" w:rsidP="000446E9">
            <w:pPr>
              <w:jc w:val="right"/>
              <w:rPr>
                <w:color w:val="000000"/>
                <w:sz w:val="22"/>
                <w:szCs w:val="22"/>
              </w:rPr>
            </w:pPr>
            <w:r w:rsidRPr="001F2A23">
              <w:rPr>
                <w:color w:val="000000"/>
                <w:sz w:val="22"/>
                <w:szCs w:val="22"/>
              </w:rPr>
              <w:t>3.62%</w:t>
            </w:r>
          </w:p>
        </w:tc>
      </w:tr>
    </w:tbl>
    <w:p w:rsidR="000105CF" w:rsidRPr="001F2A23" w:rsidRDefault="000105CF" w:rsidP="000105CF">
      <w:pPr>
        <w:pStyle w:val="FootnoteText"/>
      </w:pPr>
      <w:r w:rsidRPr="001F2A23">
        <w:t xml:space="preserve">Source: FPL </w:t>
      </w:r>
      <w:r w:rsidR="00A36728">
        <w:t xml:space="preserve">MCC </w:t>
      </w:r>
      <w:r w:rsidRPr="001F2A23">
        <w:t>Petition, Schedule E-10.</w:t>
      </w:r>
    </w:p>
    <w:p w:rsidR="000105CF" w:rsidRPr="001F2A23" w:rsidRDefault="000105CF" w:rsidP="000105CF">
      <w:pPr>
        <w:pStyle w:val="BodyText"/>
        <w:spacing w:after="0"/>
      </w:pPr>
    </w:p>
    <w:p w:rsidR="000105CF" w:rsidRDefault="000105CF" w:rsidP="00706ED4">
      <w:pPr>
        <w:pStyle w:val="BodyText"/>
        <w:spacing w:after="0"/>
      </w:pPr>
      <w:r w:rsidRPr="001F2A23">
        <w:t>FPL’s current total residential charge for the first 1,000 kWh of usage for January through December 2021 is</w:t>
      </w:r>
      <w:r w:rsidR="005D66D9">
        <w:t xml:space="preserve"> $99.05. If the Company’s as-filed </w:t>
      </w:r>
      <w:r w:rsidRPr="001F2A23">
        <w:t xml:space="preserve">mid-course correction </w:t>
      </w:r>
      <w:r w:rsidR="005D66D9">
        <w:t>pr</w:t>
      </w:r>
      <w:r w:rsidRPr="001F2A23">
        <w:t>o</w:t>
      </w:r>
      <w:r w:rsidR="005D66D9">
        <w:t>posal</w:t>
      </w:r>
      <w:r w:rsidRPr="001F2A23">
        <w:t xml:space="preserve"> is approved, then the current total residential charge for the first 1,000 kWh of usage for April through</w:t>
      </w:r>
      <w:r w:rsidR="005D66D9">
        <w:t xml:space="preserve"> December 2021 will be $102.64, </w:t>
      </w:r>
      <w:r w:rsidR="009509FE">
        <w:t>f</w:t>
      </w:r>
      <w:r w:rsidR="005D66D9">
        <w:t xml:space="preserve">or an </w:t>
      </w:r>
      <w:r w:rsidRPr="001F2A23">
        <w:t xml:space="preserve">increase of 3.62 percent. Concerning non-residential customers, FPL reported </w:t>
      </w:r>
      <w:r w:rsidR="005D66D9">
        <w:t xml:space="preserve">that bill increases </w:t>
      </w:r>
      <w:r w:rsidR="00A72607">
        <w:t>based on average levels of usage</w:t>
      </w:r>
      <w:r w:rsidR="00A72607" w:rsidRPr="001F2A23">
        <w:t xml:space="preserve"> </w:t>
      </w:r>
      <w:r w:rsidR="005D66D9" w:rsidRPr="001F2A23">
        <w:t>for commercial customers</w:t>
      </w:r>
      <w:r w:rsidR="005D66D9">
        <w:t xml:space="preserve"> would</w:t>
      </w:r>
      <w:r w:rsidRPr="001F2A23">
        <w:t xml:space="preserve"> range from approximately 3.60 to 4.50 percent</w:t>
      </w:r>
      <w:r w:rsidR="005D66D9">
        <w:t>,</w:t>
      </w:r>
      <w:r w:rsidRPr="001F2A23">
        <w:t xml:space="preserve"> and approximately 7.80 percent for industrial customers.</w:t>
      </w:r>
      <w:r w:rsidRPr="001F2A23">
        <w:rPr>
          <w:rStyle w:val="FootnoteReference"/>
        </w:rPr>
        <w:footnoteReference w:id="10"/>
      </w:r>
      <w:r w:rsidRPr="001F2A23">
        <w:t xml:space="preserve"> FPL’s proposed tariffs are shown on Attachment A to this recommendation. FPL stated that it has provided notice of its request for a mid-course correction, with its March</w:t>
      </w:r>
      <w:r w:rsidRPr="00BF390F">
        <w:t xml:space="preserve"> customer bills subject to Commission approval.</w:t>
      </w:r>
    </w:p>
    <w:p w:rsidR="004A408F" w:rsidRDefault="004A408F" w:rsidP="00706ED4">
      <w:pPr>
        <w:pStyle w:val="BodyText"/>
        <w:spacing w:after="0"/>
      </w:pPr>
    </w:p>
    <w:p w:rsidR="004A408F" w:rsidRDefault="004A408F" w:rsidP="004A408F">
      <w:pPr>
        <w:pStyle w:val="BodyText"/>
        <w:spacing w:after="0"/>
        <w:rPr>
          <w:rFonts w:ascii="Arial" w:hAnsi="Arial" w:cs="Arial"/>
          <w:b/>
          <w:bCs/>
          <w:i/>
          <w:iCs/>
        </w:rPr>
      </w:pPr>
      <w:r w:rsidRPr="00670070">
        <w:rPr>
          <w:rFonts w:ascii="Arial" w:hAnsi="Arial" w:cs="Arial"/>
          <w:b/>
          <w:bCs/>
          <w:i/>
          <w:iCs/>
        </w:rPr>
        <w:t>Bill Impact –</w:t>
      </w:r>
      <w:r w:rsidR="00C1740E" w:rsidRPr="00670070">
        <w:rPr>
          <w:rFonts w:ascii="Arial" w:hAnsi="Arial" w:cs="Arial"/>
          <w:b/>
          <w:bCs/>
          <w:i/>
          <w:iCs/>
        </w:rPr>
        <w:t xml:space="preserve"> </w:t>
      </w:r>
      <w:r w:rsidRPr="00670070">
        <w:rPr>
          <w:rFonts w:ascii="Arial" w:hAnsi="Arial" w:cs="Arial"/>
          <w:b/>
          <w:bCs/>
          <w:i/>
          <w:iCs/>
        </w:rPr>
        <w:t>Effective May 1</w:t>
      </w:r>
      <w:r w:rsidR="00DC5D78" w:rsidRPr="00670070">
        <w:rPr>
          <w:rFonts w:ascii="Arial" w:hAnsi="Arial" w:cs="Arial"/>
          <w:b/>
          <w:bCs/>
          <w:i/>
          <w:iCs/>
          <w:vertAlign w:val="superscript"/>
        </w:rPr>
        <w:t>st</w:t>
      </w:r>
    </w:p>
    <w:p w:rsidR="004A408F" w:rsidRDefault="004A408F" w:rsidP="004A408F">
      <w:pPr>
        <w:pStyle w:val="BodyText"/>
        <w:spacing w:after="0"/>
        <w:rPr>
          <w:sz w:val="22"/>
          <w:szCs w:val="22"/>
        </w:rPr>
      </w:pPr>
      <w:r w:rsidRPr="002F669D">
        <w:t>In Table 1</w:t>
      </w:r>
      <w:r>
        <w:t>-3</w:t>
      </w:r>
      <w:r w:rsidRPr="002F669D">
        <w:t xml:space="preserve"> below, staff displays the bill impact to a residential customer using 1,000</w:t>
      </w:r>
      <w:r>
        <w:t xml:space="preserve"> kWh of electricity a month </w:t>
      </w:r>
      <w:r w:rsidR="002A5664">
        <w:t>i</w:t>
      </w:r>
      <w:r>
        <w:t xml:space="preserve">f the </w:t>
      </w:r>
      <w:r w:rsidR="002A5664">
        <w:t>cost recovery factors a</w:t>
      </w:r>
      <w:r>
        <w:t xml:space="preserve">re </w:t>
      </w:r>
      <w:r w:rsidR="002A5664">
        <w:t>developed</w:t>
      </w:r>
      <w:r>
        <w:t xml:space="preserve"> </w:t>
      </w:r>
      <w:r w:rsidR="002A5664">
        <w:t>for</w:t>
      </w:r>
      <w:r>
        <w:t xml:space="preserve"> recover</w:t>
      </w:r>
      <w:r w:rsidR="002A5664">
        <w:t>ing</w:t>
      </w:r>
      <w:r>
        <w:t xml:space="preserve"> the en</w:t>
      </w:r>
      <w:r w:rsidR="00AA1EE4">
        <w:t>t</w:t>
      </w:r>
      <w:r>
        <w:t xml:space="preserve">ire MCC amount of </w:t>
      </w:r>
      <w:r w:rsidR="002A5664">
        <w:rPr>
          <w:sz w:val="22"/>
          <w:szCs w:val="22"/>
        </w:rPr>
        <w:t xml:space="preserve">$302,560,580 with a </w:t>
      </w:r>
      <w:r>
        <w:rPr>
          <w:sz w:val="22"/>
          <w:szCs w:val="22"/>
        </w:rPr>
        <w:t>May 1, 2021</w:t>
      </w:r>
      <w:r w:rsidR="0011353E">
        <w:rPr>
          <w:sz w:val="22"/>
          <w:szCs w:val="22"/>
        </w:rPr>
        <w:t xml:space="preserve"> </w:t>
      </w:r>
      <w:r w:rsidR="002A5664">
        <w:rPr>
          <w:sz w:val="22"/>
          <w:szCs w:val="22"/>
        </w:rPr>
        <w:t>effective date</w:t>
      </w:r>
      <w:r w:rsidR="0032140E">
        <w:rPr>
          <w:sz w:val="22"/>
          <w:szCs w:val="22"/>
        </w:rPr>
        <w:t>. The May 1</w:t>
      </w:r>
      <w:r w:rsidR="0032140E" w:rsidRPr="0032140E">
        <w:rPr>
          <w:sz w:val="22"/>
          <w:szCs w:val="22"/>
          <w:vertAlign w:val="superscript"/>
        </w:rPr>
        <w:t>st</w:t>
      </w:r>
      <w:r w:rsidR="003C01D9">
        <w:rPr>
          <w:sz w:val="22"/>
          <w:szCs w:val="22"/>
        </w:rPr>
        <w:t xml:space="preserve"> effective </w:t>
      </w:r>
      <w:r w:rsidR="0032140E">
        <w:rPr>
          <w:sz w:val="22"/>
          <w:szCs w:val="22"/>
        </w:rPr>
        <w:t xml:space="preserve">date </w:t>
      </w:r>
      <w:r w:rsidR="0032140E">
        <w:rPr>
          <w:bCs/>
          <w:iCs/>
        </w:rPr>
        <w:t>is discussed further in Issue 2</w:t>
      </w:r>
      <w:r>
        <w:rPr>
          <w:sz w:val="22"/>
          <w:szCs w:val="22"/>
        </w:rPr>
        <w:t>:</w:t>
      </w:r>
    </w:p>
    <w:p w:rsidR="00667E9C" w:rsidRDefault="00667E9C" w:rsidP="004A408F">
      <w:pPr>
        <w:pStyle w:val="BodyText"/>
        <w:spacing w:after="0"/>
        <w:rPr>
          <w:sz w:val="22"/>
          <w:szCs w:val="22"/>
        </w:rPr>
      </w:pPr>
    </w:p>
    <w:p w:rsidR="00667E9C" w:rsidRDefault="00667E9C" w:rsidP="004A408F">
      <w:pPr>
        <w:pStyle w:val="BodyText"/>
        <w:spacing w:after="0"/>
        <w:rPr>
          <w:sz w:val="22"/>
          <w:szCs w:val="22"/>
        </w:rPr>
      </w:pPr>
    </w:p>
    <w:p w:rsidR="00667E9C" w:rsidRDefault="00667E9C" w:rsidP="004A408F">
      <w:pPr>
        <w:pStyle w:val="BodyText"/>
        <w:spacing w:after="0"/>
        <w:rPr>
          <w:sz w:val="22"/>
          <w:szCs w:val="22"/>
        </w:rPr>
      </w:pPr>
    </w:p>
    <w:p w:rsidR="00667E9C" w:rsidRDefault="00667E9C" w:rsidP="004A408F">
      <w:pPr>
        <w:pStyle w:val="BodyText"/>
        <w:spacing w:after="0"/>
        <w:rPr>
          <w:sz w:val="22"/>
          <w:szCs w:val="22"/>
        </w:rPr>
      </w:pPr>
    </w:p>
    <w:p w:rsidR="00667E9C" w:rsidRDefault="00667E9C" w:rsidP="004A408F">
      <w:pPr>
        <w:pStyle w:val="BodyText"/>
        <w:spacing w:after="0"/>
        <w:rPr>
          <w:sz w:val="22"/>
          <w:szCs w:val="22"/>
        </w:rPr>
      </w:pPr>
    </w:p>
    <w:p w:rsidR="00667E9C" w:rsidRDefault="00667E9C" w:rsidP="004A408F">
      <w:pPr>
        <w:pStyle w:val="BodyText"/>
        <w:spacing w:after="0"/>
        <w:rPr>
          <w:sz w:val="22"/>
          <w:szCs w:val="22"/>
        </w:rPr>
      </w:pPr>
    </w:p>
    <w:p w:rsidR="00667E9C" w:rsidRDefault="00667E9C" w:rsidP="004A408F">
      <w:pPr>
        <w:pStyle w:val="BodyText"/>
        <w:spacing w:after="0"/>
        <w:rPr>
          <w:sz w:val="22"/>
          <w:szCs w:val="22"/>
        </w:rPr>
      </w:pPr>
    </w:p>
    <w:p w:rsidR="00667E9C" w:rsidRDefault="00667E9C" w:rsidP="004A408F">
      <w:pPr>
        <w:pStyle w:val="BodyText"/>
        <w:spacing w:after="0"/>
        <w:rPr>
          <w:sz w:val="22"/>
          <w:szCs w:val="22"/>
        </w:rPr>
      </w:pPr>
    </w:p>
    <w:p w:rsidR="00667E9C" w:rsidRDefault="00667E9C" w:rsidP="004A408F">
      <w:pPr>
        <w:pStyle w:val="BodyText"/>
        <w:spacing w:after="0"/>
        <w:rPr>
          <w:sz w:val="22"/>
          <w:szCs w:val="22"/>
        </w:rPr>
      </w:pPr>
    </w:p>
    <w:p w:rsidR="00667E9C" w:rsidRDefault="00667E9C" w:rsidP="004A408F">
      <w:pPr>
        <w:pStyle w:val="BodyText"/>
        <w:spacing w:after="0"/>
        <w:rPr>
          <w:sz w:val="22"/>
          <w:szCs w:val="22"/>
        </w:rPr>
      </w:pPr>
    </w:p>
    <w:p w:rsidR="00667E9C" w:rsidRDefault="00667E9C" w:rsidP="004A408F">
      <w:pPr>
        <w:pStyle w:val="BodyText"/>
        <w:spacing w:after="0"/>
        <w:rPr>
          <w:sz w:val="22"/>
          <w:szCs w:val="22"/>
        </w:rPr>
      </w:pPr>
    </w:p>
    <w:p w:rsidR="003C01D9" w:rsidRDefault="003C01D9" w:rsidP="004A408F">
      <w:pPr>
        <w:pStyle w:val="BodyText"/>
        <w:spacing w:after="0"/>
        <w:rPr>
          <w:sz w:val="22"/>
          <w:szCs w:val="22"/>
        </w:rPr>
      </w:pPr>
    </w:p>
    <w:tbl>
      <w:tblPr>
        <w:tblW w:w="0" w:type="auto"/>
        <w:jc w:val="center"/>
        <w:tblLayout w:type="fixed"/>
        <w:tblLook w:val="04A0" w:firstRow="1" w:lastRow="0" w:firstColumn="1" w:lastColumn="0" w:noHBand="0" w:noVBand="1"/>
      </w:tblPr>
      <w:tblGrid>
        <w:gridCol w:w="3502"/>
        <w:gridCol w:w="1461"/>
        <w:gridCol w:w="1461"/>
        <w:gridCol w:w="1461"/>
        <w:gridCol w:w="1474"/>
      </w:tblGrid>
      <w:tr w:rsidR="004A408F" w:rsidTr="00AA3BEB">
        <w:trPr>
          <w:trHeight w:val="308"/>
          <w:tblHeader/>
          <w:jc w:val="center"/>
        </w:trPr>
        <w:tc>
          <w:tcPr>
            <w:tcW w:w="9359" w:type="dxa"/>
            <w:gridSpan w:val="5"/>
            <w:tcBorders>
              <w:top w:val="nil"/>
              <w:left w:val="nil"/>
              <w:bottom w:val="nil"/>
              <w:right w:val="nil"/>
            </w:tcBorders>
            <w:shd w:val="clear" w:color="auto" w:fill="auto"/>
            <w:vAlign w:val="center"/>
            <w:hideMark/>
          </w:tcPr>
          <w:p w:rsidR="004A408F" w:rsidRDefault="004A408F" w:rsidP="000446E9">
            <w:pPr>
              <w:jc w:val="center"/>
              <w:rPr>
                <w:rFonts w:ascii="Arial" w:hAnsi="Arial" w:cs="Arial"/>
                <w:b/>
                <w:bCs/>
                <w:color w:val="000000"/>
              </w:rPr>
            </w:pPr>
            <w:r>
              <w:rPr>
                <w:rFonts w:ascii="Arial" w:hAnsi="Arial" w:cs="Arial"/>
                <w:b/>
                <w:bCs/>
                <w:color w:val="000000"/>
              </w:rPr>
              <w:t>Table 1-</w:t>
            </w:r>
            <w:r w:rsidR="00DC5D78">
              <w:rPr>
                <w:rFonts w:ascii="Arial" w:hAnsi="Arial" w:cs="Arial"/>
                <w:b/>
                <w:bCs/>
                <w:color w:val="000000"/>
              </w:rPr>
              <w:t>3</w:t>
            </w:r>
          </w:p>
        </w:tc>
      </w:tr>
      <w:tr w:rsidR="004A408F" w:rsidTr="00AA3BEB">
        <w:trPr>
          <w:trHeight w:val="318"/>
          <w:tblHeader/>
          <w:jc w:val="center"/>
        </w:trPr>
        <w:tc>
          <w:tcPr>
            <w:tcW w:w="9359" w:type="dxa"/>
            <w:gridSpan w:val="5"/>
            <w:tcBorders>
              <w:top w:val="nil"/>
              <w:left w:val="nil"/>
              <w:bottom w:val="single" w:sz="4" w:space="0" w:color="auto"/>
              <w:right w:val="nil"/>
            </w:tcBorders>
            <w:shd w:val="clear" w:color="auto" w:fill="auto"/>
            <w:vAlign w:val="center"/>
            <w:hideMark/>
          </w:tcPr>
          <w:p w:rsidR="004A408F" w:rsidRDefault="004A408F" w:rsidP="000446E9">
            <w:pPr>
              <w:jc w:val="center"/>
              <w:rPr>
                <w:rFonts w:ascii="Arial" w:hAnsi="Arial" w:cs="Arial"/>
                <w:b/>
                <w:bCs/>
                <w:color w:val="000000"/>
              </w:rPr>
            </w:pPr>
            <w:r>
              <w:rPr>
                <w:rFonts w:ascii="Arial" w:hAnsi="Arial" w:cs="Arial"/>
                <w:b/>
                <w:bCs/>
                <w:color w:val="000000"/>
              </w:rPr>
              <w:t>Monthly Residential Billing Detail at 1,000 kWh</w:t>
            </w:r>
          </w:p>
        </w:tc>
      </w:tr>
      <w:tr w:rsidR="004A408F" w:rsidRPr="004168E9" w:rsidTr="003C01D9">
        <w:trPr>
          <w:trHeight w:val="1237"/>
          <w:tblHeader/>
          <w:jc w:val="center"/>
        </w:trPr>
        <w:tc>
          <w:tcPr>
            <w:tcW w:w="35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408F" w:rsidRPr="004168E9" w:rsidRDefault="004A408F" w:rsidP="000446E9">
            <w:pPr>
              <w:jc w:val="center"/>
              <w:rPr>
                <w:b/>
                <w:bCs/>
                <w:color w:val="000000"/>
                <w:sz w:val="22"/>
                <w:szCs w:val="22"/>
              </w:rPr>
            </w:pPr>
            <w:r w:rsidRPr="004168E9">
              <w:rPr>
                <w:b/>
                <w:bCs/>
                <w:color w:val="000000"/>
                <w:sz w:val="22"/>
                <w:szCs w:val="22"/>
              </w:rPr>
              <w:t>Invoice Component</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408F" w:rsidRDefault="004A408F" w:rsidP="000446E9">
            <w:pPr>
              <w:jc w:val="center"/>
              <w:rPr>
                <w:b/>
                <w:bCs/>
                <w:color w:val="000000"/>
                <w:sz w:val="22"/>
                <w:szCs w:val="22"/>
              </w:rPr>
            </w:pPr>
            <w:r w:rsidRPr="004168E9">
              <w:rPr>
                <w:b/>
                <w:bCs/>
                <w:color w:val="000000"/>
                <w:sz w:val="22"/>
                <w:szCs w:val="22"/>
              </w:rPr>
              <w:t>Currently-Approved Charges</w:t>
            </w:r>
          </w:p>
          <w:p w:rsidR="004A408F" w:rsidRDefault="004A408F" w:rsidP="000446E9">
            <w:pPr>
              <w:jc w:val="center"/>
              <w:rPr>
                <w:b/>
                <w:bCs/>
                <w:color w:val="000000"/>
                <w:sz w:val="22"/>
                <w:szCs w:val="22"/>
              </w:rPr>
            </w:pPr>
            <w:r>
              <w:rPr>
                <w:b/>
                <w:bCs/>
                <w:color w:val="000000"/>
                <w:sz w:val="22"/>
                <w:szCs w:val="22"/>
              </w:rPr>
              <w:t xml:space="preserve">for </w:t>
            </w:r>
            <w:r w:rsidRPr="004168E9">
              <w:rPr>
                <w:b/>
                <w:bCs/>
                <w:color w:val="000000"/>
                <w:sz w:val="22"/>
                <w:szCs w:val="22"/>
              </w:rPr>
              <w:t>2021</w:t>
            </w:r>
          </w:p>
          <w:p w:rsidR="004A408F" w:rsidRPr="004168E9" w:rsidRDefault="004A408F" w:rsidP="000446E9">
            <w:pPr>
              <w:jc w:val="center"/>
              <w:rPr>
                <w:b/>
                <w:bCs/>
                <w:color w:val="000000"/>
                <w:sz w:val="22"/>
                <w:szCs w:val="22"/>
              </w:rPr>
            </w:pPr>
            <w:r>
              <w:rPr>
                <w:b/>
                <w:bCs/>
                <w:color w:val="000000"/>
                <w:sz w:val="22"/>
                <w:szCs w:val="22"/>
              </w:rPr>
              <w:t>($)</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408F" w:rsidRDefault="0011353E" w:rsidP="000446E9">
            <w:pPr>
              <w:jc w:val="center"/>
              <w:rPr>
                <w:b/>
                <w:bCs/>
                <w:color w:val="000000"/>
                <w:sz w:val="22"/>
                <w:szCs w:val="22"/>
              </w:rPr>
            </w:pPr>
            <w:r>
              <w:rPr>
                <w:b/>
                <w:bCs/>
                <w:color w:val="000000"/>
                <w:sz w:val="22"/>
                <w:szCs w:val="22"/>
              </w:rPr>
              <w:t>Revi</w:t>
            </w:r>
            <w:r w:rsidR="004A408F" w:rsidRPr="004168E9">
              <w:rPr>
                <w:b/>
                <w:bCs/>
                <w:color w:val="000000"/>
                <w:sz w:val="22"/>
                <w:szCs w:val="22"/>
              </w:rPr>
              <w:t xml:space="preserve">sed Charges for </w:t>
            </w:r>
          </w:p>
          <w:p w:rsidR="004A408F" w:rsidRDefault="00DC5D78" w:rsidP="000446E9">
            <w:pPr>
              <w:jc w:val="center"/>
              <w:rPr>
                <w:b/>
                <w:bCs/>
                <w:color w:val="000000"/>
                <w:sz w:val="22"/>
                <w:szCs w:val="22"/>
              </w:rPr>
            </w:pPr>
            <w:r>
              <w:rPr>
                <w:b/>
                <w:bCs/>
                <w:color w:val="000000"/>
                <w:sz w:val="22"/>
                <w:szCs w:val="22"/>
              </w:rPr>
              <w:t>May</w:t>
            </w:r>
            <w:r w:rsidR="004A408F" w:rsidRPr="004168E9">
              <w:rPr>
                <w:b/>
                <w:bCs/>
                <w:color w:val="000000"/>
                <w:sz w:val="22"/>
                <w:szCs w:val="22"/>
              </w:rPr>
              <w:t>-Dec. 2021</w:t>
            </w:r>
          </w:p>
          <w:p w:rsidR="004A408F" w:rsidRPr="004168E9" w:rsidRDefault="004A408F" w:rsidP="000446E9">
            <w:pPr>
              <w:jc w:val="center"/>
              <w:rPr>
                <w:b/>
                <w:bCs/>
                <w:color w:val="000000"/>
                <w:sz w:val="22"/>
                <w:szCs w:val="22"/>
              </w:rPr>
            </w:pPr>
            <w:r>
              <w:rPr>
                <w:b/>
                <w:bCs/>
                <w:color w:val="000000"/>
                <w:sz w:val="22"/>
                <w:szCs w:val="22"/>
              </w:rPr>
              <w:t>($)</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408F" w:rsidRDefault="004A408F" w:rsidP="000446E9">
            <w:pPr>
              <w:jc w:val="center"/>
              <w:rPr>
                <w:b/>
                <w:bCs/>
                <w:color w:val="000000"/>
                <w:sz w:val="22"/>
                <w:szCs w:val="22"/>
              </w:rPr>
            </w:pPr>
            <w:r w:rsidRPr="004168E9">
              <w:rPr>
                <w:b/>
                <w:bCs/>
                <w:color w:val="000000"/>
                <w:sz w:val="22"/>
                <w:szCs w:val="22"/>
              </w:rPr>
              <w:t xml:space="preserve">Approved to </w:t>
            </w:r>
            <w:r w:rsidR="0011353E">
              <w:rPr>
                <w:b/>
                <w:bCs/>
                <w:color w:val="000000"/>
                <w:sz w:val="22"/>
                <w:szCs w:val="22"/>
              </w:rPr>
              <w:t>Revised</w:t>
            </w:r>
            <w:r w:rsidRPr="004168E9">
              <w:rPr>
                <w:b/>
                <w:bCs/>
                <w:color w:val="000000"/>
                <w:sz w:val="22"/>
                <w:szCs w:val="22"/>
              </w:rPr>
              <w:t xml:space="preserve"> Difference</w:t>
            </w:r>
          </w:p>
          <w:p w:rsidR="004A408F" w:rsidRPr="004168E9" w:rsidRDefault="004A408F" w:rsidP="000446E9">
            <w:pPr>
              <w:jc w:val="center"/>
              <w:rPr>
                <w:b/>
                <w:bCs/>
                <w:color w:val="000000"/>
                <w:sz w:val="22"/>
                <w:szCs w:val="22"/>
              </w:rPr>
            </w:pPr>
            <w:r>
              <w:rPr>
                <w:b/>
                <w:bCs/>
                <w:color w:val="000000"/>
                <w:sz w:val="22"/>
                <w:szCs w:val="22"/>
              </w:rPr>
              <w:t>($)</w:t>
            </w:r>
          </w:p>
        </w:tc>
        <w:tc>
          <w:tcPr>
            <w:tcW w:w="14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408F" w:rsidRDefault="004A408F" w:rsidP="000446E9">
            <w:pPr>
              <w:jc w:val="center"/>
              <w:rPr>
                <w:b/>
                <w:bCs/>
                <w:color w:val="000000"/>
                <w:sz w:val="22"/>
                <w:szCs w:val="22"/>
              </w:rPr>
            </w:pPr>
            <w:r w:rsidRPr="004168E9">
              <w:rPr>
                <w:b/>
                <w:bCs/>
                <w:color w:val="000000"/>
                <w:sz w:val="22"/>
                <w:szCs w:val="22"/>
              </w:rPr>
              <w:t xml:space="preserve">Approved to </w:t>
            </w:r>
            <w:r w:rsidR="002D3264">
              <w:rPr>
                <w:b/>
                <w:bCs/>
                <w:color w:val="000000"/>
                <w:sz w:val="22"/>
                <w:szCs w:val="22"/>
              </w:rPr>
              <w:t>Revised</w:t>
            </w:r>
            <w:r w:rsidRPr="004168E9">
              <w:rPr>
                <w:b/>
                <w:bCs/>
                <w:color w:val="000000"/>
                <w:sz w:val="22"/>
                <w:szCs w:val="22"/>
              </w:rPr>
              <w:t xml:space="preserve"> Difference</w:t>
            </w:r>
          </w:p>
          <w:p w:rsidR="004A408F" w:rsidRPr="004168E9" w:rsidRDefault="004A408F" w:rsidP="000446E9">
            <w:pPr>
              <w:jc w:val="center"/>
              <w:rPr>
                <w:b/>
                <w:bCs/>
                <w:color w:val="000000"/>
                <w:sz w:val="22"/>
                <w:szCs w:val="22"/>
              </w:rPr>
            </w:pPr>
            <w:r>
              <w:rPr>
                <w:b/>
                <w:bCs/>
                <w:color w:val="000000"/>
                <w:sz w:val="22"/>
                <w:szCs w:val="22"/>
              </w:rPr>
              <w:t>(%)</w:t>
            </w:r>
          </w:p>
        </w:tc>
      </w:tr>
      <w:tr w:rsidR="00DC5D78" w:rsidRPr="004168E9" w:rsidTr="003C01D9">
        <w:trPr>
          <w:trHeight w:val="298"/>
          <w:jc w:val="center"/>
        </w:trPr>
        <w:tc>
          <w:tcPr>
            <w:tcW w:w="35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5D78" w:rsidRPr="004168E9" w:rsidRDefault="00DC5D78" w:rsidP="00DC5D78">
            <w:pPr>
              <w:jc w:val="both"/>
              <w:rPr>
                <w:color w:val="000000"/>
                <w:sz w:val="22"/>
                <w:szCs w:val="22"/>
              </w:rPr>
            </w:pPr>
            <w:r w:rsidRPr="004168E9">
              <w:rPr>
                <w:color w:val="000000"/>
                <w:sz w:val="22"/>
                <w:szCs w:val="22"/>
              </w:rPr>
              <w:t>Base Charge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5D78" w:rsidRDefault="00DC5D78" w:rsidP="00DC5D78">
            <w:pPr>
              <w:jc w:val="right"/>
              <w:rPr>
                <w:color w:val="000000"/>
                <w:sz w:val="22"/>
                <w:szCs w:val="22"/>
              </w:rPr>
            </w:pPr>
            <w:r>
              <w:rPr>
                <w:color w:val="000000"/>
                <w:sz w:val="22"/>
                <w:szCs w:val="22"/>
              </w:rPr>
              <w:t xml:space="preserve">$69.90 </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5D78" w:rsidRDefault="00DC5D78" w:rsidP="00DC5D78">
            <w:pPr>
              <w:jc w:val="right"/>
              <w:rPr>
                <w:color w:val="000000"/>
                <w:sz w:val="22"/>
                <w:szCs w:val="22"/>
              </w:rPr>
            </w:pPr>
            <w:r>
              <w:rPr>
                <w:color w:val="000000"/>
                <w:sz w:val="22"/>
                <w:szCs w:val="22"/>
              </w:rPr>
              <w:t xml:space="preserve">$69.90 </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5D78" w:rsidRDefault="00DC5D78" w:rsidP="00DC5D78">
            <w:pPr>
              <w:jc w:val="right"/>
              <w:rPr>
                <w:color w:val="000000"/>
                <w:sz w:val="22"/>
                <w:szCs w:val="22"/>
              </w:rPr>
            </w:pPr>
            <w:r>
              <w:rPr>
                <w:color w:val="000000"/>
                <w:sz w:val="22"/>
                <w:szCs w:val="22"/>
              </w:rPr>
              <w:t xml:space="preserve">$0.00 </w:t>
            </w:r>
          </w:p>
        </w:tc>
        <w:tc>
          <w:tcPr>
            <w:tcW w:w="14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5D78" w:rsidRDefault="00DC5D78" w:rsidP="00DC5D78">
            <w:pPr>
              <w:jc w:val="right"/>
              <w:rPr>
                <w:color w:val="000000"/>
                <w:sz w:val="22"/>
                <w:szCs w:val="22"/>
              </w:rPr>
            </w:pPr>
            <w:r>
              <w:rPr>
                <w:color w:val="000000"/>
                <w:sz w:val="22"/>
                <w:szCs w:val="22"/>
              </w:rPr>
              <w:t>-</w:t>
            </w:r>
          </w:p>
        </w:tc>
      </w:tr>
      <w:tr w:rsidR="00DC5D78" w:rsidRPr="004168E9" w:rsidTr="003C01D9">
        <w:trPr>
          <w:trHeight w:val="298"/>
          <w:jc w:val="center"/>
        </w:trPr>
        <w:tc>
          <w:tcPr>
            <w:tcW w:w="35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5D78" w:rsidRPr="004168E9" w:rsidRDefault="00DC5D78" w:rsidP="00DC5D78">
            <w:pPr>
              <w:jc w:val="both"/>
              <w:rPr>
                <w:color w:val="000000"/>
                <w:sz w:val="22"/>
                <w:szCs w:val="22"/>
              </w:rPr>
            </w:pPr>
            <w:r w:rsidRPr="004168E9">
              <w:rPr>
                <w:color w:val="000000"/>
                <w:sz w:val="22"/>
                <w:szCs w:val="22"/>
              </w:rPr>
              <w:t>Fuel Charge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5D78" w:rsidRDefault="00DC5D78" w:rsidP="00DC5D78">
            <w:pPr>
              <w:jc w:val="right"/>
              <w:rPr>
                <w:color w:val="000000"/>
                <w:sz w:val="22"/>
                <w:szCs w:val="22"/>
              </w:rPr>
            </w:pPr>
            <w:r>
              <w:rPr>
                <w:color w:val="000000"/>
                <w:sz w:val="22"/>
                <w:szCs w:val="22"/>
              </w:rPr>
              <w:t>21.23</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5D78" w:rsidRDefault="00DC5D78" w:rsidP="00DC5D78">
            <w:pPr>
              <w:jc w:val="right"/>
              <w:rPr>
                <w:color w:val="000000"/>
                <w:sz w:val="22"/>
                <w:szCs w:val="22"/>
              </w:rPr>
            </w:pPr>
            <w:r>
              <w:rPr>
                <w:color w:val="000000"/>
                <w:sz w:val="22"/>
                <w:szCs w:val="22"/>
              </w:rPr>
              <w:t>25.10</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5D78" w:rsidRDefault="00DC5D78" w:rsidP="00DC5D78">
            <w:pPr>
              <w:jc w:val="right"/>
              <w:rPr>
                <w:color w:val="000000"/>
                <w:sz w:val="22"/>
                <w:szCs w:val="22"/>
              </w:rPr>
            </w:pPr>
            <w:r>
              <w:rPr>
                <w:color w:val="000000"/>
                <w:sz w:val="22"/>
                <w:szCs w:val="22"/>
              </w:rPr>
              <w:t>3.87</w:t>
            </w:r>
          </w:p>
        </w:tc>
        <w:tc>
          <w:tcPr>
            <w:tcW w:w="14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5D78" w:rsidRDefault="00DC5D78" w:rsidP="00DC5D78">
            <w:pPr>
              <w:jc w:val="right"/>
              <w:rPr>
                <w:color w:val="000000"/>
                <w:sz w:val="22"/>
                <w:szCs w:val="22"/>
              </w:rPr>
            </w:pPr>
            <w:r>
              <w:rPr>
                <w:color w:val="000000"/>
                <w:sz w:val="22"/>
                <w:szCs w:val="22"/>
              </w:rPr>
              <w:t>18.23%</w:t>
            </w:r>
          </w:p>
        </w:tc>
      </w:tr>
      <w:tr w:rsidR="00DC5D78" w:rsidRPr="004168E9" w:rsidTr="003C01D9">
        <w:trPr>
          <w:trHeight w:val="298"/>
          <w:jc w:val="center"/>
        </w:trPr>
        <w:tc>
          <w:tcPr>
            <w:tcW w:w="35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5D78" w:rsidRPr="004168E9" w:rsidRDefault="00DC5D78" w:rsidP="00DC5D78">
            <w:pPr>
              <w:jc w:val="both"/>
              <w:rPr>
                <w:color w:val="000000"/>
                <w:sz w:val="22"/>
                <w:szCs w:val="22"/>
              </w:rPr>
            </w:pPr>
            <w:r w:rsidRPr="004168E9">
              <w:rPr>
                <w:color w:val="000000"/>
                <w:sz w:val="22"/>
                <w:szCs w:val="22"/>
              </w:rPr>
              <w:t>Conservation Charge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5D78" w:rsidRDefault="00DC5D78" w:rsidP="00DC5D78">
            <w:pPr>
              <w:jc w:val="right"/>
              <w:rPr>
                <w:color w:val="000000"/>
                <w:sz w:val="22"/>
                <w:szCs w:val="22"/>
              </w:rPr>
            </w:pPr>
            <w:r>
              <w:rPr>
                <w:color w:val="000000"/>
                <w:sz w:val="22"/>
                <w:szCs w:val="22"/>
              </w:rPr>
              <w:t>1.49</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5D78" w:rsidRDefault="00DC5D78" w:rsidP="00DC5D78">
            <w:pPr>
              <w:jc w:val="right"/>
              <w:rPr>
                <w:color w:val="000000"/>
                <w:sz w:val="22"/>
                <w:szCs w:val="22"/>
              </w:rPr>
            </w:pPr>
            <w:r>
              <w:rPr>
                <w:color w:val="000000"/>
                <w:sz w:val="22"/>
                <w:szCs w:val="22"/>
              </w:rPr>
              <w:t>1.49</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5D78" w:rsidRDefault="00AA1EE4" w:rsidP="00DC5D78">
            <w:pPr>
              <w:jc w:val="right"/>
              <w:rPr>
                <w:color w:val="000000"/>
                <w:sz w:val="22"/>
                <w:szCs w:val="22"/>
              </w:rPr>
            </w:pPr>
            <w:r>
              <w:rPr>
                <w:color w:val="000000"/>
                <w:sz w:val="22"/>
                <w:szCs w:val="22"/>
              </w:rPr>
              <w:t>0.</w:t>
            </w:r>
            <w:r w:rsidR="00DC5D78">
              <w:rPr>
                <w:color w:val="000000"/>
                <w:sz w:val="22"/>
                <w:szCs w:val="22"/>
              </w:rPr>
              <w:t>0</w:t>
            </w:r>
            <w:r>
              <w:rPr>
                <w:color w:val="000000"/>
                <w:sz w:val="22"/>
                <w:szCs w:val="22"/>
              </w:rPr>
              <w:t>0</w:t>
            </w:r>
          </w:p>
        </w:tc>
        <w:tc>
          <w:tcPr>
            <w:tcW w:w="14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5D78" w:rsidRDefault="00DC5D78" w:rsidP="00DC5D78">
            <w:pPr>
              <w:jc w:val="right"/>
              <w:rPr>
                <w:color w:val="000000"/>
                <w:sz w:val="22"/>
                <w:szCs w:val="22"/>
              </w:rPr>
            </w:pPr>
            <w:r>
              <w:rPr>
                <w:color w:val="000000"/>
                <w:sz w:val="22"/>
                <w:szCs w:val="22"/>
              </w:rPr>
              <w:t>-</w:t>
            </w:r>
          </w:p>
        </w:tc>
      </w:tr>
      <w:tr w:rsidR="00AA1EE4" w:rsidRPr="004168E9" w:rsidTr="003C01D9">
        <w:trPr>
          <w:trHeight w:val="298"/>
          <w:jc w:val="center"/>
        </w:trPr>
        <w:tc>
          <w:tcPr>
            <w:tcW w:w="35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A1EE4" w:rsidRPr="004168E9" w:rsidRDefault="00AA1EE4" w:rsidP="00AA1EE4">
            <w:pPr>
              <w:jc w:val="both"/>
              <w:rPr>
                <w:color w:val="000000"/>
                <w:sz w:val="22"/>
                <w:szCs w:val="22"/>
              </w:rPr>
            </w:pPr>
            <w:r w:rsidRPr="004168E9">
              <w:rPr>
                <w:color w:val="000000"/>
                <w:sz w:val="22"/>
                <w:szCs w:val="22"/>
              </w:rPr>
              <w:t>Capacity Charge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A1EE4" w:rsidRDefault="00AA1EE4" w:rsidP="00AA1EE4">
            <w:pPr>
              <w:jc w:val="right"/>
              <w:rPr>
                <w:color w:val="000000"/>
                <w:sz w:val="22"/>
                <w:szCs w:val="22"/>
              </w:rPr>
            </w:pPr>
            <w:r>
              <w:rPr>
                <w:color w:val="000000"/>
                <w:sz w:val="22"/>
                <w:szCs w:val="22"/>
              </w:rPr>
              <w:t>2.04</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A1EE4" w:rsidRDefault="00AA1EE4" w:rsidP="00AA1EE4">
            <w:pPr>
              <w:jc w:val="right"/>
              <w:rPr>
                <w:color w:val="000000"/>
                <w:sz w:val="22"/>
                <w:szCs w:val="22"/>
              </w:rPr>
            </w:pPr>
            <w:r>
              <w:rPr>
                <w:color w:val="000000"/>
                <w:sz w:val="22"/>
                <w:szCs w:val="22"/>
              </w:rPr>
              <w:t>2.04</w:t>
            </w:r>
          </w:p>
        </w:tc>
        <w:tc>
          <w:tcPr>
            <w:tcW w:w="1461" w:type="dxa"/>
            <w:tcBorders>
              <w:top w:val="single" w:sz="4" w:space="0" w:color="auto"/>
              <w:left w:val="single" w:sz="4" w:space="0" w:color="auto"/>
              <w:bottom w:val="single" w:sz="4" w:space="0" w:color="auto"/>
              <w:right w:val="single" w:sz="4" w:space="0" w:color="auto"/>
            </w:tcBorders>
            <w:shd w:val="clear" w:color="auto" w:fill="auto"/>
            <w:hideMark/>
          </w:tcPr>
          <w:p w:rsidR="00AA1EE4" w:rsidRDefault="00AA1EE4" w:rsidP="00AA1EE4">
            <w:pPr>
              <w:jc w:val="right"/>
            </w:pPr>
            <w:r w:rsidRPr="00986659">
              <w:rPr>
                <w:color w:val="000000"/>
                <w:sz w:val="22"/>
                <w:szCs w:val="22"/>
              </w:rPr>
              <w:t>0.00</w:t>
            </w:r>
          </w:p>
        </w:tc>
        <w:tc>
          <w:tcPr>
            <w:tcW w:w="14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A1EE4" w:rsidRDefault="00AA1EE4" w:rsidP="00AA1EE4">
            <w:pPr>
              <w:jc w:val="right"/>
              <w:rPr>
                <w:color w:val="000000"/>
                <w:sz w:val="22"/>
                <w:szCs w:val="22"/>
              </w:rPr>
            </w:pPr>
            <w:r>
              <w:rPr>
                <w:color w:val="000000"/>
                <w:sz w:val="22"/>
                <w:szCs w:val="22"/>
              </w:rPr>
              <w:t>-</w:t>
            </w:r>
          </w:p>
        </w:tc>
      </w:tr>
      <w:tr w:rsidR="00AA1EE4" w:rsidRPr="004168E9" w:rsidTr="003C01D9">
        <w:trPr>
          <w:trHeight w:val="298"/>
          <w:jc w:val="center"/>
        </w:trPr>
        <w:tc>
          <w:tcPr>
            <w:tcW w:w="35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A1EE4" w:rsidRPr="004168E9" w:rsidRDefault="00AA1EE4" w:rsidP="00AA1EE4">
            <w:pPr>
              <w:jc w:val="both"/>
              <w:rPr>
                <w:color w:val="000000"/>
                <w:sz w:val="22"/>
                <w:szCs w:val="22"/>
              </w:rPr>
            </w:pPr>
            <w:r w:rsidRPr="004168E9">
              <w:rPr>
                <w:color w:val="000000"/>
                <w:sz w:val="22"/>
                <w:szCs w:val="22"/>
              </w:rPr>
              <w:t>Environmental Charge</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A1EE4" w:rsidRDefault="00AA1EE4" w:rsidP="00AA1EE4">
            <w:pPr>
              <w:jc w:val="right"/>
              <w:rPr>
                <w:color w:val="000000"/>
                <w:sz w:val="22"/>
                <w:szCs w:val="22"/>
              </w:rPr>
            </w:pPr>
            <w:r>
              <w:rPr>
                <w:color w:val="000000"/>
                <w:sz w:val="22"/>
                <w:szCs w:val="22"/>
              </w:rPr>
              <w:t>1.49</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A1EE4" w:rsidRDefault="00AA1EE4" w:rsidP="00AA1EE4">
            <w:pPr>
              <w:jc w:val="right"/>
              <w:rPr>
                <w:color w:val="000000"/>
                <w:sz w:val="22"/>
                <w:szCs w:val="22"/>
              </w:rPr>
            </w:pPr>
            <w:r>
              <w:rPr>
                <w:color w:val="000000"/>
                <w:sz w:val="22"/>
                <w:szCs w:val="22"/>
              </w:rPr>
              <w:t>1.49</w:t>
            </w:r>
          </w:p>
        </w:tc>
        <w:tc>
          <w:tcPr>
            <w:tcW w:w="1461" w:type="dxa"/>
            <w:tcBorders>
              <w:top w:val="single" w:sz="4" w:space="0" w:color="auto"/>
              <w:left w:val="single" w:sz="4" w:space="0" w:color="auto"/>
              <w:bottom w:val="single" w:sz="4" w:space="0" w:color="auto"/>
              <w:right w:val="single" w:sz="4" w:space="0" w:color="auto"/>
            </w:tcBorders>
            <w:shd w:val="clear" w:color="auto" w:fill="auto"/>
            <w:hideMark/>
          </w:tcPr>
          <w:p w:rsidR="00AA1EE4" w:rsidRDefault="00AA1EE4" w:rsidP="00AA1EE4">
            <w:pPr>
              <w:jc w:val="right"/>
            </w:pPr>
            <w:r w:rsidRPr="00986659">
              <w:rPr>
                <w:color w:val="000000"/>
                <w:sz w:val="22"/>
                <w:szCs w:val="22"/>
              </w:rPr>
              <w:t>0.00</w:t>
            </w:r>
          </w:p>
        </w:tc>
        <w:tc>
          <w:tcPr>
            <w:tcW w:w="14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A1EE4" w:rsidRDefault="00AA1EE4" w:rsidP="00AA1EE4">
            <w:pPr>
              <w:jc w:val="right"/>
              <w:rPr>
                <w:color w:val="000000"/>
                <w:sz w:val="22"/>
                <w:szCs w:val="22"/>
              </w:rPr>
            </w:pPr>
            <w:r>
              <w:rPr>
                <w:color w:val="000000"/>
                <w:sz w:val="22"/>
                <w:szCs w:val="22"/>
              </w:rPr>
              <w:t>-</w:t>
            </w:r>
          </w:p>
        </w:tc>
      </w:tr>
      <w:tr w:rsidR="00AA1EE4" w:rsidRPr="004168E9" w:rsidTr="003C01D9">
        <w:trPr>
          <w:trHeight w:val="298"/>
          <w:jc w:val="center"/>
        </w:trPr>
        <w:tc>
          <w:tcPr>
            <w:tcW w:w="35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A1EE4" w:rsidRPr="004168E9" w:rsidRDefault="00AA1EE4" w:rsidP="00AA1EE4">
            <w:pPr>
              <w:jc w:val="both"/>
              <w:rPr>
                <w:color w:val="000000"/>
                <w:sz w:val="22"/>
                <w:szCs w:val="22"/>
              </w:rPr>
            </w:pPr>
            <w:r w:rsidRPr="004168E9">
              <w:rPr>
                <w:color w:val="000000"/>
                <w:sz w:val="22"/>
                <w:szCs w:val="22"/>
              </w:rPr>
              <w:t>Storm Protection Plan</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A1EE4" w:rsidRDefault="00AA1EE4" w:rsidP="00AA1EE4">
            <w:pPr>
              <w:jc w:val="right"/>
              <w:rPr>
                <w:color w:val="000000"/>
                <w:sz w:val="22"/>
                <w:szCs w:val="22"/>
              </w:rPr>
            </w:pPr>
            <w:r>
              <w:rPr>
                <w:color w:val="000000"/>
                <w:sz w:val="22"/>
                <w:szCs w:val="22"/>
              </w:rPr>
              <w:t>0.42</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A1EE4" w:rsidRDefault="00AA1EE4" w:rsidP="00AA1EE4">
            <w:pPr>
              <w:jc w:val="right"/>
              <w:rPr>
                <w:color w:val="000000"/>
                <w:sz w:val="22"/>
                <w:szCs w:val="22"/>
              </w:rPr>
            </w:pPr>
            <w:r>
              <w:rPr>
                <w:color w:val="000000"/>
                <w:sz w:val="22"/>
                <w:szCs w:val="22"/>
              </w:rPr>
              <w:t>0.42</w:t>
            </w:r>
          </w:p>
        </w:tc>
        <w:tc>
          <w:tcPr>
            <w:tcW w:w="1461" w:type="dxa"/>
            <w:tcBorders>
              <w:top w:val="single" w:sz="4" w:space="0" w:color="auto"/>
              <w:left w:val="single" w:sz="4" w:space="0" w:color="auto"/>
              <w:bottom w:val="single" w:sz="4" w:space="0" w:color="auto"/>
              <w:right w:val="single" w:sz="4" w:space="0" w:color="auto"/>
            </w:tcBorders>
            <w:shd w:val="clear" w:color="auto" w:fill="auto"/>
            <w:hideMark/>
          </w:tcPr>
          <w:p w:rsidR="00AA1EE4" w:rsidRDefault="00AA1EE4" w:rsidP="00AA1EE4">
            <w:pPr>
              <w:jc w:val="right"/>
            </w:pPr>
            <w:r w:rsidRPr="00986659">
              <w:rPr>
                <w:color w:val="000000"/>
                <w:sz w:val="22"/>
                <w:szCs w:val="22"/>
              </w:rPr>
              <w:t>0.00</w:t>
            </w:r>
          </w:p>
        </w:tc>
        <w:tc>
          <w:tcPr>
            <w:tcW w:w="14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A1EE4" w:rsidRDefault="00AA1EE4" w:rsidP="00AA1EE4">
            <w:pPr>
              <w:jc w:val="right"/>
              <w:rPr>
                <w:color w:val="000000"/>
                <w:sz w:val="22"/>
                <w:szCs w:val="22"/>
              </w:rPr>
            </w:pPr>
            <w:r>
              <w:rPr>
                <w:color w:val="000000"/>
                <w:sz w:val="22"/>
                <w:szCs w:val="22"/>
              </w:rPr>
              <w:t>-</w:t>
            </w:r>
          </w:p>
        </w:tc>
      </w:tr>
      <w:tr w:rsidR="00DC5D78" w:rsidRPr="004168E9" w:rsidTr="003C01D9">
        <w:trPr>
          <w:trHeight w:val="298"/>
          <w:jc w:val="center"/>
        </w:trPr>
        <w:tc>
          <w:tcPr>
            <w:tcW w:w="35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5D78" w:rsidRPr="004168E9" w:rsidRDefault="00DC5D78" w:rsidP="00DC5D78">
            <w:pPr>
              <w:jc w:val="both"/>
              <w:rPr>
                <w:color w:val="000000"/>
                <w:sz w:val="22"/>
                <w:szCs w:val="22"/>
              </w:rPr>
            </w:pPr>
            <w:r w:rsidRPr="004168E9">
              <w:rPr>
                <w:color w:val="000000"/>
                <w:sz w:val="22"/>
                <w:szCs w:val="22"/>
              </w:rPr>
              <w:t>Gross Receipts Tax</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5D78" w:rsidRDefault="00DC5D78" w:rsidP="00DC5D78">
            <w:pPr>
              <w:jc w:val="right"/>
              <w:rPr>
                <w:color w:val="000000"/>
                <w:sz w:val="22"/>
                <w:szCs w:val="22"/>
                <w:u w:val="single"/>
              </w:rPr>
            </w:pPr>
            <w:r>
              <w:rPr>
                <w:color w:val="000000"/>
                <w:sz w:val="22"/>
                <w:szCs w:val="22"/>
                <w:u w:val="single"/>
              </w:rPr>
              <w:t xml:space="preserve">2.48 </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5D78" w:rsidRDefault="00DC5D78" w:rsidP="00DC5D78">
            <w:pPr>
              <w:jc w:val="right"/>
              <w:rPr>
                <w:color w:val="000000"/>
                <w:sz w:val="22"/>
                <w:szCs w:val="22"/>
                <w:u w:val="single"/>
              </w:rPr>
            </w:pPr>
            <w:r>
              <w:rPr>
                <w:color w:val="000000"/>
                <w:sz w:val="22"/>
                <w:szCs w:val="22"/>
                <w:u w:val="single"/>
              </w:rPr>
              <w:t xml:space="preserve">2.58 </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5D78" w:rsidRDefault="00DC5D78" w:rsidP="00DC5D78">
            <w:pPr>
              <w:jc w:val="right"/>
              <w:rPr>
                <w:color w:val="000000"/>
                <w:sz w:val="22"/>
                <w:szCs w:val="22"/>
                <w:u w:val="single"/>
              </w:rPr>
            </w:pPr>
            <w:r>
              <w:rPr>
                <w:color w:val="000000"/>
                <w:sz w:val="22"/>
                <w:szCs w:val="22"/>
                <w:u w:val="single"/>
              </w:rPr>
              <w:t xml:space="preserve">0.10 </w:t>
            </w:r>
          </w:p>
        </w:tc>
        <w:tc>
          <w:tcPr>
            <w:tcW w:w="14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5D78" w:rsidRDefault="00D204A1" w:rsidP="00DC5D78">
            <w:pPr>
              <w:jc w:val="right"/>
              <w:rPr>
                <w:color w:val="000000"/>
                <w:sz w:val="22"/>
                <w:szCs w:val="22"/>
              </w:rPr>
            </w:pPr>
            <w:r>
              <w:rPr>
                <w:color w:val="000000"/>
                <w:sz w:val="22"/>
                <w:szCs w:val="22"/>
              </w:rPr>
              <w:t>4.03%</w:t>
            </w:r>
          </w:p>
        </w:tc>
      </w:tr>
      <w:tr w:rsidR="00DC5D78" w:rsidRPr="004168E9" w:rsidTr="003C01D9">
        <w:trPr>
          <w:trHeight w:val="298"/>
          <w:jc w:val="center"/>
        </w:trPr>
        <w:tc>
          <w:tcPr>
            <w:tcW w:w="35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5D78" w:rsidRPr="004168E9" w:rsidRDefault="00DC5D78" w:rsidP="00DC5D78">
            <w:pPr>
              <w:jc w:val="both"/>
              <w:rPr>
                <w:b/>
                <w:bCs/>
                <w:color w:val="000000"/>
                <w:sz w:val="22"/>
                <w:szCs w:val="22"/>
              </w:rPr>
            </w:pPr>
            <w:r w:rsidRPr="004168E9">
              <w:rPr>
                <w:b/>
                <w:bCs/>
                <w:color w:val="000000"/>
                <w:sz w:val="22"/>
                <w:szCs w:val="22"/>
              </w:rPr>
              <w:t>Total</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5D78" w:rsidRDefault="00DC5D78" w:rsidP="00DC5D78">
            <w:pPr>
              <w:jc w:val="right"/>
              <w:rPr>
                <w:color w:val="000000"/>
                <w:sz w:val="22"/>
                <w:szCs w:val="22"/>
                <w:u w:val="double"/>
              </w:rPr>
            </w:pPr>
            <w:r>
              <w:rPr>
                <w:color w:val="000000"/>
                <w:sz w:val="22"/>
                <w:szCs w:val="22"/>
                <w:u w:val="double"/>
              </w:rPr>
              <w:t xml:space="preserve">$99.05 </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5D78" w:rsidRDefault="00DC5D78" w:rsidP="00DC5D78">
            <w:pPr>
              <w:jc w:val="right"/>
              <w:rPr>
                <w:color w:val="000000"/>
                <w:sz w:val="22"/>
                <w:szCs w:val="22"/>
                <w:u w:val="double"/>
              </w:rPr>
            </w:pPr>
            <w:r>
              <w:rPr>
                <w:color w:val="000000"/>
                <w:sz w:val="22"/>
                <w:szCs w:val="22"/>
                <w:u w:val="double"/>
              </w:rPr>
              <w:t xml:space="preserve">$103.02 </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5D78" w:rsidRDefault="00DC5D78" w:rsidP="00DC5D78">
            <w:pPr>
              <w:jc w:val="right"/>
              <w:rPr>
                <w:color w:val="000000"/>
                <w:sz w:val="22"/>
                <w:szCs w:val="22"/>
                <w:u w:val="double"/>
              </w:rPr>
            </w:pPr>
            <w:r>
              <w:rPr>
                <w:color w:val="000000"/>
                <w:sz w:val="22"/>
                <w:szCs w:val="22"/>
                <w:u w:val="double"/>
              </w:rPr>
              <w:t xml:space="preserve">$3.97 </w:t>
            </w:r>
          </w:p>
        </w:tc>
        <w:tc>
          <w:tcPr>
            <w:tcW w:w="14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5D78" w:rsidRDefault="00DC5D78" w:rsidP="00DC5D78">
            <w:pPr>
              <w:jc w:val="right"/>
              <w:rPr>
                <w:color w:val="000000"/>
                <w:sz w:val="22"/>
                <w:szCs w:val="22"/>
              </w:rPr>
            </w:pPr>
            <w:r>
              <w:rPr>
                <w:color w:val="000000"/>
                <w:sz w:val="22"/>
                <w:szCs w:val="22"/>
              </w:rPr>
              <w:t>4.01%</w:t>
            </w:r>
          </w:p>
        </w:tc>
      </w:tr>
    </w:tbl>
    <w:p w:rsidR="004A408F" w:rsidRPr="0022052D" w:rsidRDefault="00DC5D78" w:rsidP="004A408F">
      <w:pPr>
        <w:pStyle w:val="FootnoteText"/>
      </w:pPr>
      <w:r>
        <w:t xml:space="preserve">Source: FPL Responses to Staff’s </w:t>
      </w:r>
      <w:r w:rsidR="00AA1EE4">
        <w:t>Second</w:t>
      </w:r>
      <w:r>
        <w:t xml:space="preserve"> Data Request</w:t>
      </w:r>
      <w:r w:rsidRPr="004168E9">
        <w:t xml:space="preserve">, </w:t>
      </w:r>
      <w:r>
        <w:t xml:space="preserve">No. </w:t>
      </w:r>
      <w:r w:rsidRPr="004168E9">
        <w:t>1</w:t>
      </w:r>
      <w:r>
        <w:t>, Attachment No. 1, Schedule E-10</w:t>
      </w:r>
      <w:r w:rsidRPr="004168E9">
        <w:t>.</w:t>
      </w:r>
    </w:p>
    <w:p w:rsidR="004A408F" w:rsidRDefault="004A408F" w:rsidP="004A408F">
      <w:pPr>
        <w:pStyle w:val="BodyText"/>
        <w:spacing w:after="0"/>
      </w:pPr>
    </w:p>
    <w:p w:rsidR="004A408F" w:rsidRDefault="004A408F" w:rsidP="004A408F">
      <w:pPr>
        <w:pStyle w:val="BodyText"/>
        <w:spacing w:after="0"/>
      </w:pPr>
      <w:r w:rsidRPr="006D21CD">
        <w:t>FPL’s curren</w:t>
      </w:r>
      <w:r>
        <w:t>t total residential charge for the first</w:t>
      </w:r>
      <w:r w:rsidRPr="006D21CD">
        <w:t xml:space="preserve"> 1,000 kWh of </w:t>
      </w:r>
      <w:r w:rsidR="00BB374F">
        <w:t xml:space="preserve">electricity </w:t>
      </w:r>
      <w:r w:rsidRPr="006D21CD">
        <w:t>usage for January through December 2021 is $9</w:t>
      </w:r>
      <w:r w:rsidR="002D3264">
        <w:t xml:space="preserve">9.05. If the Company’s </w:t>
      </w:r>
      <w:r w:rsidRPr="006D21CD">
        <w:t xml:space="preserve">mid-course correction </w:t>
      </w:r>
      <w:r>
        <w:t xml:space="preserve">of its fuel charges </w:t>
      </w:r>
      <w:r w:rsidRPr="006D21CD">
        <w:t>is approved</w:t>
      </w:r>
      <w:r w:rsidR="00853206">
        <w:t xml:space="preserve">, </w:t>
      </w:r>
      <w:r w:rsidR="00DC5D78">
        <w:t>with an effective date of May 1, 2021</w:t>
      </w:r>
      <w:r w:rsidR="0032140E">
        <w:t xml:space="preserve"> (Issue 2)</w:t>
      </w:r>
      <w:r w:rsidR="00E47FB9">
        <w:t xml:space="preserve"> rather than April 1</w:t>
      </w:r>
      <w:r w:rsidRPr="006D21CD">
        <w:t xml:space="preserve">, then the current total residential charge for </w:t>
      </w:r>
      <w:r>
        <w:t>the first</w:t>
      </w:r>
      <w:r w:rsidRPr="006D21CD">
        <w:t xml:space="preserve"> 1,000 kWh of usage for </w:t>
      </w:r>
      <w:r w:rsidR="00DC5D78">
        <w:t>May</w:t>
      </w:r>
      <w:r w:rsidRPr="006D21CD">
        <w:t xml:space="preserve"> through December 2021</w:t>
      </w:r>
      <w:r>
        <w:t xml:space="preserve"> w</w:t>
      </w:r>
      <w:r w:rsidR="00E47FB9">
        <w:t>ould</w:t>
      </w:r>
      <w:r>
        <w:t xml:space="preserve"> be $10</w:t>
      </w:r>
      <w:r w:rsidR="00DC5D78">
        <w:t>3</w:t>
      </w:r>
      <w:r>
        <w:t>.</w:t>
      </w:r>
      <w:r w:rsidR="00DC5D78">
        <w:t>02</w:t>
      </w:r>
      <w:r w:rsidR="00E47FB9">
        <w:t xml:space="preserve">, for </w:t>
      </w:r>
      <w:r w:rsidR="00310068">
        <w:t xml:space="preserve">an </w:t>
      </w:r>
      <w:r>
        <w:t xml:space="preserve">increase of </w:t>
      </w:r>
      <w:r w:rsidR="00DC5D78">
        <w:t>4</w:t>
      </w:r>
      <w:r>
        <w:t>.</w:t>
      </w:r>
      <w:r w:rsidR="00DC5D78">
        <w:t>01</w:t>
      </w:r>
      <w:r>
        <w:t xml:space="preserve"> percent. </w:t>
      </w:r>
      <w:r w:rsidR="002D3264">
        <w:t>FPL’s</w:t>
      </w:r>
      <w:r w:rsidRPr="00BF390F">
        <w:t xml:space="preserve"> tariffs</w:t>
      </w:r>
      <w:r w:rsidR="002D3264">
        <w:t xml:space="preserve"> for this scenario are shown o</w:t>
      </w:r>
      <w:r w:rsidRPr="00BF390F">
        <w:t xml:space="preserve">n </w:t>
      </w:r>
      <w:r w:rsidRPr="00DC5D78">
        <w:t xml:space="preserve">Attachment </w:t>
      </w:r>
      <w:r w:rsidR="00DC5D78" w:rsidRPr="00DC5D78">
        <w:t>B</w:t>
      </w:r>
      <w:r w:rsidR="00DC5D78">
        <w:t xml:space="preserve"> to this recommendation.</w:t>
      </w:r>
    </w:p>
    <w:p w:rsidR="00706ED4" w:rsidRPr="005B52DD" w:rsidRDefault="00706ED4" w:rsidP="00706ED4">
      <w:pPr>
        <w:pStyle w:val="BodyText"/>
        <w:spacing w:after="0"/>
        <w:rPr>
          <w:highlight w:val="yellow"/>
        </w:rPr>
      </w:pPr>
    </w:p>
    <w:p w:rsidR="00706ED4" w:rsidRPr="00A36728" w:rsidRDefault="00C1740E" w:rsidP="00706ED4">
      <w:pPr>
        <w:pStyle w:val="BodyText"/>
        <w:spacing w:after="0"/>
        <w:rPr>
          <w:rFonts w:ascii="Arial" w:hAnsi="Arial" w:cs="Arial"/>
          <w:b/>
          <w:bCs/>
          <w:i/>
          <w:iCs/>
        </w:rPr>
      </w:pPr>
      <w:r w:rsidRPr="00A36728">
        <w:rPr>
          <w:rFonts w:ascii="Arial" w:hAnsi="Arial" w:cs="Arial"/>
          <w:b/>
          <w:bCs/>
          <w:i/>
          <w:iCs/>
        </w:rPr>
        <w:t>Bill Impact</w:t>
      </w:r>
      <w:r w:rsidR="000105CF" w:rsidRPr="00A36728">
        <w:rPr>
          <w:rFonts w:ascii="Arial" w:hAnsi="Arial" w:cs="Arial"/>
          <w:b/>
          <w:bCs/>
          <w:i/>
          <w:iCs/>
        </w:rPr>
        <w:t xml:space="preserve"> – Optional</w:t>
      </w:r>
      <w:r w:rsidR="004A408F" w:rsidRPr="00A36728">
        <w:rPr>
          <w:rFonts w:ascii="Arial" w:hAnsi="Arial" w:cs="Arial"/>
          <w:b/>
          <w:i/>
        </w:rPr>
        <w:t xml:space="preserve"> Cost Recovery Amounts and Effective Dates</w:t>
      </w:r>
    </w:p>
    <w:p w:rsidR="000105CF" w:rsidRPr="00C1740E" w:rsidRDefault="000105CF" w:rsidP="00706ED4">
      <w:pPr>
        <w:pStyle w:val="BodyText"/>
        <w:spacing w:after="0"/>
        <w:rPr>
          <w:rFonts w:ascii="Arial" w:hAnsi="Arial" w:cs="Arial"/>
          <w:b/>
          <w:bCs/>
          <w:i/>
          <w:iCs/>
        </w:rPr>
      </w:pPr>
      <w:r w:rsidRPr="00C1740E">
        <w:rPr>
          <w:bCs/>
          <w:iCs/>
        </w:rPr>
        <w:t xml:space="preserve">As mentioned in the Case Background section of this recommendation, staff sought various recovery options to present to the Commission both in recovery amounts and recovery durations. With respect to varying the recovery amounts, staff </w:t>
      </w:r>
      <w:r w:rsidR="00BB374F" w:rsidRPr="00C1740E">
        <w:rPr>
          <w:bCs/>
          <w:iCs/>
        </w:rPr>
        <w:t>sought to bifurcate the</w:t>
      </w:r>
      <w:r w:rsidRPr="00C1740E">
        <w:rPr>
          <w:bCs/>
          <w:iCs/>
        </w:rPr>
        <w:t xml:space="preserve"> mid-course correction total net true-up of $302,560,580 into two components: the “final 2020 true-up” of $72,891,803, and the “estimated 2021 true-up” of $229,668,778. </w:t>
      </w:r>
      <w:r w:rsidR="00CE2CF3">
        <w:rPr>
          <w:bCs/>
          <w:iCs/>
        </w:rPr>
        <w:t xml:space="preserve">However, staff notes that if the </w:t>
      </w:r>
      <w:r w:rsidR="00CE2CF3" w:rsidRPr="00C1740E">
        <w:rPr>
          <w:bCs/>
          <w:iCs/>
        </w:rPr>
        <w:t xml:space="preserve">mid-course correction total net true-up of $302,560,580 </w:t>
      </w:r>
      <w:r w:rsidR="00CE2CF3">
        <w:rPr>
          <w:bCs/>
          <w:iCs/>
        </w:rPr>
        <w:t xml:space="preserve">were split </w:t>
      </w:r>
      <w:r w:rsidR="00CE2CF3" w:rsidRPr="00C1740E">
        <w:rPr>
          <w:bCs/>
          <w:iCs/>
        </w:rPr>
        <w:t>into two components</w:t>
      </w:r>
      <w:r w:rsidR="00CE2CF3">
        <w:rPr>
          <w:bCs/>
          <w:iCs/>
        </w:rPr>
        <w:t>, th</w:t>
      </w:r>
      <w:r w:rsidR="00853206">
        <w:rPr>
          <w:bCs/>
          <w:iCs/>
        </w:rPr>
        <w:t>en</w:t>
      </w:r>
      <w:r w:rsidR="00CE2CF3">
        <w:rPr>
          <w:bCs/>
          <w:iCs/>
        </w:rPr>
        <w:t xml:space="preserve"> neither </w:t>
      </w:r>
      <w:r w:rsidR="00853206">
        <w:rPr>
          <w:bCs/>
          <w:iCs/>
        </w:rPr>
        <w:t xml:space="preserve">the </w:t>
      </w:r>
      <w:r w:rsidR="00CE2CF3">
        <w:rPr>
          <w:bCs/>
          <w:iCs/>
        </w:rPr>
        <w:t>final 2020 true-up</w:t>
      </w:r>
      <w:r w:rsidR="00CE2CF3" w:rsidRPr="00C1740E">
        <w:rPr>
          <w:bCs/>
          <w:iCs/>
        </w:rPr>
        <w:t xml:space="preserve"> </w:t>
      </w:r>
      <w:r w:rsidR="009509FE">
        <w:rPr>
          <w:bCs/>
          <w:iCs/>
        </w:rPr>
        <w:t>n</w:t>
      </w:r>
      <w:r w:rsidR="00CE2CF3">
        <w:rPr>
          <w:bCs/>
          <w:iCs/>
        </w:rPr>
        <w:t xml:space="preserve">or the estimated 2021 true-up alone would </w:t>
      </w:r>
      <w:r w:rsidR="003C01D9">
        <w:rPr>
          <w:bCs/>
          <w:iCs/>
        </w:rPr>
        <w:t>exceed</w:t>
      </w:r>
      <w:r w:rsidR="00CE2CF3">
        <w:rPr>
          <w:bCs/>
          <w:iCs/>
        </w:rPr>
        <w:t xml:space="preserve"> </w:t>
      </w:r>
      <w:r w:rsidR="00853206">
        <w:rPr>
          <w:bCs/>
          <w:iCs/>
        </w:rPr>
        <w:t>the</w:t>
      </w:r>
      <w:r w:rsidR="008132EB">
        <w:rPr>
          <w:bCs/>
          <w:iCs/>
        </w:rPr>
        <w:t xml:space="preserve"> 10 percent over- or under-</w:t>
      </w:r>
      <w:r w:rsidR="00CE2CF3">
        <w:rPr>
          <w:bCs/>
          <w:iCs/>
        </w:rPr>
        <w:t xml:space="preserve">recovery </w:t>
      </w:r>
      <w:r w:rsidR="00853206">
        <w:rPr>
          <w:bCs/>
          <w:iCs/>
        </w:rPr>
        <w:t xml:space="preserve">threshold </w:t>
      </w:r>
      <w:r w:rsidR="00CE2CF3">
        <w:rPr>
          <w:bCs/>
          <w:iCs/>
        </w:rPr>
        <w:t>pursuant</w:t>
      </w:r>
      <w:r w:rsidR="00CE2CF3">
        <w:t xml:space="preserve"> to Rule 25-6.0424(1)(a), F.A.C.</w:t>
      </w:r>
      <w:r w:rsidR="00CE2CF3">
        <w:rPr>
          <w:bCs/>
          <w:iCs/>
        </w:rPr>
        <w:t xml:space="preserve"> </w:t>
      </w:r>
      <w:r w:rsidRPr="00C1740E">
        <w:rPr>
          <w:bCs/>
          <w:iCs/>
        </w:rPr>
        <w:t>With respect to varying the recovery durations, both the final 2020 true-up a</w:t>
      </w:r>
      <w:r w:rsidR="00853206">
        <w:rPr>
          <w:bCs/>
          <w:iCs/>
        </w:rPr>
        <w:t>nd the estimated 2021 true-up w</w:t>
      </w:r>
      <w:r w:rsidRPr="00C1740E">
        <w:rPr>
          <w:bCs/>
          <w:iCs/>
        </w:rPr>
        <w:t xml:space="preserve">ere spread over the </w:t>
      </w:r>
      <w:r w:rsidR="001F2A23" w:rsidRPr="00C1740E">
        <w:rPr>
          <w:bCs/>
          <w:iCs/>
        </w:rPr>
        <w:t>remaining</w:t>
      </w:r>
      <w:r w:rsidRPr="00C1740E">
        <w:rPr>
          <w:bCs/>
          <w:iCs/>
        </w:rPr>
        <w:t xml:space="preserve"> </w:t>
      </w:r>
      <w:r w:rsidR="009F2932">
        <w:rPr>
          <w:bCs/>
          <w:iCs/>
        </w:rPr>
        <w:t>nine</w:t>
      </w:r>
      <w:r w:rsidRPr="00C1740E">
        <w:rPr>
          <w:bCs/>
          <w:iCs/>
        </w:rPr>
        <w:t xml:space="preserve"> months of the year, or from April</w:t>
      </w:r>
      <w:r w:rsidR="00BB374F" w:rsidRPr="00C1740E">
        <w:rPr>
          <w:bCs/>
          <w:iCs/>
        </w:rPr>
        <w:t xml:space="preserve"> 2021 through December 2021, as well as</w:t>
      </w:r>
      <w:r w:rsidRPr="00C1740E">
        <w:rPr>
          <w:bCs/>
          <w:iCs/>
        </w:rPr>
        <w:t xml:space="preserve"> over the </w:t>
      </w:r>
      <w:r w:rsidR="001F2A23" w:rsidRPr="00C1740E">
        <w:rPr>
          <w:bCs/>
          <w:iCs/>
        </w:rPr>
        <w:t>remaining</w:t>
      </w:r>
      <w:r w:rsidR="009F2932">
        <w:rPr>
          <w:bCs/>
          <w:iCs/>
        </w:rPr>
        <w:t xml:space="preserve"> eight</w:t>
      </w:r>
      <w:r w:rsidRPr="00C1740E">
        <w:rPr>
          <w:bCs/>
          <w:iCs/>
        </w:rPr>
        <w:t xml:space="preserve"> months of the year, or from May 2021 through December 2021.</w:t>
      </w:r>
      <w:r w:rsidR="00194367">
        <w:rPr>
          <w:bCs/>
          <w:iCs/>
        </w:rPr>
        <w:t xml:space="preserve"> Under any scenario</w:t>
      </w:r>
      <w:r w:rsidR="00BA1DF5" w:rsidRPr="00C1740E">
        <w:rPr>
          <w:bCs/>
          <w:iCs/>
        </w:rPr>
        <w:t>, the residual over- or under-recovery of fuel revenue will be trued up and carried forward to calendar year 2022.</w:t>
      </w:r>
      <w:r w:rsidR="00CE2CF3">
        <w:rPr>
          <w:bCs/>
          <w:iCs/>
        </w:rPr>
        <w:t xml:space="preserve"> </w:t>
      </w:r>
      <w:r w:rsidR="00BA1DF5" w:rsidRPr="00C1740E">
        <w:rPr>
          <w:bCs/>
          <w:iCs/>
        </w:rPr>
        <w:t xml:space="preserve">  </w:t>
      </w:r>
      <w:r w:rsidR="00BB374F" w:rsidRPr="00C1740E">
        <w:rPr>
          <w:bCs/>
          <w:iCs/>
        </w:rPr>
        <w:t xml:space="preserve"> </w:t>
      </w:r>
    </w:p>
    <w:p w:rsidR="000105CF" w:rsidRPr="00C1740E" w:rsidRDefault="000105CF" w:rsidP="00706ED4">
      <w:pPr>
        <w:pStyle w:val="BodyText"/>
        <w:spacing w:after="0"/>
        <w:rPr>
          <w:bCs/>
          <w:iCs/>
        </w:rPr>
      </w:pPr>
    </w:p>
    <w:p w:rsidR="000105CF" w:rsidRDefault="004A408F" w:rsidP="00706ED4">
      <w:pPr>
        <w:pStyle w:val="BodyText"/>
        <w:spacing w:after="0"/>
      </w:pPr>
      <w:r w:rsidRPr="00C1740E">
        <w:t xml:space="preserve">In </w:t>
      </w:r>
      <w:r w:rsidRPr="00431FC1">
        <w:t>Table 1-4</w:t>
      </w:r>
      <w:r w:rsidR="000105CF" w:rsidRPr="00431FC1">
        <w:t xml:space="preserve"> be</w:t>
      </w:r>
      <w:r w:rsidR="000105CF" w:rsidRPr="00C1740E">
        <w:t xml:space="preserve">low, staff displays the bill impact to a residential customer using 1,000 kWh of electricity a month and under the optional scenarios discussed </w:t>
      </w:r>
      <w:r w:rsidR="00E47FB9">
        <w:t>above</w:t>
      </w:r>
      <w:r w:rsidR="000105CF" w:rsidRPr="00C1740E">
        <w:t>:</w:t>
      </w:r>
    </w:p>
    <w:p w:rsidR="00667E9C" w:rsidRDefault="00667E9C" w:rsidP="00706ED4">
      <w:pPr>
        <w:pStyle w:val="BodyText"/>
        <w:spacing w:after="0"/>
      </w:pPr>
    </w:p>
    <w:p w:rsidR="00667E9C" w:rsidRDefault="00667E9C" w:rsidP="00706ED4">
      <w:pPr>
        <w:pStyle w:val="BodyText"/>
        <w:spacing w:after="0"/>
      </w:pPr>
    </w:p>
    <w:p w:rsidR="00667E9C" w:rsidRDefault="00667E9C" w:rsidP="00706ED4">
      <w:pPr>
        <w:pStyle w:val="BodyText"/>
        <w:spacing w:after="0"/>
      </w:pPr>
    </w:p>
    <w:p w:rsidR="00BB374F" w:rsidRDefault="00BB374F" w:rsidP="00706ED4">
      <w:pPr>
        <w:pStyle w:val="BodyText"/>
        <w:spacing w:after="0"/>
      </w:pPr>
    </w:p>
    <w:tbl>
      <w:tblPr>
        <w:tblStyle w:val="TableGrid"/>
        <w:tblW w:w="0" w:type="auto"/>
        <w:jc w:val="center"/>
        <w:tblLook w:val="04A0" w:firstRow="1" w:lastRow="0" w:firstColumn="1" w:lastColumn="0" w:noHBand="0" w:noVBand="1"/>
      </w:tblPr>
      <w:tblGrid>
        <w:gridCol w:w="1870"/>
        <w:gridCol w:w="1870"/>
        <w:gridCol w:w="1870"/>
        <w:gridCol w:w="1870"/>
        <w:gridCol w:w="1870"/>
      </w:tblGrid>
      <w:tr w:rsidR="000756BD" w:rsidRPr="000756BD" w:rsidTr="001E77E2">
        <w:trPr>
          <w:jc w:val="center"/>
        </w:trPr>
        <w:tc>
          <w:tcPr>
            <w:tcW w:w="9350" w:type="dxa"/>
            <w:gridSpan w:val="5"/>
            <w:tcBorders>
              <w:top w:val="nil"/>
              <w:left w:val="nil"/>
              <w:bottom w:val="nil"/>
              <w:right w:val="nil"/>
            </w:tcBorders>
          </w:tcPr>
          <w:p w:rsidR="000756BD" w:rsidRPr="000756BD" w:rsidRDefault="000756BD" w:rsidP="000756BD">
            <w:pPr>
              <w:jc w:val="center"/>
            </w:pPr>
            <w:r>
              <w:rPr>
                <w:rFonts w:ascii="Arial" w:hAnsi="Arial" w:cs="Arial"/>
                <w:b/>
                <w:bCs/>
                <w:color w:val="000000"/>
              </w:rPr>
              <w:t>Table 1-</w:t>
            </w:r>
            <w:r w:rsidR="004A408F">
              <w:rPr>
                <w:rFonts w:ascii="Arial" w:hAnsi="Arial" w:cs="Arial"/>
                <w:b/>
                <w:bCs/>
                <w:color w:val="000000"/>
              </w:rPr>
              <w:t>4</w:t>
            </w:r>
          </w:p>
        </w:tc>
      </w:tr>
      <w:tr w:rsidR="000756BD" w:rsidRPr="000756BD" w:rsidTr="001E77E2">
        <w:trPr>
          <w:jc w:val="center"/>
        </w:trPr>
        <w:tc>
          <w:tcPr>
            <w:tcW w:w="9350" w:type="dxa"/>
            <w:gridSpan w:val="5"/>
            <w:tcBorders>
              <w:top w:val="nil"/>
              <w:left w:val="nil"/>
              <w:right w:val="nil"/>
            </w:tcBorders>
          </w:tcPr>
          <w:p w:rsidR="000756BD" w:rsidRPr="000756BD" w:rsidRDefault="000756BD" w:rsidP="000756BD">
            <w:pPr>
              <w:jc w:val="center"/>
              <w:rPr>
                <w:rFonts w:ascii="Arial" w:hAnsi="Arial" w:cs="Arial"/>
                <w:b/>
              </w:rPr>
            </w:pPr>
            <w:r w:rsidRPr="000756BD">
              <w:rPr>
                <w:rFonts w:ascii="Arial" w:hAnsi="Arial" w:cs="Arial"/>
                <w:b/>
              </w:rPr>
              <w:t>Certain Fuel Factors Relative to Various Cost Recovery Amounts and Effective Dates</w:t>
            </w:r>
          </w:p>
        </w:tc>
      </w:tr>
      <w:tr w:rsidR="00206428" w:rsidRPr="000756BD" w:rsidTr="001E77E2">
        <w:trPr>
          <w:jc w:val="center"/>
        </w:trPr>
        <w:tc>
          <w:tcPr>
            <w:tcW w:w="1870" w:type="dxa"/>
            <w:vMerge w:val="restart"/>
            <w:tcBorders>
              <w:right w:val="single" w:sz="12" w:space="0" w:color="auto"/>
            </w:tcBorders>
            <w:vAlign w:val="center"/>
          </w:tcPr>
          <w:p w:rsidR="00206428" w:rsidRPr="00206428" w:rsidRDefault="00206428" w:rsidP="00206428">
            <w:pPr>
              <w:jc w:val="center"/>
              <w:rPr>
                <w:b/>
              </w:rPr>
            </w:pPr>
            <w:r w:rsidRPr="00206428">
              <w:rPr>
                <w:b/>
              </w:rPr>
              <w:t>Specific Fuel Factors</w:t>
            </w:r>
          </w:p>
        </w:tc>
        <w:tc>
          <w:tcPr>
            <w:tcW w:w="3740" w:type="dxa"/>
            <w:gridSpan w:val="2"/>
            <w:tcBorders>
              <w:left w:val="single" w:sz="12" w:space="0" w:color="auto"/>
              <w:right w:val="single" w:sz="12" w:space="0" w:color="auto"/>
            </w:tcBorders>
            <w:vAlign w:val="center"/>
          </w:tcPr>
          <w:p w:rsidR="00206428" w:rsidRPr="000756BD" w:rsidRDefault="00206428" w:rsidP="000756BD">
            <w:pPr>
              <w:ind w:firstLineChars="100" w:firstLine="220"/>
              <w:jc w:val="center"/>
              <w:rPr>
                <w:b/>
                <w:color w:val="000000"/>
                <w:sz w:val="22"/>
                <w:szCs w:val="22"/>
              </w:rPr>
            </w:pPr>
            <w:r w:rsidRPr="000756BD">
              <w:rPr>
                <w:b/>
                <w:color w:val="000000"/>
                <w:sz w:val="22"/>
                <w:szCs w:val="22"/>
              </w:rPr>
              <w:t>Effective Date of April 1</w:t>
            </w:r>
            <w:r w:rsidRPr="00872B62">
              <w:rPr>
                <w:b/>
                <w:color w:val="000000"/>
                <w:sz w:val="22"/>
                <w:szCs w:val="22"/>
                <w:vertAlign w:val="superscript"/>
              </w:rPr>
              <w:t>st</w:t>
            </w:r>
          </w:p>
        </w:tc>
        <w:tc>
          <w:tcPr>
            <w:tcW w:w="3740" w:type="dxa"/>
            <w:gridSpan w:val="2"/>
            <w:tcBorders>
              <w:left w:val="single" w:sz="12" w:space="0" w:color="auto"/>
              <w:right w:val="single" w:sz="12" w:space="0" w:color="auto"/>
            </w:tcBorders>
            <w:vAlign w:val="center"/>
          </w:tcPr>
          <w:p w:rsidR="00206428" w:rsidRPr="000756BD" w:rsidRDefault="00206428" w:rsidP="000756BD">
            <w:pPr>
              <w:ind w:firstLineChars="100" w:firstLine="220"/>
              <w:jc w:val="center"/>
              <w:rPr>
                <w:b/>
                <w:color w:val="000000"/>
                <w:sz w:val="22"/>
                <w:szCs w:val="22"/>
              </w:rPr>
            </w:pPr>
            <w:r w:rsidRPr="000756BD">
              <w:rPr>
                <w:b/>
                <w:color w:val="000000"/>
                <w:sz w:val="22"/>
                <w:szCs w:val="22"/>
              </w:rPr>
              <w:t>Effective Date of May 1</w:t>
            </w:r>
            <w:r w:rsidRPr="00872B62">
              <w:rPr>
                <w:b/>
                <w:color w:val="000000"/>
                <w:sz w:val="22"/>
                <w:szCs w:val="22"/>
                <w:vertAlign w:val="superscript"/>
              </w:rPr>
              <w:t>st</w:t>
            </w:r>
          </w:p>
        </w:tc>
      </w:tr>
      <w:tr w:rsidR="00206428" w:rsidRPr="000756BD" w:rsidTr="001E77E2">
        <w:trPr>
          <w:jc w:val="center"/>
        </w:trPr>
        <w:tc>
          <w:tcPr>
            <w:tcW w:w="1870" w:type="dxa"/>
            <w:vMerge/>
            <w:tcBorders>
              <w:bottom w:val="single" w:sz="4" w:space="0" w:color="auto"/>
              <w:right w:val="single" w:sz="12" w:space="0" w:color="auto"/>
            </w:tcBorders>
          </w:tcPr>
          <w:p w:rsidR="00206428" w:rsidRPr="000756BD" w:rsidRDefault="00206428" w:rsidP="000756BD">
            <w:pPr>
              <w:jc w:val="both"/>
            </w:pPr>
          </w:p>
        </w:tc>
        <w:tc>
          <w:tcPr>
            <w:tcW w:w="1870" w:type="dxa"/>
            <w:tcBorders>
              <w:left w:val="single" w:sz="12" w:space="0" w:color="auto"/>
            </w:tcBorders>
            <w:vAlign w:val="center"/>
          </w:tcPr>
          <w:p w:rsidR="00206428" w:rsidRDefault="00206428" w:rsidP="000756BD">
            <w:pPr>
              <w:jc w:val="center"/>
              <w:rPr>
                <w:b/>
                <w:color w:val="000000"/>
                <w:spacing w:val="-2"/>
                <w:sz w:val="22"/>
                <w:szCs w:val="22"/>
              </w:rPr>
            </w:pPr>
            <w:r w:rsidRPr="000756BD">
              <w:rPr>
                <w:b/>
                <w:color w:val="000000"/>
                <w:spacing w:val="-2"/>
                <w:sz w:val="22"/>
                <w:szCs w:val="22"/>
              </w:rPr>
              <w:t>2020 Final</w:t>
            </w:r>
          </w:p>
          <w:p w:rsidR="00206428" w:rsidRPr="000756BD" w:rsidRDefault="00206428" w:rsidP="000756BD">
            <w:pPr>
              <w:jc w:val="center"/>
              <w:rPr>
                <w:b/>
                <w:color w:val="000000"/>
                <w:sz w:val="22"/>
                <w:szCs w:val="22"/>
              </w:rPr>
            </w:pPr>
            <w:r w:rsidRPr="000756BD">
              <w:rPr>
                <w:b/>
                <w:color w:val="000000"/>
                <w:spacing w:val="-2"/>
                <w:sz w:val="22"/>
                <w:szCs w:val="22"/>
              </w:rPr>
              <w:t>True-</w:t>
            </w:r>
            <w:r>
              <w:rPr>
                <w:b/>
                <w:color w:val="000000"/>
                <w:spacing w:val="-2"/>
                <w:sz w:val="22"/>
                <w:szCs w:val="22"/>
              </w:rPr>
              <w:t>Up</w:t>
            </w:r>
          </w:p>
        </w:tc>
        <w:tc>
          <w:tcPr>
            <w:tcW w:w="1870" w:type="dxa"/>
            <w:tcBorders>
              <w:right w:val="single" w:sz="12" w:space="0" w:color="auto"/>
            </w:tcBorders>
            <w:vAlign w:val="center"/>
          </w:tcPr>
          <w:p w:rsidR="00206428" w:rsidRPr="000756BD" w:rsidRDefault="00206428" w:rsidP="000756BD">
            <w:pPr>
              <w:jc w:val="center"/>
              <w:rPr>
                <w:b/>
                <w:color w:val="000000"/>
                <w:sz w:val="22"/>
                <w:szCs w:val="22"/>
              </w:rPr>
            </w:pPr>
            <w:r w:rsidRPr="000756BD">
              <w:rPr>
                <w:b/>
                <w:color w:val="000000"/>
                <w:spacing w:val="-1"/>
                <w:sz w:val="22"/>
                <w:szCs w:val="22"/>
              </w:rPr>
              <w:t>2021 MCC A/E True-Up</w:t>
            </w:r>
          </w:p>
        </w:tc>
        <w:tc>
          <w:tcPr>
            <w:tcW w:w="1870" w:type="dxa"/>
            <w:tcBorders>
              <w:left w:val="single" w:sz="12" w:space="0" w:color="auto"/>
            </w:tcBorders>
            <w:vAlign w:val="center"/>
          </w:tcPr>
          <w:p w:rsidR="00206428" w:rsidRDefault="00206428" w:rsidP="000756BD">
            <w:pPr>
              <w:jc w:val="center"/>
              <w:rPr>
                <w:b/>
                <w:color w:val="000000"/>
                <w:spacing w:val="-2"/>
                <w:sz w:val="22"/>
                <w:szCs w:val="22"/>
              </w:rPr>
            </w:pPr>
            <w:r w:rsidRPr="000756BD">
              <w:rPr>
                <w:b/>
                <w:color w:val="000000"/>
                <w:spacing w:val="-2"/>
                <w:sz w:val="22"/>
                <w:szCs w:val="22"/>
              </w:rPr>
              <w:t>2020 Final</w:t>
            </w:r>
          </w:p>
          <w:p w:rsidR="00206428" w:rsidRPr="000756BD" w:rsidRDefault="00206428" w:rsidP="000756BD">
            <w:pPr>
              <w:jc w:val="center"/>
              <w:rPr>
                <w:b/>
                <w:color w:val="000000"/>
                <w:sz w:val="22"/>
                <w:szCs w:val="22"/>
              </w:rPr>
            </w:pPr>
            <w:r w:rsidRPr="000756BD">
              <w:rPr>
                <w:b/>
                <w:color w:val="000000"/>
                <w:spacing w:val="-2"/>
                <w:sz w:val="22"/>
                <w:szCs w:val="22"/>
              </w:rPr>
              <w:t>True-up</w:t>
            </w:r>
          </w:p>
        </w:tc>
        <w:tc>
          <w:tcPr>
            <w:tcW w:w="1870" w:type="dxa"/>
            <w:tcBorders>
              <w:right w:val="single" w:sz="12" w:space="0" w:color="auto"/>
            </w:tcBorders>
            <w:vAlign w:val="center"/>
          </w:tcPr>
          <w:p w:rsidR="00206428" w:rsidRPr="000756BD" w:rsidRDefault="00206428" w:rsidP="000756BD">
            <w:pPr>
              <w:jc w:val="center"/>
              <w:rPr>
                <w:b/>
                <w:color w:val="000000"/>
                <w:sz w:val="22"/>
                <w:szCs w:val="22"/>
              </w:rPr>
            </w:pPr>
            <w:r w:rsidRPr="000756BD">
              <w:rPr>
                <w:b/>
                <w:color w:val="000000"/>
                <w:spacing w:val="-1"/>
                <w:sz w:val="22"/>
                <w:szCs w:val="22"/>
              </w:rPr>
              <w:t>2021 MCC A/E True Up</w:t>
            </w:r>
          </w:p>
        </w:tc>
      </w:tr>
      <w:tr w:rsidR="000756BD" w:rsidRPr="00923B97" w:rsidTr="001E77E2">
        <w:trPr>
          <w:jc w:val="center"/>
        </w:trPr>
        <w:tc>
          <w:tcPr>
            <w:tcW w:w="1870" w:type="dxa"/>
            <w:tcBorders>
              <w:bottom w:val="single" w:sz="4" w:space="0" w:color="auto"/>
              <w:right w:val="nil"/>
            </w:tcBorders>
            <w:vAlign w:val="center"/>
          </w:tcPr>
          <w:p w:rsidR="000756BD" w:rsidRPr="00923B97" w:rsidRDefault="000756BD" w:rsidP="000446E9">
            <w:pPr>
              <w:rPr>
                <w:color w:val="000000"/>
                <w:sz w:val="22"/>
                <w:szCs w:val="22"/>
              </w:rPr>
            </w:pPr>
          </w:p>
        </w:tc>
        <w:tc>
          <w:tcPr>
            <w:tcW w:w="7480" w:type="dxa"/>
            <w:gridSpan w:val="4"/>
            <w:tcBorders>
              <w:left w:val="nil"/>
              <w:right w:val="single" w:sz="12" w:space="0" w:color="auto"/>
            </w:tcBorders>
            <w:vAlign w:val="bottom"/>
          </w:tcPr>
          <w:p w:rsidR="000756BD" w:rsidRPr="00923B97" w:rsidRDefault="000756BD" w:rsidP="000756BD">
            <w:pPr>
              <w:jc w:val="center"/>
              <w:rPr>
                <w:color w:val="000000"/>
                <w:sz w:val="22"/>
                <w:szCs w:val="22"/>
              </w:rPr>
            </w:pPr>
            <w:r w:rsidRPr="00923B97">
              <w:rPr>
                <w:color w:val="000000"/>
                <w:sz w:val="22"/>
                <w:szCs w:val="22"/>
              </w:rPr>
              <w:t>Cents per kWh</w:t>
            </w:r>
          </w:p>
        </w:tc>
      </w:tr>
      <w:tr w:rsidR="000756BD" w:rsidRPr="000756BD" w:rsidTr="001E77E2">
        <w:trPr>
          <w:jc w:val="center"/>
        </w:trPr>
        <w:tc>
          <w:tcPr>
            <w:tcW w:w="1870" w:type="dxa"/>
            <w:tcBorders>
              <w:bottom w:val="single" w:sz="4" w:space="0" w:color="auto"/>
              <w:right w:val="single" w:sz="12" w:space="0" w:color="auto"/>
            </w:tcBorders>
            <w:vAlign w:val="center"/>
          </w:tcPr>
          <w:p w:rsidR="000756BD" w:rsidRPr="000756BD" w:rsidRDefault="000756BD" w:rsidP="000446E9">
            <w:pPr>
              <w:rPr>
                <w:color w:val="000000"/>
                <w:sz w:val="22"/>
                <w:szCs w:val="22"/>
              </w:rPr>
            </w:pPr>
            <w:r w:rsidRPr="000756BD">
              <w:rPr>
                <w:color w:val="000000"/>
                <w:sz w:val="22"/>
                <w:szCs w:val="22"/>
              </w:rPr>
              <w:t>Levelized Fuel Cost Recovery Factor</w:t>
            </w:r>
          </w:p>
        </w:tc>
        <w:tc>
          <w:tcPr>
            <w:tcW w:w="1870" w:type="dxa"/>
            <w:tcBorders>
              <w:left w:val="single" w:sz="12" w:space="0" w:color="auto"/>
            </w:tcBorders>
            <w:vAlign w:val="bottom"/>
          </w:tcPr>
          <w:p w:rsidR="000756BD" w:rsidRPr="000756BD" w:rsidRDefault="000756BD" w:rsidP="000446E9">
            <w:pPr>
              <w:jc w:val="right"/>
              <w:rPr>
                <w:color w:val="000000"/>
                <w:sz w:val="22"/>
                <w:szCs w:val="22"/>
              </w:rPr>
            </w:pPr>
            <w:r w:rsidRPr="000756BD">
              <w:rPr>
                <w:color w:val="000000"/>
                <w:sz w:val="22"/>
                <w:szCs w:val="22"/>
              </w:rPr>
              <w:t>2.528</w:t>
            </w:r>
            <w:r>
              <w:rPr>
                <w:color w:val="000000"/>
                <w:sz w:val="22"/>
                <w:szCs w:val="22"/>
              </w:rPr>
              <w:t>¢</w:t>
            </w:r>
          </w:p>
        </w:tc>
        <w:tc>
          <w:tcPr>
            <w:tcW w:w="1870" w:type="dxa"/>
            <w:tcBorders>
              <w:right w:val="single" w:sz="12" w:space="0" w:color="auto"/>
            </w:tcBorders>
            <w:vAlign w:val="bottom"/>
          </w:tcPr>
          <w:p w:rsidR="000756BD" w:rsidRPr="000756BD" w:rsidRDefault="000756BD" w:rsidP="000446E9">
            <w:pPr>
              <w:jc w:val="right"/>
              <w:rPr>
                <w:color w:val="000000"/>
                <w:sz w:val="22"/>
                <w:szCs w:val="22"/>
              </w:rPr>
            </w:pPr>
            <w:r w:rsidRPr="000756BD">
              <w:rPr>
                <w:color w:val="000000"/>
                <w:sz w:val="22"/>
                <w:szCs w:val="22"/>
              </w:rPr>
              <w:t>2.708</w:t>
            </w:r>
            <w:r>
              <w:rPr>
                <w:color w:val="000000"/>
                <w:sz w:val="22"/>
                <w:szCs w:val="22"/>
              </w:rPr>
              <w:t>¢</w:t>
            </w:r>
          </w:p>
        </w:tc>
        <w:tc>
          <w:tcPr>
            <w:tcW w:w="1870" w:type="dxa"/>
            <w:tcBorders>
              <w:left w:val="single" w:sz="12" w:space="0" w:color="auto"/>
            </w:tcBorders>
            <w:vAlign w:val="bottom"/>
          </w:tcPr>
          <w:p w:rsidR="000756BD" w:rsidRPr="000756BD" w:rsidRDefault="000756BD" w:rsidP="000446E9">
            <w:pPr>
              <w:jc w:val="right"/>
              <w:rPr>
                <w:color w:val="000000"/>
                <w:sz w:val="22"/>
                <w:szCs w:val="22"/>
              </w:rPr>
            </w:pPr>
            <w:r w:rsidRPr="000756BD">
              <w:rPr>
                <w:color w:val="000000"/>
                <w:sz w:val="22"/>
                <w:szCs w:val="22"/>
              </w:rPr>
              <w:t>2.537</w:t>
            </w:r>
            <w:r>
              <w:rPr>
                <w:color w:val="000000"/>
                <w:sz w:val="22"/>
                <w:szCs w:val="22"/>
              </w:rPr>
              <w:t>¢</w:t>
            </w:r>
          </w:p>
        </w:tc>
        <w:tc>
          <w:tcPr>
            <w:tcW w:w="1870" w:type="dxa"/>
            <w:tcBorders>
              <w:right w:val="single" w:sz="12" w:space="0" w:color="auto"/>
            </w:tcBorders>
            <w:vAlign w:val="bottom"/>
          </w:tcPr>
          <w:p w:rsidR="000756BD" w:rsidRPr="000756BD" w:rsidRDefault="000756BD" w:rsidP="000446E9">
            <w:pPr>
              <w:jc w:val="right"/>
              <w:rPr>
                <w:color w:val="000000"/>
                <w:sz w:val="22"/>
                <w:szCs w:val="22"/>
              </w:rPr>
            </w:pPr>
            <w:r w:rsidRPr="000756BD">
              <w:rPr>
                <w:color w:val="000000"/>
                <w:sz w:val="22"/>
                <w:szCs w:val="22"/>
              </w:rPr>
              <w:t>2.736</w:t>
            </w:r>
            <w:r>
              <w:rPr>
                <w:color w:val="000000"/>
                <w:sz w:val="22"/>
                <w:szCs w:val="22"/>
              </w:rPr>
              <w:t>¢</w:t>
            </w:r>
          </w:p>
        </w:tc>
      </w:tr>
      <w:tr w:rsidR="000756BD" w:rsidRPr="000756BD" w:rsidTr="001E77E2">
        <w:trPr>
          <w:jc w:val="center"/>
        </w:trPr>
        <w:tc>
          <w:tcPr>
            <w:tcW w:w="1870" w:type="dxa"/>
            <w:tcBorders>
              <w:bottom w:val="single" w:sz="4" w:space="0" w:color="auto"/>
              <w:right w:val="single" w:sz="12" w:space="0" w:color="auto"/>
            </w:tcBorders>
            <w:vAlign w:val="center"/>
          </w:tcPr>
          <w:p w:rsidR="000756BD" w:rsidRPr="000756BD" w:rsidRDefault="000756BD" w:rsidP="000446E9">
            <w:pPr>
              <w:rPr>
                <w:color w:val="000000"/>
                <w:sz w:val="22"/>
                <w:szCs w:val="22"/>
              </w:rPr>
            </w:pPr>
            <w:r w:rsidRPr="000756BD">
              <w:rPr>
                <w:color w:val="000000"/>
                <w:sz w:val="22"/>
                <w:szCs w:val="22"/>
              </w:rPr>
              <w:t xml:space="preserve">RS-1 </w:t>
            </w:r>
            <w:r w:rsidR="00AA4613">
              <w:rPr>
                <w:color w:val="000000"/>
                <w:sz w:val="22"/>
                <w:szCs w:val="22"/>
              </w:rPr>
              <w:t xml:space="preserve">Inverted Fuel </w:t>
            </w:r>
            <w:r w:rsidRPr="000756BD">
              <w:rPr>
                <w:color w:val="000000"/>
                <w:sz w:val="22"/>
                <w:szCs w:val="22"/>
              </w:rPr>
              <w:t xml:space="preserve">Factor, </w:t>
            </w:r>
            <w:r w:rsidR="00C31EC9" w:rsidRPr="000756BD">
              <w:rPr>
                <w:color w:val="000000"/>
                <w:sz w:val="22"/>
                <w:szCs w:val="22"/>
              </w:rPr>
              <w:t>First 1,000 kWh</w:t>
            </w:r>
          </w:p>
        </w:tc>
        <w:tc>
          <w:tcPr>
            <w:tcW w:w="1870" w:type="dxa"/>
            <w:tcBorders>
              <w:left w:val="single" w:sz="12" w:space="0" w:color="auto"/>
            </w:tcBorders>
            <w:vAlign w:val="bottom"/>
          </w:tcPr>
          <w:p w:rsidR="000756BD" w:rsidRPr="000756BD" w:rsidRDefault="000756BD" w:rsidP="000446E9">
            <w:pPr>
              <w:jc w:val="right"/>
              <w:rPr>
                <w:color w:val="000000"/>
                <w:sz w:val="22"/>
                <w:szCs w:val="22"/>
              </w:rPr>
            </w:pPr>
            <w:r w:rsidRPr="000756BD">
              <w:rPr>
                <w:color w:val="000000"/>
                <w:sz w:val="22"/>
                <w:szCs w:val="22"/>
              </w:rPr>
              <w:t>2.208</w:t>
            </w:r>
            <w:r>
              <w:rPr>
                <w:color w:val="000000"/>
                <w:sz w:val="22"/>
                <w:szCs w:val="22"/>
              </w:rPr>
              <w:t>¢</w:t>
            </w:r>
          </w:p>
        </w:tc>
        <w:tc>
          <w:tcPr>
            <w:tcW w:w="1870" w:type="dxa"/>
            <w:tcBorders>
              <w:right w:val="single" w:sz="12" w:space="0" w:color="auto"/>
            </w:tcBorders>
            <w:vAlign w:val="bottom"/>
          </w:tcPr>
          <w:p w:rsidR="000756BD" w:rsidRPr="000756BD" w:rsidRDefault="000756BD" w:rsidP="000446E9">
            <w:pPr>
              <w:jc w:val="right"/>
              <w:rPr>
                <w:color w:val="000000"/>
                <w:sz w:val="22"/>
                <w:szCs w:val="22"/>
              </w:rPr>
            </w:pPr>
            <w:r w:rsidRPr="000756BD">
              <w:rPr>
                <w:color w:val="000000"/>
                <w:sz w:val="22"/>
                <w:szCs w:val="22"/>
              </w:rPr>
              <w:t>2.389</w:t>
            </w:r>
            <w:r>
              <w:rPr>
                <w:color w:val="000000"/>
                <w:sz w:val="22"/>
                <w:szCs w:val="22"/>
              </w:rPr>
              <w:t>¢</w:t>
            </w:r>
          </w:p>
        </w:tc>
        <w:tc>
          <w:tcPr>
            <w:tcW w:w="1870" w:type="dxa"/>
            <w:tcBorders>
              <w:left w:val="single" w:sz="12" w:space="0" w:color="auto"/>
            </w:tcBorders>
            <w:vAlign w:val="bottom"/>
          </w:tcPr>
          <w:p w:rsidR="000756BD" w:rsidRPr="000756BD" w:rsidRDefault="000756BD" w:rsidP="000446E9">
            <w:pPr>
              <w:jc w:val="right"/>
              <w:rPr>
                <w:color w:val="000000"/>
                <w:sz w:val="22"/>
                <w:szCs w:val="22"/>
              </w:rPr>
            </w:pPr>
            <w:r w:rsidRPr="000756BD">
              <w:rPr>
                <w:color w:val="000000"/>
                <w:sz w:val="22"/>
                <w:szCs w:val="22"/>
              </w:rPr>
              <w:t>2.217</w:t>
            </w:r>
            <w:r>
              <w:rPr>
                <w:color w:val="000000"/>
                <w:sz w:val="22"/>
                <w:szCs w:val="22"/>
              </w:rPr>
              <w:t>¢</w:t>
            </w:r>
          </w:p>
        </w:tc>
        <w:tc>
          <w:tcPr>
            <w:tcW w:w="1870" w:type="dxa"/>
            <w:tcBorders>
              <w:right w:val="single" w:sz="12" w:space="0" w:color="auto"/>
            </w:tcBorders>
            <w:vAlign w:val="bottom"/>
          </w:tcPr>
          <w:p w:rsidR="000756BD" w:rsidRPr="000756BD" w:rsidRDefault="000756BD" w:rsidP="000446E9">
            <w:pPr>
              <w:jc w:val="right"/>
              <w:rPr>
                <w:color w:val="000000"/>
                <w:sz w:val="22"/>
                <w:szCs w:val="22"/>
              </w:rPr>
            </w:pPr>
            <w:r w:rsidRPr="000756BD">
              <w:rPr>
                <w:color w:val="000000"/>
                <w:sz w:val="22"/>
                <w:szCs w:val="22"/>
              </w:rPr>
              <w:t>2.417</w:t>
            </w:r>
            <w:r>
              <w:rPr>
                <w:color w:val="000000"/>
                <w:sz w:val="22"/>
                <w:szCs w:val="22"/>
              </w:rPr>
              <w:t>¢</w:t>
            </w:r>
          </w:p>
        </w:tc>
      </w:tr>
      <w:tr w:rsidR="000756BD" w:rsidRPr="000756BD" w:rsidTr="001E77E2">
        <w:trPr>
          <w:jc w:val="center"/>
        </w:trPr>
        <w:tc>
          <w:tcPr>
            <w:tcW w:w="1870" w:type="dxa"/>
            <w:tcBorders>
              <w:bottom w:val="single" w:sz="4" w:space="0" w:color="auto"/>
              <w:right w:val="nil"/>
            </w:tcBorders>
            <w:vAlign w:val="center"/>
          </w:tcPr>
          <w:p w:rsidR="000756BD" w:rsidRPr="000756BD" w:rsidRDefault="000756BD" w:rsidP="000446E9">
            <w:pPr>
              <w:rPr>
                <w:color w:val="000000"/>
                <w:sz w:val="22"/>
                <w:szCs w:val="22"/>
              </w:rPr>
            </w:pPr>
          </w:p>
        </w:tc>
        <w:tc>
          <w:tcPr>
            <w:tcW w:w="7480" w:type="dxa"/>
            <w:gridSpan w:val="4"/>
            <w:tcBorders>
              <w:left w:val="nil"/>
              <w:right w:val="single" w:sz="12" w:space="0" w:color="auto"/>
            </w:tcBorders>
            <w:vAlign w:val="center"/>
          </w:tcPr>
          <w:p w:rsidR="000756BD" w:rsidRPr="00206428" w:rsidRDefault="000756BD" w:rsidP="000756BD">
            <w:pPr>
              <w:jc w:val="center"/>
              <w:rPr>
                <w:color w:val="000000"/>
                <w:sz w:val="22"/>
                <w:szCs w:val="22"/>
              </w:rPr>
            </w:pPr>
            <w:r w:rsidRPr="00206428">
              <w:rPr>
                <w:color w:val="000000"/>
                <w:sz w:val="22"/>
                <w:szCs w:val="22"/>
              </w:rPr>
              <w:t>Dollars per 1,000 kWh</w:t>
            </w:r>
          </w:p>
        </w:tc>
      </w:tr>
      <w:tr w:rsidR="000756BD" w:rsidRPr="000756BD" w:rsidTr="001E77E2">
        <w:trPr>
          <w:jc w:val="center"/>
        </w:trPr>
        <w:tc>
          <w:tcPr>
            <w:tcW w:w="1870" w:type="dxa"/>
            <w:tcBorders>
              <w:right w:val="single" w:sz="12" w:space="0" w:color="auto"/>
            </w:tcBorders>
            <w:vAlign w:val="bottom"/>
          </w:tcPr>
          <w:p w:rsidR="000756BD" w:rsidRPr="000756BD" w:rsidRDefault="000756BD" w:rsidP="00AA4613">
            <w:pPr>
              <w:rPr>
                <w:color w:val="000000"/>
                <w:sz w:val="22"/>
                <w:szCs w:val="22"/>
              </w:rPr>
            </w:pPr>
            <w:r w:rsidRPr="000756BD">
              <w:rPr>
                <w:color w:val="000000"/>
                <w:sz w:val="22"/>
                <w:szCs w:val="22"/>
              </w:rPr>
              <w:t>RS-1</w:t>
            </w:r>
            <w:r w:rsidR="00AA4613">
              <w:rPr>
                <w:color w:val="000000"/>
                <w:sz w:val="22"/>
                <w:szCs w:val="22"/>
              </w:rPr>
              <w:t xml:space="preserve"> I</w:t>
            </w:r>
            <w:r w:rsidR="003D6C0F">
              <w:rPr>
                <w:color w:val="000000"/>
                <w:sz w:val="22"/>
                <w:szCs w:val="22"/>
              </w:rPr>
              <w:t>nverted Fuel Charge</w:t>
            </w:r>
            <w:r w:rsidRPr="000756BD">
              <w:rPr>
                <w:color w:val="000000"/>
                <w:sz w:val="22"/>
                <w:szCs w:val="22"/>
              </w:rPr>
              <w:t>, First 1,000 kWh</w:t>
            </w:r>
          </w:p>
        </w:tc>
        <w:tc>
          <w:tcPr>
            <w:tcW w:w="1870" w:type="dxa"/>
            <w:tcBorders>
              <w:left w:val="single" w:sz="12" w:space="0" w:color="auto"/>
            </w:tcBorders>
            <w:vAlign w:val="bottom"/>
          </w:tcPr>
          <w:p w:rsidR="000756BD" w:rsidRPr="000756BD" w:rsidRDefault="000756BD" w:rsidP="000756BD">
            <w:pPr>
              <w:jc w:val="right"/>
              <w:rPr>
                <w:color w:val="000000"/>
                <w:sz w:val="22"/>
                <w:szCs w:val="22"/>
              </w:rPr>
            </w:pPr>
            <w:r w:rsidRPr="000756BD">
              <w:rPr>
                <w:color w:val="000000"/>
                <w:sz w:val="22"/>
                <w:szCs w:val="22"/>
              </w:rPr>
              <w:t xml:space="preserve"> $22.08 </w:t>
            </w:r>
          </w:p>
        </w:tc>
        <w:tc>
          <w:tcPr>
            <w:tcW w:w="1870" w:type="dxa"/>
            <w:tcBorders>
              <w:right w:val="single" w:sz="12" w:space="0" w:color="auto"/>
            </w:tcBorders>
            <w:vAlign w:val="bottom"/>
          </w:tcPr>
          <w:p w:rsidR="000756BD" w:rsidRPr="000756BD" w:rsidRDefault="000756BD" w:rsidP="000756BD">
            <w:pPr>
              <w:jc w:val="right"/>
              <w:rPr>
                <w:color w:val="000000"/>
                <w:sz w:val="22"/>
                <w:szCs w:val="22"/>
              </w:rPr>
            </w:pPr>
            <w:r w:rsidRPr="000756BD">
              <w:rPr>
                <w:color w:val="000000"/>
                <w:sz w:val="22"/>
                <w:szCs w:val="22"/>
              </w:rPr>
              <w:t xml:space="preserve"> $23.89 </w:t>
            </w:r>
          </w:p>
        </w:tc>
        <w:tc>
          <w:tcPr>
            <w:tcW w:w="1870" w:type="dxa"/>
            <w:tcBorders>
              <w:left w:val="single" w:sz="12" w:space="0" w:color="auto"/>
            </w:tcBorders>
            <w:vAlign w:val="bottom"/>
          </w:tcPr>
          <w:p w:rsidR="000756BD" w:rsidRPr="000756BD" w:rsidRDefault="000756BD" w:rsidP="000756BD">
            <w:pPr>
              <w:jc w:val="right"/>
              <w:rPr>
                <w:color w:val="000000"/>
                <w:sz w:val="22"/>
                <w:szCs w:val="22"/>
              </w:rPr>
            </w:pPr>
            <w:r w:rsidRPr="000756BD">
              <w:rPr>
                <w:color w:val="000000"/>
                <w:sz w:val="22"/>
                <w:szCs w:val="22"/>
              </w:rPr>
              <w:t xml:space="preserve"> $22.17 </w:t>
            </w:r>
          </w:p>
        </w:tc>
        <w:tc>
          <w:tcPr>
            <w:tcW w:w="1870" w:type="dxa"/>
            <w:tcBorders>
              <w:right w:val="single" w:sz="12" w:space="0" w:color="auto"/>
            </w:tcBorders>
            <w:vAlign w:val="bottom"/>
          </w:tcPr>
          <w:p w:rsidR="000756BD" w:rsidRPr="000756BD" w:rsidRDefault="000756BD" w:rsidP="000756BD">
            <w:pPr>
              <w:jc w:val="right"/>
              <w:rPr>
                <w:color w:val="000000"/>
                <w:sz w:val="22"/>
                <w:szCs w:val="22"/>
              </w:rPr>
            </w:pPr>
            <w:r w:rsidRPr="000756BD">
              <w:rPr>
                <w:color w:val="000000"/>
                <w:sz w:val="22"/>
                <w:szCs w:val="22"/>
              </w:rPr>
              <w:t xml:space="preserve"> $24.17 </w:t>
            </w:r>
          </w:p>
        </w:tc>
      </w:tr>
      <w:tr w:rsidR="003A4A8D" w:rsidRPr="000756BD" w:rsidTr="003A4A8D">
        <w:trPr>
          <w:jc w:val="center"/>
        </w:trPr>
        <w:tc>
          <w:tcPr>
            <w:tcW w:w="1870" w:type="dxa"/>
            <w:tcBorders>
              <w:right w:val="single" w:sz="12" w:space="0" w:color="auto"/>
            </w:tcBorders>
            <w:vAlign w:val="bottom"/>
          </w:tcPr>
          <w:p w:rsidR="003A4A8D" w:rsidRPr="003A4A8D" w:rsidRDefault="001B46A6" w:rsidP="003A4A8D">
            <w:pPr>
              <w:rPr>
                <w:color w:val="000000"/>
                <w:sz w:val="22"/>
                <w:szCs w:val="22"/>
              </w:rPr>
            </w:pPr>
            <w:r>
              <w:rPr>
                <w:color w:val="000000"/>
                <w:sz w:val="22"/>
                <w:szCs w:val="22"/>
              </w:rPr>
              <w:t xml:space="preserve">Effective </w:t>
            </w:r>
            <w:r w:rsidR="003A4A8D" w:rsidRPr="003A4A8D">
              <w:rPr>
                <w:color w:val="000000"/>
                <w:sz w:val="22"/>
                <w:szCs w:val="22"/>
              </w:rPr>
              <w:t>Level of Increase</w:t>
            </w:r>
            <w:r w:rsidR="002C6283">
              <w:rPr>
                <w:color w:val="000000"/>
                <w:sz w:val="22"/>
                <w:szCs w:val="22"/>
              </w:rPr>
              <w:t xml:space="preserve"> at 1,000 kWh</w:t>
            </w:r>
          </w:p>
        </w:tc>
        <w:tc>
          <w:tcPr>
            <w:tcW w:w="1870" w:type="dxa"/>
            <w:tcBorders>
              <w:left w:val="single" w:sz="12" w:space="0" w:color="auto"/>
            </w:tcBorders>
            <w:vAlign w:val="bottom"/>
          </w:tcPr>
          <w:p w:rsidR="003A4A8D" w:rsidRPr="003A4A8D" w:rsidRDefault="003A4A8D" w:rsidP="003A4A8D">
            <w:pPr>
              <w:jc w:val="right"/>
              <w:rPr>
                <w:sz w:val="22"/>
                <w:szCs w:val="22"/>
              </w:rPr>
            </w:pPr>
            <w:r w:rsidRPr="003A4A8D">
              <w:rPr>
                <w:sz w:val="22"/>
                <w:szCs w:val="22"/>
              </w:rPr>
              <w:t xml:space="preserve">$0.85 </w:t>
            </w:r>
          </w:p>
        </w:tc>
        <w:tc>
          <w:tcPr>
            <w:tcW w:w="1870" w:type="dxa"/>
            <w:tcBorders>
              <w:right w:val="single" w:sz="12" w:space="0" w:color="auto"/>
            </w:tcBorders>
            <w:vAlign w:val="bottom"/>
          </w:tcPr>
          <w:p w:rsidR="003A4A8D" w:rsidRPr="003A4A8D" w:rsidRDefault="003A4A8D" w:rsidP="003A4A8D">
            <w:pPr>
              <w:jc w:val="right"/>
              <w:rPr>
                <w:sz w:val="22"/>
                <w:szCs w:val="22"/>
              </w:rPr>
            </w:pPr>
            <w:r w:rsidRPr="003A4A8D">
              <w:rPr>
                <w:sz w:val="22"/>
                <w:szCs w:val="22"/>
              </w:rPr>
              <w:t xml:space="preserve">$2.66 </w:t>
            </w:r>
          </w:p>
        </w:tc>
        <w:tc>
          <w:tcPr>
            <w:tcW w:w="1870" w:type="dxa"/>
            <w:tcBorders>
              <w:left w:val="single" w:sz="12" w:space="0" w:color="auto"/>
            </w:tcBorders>
            <w:vAlign w:val="bottom"/>
          </w:tcPr>
          <w:p w:rsidR="003A4A8D" w:rsidRPr="003A4A8D" w:rsidRDefault="003A4A8D" w:rsidP="003A4A8D">
            <w:pPr>
              <w:jc w:val="right"/>
              <w:rPr>
                <w:sz w:val="22"/>
                <w:szCs w:val="22"/>
              </w:rPr>
            </w:pPr>
            <w:r w:rsidRPr="003A4A8D">
              <w:rPr>
                <w:sz w:val="22"/>
                <w:szCs w:val="22"/>
              </w:rPr>
              <w:t xml:space="preserve">$0.94 </w:t>
            </w:r>
          </w:p>
        </w:tc>
        <w:tc>
          <w:tcPr>
            <w:tcW w:w="1870" w:type="dxa"/>
            <w:tcBorders>
              <w:right w:val="single" w:sz="12" w:space="0" w:color="auto"/>
            </w:tcBorders>
            <w:vAlign w:val="bottom"/>
          </w:tcPr>
          <w:p w:rsidR="003A4A8D" w:rsidRPr="003A4A8D" w:rsidRDefault="003A4A8D" w:rsidP="003A4A8D">
            <w:pPr>
              <w:jc w:val="right"/>
              <w:rPr>
                <w:sz w:val="22"/>
                <w:szCs w:val="22"/>
              </w:rPr>
            </w:pPr>
            <w:r w:rsidRPr="003A4A8D">
              <w:rPr>
                <w:sz w:val="22"/>
                <w:szCs w:val="22"/>
              </w:rPr>
              <w:t xml:space="preserve">$2.94 </w:t>
            </w:r>
          </w:p>
        </w:tc>
      </w:tr>
    </w:tbl>
    <w:p w:rsidR="000756BD" w:rsidRPr="0022052D" w:rsidRDefault="00A36728" w:rsidP="000756BD">
      <w:pPr>
        <w:pStyle w:val="FootnoteText"/>
      </w:pPr>
      <w:r>
        <w:t>Source: FPL Response</w:t>
      </w:r>
      <w:r w:rsidR="000756BD">
        <w:t xml:space="preserve"> to Staff’s Third Data Request</w:t>
      </w:r>
      <w:r w:rsidR="000756BD" w:rsidRPr="004168E9">
        <w:t xml:space="preserve">, </w:t>
      </w:r>
      <w:r w:rsidR="000756BD">
        <w:t xml:space="preserve">No. </w:t>
      </w:r>
      <w:r w:rsidR="000756BD" w:rsidRPr="004168E9">
        <w:t>1.</w:t>
      </w:r>
    </w:p>
    <w:p w:rsidR="000446E9" w:rsidRDefault="000446E9" w:rsidP="00706ED4">
      <w:pPr>
        <w:pStyle w:val="BodyText"/>
        <w:spacing w:after="0"/>
        <w:rPr>
          <w:bCs/>
          <w:iCs/>
          <w:highlight w:val="green"/>
        </w:rPr>
      </w:pPr>
    </w:p>
    <w:p w:rsidR="00667E9C" w:rsidRDefault="00E363A0" w:rsidP="00667E9C">
      <w:pPr>
        <w:pStyle w:val="BodyText"/>
      </w:pPr>
      <w:r>
        <w:rPr>
          <w:bCs/>
          <w:iCs/>
        </w:rPr>
        <w:t>For ease of reference, s</w:t>
      </w:r>
      <w:r w:rsidR="000446E9" w:rsidRPr="00C1740E">
        <w:rPr>
          <w:bCs/>
          <w:iCs/>
        </w:rPr>
        <w:t>taff notes that the</w:t>
      </w:r>
      <w:r w:rsidR="003A4A8D">
        <w:rPr>
          <w:bCs/>
          <w:iCs/>
        </w:rPr>
        <w:t xml:space="preserve"> currently-approved </w:t>
      </w:r>
      <w:r w:rsidR="003A4A8D" w:rsidRPr="00C1740E">
        <w:rPr>
          <w:bCs/>
          <w:iCs/>
        </w:rPr>
        <w:t>residential (RS-1</w:t>
      </w:r>
      <w:r w:rsidR="00CF4F3E" w:rsidRPr="00CF4F3E">
        <w:rPr>
          <w:bCs/>
          <w:iCs/>
        </w:rPr>
        <w:t xml:space="preserve"> </w:t>
      </w:r>
      <w:r w:rsidR="00CF4F3E" w:rsidRPr="00C1740E">
        <w:rPr>
          <w:bCs/>
          <w:iCs/>
        </w:rPr>
        <w:t>Inverted</w:t>
      </w:r>
      <w:r w:rsidR="003A4A8D" w:rsidRPr="00C1740E">
        <w:rPr>
          <w:bCs/>
          <w:iCs/>
        </w:rPr>
        <w:t xml:space="preserve">) fuel </w:t>
      </w:r>
      <w:r w:rsidR="003A4A8D" w:rsidRPr="00C1740E">
        <w:t>charge for the first 1,000 kWh of electricity usage is $</w:t>
      </w:r>
      <w:r w:rsidR="003A4A8D">
        <w:t>21.23.</w:t>
      </w:r>
      <w:r w:rsidR="003A4A8D">
        <w:rPr>
          <w:rStyle w:val="FootnoteReference"/>
        </w:rPr>
        <w:footnoteReference w:id="11"/>
      </w:r>
      <w:r w:rsidR="003A4A8D">
        <w:t xml:space="preserve"> The</w:t>
      </w:r>
      <w:r w:rsidR="000446E9" w:rsidRPr="00C1740E">
        <w:rPr>
          <w:bCs/>
          <w:iCs/>
        </w:rPr>
        <w:t xml:space="preserve"> proposed as-filed </w:t>
      </w:r>
      <w:r w:rsidR="003A4A8D">
        <w:rPr>
          <w:bCs/>
          <w:iCs/>
        </w:rPr>
        <w:t>residential f</w:t>
      </w:r>
      <w:r w:rsidR="000446E9" w:rsidRPr="00C1740E">
        <w:rPr>
          <w:bCs/>
          <w:iCs/>
        </w:rPr>
        <w:t xml:space="preserve">uel </w:t>
      </w:r>
      <w:r w:rsidR="000446E9" w:rsidRPr="00C1740E">
        <w:t>charge for the first 1,000 kWh of electricity usage is $24.73 (Table 1-2), if the effective date was moved to May 1</w:t>
      </w:r>
      <w:r w:rsidR="000446E9" w:rsidRPr="00C1740E">
        <w:rPr>
          <w:vertAlign w:val="superscript"/>
        </w:rPr>
        <w:t>st</w:t>
      </w:r>
      <w:r w:rsidR="000446E9" w:rsidRPr="00C1740E">
        <w:rPr>
          <w:bCs/>
          <w:iCs/>
        </w:rPr>
        <w:t xml:space="preserve">, </w:t>
      </w:r>
      <w:r w:rsidR="0032140E">
        <w:rPr>
          <w:bCs/>
          <w:iCs/>
        </w:rPr>
        <w:t xml:space="preserve">as discussed in Issue 2, </w:t>
      </w:r>
      <w:r w:rsidR="000446E9" w:rsidRPr="00C1740E">
        <w:rPr>
          <w:bCs/>
          <w:iCs/>
        </w:rPr>
        <w:t xml:space="preserve">the </w:t>
      </w:r>
      <w:r w:rsidR="000446E9" w:rsidRPr="00C1740E">
        <w:t>charge would be $25.10 (Table 1-3).</w:t>
      </w:r>
      <w:r>
        <w:t xml:space="preserve"> </w:t>
      </w:r>
      <w:r w:rsidR="00A72607" w:rsidRPr="00A72607">
        <w:t>If the Commission approves an alternate recovery option, FPL should file revised tariffs to reflect the Commission’s vote for administrative approval by staff.</w:t>
      </w:r>
    </w:p>
    <w:p w:rsidR="00AA3BEB" w:rsidRDefault="00A631B5" w:rsidP="00667E9C">
      <w:pPr>
        <w:pStyle w:val="BodyText"/>
      </w:pPr>
      <w:r>
        <w:t xml:space="preserve">In summary, staff </w:t>
      </w:r>
      <w:r w:rsidR="009F0AB4">
        <w:t>recommends</w:t>
      </w:r>
      <w:r>
        <w:t xml:space="preserve"> </w:t>
      </w:r>
      <w:r w:rsidR="00AA3BEB">
        <w:t>the Company</w:t>
      </w:r>
      <w:r>
        <w:t>’s fuel cost recovery factors should be adjusted to reflect a</w:t>
      </w:r>
      <w:r w:rsidR="001E77E2">
        <w:t xml:space="preserve"> projected end-of-year 2021 under-recovery of fuel cost in the amount of $</w:t>
      </w:r>
      <w:r w:rsidR="001E77E2" w:rsidRPr="00C630B3">
        <w:rPr>
          <w:sz w:val="22"/>
          <w:szCs w:val="22"/>
        </w:rPr>
        <w:t>302,560,580</w:t>
      </w:r>
      <w:r w:rsidR="001E77E2">
        <w:rPr>
          <w:sz w:val="22"/>
          <w:szCs w:val="22"/>
        </w:rPr>
        <w:t xml:space="preserve">. Staff </w:t>
      </w:r>
      <w:r w:rsidR="00AA3BEB">
        <w:rPr>
          <w:sz w:val="22"/>
          <w:szCs w:val="22"/>
        </w:rPr>
        <w:t xml:space="preserve">is of the </w:t>
      </w:r>
      <w:r w:rsidR="00A36728">
        <w:rPr>
          <w:sz w:val="22"/>
          <w:szCs w:val="22"/>
        </w:rPr>
        <w:t>opinion</w:t>
      </w:r>
      <w:r w:rsidR="00AA3BEB">
        <w:rPr>
          <w:sz w:val="22"/>
          <w:szCs w:val="22"/>
        </w:rPr>
        <w:t xml:space="preserve"> this</w:t>
      </w:r>
      <w:r w:rsidR="001E77E2">
        <w:rPr>
          <w:sz w:val="22"/>
          <w:szCs w:val="22"/>
        </w:rPr>
        <w:t xml:space="preserve"> treatment</w:t>
      </w:r>
      <w:r w:rsidR="00AA3BEB">
        <w:rPr>
          <w:sz w:val="22"/>
          <w:szCs w:val="22"/>
        </w:rPr>
        <w:t xml:space="preserve"> is appropriate as it</w:t>
      </w:r>
      <w:r w:rsidR="001E77E2">
        <w:rPr>
          <w:sz w:val="22"/>
          <w:szCs w:val="22"/>
        </w:rPr>
        <w:t xml:space="preserve"> fully comports </w:t>
      </w:r>
      <w:r w:rsidR="003C01D9">
        <w:rPr>
          <w:sz w:val="22"/>
          <w:szCs w:val="22"/>
        </w:rPr>
        <w:t>with</w:t>
      </w:r>
      <w:r w:rsidR="001E77E2">
        <w:rPr>
          <w:sz w:val="22"/>
          <w:szCs w:val="22"/>
        </w:rPr>
        <w:t xml:space="preserve"> </w:t>
      </w:r>
      <w:r w:rsidR="001E77E2">
        <w:t>Rule 25-6.0424, F.A.C.</w:t>
      </w:r>
      <w:r>
        <w:t xml:space="preserve"> </w:t>
      </w:r>
      <w:r w:rsidR="00AA3BEB">
        <w:t xml:space="preserve">Further, as discussed in Issue 2, staff </w:t>
      </w:r>
      <w:r w:rsidR="003C01D9">
        <w:t>recommends</w:t>
      </w:r>
      <w:r w:rsidR="00AA3BEB">
        <w:t xml:space="preserve"> </w:t>
      </w:r>
      <w:r>
        <w:t xml:space="preserve">the appropriate </w:t>
      </w:r>
      <w:r w:rsidR="00AA3BEB">
        <w:t>effective date for revised fuel factors is May 1, 2021.</w:t>
      </w:r>
      <w:r w:rsidR="00DB7358">
        <w:t xml:space="preserve"> The Commission should approve the tariff as shown </w:t>
      </w:r>
      <w:r w:rsidR="00777896">
        <w:t>in Appendix B.</w:t>
      </w:r>
    </w:p>
    <w:p w:rsidR="000105CF" w:rsidRPr="00F558BC" w:rsidRDefault="000105CF" w:rsidP="00706ED4">
      <w:pPr>
        <w:pStyle w:val="BodyText"/>
        <w:spacing w:after="0"/>
        <w:rPr>
          <w:rFonts w:ascii="Arial" w:hAnsi="Arial" w:cs="Arial"/>
          <w:b/>
          <w:bCs/>
        </w:rPr>
      </w:pPr>
      <w:r w:rsidRPr="00F558BC">
        <w:rPr>
          <w:rFonts w:ascii="Arial" w:hAnsi="Arial" w:cs="Arial"/>
          <w:b/>
          <w:bCs/>
        </w:rPr>
        <w:t>Conclusion</w:t>
      </w:r>
    </w:p>
    <w:p w:rsidR="00C014E8" w:rsidRDefault="002C6283">
      <w:pPr>
        <w:pStyle w:val="IssueHeading"/>
        <w:rPr>
          <w:vanish/>
          <w:specVanish/>
        </w:rPr>
      </w:pPr>
      <w:r w:rsidRPr="002C6283">
        <w:rPr>
          <w:rFonts w:ascii="Times New Roman" w:hAnsi="Times New Roman" w:cs="Times New Roman"/>
          <w:b w:val="0"/>
          <w:bCs w:val="0"/>
          <w:i w:val="0"/>
          <w:kern w:val="0"/>
          <w:szCs w:val="24"/>
        </w:rPr>
        <w:t xml:space="preserve">Staff recommends the Commission approve adjustments to FPL’s currently-approved fuel factors to incorporate a projected 2021 period ending under-recovery of $302,560,580. </w:t>
      </w:r>
      <w:r w:rsidR="00C014E8" w:rsidRPr="004C3641">
        <w:rPr>
          <w:b w:val="0"/>
          <w:i w:val="0"/>
        </w:rPr>
        <w:br w:type="page"/>
      </w:r>
      <w:r w:rsidR="00C014E8" w:rsidRPr="004C3641">
        <w:t xml:space="preserve">Issue </w:t>
      </w:r>
      <w:fldSimple w:instr=" SEQ Issue \* MERGEFORMAT ">
        <w:r w:rsidR="00D00C07">
          <w:rPr>
            <w:noProof/>
          </w:rPr>
          <w:t>2</w:t>
        </w:r>
      </w:fldSimple>
      <w:r w:rsidR="00C014E8" w:rsidRPr="004C3641">
        <w:t>:</w:t>
      </w:r>
      <w:r w:rsidR="00C014E8">
        <w:fldChar w:fldCharType="begin"/>
      </w:r>
      <w:r w:rsidR="00C014E8">
        <w:instrText xml:space="preserve"> TC "</w:instrText>
      </w:r>
      <w:r w:rsidR="00C014E8">
        <w:fldChar w:fldCharType="begin"/>
      </w:r>
      <w:r w:rsidR="00C014E8">
        <w:instrText xml:space="preserve"> SEQ issue \c </w:instrText>
      </w:r>
      <w:r w:rsidR="00C014E8">
        <w:fldChar w:fldCharType="separate"/>
      </w:r>
      <w:r w:rsidR="00D00C07">
        <w:rPr>
          <w:noProof/>
        </w:rPr>
        <w:instrText>2</w:instrText>
      </w:r>
      <w:r w:rsidR="00C014E8">
        <w:fldChar w:fldCharType="end"/>
      </w:r>
      <w:r w:rsidR="00C014E8">
        <w:tab/>
        <w:instrText xml:space="preserve">" \l 1 </w:instrText>
      </w:r>
      <w:r w:rsidR="00C014E8">
        <w:fldChar w:fldCharType="end"/>
      </w:r>
      <w:r w:rsidR="00C014E8">
        <w:t> </w:t>
      </w:r>
    </w:p>
    <w:p w:rsidR="00C014E8" w:rsidRDefault="00431FC1">
      <w:pPr>
        <w:pStyle w:val="BodyText"/>
      </w:pPr>
      <w:r>
        <w:t> If</w:t>
      </w:r>
      <w:r w:rsidRPr="00431FC1">
        <w:t xml:space="preserve"> approved by the Commission, what is the appropriate effective date for FPL’s revised </w:t>
      </w:r>
      <w:r>
        <w:t>fuel cost r</w:t>
      </w:r>
      <w:r w:rsidRPr="00431FC1">
        <w:t>ecovery factor</w:t>
      </w:r>
      <w:r>
        <w:t>s</w:t>
      </w:r>
      <w:r w:rsidRPr="00431FC1">
        <w:t>?</w:t>
      </w:r>
    </w:p>
    <w:p w:rsidR="00C014E8" w:rsidRPr="004C3641" w:rsidRDefault="00C014E8">
      <w:pPr>
        <w:pStyle w:val="IssueSubsectionHeading"/>
        <w:rPr>
          <w:vanish/>
          <w:specVanish/>
        </w:rPr>
      </w:pPr>
      <w:r w:rsidRPr="004C3641">
        <w:t>Recommendation: </w:t>
      </w:r>
    </w:p>
    <w:p w:rsidR="00C014E8" w:rsidRDefault="00C014E8">
      <w:pPr>
        <w:pStyle w:val="BodyText"/>
      </w:pPr>
      <w:r>
        <w:t> </w:t>
      </w:r>
      <w:r w:rsidR="00431FC1" w:rsidRPr="00431FC1">
        <w:t>The effective date should be 30 days from the date of the Commission vote, or May 1</w:t>
      </w:r>
      <w:r w:rsidR="00351F5F">
        <w:t>, 2021</w:t>
      </w:r>
      <w:r w:rsidR="00431FC1" w:rsidRPr="00431FC1">
        <w:t>.</w:t>
      </w:r>
      <w:r w:rsidR="001E77E2">
        <w:t xml:space="preserve"> (Brownles</w:t>
      </w:r>
      <w:r w:rsidR="001E77E2" w:rsidRPr="009509FE">
        <w:t>s</w:t>
      </w:r>
      <w:r w:rsidR="00AA3BEB" w:rsidRPr="009509FE">
        <w:t>, Draper</w:t>
      </w:r>
      <w:r w:rsidR="00A317A8" w:rsidRPr="009509FE">
        <w:t>)</w:t>
      </w:r>
    </w:p>
    <w:p w:rsidR="00C014E8" w:rsidRPr="004C3641" w:rsidRDefault="00C014E8">
      <w:pPr>
        <w:pStyle w:val="IssueSubsectionHeading"/>
        <w:rPr>
          <w:vanish/>
          <w:specVanish/>
        </w:rPr>
      </w:pPr>
      <w:r w:rsidRPr="004C3641">
        <w:t>Staff Analysis: </w:t>
      </w:r>
    </w:p>
    <w:p w:rsidR="00431FC1" w:rsidRDefault="00C014E8" w:rsidP="00351F5F">
      <w:pPr>
        <w:pStyle w:val="BodyText"/>
        <w:spacing w:after="0"/>
      </w:pPr>
      <w:r>
        <w:t> </w:t>
      </w:r>
      <w:r w:rsidR="00431FC1" w:rsidRPr="00431FC1">
        <w:t>F</w:t>
      </w:r>
      <w:r w:rsidR="002E337A" w:rsidRPr="002E337A">
        <w:t>PL has requested that any newly-revised fuel cost recovery factors become e</w:t>
      </w:r>
      <w:r w:rsidR="002E337A">
        <w:t xml:space="preserve">ffective </w:t>
      </w:r>
      <w:r w:rsidR="002E337A" w:rsidRPr="002E337A">
        <w:t>on April 1, 2021</w:t>
      </w:r>
      <w:r w:rsidR="00431FC1" w:rsidRPr="00431FC1">
        <w:t>, the date of the Commission vote.</w:t>
      </w:r>
      <w:r w:rsidR="00431FC1">
        <w:t xml:space="preserve"> </w:t>
      </w:r>
      <w:r w:rsidR="00F346B5">
        <w:t>The</w:t>
      </w:r>
      <w:r w:rsidR="00431FC1" w:rsidRPr="00431FC1">
        <w:t xml:space="preserve"> effective date of rates and charges has been addressed by the Florida Supreme Court in </w:t>
      </w:r>
      <w:r w:rsidR="00431FC1" w:rsidRPr="00431FC1">
        <w:rPr>
          <w:i/>
        </w:rPr>
        <w:t>Gulf Power Company v. Cresse (Gulf Power)</w:t>
      </w:r>
      <w:r w:rsidR="00431FC1" w:rsidRPr="00431FC1">
        <w:t xml:space="preserve">, 410 So. 2d 492 (1982).  In </w:t>
      </w:r>
      <w:r w:rsidR="00431FC1" w:rsidRPr="00431FC1">
        <w:rPr>
          <w:i/>
        </w:rPr>
        <w:t>Gulf Power</w:t>
      </w:r>
      <w:r w:rsidR="00431FC1" w:rsidRPr="00431FC1">
        <w:t>, the Commission voted on November 3, 1980, to increase Gulf’s rates exactly eight months after Gulf filed its petition for a rate increase and associ</w:t>
      </w:r>
      <w:r w:rsidR="00431FC1">
        <w:t xml:space="preserve">ated rate schedules. </w:t>
      </w:r>
      <w:r w:rsidR="00431FC1" w:rsidRPr="00431FC1">
        <w:t>The Commission further directed Gulf to file revised rate schedules to become effective and applicable to bills rendered for meter readings taken on and after November 10, 1980.  Gulf filed its revised rate schedules and began to coll</w:t>
      </w:r>
      <w:r w:rsidR="00431FC1">
        <w:t>ect the new rates.</w:t>
      </w:r>
      <w:r w:rsidR="00A631B5">
        <w:t xml:space="preserve"> </w:t>
      </w:r>
      <w:r w:rsidR="00431FC1" w:rsidRPr="00431FC1">
        <w:t>On February 9, 1981, the Commission on its own motion revised the effective date to December 3, 1980, thirty days after the date of the vote increasing rates.</w:t>
      </w:r>
    </w:p>
    <w:p w:rsidR="00351F5F" w:rsidRPr="00431FC1" w:rsidRDefault="00351F5F" w:rsidP="00351F5F">
      <w:pPr>
        <w:pStyle w:val="BodyText"/>
        <w:spacing w:after="0"/>
      </w:pPr>
    </w:p>
    <w:p w:rsidR="00431FC1" w:rsidRPr="00431FC1" w:rsidRDefault="00431FC1" w:rsidP="00351F5F">
      <w:pPr>
        <w:pStyle w:val="BodyText"/>
        <w:spacing w:after="0"/>
      </w:pPr>
      <w:r w:rsidRPr="00431FC1">
        <w:t>On appeal, the Court considered two issues related to the effective date of rates: 1) Is the effective date of Commission action when the official vote is taken or when the written order is issued? and 2) Was the Commission correct in ordering the new rates to become effective thirty days after the effective date?</w:t>
      </w:r>
      <w:r w:rsidRPr="00431FC1">
        <w:rPr>
          <w:vertAlign w:val="superscript"/>
        </w:rPr>
        <w:footnoteReference w:id="12"/>
      </w:r>
      <w:r>
        <w:t xml:space="preserve"> </w:t>
      </w:r>
      <w:r w:rsidRPr="00431FC1">
        <w:t xml:space="preserve">The Court agreed with the Commission that “to permit Gulf to bill at the new rates on the day following the suspension period, which in this case was the effective </w:t>
      </w:r>
      <w:r w:rsidR="00596A1F">
        <w:t xml:space="preserve">date </w:t>
      </w:r>
      <w:r w:rsidRPr="00431FC1">
        <w:t>of the Commission’s approval of the rate increase, would result in the billing of energy consumed before the end of the suspension period and before the effective date of Commission action.”</w:t>
      </w:r>
      <w:r w:rsidRPr="00431FC1">
        <w:rPr>
          <w:vertAlign w:val="superscript"/>
        </w:rPr>
        <w:footnoteReference w:id="13"/>
      </w:r>
      <w:r w:rsidRPr="00431FC1">
        <w:t xml:space="preserve">  The Court further found that the effective date of Commission action is the date that the official vote is taken.</w:t>
      </w:r>
      <w:r w:rsidRPr="00431FC1">
        <w:rPr>
          <w:vertAlign w:val="superscript"/>
        </w:rPr>
        <w:footnoteReference w:id="14"/>
      </w:r>
      <w:r w:rsidRPr="00431FC1">
        <w:t xml:space="preserve"> The Court also stated that its decision would not prohibit companies from applying new rates to “all the energy consumed after the effective date of rate changes...”</w:t>
      </w:r>
      <w:r w:rsidRPr="00431FC1">
        <w:rPr>
          <w:vertAlign w:val="superscript"/>
        </w:rPr>
        <w:footnoteReference w:id="15"/>
      </w:r>
      <w:r w:rsidRPr="00431FC1">
        <w:t xml:space="preserve"> </w:t>
      </w:r>
    </w:p>
    <w:p w:rsidR="00351F5F" w:rsidRDefault="00351F5F" w:rsidP="00351F5F">
      <w:pPr>
        <w:pStyle w:val="BodyText"/>
        <w:spacing w:after="0"/>
      </w:pPr>
    </w:p>
    <w:p w:rsidR="00431FC1" w:rsidRDefault="00431FC1" w:rsidP="00351F5F">
      <w:pPr>
        <w:pStyle w:val="BodyText"/>
        <w:spacing w:after="0"/>
      </w:pPr>
      <w:r w:rsidRPr="00431FC1">
        <w:t>The Court based its decision on the regulatory principle that rates can only be increased prospective</w:t>
      </w:r>
      <w:r>
        <w:t xml:space="preserve">ly, not applied retroactively. </w:t>
      </w:r>
      <w:r w:rsidRPr="00431FC1">
        <w:t xml:space="preserve">The </w:t>
      </w:r>
      <w:r w:rsidRPr="00431FC1">
        <w:rPr>
          <w:i/>
        </w:rPr>
        <w:t xml:space="preserve">Gulf Power </w:t>
      </w:r>
      <w:r w:rsidRPr="00431FC1">
        <w:t>decision did not specifically address the issue of the timing or type of notice of a rate increase that must be given</w:t>
      </w:r>
      <w:r w:rsidR="00A631B5">
        <w:t>.</w:t>
      </w:r>
      <w:r w:rsidRPr="00431FC1">
        <w:t xml:space="preserve"> Additionally, the rates being increased in the </w:t>
      </w:r>
      <w:r w:rsidRPr="00431FC1">
        <w:rPr>
          <w:i/>
        </w:rPr>
        <w:t>Gulf Power</w:t>
      </w:r>
      <w:r w:rsidRPr="00431FC1">
        <w:t xml:space="preserve"> decision were base rates which could only be changed by future Commission action.</w:t>
      </w:r>
    </w:p>
    <w:p w:rsidR="00351F5F" w:rsidRPr="00431FC1" w:rsidRDefault="00351F5F" w:rsidP="00351F5F">
      <w:pPr>
        <w:pStyle w:val="BodyText"/>
        <w:spacing w:after="0"/>
      </w:pPr>
    </w:p>
    <w:p w:rsidR="00431FC1" w:rsidRDefault="00431FC1" w:rsidP="00351F5F">
      <w:pPr>
        <w:pStyle w:val="BodyText"/>
        <w:spacing w:after="0"/>
      </w:pPr>
      <w:r w:rsidRPr="00431FC1">
        <w:t xml:space="preserve">Subsequent to the </w:t>
      </w:r>
      <w:r w:rsidRPr="00431FC1">
        <w:rPr>
          <w:i/>
        </w:rPr>
        <w:t xml:space="preserve">Gulf Power </w:t>
      </w:r>
      <w:r w:rsidRPr="00431FC1">
        <w:t>decision, the Commission considered Tampa Electric Company’s (TECO) request to increase its fuel cost recovery factors by 3.3 percent and imposed a 30-day notice requirement for the factor increase stating that:</w:t>
      </w:r>
    </w:p>
    <w:p w:rsidR="00351F5F" w:rsidRPr="00431FC1" w:rsidRDefault="00351F5F" w:rsidP="00351F5F">
      <w:pPr>
        <w:pStyle w:val="BodyText"/>
        <w:spacing w:after="0"/>
      </w:pPr>
    </w:p>
    <w:p w:rsidR="00431FC1" w:rsidRDefault="00431FC1" w:rsidP="00351F5F">
      <w:pPr>
        <w:pStyle w:val="BodyText"/>
        <w:spacing w:after="0"/>
        <w:ind w:left="720" w:right="720"/>
      </w:pPr>
      <w:r w:rsidRPr="00431FC1">
        <w:t>We note that TECO’s proposed mid-course correction is based on an effective date beginning with the first billing cycle in June 2000, and, thus, falls short of the normal 30-day notice requiremen</w:t>
      </w:r>
      <w:r>
        <w:t xml:space="preserve">t for rate increases. </w:t>
      </w:r>
      <w:r w:rsidRPr="00431FC1">
        <w:t>While we recognize t</w:t>
      </w:r>
      <w:r>
        <w:t>hat a delay in implementation of</w:t>
      </w:r>
      <w:r w:rsidRPr="00431FC1">
        <w:t xml:space="preserve"> these new factors will lessen the intended mitigatory effect of the mid-course correction, we find that providing customers with the full 30 days’ notice in this instance is appropriate.  Accordingly, we find that TECO’s new fuel cost recovery factors shall be effective beginning with billings on June 15, 2000, 30 days from the date of our vote on this matter.  This delay will allow TECO’s customers the opportunity to adjust their usage in light of the new factors and should not significantly lessen the mitigatory effect of this mid-course correction.</w:t>
      </w:r>
      <w:r w:rsidRPr="00431FC1">
        <w:rPr>
          <w:vertAlign w:val="superscript"/>
        </w:rPr>
        <w:footnoteReference w:id="16"/>
      </w:r>
    </w:p>
    <w:p w:rsidR="00351F5F" w:rsidRPr="00431FC1" w:rsidRDefault="00351F5F" w:rsidP="00351F5F">
      <w:pPr>
        <w:pStyle w:val="BodyText"/>
        <w:spacing w:after="0"/>
        <w:ind w:left="720" w:right="720"/>
      </w:pPr>
    </w:p>
    <w:p w:rsidR="00431FC1" w:rsidRDefault="00431FC1" w:rsidP="00351F5F">
      <w:pPr>
        <w:pStyle w:val="BodyText"/>
        <w:spacing w:after="0"/>
      </w:pPr>
      <w:r w:rsidRPr="00431FC1">
        <w:t xml:space="preserve">However, in 2001 the Commission voted to approve </w:t>
      </w:r>
      <w:r w:rsidR="009509FE">
        <w:t>FPL’s</w:t>
      </w:r>
      <w:r w:rsidRPr="00431FC1">
        <w:t xml:space="preserve"> proposed factor increase of 7.</w:t>
      </w:r>
      <w:r w:rsidR="009509FE">
        <w:t>5 percent at its March 13 Commission</w:t>
      </w:r>
      <w:r w:rsidRPr="00431FC1">
        <w:t xml:space="preserve"> Conference with an effective date of April 2 stating:</w:t>
      </w:r>
    </w:p>
    <w:p w:rsidR="00351F5F" w:rsidRPr="00431FC1" w:rsidRDefault="00351F5F" w:rsidP="00351F5F">
      <w:pPr>
        <w:pStyle w:val="BodyText"/>
        <w:spacing w:after="0"/>
      </w:pPr>
    </w:p>
    <w:p w:rsidR="00431FC1" w:rsidRDefault="00431FC1" w:rsidP="00351F5F">
      <w:pPr>
        <w:pStyle w:val="BodyText"/>
        <w:spacing w:after="0"/>
        <w:ind w:left="720" w:right="720"/>
      </w:pPr>
      <w:r w:rsidRPr="00431FC1">
        <w:t>FPL has requested that its mid-course correction become effective beginning with FPL’s cycle 3 billings for April 2001</w:t>
      </w:r>
      <w:r w:rsidR="003C1A81">
        <w:t>, which falls on April 2, 2001.</w:t>
      </w:r>
      <w:r w:rsidRPr="00431FC1">
        <w:t xml:space="preserve"> Although this effective date would not allow a full 30-day notice to customers, we f</w:t>
      </w:r>
      <w:r w:rsidR="003C1A81">
        <w:t xml:space="preserve">ind FPL’s proposal reasonable. </w:t>
      </w:r>
      <w:r w:rsidRPr="00431FC1">
        <w:t>Due to the magnitude of the under-recovery, we believe it is important that the new factors be implemented as soon as possible to mitigate the monthly billing impact</w:t>
      </w:r>
      <w:r w:rsidR="003C1A81">
        <w:t xml:space="preserve"> of the mid-course correction. </w:t>
      </w:r>
      <w:r w:rsidRPr="00431FC1">
        <w:t>The April 2, 2001 effective date will also</w:t>
      </w:r>
      <w:r w:rsidR="003C1A81">
        <w:t xml:space="preserve"> ensure that all customers are b</w:t>
      </w:r>
      <w:r w:rsidRPr="00431FC1">
        <w:t>illed under the new rates for the same amount of time.</w:t>
      </w:r>
      <w:r w:rsidRPr="00431FC1">
        <w:rPr>
          <w:vertAlign w:val="superscript"/>
        </w:rPr>
        <w:footnoteReference w:id="17"/>
      </w:r>
      <w:r w:rsidRPr="00431FC1">
        <w:t xml:space="preserve">  </w:t>
      </w:r>
    </w:p>
    <w:p w:rsidR="00351F5F" w:rsidRPr="00431FC1" w:rsidRDefault="00351F5F" w:rsidP="00351F5F">
      <w:pPr>
        <w:pStyle w:val="BodyText"/>
        <w:spacing w:after="0"/>
        <w:ind w:left="720" w:right="720"/>
      </w:pPr>
    </w:p>
    <w:p w:rsidR="00431FC1" w:rsidRDefault="00431FC1" w:rsidP="00351F5F">
      <w:pPr>
        <w:pStyle w:val="BodyText"/>
        <w:spacing w:after="0"/>
      </w:pPr>
      <w:r w:rsidRPr="00431FC1">
        <w:t xml:space="preserve">The Commission also noted that at its February 6, 2001 </w:t>
      </w:r>
      <w:r w:rsidR="009509FE">
        <w:t>Commission</w:t>
      </w:r>
      <w:r w:rsidR="009509FE" w:rsidRPr="00431FC1">
        <w:t xml:space="preserve"> Conference</w:t>
      </w:r>
      <w:r w:rsidRPr="00431FC1">
        <w:t xml:space="preserve"> it had also increased the purchased gas adjustment significantly for eight natural gas utilities effective for all meter readings taken on or after February 6, 2001, the date of the vote.</w:t>
      </w:r>
      <w:r w:rsidRPr="00431FC1">
        <w:rPr>
          <w:vertAlign w:val="superscript"/>
        </w:rPr>
        <w:footnoteReference w:id="18"/>
      </w:r>
      <w:r w:rsidRPr="00431FC1">
        <w:t xml:space="preserve"> The Commission based its decision in the gas cases on the fact that there was no indication that natural gas prices would experience any meaningful decrease in the next several months and that ratepayers would suffer no harm because any costs disallowed as imprudent in the final hearing would be credited to them through the docket’s true-up mechanism. </w:t>
      </w:r>
      <w:r w:rsidRPr="00431FC1">
        <w:rPr>
          <w:vertAlign w:val="superscript"/>
        </w:rPr>
        <w:footnoteReference w:id="19"/>
      </w:r>
      <w:r w:rsidRPr="00431FC1">
        <w:t xml:space="preserve"> </w:t>
      </w:r>
    </w:p>
    <w:p w:rsidR="00351F5F" w:rsidRPr="00431FC1" w:rsidRDefault="00351F5F" w:rsidP="00351F5F">
      <w:pPr>
        <w:pStyle w:val="BodyText"/>
        <w:spacing w:after="0"/>
      </w:pPr>
    </w:p>
    <w:p w:rsidR="00431FC1" w:rsidRDefault="00431FC1" w:rsidP="00351F5F">
      <w:pPr>
        <w:pStyle w:val="BodyText"/>
        <w:spacing w:after="0"/>
      </w:pPr>
      <w:r w:rsidRPr="00431FC1">
        <w:t xml:space="preserve">Over the last 20 years in the Fuel Clause docket, the Commission has balanced the requirement that </w:t>
      </w:r>
      <w:r w:rsidR="00310068">
        <w:t xml:space="preserve">a </w:t>
      </w:r>
      <w:r w:rsidRPr="00431FC1">
        <w:t xml:space="preserve">30-day notice between the Commission’s vote and rate implementation be given against the rate impacts of delaying implementation and harm to ratepayers if less than </w:t>
      </w:r>
      <w:r w:rsidR="00310068">
        <w:t xml:space="preserve">a </w:t>
      </w:r>
      <w:r w:rsidRPr="00431FC1">
        <w:t>30-d</w:t>
      </w:r>
      <w:r>
        <w:t>ay notice is given.</w:t>
      </w:r>
      <w:r w:rsidRPr="00431FC1">
        <w:t xml:space="preserve"> During this period, the Commission has not approved either a fuel cost recovery factor rate increase or decrease effective the date of the Commission’s vote.  However, the Commission has on many occasions approved fuel cost recovery factor rate decreases effective less than 30 days from the date of the Commission’s vote with the range of notice being from </w:t>
      </w:r>
      <w:r w:rsidR="003C1A81">
        <w:t>25</w:t>
      </w:r>
      <w:r w:rsidRPr="00431FC1">
        <w:t xml:space="preserve"> to 2 days</w:t>
      </w:r>
      <w:r>
        <w:t>.</w:t>
      </w:r>
      <w:r w:rsidRPr="00431FC1">
        <w:t xml:space="preserve"> The rationale for that action being that it was in the customers’ best interests to implement the lower rate as soon as possible.</w:t>
      </w:r>
      <w:r w:rsidRPr="00431FC1">
        <w:rPr>
          <w:vertAlign w:val="superscript"/>
        </w:rPr>
        <w:footnoteReference w:id="20"/>
      </w:r>
      <w:r w:rsidRPr="00431FC1">
        <w:t xml:space="preserve"> With regard to fuel cost recovery factor rate increases the Commission has imposed the 30-day notice requirement in the majority of cases but has allowed less than 30-days notice with the range of notice being from 29 to 14 days.</w:t>
      </w:r>
      <w:r w:rsidRPr="00431FC1">
        <w:rPr>
          <w:vertAlign w:val="superscript"/>
        </w:rPr>
        <w:footnoteReference w:id="21"/>
      </w:r>
      <w:r w:rsidRPr="00431FC1">
        <w:t xml:space="preserve"> In two of these cases, the Commission noted that the uti</w:t>
      </w:r>
      <w:r w:rsidR="00310068">
        <w:t xml:space="preserve">lity had given its customers 30 </w:t>
      </w:r>
      <w:r w:rsidRPr="00431FC1">
        <w:t>day</w:t>
      </w:r>
      <w:r w:rsidR="00310068">
        <w:t>s</w:t>
      </w:r>
      <w:r w:rsidRPr="00431FC1">
        <w:t xml:space="preserve"> notice before the date of the vote that a fuel cost recovery factor increase had been requested and provided the proposed effective date of the higher rates.</w:t>
      </w:r>
      <w:r w:rsidRPr="00431FC1">
        <w:rPr>
          <w:vertAlign w:val="superscript"/>
        </w:rPr>
        <w:footnoteReference w:id="22"/>
      </w:r>
    </w:p>
    <w:p w:rsidR="00351F5F" w:rsidRPr="00431FC1" w:rsidRDefault="00351F5F" w:rsidP="00351F5F">
      <w:pPr>
        <w:pStyle w:val="BodyText"/>
        <w:spacing w:after="0"/>
      </w:pPr>
    </w:p>
    <w:p w:rsidR="002639FD" w:rsidRDefault="002639FD" w:rsidP="002639FD">
      <w:pPr>
        <w:pStyle w:val="BodyText"/>
      </w:pPr>
      <w:r>
        <w:t>In the current case, FPL has notified its customers of the proposed increase in fuel cost recovery factors effective the date of the Commission’s April 1 vote via bill inserts in its March billing which state that FPL “is asking the Florida Public Service Commission to approve a temporary increase in residential and business customer bills due to rising natural gas prices, which was further compounded by extreme cold weather and increased demand throughout the country.”  The bill insert goes on to state: “If approved, the changes to customer bills will be effective in April</w:t>
      </w:r>
      <w:r w:rsidR="00671F0E">
        <w:t xml:space="preserve"> and run through December 2021.</w:t>
      </w:r>
      <w:r>
        <w:t xml:space="preserve"> According to our estimates, your bill is expected to increase by 4.19%.” The bill insert also refers customers to FPL’s website which lists the April 2021 proposed residential and business rates.</w:t>
      </w:r>
      <w:r>
        <w:rPr>
          <w:rStyle w:val="FootnoteReference"/>
        </w:rPr>
        <w:footnoteReference w:id="23"/>
      </w:r>
      <w:r>
        <w:t xml:space="preserve">     </w:t>
      </w:r>
    </w:p>
    <w:p w:rsidR="00A606AC" w:rsidRDefault="002639FD" w:rsidP="002639FD">
      <w:pPr>
        <w:pStyle w:val="BodyText"/>
        <w:spacing w:after="0"/>
      </w:pPr>
      <w:r>
        <w:t xml:space="preserve">If the proposed rate increase is effective April 1, the residential (RS-1 Inverted, first 1,000 kWh) fuel cost recovery factor is 2.473 cents per kWh. If the proposed rate increase is effective May 1, the fuel cost recovery factor is 2.510 cents per kWh, a </w:t>
      </w:r>
      <w:r w:rsidR="00777896">
        <w:t>difference of 0.037 cents per kW</w:t>
      </w:r>
      <w:r>
        <w:t xml:space="preserve">h, or 37 cents for 1,000 kWh usage. Given these amounts an effective date of May 1 will not significantly increase the average residential customer’s bill. The Commission has historically favored giving customers 30 days notice of any rate increase. </w:t>
      </w:r>
      <w:r w:rsidR="00671F0E" w:rsidRPr="00D0694B">
        <w:t>This time limit is imposed in order to avoid having new rates applied to energy consumed before the effective date of the Commission’s action, i.e., the date of the vote.</w:t>
      </w:r>
      <w:r w:rsidR="00671F0E">
        <w:t xml:space="preserve"> </w:t>
      </w:r>
      <w:r>
        <w:t>Here the utility is requesting that the effective date of the increase be the same day as the Commission’s vote, giving the customers no opportunity at all to modify their consumption. Additionally, the bulk of FPL’s estimated under-recovery for 2021 is due to its revised natural gas price projections for the remainder of 2021. While FPL’s price projections appear to be reasonable at this time, natural</w:t>
      </w:r>
      <w:r w:rsidR="00A606AC">
        <w:t xml:space="preserve"> gas prices are subject to</w:t>
      </w:r>
      <w:r>
        <w:t xml:space="preserve"> </w:t>
      </w:r>
      <w:r w:rsidR="00A606AC">
        <w:t xml:space="preserve">market </w:t>
      </w:r>
      <w:r>
        <w:t>volatility and may decrease from current projec</w:t>
      </w:r>
      <w:r w:rsidR="00671F0E">
        <w:t xml:space="preserve">tions over the course of 2021. </w:t>
      </w:r>
      <w:r w:rsidR="005C515F">
        <w:t>Likewise, t</w:t>
      </w:r>
      <w:r w:rsidR="00671F0E">
        <w:t xml:space="preserve">his </w:t>
      </w:r>
      <w:r w:rsidR="009F0AB4">
        <w:t>u</w:t>
      </w:r>
      <w:r w:rsidR="006165F0">
        <w:t>n</w:t>
      </w:r>
      <w:r w:rsidR="009F0AB4">
        <w:t>derstanding</w:t>
      </w:r>
      <w:r w:rsidR="00196BE9">
        <w:t xml:space="preserve"> may support a decision to</w:t>
      </w:r>
      <w:r w:rsidR="006165F0">
        <w:t xml:space="preserve"> </w:t>
      </w:r>
      <w:r w:rsidR="00671F0E">
        <w:t>reduc</w:t>
      </w:r>
      <w:r w:rsidR="00196BE9">
        <w:t>e</w:t>
      </w:r>
      <w:r w:rsidR="00671F0E">
        <w:t xml:space="preserve"> the</w:t>
      </w:r>
      <w:r w:rsidR="00196BE9">
        <w:t xml:space="preserve"> proposed</w:t>
      </w:r>
      <w:r w:rsidR="00671F0E">
        <w:t xml:space="preserve"> </w:t>
      </w:r>
      <w:r w:rsidR="00A606AC">
        <w:t>total</w:t>
      </w:r>
      <w:r w:rsidR="00196BE9">
        <w:t xml:space="preserve"> </w:t>
      </w:r>
      <w:r w:rsidR="00671F0E">
        <w:t>level of increase</w:t>
      </w:r>
      <w:r w:rsidR="00196BE9">
        <w:t>, i.e.</w:t>
      </w:r>
      <w:r w:rsidR="009F0AB4">
        <w:t>,</w:t>
      </w:r>
      <w:r w:rsidR="005A7928">
        <w:t xml:space="preserve"> the</w:t>
      </w:r>
      <w:r w:rsidR="00196BE9">
        <w:t xml:space="preserve"> election of a</w:t>
      </w:r>
      <w:r w:rsidR="009F0AB4">
        <w:t>n</w:t>
      </w:r>
      <w:r w:rsidR="00196BE9">
        <w:t xml:space="preserve"> optional cost recovery amou</w:t>
      </w:r>
      <w:r w:rsidR="008240DA">
        <w:t xml:space="preserve">nt </w:t>
      </w:r>
      <w:r w:rsidR="00196BE9">
        <w:t>discussed in Issue 1.</w:t>
      </w:r>
      <w:r>
        <w:t xml:space="preserve"> </w:t>
      </w:r>
    </w:p>
    <w:p w:rsidR="00A606AC" w:rsidRDefault="00A606AC" w:rsidP="002639FD">
      <w:pPr>
        <w:pStyle w:val="BodyText"/>
        <w:spacing w:after="0"/>
      </w:pPr>
    </w:p>
    <w:p w:rsidR="00351F5F" w:rsidRDefault="00A606AC" w:rsidP="002639FD">
      <w:pPr>
        <w:pStyle w:val="BodyText"/>
        <w:spacing w:after="0"/>
      </w:pPr>
      <w:r>
        <w:t>Based on the previously-discussed</w:t>
      </w:r>
      <w:r w:rsidR="002639FD">
        <w:t xml:space="preserve"> facts, staff concludes that there is no compelling reason to deviate from standard noticing practice and the 2000 T</w:t>
      </w:r>
      <w:r w:rsidR="00671F0E">
        <w:t xml:space="preserve">ECO </w:t>
      </w:r>
      <w:r w:rsidR="002639FD">
        <w:t xml:space="preserve">decision, Order No. PSC-00-1081-PCO-EI, imposing a 30-day effective date is most applicable and should be followed.     </w:t>
      </w:r>
    </w:p>
    <w:p w:rsidR="002639FD" w:rsidRDefault="002639FD" w:rsidP="00351F5F">
      <w:pPr>
        <w:pStyle w:val="BodyText"/>
        <w:spacing w:after="0"/>
        <w:rPr>
          <w:rFonts w:ascii="Arial" w:hAnsi="Arial" w:cs="Arial"/>
          <w:b/>
        </w:rPr>
      </w:pPr>
    </w:p>
    <w:p w:rsidR="00351F5F" w:rsidRPr="00821270" w:rsidRDefault="00351F5F" w:rsidP="00351F5F">
      <w:pPr>
        <w:pStyle w:val="BodyText"/>
        <w:spacing w:after="0"/>
        <w:rPr>
          <w:rFonts w:ascii="Arial" w:hAnsi="Arial" w:cs="Arial"/>
          <w:b/>
        </w:rPr>
      </w:pPr>
      <w:r w:rsidRPr="00821270">
        <w:rPr>
          <w:rFonts w:ascii="Arial" w:hAnsi="Arial" w:cs="Arial"/>
          <w:b/>
        </w:rPr>
        <w:t>Conclusion</w:t>
      </w:r>
    </w:p>
    <w:p w:rsidR="00351F5F" w:rsidRDefault="00671F0E" w:rsidP="00351F5F">
      <w:pPr>
        <w:pStyle w:val="BodyText"/>
        <w:spacing w:after="0"/>
      </w:pPr>
      <w:r>
        <w:t>Staff recommends t</w:t>
      </w:r>
      <w:r w:rsidR="00351F5F" w:rsidRPr="00431FC1">
        <w:t>h</w:t>
      </w:r>
      <w:r>
        <w:t>at th</w:t>
      </w:r>
      <w:r w:rsidR="00351F5F" w:rsidRPr="00431FC1">
        <w:t>e effective date should be 30 days from the date of the Commission vote, or May 1</w:t>
      </w:r>
      <w:r w:rsidR="00821270">
        <w:t>, 2021</w:t>
      </w:r>
      <w:r w:rsidR="00351F5F" w:rsidRPr="00431FC1">
        <w:t>.</w:t>
      </w:r>
    </w:p>
    <w:p w:rsidR="001239A6" w:rsidRDefault="001239A6" w:rsidP="00923B97">
      <w:pPr>
        <w:pStyle w:val="IssueHeading"/>
        <w:rPr>
          <w:vanish/>
          <w:specVanish/>
        </w:rPr>
      </w:pPr>
      <w:r w:rsidRPr="004C3641">
        <w:br w:type="page"/>
        <w:t xml:space="preserve">Issue </w:t>
      </w:r>
      <w:fldSimple w:instr=" SEQ Issue \* MERGEFORMAT ">
        <w:r w:rsidR="00D00C07">
          <w:rPr>
            <w:noProof/>
          </w:rPr>
          <w:t>3</w:t>
        </w:r>
      </w:fldSimple>
      <w:r w:rsidRPr="004C3641">
        <w:t>:</w:t>
      </w:r>
      <w:r>
        <w:fldChar w:fldCharType="begin"/>
      </w:r>
      <w:r>
        <w:instrText xml:space="preserve"> TC "</w:instrText>
      </w:r>
      <w:r>
        <w:fldChar w:fldCharType="begin"/>
      </w:r>
      <w:r>
        <w:instrText xml:space="preserve"> SEQ issue \c </w:instrText>
      </w:r>
      <w:r>
        <w:fldChar w:fldCharType="separate"/>
      </w:r>
      <w:r w:rsidR="00D00C07">
        <w:rPr>
          <w:noProof/>
        </w:rPr>
        <w:instrText>3</w:instrText>
      </w:r>
      <w:r>
        <w:fldChar w:fldCharType="end"/>
      </w:r>
      <w:r>
        <w:tab/>
        <w:instrText xml:space="preserve">" \l 1 </w:instrText>
      </w:r>
      <w:r>
        <w:fldChar w:fldCharType="end"/>
      </w:r>
      <w:r>
        <w:t> </w:t>
      </w:r>
    </w:p>
    <w:p w:rsidR="001239A6" w:rsidRDefault="001239A6" w:rsidP="00923B97">
      <w:pPr>
        <w:pStyle w:val="BodyText"/>
      </w:pPr>
      <w:r>
        <w:t> Should this docket be closed?</w:t>
      </w:r>
    </w:p>
    <w:p w:rsidR="001239A6" w:rsidRPr="004C3641" w:rsidRDefault="001239A6">
      <w:pPr>
        <w:pStyle w:val="IssueSubsectionHeading"/>
        <w:rPr>
          <w:vanish/>
          <w:specVanish/>
        </w:rPr>
      </w:pPr>
      <w:r w:rsidRPr="004C3641">
        <w:t>Recommendation: </w:t>
      </w:r>
    </w:p>
    <w:p w:rsidR="001239A6" w:rsidRDefault="001239A6">
      <w:pPr>
        <w:pStyle w:val="BodyText"/>
      </w:pPr>
      <w:r>
        <w:t> </w:t>
      </w:r>
      <w:r w:rsidRPr="001239A6">
        <w:t>No. The 202</w:t>
      </w:r>
      <w:r w:rsidR="003F2CEA">
        <w:t>1</w:t>
      </w:r>
      <w:r w:rsidRPr="001239A6">
        <w:t>0001-EI docket is an on-going proceeding and should remain open.</w:t>
      </w:r>
      <w:r>
        <w:t xml:space="preserve"> (Brownless)</w:t>
      </w:r>
    </w:p>
    <w:p w:rsidR="001239A6" w:rsidRPr="004C3641" w:rsidRDefault="001239A6">
      <w:pPr>
        <w:pStyle w:val="IssueSubsectionHeading"/>
        <w:rPr>
          <w:vanish/>
          <w:specVanish/>
        </w:rPr>
      </w:pPr>
      <w:r w:rsidRPr="004C3641">
        <w:t>Staff Analysis: </w:t>
      </w:r>
    </w:p>
    <w:p w:rsidR="00923B97" w:rsidRDefault="001239A6" w:rsidP="00923B97">
      <w:pPr>
        <w:pStyle w:val="BodyText"/>
      </w:pPr>
      <w:r>
        <w:t> </w:t>
      </w:r>
      <w:r w:rsidR="00BB1F4A" w:rsidRPr="00BB1F4A">
        <w:t>The fuel docket is on-going and should remain open.</w:t>
      </w:r>
    </w:p>
    <w:p w:rsidR="00923B97" w:rsidRDefault="00923B97" w:rsidP="00923B97">
      <w:pPr>
        <w:pStyle w:val="BodyText"/>
      </w:pPr>
    </w:p>
    <w:p w:rsidR="00923B97" w:rsidRDefault="00923B97" w:rsidP="00923B97">
      <w:pPr>
        <w:pStyle w:val="BodyText"/>
        <w:sectPr w:rsidR="00923B97" w:rsidSect="0068481F">
          <w:headerReference w:type="even" r:id="rId11"/>
          <w:headerReference w:type="default" r:id="rId12"/>
          <w:headerReference w:type="first" r:id="rId13"/>
          <w:footerReference w:type="first" r:id="rId14"/>
          <w:pgSz w:w="12240" w:h="15840" w:code="1"/>
          <w:pgMar w:top="1584" w:right="1440" w:bottom="1440" w:left="1440" w:header="720" w:footer="720" w:gutter="0"/>
          <w:cols w:space="720"/>
          <w:formProt w:val="0"/>
          <w:docGrid w:linePitch="360"/>
        </w:sectPr>
      </w:pPr>
    </w:p>
    <w:p w:rsidR="00923B97" w:rsidRDefault="00923B97" w:rsidP="00923B97">
      <w:pPr>
        <w:pStyle w:val="BodyText"/>
      </w:pPr>
      <w:r>
        <w:rPr>
          <w:noProof/>
        </w:rPr>
        <w:drawing>
          <wp:anchor distT="0" distB="0" distL="114300" distR="114300" simplePos="0" relativeHeight="251657216" behindDoc="0" locked="0" layoutInCell="1" allowOverlap="1">
            <wp:simplePos x="0" y="0"/>
            <wp:positionH relativeFrom="margin">
              <wp:posOffset>15240</wp:posOffset>
            </wp:positionH>
            <wp:positionV relativeFrom="margin">
              <wp:posOffset>0</wp:posOffset>
            </wp:positionV>
            <wp:extent cx="5920740" cy="8138160"/>
            <wp:effectExtent l="0" t="0" r="381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PL T1 P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20740" cy="8138160"/>
                    </a:xfrm>
                    <a:prstGeom prst="rect">
                      <a:avLst/>
                    </a:prstGeom>
                  </pic:spPr>
                </pic:pic>
              </a:graphicData>
            </a:graphic>
            <wp14:sizeRelH relativeFrom="margin">
              <wp14:pctWidth>0</wp14:pctWidth>
            </wp14:sizeRelH>
          </wp:anchor>
        </w:drawing>
      </w:r>
    </w:p>
    <w:p w:rsidR="004B63E0" w:rsidRDefault="00923B97" w:rsidP="00923B97">
      <w:pPr>
        <w:pStyle w:val="BodyText"/>
        <w:sectPr w:rsidR="004B63E0" w:rsidSect="0068481F">
          <w:headerReference w:type="even" r:id="rId16"/>
          <w:headerReference w:type="default" r:id="rId17"/>
          <w:headerReference w:type="first" r:id="rId18"/>
          <w:pgSz w:w="12240" w:h="15840" w:code="1"/>
          <w:pgMar w:top="1584" w:right="1440" w:bottom="1440" w:left="1440" w:header="720" w:footer="720" w:gutter="0"/>
          <w:cols w:space="720"/>
          <w:formProt w:val="0"/>
          <w:docGrid w:linePitch="360"/>
        </w:sectPr>
      </w:pPr>
      <w:r>
        <w:rPr>
          <w:noProof/>
        </w:rPr>
        <w:drawing>
          <wp:inline distT="0" distB="0" distL="0" distR="0">
            <wp:extent cx="5943600" cy="81381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PL T1 P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8138160"/>
                    </a:xfrm>
                    <a:prstGeom prst="rect">
                      <a:avLst/>
                    </a:prstGeom>
                  </pic:spPr>
                </pic:pic>
              </a:graphicData>
            </a:graphic>
          </wp:inline>
        </w:drawing>
      </w:r>
    </w:p>
    <w:p w:rsidR="00E06484" w:rsidRDefault="004B63E0" w:rsidP="00046A69">
      <w:pPr>
        <w:pStyle w:val="IssueHeading"/>
      </w:pPr>
      <w:r>
        <w:rPr>
          <w:noProof/>
        </w:rPr>
        <w:drawing>
          <wp:inline distT="0" distB="0" distL="0" distR="0">
            <wp:extent cx="5966460" cy="81381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PL T2 P1.jpg"/>
                    <pic:cNvPicPr/>
                  </pic:nvPicPr>
                  <pic:blipFill>
                    <a:blip r:embed="rId20">
                      <a:extLst>
                        <a:ext uri="{28A0092B-C50C-407E-A947-70E740481C1C}">
                          <a14:useLocalDpi xmlns:a14="http://schemas.microsoft.com/office/drawing/2010/main" val="0"/>
                        </a:ext>
                      </a:extLst>
                    </a:blip>
                    <a:stretch>
                      <a:fillRect/>
                    </a:stretch>
                  </pic:blipFill>
                  <pic:spPr>
                    <a:xfrm>
                      <a:off x="0" y="0"/>
                      <a:ext cx="5966460" cy="8138160"/>
                    </a:xfrm>
                    <a:prstGeom prst="rect">
                      <a:avLst/>
                    </a:prstGeom>
                  </pic:spPr>
                </pic:pic>
              </a:graphicData>
            </a:graphic>
          </wp:inline>
        </w:drawing>
      </w:r>
      <w:r>
        <w:rPr>
          <w:noProof/>
        </w:rPr>
        <w:drawing>
          <wp:inline distT="0" distB="0" distL="0" distR="0">
            <wp:extent cx="5928360" cy="82143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PL T2 P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28360" cy="8214360"/>
                    </a:xfrm>
                    <a:prstGeom prst="rect">
                      <a:avLst/>
                    </a:prstGeom>
                  </pic:spPr>
                </pic:pic>
              </a:graphicData>
            </a:graphic>
          </wp:inline>
        </w:drawing>
      </w:r>
    </w:p>
    <w:sectPr w:rsidR="00E06484" w:rsidSect="0068481F">
      <w:headerReference w:type="even" r:id="rId22"/>
      <w:headerReference w:type="default" r:id="rId23"/>
      <w:headerReference w:type="first" r:id="rId24"/>
      <w:pgSz w:w="12240" w:h="15840" w:code="1"/>
      <w:pgMar w:top="1584" w:right="1440" w:bottom="1440" w:left="1440" w:header="720" w:footer="72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165F0" w:rsidRDefault="006165F0">
      <w:r>
        <w:separator/>
      </w:r>
    </w:p>
  </w:endnote>
  <w:endnote w:type="continuationSeparator" w:id="0">
    <w:p w:rsidR="006165F0" w:rsidRDefault="006165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65F0" w:rsidRDefault="006165F0">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9310B4">
      <w:rPr>
        <w:rStyle w:val="PageNumber"/>
        <w:noProof/>
      </w:rPr>
      <w:t>18</w:t>
    </w:r>
    <w:r>
      <w:rPr>
        <w:rStyle w:val="PageNumber"/>
      </w:rPr>
      <w:fldChar w:fldCharType="end"/>
    </w:r>
    <w:r>
      <w:rPr>
        <w:rStyle w:val="PageNumber"/>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65F0" w:rsidRDefault="006165F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165F0" w:rsidRDefault="006165F0">
      <w:r>
        <w:separator/>
      </w:r>
    </w:p>
  </w:footnote>
  <w:footnote w:type="continuationSeparator" w:id="0">
    <w:p w:rsidR="006165F0" w:rsidRDefault="006165F0">
      <w:r>
        <w:continuationSeparator/>
      </w:r>
    </w:p>
  </w:footnote>
  <w:footnote w:id="1">
    <w:p w:rsidR="006165F0" w:rsidRDefault="006165F0" w:rsidP="002F32A9">
      <w:pPr>
        <w:pStyle w:val="FootnoteText"/>
      </w:pPr>
      <w:r>
        <w:rPr>
          <w:rStyle w:val="FootnoteReference"/>
        </w:rPr>
        <w:footnoteRef/>
      </w:r>
      <w:r w:rsidRPr="00F00544">
        <w:t xml:space="preserve">Order No. PSC-2020-0439-FOF-EI, </w:t>
      </w:r>
      <w:r>
        <w:t>i</w:t>
      </w:r>
      <w:r w:rsidRPr="00F00544">
        <w:t xml:space="preserve">ssued November 16, 2020, in Docket No. 20200001-EI, </w:t>
      </w:r>
      <w:r w:rsidRPr="00F00544">
        <w:rPr>
          <w:i/>
        </w:rPr>
        <w:t>In re: Fuel and purchased power cost recovery clause with generating performance incentive factor</w:t>
      </w:r>
      <w:r w:rsidRPr="00F00544">
        <w:t>.</w:t>
      </w:r>
    </w:p>
  </w:footnote>
  <w:footnote w:id="2">
    <w:p w:rsidR="006165F0" w:rsidRDefault="006165F0" w:rsidP="002F32A9">
      <w:pPr>
        <w:pStyle w:val="FootnoteText"/>
      </w:pPr>
      <w:r>
        <w:rPr>
          <w:rStyle w:val="FootnoteReference"/>
        </w:rPr>
        <w:footnoteRef/>
      </w:r>
      <w:r>
        <w:t>Document No. 02487-2021.</w:t>
      </w:r>
    </w:p>
  </w:footnote>
  <w:footnote w:id="3">
    <w:p w:rsidR="006165F0" w:rsidRDefault="006165F0" w:rsidP="002F32A9">
      <w:pPr>
        <w:pStyle w:val="FootnoteText"/>
      </w:pPr>
      <w:r>
        <w:rPr>
          <w:rStyle w:val="FootnoteReference"/>
        </w:rPr>
        <w:footnoteRef/>
      </w:r>
      <w:r>
        <w:t>Document No. 02652-2021, filed March 8, 2021, FPL’s Responses to Staff’s First Data Request, No. 6 (to include attachments).</w:t>
      </w:r>
    </w:p>
  </w:footnote>
  <w:footnote w:id="4">
    <w:p w:rsidR="006165F0" w:rsidRDefault="006165F0" w:rsidP="00DF6DE3">
      <w:pPr>
        <w:pStyle w:val="FootnoteText"/>
      </w:pPr>
      <w:r>
        <w:rPr>
          <w:rStyle w:val="FootnoteReference"/>
        </w:rPr>
        <w:footnoteRef/>
      </w:r>
      <w:r>
        <w:t>Document No. 02487-2021.</w:t>
      </w:r>
    </w:p>
  </w:footnote>
  <w:footnote w:id="5">
    <w:p w:rsidR="006165F0" w:rsidRDefault="006165F0" w:rsidP="00002DB1">
      <w:pPr>
        <w:pStyle w:val="FootnoteText"/>
      </w:pPr>
      <w:r>
        <w:rPr>
          <w:rStyle w:val="FootnoteReference"/>
        </w:rPr>
        <w:footnoteRef/>
      </w:r>
      <w:r>
        <w:t>Document No. 11989-2020.</w:t>
      </w:r>
    </w:p>
  </w:footnote>
  <w:footnote w:id="6">
    <w:p w:rsidR="006165F0" w:rsidRDefault="006165F0" w:rsidP="00002DB1">
      <w:pPr>
        <w:pStyle w:val="FootnoteText"/>
      </w:pPr>
      <w:r>
        <w:rPr>
          <w:rStyle w:val="FootnoteReference"/>
        </w:rPr>
        <w:footnoteRef/>
      </w:r>
      <w:r>
        <w:t>Document No. 13407-2020.</w:t>
      </w:r>
    </w:p>
  </w:footnote>
  <w:footnote w:id="7">
    <w:p w:rsidR="006165F0" w:rsidRDefault="006165F0" w:rsidP="000105CF">
      <w:pPr>
        <w:pStyle w:val="FootnoteText"/>
      </w:pPr>
      <w:r>
        <w:rPr>
          <w:rStyle w:val="FootnoteReference"/>
        </w:rPr>
        <w:footnoteRef/>
      </w:r>
      <w:r>
        <w:t>Document No. 04070-2020.</w:t>
      </w:r>
    </w:p>
  </w:footnote>
  <w:footnote w:id="8">
    <w:p w:rsidR="006165F0" w:rsidRPr="00F00544" w:rsidRDefault="006165F0" w:rsidP="000105CF">
      <w:pPr>
        <w:pStyle w:val="FootnoteText"/>
      </w:pPr>
      <w:r w:rsidRPr="00F00544">
        <w:rPr>
          <w:rStyle w:val="FootnoteReference"/>
        </w:rPr>
        <w:footnoteRef/>
      </w:r>
      <w:r>
        <w:t>Document No. 05943-2020</w:t>
      </w:r>
      <w:r w:rsidRPr="00F00544">
        <w:t>.</w:t>
      </w:r>
    </w:p>
  </w:footnote>
  <w:footnote w:id="9">
    <w:p w:rsidR="006165F0" w:rsidRDefault="006165F0" w:rsidP="000105CF">
      <w:pPr>
        <w:pStyle w:val="FootnoteText"/>
      </w:pPr>
      <w:r>
        <w:rPr>
          <w:rStyle w:val="FootnoteReference"/>
        </w:rPr>
        <w:footnoteRef/>
      </w:r>
      <w:r w:rsidRPr="00F00544">
        <w:t>Order No. PSC-2020-0439-FOF-EI</w:t>
      </w:r>
      <w:r>
        <w:t>.</w:t>
      </w:r>
    </w:p>
  </w:footnote>
  <w:footnote w:id="10">
    <w:p w:rsidR="006165F0" w:rsidRDefault="006165F0" w:rsidP="000105CF">
      <w:pPr>
        <w:pStyle w:val="FootnoteText"/>
      </w:pPr>
      <w:r>
        <w:rPr>
          <w:rStyle w:val="FootnoteReference"/>
        </w:rPr>
        <w:footnoteRef/>
      </w:r>
      <w:r>
        <w:t>Document No. 02652-2021,</w:t>
      </w:r>
      <w:r w:rsidRPr="004E1C14">
        <w:t xml:space="preserve"> </w:t>
      </w:r>
      <w:r>
        <w:t>filed March 8, 2021, FPL’s Responses to Staff’s First Data Request, No. 4.</w:t>
      </w:r>
    </w:p>
  </w:footnote>
  <w:footnote w:id="11">
    <w:p w:rsidR="006165F0" w:rsidRDefault="006165F0">
      <w:pPr>
        <w:pStyle w:val="FootnoteText"/>
      </w:pPr>
      <w:r>
        <w:rPr>
          <w:rStyle w:val="FootnoteReference"/>
        </w:rPr>
        <w:footnoteRef/>
      </w:r>
      <w:r w:rsidRPr="00F00544">
        <w:t>Orde</w:t>
      </w:r>
      <w:r>
        <w:t>r No. PSC-2020-0439-FOF-EI.</w:t>
      </w:r>
    </w:p>
  </w:footnote>
  <w:footnote w:id="12">
    <w:p w:rsidR="006165F0" w:rsidRPr="00D73CFE" w:rsidRDefault="006165F0" w:rsidP="00431FC1">
      <w:pPr>
        <w:pStyle w:val="FootnoteText"/>
      </w:pPr>
      <w:r>
        <w:rPr>
          <w:rStyle w:val="FootnoteReference"/>
        </w:rPr>
        <w:footnoteRef/>
      </w:r>
      <w:r>
        <w:rPr>
          <w:i/>
        </w:rPr>
        <w:t>Gulf Power</w:t>
      </w:r>
      <w:r>
        <w:t>, 410 So. 2d at 493.</w:t>
      </w:r>
    </w:p>
  </w:footnote>
  <w:footnote w:id="13">
    <w:p w:rsidR="006165F0" w:rsidRPr="009C414F" w:rsidRDefault="006165F0" w:rsidP="00431FC1">
      <w:pPr>
        <w:pStyle w:val="FootnoteText"/>
      </w:pPr>
      <w:r>
        <w:rPr>
          <w:rStyle w:val="FootnoteReference"/>
        </w:rPr>
        <w:footnoteRef/>
      </w:r>
      <w:r>
        <w:rPr>
          <w:i/>
        </w:rPr>
        <w:t>Id.</w:t>
      </w:r>
    </w:p>
  </w:footnote>
  <w:footnote w:id="14">
    <w:p w:rsidR="006165F0" w:rsidRPr="009C414F" w:rsidRDefault="006165F0" w:rsidP="00431FC1">
      <w:pPr>
        <w:pStyle w:val="FootnoteText"/>
        <w:rPr>
          <w:i/>
        </w:rPr>
      </w:pPr>
      <w:r>
        <w:rPr>
          <w:rStyle w:val="FootnoteReference"/>
        </w:rPr>
        <w:footnoteRef/>
      </w:r>
      <w:r>
        <w:rPr>
          <w:i/>
        </w:rPr>
        <w:t>Gulf Power</w:t>
      </w:r>
      <w:r>
        <w:t xml:space="preserve">, 410 So. 2d at 493-4. </w:t>
      </w:r>
    </w:p>
  </w:footnote>
  <w:footnote w:id="15">
    <w:p w:rsidR="006165F0" w:rsidRPr="009C414F" w:rsidRDefault="006165F0" w:rsidP="00431FC1">
      <w:pPr>
        <w:pStyle w:val="FootnoteText"/>
      </w:pPr>
      <w:r>
        <w:rPr>
          <w:rStyle w:val="FootnoteReference"/>
        </w:rPr>
        <w:footnoteRef/>
      </w:r>
      <w:r>
        <w:rPr>
          <w:i/>
        </w:rPr>
        <w:t xml:space="preserve">Gulf Power, </w:t>
      </w:r>
      <w:r>
        <w:t>410 So. 2d at 494, Footnote 2.</w:t>
      </w:r>
    </w:p>
  </w:footnote>
  <w:footnote w:id="16">
    <w:p w:rsidR="006165F0" w:rsidRDefault="006165F0" w:rsidP="00431FC1">
      <w:pPr>
        <w:pStyle w:val="FootnoteText"/>
      </w:pPr>
      <w:r>
        <w:rPr>
          <w:rStyle w:val="FootnoteReference"/>
        </w:rPr>
        <w:footnoteRef/>
      </w:r>
      <w:r>
        <w:t xml:space="preserve">Order No. PSC-00-1081-PCO-EI, issued June 5, 2000, in Docket No. 20000001-EI </w:t>
      </w:r>
      <w:r w:rsidRPr="00D91FB2">
        <w:rPr>
          <w:i/>
        </w:rPr>
        <w:t>In re: Fuel and purchased power cost recovery clause and generating performance incentive factor</w:t>
      </w:r>
      <w:r>
        <w:rPr>
          <w:i/>
        </w:rPr>
        <w:t>.</w:t>
      </w:r>
    </w:p>
  </w:footnote>
  <w:footnote w:id="17">
    <w:p w:rsidR="006165F0" w:rsidRDefault="006165F0" w:rsidP="00431FC1">
      <w:pPr>
        <w:pStyle w:val="FootnoteText"/>
      </w:pPr>
      <w:r>
        <w:rPr>
          <w:rStyle w:val="FootnoteReference"/>
        </w:rPr>
        <w:footnoteRef/>
      </w:r>
      <w:r>
        <w:t xml:space="preserve">Order No. PSC-01-0963-PCO-EI, issued April 18, 2001, in Docket No. 20010001-EI, </w:t>
      </w:r>
      <w:r w:rsidRPr="00D91FB2">
        <w:rPr>
          <w:i/>
        </w:rPr>
        <w:t>In re: Fuel and purchased power cost recovery clause and generating performance incentive factor</w:t>
      </w:r>
      <w:r>
        <w:rPr>
          <w:i/>
        </w:rPr>
        <w:t>.</w:t>
      </w:r>
      <w:r>
        <w:t xml:space="preserve"> </w:t>
      </w:r>
    </w:p>
  </w:footnote>
  <w:footnote w:id="18">
    <w:p w:rsidR="006165F0" w:rsidRDefault="006165F0" w:rsidP="00431FC1">
      <w:pPr>
        <w:pStyle w:val="FootnoteText"/>
      </w:pPr>
      <w:r>
        <w:rPr>
          <w:rStyle w:val="FootnoteReference"/>
        </w:rPr>
        <w:footnoteRef/>
      </w:r>
      <w:r>
        <w:t xml:space="preserve">Order No. PSC-01-0409-PCO-GU, issued February 19, 2001, in Docket No. 20010003-GU, </w:t>
      </w:r>
      <w:r>
        <w:rPr>
          <w:i/>
        </w:rPr>
        <w:t>In re: Purchased gas adjustment (PGA) true-up.</w:t>
      </w:r>
    </w:p>
  </w:footnote>
  <w:footnote w:id="19">
    <w:p w:rsidR="006165F0" w:rsidRPr="00777113" w:rsidRDefault="006165F0" w:rsidP="00431FC1">
      <w:pPr>
        <w:pStyle w:val="FootnoteText"/>
        <w:rPr>
          <w:i/>
        </w:rPr>
      </w:pPr>
      <w:r>
        <w:rPr>
          <w:rStyle w:val="FootnoteReference"/>
        </w:rPr>
        <w:footnoteRef/>
      </w:r>
      <w:r>
        <w:rPr>
          <w:i/>
        </w:rPr>
        <w:t>Id.</w:t>
      </w:r>
    </w:p>
  </w:footnote>
  <w:footnote w:id="20">
    <w:p w:rsidR="006165F0" w:rsidRDefault="006165F0" w:rsidP="00431FC1">
      <w:pPr>
        <w:pStyle w:val="FootnoteText"/>
      </w:pPr>
      <w:r>
        <w:rPr>
          <w:rStyle w:val="FootnoteReference"/>
        </w:rPr>
        <w:footnoteRef/>
      </w:r>
      <w:r>
        <w:t xml:space="preserve">Order No. PSC-08-0825-PCO-EI, issued December 22, 2008, in Docket No. 080001-EI, </w:t>
      </w:r>
      <w:r>
        <w:rPr>
          <w:i/>
        </w:rPr>
        <w:t>In re: Fuel and purchased power cost recovery clause with generating performance incentive factor</w:t>
      </w:r>
      <w:r>
        <w:t xml:space="preserve">; Order No. PSC-09-0254-PCO-EI, issued April 27, 2009, in Docket No. 090001-EI, </w:t>
      </w:r>
      <w:r>
        <w:rPr>
          <w:i/>
        </w:rPr>
        <w:t xml:space="preserve">In re: Fuel and purchased power cost recovery clause with generating performance incentive factor; </w:t>
      </w:r>
      <w:r w:rsidRPr="00C4628D">
        <w:t>Order No. PSC-11-0581-</w:t>
      </w:r>
      <w:r>
        <w:t xml:space="preserve">PCO-EI, issued on December 19, 2011, in Docket No. 110001-EI, </w:t>
      </w:r>
      <w:r>
        <w:rPr>
          <w:i/>
        </w:rPr>
        <w:t>In re: Fuel and purchased power cost recovery clause with generating performance incentive factor</w:t>
      </w:r>
      <w:r>
        <w:t xml:space="preserve">; Order No. PSC-12-0342-PCO-EI, issued July 2, 2012, in Docket No. 120001-EI, </w:t>
      </w:r>
      <w:r>
        <w:rPr>
          <w:i/>
        </w:rPr>
        <w:t>In re: Fuel and purchased power cost recovery clause with generating performance incentive factor</w:t>
      </w:r>
      <w:r>
        <w:t xml:space="preserve">; Order No. PSC-2012-0082-PCO-EI, issued February 24, 2012, in Docket No. 120001-EI, </w:t>
      </w:r>
      <w:r>
        <w:rPr>
          <w:i/>
        </w:rPr>
        <w:t>In re: Fuel and purchased power cost recovery clause with generating performance incentive factor</w:t>
      </w:r>
      <w:r>
        <w:t xml:space="preserve">; Order No. PSC-15-0161-PCO-EI, issued April 30, 2015, in Docket No. 150001-EI, </w:t>
      </w:r>
      <w:r>
        <w:rPr>
          <w:i/>
        </w:rPr>
        <w:t>In re: Fuel and purchased power cost recovery clause with generating performance incentive factor</w:t>
      </w:r>
      <w:r>
        <w:t xml:space="preserve">; Order No. PSC-2018-0313-PCO-EI, issued June 18, 2018, in Docket No. 20180001-EI, </w:t>
      </w:r>
      <w:r>
        <w:rPr>
          <w:i/>
        </w:rPr>
        <w:t>In re: Fuel and purchased power cost recovery clause with generating performance incentive factor</w:t>
      </w:r>
      <w:r>
        <w:t xml:space="preserve">; Order PSC-2020-0154-PCO-EI, issued May 14, 2020, in Docket No. 20200001-EI, </w:t>
      </w:r>
      <w:r>
        <w:rPr>
          <w:i/>
        </w:rPr>
        <w:t>In re: Fuel and purchased power cost recovery clause with generating performance incentive factor.</w:t>
      </w:r>
      <w:r>
        <w:t xml:space="preserve"> </w:t>
      </w:r>
      <w:r>
        <w:rPr>
          <w:i/>
        </w:rPr>
        <w:t xml:space="preserve"> </w:t>
      </w:r>
      <w:r>
        <w:t xml:space="preserve"> </w:t>
      </w:r>
    </w:p>
  </w:footnote>
  <w:footnote w:id="21">
    <w:p w:rsidR="006165F0" w:rsidRDefault="006165F0" w:rsidP="00431FC1">
      <w:pPr>
        <w:pStyle w:val="FootnoteText"/>
      </w:pPr>
      <w:r>
        <w:rPr>
          <w:rStyle w:val="FootnoteReference"/>
        </w:rPr>
        <w:footnoteRef/>
      </w:r>
      <w:r>
        <w:t xml:space="preserve">Order No. PSC-03-0381-PCO-EI, issued March 19, 2003, in Docket No. 030001-EI, </w:t>
      </w:r>
      <w:r>
        <w:rPr>
          <w:i/>
        </w:rPr>
        <w:t>In re: Fuel and purchased power cost recovery clause with generating performance incentive factor</w:t>
      </w:r>
      <w:r>
        <w:t xml:space="preserve">; Order No. PSC-03-0382-PCO-EI, issued March 19, 2003, in Docket No. 030001-EI, </w:t>
      </w:r>
      <w:r>
        <w:rPr>
          <w:i/>
        </w:rPr>
        <w:t>In re: Fuel and purchased power cost recovery clause with generating performance incentive factor</w:t>
      </w:r>
      <w:r>
        <w:t xml:space="preserve">; Order No. PSC-03-0400, issued March 24, 2003, in Docket No. 030001-EI, </w:t>
      </w:r>
      <w:r>
        <w:rPr>
          <w:i/>
        </w:rPr>
        <w:t>In re: Fuel and purchased power cost recovery clause with generating performance incentive factor</w:t>
      </w:r>
      <w:r>
        <w:t xml:space="preserve">; Order No. PSC-03-0849-PCO-EI, issued July 22, 2003, in Docket No. 030001-EI, </w:t>
      </w:r>
      <w:r>
        <w:rPr>
          <w:i/>
        </w:rPr>
        <w:t>In re: Fuel and purchased power cost recovery clause with generating performance incentive factor</w:t>
      </w:r>
      <w:r>
        <w:t xml:space="preserve">; Order No. PSC-09-0213-PCO-EI, issued April 9, 2009, in Docket No. 090001-EI, </w:t>
      </w:r>
      <w:r>
        <w:rPr>
          <w:i/>
        </w:rPr>
        <w:t xml:space="preserve">In re: Fuel and purchased power cost recovery clause with generating performance incentive factor; </w:t>
      </w:r>
      <w:r>
        <w:t xml:space="preserve">Order No. PSC-2019-0109-PCO-EI, issued March 22, 2019, in Docket No. 20190001-EI, </w:t>
      </w:r>
      <w:r>
        <w:rPr>
          <w:i/>
        </w:rPr>
        <w:t>In re: Fuel and purchased power cost recovery clause with generating performance incentive factor.</w:t>
      </w:r>
      <w:r>
        <w:t xml:space="preserve">   </w:t>
      </w:r>
    </w:p>
  </w:footnote>
  <w:footnote w:id="22">
    <w:p w:rsidR="006165F0" w:rsidRDefault="006165F0" w:rsidP="00431FC1">
      <w:pPr>
        <w:pStyle w:val="FootnoteText"/>
      </w:pPr>
      <w:r>
        <w:rPr>
          <w:rStyle w:val="FootnoteReference"/>
        </w:rPr>
        <w:footnoteRef/>
      </w:r>
      <w:r>
        <w:t xml:space="preserve">Order No. PSC-09-0213-PCO-EI; Order No. PSC-2019-0109-PCO-EI. </w:t>
      </w:r>
    </w:p>
  </w:footnote>
  <w:footnote w:id="23">
    <w:p w:rsidR="006165F0" w:rsidRDefault="006165F0">
      <w:pPr>
        <w:pStyle w:val="FootnoteText"/>
      </w:pPr>
      <w:r>
        <w:rPr>
          <w:rStyle w:val="FootnoteReference"/>
        </w:rPr>
        <w:footnoteRef/>
      </w:r>
      <w:r>
        <w:t>DN 02652-2021, Response to Staff’s First Data Request No. 6.</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65F0" w:rsidRDefault="006165F0" w:rsidP="00220732">
    <w:pPr>
      <w:pStyle w:val="Header"/>
      <w:tabs>
        <w:tab w:val="clear" w:pos="4320"/>
        <w:tab w:val="clear" w:pos="8640"/>
        <w:tab w:val="right" w:pos="9360"/>
      </w:tabs>
    </w:pPr>
    <w:bookmarkStart w:id="14" w:name="DocketLabel"/>
    <w:r>
      <w:t>Docket No.</w:t>
    </w:r>
    <w:bookmarkEnd w:id="14"/>
    <w:r>
      <w:t xml:space="preserve"> </w:t>
    </w:r>
    <w:bookmarkStart w:id="15" w:name="DocketList"/>
    <w:r>
      <w:t>20210001-EI</w:t>
    </w:r>
    <w:bookmarkEnd w:id="15"/>
  </w:p>
  <w:p w:rsidR="006165F0" w:rsidRDefault="006165F0">
    <w:pPr>
      <w:pStyle w:val="Header"/>
    </w:pPr>
    <w:r>
      <w:t xml:space="preserve">Date: </w:t>
    </w:r>
    <w:fldSimple w:instr=" REF FilingDate ">
      <w:r>
        <w:t>March 19, 2021</w:t>
      </w:r>
    </w:fldSimple>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65F0" w:rsidRDefault="006165F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65F0" w:rsidRDefault="006165F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65F0" w:rsidRDefault="006165F0" w:rsidP="00220732">
    <w:pPr>
      <w:pStyle w:val="Header"/>
      <w:tabs>
        <w:tab w:val="clear" w:pos="4320"/>
        <w:tab w:val="clear" w:pos="8640"/>
        <w:tab w:val="right" w:pos="9360"/>
      </w:tabs>
    </w:pPr>
    <w:r>
      <w:fldChar w:fldCharType="begin"/>
    </w:r>
    <w:r>
      <w:instrText xml:space="preserve"> REF DocketLabel</w:instrText>
    </w:r>
    <w:r>
      <w:fldChar w:fldCharType="separate"/>
    </w:r>
    <w:r>
      <w:t>Docket No.</w:t>
    </w:r>
    <w:r>
      <w:fldChar w:fldCharType="end"/>
    </w:r>
    <w:r>
      <w:t xml:space="preserve"> </w:t>
    </w:r>
    <w:r>
      <w:fldChar w:fldCharType="begin"/>
    </w:r>
    <w:r>
      <w:instrText xml:space="preserve"> REF DocketList</w:instrText>
    </w:r>
    <w:r>
      <w:fldChar w:fldCharType="separate"/>
    </w:r>
    <w:r>
      <w:t>20210001-EI</w:t>
    </w:r>
    <w:r>
      <w:fldChar w:fldCharType="end"/>
    </w:r>
    <w:r>
      <w:tab/>
      <w:t xml:space="preserve">Issue </w:t>
    </w:r>
    <w:fldSimple w:instr=" Seq Issue \c \* Arabic ">
      <w:r w:rsidR="009310B4">
        <w:rPr>
          <w:noProof/>
        </w:rPr>
        <w:t>3</w:t>
      </w:r>
    </w:fldSimple>
  </w:p>
  <w:p w:rsidR="006165F0" w:rsidRDefault="006165F0">
    <w:pPr>
      <w:pStyle w:val="Header"/>
    </w:pPr>
    <w:r>
      <w:t xml:space="preserve">Date: </w:t>
    </w:r>
    <w:fldSimple w:instr=" REF FilingDate ">
      <w:r>
        <w:t>March 19, 2021</w:t>
      </w:r>
    </w:fldSimple>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65F0" w:rsidRDefault="006165F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65F0" w:rsidRDefault="006165F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65F0" w:rsidRDefault="006165F0" w:rsidP="00220732">
    <w:pPr>
      <w:pStyle w:val="Header"/>
      <w:tabs>
        <w:tab w:val="clear" w:pos="4320"/>
        <w:tab w:val="clear" w:pos="8640"/>
        <w:tab w:val="right" w:pos="9360"/>
      </w:tabs>
    </w:pPr>
    <w:r>
      <w:fldChar w:fldCharType="begin"/>
    </w:r>
    <w:r>
      <w:instrText xml:space="preserve"> REF DocketLabel</w:instrText>
    </w:r>
    <w:r>
      <w:fldChar w:fldCharType="separate"/>
    </w:r>
    <w:r>
      <w:t>Docket No.</w:t>
    </w:r>
    <w:r>
      <w:fldChar w:fldCharType="end"/>
    </w:r>
    <w:r>
      <w:t xml:space="preserve"> </w:t>
    </w:r>
    <w:r>
      <w:fldChar w:fldCharType="begin"/>
    </w:r>
    <w:r>
      <w:instrText xml:space="preserve"> REF DocketList</w:instrText>
    </w:r>
    <w:r>
      <w:fldChar w:fldCharType="separate"/>
    </w:r>
    <w:r>
      <w:t>20210001-EI</w:t>
    </w:r>
    <w:r>
      <w:fldChar w:fldCharType="end"/>
    </w:r>
    <w:r>
      <w:tab/>
      <w:t>Appendix A</w:t>
    </w:r>
  </w:p>
  <w:p w:rsidR="006165F0" w:rsidRDefault="006165F0">
    <w:pPr>
      <w:pStyle w:val="Header"/>
    </w:pPr>
    <w:r>
      <w:t xml:space="preserve">Date: </w:t>
    </w:r>
    <w:fldSimple w:instr=" REF FilingDate ">
      <w:r>
        <w:t>March 19, 2021</w:t>
      </w:r>
    </w:fldSimple>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65F0" w:rsidRDefault="006165F0">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65F0" w:rsidRDefault="006165F0">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65F0" w:rsidRDefault="006165F0" w:rsidP="00220732">
    <w:pPr>
      <w:pStyle w:val="Header"/>
      <w:tabs>
        <w:tab w:val="clear" w:pos="4320"/>
        <w:tab w:val="clear" w:pos="8640"/>
        <w:tab w:val="right" w:pos="9360"/>
      </w:tabs>
    </w:pPr>
    <w:r>
      <w:fldChar w:fldCharType="begin"/>
    </w:r>
    <w:r>
      <w:instrText xml:space="preserve"> REF DocketLabel</w:instrText>
    </w:r>
    <w:r>
      <w:fldChar w:fldCharType="separate"/>
    </w:r>
    <w:r>
      <w:t>Docket No.</w:t>
    </w:r>
    <w:r>
      <w:fldChar w:fldCharType="end"/>
    </w:r>
    <w:r>
      <w:t xml:space="preserve"> </w:t>
    </w:r>
    <w:r>
      <w:fldChar w:fldCharType="begin"/>
    </w:r>
    <w:r>
      <w:instrText xml:space="preserve"> REF DocketList</w:instrText>
    </w:r>
    <w:r>
      <w:fldChar w:fldCharType="separate"/>
    </w:r>
    <w:r>
      <w:t>20210001-EI</w:t>
    </w:r>
    <w:r>
      <w:fldChar w:fldCharType="end"/>
    </w:r>
    <w:r>
      <w:tab/>
      <w:t>Appendix B</w:t>
    </w:r>
  </w:p>
  <w:p w:rsidR="006165F0" w:rsidRDefault="006165F0">
    <w:pPr>
      <w:pStyle w:val="Header"/>
    </w:pPr>
    <w:r>
      <w:t xml:space="preserve">Date: </w:t>
    </w:r>
    <w:fldSimple w:instr=" REF FilingDate ">
      <w:r>
        <w:t>March 19, 2021</w:t>
      </w:r>
    </w:fldSimple>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BEFC6C1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0AA0D9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7762B0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8FE44F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320B40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60CFDA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63058F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5F8770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0D63E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024AEA4"/>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1"/>
  <w:activeWritingStyle w:appName="MSWord" w:lang="es-MX" w:vendorID="64" w:dllVersion="131078" w:nlCheck="1" w:checkStyle="1"/>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57"/>
  <w:noPunctuationKerning/>
  <w:characterSpacingControl w:val="doNotCompress"/>
  <w:hdrShapeDefaults>
    <o:shapedefaults v:ext="edit" spidmax="8193"/>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32DC39D9-B7F2-4F33-8079-DE13EA01171C}"/>
    <w:docVar w:name="dgnword-eventsink" w:val="337566896"/>
    <w:docVar w:name="NumberOfIssues" w:val="0"/>
    <w:docVar w:name="StaffInToC" w:val="True"/>
  </w:docVars>
  <w:rsids>
    <w:rsidRoot w:val="004F634E"/>
    <w:rsid w:val="00002DB1"/>
    <w:rsid w:val="000043D5"/>
    <w:rsid w:val="00006170"/>
    <w:rsid w:val="0000648A"/>
    <w:rsid w:val="000105CF"/>
    <w:rsid w:val="00010E37"/>
    <w:rsid w:val="000172DA"/>
    <w:rsid w:val="000247C5"/>
    <w:rsid w:val="000277C2"/>
    <w:rsid w:val="00035B48"/>
    <w:rsid w:val="00036CE2"/>
    <w:rsid w:val="000437FE"/>
    <w:rsid w:val="000446E9"/>
    <w:rsid w:val="00046A69"/>
    <w:rsid w:val="000513BE"/>
    <w:rsid w:val="00065A06"/>
    <w:rsid w:val="000666F3"/>
    <w:rsid w:val="00070DCB"/>
    <w:rsid w:val="00072CCA"/>
    <w:rsid w:val="00073120"/>
    <w:rsid w:val="000756BD"/>
    <w:rsid w:val="000764D0"/>
    <w:rsid w:val="000824F5"/>
    <w:rsid w:val="000828D3"/>
    <w:rsid w:val="000A2B57"/>
    <w:rsid w:val="000A418B"/>
    <w:rsid w:val="000C4431"/>
    <w:rsid w:val="000D1C06"/>
    <w:rsid w:val="000D4319"/>
    <w:rsid w:val="000F374A"/>
    <w:rsid w:val="001076AF"/>
    <w:rsid w:val="0011353E"/>
    <w:rsid w:val="00117C8C"/>
    <w:rsid w:val="001239A6"/>
    <w:rsid w:val="00124C38"/>
    <w:rsid w:val="00124E2E"/>
    <w:rsid w:val="00125ED4"/>
    <w:rsid w:val="001305E9"/>
    <w:rsid w:val="001307AF"/>
    <w:rsid w:val="00135687"/>
    <w:rsid w:val="0015506E"/>
    <w:rsid w:val="00163031"/>
    <w:rsid w:val="00171A90"/>
    <w:rsid w:val="00180254"/>
    <w:rsid w:val="00191E1F"/>
    <w:rsid w:val="00192943"/>
    <w:rsid w:val="00194367"/>
    <w:rsid w:val="00196BE9"/>
    <w:rsid w:val="001A7406"/>
    <w:rsid w:val="001B46A6"/>
    <w:rsid w:val="001B4FEE"/>
    <w:rsid w:val="001B51C5"/>
    <w:rsid w:val="001B6F3F"/>
    <w:rsid w:val="001C52B5"/>
    <w:rsid w:val="001D0D3E"/>
    <w:rsid w:val="001E77E2"/>
    <w:rsid w:val="001F2245"/>
    <w:rsid w:val="001F2A23"/>
    <w:rsid w:val="001F2C63"/>
    <w:rsid w:val="001F48C7"/>
    <w:rsid w:val="001F6DA1"/>
    <w:rsid w:val="002044E6"/>
    <w:rsid w:val="00205C82"/>
    <w:rsid w:val="00205DC2"/>
    <w:rsid w:val="00206428"/>
    <w:rsid w:val="00212B17"/>
    <w:rsid w:val="002163B6"/>
    <w:rsid w:val="00220732"/>
    <w:rsid w:val="00221D32"/>
    <w:rsid w:val="00225C3F"/>
    <w:rsid w:val="002639FD"/>
    <w:rsid w:val="00263D44"/>
    <w:rsid w:val="002702AD"/>
    <w:rsid w:val="00273ABB"/>
    <w:rsid w:val="00292D82"/>
    <w:rsid w:val="002963CB"/>
    <w:rsid w:val="002A24F5"/>
    <w:rsid w:val="002A5664"/>
    <w:rsid w:val="002B4A01"/>
    <w:rsid w:val="002C6283"/>
    <w:rsid w:val="002D226D"/>
    <w:rsid w:val="002D3264"/>
    <w:rsid w:val="002D704A"/>
    <w:rsid w:val="002E337A"/>
    <w:rsid w:val="002F32A9"/>
    <w:rsid w:val="002F6030"/>
    <w:rsid w:val="003037E1"/>
    <w:rsid w:val="00307E51"/>
    <w:rsid w:val="00310068"/>
    <w:rsid w:val="003103EC"/>
    <w:rsid w:val="003144EF"/>
    <w:rsid w:val="00315DC8"/>
    <w:rsid w:val="0032140E"/>
    <w:rsid w:val="00322F74"/>
    <w:rsid w:val="003324A1"/>
    <w:rsid w:val="00340073"/>
    <w:rsid w:val="003455D7"/>
    <w:rsid w:val="00351F5F"/>
    <w:rsid w:val="003632FD"/>
    <w:rsid w:val="00372805"/>
    <w:rsid w:val="00373180"/>
    <w:rsid w:val="00375AB9"/>
    <w:rsid w:val="0037757F"/>
    <w:rsid w:val="003821A0"/>
    <w:rsid w:val="00385B04"/>
    <w:rsid w:val="003864CF"/>
    <w:rsid w:val="003948AE"/>
    <w:rsid w:val="003A22A6"/>
    <w:rsid w:val="003A4A8D"/>
    <w:rsid w:val="003A5494"/>
    <w:rsid w:val="003B2510"/>
    <w:rsid w:val="003C01D9"/>
    <w:rsid w:val="003C1A81"/>
    <w:rsid w:val="003C2CC4"/>
    <w:rsid w:val="003C3710"/>
    <w:rsid w:val="003D6C0F"/>
    <w:rsid w:val="003E0EFC"/>
    <w:rsid w:val="003E4A2B"/>
    <w:rsid w:val="003E76C2"/>
    <w:rsid w:val="003F1679"/>
    <w:rsid w:val="003F21EB"/>
    <w:rsid w:val="003F2CEA"/>
    <w:rsid w:val="003F4A35"/>
    <w:rsid w:val="003F7FDD"/>
    <w:rsid w:val="00402481"/>
    <w:rsid w:val="004042B4"/>
    <w:rsid w:val="00410DC4"/>
    <w:rsid w:val="00412DAE"/>
    <w:rsid w:val="004242E6"/>
    <w:rsid w:val="00426BF8"/>
    <w:rsid w:val="00431598"/>
    <w:rsid w:val="004319AD"/>
    <w:rsid w:val="00431FC1"/>
    <w:rsid w:val="004426B8"/>
    <w:rsid w:val="00444432"/>
    <w:rsid w:val="004702CD"/>
    <w:rsid w:val="00471860"/>
    <w:rsid w:val="00477026"/>
    <w:rsid w:val="0048162D"/>
    <w:rsid w:val="004A408F"/>
    <w:rsid w:val="004A46CD"/>
    <w:rsid w:val="004A744D"/>
    <w:rsid w:val="004B11CC"/>
    <w:rsid w:val="004B60BD"/>
    <w:rsid w:val="004B63E0"/>
    <w:rsid w:val="004C3150"/>
    <w:rsid w:val="004C3641"/>
    <w:rsid w:val="004C4390"/>
    <w:rsid w:val="004C4AF7"/>
    <w:rsid w:val="004D2881"/>
    <w:rsid w:val="004D385F"/>
    <w:rsid w:val="004D5B39"/>
    <w:rsid w:val="004E1C14"/>
    <w:rsid w:val="004E330D"/>
    <w:rsid w:val="004E5147"/>
    <w:rsid w:val="004E69B5"/>
    <w:rsid w:val="004F5C43"/>
    <w:rsid w:val="004F634E"/>
    <w:rsid w:val="0050652D"/>
    <w:rsid w:val="00506C03"/>
    <w:rsid w:val="00511A11"/>
    <w:rsid w:val="00516496"/>
    <w:rsid w:val="00523B11"/>
    <w:rsid w:val="0052572A"/>
    <w:rsid w:val="00532DFB"/>
    <w:rsid w:val="00543CB3"/>
    <w:rsid w:val="005442E4"/>
    <w:rsid w:val="00544738"/>
    <w:rsid w:val="0055529B"/>
    <w:rsid w:val="00560FF0"/>
    <w:rsid w:val="005614BD"/>
    <w:rsid w:val="00563080"/>
    <w:rsid w:val="0057154F"/>
    <w:rsid w:val="00580F69"/>
    <w:rsid w:val="00581CA3"/>
    <w:rsid w:val="00584BDD"/>
    <w:rsid w:val="00587A44"/>
    <w:rsid w:val="00596A1F"/>
    <w:rsid w:val="00597730"/>
    <w:rsid w:val="005977EC"/>
    <w:rsid w:val="00597DE7"/>
    <w:rsid w:val="005A4AA2"/>
    <w:rsid w:val="005A7928"/>
    <w:rsid w:val="005B34B6"/>
    <w:rsid w:val="005B6C8F"/>
    <w:rsid w:val="005B6EC3"/>
    <w:rsid w:val="005C515F"/>
    <w:rsid w:val="005D0F74"/>
    <w:rsid w:val="005D2E7D"/>
    <w:rsid w:val="005D4A8F"/>
    <w:rsid w:val="005D561B"/>
    <w:rsid w:val="005D5ECF"/>
    <w:rsid w:val="005D66D9"/>
    <w:rsid w:val="005F468D"/>
    <w:rsid w:val="005F69A3"/>
    <w:rsid w:val="00604CC7"/>
    <w:rsid w:val="00615423"/>
    <w:rsid w:val="006165B2"/>
    <w:rsid w:val="006165F0"/>
    <w:rsid w:val="00617276"/>
    <w:rsid w:val="0062527B"/>
    <w:rsid w:val="00625D97"/>
    <w:rsid w:val="00625F1C"/>
    <w:rsid w:val="006279E1"/>
    <w:rsid w:val="00630CEB"/>
    <w:rsid w:val="00632264"/>
    <w:rsid w:val="006470BC"/>
    <w:rsid w:val="006554D3"/>
    <w:rsid w:val="00667036"/>
    <w:rsid w:val="00667E9C"/>
    <w:rsid w:val="00670070"/>
    <w:rsid w:val="00671F0E"/>
    <w:rsid w:val="00673BDB"/>
    <w:rsid w:val="00674341"/>
    <w:rsid w:val="006771B8"/>
    <w:rsid w:val="006843B6"/>
    <w:rsid w:val="0068481F"/>
    <w:rsid w:val="00696F5D"/>
    <w:rsid w:val="00697249"/>
    <w:rsid w:val="006B3947"/>
    <w:rsid w:val="006B4293"/>
    <w:rsid w:val="006B624F"/>
    <w:rsid w:val="006C0C95"/>
    <w:rsid w:val="006C31E3"/>
    <w:rsid w:val="006D18D3"/>
    <w:rsid w:val="006E08CB"/>
    <w:rsid w:val="006E598D"/>
    <w:rsid w:val="0070437D"/>
    <w:rsid w:val="00704CF1"/>
    <w:rsid w:val="00705B04"/>
    <w:rsid w:val="00706ED4"/>
    <w:rsid w:val="00724992"/>
    <w:rsid w:val="00734820"/>
    <w:rsid w:val="007349DC"/>
    <w:rsid w:val="00740EAD"/>
    <w:rsid w:val="0074365E"/>
    <w:rsid w:val="00744B55"/>
    <w:rsid w:val="007515FD"/>
    <w:rsid w:val="00760D80"/>
    <w:rsid w:val="00777896"/>
    <w:rsid w:val="00780C09"/>
    <w:rsid w:val="00780DDF"/>
    <w:rsid w:val="007834E9"/>
    <w:rsid w:val="00787DBC"/>
    <w:rsid w:val="0079019A"/>
    <w:rsid w:val="00792935"/>
    <w:rsid w:val="007A04A1"/>
    <w:rsid w:val="007A1840"/>
    <w:rsid w:val="007C0528"/>
    <w:rsid w:val="007C3D38"/>
    <w:rsid w:val="007D0F35"/>
    <w:rsid w:val="007D4FEB"/>
    <w:rsid w:val="007D6146"/>
    <w:rsid w:val="007E0CE7"/>
    <w:rsid w:val="007F067B"/>
    <w:rsid w:val="007F1193"/>
    <w:rsid w:val="007F417F"/>
    <w:rsid w:val="007F7644"/>
    <w:rsid w:val="008042BD"/>
    <w:rsid w:val="008132EB"/>
    <w:rsid w:val="00816624"/>
    <w:rsid w:val="00821270"/>
    <w:rsid w:val="00822427"/>
    <w:rsid w:val="00822562"/>
    <w:rsid w:val="008231D8"/>
    <w:rsid w:val="00823663"/>
    <w:rsid w:val="008240DA"/>
    <w:rsid w:val="00832DDC"/>
    <w:rsid w:val="00850BAC"/>
    <w:rsid w:val="00853206"/>
    <w:rsid w:val="00854A3E"/>
    <w:rsid w:val="00855D08"/>
    <w:rsid w:val="00872B62"/>
    <w:rsid w:val="00874344"/>
    <w:rsid w:val="00882155"/>
    <w:rsid w:val="0088233B"/>
    <w:rsid w:val="0088599E"/>
    <w:rsid w:val="00886C37"/>
    <w:rsid w:val="00890DE6"/>
    <w:rsid w:val="00892ACF"/>
    <w:rsid w:val="00892D99"/>
    <w:rsid w:val="00893315"/>
    <w:rsid w:val="008A3101"/>
    <w:rsid w:val="008B62AE"/>
    <w:rsid w:val="008C04B5"/>
    <w:rsid w:val="008C14FA"/>
    <w:rsid w:val="008C7B0B"/>
    <w:rsid w:val="008D4057"/>
    <w:rsid w:val="008E1F19"/>
    <w:rsid w:val="008F19EF"/>
    <w:rsid w:val="008F2262"/>
    <w:rsid w:val="008F4D2B"/>
    <w:rsid w:val="008F7736"/>
    <w:rsid w:val="0090019E"/>
    <w:rsid w:val="00901086"/>
    <w:rsid w:val="00901C8A"/>
    <w:rsid w:val="00905886"/>
    <w:rsid w:val="009070D6"/>
    <w:rsid w:val="009076C6"/>
    <w:rsid w:val="0091019E"/>
    <w:rsid w:val="009106F1"/>
    <w:rsid w:val="00912404"/>
    <w:rsid w:val="009145D6"/>
    <w:rsid w:val="00920E64"/>
    <w:rsid w:val="00922002"/>
    <w:rsid w:val="00923B97"/>
    <w:rsid w:val="00924020"/>
    <w:rsid w:val="009271A7"/>
    <w:rsid w:val="009310B4"/>
    <w:rsid w:val="0093658B"/>
    <w:rsid w:val="009429FF"/>
    <w:rsid w:val="00945BD6"/>
    <w:rsid w:val="009479FB"/>
    <w:rsid w:val="009509FE"/>
    <w:rsid w:val="00951C45"/>
    <w:rsid w:val="009656F2"/>
    <w:rsid w:val="00966A08"/>
    <w:rsid w:val="00966FE1"/>
    <w:rsid w:val="00971207"/>
    <w:rsid w:val="00975CB4"/>
    <w:rsid w:val="009863B0"/>
    <w:rsid w:val="00987DE1"/>
    <w:rsid w:val="00990571"/>
    <w:rsid w:val="0099673A"/>
    <w:rsid w:val="00997F41"/>
    <w:rsid w:val="009A3330"/>
    <w:rsid w:val="009A7C96"/>
    <w:rsid w:val="009C3DB9"/>
    <w:rsid w:val="009D46E5"/>
    <w:rsid w:val="009D568A"/>
    <w:rsid w:val="009E1B70"/>
    <w:rsid w:val="009F04EC"/>
    <w:rsid w:val="009F0AB4"/>
    <w:rsid w:val="009F2932"/>
    <w:rsid w:val="009F2A7C"/>
    <w:rsid w:val="009F3B36"/>
    <w:rsid w:val="00A019B9"/>
    <w:rsid w:val="00A12508"/>
    <w:rsid w:val="00A1282B"/>
    <w:rsid w:val="00A13A27"/>
    <w:rsid w:val="00A15F40"/>
    <w:rsid w:val="00A175B6"/>
    <w:rsid w:val="00A21835"/>
    <w:rsid w:val="00A225B1"/>
    <w:rsid w:val="00A2374B"/>
    <w:rsid w:val="00A25F3F"/>
    <w:rsid w:val="00A27D6E"/>
    <w:rsid w:val="00A317A8"/>
    <w:rsid w:val="00A328EC"/>
    <w:rsid w:val="00A33A51"/>
    <w:rsid w:val="00A340FA"/>
    <w:rsid w:val="00A36728"/>
    <w:rsid w:val="00A41CA6"/>
    <w:rsid w:val="00A47927"/>
    <w:rsid w:val="00A47FFC"/>
    <w:rsid w:val="00A5442F"/>
    <w:rsid w:val="00A54FF9"/>
    <w:rsid w:val="00A56765"/>
    <w:rsid w:val="00A606AC"/>
    <w:rsid w:val="00A631B5"/>
    <w:rsid w:val="00A646E4"/>
    <w:rsid w:val="00A675AC"/>
    <w:rsid w:val="00A72607"/>
    <w:rsid w:val="00A7581F"/>
    <w:rsid w:val="00A92FB1"/>
    <w:rsid w:val="00A95A0C"/>
    <w:rsid w:val="00AA0216"/>
    <w:rsid w:val="00AA1EE4"/>
    <w:rsid w:val="00AA2765"/>
    <w:rsid w:val="00AA3BEB"/>
    <w:rsid w:val="00AA4613"/>
    <w:rsid w:val="00AA77B5"/>
    <w:rsid w:val="00AB50AA"/>
    <w:rsid w:val="00AB5531"/>
    <w:rsid w:val="00AB6C5D"/>
    <w:rsid w:val="00AC3401"/>
    <w:rsid w:val="00AC51A7"/>
    <w:rsid w:val="00AD444B"/>
    <w:rsid w:val="00AD5614"/>
    <w:rsid w:val="00AD6C78"/>
    <w:rsid w:val="00AE2EAB"/>
    <w:rsid w:val="00AF5F89"/>
    <w:rsid w:val="00AF73CB"/>
    <w:rsid w:val="00B002D6"/>
    <w:rsid w:val="00B0227F"/>
    <w:rsid w:val="00B03379"/>
    <w:rsid w:val="00B057CD"/>
    <w:rsid w:val="00B05B51"/>
    <w:rsid w:val="00B14E5A"/>
    <w:rsid w:val="00B15370"/>
    <w:rsid w:val="00B16DA4"/>
    <w:rsid w:val="00B17BEB"/>
    <w:rsid w:val="00B21A3C"/>
    <w:rsid w:val="00B223C0"/>
    <w:rsid w:val="00B234ED"/>
    <w:rsid w:val="00B249B2"/>
    <w:rsid w:val="00B25CA3"/>
    <w:rsid w:val="00B2765A"/>
    <w:rsid w:val="00B3109A"/>
    <w:rsid w:val="00B34A54"/>
    <w:rsid w:val="00B516ED"/>
    <w:rsid w:val="00B57A6A"/>
    <w:rsid w:val="00B760F1"/>
    <w:rsid w:val="00B7669E"/>
    <w:rsid w:val="00B77DA1"/>
    <w:rsid w:val="00B822A0"/>
    <w:rsid w:val="00B858AE"/>
    <w:rsid w:val="00B85964"/>
    <w:rsid w:val="00B96250"/>
    <w:rsid w:val="00BA0D55"/>
    <w:rsid w:val="00BA1DF5"/>
    <w:rsid w:val="00BA37B3"/>
    <w:rsid w:val="00BA4CC6"/>
    <w:rsid w:val="00BB1F4A"/>
    <w:rsid w:val="00BB3493"/>
    <w:rsid w:val="00BB374F"/>
    <w:rsid w:val="00BB7468"/>
    <w:rsid w:val="00BC134A"/>
    <w:rsid w:val="00BC188A"/>
    <w:rsid w:val="00BC402E"/>
    <w:rsid w:val="00BD0F48"/>
    <w:rsid w:val="00BE6DDB"/>
    <w:rsid w:val="00BF5010"/>
    <w:rsid w:val="00C014E8"/>
    <w:rsid w:val="00C03D5F"/>
    <w:rsid w:val="00C13791"/>
    <w:rsid w:val="00C1683C"/>
    <w:rsid w:val="00C1740E"/>
    <w:rsid w:val="00C274BD"/>
    <w:rsid w:val="00C31BB3"/>
    <w:rsid w:val="00C31EC9"/>
    <w:rsid w:val="00C36977"/>
    <w:rsid w:val="00C467DA"/>
    <w:rsid w:val="00C477D9"/>
    <w:rsid w:val="00C60BA3"/>
    <w:rsid w:val="00C623F7"/>
    <w:rsid w:val="00C62A81"/>
    <w:rsid w:val="00C75BC5"/>
    <w:rsid w:val="00C81670"/>
    <w:rsid w:val="00C81773"/>
    <w:rsid w:val="00C82861"/>
    <w:rsid w:val="00C86896"/>
    <w:rsid w:val="00C907A8"/>
    <w:rsid w:val="00C93211"/>
    <w:rsid w:val="00C942EC"/>
    <w:rsid w:val="00C96047"/>
    <w:rsid w:val="00C979D0"/>
    <w:rsid w:val="00CA0818"/>
    <w:rsid w:val="00CA15C8"/>
    <w:rsid w:val="00CA2C8F"/>
    <w:rsid w:val="00CA30DA"/>
    <w:rsid w:val="00CA3A24"/>
    <w:rsid w:val="00CB1777"/>
    <w:rsid w:val="00CB33E9"/>
    <w:rsid w:val="00CC10A9"/>
    <w:rsid w:val="00CE2BF8"/>
    <w:rsid w:val="00CE2CF3"/>
    <w:rsid w:val="00CE484E"/>
    <w:rsid w:val="00CE656F"/>
    <w:rsid w:val="00CF0DA8"/>
    <w:rsid w:val="00CF2E25"/>
    <w:rsid w:val="00CF4453"/>
    <w:rsid w:val="00CF4F3E"/>
    <w:rsid w:val="00CF5D94"/>
    <w:rsid w:val="00CF7E0F"/>
    <w:rsid w:val="00D00C07"/>
    <w:rsid w:val="00D034D7"/>
    <w:rsid w:val="00D04BE4"/>
    <w:rsid w:val="00D0694B"/>
    <w:rsid w:val="00D06FC7"/>
    <w:rsid w:val="00D12565"/>
    <w:rsid w:val="00D14127"/>
    <w:rsid w:val="00D204A1"/>
    <w:rsid w:val="00D60B16"/>
    <w:rsid w:val="00D60F02"/>
    <w:rsid w:val="00D66E49"/>
    <w:rsid w:val="00D70D71"/>
    <w:rsid w:val="00D72F74"/>
    <w:rsid w:val="00D81563"/>
    <w:rsid w:val="00D853C6"/>
    <w:rsid w:val="00D85907"/>
    <w:rsid w:val="00D9073E"/>
    <w:rsid w:val="00D9221D"/>
    <w:rsid w:val="00D958DF"/>
    <w:rsid w:val="00D96DA1"/>
    <w:rsid w:val="00D973DE"/>
    <w:rsid w:val="00DA51E7"/>
    <w:rsid w:val="00DB0260"/>
    <w:rsid w:val="00DB1C78"/>
    <w:rsid w:val="00DB7358"/>
    <w:rsid w:val="00DB7D96"/>
    <w:rsid w:val="00DC23FE"/>
    <w:rsid w:val="00DC59E6"/>
    <w:rsid w:val="00DC5D78"/>
    <w:rsid w:val="00DD0D33"/>
    <w:rsid w:val="00DD150B"/>
    <w:rsid w:val="00DD5025"/>
    <w:rsid w:val="00DF1510"/>
    <w:rsid w:val="00DF6790"/>
    <w:rsid w:val="00DF6DE3"/>
    <w:rsid w:val="00E02F1F"/>
    <w:rsid w:val="00E06484"/>
    <w:rsid w:val="00E20A7D"/>
    <w:rsid w:val="00E275D8"/>
    <w:rsid w:val="00E30F6A"/>
    <w:rsid w:val="00E3117C"/>
    <w:rsid w:val="00E363A0"/>
    <w:rsid w:val="00E375CA"/>
    <w:rsid w:val="00E4584A"/>
    <w:rsid w:val="00E47FB9"/>
    <w:rsid w:val="00E5364F"/>
    <w:rsid w:val="00E567E8"/>
    <w:rsid w:val="00E64679"/>
    <w:rsid w:val="00E65EBC"/>
    <w:rsid w:val="00E677FE"/>
    <w:rsid w:val="00E73432"/>
    <w:rsid w:val="00E77B0C"/>
    <w:rsid w:val="00E77FB8"/>
    <w:rsid w:val="00E838B0"/>
    <w:rsid w:val="00E86A7C"/>
    <w:rsid w:val="00E878E1"/>
    <w:rsid w:val="00E87F2C"/>
    <w:rsid w:val="00E95278"/>
    <w:rsid w:val="00EA2273"/>
    <w:rsid w:val="00EA7C3C"/>
    <w:rsid w:val="00EB2DB3"/>
    <w:rsid w:val="00EC3FBB"/>
    <w:rsid w:val="00EC6B7A"/>
    <w:rsid w:val="00ED3A87"/>
    <w:rsid w:val="00ED5B67"/>
    <w:rsid w:val="00EF264C"/>
    <w:rsid w:val="00EF3FEE"/>
    <w:rsid w:val="00F04B59"/>
    <w:rsid w:val="00F11741"/>
    <w:rsid w:val="00F12B1C"/>
    <w:rsid w:val="00F13CF8"/>
    <w:rsid w:val="00F1582E"/>
    <w:rsid w:val="00F15855"/>
    <w:rsid w:val="00F200B2"/>
    <w:rsid w:val="00F227DC"/>
    <w:rsid w:val="00F32978"/>
    <w:rsid w:val="00F346B5"/>
    <w:rsid w:val="00F45CB2"/>
    <w:rsid w:val="00F544C0"/>
    <w:rsid w:val="00F55332"/>
    <w:rsid w:val="00F6504A"/>
    <w:rsid w:val="00F65519"/>
    <w:rsid w:val="00F65DF8"/>
    <w:rsid w:val="00F713C0"/>
    <w:rsid w:val="00F75DDC"/>
    <w:rsid w:val="00F7792F"/>
    <w:rsid w:val="00F842AA"/>
    <w:rsid w:val="00F8476F"/>
    <w:rsid w:val="00F853E1"/>
    <w:rsid w:val="00F85604"/>
    <w:rsid w:val="00F94B7A"/>
    <w:rsid w:val="00FA17AC"/>
    <w:rsid w:val="00FA32DE"/>
    <w:rsid w:val="00FA3382"/>
    <w:rsid w:val="00FA59CD"/>
    <w:rsid w:val="00FA5C7D"/>
    <w:rsid w:val="00FB1740"/>
    <w:rsid w:val="00FC5469"/>
    <w:rsid w:val="00FC6D7D"/>
    <w:rsid w:val="00FD16B0"/>
    <w:rsid w:val="00FD4FED"/>
    <w:rsid w:val="00FE0577"/>
    <w:rsid w:val="00FE59EC"/>
    <w:rsid w:val="00FE5B67"/>
    <w:rsid w:val="00FE60D6"/>
    <w:rsid w:val="00FF56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5:docId w15:val="{1819F304-D4D1-4080-A8E3-3847CBFDC2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link w:val="FootnoteTextChar"/>
    <w:uiPriority w:val="99"/>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styleId="FootnoteReference">
    <w:name w:val="footnote reference"/>
    <w:basedOn w:val="DefaultParagraphFont"/>
    <w:uiPriority w:val="99"/>
    <w:unhideWhenUsed/>
    <w:rsid w:val="004F634E"/>
    <w:rPr>
      <w:vertAlign w:val="superscript"/>
    </w:rPr>
  </w:style>
  <w:style w:type="character" w:customStyle="1" w:styleId="FootnoteTextChar">
    <w:name w:val="Footnote Text Char"/>
    <w:basedOn w:val="DefaultParagraphFont"/>
    <w:link w:val="FootnoteText"/>
    <w:uiPriority w:val="99"/>
    <w:rsid w:val="002F32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532793">
      <w:bodyDiv w:val="1"/>
      <w:marLeft w:val="0"/>
      <w:marRight w:val="0"/>
      <w:marTop w:val="0"/>
      <w:marBottom w:val="0"/>
      <w:divBdr>
        <w:top w:val="none" w:sz="0" w:space="0" w:color="auto"/>
        <w:left w:val="none" w:sz="0" w:space="0" w:color="auto"/>
        <w:bottom w:val="none" w:sz="0" w:space="0" w:color="auto"/>
        <w:right w:val="none" w:sz="0" w:space="0" w:color="auto"/>
      </w:divBdr>
    </w:div>
    <w:div w:id="149492428">
      <w:bodyDiv w:val="1"/>
      <w:marLeft w:val="0"/>
      <w:marRight w:val="0"/>
      <w:marTop w:val="0"/>
      <w:marBottom w:val="0"/>
      <w:divBdr>
        <w:top w:val="none" w:sz="0" w:space="0" w:color="auto"/>
        <w:left w:val="none" w:sz="0" w:space="0" w:color="auto"/>
        <w:bottom w:val="none" w:sz="0" w:space="0" w:color="auto"/>
        <w:right w:val="none" w:sz="0" w:space="0" w:color="auto"/>
      </w:divBdr>
    </w:div>
    <w:div w:id="752508883">
      <w:bodyDiv w:val="1"/>
      <w:marLeft w:val="0"/>
      <w:marRight w:val="0"/>
      <w:marTop w:val="0"/>
      <w:marBottom w:val="0"/>
      <w:divBdr>
        <w:top w:val="none" w:sz="0" w:space="0" w:color="auto"/>
        <w:left w:val="none" w:sz="0" w:space="0" w:color="auto"/>
        <w:bottom w:val="none" w:sz="0" w:space="0" w:color="auto"/>
        <w:right w:val="none" w:sz="0" w:space="0" w:color="auto"/>
      </w:divBdr>
    </w:div>
    <w:div w:id="1395813245">
      <w:bodyDiv w:val="1"/>
      <w:marLeft w:val="0"/>
      <w:marRight w:val="0"/>
      <w:marTop w:val="0"/>
      <w:marBottom w:val="0"/>
      <w:divBdr>
        <w:top w:val="none" w:sz="0" w:space="0" w:color="auto"/>
        <w:left w:val="none" w:sz="0" w:space="0" w:color="auto"/>
        <w:bottom w:val="none" w:sz="0" w:space="0" w:color="auto"/>
        <w:right w:val="none" w:sz="0" w:space="0" w:color="auto"/>
      </w:divBdr>
    </w:div>
    <w:div w:id="1482118907">
      <w:bodyDiv w:val="1"/>
      <w:marLeft w:val="0"/>
      <w:marRight w:val="0"/>
      <w:marTop w:val="0"/>
      <w:marBottom w:val="0"/>
      <w:divBdr>
        <w:top w:val="none" w:sz="0" w:space="0" w:color="auto"/>
        <w:left w:val="none" w:sz="0" w:space="0" w:color="auto"/>
        <w:bottom w:val="none" w:sz="0" w:space="0" w:color="auto"/>
        <w:right w:val="none" w:sz="0" w:space="0" w:color="auto"/>
      </w:divBdr>
    </w:div>
    <w:div w:id="1485394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4.xml"/><Relationship Id="rId18" Type="http://schemas.openxmlformats.org/officeDocument/2006/relationships/header" Target="header7.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5.jp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6.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image" Target="media/image4.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10.xml"/><Relationship Id="rId5" Type="http://schemas.openxmlformats.org/officeDocument/2006/relationships/webSettings" Target="webSettings.xml"/><Relationship Id="rId15" Type="http://schemas.openxmlformats.org/officeDocument/2006/relationships/image" Target="media/image2.jpg"/><Relationship Id="rId23" Type="http://schemas.openxmlformats.org/officeDocument/2006/relationships/header" Target="header9.xml"/><Relationship Id="rId10" Type="http://schemas.openxmlformats.org/officeDocument/2006/relationships/footer" Target="footer1.xml"/><Relationship Id="rId19"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2.xml"/><Relationship Id="rId22" Type="http://schemas.openxmlformats.org/officeDocument/2006/relationships/header" Target="header8.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Recommendation%20(Regula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467465-BBB8-4955-8CD8-1AF11FC3A8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Recommendation (Regular)</Template>
  <TotalTime>0</TotalTime>
  <Pages>18</Pages>
  <Words>4234</Words>
  <Characters>23299</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Recommendation</vt:lpstr>
    </vt:vector>
  </TitlesOfParts>
  <Company>Florida Public Service Commission</Company>
  <LinksUpToDate>false</LinksUpToDate>
  <CharactersWithSpaces>27479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dc:title>
  <dc:creator>Devlin Higgins</dc:creator>
  <cp:lastModifiedBy>Sara Boyer</cp:lastModifiedBy>
  <cp:revision>2</cp:revision>
  <cp:lastPrinted>2021-03-14T15:23:00Z</cp:lastPrinted>
  <dcterms:created xsi:type="dcterms:W3CDTF">2021-03-19T12:19:00Z</dcterms:created>
  <dcterms:modified xsi:type="dcterms:W3CDTF">2021-03-19T12:19:00Z</dcterms:modified>
  <cp:category>recommendation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ketList">
    <vt:lpwstr>20210001-EI</vt:lpwstr>
  </property>
  <property fmtid="{D5CDD505-2E9C-101B-9397-08002B2CF9AE}" pid="3" name="MasterDocument">
    <vt:bool>false</vt:bool>
  </property>
</Properties>
</file>