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F6ED1">
            <w:pPr>
              <w:pStyle w:val="MemoHeading"/>
            </w:pPr>
            <w:bookmarkStart w:id="1" w:name="FilingDate"/>
            <w:r>
              <w:t>April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6ED1" w:rsidRDefault="004F6ED1">
            <w:pPr>
              <w:pStyle w:val="MemoHeading"/>
            </w:pPr>
            <w:bookmarkStart w:id="2" w:name="From"/>
            <w:r>
              <w:t>Division of Economics (Coston, Smith II)</w:t>
            </w:r>
          </w:p>
          <w:p w:rsidR="007C0528" w:rsidRDefault="004F6ED1">
            <w:pPr>
              <w:pStyle w:val="MemoHeading"/>
            </w:pPr>
            <w:r>
              <w:t>Office of the General Counsel (Murphy, Passidomo)</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6ED1">
            <w:pPr>
              <w:pStyle w:val="MemoHeadingRe"/>
            </w:pPr>
            <w:bookmarkStart w:id="3" w:name="Re"/>
            <w:r>
              <w:t>Docket No. 20210034-EI – Petition for rate increase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F6ED1" w:rsidP="00B505E5">
            <w:pPr>
              <w:pStyle w:val="MemoHeading"/>
            </w:pPr>
            <w:bookmarkStart w:id="4" w:name="AgendaDate"/>
            <w:r>
              <w:t>05/04/21</w:t>
            </w:r>
            <w:bookmarkEnd w:id="4"/>
            <w:r w:rsidR="007C0528">
              <w:t xml:space="preserve"> – </w:t>
            </w:r>
            <w:bookmarkStart w:id="5" w:name="PermittedStatus"/>
            <w:r w:rsidR="00B505E5" w:rsidRPr="00EC6307">
              <w:t>Regular Agenda –Tariff Suspension –Participation is at the discretion of the Commission</w:t>
            </w:r>
            <w:r w:rsidR="00B505E5">
              <w:t xml:space="preserve">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6ED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6ED1">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F6ED1">
            <w:pPr>
              <w:pStyle w:val="MemoHeading"/>
            </w:pPr>
            <w:bookmarkStart w:id="9" w:name="CriticalDates"/>
            <w:r>
              <w:t>06/08/21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F6ED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D0146" w:rsidRPr="00225CD6" w:rsidRDefault="001903BC" w:rsidP="00327F81">
      <w:pPr>
        <w:tabs>
          <w:tab w:val="left" w:pos="-720"/>
        </w:tabs>
        <w:jc w:val="both"/>
      </w:pPr>
      <w:r>
        <w:t>O</w:t>
      </w:r>
      <w:r w:rsidR="008D0146" w:rsidRPr="00225CD6">
        <w:t xml:space="preserve">n </w:t>
      </w:r>
      <w:r w:rsidR="008D0146">
        <w:t>April 9, 2021,</w:t>
      </w:r>
      <w:r w:rsidR="008D0146" w:rsidRPr="00225CD6">
        <w:t xml:space="preserve"> </w:t>
      </w:r>
      <w:r w:rsidR="008D0146">
        <w:t>Tampa Electric Company</w:t>
      </w:r>
      <w:r w:rsidR="008D0146" w:rsidRPr="00225CD6">
        <w:t xml:space="preserve"> (</w:t>
      </w:r>
      <w:r w:rsidR="008D0146">
        <w:t>TECO</w:t>
      </w:r>
      <w:r w:rsidR="008D0146" w:rsidRPr="00225CD6">
        <w:t xml:space="preserve"> or Company)</w:t>
      </w:r>
      <w:r>
        <w:t xml:space="preserve"> filed its </w:t>
      </w:r>
      <w:r w:rsidRPr="00225CD6">
        <w:t>petition for a permanent rate increase</w:t>
      </w:r>
      <w:r>
        <w:t>.</w:t>
      </w:r>
      <w:r w:rsidR="008D0146" w:rsidRPr="00225CD6">
        <w:t xml:space="preserve"> </w:t>
      </w:r>
      <w:r w:rsidR="008D0146">
        <w:t>TECO</w:t>
      </w:r>
      <w:r w:rsidR="008D0146" w:rsidRPr="00225CD6">
        <w:t xml:space="preserve"> provides electric service to </w:t>
      </w:r>
      <w:r w:rsidR="00327F81">
        <w:t>approximately</w:t>
      </w:r>
      <w:r w:rsidR="008D0146" w:rsidRPr="00225CD6">
        <w:t xml:space="preserve"> </w:t>
      </w:r>
      <w:r w:rsidR="001555E5">
        <w:t>800,000</w:t>
      </w:r>
      <w:r w:rsidR="008D0146" w:rsidRPr="00225CD6">
        <w:t xml:space="preserve"> retail customers in </w:t>
      </w:r>
      <w:r w:rsidR="00327F81">
        <w:t>Hillsborough and portions of Polk, Pasco, and Pinellas counties</w:t>
      </w:r>
      <w:r w:rsidR="00AC081E">
        <w:t>.</w:t>
      </w:r>
    </w:p>
    <w:p w:rsidR="008D0146" w:rsidRPr="00225CD6" w:rsidRDefault="008D0146" w:rsidP="008D0146">
      <w:pPr>
        <w:tabs>
          <w:tab w:val="left" w:pos="-720"/>
        </w:tabs>
        <w:ind w:firstLine="720"/>
        <w:jc w:val="both"/>
      </w:pPr>
    </w:p>
    <w:p w:rsidR="001903BC" w:rsidRDefault="008D0146" w:rsidP="0017559A">
      <w:pPr>
        <w:tabs>
          <w:tab w:val="left" w:pos="-720"/>
        </w:tabs>
        <w:jc w:val="both"/>
      </w:pPr>
      <w:r>
        <w:t>TECO</w:t>
      </w:r>
      <w:r w:rsidRPr="00225CD6">
        <w:t xml:space="preserve"> has requested an increase in its retail rates and charges to generate $</w:t>
      </w:r>
      <w:r w:rsidR="00327F81">
        <w:t>29</w:t>
      </w:r>
      <w:r w:rsidR="00650601">
        <w:t>5</w:t>
      </w:r>
      <w:r w:rsidRPr="00225CD6">
        <w:t xml:space="preserve"> million in additional gross annual revenues, effective January </w:t>
      </w:r>
      <w:r>
        <w:t>1, 2022</w:t>
      </w:r>
      <w:r w:rsidRPr="00225CD6">
        <w:t>.</w:t>
      </w:r>
      <w:r>
        <w:t xml:space="preserve"> The Company also has </w:t>
      </w:r>
      <w:r w:rsidRPr="00225CD6">
        <w:t>requested an increase in its retail rates and charges to generate $</w:t>
      </w:r>
      <w:r w:rsidR="00327F81">
        <w:t>102</w:t>
      </w:r>
      <w:r w:rsidRPr="00225CD6">
        <w:t xml:space="preserve"> million in additional gross annual revenues, effective January </w:t>
      </w:r>
      <w:r>
        <w:t>1</w:t>
      </w:r>
      <w:r w:rsidRPr="00225CD6">
        <w:t>, 20</w:t>
      </w:r>
      <w:r w:rsidR="00327F81">
        <w:t>23 and $2</w:t>
      </w:r>
      <w:r w:rsidR="00057E96">
        <w:t>6</w:t>
      </w:r>
      <w:r w:rsidR="00327F81">
        <w:t xml:space="preserve"> million in additional </w:t>
      </w:r>
      <w:r w:rsidR="0017559A">
        <w:t>gross</w:t>
      </w:r>
      <w:r w:rsidR="00327F81">
        <w:t xml:space="preserve"> annual revenues, effective </w:t>
      </w:r>
      <w:r w:rsidR="0017559A">
        <w:t>January</w:t>
      </w:r>
      <w:r w:rsidR="00327F81">
        <w:t xml:space="preserve"> 1, 2024</w:t>
      </w:r>
      <w:r w:rsidR="00BB2E71">
        <w:t>.</w:t>
      </w:r>
      <w:r w:rsidRPr="00225CD6">
        <w:t xml:space="preserve"> </w:t>
      </w:r>
      <w:r w:rsidR="0017559A">
        <w:t>T</w:t>
      </w:r>
      <w:r w:rsidR="001903BC">
        <w:t>ECO</w:t>
      </w:r>
      <w:r w:rsidR="00CF6579" w:rsidRPr="00CF6579">
        <w:t xml:space="preserve"> requests that it also be allowed an overall rate of return of</w:t>
      </w:r>
      <w:r w:rsidR="0017559A">
        <w:t xml:space="preserve"> </w:t>
      </w:r>
      <w:r w:rsidR="00CF6579" w:rsidRPr="00CF6579">
        <w:t xml:space="preserve">6.67 percent, which </w:t>
      </w:r>
      <w:r w:rsidR="00CF6579" w:rsidRPr="00830FCE">
        <w:t>equals</w:t>
      </w:r>
      <w:r w:rsidR="00CF6579" w:rsidRPr="00CF6579">
        <w:t xml:space="preserve"> </w:t>
      </w:r>
      <w:r w:rsidR="001903BC">
        <w:t>the Company’s</w:t>
      </w:r>
      <w:r w:rsidR="00CF6579" w:rsidRPr="00CF6579">
        <w:t xml:space="preserve"> total cost of capital, including a return on common</w:t>
      </w:r>
      <w:r w:rsidR="0017559A">
        <w:t xml:space="preserve"> </w:t>
      </w:r>
      <w:r w:rsidR="00CF6579" w:rsidRPr="00CF6579">
        <w:t>equity of 10.75 percent</w:t>
      </w:r>
      <w:r w:rsidR="0017559A">
        <w:t>.</w:t>
      </w:r>
      <w:r>
        <w:t xml:space="preserve"> </w:t>
      </w:r>
      <w:r w:rsidR="0017559A">
        <w:t xml:space="preserve">In addition, TECO requests to </w:t>
      </w:r>
      <w:r w:rsidR="0017559A" w:rsidRPr="0017559A">
        <w:t xml:space="preserve">continue implementing the Asset Optimization </w:t>
      </w:r>
      <w:r w:rsidR="0017559A" w:rsidRPr="0017559A">
        <w:lastRenderedPageBreak/>
        <w:t>Program</w:t>
      </w:r>
      <w:r w:rsidR="0017559A">
        <w:t xml:space="preserve"> </w:t>
      </w:r>
      <w:r w:rsidR="0017559A" w:rsidRPr="0017559A">
        <w:t>contained in the 2017</w:t>
      </w:r>
      <w:r w:rsidR="00743D90">
        <w:t xml:space="preserve"> </w:t>
      </w:r>
      <w:r w:rsidR="00185475" w:rsidRPr="00185475">
        <w:t>amended and restated stipulation and settlement agreemen</w:t>
      </w:r>
      <w:r w:rsidR="00185475">
        <w:t>t</w:t>
      </w:r>
      <w:r w:rsidR="00185475" w:rsidRPr="00185475">
        <w:t xml:space="preserve"> </w:t>
      </w:r>
      <w:r w:rsidR="00185475">
        <w:t xml:space="preserve">(2017 </w:t>
      </w:r>
      <w:r w:rsidR="0017559A" w:rsidRPr="0017559A">
        <w:t>Agreement</w:t>
      </w:r>
      <w:r w:rsidR="0017559A">
        <w:t>.</w:t>
      </w:r>
      <w:r w:rsidR="00185475">
        <w:t>)</w:t>
      </w:r>
      <w:r w:rsidR="00185475" w:rsidRPr="00185475">
        <w:rPr>
          <w:rStyle w:val="FootnoteReference"/>
        </w:rPr>
        <w:t xml:space="preserve"> </w:t>
      </w:r>
      <w:r w:rsidR="00185475">
        <w:rPr>
          <w:rStyle w:val="FootnoteReference"/>
        </w:rPr>
        <w:footnoteReference w:id="1"/>
      </w:r>
    </w:p>
    <w:p w:rsidR="00185475" w:rsidRDefault="00185475" w:rsidP="0017559A">
      <w:pPr>
        <w:tabs>
          <w:tab w:val="left" w:pos="-720"/>
        </w:tabs>
        <w:jc w:val="both"/>
      </w:pPr>
    </w:p>
    <w:p w:rsidR="008D0146" w:rsidRPr="00225CD6" w:rsidRDefault="008D0146" w:rsidP="0017559A">
      <w:pPr>
        <w:tabs>
          <w:tab w:val="left" w:pos="-720"/>
        </w:tabs>
        <w:jc w:val="both"/>
      </w:pPr>
      <w:r w:rsidRPr="00225CD6">
        <w:t>The Company based its request</w:t>
      </w:r>
      <w:r>
        <w:t>s</w:t>
      </w:r>
      <w:r w:rsidRPr="00225CD6">
        <w:t xml:space="preserve"> on</w:t>
      </w:r>
      <w:r w:rsidR="001903BC">
        <w:t xml:space="preserve"> a</w:t>
      </w:r>
      <w:r w:rsidRPr="00225CD6">
        <w:t xml:space="preserve"> </w:t>
      </w:r>
      <w:r w:rsidR="0017559A" w:rsidRPr="0017559A">
        <w:t>projected test period of January 1, 2022 through</w:t>
      </w:r>
      <w:r w:rsidR="0017559A">
        <w:t xml:space="preserve"> </w:t>
      </w:r>
      <w:r w:rsidR="0017559A" w:rsidRPr="0017559A">
        <w:t>December 31, 2022</w:t>
      </w:r>
      <w:r>
        <w:t>.</w:t>
      </w:r>
      <w:r w:rsidRPr="00225CD6">
        <w:t xml:space="preserve"> In total, the Company is requesting a $</w:t>
      </w:r>
      <w:r w:rsidR="00CF6579">
        <w:t>42</w:t>
      </w:r>
      <w:r w:rsidR="00057E96">
        <w:t>3</w:t>
      </w:r>
      <w:r>
        <w:t xml:space="preserve"> </w:t>
      </w:r>
      <w:r w:rsidR="00CF6579">
        <w:t>million</w:t>
      </w:r>
      <w:r w:rsidRPr="00225CD6">
        <w:t xml:space="preserve"> base rate increase. </w:t>
      </w:r>
      <w:r w:rsidR="00CF6579">
        <w:t>TECO</w:t>
      </w:r>
      <w:r w:rsidRPr="00225CD6">
        <w:t xml:space="preserve"> did not request interim rate relief.</w:t>
      </w:r>
    </w:p>
    <w:p w:rsidR="008D0146" w:rsidRDefault="008D0146" w:rsidP="008D0146">
      <w:pPr>
        <w:tabs>
          <w:tab w:val="left" w:pos="-720"/>
        </w:tabs>
        <w:jc w:val="both"/>
      </w:pPr>
    </w:p>
    <w:p w:rsidR="007808CF" w:rsidRPr="00ED61A0" w:rsidRDefault="007808CF" w:rsidP="007808CF">
      <w:pPr>
        <w:jc w:val="both"/>
      </w:pPr>
      <w:r w:rsidRPr="00ED61A0">
        <w:t>TECO’s last base rate hearing was in 2013, resolved by settlement</w:t>
      </w:r>
      <w:r w:rsidR="00743D90">
        <w:t xml:space="preserve"> (2013 Agreement)</w:t>
      </w:r>
      <w:r w:rsidRPr="00ED61A0">
        <w:t>, which allowed a total base</w:t>
      </w:r>
      <w:r w:rsidR="00035711">
        <w:t xml:space="preserve"> rate </w:t>
      </w:r>
      <w:r w:rsidRPr="00ED61A0">
        <w:t>increase of $70 million, including $57.5 million in 2013, $7.5 million in 2014, $5.0 million in 201</w:t>
      </w:r>
      <w:r>
        <w:t>5</w:t>
      </w:r>
      <w:r w:rsidRPr="00ED61A0">
        <w:t xml:space="preserve">, </w:t>
      </w:r>
      <w:r w:rsidR="002107BE">
        <w:t>plus a</w:t>
      </w:r>
      <w:r w:rsidR="00035711">
        <w:t>n additional</w:t>
      </w:r>
      <w:r w:rsidRPr="00ED61A0">
        <w:t xml:space="preserve"> $110 million </w:t>
      </w:r>
      <w:r w:rsidR="00830FCE">
        <w:t>generation base rate adjustment (</w:t>
      </w:r>
      <w:r w:rsidRPr="00ED61A0">
        <w:t>GBRA</w:t>
      </w:r>
      <w:r w:rsidR="00830FCE">
        <w:t>)</w:t>
      </w:r>
      <w:r w:rsidRPr="00ED61A0">
        <w:t xml:space="preserve"> </w:t>
      </w:r>
      <w:r w:rsidR="002107BE">
        <w:t>associated with the</w:t>
      </w:r>
      <w:r w:rsidRPr="00ED61A0">
        <w:t xml:space="preserve"> Polk </w:t>
      </w:r>
      <w:r>
        <w:t>2-5 conversion</w:t>
      </w:r>
      <w:r w:rsidR="00035711">
        <w:t>,</w:t>
      </w:r>
      <w:r>
        <w:t xml:space="preserve"> effective 2017</w:t>
      </w:r>
      <w:r w:rsidRPr="00ED61A0">
        <w:t>.</w:t>
      </w:r>
      <w:r w:rsidRPr="00ED61A0">
        <w:rPr>
          <w:rStyle w:val="FootnoteReference"/>
        </w:rPr>
        <w:footnoteReference w:id="2"/>
      </w:r>
      <w:r w:rsidRPr="00ED61A0">
        <w:t xml:space="preserve"> The 2013 </w:t>
      </w:r>
      <w:r w:rsidR="00743D90">
        <w:t>A</w:t>
      </w:r>
      <w:r w:rsidR="002107BE">
        <w:t xml:space="preserve">greement </w:t>
      </w:r>
      <w:r w:rsidRPr="00ED61A0">
        <w:t xml:space="preserve">was followed by </w:t>
      </w:r>
      <w:r w:rsidR="00185475">
        <w:t>the</w:t>
      </w:r>
      <w:r w:rsidRPr="00ED61A0">
        <w:t xml:space="preserve"> </w:t>
      </w:r>
      <w:r w:rsidR="002107BE">
        <w:t>2017</w:t>
      </w:r>
      <w:r w:rsidR="00185475">
        <w:t xml:space="preserve"> Agreement</w:t>
      </w:r>
      <w:r w:rsidR="002107BE">
        <w:t>,</w:t>
      </w:r>
      <w:r w:rsidRPr="00ED61A0">
        <w:t xml:space="preserve"> which allowed a cumulative r</w:t>
      </w:r>
      <w:r w:rsidR="002107BE">
        <w:t xml:space="preserve">evenue </w:t>
      </w:r>
      <w:r w:rsidRPr="00ED61A0">
        <w:t>increase of $122 million over the four</w:t>
      </w:r>
      <w:r w:rsidR="00830FCE">
        <w:t>-</w:t>
      </w:r>
      <w:r w:rsidRPr="00ED61A0">
        <w:t>year period of 2018 to 202</w:t>
      </w:r>
      <w:r w:rsidR="002107BE">
        <w:t>1.</w:t>
      </w:r>
      <w:r w:rsidR="00743D90" w:rsidRPr="00ED61A0">
        <w:rPr>
          <w:rStyle w:val="FootnoteReference"/>
        </w:rPr>
        <w:footnoteReference w:id="3"/>
      </w:r>
      <w:r w:rsidR="002107BE">
        <w:t xml:space="preserve">  The 2017 revenue increase was </w:t>
      </w:r>
      <w:r w:rsidRPr="00ED61A0">
        <w:t xml:space="preserve">associated with a </w:t>
      </w:r>
      <w:r w:rsidR="00830FCE">
        <w:t>solar base rate adjustment mechanism (</w:t>
      </w:r>
      <w:proofErr w:type="spellStart"/>
      <w:r w:rsidR="002107BE">
        <w:t>SoBRA</w:t>
      </w:r>
      <w:proofErr w:type="spellEnd"/>
      <w:r w:rsidR="00830FCE">
        <w:t>)</w:t>
      </w:r>
      <w:r w:rsidR="002107BE">
        <w:t xml:space="preserve"> which included four tranches over the term of the 2017 </w:t>
      </w:r>
      <w:r w:rsidR="00185475">
        <w:t>Agreement</w:t>
      </w:r>
      <w:r w:rsidRPr="00ED61A0">
        <w:t>.</w:t>
      </w:r>
    </w:p>
    <w:p w:rsidR="007808CF" w:rsidRDefault="007808CF" w:rsidP="008D0146">
      <w:pPr>
        <w:tabs>
          <w:tab w:val="left" w:pos="-720"/>
        </w:tabs>
        <w:jc w:val="both"/>
      </w:pPr>
    </w:p>
    <w:p w:rsidR="008D0146" w:rsidRPr="001555E5" w:rsidRDefault="008D0146" w:rsidP="001555E5">
      <w:pPr>
        <w:tabs>
          <w:tab w:val="left" w:pos="-720"/>
        </w:tabs>
        <w:jc w:val="both"/>
        <w:rPr>
          <w:highlight w:val="yellow"/>
        </w:rPr>
      </w:pPr>
      <w:r>
        <w:t xml:space="preserve">On February 16, 2021, the Commission acknowledged the Office of Public Counsel’s </w:t>
      </w:r>
      <w:r w:rsidR="00185475">
        <w:t>N</w:t>
      </w:r>
      <w:r>
        <w:t xml:space="preserve">otice of </w:t>
      </w:r>
      <w:r w:rsidR="00185475">
        <w:t>I</w:t>
      </w:r>
      <w:r w:rsidRPr="00225CD6">
        <w:t>nterven</w:t>
      </w:r>
      <w:r>
        <w:t>tion</w:t>
      </w:r>
      <w:r w:rsidRPr="00225CD6">
        <w:t xml:space="preserve"> in this proceeding.</w:t>
      </w:r>
      <w:r>
        <w:rPr>
          <w:rStyle w:val="FootnoteReference"/>
        </w:rPr>
        <w:footnoteReference w:id="4"/>
      </w:r>
      <w:r w:rsidRPr="00225CD6">
        <w:t xml:space="preserve"> </w:t>
      </w:r>
      <w:r>
        <w:t xml:space="preserve">On </w:t>
      </w:r>
      <w:r w:rsidR="001555E5">
        <w:t>March 5, 2021</w:t>
      </w:r>
      <w:r w:rsidR="00185475">
        <w:t>,</w:t>
      </w:r>
      <w:r>
        <w:t xml:space="preserve"> </w:t>
      </w:r>
      <w:r w:rsidR="0021485E">
        <w:t xml:space="preserve">the </w:t>
      </w:r>
      <w:r w:rsidRPr="00225CD6">
        <w:t>Florida Industrial Power Users Group</w:t>
      </w:r>
      <w:r>
        <w:t xml:space="preserve"> (FIPUG) </w:t>
      </w:r>
      <w:r w:rsidR="001555E5">
        <w:t xml:space="preserve">filed its Motion to </w:t>
      </w:r>
      <w:proofErr w:type="gramStart"/>
      <w:r w:rsidR="001555E5">
        <w:t>Intervene</w:t>
      </w:r>
      <w:proofErr w:type="gramEnd"/>
      <w:r w:rsidR="00057E96">
        <w:t xml:space="preserve"> in this docket</w:t>
      </w:r>
      <w:r w:rsidR="001555E5">
        <w:t>.</w:t>
      </w:r>
      <w:r>
        <w:t xml:space="preserve"> </w:t>
      </w:r>
      <w:r w:rsidRPr="00225CD6">
        <w:t>This recommendation addresses the suspension of the requested permanent rate increase</w:t>
      </w:r>
      <w:r w:rsidR="00830FCE">
        <w:t xml:space="preserve"> and all associated tariff</w:t>
      </w:r>
      <w:r w:rsidR="0021485E">
        <w:t xml:space="preserve"> revisions</w:t>
      </w:r>
      <w:r w:rsidRPr="00225CD6">
        <w:t>. The Commission has jurisdiction over this matter pursuant to Sections 366.06,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F6ED1" w:rsidRDefault="004F6ED1">
      <w:pPr>
        <w:pStyle w:val="IssueHeading"/>
        <w:rPr>
          <w:vanish/>
          <w:specVanish/>
        </w:rPr>
      </w:pPr>
      <w:r w:rsidRPr="004C3641">
        <w:t xml:space="preserve">Issue </w:t>
      </w:r>
      <w:fldSimple w:instr=" SEQ Issue \* MERGEFORMAT ">
        <w:r w:rsidR="00282DF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82DFF">
        <w:rPr>
          <w:noProof/>
        </w:rPr>
        <w:instrText>1</w:instrText>
      </w:r>
      <w:r>
        <w:fldChar w:fldCharType="end"/>
      </w:r>
      <w:r>
        <w:tab/>
        <w:instrText xml:space="preserve">(Coston)" \l 1 </w:instrText>
      </w:r>
      <w:r>
        <w:fldChar w:fldCharType="end"/>
      </w:r>
      <w:r>
        <w:t> </w:t>
      </w:r>
    </w:p>
    <w:p w:rsidR="004F6ED1" w:rsidRDefault="004F6ED1">
      <w:pPr>
        <w:pStyle w:val="BodyText"/>
      </w:pPr>
      <w:r>
        <w:t> Should T</w:t>
      </w:r>
      <w:r w:rsidR="008D0146">
        <w:t>ECO</w:t>
      </w:r>
      <w:r>
        <w:t>'s request for a $</w:t>
      </w:r>
      <w:r w:rsidR="0052465B">
        <w:t>29</w:t>
      </w:r>
      <w:r w:rsidR="00057E96">
        <w:t>5</w:t>
      </w:r>
      <w:r w:rsidR="0052465B">
        <w:t xml:space="preserve"> </w:t>
      </w:r>
      <w:r>
        <w:t>million permanent rate increase for January 1, 2022, a $</w:t>
      </w:r>
      <w:r w:rsidR="0052465B">
        <w:t>102</w:t>
      </w:r>
      <w:r>
        <w:t xml:space="preserve"> million permanent </w:t>
      </w:r>
      <w:r w:rsidR="0052465B">
        <w:t>rate increase for January 1, 2023</w:t>
      </w:r>
      <w:r>
        <w:t xml:space="preserve">, </w:t>
      </w:r>
      <w:r w:rsidR="0052465B">
        <w:t>a $2</w:t>
      </w:r>
      <w:r w:rsidR="00057E96">
        <w:t>6</w:t>
      </w:r>
      <w:r w:rsidR="0052465B">
        <w:t xml:space="preserve"> million permanent rate increase for January 1, 2024</w:t>
      </w:r>
      <w:r w:rsidR="00830FCE">
        <w:t>,</w:t>
      </w:r>
      <w:r>
        <w:t xml:space="preserve"> and </w:t>
      </w:r>
      <w:r w:rsidR="0052465B">
        <w:t>all</w:t>
      </w:r>
      <w:r>
        <w:t xml:space="preserve"> associated tariff revisions be suspended pending a final decision in this docket</w:t>
      </w:r>
      <w:r w:rsidR="00035711">
        <w:t>?</w:t>
      </w:r>
    </w:p>
    <w:p w:rsidR="004F6ED1" w:rsidRPr="004C3641" w:rsidRDefault="004F6ED1">
      <w:pPr>
        <w:pStyle w:val="IssueSubsectionHeading"/>
        <w:rPr>
          <w:vanish/>
          <w:specVanish/>
        </w:rPr>
      </w:pPr>
      <w:r w:rsidRPr="004C3641">
        <w:t>Recommendation: </w:t>
      </w:r>
    </w:p>
    <w:p w:rsidR="004F6ED1" w:rsidRDefault="004F6ED1">
      <w:pPr>
        <w:pStyle w:val="BodyText"/>
      </w:pPr>
      <w:r>
        <w:t xml:space="preserve"> Yes. The Commission should suspend Tampa Electric Company's </w:t>
      </w:r>
      <w:r w:rsidR="00BB2E71">
        <w:t>request for a $29</w:t>
      </w:r>
      <w:r w:rsidR="00057E96">
        <w:t>5</w:t>
      </w:r>
      <w:r w:rsidR="00BB2E71">
        <w:t xml:space="preserve"> million permanent rate increase for January 1, 2022, a $102 million permanent rate inc</w:t>
      </w:r>
      <w:r w:rsidR="00057E96">
        <w:t>rease for January 1, 2023, a $26</w:t>
      </w:r>
      <w:r w:rsidR="00BB2E71">
        <w:t xml:space="preserve"> million permanent rate increase for January 1, 2024</w:t>
      </w:r>
      <w:r w:rsidR="00830FCE">
        <w:t>,</w:t>
      </w:r>
      <w:r w:rsidR="00BB2E71">
        <w:t xml:space="preserve"> and all associated tariff revisions pending a final decision in this docket</w:t>
      </w:r>
      <w:r w:rsidR="0052465B">
        <w:t>.</w:t>
      </w:r>
      <w:r>
        <w:t xml:space="preserve"> (Coston</w:t>
      </w:r>
      <w:r w:rsidR="0052465B">
        <w:t>, Smith II</w:t>
      </w:r>
      <w:r>
        <w:t>)</w:t>
      </w:r>
    </w:p>
    <w:p w:rsidR="004F6ED1" w:rsidRPr="004C3641" w:rsidRDefault="004F6ED1">
      <w:pPr>
        <w:pStyle w:val="IssueSubsectionHeading"/>
        <w:rPr>
          <w:vanish/>
          <w:specVanish/>
        </w:rPr>
      </w:pPr>
      <w:r w:rsidRPr="004C3641">
        <w:t>Staff Analysis: </w:t>
      </w:r>
    </w:p>
    <w:p w:rsidR="008D0146" w:rsidRDefault="004F6ED1" w:rsidP="008D0146">
      <w:pPr>
        <w:pStyle w:val="BodyText"/>
      </w:pPr>
      <w:r>
        <w:t> </w:t>
      </w:r>
      <w:r w:rsidR="008D0146">
        <w:t xml:space="preserve">TECO filed its </w:t>
      </w:r>
      <w:r w:rsidR="00035711">
        <w:t>P</w:t>
      </w:r>
      <w:r w:rsidR="008D0146">
        <w:t>etition, testimony, and minimum filing requirements on April 9, 2021</w:t>
      </w:r>
      <w:r w:rsidR="00BB2E71">
        <w:t xml:space="preserve">. </w:t>
      </w:r>
      <w:r w:rsidR="008D0146">
        <w:t xml:space="preserve">The Company </w:t>
      </w:r>
      <w:r w:rsidR="008D0146" w:rsidRPr="0099316D">
        <w:t>has requested an increase in its retail rates and ch</w:t>
      </w:r>
      <w:r w:rsidR="0052465B">
        <w:t>arges to generate approximately $295</w:t>
      </w:r>
      <w:r w:rsidR="008D0146" w:rsidRPr="0099316D">
        <w:t xml:space="preserve"> million in additional gross annual revenues, effective January 1, 20</w:t>
      </w:r>
      <w:r w:rsidR="008D0146">
        <w:t>22</w:t>
      </w:r>
      <w:r w:rsidR="008D0146" w:rsidRPr="0099316D">
        <w:t xml:space="preserve">. </w:t>
      </w:r>
      <w:r w:rsidR="00035711">
        <w:t>T</w:t>
      </w:r>
      <w:r w:rsidR="0052465B">
        <w:t>he Company</w:t>
      </w:r>
      <w:r w:rsidR="008D0146">
        <w:t xml:space="preserve"> </w:t>
      </w:r>
      <w:r w:rsidR="008D0146" w:rsidRPr="0099316D">
        <w:t xml:space="preserve">also has requested an increase in its retail rates and charges to generate </w:t>
      </w:r>
      <w:r w:rsidR="0052465B">
        <w:t xml:space="preserve">approximately </w:t>
      </w:r>
      <w:r w:rsidR="008D0146" w:rsidRPr="0099316D">
        <w:t>$</w:t>
      </w:r>
      <w:r w:rsidR="0052465B">
        <w:t>102</w:t>
      </w:r>
      <w:r w:rsidR="008D0146" w:rsidRPr="0099316D">
        <w:t xml:space="preserve"> million in additional gross annual revenues, effective January 1, 2</w:t>
      </w:r>
      <w:r w:rsidR="0052465B">
        <w:t>023</w:t>
      </w:r>
      <w:r w:rsidR="00830FCE">
        <w:t>,</w:t>
      </w:r>
      <w:r w:rsidR="0052465B">
        <w:t xml:space="preserve"> and approximately $26 million</w:t>
      </w:r>
      <w:r w:rsidR="00035711">
        <w:t xml:space="preserve"> in additional gross annual revenues, effective</w:t>
      </w:r>
      <w:r w:rsidR="0052465B">
        <w:t xml:space="preserve"> January 1, 2024</w:t>
      </w:r>
      <w:r w:rsidR="008D0146" w:rsidRPr="0099316D">
        <w:t>.</w:t>
      </w:r>
      <w:r w:rsidR="008D0146">
        <w:t xml:space="preserve"> Further, the Company </w:t>
      </w:r>
      <w:r w:rsidR="008D0146" w:rsidRPr="0099316D">
        <w:t xml:space="preserve">requested </w:t>
      </w:r>
      <w:r w:rsidR="0052465B">
        <w:t xml:space="preserve">to </w:t>
      </w:r>
      <w:r w:rsidR="0052465B" w:rsidRPr="0017559A">
        <w:t>continue implementing the Asset Optimization Program</w:t>
      </w:r>
      <w:r w:rsidR="0052465B">
        <w:t xml:space="preserve"> </w:t>
      </w:r>
      <w:r w:rsidR="0052465B" w:rsidRPr="0017559A">
        <w:t>contained in the 2017 Agreement</w:t>
      </w:r>
      <w:r w:rsidR="008D0146" w:rsidRPr="0099316D">
        <w:t>.</w:t>
      </w:r>
    </w:p>
    <w:p w:rsidR="008D0146" w:rsidRDefault="008D0146" w:rsidP="008D0146">
      <w:pPr>
        <w:pStyle w:val="BodyText"/>
      </w:pPr>
      <w:r>
        <w:t>Historically, the Commission has suspended requested permanent rate schedules in order to adequately and thoroughly examine the basis for the new rates. Suspension of a requested rate increase is authorized by Section 366.06(3), F.S., which provides:</w:t>
      </w:r>
    </w:p>
    <w:p w:rsidR="008D0146" w:rsidRDefault="008D0146" w:rsidP="008D0146">
      <w:pPr>
        <w:pStyle w:val="BodyText"/>
        <w:ind w:left="720" w:right="720"/>
      </w:pPr>
      <w:r>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8D0146" w:rsidRDefault="008D0146" w:rsidP="008D0146">
      <w:pPr>
        <w:pStyle w:val="BodyText"/>
      </w:pPr>
      <w:r>
        <w:t xml:space="preserve">Staff recommends that the Commission suspend the requested permanent rate schedules to allow staff and any </w:t>
      </w:r>
      <w:proofErr w:type="spellStart"/>
      <w:r>
        <w:t>intervenors</w:t>
      </w:r>
      <w:proofErr w:type="spellEnd"/>
      <w:r>
        <w:t xml:space="preserve"> sufficient time to adequately investigate whether the request for permanent rate relief is appropriate.</w:t>
      </w:r>
    </w:p>
    <w:p w:rsidR="004F6ED1" w:rsidRDefault="004F6ED1">
      <w:pPr>
        <w:pStyle w:val="BodyText"/>
      </w:pPr>
    </w:p>
    <w:p w:rsidR="008D0146" w:rsidRDefault="008D0146">
      <w:pPr>
        <w:pStyle w:val="IssueHeading"/>
        <w:rPr>
          <w:vanish/>
          <w:specVanish/>
        </w:rPr>
      </w:pPr>
      <w:r w:rsidRPr="004C3641">
        <w:rPr>
          <w:b w:val="0"/>
          <w:i w:val="0"/>
        </w:rPr>
        <w:br w:type="page"/>
      </w:r>
      <w:r w:rsidRPr="004C3641">
        <w:lastRenderedPageBreak/>
        <w:t xml:space="preserve">Issue </w:t>
      </w:r>
      <w:fldSimple w:instr=" SEQ Issue \* MERGEFORMAT ">
        <w:r w:rsidR="00282DF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82DFF">
        <w:rPr>
          <w:noProof/>
        </w:rPr>
        <w:instrText>2</w:instrText>
      </w:r>
      <w:r>
        <w:fldChar w:fldCharType="end"/>
      </w:r>
      <w:r>
        <w:tab/>
        <w:instrText xml:space="preserve">(Murphy)" \l 1 </w:instrText>
      </w:r>
      <w:r>
        <w:fldChar w:fldCharType="end"/>
      </w:r>
      <w:r>
        <w:t> </w:t>
      </w:r>
    </w:p>
    <w:p w:rsidR="008D0146" w:rsidRDefault="008D0146">
      <w:pPr>
        <w:pStyle w:val="BodyText"/>
      </w:pPr>
      <w:r>
        <w:t> Should this docket be closed?</w:t>
      </w:r>
    </w:p>
    <w:p w:rsidR="008D0146" w:rsidRPr="004C3641" w:rsidRDefault="008D0146">
      <w:pPr>
        <w:pStyle w:val="IssueSubsectionHeading"/>
        <w:rPr>
          <w:vanish/>
          <w:specVanish/>
        </w:rPr>
      </w:pPr>
      <w:r w:rsidRPr="004C3641">
        <w:t>Recommendation: </w:t>
      </w:r>
    </w:p>
    <w:p w:rsidR="008D0146" w:rsidRDefault="008D0146">
      <w:pPr>
        <w:pStyle w:val="BodyText"/>
      </w:pPr>
      <w:r>
        <w:t> </w:t>
      </w:r>
      <w:r w:rsidRPr="0099316D">
        <w:t>No, this docket should remain open to process the Company’s revenue increase request</w:t>
      </w:r>
      <w:r>
        <w:t>. (Murphy)</w:t>
      </w:r>
    </w:p>
    <w:p w:rsidR="008D0146" w:rsidRPr="004C3641" w:rsidRDefault="008D0146">
      <w:pPr>
        <w:pStyle w:val="IssueSubsectionHeading"/>
        <w:rPr>
          <w:vanish/>
          <w:specVanish/>
        </w:rPr>
      </w:pPr>
      <w:r w:rsidRPr="004C3641">
        <w:t>Staff Analysis: </w:t>
      </w:r>
    </w:p>
    <w:p w:rsidR="008D0146" w:rsidRDefault="008D0146">
      <w:pPr>
        <w:pStyle w:val="BodyText"/>
      </w:pPr>
      <w:r>
        <w:t> </w:t>
      </w:r>
      <w:r w:rsidRPr="0099316D">
        <w:t>This docket should remain open pending the Commission’s final resolution of the Company’s requested permanent base rate increase.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5A" w:rsidRDefault="00A6445A">
      <w:r>
        <w:separator/>
      </w:r>
    </w:p>
  </w:endnote>
  <w:endnote w:type="continuationSeparator" w:id="0">
    <w:p w:rsidR="00A6445A" w:rsidRDefault="00A6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2DFF">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5A" w:rsidRDefault="00A6445A">
      <w:r>
        <w:separator/>
      </w:r>
    </w:p>
  </w:footnote>
  <w:footnote w:type="continuationSeparator" w:id="0">
    <w:p w:rsidR="00A6445A" w:rsidRDefault="00A6445A">
      <w:r>
        <w:continuationSeparator/>
      </w:r>
    </w:p>
  </w:footnote>
  <w:footnote w:id="1">
    <w:p w:rsidR="00185475" w:rsidRDefault="00185475" w:rsidP="00185475">
      <w:pPr>
        <w:pStyle w:val="FootnoteText"/>
      </w:pPr>
      <w:r>
        <w:rPr>
          <w:rStyle w:val="FootnoteReference"/>
        </w:rPr>
        <w:footnoteRef/>
      </w:r>
      <w:r>
        <w:t xml:space="preserve"> Order No. PSC-2017-0456-S-EI, issued November 27, 2017, in Docket No. 20170210-EI,</w:t>
      </w:r>
      <w:r w:rsidRPr="00737A3A">
        <w:rPr>
          <w:i/>
        </w:rPr>
        <w:t xml:space="preserve"> In re: Petition for limited proceeding to approve 2017 amended and restated stipulation and settlement agreement, by Tampa Electric Company</w:t>
      </w:r>
      <w:r>
        <w:t>.</w:t>
      </w:r>
    </w:p>
  </w:footnote>
  <w:footnote w:id="2">
    <w:p w:rsidR="007808CF" w:rsidRDefault="007808CF" w:rsidP="007808CF">
      <w:pPr>
        <w:pStyle w:val="FootnoteText"/>
      </w:pPr>
      <w:r>
        <w:rPr>
          <w:rStyle w:val="FootnoteReference"/>
        </w:rPr>
        <w:footnoteRef/>
      </w:r>
      <w:r>
        <w:t xml:space="preserve"> Order No. PSC-2013-0443-FOF-EI, issued September 30, 2013, in Docket No. 20130040-EI,</w:t>
      </w:r>
      <w:r w:rsidRPr="00737A3A">
        <w:rPr>
          <w:i/>
        </w:rPr>
        <w:t xml:space="preserve"> In re: Petition for </w:t>
      </w:r>
      <w:r>
        <w:rPr>
          <w:i/>
        </w:rPr>
        <w:t>rate increase</w:t>
      </w:r>
      <w:r w:rsidRPr="00737A3A">
        <w:rPr>
          <w:i/>
        </w:rPr>
        <w:t xml:space="preserve"> by Tampa Electric Company</w:t>
      </w:r>
      <w:r>
        <w:t>.</w:t>
      </w:r>
    </w:p>
  </w:footnote>
  <w:footnote w:id="3">
    <w:p w:rsidR="00743D90" w:rsidRDefault="00743D90" w:rsidP="00743D90">
      <w:pPr>
        <w:pStyle w:val="FootnoteText"/>
      </w:pPr>
      <w:r>
        <w:rPr>
          <w:rStyle w:val="FootnoteReference"/>
        </w:rPr>
        <w:footnoteRef/>
      </w:r>
      <w:r>
        <w:t xml:space="preserve"> Order No. PSC-2017-0456-S-EI, issued November 27, 2017, in Docket No. 20170210-EI,</w:t>
      </w:r>
      <w:r w:rsidRPr="00737A3A">
        <w:rPr>
          <w:i/>
        </w:rPr>
        <w:t xml:space="preserve"> In re: Petition for limited proceeding to approve 2017 amended and restated stipulation and settlement agreement, by Tampa Electric Company</w:t>
      </w:r>
      <w:r>
        <w:t>.</w:t>
      </w:r>
    </w:p>
  </w:footnote>
  <w:footnote w:id="4">
    <w:p w:rsidR="008D0146" w:rsidRDefault="008D0146" w:rsidP="008D0146">
      <w:pPr>
        <w:pStyle w:val="FootnoteText"/>
      </w:pPr>
      <w:r>
        <w:rPr>
          <w:rStyle w:val="FootnoteReference"/>
        </w:rPr>
        <w:footnoteRef/>
      </w:r>
      <w:r>
        <w:t xml:space="preserve"> Order No. PSC-</w:t>
      </w:r>
      <w:r w:rsidR="001555E5">
        <w:t>2021-0080</w:t>
      </w:r>
      <w:r>
        <w:t xml:space="preserve">-PCO-EI, issued </w:t>
      </w:r>
      <w:r w:rsidR="001555E5">
        <w:t>February 16, 2021,</w:t>
      </w:r>
      <w:r>
        <w:t xml:space="preserve"> in Docket No. </w:t>
      </w:r>
      <w:r w:rsidR="001555E5">
        <w:t>20210034-</w:t>
      </w:r>
      <w:r>
        <w:t xml:space="preserve">EI, </w:t>
      </w:r>
      <w:r w:rsidRPr="00724F50">
        <w:rPr>
          <w:i/>
        </w:rPr>
        <w:t>In re: Petition for increase in rates by</w:t>
      </w:r>
      <w:r w:rsidR="001555E5">
        <w:rPr>
          <w:i/>
        </w:rPr>
        <w:t xml:space="preserve"> Tampa Electric</w:t>
      </w:r>
      <w:r w:rsidRPr="00724F50">
        <w:rPr>
          <w:i/>
        </w:rPr>
        <w:t xml:space="preserve"> Company</w:t>
      </w:r>
      <w:r w:rsidRPr="00C043F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F6ED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20210034-EI</w:t>
    </w:r>
    <w:bookmarkEnd w:id="15"/>
  </w:p>
  <w:p w:rsidR="00BC402E" w:rsidRDefault="00BC402E">
    <w:pPr>
      <w:pStyle w:val="Header"/>
    </w:pPr>
    <w:r>
      <w:t xml:space="preserve">Date: </w:t>
    </w:r>
    <w:r w:rsidR="00C47790">
      <w:fldChar w:fldCharType="begin"/>
    </w:r>
    <w:r w:rsidR="00C47790">
      <w:instrText xml:space="preserve"> REF FilingDate </w:instrText>
    </w:r>
    <w:r w:rsidR="00C47790">
      <w:fldChar w:fldCharType="separate"/>
    </w:r>
    <w:r w:rsidR="00282DFF">
      <w:t>April 22, 2021</w:t>
    </w:r>
    <w:r w:rsidR="00C4779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82DFF">
      <w:t>Docket No.</w:t>
    </w:r>
    <w:r>
      <w:fldChar w:fldCharType="end"/>
    </w:r>
    <w:r>
      <w:t xml:space="preserve"> </w:t>
    </w:r>
    <w:r>
      <w:fldChar w:fldCharType="begin"/>
    </w:r>
    <w:r>
      <w:instrText xml:space="preserve"> REF DocketList</w:instrText>
    </w:r>
    <w:r>
      <w:fldChar w:fldCharType="separate"/>
    </w:r>
    <w:r w:rsidR="00282DFF">
      <w:t>20210034-EI</w:t>
    </w:r>
    <w:r>
      <w:fldChar w:fldCharType="end"/>
    </w:r>
    <w:r>
      <w:tab/>
      <w:t xml:space="preserve">Issue </w:t>
    </w:r>
    <w:r w:rsidR="00C47790">
      <w:fldChar w:fldCharType="begin"/>
    </w:r>
    <w:r w:rsidR="00C47790">
      <w:instrText xml:space="preserve"> Seq Issue \c \* Arabic </w:instrText>
    </w:r>
    <w:r w:rsidR="00C47790">
      <w:fldChar w:fldCharType="separate"/>
    </w:r>
    <w:r w:rsidR="00282DFF">
      <w:rPr>
        <w:noProof/>
      </w:rPr>
      <w:t>2</w:t>
    </w:r>
    <w:r w:rsidR="00C47790">
      <w:rPr>
        <w:noProof/>
      </w:rPr>
      <w:fldChar w:fldCharType="end"/>
    </w:r>
  </w:p>
  <w:p w:rsidR="00BC402E" w:rsidRDefault="00BC402E">
    <w:pPr>
      <w:pStyle w:val="Header"/>
    </w:pPr>
    <w:r>
      <w:t xml:space="preserve">Date: </w:t>
    </w:r>
    <w:r w:rsidR="00C47790">
      <w:fldChar w:fldCharType="begin"/>
    </w:r>
    <w:r w:rsidR="00C47790">
      <w:instrText xml:space="preserve"> REF FilingDate </w:instrText>
    </w:r>
    <w:r w:rsidR="00C47790">
      <w:fldChar w:fldCharType="separate"/>
    </w:r>
    <w:r w:rsidR="00282DFF">
      <w:t>April 22, 2021</w:t>
    </w:r>
    <w:r w:rsidR="00C4779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F6ED1"/>
    <w:rsid w:val="000043D5"/>
    <w:rsid w:val="00006170"/>
    <w:rsid w:val="00010E37"/>
    <w:rsid w:val="000172DA"/>
    <w:rsid w:val="000247C5"/>
    <w:rsid w:val="000277C2"/>
    <w:rsid w:val="00035711"/>
    <w:rsid w:val="00035B48"/>
    <w:rsid w:val="00036CE2"/>
    <w:rsid w:val="000437FE"/>
    <w:rsid w:val="000513BE"/>
    <w:rsid w:val="00057E96"/>
    <w:rsid w:val="00065A06"/>
    <w:rsid w:val="000666F3"/>
    <w:rsid w:val="00070DCB"/>
    <w:rsid w:val="00072CCA"/>
    <w:rsid w:val="00073120"/>
    <w:rsid w:val="000764D0"/>
    <w:rsid w:val="000828D3"/>
    <w:rsid w:val="000A2B57"/>
    <w:rsid w:val="000A418B"/>
    <w:rsid w:val="000A5F31"/>
    <w:rsid w:val="000C4431"/>
    <w:rsid w:val="000D1C06"/>
    <w:rsid w:val="000D4319"/>
    <w:rsid w:val="000F374A"/>
    <w:rsid w:val="001076AF"/>
    <w:rsid w:val="00117C8C"/>
    <w:rsid w:val="00124C38"/>
    <w:rsid w:val="00124E2E"/>
    <w:rsid w:val="00125ED4"/>
    <w:rsid w:val="001305E9"/>
    <w:rsid w:val="001307AF"/>
    <w:rsid w:val="00135687"/>
    <w:rsid w:val="0015506E"/>
    <w:rsid w:val="001555E5"/>
    <w:rsid w:val="00163031"/>
    <w:rsid w:val="00171A90"/>
    <w:rsid w:val="0017559A"/>
    <w:rsid w:val="00180254"/>
    <w:rsid w:val="00185475"/>
    <w:rsid w:val="001903BC"/>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07BE"/>
    <w:rsid w:val="00212B17"/>
    <w:rsid w:val="0021485E"/>
    <w:rsid w:val="002163B6"/>
    <w:rsid w:val="00220732"/>
    <w:rsid w:val="00221D32"/>
    <w:rsid w:val="00225C3F"/>
    <w:rsid w:val="00263D44"/>
    <w:rsid w:val="002702AD"/>
    <w:rsid w:val="00282DFF"/>
    <w:rsid w:val="00292D82"/>
    <w:rsid w:val="002963CB"/>
    <w:rsid w:val="002B4A01"/>
    <w:rsid w:val="002D226D"/>
    <w:rsid w:val="002F6030"/>
    <w:rsid w:val="003037E1"/>
    <w:rsid w:val="00307E51"/>
    <w:rsid w:val="003103EC"/>
    <w:rsid w:val="003144EF"/>
    <w:rsid w:val="00322F74"/>
    <w:rsid w:val="00327F81"/>
    <w:rsid w:val="00340073"/>
    <w:rsid w:val="0035671A"/>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4F6ED1"/>
    <w:rsid w:val="0050652D"/>
    <w:rsid w:val="00506C03"/>
    <w:rsid w:val="00511A11"/>
    <w:rsid w:val="00516496"/>
    <w:rsid w:val="00523B11"/>
    <w:rsid w:val="0052465B"/>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57C0"/>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0601"/>
    <w:rsid w:val="006554D3"/>
    <w:rsid w:val="00667036"/>
    <w:rsid w:val="00673BDB"/>
    <w:rsid w:val="00674341"/>
    <w:rsid w:val="006771B8"/>
    <w:rsid w:val="0067777F"/>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3D90"/>
    <w:rsid w:val="00744B55"/>
    <w:rsid w:val="007515FD"/>
    <w:rsid w:val="00760D80"/>
    <w:rsid w:val="007808CF"/>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0FCE"/>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0146"/>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51BD"/>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445A"/>
    <w:rsid w:val="00A675AC"/>
    <w:rsid w:val="00A7581F"/>
    <w:rsid w:val="00A92FB1"/>
    <w:rsid w:val="00A95A0C"/>
    <w:rsid w:val="00AA2765"/>
    <w:rsid w:val="00AA77B5"/>
    <w:rsid w:val="00AB6C5D"/>
    <w:rsid w:val="00AC081E"/>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5E5"/>
    <w:rsid w:val="00B516ED"/>
    <w:rsid w:val="00B57A6A"/>
    <w:rsid w:val="00B760F1"/>
    <w:rsid w:val="00B7669E"/>
    <w:rsid w:val="00B77DA1"/>
    <w:rsid w:val="00B822A0"/>
    <w:rsid w:val="00B858AE"/>
    <w:rsid w:val="00B85964"/>
    <w:rsid w:val="00B96250"/>
    <w:rsid w:val="00BA0D55"/>
    <w:rsid w:val="00BA37B3"/>
    <w:rsid w:val="00BA4CC6"/>
    <w:rsid w:val="00BB2E71"/>
    <w:rsid w:val="00BB3493"/>
    <w:rsid w:val="00BB7468"/>
    <w:rsid w:val="00BC188A"/>
    <w:rsid w:val="00BC402E"/>
    <w:rsid w:val="00BD0F48"/>
    <w:rsid w:val="00BE6DDB"/>
    <w:rsid w:val="00BF5010"/>
    <w:rsid w:val="00C0344F"/>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6579"/>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4796"/>
    <w:rsid w:val="00E02F1F"/>
    <w:rsid w:val="00E06484"/>
    <w:rsid w:val="00E20A7D"/>
    <w:rsid w:val="00E275D8"/>
    <w:rsid w:val="00E30059"/>
    <w:rsid w:val="00E30F6A"/>
    <w:rsid w:val="00E3117C"/>
    <w:rsid w:val="00E375CA"/>
    <w:rsid w:val="00E42D3D"/>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2B675E-4BC2-43A1-A223-8296D25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8D0146"/>
    <w:rPr>
      <w:vertAlign w:val="superscript"/>
    </w:rPr>
  </w:style>
  <w:style w:type="character" w:customStyle="1" w:styleId="FootnoteTextChar">
    <w:name w:val="Footnote Text Char"/>
    <w:basedOn w:val="DefaultParagraphFont"/>
    <w:link w:val="FootnoteText"/>
    <w:uiPriority w:val="99"/>
    <w:rsid w:val="0078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DE0E-F83D-4235-95D7-700F84BE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818</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Andrea Mick</cp:lastModifiedBy>
  <cp:revision>2</cp:revision>
  <cp:lastPrinted>2004-01-27T20:32:00Z</cp:lastPrinted>
  <dcterms:created xsi:type="dcterms:W3CDTF">2021-04-22T13:25:00Z</dcterms:created>
  <dcterms:modified xsi:type="dcterms:W3CDTF">2021-04-22T13:25:00Z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20210034-EI</vt:lpwstr>
  </property>
  <property fmtid="{D5CDD505-2E9C-101B-9397-08002B2CF9AE}" pid="3" name="MasterDocument">
    <vt:bool>false</vt:bool>
  </property>
</Properties>
</file>