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2350" w:rsidP="00532350">
      <w:pPr>
        <w:pStyle w:val="OrderHeading"/>
      </w:pPr>
      <w:r>
        <w:t>BEFORE THE FLORIDA PUBLIC SERVICE COMMISSION</w:t>
      </w:r>
    </w:p>
    <w:p w:rsidR="00532350" w:rsidRDefault="00532350" w:rsidP="00532350">
      <w:pPr>
        <w:pStyle w:val="OrderBody"/>
      </w:pPr>
    </w:p>
    <w:p w:rsidR="00532350" w:rsidRDefault="00532350" w:rsidP="005323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2350" w:rsidRPr="00C63FCF" w:rsidTr="00C63FCF">
        <w:trPr>
          <w:trHeight w:val="828"/>
        </w:trPr>
        <w:tc>
          <w:tcPr>
            <w:tcW w:w="4788" w:type="dxa"/>
            <w:tcBorders>
              <w:bottom w:val="nil"/>
              <w:right w:val="double" w:sz="6" w:space="0" w:color="auto"/>
            </w:tcBorders>
            <w:shd w:val="clear" w:color="auto" w:fill="auto"/>
          </w:tcPr>
          <w:p w:rsidR="00532350" w:rsidRDefault="00532350" w:rsidP="00C63FCF">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 Michael and approval of second implementation stipulation, by Duke Energy Florida, LLC.</w:t>
            </w:r>
          </w:p>
          <w:p w:rsidR="00532350" w:rsidRDefault="0053235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32350" w:rsidRDefault="00532350" w:rsidP="00C63FCF">
            <w:pPr>
              <w:pStyle w:val="OrderBody"/>
              <w:tabs>
                <w:tab w:val="center" w:pos="4320"/>
                <w:tab w:val="right" w:pos="8640"/>
              </w:tabs>
              <w:jc w:val="left"/>
            </w:pPr>
            <w:r>
              <w:t xml:space="preserve">DOCKET NO. </w:t>
            </w:r>
            <w:bookmarkStart w:id="1" w:name="SMDocketNo"/>
            <w:bookmarkEnd w:id="1"/>
            <w:r>
              <w:t>20190110-EI</w:t>
            </w:r>
          </w:p>
        </w:tc>
      </w:tr>
      <w:tr w:rsidR="00532350" w:rsidRPr="00C63FCF" w:rsidTr="00C63FCF">
        <w:trPr>
          <w:trHeight w:val="828"/>
        </w:trPr>
        <w:tc>
          <w:tcPr>
            <w:tcW w:w="4788" w:type="dxa"/>
            <w:tcBorders>
              <w:bottom w:val="nil"/>
              <w:right w:val="double" w:sz="6" w:space="0" w:color="auto"/>
            </w:tcBorders>
            <w:shd w:val="clear" w:color="auto" w:fill="auto"/>
          </w:tcPr>
          <w:p w:rsidR="00532350" w:rsidRDefault="00532350" w:rsidP="00C63FCF">
            <w:pPr>
              <w:pStyle w:val="OrderBody"/>
              <w:tabs>
                <w:tab w:val="center" w:pos="4320"/>
                <w:tab w:val="right" w:pos="8640"/>
              </w:tabs>
              <w:jc w:val="left"/>
            </w:pPr>
            <w:r>
              <w:t>In re: Petition for limited proceeding for recovery of incremental storm restoration costs related to Hurricane Dorian and Tropical Storm Nestor, by Duke Energy Florida, LLC.</w:t>
            </w:r>
          </w:p>
          <w:p w:rsidR="00532350" w:rsidRDefault="0053235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32350" w:rsidRDefault="00532350" w:rsidP="00C63FCF">
            <w:pPr>
              <w:pStyle w:val="OrderBody"/>
              <w:tabs>
                <w:tab w:val="center" w:pos="4320"/>
                <w:tab w:val="right" w:pos="8640"/>
              </w:tabs>
              <w:jc w:val="left"/>
            </w:pPr>
            <w:r>
              <w:t>DOCKET NO. 20190222-EI</w:t>
            </w:r>
          </w:p>
          <w:p w:rsidR="00532350" w:rsidRDefault="00532350" w:rsidP="00C63FCF">
            <w:pPr>
              <w:pStyle w:val="OrderBody"/>
              <w:tabs>
                <w:tab w:val="center" w:pos="4320"/>
                <w:tab w:val="right" w:pos="8640"/>
              </w:tabs>
              <w:jc w:val="left"/>
            </w:pPr>
          </w:p>
        </w:tc>
      </w:tr>
      <w:tr w:rsidR="00532350" w:rsidRPr="00C63FCF" w:rsidTr="00C63FCF">
        <w:trPr>
          <w:trHeight w:val="828"/>
        </w:trPr>
        <w:tc>
          <w:tcPr>
            <w:tcW w:w="4788" w:type="dxa"/>
            <w:tcBorders>
              <w:top w:val="nil"/>
              <w:bottom w:val="single" w:sz="8" w:space="0" w:color="auto"/>
              <w:right w:val="double" w:sz="6" w:space="0" w:color="auto"/>
            </w:tcBorders>
            <w:shd w:val="clear" w:color="auto" w:fill="auto"/>
          </w:tcPr>
          <w:p w:rsidR="00532350" w:rsidRDefault="00532350" w:rsidP="00C63FCF">
            <w:pPr>
              <w:pStyle w:val="OrderBody"/>
              <w:tabs>
                <w:tab w:val="center" w:pos="4320"/>
                <w:tab w:val="right" w:pos="8640"/>
              </w:tabs>
              <w:jc w:val="left"/>
            </w:pPr>
            <w:r>
              <w:t>In re: Petition for limited proceeding to approve 2021 settlement agreement, including general base rate increases, by Duke Energy Florida, LLC.</w:t>
            </w:r>
          </w:p>
        </w:tc>
        <w:tc>
          <w:tcPr>
            <w:tcW w:w="4788" w:type="dxa"/>
            <w:tcBorders>
              <w:left w:val="double" w:sz="6" w:space="0" w:color="auto"/>
            </w:tcBorders>
            <w:shd w:val="clear" w:color="auto" w:fill="auto"/>
          </w:tcPr>
          <w:p w:rsidR="00532350" w:rsidRDefault="00532350" w:rsidP="00532350">
            <w:pPr>
              <w:pStyle w:val="OrderBody"/>
            </w:pPr>
            <w:r>
              <w:t xml:space="preserve">DOCKET NO. </w:t>
            </w:r>
            <w:bookmarkStart w:id="2" w:name="SMDocketNo2"/>
            <w:bookmarkEnd w:id="2"/>
            <w:r>
              <w:t>20210016-EI</w:t>
            </w:r>
          </w:p>
          <w:p w:rsidR="00532350" w:rsidRDefault="00532350" w:rsidP="00C63FCF">
            <w:pPr>
              <w:pStyle w:val="OrderBody"/>
              <w:tabs>
                <w:tab w:val="center" w:pos="4320"/>
                <w:tab w:val="right" w:pos="8640"/>
              </w:tabs>
              <w:jc w:val="left"/>
            </w:pPr>
            <w:r>
              <w:t xml:space="preserve">ORDER NO. </w:t>
            </w:r>
            <w:bookmarkStart w:id="3" w:name="OrderNo0149"/>
            <w:r w:rsidR="00094C6D">
              <w:t>PSC-2021-0149-PCO-EI</w:t>
            </w:r>
            <w:bookmarkEnd w:id="3"/>
          </w:p>
          <w:p w:rsidR="00532350" w:rsidRDefault="00532350" w:rsidP="00C63FCF">
            <w:pPr>
              <w:pStyle w:val="OrderBody"/>
              <w:tabs>
                <w:tab w:val="center" w:pos="4320"/>
                <w:tab w:val="right" w:pos="8640"/>
              </w:tabs>
              <w:jc w:val="left"/>
            </w:pPr>
            <w:r>
              <w:t xml:space="preserve">ISSUED: </w:t>
            </w:r>
            <w:r w:rsidR="00094C6D">
              <w:t>April 22, 2021</w:t>
            </w:r>
          </w:p>
          <w:p w:rsidR="00532350" w:rsidRDefault="00532350" w:rsidP="00C63FCF">
            <w:pPr>
              <w:pStyle w:val="OrderBody"/>
              <w:tabs>
                <w:tab w:val="center" w:pos="4320"/>
                <w:tab w:val="right" w:pos="8640"/>
              </w:tabs>
              <w:jc w:val="left"/>
            </w:pPr>
          </w:p>
        </w:tc>
      </w:tr>
    </w:tbl>
    <w:p w:rsidR="00532350" w:rsidRDefault="00532350" w:rsidP="00532350"/>
    <w:p w:rsidR="00532350" w:rsidRDefault="00532350" w:rsidP="00532350"/>
    <w:p w:rsidR="00CB5276" w:rsidRDefault="00532350" w:rsidP="00532350">
      <w:pPr>
        <w:pStyle w:val="CenterUnderline"/>
      </w:pPr>
      <w:bookmarkStart w:id="4" w:name="Commissioners"/>
      <w:bookmarkEnd w:id="4"/>
      <w:r>
        <w:t>ORDER</w:t>
      </w:r>
      <w:bookmarkStart w:id="5" w:name="OrderTitle"/>
      <w:r>
        <w:t xml:space="preserve"> GRANTING WALMART INC.’S PETITION TO INTERVENE </w:t>
      </w:r>
      <w:bookmarkEnd w:id="5"/>
    </w:p>
    <w:p w:rsidR="00532350" w:rsidRDefault="00532350" w:rsidP="00532350">
      <w:pPr>
        <w:pStyle w:val="OrderBody"/>
      </w:pPr>
    </w:p>
    <w:p w:rsidR="00532350" w:rsidRPr="00721AF7" w:rsidRDefault="00532350" w:rsidP="00532350">
      <w:pPr>
        <w:ind w:firstLine="720"/>
        <w:jc w:val="both"/>
      </w:pPr>
      <w:bookmarkStart w:id="6" w:name="OrderText"/>
      <w:bookmarkEnd w:id="6"/>
      <w:r>
        <w:t xml:space="preserve">On January 14, 2021, </w:t>
      </w:r>
      <w:r w:rsidRPr="00E15DF5">
        <w:t>Duke Energy Florida, LLC</w:t>
      </w:r>
      <w:r>
        <w:t xml:space="preserve"> (DEF) filed a petition for a L</w:t>
      </w:r>
      <w:r w:rsidRPr="00721AF7">
        <w:t xml:space="preserve">imited </w:t>
      </w:r>
      <w:r>
        <w:t>P</w:t>
      </w:r>
      <w:r w:rsidRPr="00721AF7">
        <w:t>roceeding asking this Commission to approve the 2021 Settlement Agreement</w:t>
      </w:r>
      <w:r>
        <w:t xml:space="preserve"> </w:t>
      </w:r>
      <w:r w:rsidRPr="00721AF7">
        <w:t xml:space="preserve">between DEF, the Office of Public Counsel (OPC), the Florida Industrial Power Uses Group (FIPUG), White Springs Agricultural Chemicals, Inc. d/b/a PCS Phosphate (PCS Phosphate), and Nucor Steel Florida, Inc. (NUCOR) (collectively, Signatories). </w:t>
      </w:r>
      <w:r>
        <w:t xml:space="preserve"> </w:t>
      </w:r>
      <w:r w:rsidRPr="00721AF7">
        <w:t>The 2021 S</w:t>
      </w:r>
      <w:r>
        <w:t xml:space="preserve">ettlement Agreement </w:t>
      </w:r>
      <w:r w:rsidRPr="00721AF7">
        <w:t>includes general base rate increases, resolves all issues in Docket Nos. 20190110-EI and 20190222-EI, clarifies certain cost allocation and rate design matters pertaining to DEF’s Storm Protection Plan Cost Recovery Clause, and authorizes a new EV Program.</w:t>
      </w:r>
    </w:p>
    <w:p w:rsidR="00532350" w:rsidRPr="00721AF7" w:rsidRDefault="00532350" w:rsidP="00532350">
      <w:pPr>
        <w:ind w:firstLine="720"/>
        <w:jc w:val="both"/>
      </w:pPr>
    </w:p>
    <w:p w:rsidR="00532350" w:rsidRDefault="00532350" w:rsidP="00532350">
      <w:pPr>
        <w:ind w:firstLine="720"/>
        <w:jc w:val="both"/>
      </w:pPr>
      <w:r w:rsidRPr="00721AF7">
        <w:t>As a result of the approval of the 2017 Second Revised and Restated Settlement Agreement by Order No. PSC-2017-0451-AS-EU,</w:t>
      </w:r>
      <w:r>
        <w:rPr>
          <w:rStyle w:val="FootnoteReference"/>
        </w:rPr>
        <w:footnoteReference w:id="1"/>
      </w:r>
      <w:r w:rsidRPr="00721AF7">
        <w:t xml:space="preserve"> DEF was authorized to implement an EV Charging Station Pilot Program (2017 EV Pilot).</w:t>
      </w:r>
      <w:r>
        <w:t xml:space="preserve"> </w:t>
      </w:r>
      <w:r w:rsidRPr="00721AF7">
        <w:t xml:space="preserve"> In the 2021 S</w:t>
      </w:r>
      <w:r>
        <w:t>ettlement Agreement</w:t>
      </w:r>
      <w:r w:rsidRPr="00721AF7">
        <w:t>, the Signatories agreed that DEF should be authorized to continue operation and recovery of costs of the charging stations that were installed pursuant to the 2017 EV Pilot, and to implement three new EV programs, as further described in Paragraphs 17(a)</w:t>
      </w:r>
      <w:r>
        <w:t xml:space="preserve"> </w:t>
      </w:r>
      <w:r w:rsidRPr="00721AF7">
        <w:t>through (c) of the 2021 S</w:t>
      </w:r>
      <w:r>
        <w:t>ettlement Agreement</w:t>
      </w:r>
      <w:r w:rsidRPr="00721AF7">
        <w:t>.</w:t>
      </w:r>
      <w:r>
        <w:t xml:space="preserve">  Consideration of the 2021 Settlement is currently scheduled for hearing on May 4, 2021.</w:t>
      </w:r>
    </w:p>
    <w:p w:rsidR="00532350" w:rsidRPr="00EA46F4" w:rsidRDefault="00532350" w:rsidP="00532350">
      <w:pPr>
        <w:ind w:firstLine="720"/>
        <w:jc w:val="both"/>
      </w:pPr>
      <w:r>
        <w:lastRenderedPageBreak/>
        <w:t>On April 13, 2021, Walmart Inc. (Walmart)</w:t>
      </w:r>
      <w:r w:rsidRPr="00EB5771">
        <w:t xml:space="preserve"> requested permission to intervene in this proceeding</w:t>
      </w:r>
      <w:r>
        <w:t>.  Walmart represents in its petition that it conferred with the signatories to the settlement, and none indicated an objection to Walmart’s intervention.  No written response to Walmart’s petition has been received, and the time for doing so has expired.</w:t>
      </w:r>
    </w:p>
    <w:p w:rsidR="00532350" w:rsidRDefault="00532350" w:rsidP="00532350">
      <w:pPr>
        <w:jc w:val="both"/>
      </w:pPr>
    </w:p>
    <w:p w:rsidR="00532350" w:rsidRPr="00173CF1" w:rsidRDefault="00532350" w:rsidP="00532350">
      <w:pPr>
        <w:jc w:val="both"/>
        <w:rPr>
          <w:u w:val="single"/>
        </w:rPr>
      </w:pPr>
      <w:r w:rsidRPr="00173CF1">
        <w:rPr>
          <w:u w:val="single"/>
        </w:rPr>
        <w:t>Petition for Intervention</w:t>
      </w:r>
    </w:p>
    <w:p w:rsidR="00532350" w:rsidRDefault="00532350" w:rsidP="00532350">
      <w:pPr>
        <w:jc w:val="both"/>
      </w:pPr>
    </w:p>
    <w:p w:rsidR="00532350" w:rsidRPr="009C1162" w:rsidRDefault="00532350" w:rsidP="00532350">
      <w:pPr>
        <w:autoSpaceDE w:val="0"/>
        <w:autoSpaceDN w:val="0"/>
        <w:adjustRightInd w:val="0"/>
        <w:jc w:val="both"/>
      </w:pPr>
      <w:r>
        <w:tab/>
        <w:t xml:space="preserve">By Petition dated April 13, 2021, </w:t>
      </w:r>
      <w:r>
        <w:rPr>
          <w:rFonts w:eastAsiaTheme="minorEastAsia"/>
          <w:sz w:val="23"/>
          <w:szCs w:val="23"/>
        </w:rPr>
        <w:t>Walmart</w:t>
      </w:r>
      <w:r w:rsidRPr="007E0B8A">
        <w:rPr>
          <w:rFonts w:eastAsiaTheme="minorEastAsia"/>
          <w:sz w:val="23"/>
          <w:szCs w:val="23"/>
        </w:rPr>
        <w:t xml:space="preserve"> </w:t>
      </w:r>
      <w:r>
        <w:rPr>
          <w:rFonts w:eastAsiaTheme="minorEastAsia"/>
          <w:sz w:val="23"/>
          <w:szCs w:val="23"/>
        </w:rPr>
        <w:t xml:space="preserve">states that it is DEF’s retail customer who takes service from the utility through </w:t>
      </w:r>
      <w:r w:rsidRPr="007E0B8A">
        <w:rPr>
          <w:rFonts w:eastAsiaTheme="minorEastAsia"/>
          <w:sz w:val="23"/>
          <w:szCs w:val="23"/>
        </w:rPr>
        <w:t>73 retail units and one distribution center</w:t>
      </w:r>
      <w:r>
        <w:rPr>
          <w:rFonts w:eastAsiaTheme="minorEastAsia"/>
          <w:sz w:val="23"/>
          <w:szCs w:val="23"/>
        </w:rPr>
        <w:t>.</w:t>
      </w:r>
      <w:r w:rsidRPr="007E0B8A">
        <w:rPr>
          <w:rFonts w:eastAsiaTheme="minorEastAsia"/>
          <w:sz w:val="23"/>
          <w:szCs w:val="23"/>
        </w:rPr>
        <w:t xml:space="preserve"> </w:t>
      </w:r>
      <w:r>
        <w:rPr>
          <w:rFonts w:eastAsiaTheme="minorEastAsia"/>
          <w:sz w:val="23"/>
          <w:szCs w:val="23"/>
        </w:rPr>
        <w:t xml:space="preserve"> Walmart</w:t>
      </w:r>
      <w:r w:rsidRPr="007E0B8A">
        <w:rPr>
          <w:rFonts w:eastAsiaTheme="minorEastAsia"/>
          <w:sz w:val="23"/>
          <w:szCs w:val="23"/>
        </w:rPr>
        <w:t xml:space="preserve"> purchases more</w:t>
      </w:r>
      <w:r w:rsidRPr="005D2B83">
        <w:rPr>
          <w:rFonts w:eastAsiaTheme="minorEastAsia"/>
          <w:sz w:val="23"/>
          <w:szCs w:val="23"/>
        </w:rPr>
        <w:t xml:space="preserve"> </w:t>
      </w:r>
      <w:r w:rsidRPr="007E0B8A">
        <w:rPr>
          <w:rFonts w:eastAsiaTheme="minorEastAsia"/>
          <w:sz w:val="23"/>
          <w:szCs w:val="23"/>
        </w:rPr>
        <w:t>than 290 million kWh annually from DEF.</w:t>
      </w:r>
      <w:r>
        <w:rPr>
          <w:rFonts w:eastAsiaTheme="minorEastAsia"/>
          <w:sz w:val="23"/>
          <w:szCs w:val="23"/>
        </w:rPr>
        <w:t xml:space="preserve"> Although it does not oppose the proposed 2021 Settlement Agreement, Walmart asserts that it</w:t>
      </w:r>
      <w:r w:rsidRPr="005D2B83">
        <w:rPr>
          <w:rFonts w:eastAsiaTheme="minorEastAsia"/>
          <w:sz w:val="23"/>
          <w:szCs w:val="23"/>
        </w:rPr>
        <w:t xml:space="preserve"> could</w:t>
      </w:r>
      <w:r>
        <w:rPr>
          <w:rFonts w:eastAsiaTheme="minorEastAsia"/>
          <w:sz w:val="23"/>
          <w:szCs w:val="23"/>
        </w:rPr>
        <w:t xml:space="preserve"> </w:t>
      </w:r>
      <w:r w:rsidRPr="005D2B83">
        <w:rPr>
          <w:rFonts w:eastAsiaTheme="minorEastAsia"/>
          <w:sz w:val="23"/>
          <w:szCs w:val="23"/>
        </w:rPr>
        <w:t xml:space="preserve">be impacted by the outcome </w:t>
      </w:r>
      <w:r>
        <w:rPr>
          <w:rFonts w:eastAsiaTheme="minorEastAsia"/>
          <w:sz w:val="23"/>
          <w:szCs w:val="23"/>
        </w:rPr>
        <w:t>of</w:t>
      </w:r>
      <w:r w:rsidRPr="005D2B83">
        <w:rPr>
          <w:rFonts w:eastAsiaTheme="minorEastAsia"/>
          <w:sz w:val="23"/>
          <w:szCs w:val="23"/>
        </w:rPr>
        <w:t xml:space="preserve"> this case, </w:t>
      </w:r>
      <w:r>
        <w:rPr>
          <w:rFonts w:eastAsiaTheme="minorEastAsia"/>
          <w:sz w:val="23"/>
          <w:szCs w:val="23"/>
        </w:rPr>
        <w:t xml:space="preserve">and thus </w:t>
      </w:r>
      <w:r w:rsidRPr="005D2B83">
        <w:rPr>
          <w:rFonts w:eastAsiaTheme="minorEastAsia"/>
          <w:sz w:val="23"/>
          <w:szCs w:val="23"/>
        </w:rPr>
        <w:t>has a substantial interest in this</w:t>
      </w:r>
      <w:r>
        <w:rPr>
          <w:rFonts w:eastAsiaTheme="minorEastAsia"/>
          <w:sz w:val="23"/>
          <w:szCs w:val="23"/>
        </w:rPr>
        <w:t xml:space="preserve"> docket.  </w:t>
      </w:r>
      <w:r>
        <w:t>As such, Walmart contends approval of t</w:t>
      </w:r>
      <w:r w:rsidRPr="00D16A28">
        <w:t>he</w:t>
      </w:r>
      <w:r>
        <w:t xml:space="preserve"> </w:t>
      </w:r>
      <w:r w:rsidRPr="00D16A28">
        <w:t>2021 S</w:t>
      </w:r>
      <w:r>
        <w:t>ettlement Agreement</w:t>
      </w:r>
      <w:r w:rsidRPr="00D16A28">
        <w:t xml:space="preserve"> will directly impact the cost of power supplied</w:t>
      </w:r>
      <w:r>
        <w:t xml:space="preserve"> </w:t>
      </w:r>
      <w:r w:rsidRPr="00D16A28">
        <w:t xml:space="preserve">by DEF to </w:t>
      </w:r>
      <w:r>
        <w:t>Walmart</w:t>
      </w:r>
      <w:r w:rsidRPr="00D16A28">
        <w:t>'s facilities located in DEF's territory, thereby affecting its operating costs.</w:t>
      </w:r>
      <w:r>
        <w:t xml:space="preserve">  </w:t>
      </w:r>
      <w:r w:rsidRPr="00D16A28">
        <w:t>After reviewing the 2021 S</w:t>
      </w:r>
      <w:r>
        <w:t>ettlement Agreement</w:t>
      </w:r>
      <w:r w:rsidRPr="00D16A28">
        <w:t xml:space="preserve">, and associated minimum filing requirements related to </w:t>
      </w:r>
      <w:r>
        <w:t>its</w:t>
      </w:r>
      <w:r w:rsidRPr="00D16A28">
        <w:t xml:space="preserve"> facilities in DEF's territory, </w:t>
      </w:r>
      <w:r>
        <w:t>Walmart</w:t>
      </w:r>
      <w:r w:rsidRPr="00D16A28">
        <w:t xml:space="preserve"> does not oppose the approval</w:t>
      </w:r>
      <w:r>
        <w:t xml:space="preserve"> </w:t>
      </w:r>
      <w:r w:rsidRPr="00D16A28">
        <w:t xml:space="preserve">of the 2021 </w:t>
      </w:r>
      <w:r>
        <w:t>Settlement Agreement</w:t>
      </w:r>
      <w:r w:rsidRPr="00D16A28">
        <w:t>.</w:t>
      </w:r>
    </w:p>
    <w:p w:rsidR="00532350" w:rsidRDefault="00532350" w:rsidP="00532350">
      <w:pPr>
        <w:jc w:val="both"/>
      </w:pPr>
    </w:p>
    <w:p w:rsidR="00532350" w:rsidRPr="00173CF1" w:rsidRDefault="00532350" w:rsidP="00532350">
      <w:pPr>
        <w:jc w:val="both"/>
        <w:rPr>
          <w:u w:val="single"/>
        </w:rPr>
      </w:pPr>
      <w:r w:rsidRPr="00173CF1">
        <w:rPr>
          <w:u w:val="single"/>
        </w:rPr>
        <w:t>Standard for Intervention</w:t>
      </w:r>
    </w:p>
    <w:p w:rsidR="00532350" w:rsidRDefault="00532350" w:rsidP="00532350">
      <w:pPr>
        <w:jc w:val="both"/>
      </w:pPr>
    </w:p>
    <w:p w:rsidR="00532350" w:rsidRDefault="00532350" w:rsidP="00532350">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532350" w:rsidRDefault="00532350" w:rsidP="00532350">
      <w:pPr>
        <w:ind w:firstLine="720"/>
        <w:jc w:val="both"/>
      </w:pPr>
    </w:p>
    <w:p w:rsidR="00532350" w:rsidRDefault="00532350" w:rsidP="00532350">
      <w:pPr>
        <w:ind w:firstLine="720"/>
        <w:jc w:val="both"/>
      </w:pPr>
      <w:r>
        <w:t xml:space="preserve">To have standing, the intervenor must meet the two-prong standing test set forth in </w:t>
      </w:r>
      <w:r w:rsidRPr="00B350A4">
        <w:rPr>
          <w:i/>
        </w:rPr>
        <w:t>Agrico Chemical Company v. Department of Environmental Regulation</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sidRPr="00B350A4">
        <w:rPr>
          <w:i/>
        </w:rPr>
        <w:t>International Jai-Alai Players Assn. v. Florida Pari-Mutuel Commission</w:t>
      </w:r>
      <w:r>
        <w:t xml:space="preserve">, 561 So. 2d 1224, 1225-26 (Fla. 3d DCA 1990).  </w:t>
      </w:r>
      <w:r w:rsidRPr="00B350A4">
        <w:rPr>
          <w:i/>
        </w:rPr>
        <w:t>See also Village Park Mobile Home Assn., Inc. v. State Dept. of Business Regulation</w:t>
      </w:r>
      <w:r>
        <w:t xml:space="preserve">, 506 So. 2d 426, 434 (Fla. 1st DCA 1987), </w:t>
      </w:r>
      <w:r w:rsidRPr="00B350A4">
        <w:rPr>
          <w:i/>
        </w:rPr>
        <w:t>rev. den.</w:t>
      </w:r>
      <w:r>
        <w:t>, 513 So. 2d 1063 (Fla. 1987) (speculation on the possible occurrence of injurious events is too remote).</w:t>
      </w:r>
    </w:p>
    <w:p w:rsidR="00532350" w:rsidRDefault="00532350" w:rsidP="00D57E57">
      <w:pPr>
        <w:sectPr w:rsidR="00532350">
          <w:headerReference w:type="default" r:id="rId6"/>
          <w:footerReference w:type="first" r:id="rId7"/>
          <w:pgSz w:w="12240" w:h="15840" w:code="1"/>
          <w:pgMar w:top="1440" w:right="1440" w:bottom="1440" w:left="1440" w:header="720" w:footer="720" w:gutter="0"/>
          <w:cols w:space="720"/>
          <w:titlePg/>
          <w:docGrid w:linePitch="360"/>
        </w:sectPr>
      </w:pPr>
    </w:p>
    <w:p w:rsidR="00532350" w:rsidRDefault="00532350" w:rsidP="00D57E57">
      <w:r>
        <w:br w:type="page"/>
      </w:r>
    </w:p>
    <w:p w:rsidR="00532350" w:rsidRDefault="00532350" w:rsidP="00532350">
      <w:pPr>
        <w:jc w:val="both"/>
        <w:rPr>
          <w:u w:val="single"/>
        </w:rPr>
      </w:pPr>
      <w:r>
        <w:rPr>
          <w:u w:val="single"/>
        </w:rPr>
        <w:lastRenderedPageBreak/>
        <w:t>Analysis and Ruling</w:t>
      </w:r>
    </w:p>
    <w:p w:rsidR="00532350" w:rsidRPr="0046510B" w:rsidRDefault="00532350" w:rsidP="00532350">
      <w:pPr>
        <w:jc w:val="both"/>
        <w:rPr>
          <w:u w:val="single"/>
        </w:rPr>
      </w:pPr>
    </w:p>
    <w:p w:rsidR="00532350" w:rsidRDefault="00532350" w:rsidP="00532350">
      <w:pPr>
        <w:ind w:firstLine="720"/>
        <w:jc w:val="both"/>
      </w:pPr>
      <w:r>
        <w:t xml:space="preserve">Based on the above representations, it appears that Walmart has met the two-prong standing test in </w:t>
      </w:r>
      <w:r w:rsidRPr="00B350A4">
        <w:rPr>
          <w:i/>
        </w:rPr>
        <w:t>Agrico</w:t>
      </w:r>
      <w:r>
        <w:t>.  Walmart is a retail customer of DEF, and Walmart’s interests may be substantially affected by this proceeding.  Accordingly, Walmart’s petition for intervention shall be granted as set forth herein.  Pursuant to Rule 28-106.205, F.A.C., Walmart takes the case as it finds it.</w:t>
      </w:r>
    </w:p>
    <w:p w:rsidR="00532350" w:rsidRPr="009C1162" w:rsidRDefault="00532350" w:rsidP="00532350">
      <w:pPr>
        <w:ind w:firstLine="720"/>
        <w:jc w:val="both"/>
      </w:pPr>
    </w:p>
    <w:p w:rsidR="00532350" w:rsidRPr="00826D5E" w:rsidRDefault="00532350" w:rsidP="00532350">
      <w:pPr>
        <w:jc w:val="both"/>
      </w:pPr>
      <w:r w:rsidRPr="00826D5E">
        <w:tab/>
      </w:r>
      <w:r>
        <w:t>Based on the foregoing,</w:t>
      </w:r>
      <w:r w:rsidRPr="00826D5E">
        <w:t xml:space="preserve"> it is</w:t>
      </w:r>
    </w:p>
    <w:p w:rsidR="00532350" w:rsidRPr="00826D5E" w:rsidRDefault="00532350" w:rsidP="00532350">
      <w:pPr>
        <w:jc w:val="both"/>
      </w:pPr>
    </w:p>
    <w:p w:rsidR="00532350" w:rsidRDefault="00532350" w:rsidP="00532350">
      <w:pPr>
        <w:ind w:firstLine="720"/>
        <w:jc w:val="both"/>
      </w:pPr>
      <w:r>
        <w:t>ORDERED by Commissioner Mike La Rosa, as Prehearing Officer, that the Petition to Intervene filed by Walmart Inc. is hereby granted as set forth in the body of this Order.  It is further</w:t>
      </w:r>
    </w:p>
    <w:p w:rsidR="00532350" w:rsidRDefault="00532350" w:rsidP="00532350">
      <w:pPr>
        <w:ind w:firstLine="720"/>
        <w:jc w:val="both"/>
      </w:pPr>
    </w:p>
    <w:p w:rsidR="00532350" w:rsidRDefault="00532350" w:rsidP="00532350">
      <w:pPr>
        <w:ind w:firstLine="720"/>
        <w:jc w:val="both"/>
      </w:pPr>
      <w:r>
        <w:t xml:space="preserve">ORDERED that Walmart Inc. takes the case as it finds it.  It is further </w:t>
      </w:r>
    </w:p>
    <w:p w:rsidR="00532350" w:rsidRDefault="00532350" w:rsidP="00532350">
      <w:pPr>
        <w:ind w:firstLine="720"/>
        <w:jc w:val="both"/>
      </w:pPr>
    </w:p>
    <w:p w:rsidR="00532350" w:rsidRDefault="00532350" w:rsidP="00532350">
      <w:pPr>
        <w:ind w:firstLine="720"/>
        <w:jc w:val="both"/>
      </w:pPr>
      <w:r>
        <w:t>ORDERED that all parties to this proceeding shall furnish copies of all testimony, exhibits, pleadings, and other documents which may hereinafter be filed in this proceeding to:</w:t>
      </w:r>
    </w:p>
    <w:p w:rsidR="00532350" w:rsidRDefault="00532350" w:rsidP="00532350">
      <w:pPr>
        <w:ind w:firstLine="720"/>
        <w:jc w:val="both"/>
      </w:pPr>
    </w:p>
    <w:p w:rsidR="00532350" w:rsidRDefault="00532350" w:rsidP="00532350">
      <w:pPr>
        <w:autoSpaceDE w:val="0"/>
        <w:autoSpaceDN w:val="0"/>
        <w:adjustRightInd w:val="0"/>
        <w:ind w:firstLine="720"/>
        <w:rPr>
          <w:color w:val="111111"/>
          <w:sz w:val="23"/>
          <w:szCs w:val="23"/>
        </w:rPr>
      </w:pPr>
      <w:r>
        <w:rPr>
          <w:color w:val="111111"/>
          <w:sz w:val="23"/>
          <w:szCs w:val="23"/>
        </w:rPr>
        <w:t>Steph</w:t>
      </w:r>
      <w:r>
        <w:rPr>
          <w:color w:val="3A3A3A"/>
          <w:sz w:val="23"/>
          <w:szCs w:val="23"/>
        </w:rPr>
        <w:t>a</w:t>
      </w:r>
      <w:r>
        <w:rPr>
          <w:color w:val="111111"/>
          <w:sz w:val="23"/>
          <w:szCs w:val="23"/>
        </w:rPr>
        <w:t xml:space="preserve">nie </w:t>
      </w:r>
      <w:r>
        <w:rPr>
          <w:color w:val="262626"/>
          <w:sz w:val="23"/>
          <w:szCs w:val="23"/>
        </w:rPr>
        <w:t>U</w:t>
      </w:r>
      <w:r>
        <w:rPr>
          <w:color w:val="4B4850"/>
          <w:sz w:val="23"/>
          <w:szCs w:val="23"/>
        </w:rPr>
        <w:t xml:space="preserve">. </w:t>
      </w:r>
      <w:r>
        <w:rPr>
          <w:color w:val="111111"/>
          <w:sz w:val="23"/>
          <w:szCs w:val="23"/>
        </w:rPr>
        <w:t>Eaton</w:t>
      </w:r>
    </w:p>
    <w:p w:rsidR="00532350" w:rsidRDefault="00532350" w:rsidP="00532350">
      <w:pPr>
        <w:autoSpaceDE w:val="0"/>
        <w:autoSpaceDN w:val="0"/>
        <w:adjustRightInd w:val="0"/>
        <w:ind w:firstLine="720"/>
        <w:rPr>
          <w:color w:val="111111"/>
          <w:sz w:val="23"/>
          <w:szCs w:val="23"/>
        </w:rPr>
      </w:pPr>
      <w:r>
        <w:rPr>
          <w:color w:val="111111"/>
          <w:sz w:val="23"/>
          <w:szCs w:val="23"/>
        </w:rPr>
        <w:t>Florida Bar No</w:t>
      </w:r>
      <w:r>
        <w:rPr>
          <w:color w:val="4B4850"/>
          <w:sz w:val="23"/>
          <w:szCs w:val="23"/>
        </w:rPr>
        <w:t>.</w:t>
      </w:r>
      <w:r>
        <w:rPr>
          <w:color w:val="262626"/>
          <w:sz w:val="23"/>
          <w:szCs w:val="23"/>
        </w:rPr>
        <w:t xml:space="preserve">: </w:t>
      </w:r>
      <w:r>
        <w:rPr>
          <w:color w:val="111111"/>
          <w:sz w:val="23"/>
          <w:szCs w:val="23"/>
        </w:rPr>
        <w:t>165610</w:t>
      </w:r>
    </w:p>
    <w:p w:rsidR="00532350" w:rsidRDefault="00532350" w:rsidP="00532350">
      <w:pPr>
        <w:autoSpaceDE w:val="0"/>
        <w:autoSpaceDN w:val="0"/>
        <w:adjustRightInd w:val="0"/>
        <w:ind w:firstLine="720"/>
        <w:rPr>
          <w:color w:val="111111"/>
          <w:sz w:val="23"/>
          <w:szCs w:val="23"/>
        </w:rPr>
      </w:pPr>
      <w:r>
        <w:rPr>
          <w:color w:val="262626"/>
          <w:sz w:val="23"/>
          <w:szCs w:val="23"/>
        </w:rPr>
        <w:t xml:space="preserve">SPILMAN </w:t>
      </w:r>
      <w:r>
        <w:rPr>
          <w:color w:val="111111"/>
          <w:sz w:val="23"/>
          <w:szCs w:val="23"/>
        </w:rPr>
        <w:t xml:space="preserve">THOMAS </w:t>
      </w:r>
      <w:r>
        <w:rPr>
          <w:color w:val="262626"/>
          <w:sz w:val="23"/>
          <w:szCs w:val="23"/>
        </w:rPr>
        <w:t xml:space="preserve">&amp; </w:t>
      </w:r>
      <w:r>
        <w:rPr>
          <w:color w:val="111111"/>
          <w:sz w:val="23"/>
          <w:szCs w:val="23"/>
        </w:rPr>
        <w:t>BATTLE, PLLC</w:t>
      </w:r>
    </w:p>
    <w:p w:rsidR="00532350" w:rsidRDefault="00532350" w:rsidP="00532350">
      <w:pPr>
        <w:autoSpaceDE w:val="0"/>
        <w:autoSpaceDN w:val="0"/>
        <w:adjustRightInd w:val="0"/>
        <w:ind w:firstLine="720"/>
        <w:rPr>
          <w:color w:val="111111"/>
          <w:sz w:val="23"/>
          <w:szCs w:val="23"/>
        </w:rPr>
      </w:pPr>
      <w:r>
        <w:rPr>
          <w:color w:val="111111"/>
          <w:sz w:val="23"/>
          <w:szCs w:val="23"/>
        </w:rPr>
        <w:t>110 Oakwood Drive</w:t>
      </w:r>
      <w:r>
        <w:rPr>
          <w:color w:val="3A3A3A"/>
          <w:sz w:val="23"/>
          <w:szCs w:val="23"/>
        </w:rPr>
        <w:t xml:space="preserve">, </w:t>
      </w:r>
      <w:r>
        <w:rPr>
          <w:color w:val="111111"/>
          <w:sz w:val="23"/>
          <w:szCs w:val="23"/>
        </w:rPr>
        <w:t>Suite 500</w:t>
      </w:r>
    </w:p>
    <w:p w:rsidR="00532350" w:rsidRDefault="00532350" w:rsidP="00532350">
      <w:pPr>
        <w:autoSpaceDE w:val="0"/>
        <w:autoSpaceDN w:val="0"/>
        <w:adjustRightInd w:val="0"/>
        <w:ind w:firstLine="720"/>
        <w:rPr>
          <w:color w:val="111111"/>
          <w:sz w:val="23"/>
          <w:szCs w:val="23"/>
        </w:rPr>
      </w:pPr>
      <w:r>
        <w:rPr>
          <w:color w:val="111111"/>
          <w:sz w:val="23"/>
          <w:szCs w:val="23"/>
        </w:rPr>
        <w:t>Winston-Salem</w:t>
      </w:r>
      <w:r>
        <w:rPr>
          <w:color w:val="3A3A3A"/>
          <w:sz w:val="23"/>
          <w:szCs w:val="23"/>
        </w:rPr>
        <w:t xml:space="preserve">, </w:t>
      </w:r>
      <w:r>
        <w:rPr>
          <w:color w:val="111111"/>
          <w:sz w:val="23"/>
          <w:szCs w:val="23"/>
        </w:rPr>
        <w:t>NC 27103</w:t>
      </w:r>
    </w:p>
    <w:p w:rsidR="00532350" w:rsidRDefault="00532350" w:rsidP="00532350">
      <w:pPr>
        <w:autoSpaceDE w:val="0"/>
        <w:autoSpaceDN w:val="0"/>
        <w:adjustRightInd w:val="0"/>
        <w:ind w:firstLine="720"/>
        <w:rPr>
          <w:color w:val="262626"/>
          <w:sz w:val="23"/>
          <w:szCs w:val="23"/>
        </w:rPr>
      </w:pPr>
      <w:r>
        <w:rPr>
          <w:color w:val="111111"/>
          <w:sz w:val="23"/>
          <w:szCs w:val="23"/>
        </w:rPr>
        <w:t>Phone</w:t>
      </w:r>
      <w:r>
        <w:rPr>
          <w:color w:val="3A3A3A"/>
          <w:sz w:val="23"/>
          <w:szCs w:val="23"/>
        </w:rPr>
        <w:t xml:space="preserve">: </w:t>
      </w:r>
      <w:r>
        <w:rPr>
          <w:color w:val="262626"/>
          <w:sz w:val="23"/>
          <w:szCs w:val="23"/>
        </w:rPr>
        <w:t>(3 3 6) 631-1062</w:t>
      </w:r>
    </w:p>
    <w:p w:rsidR="00532350" w:rsidRDefault="00532350" w:rsidP="00532350">
      <w:pPr>
        <w:autoSpaceDE w:val="0"/>
        <w:autoSpaceDN w:val="0"/>
        <w:adjustRightInd w:val="0"/>
        <w:ind w:firstLine="720"/>
        <w:rPr>
          <w:color w:val="262626"/>
          <w:sz w:val="23"/>
          <w:szCs w:val="23"/>
        </w:rPr>
      </w:pPr>
      <w:r>
        <w:rPr>
          <w:color w:val="111111"/>
          <w:sz w:val="23"/>
          <w:szCs w:val="23"/>
        </w:rPr>
        <w:t>F</w:t>
      </w:r>
      <w:r>
        <w:rPr>
          <w:color w:val="3A3A3A"/>
          <w:sz w:val="23"/>
          <w:szCs w:val="23"/>
        </w:rPr>
        <w:t xml:space="preserve">ax: </w:t>
      </w:r>
      <w:r>
        <w:rPr>
          <w:color w:val="262626"/>
          <w:sz w:val="23"/>
          <w:szCs w:val="23"/>
        </w:rPr>
        <w:t>(336) 725-4476</w:t>
      </w:r>
    </w:p>
    <w:p w:rsidR="00532350" w:rsidRDefault="00B31B3D" w:rsidP="00532350">
      <w:pPr>
        <w:autoSpaceDE w:val="0"/>
        <w:autoSpaceDN w:val="0"/>
        <w:adjustRightInd w:val="0"/>
        <w:ind w:firstLine="720"/>
        <w:rPr>
          <w:color w:val="262626"/>
          <w:sz w:val="23"/>
          <w:szCs w:val="23"/>
        </w:rPr>
      </w:pPr>
      <w:hyperlink r:id="rId8" w:history="1">
        <w:r w:rsidR="00532350" w:rsidRPr="00F60C63">
          <w:rPr>
            <w:rStyle w:val="Hyperlink"/>
            <w:sz w:val="23"/>
            <w:szCs w:val="23"/>
          </w:rPr>
          <w:t>seaton@spilmanlaw.com</w:t>
        </w:r>
      </w:hyperlink>
    </w:p>
    <w:p w:rsidR="00532350" w:rsidRDefault="00532350" w:rsidP="00532350">
      <w:pPr>
        <w:autoSpaceDE w:val="0"/>
        <w:autoSpaceDN w:val="0"/>
        <w:adjustRightInd w:val="0"/>
        <w:rPr>
          <w:color w:val="262626"/>
          <w:sz w:val="23"/>
          <w:szCs w:val="23"/>
        </w:rPr>
      </w:pPr>
    </w:p>
    <w:p w:rsidR="00532350" w:rsidRDefault="00532350" w:rsidP="00532350">
      <w:pPr>
        <w:autoSpaceDE w:val="0"/>
        <w:autoSpaceDN w:val="0"/>
        <w:adjustRightInd w:val="0"/>
        <w:ind w:firstLine="720"/>
        <w:rPr>
          <w:color w:val="111111"/>
          <w:sz w:val="23"/>
          <w:szCs w:val="23"/>
        </w:rPr>
      </w:pPr>
      <w:r>
        <w:rPr>
          <w:color w:val="111111"/>
          <w:sz w:val="23"/>
          <w:szCs w:val="23"/>
        </w:rPr>
        <w:t xml:space="preserve">Barry </w:t>
      </w:r>
      <w:r>
        <w:rPr>
          <w:color w:val="262626"/>
          <w:sz w:val="23"/>
          <w:szCs w:val="23"/>
        </w:rPr>
        <w:t xml:space="preserve">A. </w:t>
      </w:r>
      <w:r>
        <w:rPr>
          <w:color w:val="111111"/>
          <w:sz w:val="23"/>
          <w:szCs w:val="23"/>
        </w:rPr>
        <w:t>Naum</w:t>
      </w:r>
    </w:p>
    <w:p w:rsidR="00532350" w:rsidRDefault="00532350" w:rsidP="00532350">
      <w:pPr>
        <w:autoSpaceDE w:val="0"/>
        <w:autoSpaceDN w:val="0"/>
        <w:adjustRightInd w:val="0"/>
        <w:ind w:firstLine="720"/>
        <w:rPr>
          <w:color w:val="111111"/>
          <w:sz w:val="23"/>
          <w:szCs w:val="23"/>
        </w:rPr>
      </w:pPr>
      <w:r>
        <w:rPr>
          <w:color w:val="262626"/>
          <w:sz w:val="23"/>
          <w:szCs w:val="23"/>
        </w:rPr>
        <w:t xml:space="preserve">SPILMAN </w:t>
      </w:r>
      <w:r>
        <w:rPr>
          <w:color w:val="111111"/>
          <w:sz w:val="23"/>
          <w:szCs w:val="23"/>
        </w:rPr>
        <w:t>THOMAS &amp; BATTLE, PLLC</w:t>
      </w:r>
    </w:p>
    <w:p w:rsidR="00532350" w:rsidRDefault="00532350" w:rsidP="00532350">
      <w:pPr>
        <w:autoSpaceDE w:val="0"/>
        <w:autoSpaceDN w:val="0"/>
        <w:adjustRightInd w:val="0"/>
        <w:ind w:firstLine="720"/>
        <w:rPr>
          <w:color w:val="111111"/>
          <w:sz w:val="23"/>
          <w:szCs w:val="23"/>
        </w:rPr>
      </w:pPr>
      <w:r>
        <w:rPr>
          <w:color w:val="111111"/>
          <w:sz w:val="23"/>
          <w:szCs w:val="23"/>
        </w:rPr>
        <w:t xml:space="preserve">1100 Bent </w:t>
      </w:r>
      <w:r>
        <w:rPr>
          <w:color w:val="262626"/>
          <w:sz w:val="23"/>
          <w:szCs w:val="23"/>
        </w:rPr>
        <w:t xml:space="preserve">Creek </w:t>
      </w:r>
      <w:r>
        <w:rPr>
          <w:color w:val="111111"/>
          <w:sz w:val="23"/>
          <w:szCs w:val="23"/>
        </w:rPr>
        <w:t>Boulevard, Suite 101</w:t>
      </w:r>
    </w:p>
    <w:p w:rsidR="00532350" w:rsidRDefault="00532350" w:rsidP="00532350">
      <w:pPr>
        <w:autoSpaceDE w:val="0"/>
        <w:autoSpaceDN w:val="0"/>
        <w:adjustRightInd w:val="0"/>
        <w:ind w:firstLine="720"/>
        <w:rPr>
          <w:color w:val="111111"/>
          <w:sz w:val="23"/>
          <w:szCs w:val="23"/>
        </w:rPr>
      </w:pPr>
      <w:r>
        <w:rPr>
          <w:color w:val="111111"/>
          <w:sz w:val="23"/>
          <w:szCs w:val="23"/>
        </w:rPr>
        <w:t>Mech</w:t>
      </w:r>
      <w:r>
        <w:rPr>
          <w:color w:val="3A3A3A"/>
          <w:sz w:val="23"/>
          <w:szCs w:val="23"/>
        </w:rPr>
        <w:t>a</w:t>
      </w:r>
      <w:r>
        <w:rPr>
          <w:color w:val="111111"/>
          <w:sz w:val="23"/>
          <w:szCs w:val="23"/>
        </w:rPr>
        <w:t>nicsburg, PA 17050</w:t>
      </w:r>
    </w:p>
    <w:p w:rsidR="00532350" w:rsidRDefault="00532350" w:rsidP="00532350">
      <w:pPr>
        <w:autoSpaceDE w:val="0"/>
        <w:autoSpaceDN w:val="0"/>
        <w:adjustRightInd w:val="0"/>
        <w:ind w:firstLine="720"/>
        <w:rPr>
          <w:color w:val="262626"/>
          <w:sz w:val="23"/>
          <w:szCs w:val="23"/>
        </w:rPr>
      </w:pPr>
      <w:r>
        <w:rPr>
          <w:color w:val="111111"/>
          <w:sz w:val="23"/>
          <w:szCs w:val="23"/>
        </w:rPr>
        <w:t>Phone</w:t>
      </w:r>
      <w:r>
        <w:rPr>
          <w:color w:val="3A3A3A"/>
          <w:sz w:val="23"/>
          <w:szCs w:val="23"/>
        </w:rPr>
        <w:t xml:space="preserve">: </w:t>
      </w:r>
      <w:r>
        <w:rPr>
          <w:color w:val="262626"/>
          <w:sz w:val="23"/>
          <w:szCs w:val="23"/>
        </w:rPr>
        <w:t>(717) 795-2742</w:t>
      </w:r>
    </w:p>
    <w:p w:rsidR="00532350" w:rsidRDefault="00532350" w:rsidP="00532350">
      <w:pPr>
        <w:autoSpaceDE w:val="0"/>
        <w:autoSpaceDN w:val="0"/>
        <w:adjustRightInd w:val="0"/>
        <w:ind w:firstLine="720"/>
        <w:rPr>
          <w:color w:val="262626"/>
          <w:sz w:val="23"/>
          <w:szCs w:val="23"/>
        </w:rPr>
      </w:pPr>
      <w:r>
        <w:rPr>
          <w:color w:val="111111"/>
          <w:sz w:val="23"/>
          <w:szCs w:val="23"/>
        </w:rPr>
        <w:t xml:space="preserve">Fax: </w:t>
      </w:r>
      <w:r>
        <w:rPr>
          <w:color w:val="262626"/>
          <w:sz w:val="23"/>
          <w:szCs w:val="23"/>
        </w:rPr>
        <w:t>(717) 795-2743</w:t>
      </w:r>
    </w:p>
    <w:p w:rsidR="00532350" w:rsidRDefault="00B31B3D" w:rsidP="00532350">
      <w:pPr>
        <w:autoSpaceDE w:val="0"/>
        <w:autoSpaceDN w:val="0"/>
        <w:adjustRightInd w:val="0"/>
        <w:ind w:firstLine="720"/>
        <w:rPr>
          <w:color w:val="262626"/>
          <w:sz w:val="23"/>
          <w:szCs w:val="23"/>
        </w:rPr>
      </w:pPr>
      <w:hyperlink r:id="rId9" w:history="1">
        <w:r w:rsidR="00532350" w:rsidRPr="00F60C63">
          <w:rPr>
            <w:rStyle w:val="Hyperlink"/>
            <w:sz w:val="23"/>
            <w:szCs w:val="23"/>
          </w:rPr>
          <w:t>bnaum@spilmanlaw.com</w:t>
        </w:r>
      </w:hyperlink>
    </w:p>
    <w:p w:rsidR="00532350" w:rsidRDefault="00532350" w:rsidP="00532350">
      <w:pPr>
        <w:autoSpaceDE w:val="0"/>
        <w:autoSpaceDN w:val="0"/>
        <w:adjustRightInd w:val="0"/>
        <w:rPr>
          <w:color w:val="262626"/>
          <w:sz w:val="23"/>
          <w:szCs w:val="23"/>
        </w:rPr>
      </w:pPr>
    </w:p>
    <w:p w:rsidR="00532350" w:rsidRDefault="00532350" w:rsidP="00094C6D">
      <w:pPr>
        <w:pStyle w:val="OrderBody"/>
        <w:keepNext/>
        <w:keepLines/>
        <w:ind w:firstLine="720"/>
      </w:pPr>
      <w:r>
        <w:lastRenderedPageBreak/>
        <w:t xml:space="preserve">By ORDER of Commissioner Mike La Rosa, as Prehearing Officer, this </w:t>
      </w:r>
      <w:bookmarkStart w:id="8" w:name="replaceDate"/>
      <w:bookmarkEnd w:id="8"/>
      <w:r w:rsidR="00094C6D">
        <w:rPr>
          <w:u w:val="single"/>
        </w:rPr>
        <w:t>22nd</w:t>
      </w:r>
      <w:r w:rsidR="00094C6D">
        <w:t xml:space="preserve"> day of </w:t>
      </w:r>
      <w:r w:rsidR="00094C6D">
        <w:rPr>
          <w:u w:val="single"/>
        </w:rPr>
        <w:t>April</w:t>
      </w:r>
      <w:r w:rsidR="00094C6D">
        <w:t xml:space="preserve">, </w:t>
      </w:r>
      <w:r w:rsidR="00094C6D">
        <w:rPr>
          <w:u w:val="single"/>
        </w:rPr>
        <w:t>2021</w:t>
      </w:r>
      <w:r w:rsidR="00094C6D">
        <w:t>.</w:t>
      </w:r>
    </w:p>
    <w:p w:rsidR="00094C6D" w:rsidRPr="00094C6D" w:rsidRDefault="00094C6D" w:rsidP="00094C6D">
      <w:pPr>
        <w:pStyle w:val="OrderBody"/>
        <w:keepNext/>
        <w:keepLines/>
        <w:ind w:firstLine="720"/>
      </w:pPr>
    </w:p>
    <w:p w:rsidR="00532350" w:rsidRDefault="00532350" w:rsidP="00532350">
      <w:pPr>
        <w:pStyle w:val="OrderBody"/>
        <w:keepNext/>
        <w:keepLines/>
      </w:pPr>
    </w:p>
    <w:p w:rsidR="00532350" w:rsidRDefault="00532350" w:rsidP="00532350">
      <w:pPr>
        <w:pStyle w:val="OrderBody"/>
        <w:keepNext/>
        <w:keepLines/>
      </w:pPr>
    </w:p>
    <w:p w:rsidR="00532350" w:rsidRDefault="00532350" w:rsidP="0053235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32350" w:rsidTr="00533997">
        <w:tc>
          <w:tcPr>
            <w:tcW w:w="720" w:type="dxa"/>
            <w:shd w:val="clear" w:color="auto" w:fill="auto"/>
          </w:tcPr>
          <w:p w:rsidR="00532350" w:rsidRDefault="00532350" w:rsidP="00533997">
            <w:pPr>
              <w:pStyle w:val="OrderBody"/>
              <w:keepNext/>
              <w:keepLines/>
            </w:pPr>
            <w:bookmarkStart w:id="9" w:name="bkmrkSignature" w:colFirst="0" w:colLast="0"/>
          </w:p>
        </w:tc>
        <w:tc>
          <w:tcPr>
            <w:tcW w:w="4320" w:type="dxa"/>
            <w:tcBorders>
              <w:bottom w:val="single" w:sz="4" w:space="0" w:color="auto"/>
            </w:tcBorders>
            <w:shd w:val="clear" w:color="auto" w:fill="auto"/>
          </w:tcPr>
          <w:p w:rsidR="00532350" w:rsidRDefault="00B31B3D" w:rsidP="00533997">
            <w:pPr>
              <w:pStyle w:val="OrderBody"/>
              <w:keepNext/>
              <w:keepLines/>
            </w:pPr>
            <w:r>
              <w:rPr>
                <w:noProof/>
              </w:rPr>
              <w:t>/s/ Mike La Rosa</w:t>
            </w:r>
            <w:bookmarkStart w:id="10" w:name="_GoBack"/>
            <w:bookmarkEnd w:id="10"/>
          </w:p>
        </w:tc>
      </w:tr>
      <w:bookmarkEnd w:id="9"/>
      <w:tr w:rsidR="00532350" w:rsidTr="00533997">
        <w:tc>
          <w:tcPr>
            <w:tcW w:w="720" w:type="dxa"/>
            <w:shd w:val="clear" w:color="auto" w:fill="auto"/>
          </w:tcPr>
          <w:p w:rsidR="00532350" w:rsidRDefault="00532350" w:rsidP="00533997">
            <w:pPr>
              <w:pStyle w:val="OrderBody"/>
              <w:keepNext/>
              <w:keepLines/>
            </w:pPr>
          </w:p>
        </w:tc>
        <w:tc>
          <w:tcPr>
            <w:tcW w:w="4320" w:type="dxa"/>
            <w:tcBorders>
              <w:top w:val="single" w:sz="4" w:space="0" w:color="auto"/>
            </w:tcBorders>
            <w:shd w:val="clear" w:color="auto" w:fill="auto"/>
          </w:tcPr>
          <w:p w:rsidR="00532350" w:rsidRDefault="00532350" w:rsidP="00533997">
            <w:pPr>
              <w:pStyle w:val="OrderBody"/>
              <w:keepNext/>
              <w:keepLines/>
            </w:pPr>
            <w:r>
              <w:t>Mike La Rosa</w:t>
            </w:r>
          </w:p>
          <w:p w:rsidR="00532350" w:rsidRDefault="00532350" w:rsidP="00533997">
            <w:pPr>
              <w:pStyle w:val="OrderBody"/>
              <w:keepNext/>
              <w:keepLines/>
            </w:pPr>
            <w:r>
              <w:t>Commissioner and Prehearing Officer</w:t>
            </w:r>
          </w:p>
        </w:tc>
      </w:tr>
    </w:tbl>
    <w:p w:rsidR="00532350" w:rsidRDefault="00532350" w:rsidP="00532350">
      <w:pPr>
        <w:pStyle w:val="OrderSigInfo"/>
        <w:keepNext/>
        <w:keepLines/>
      </w:pPr>
      <w:r>
        <w:t>Florida Public Service Commission</w:t>
      </w:r>
    </w:p>
    <w:p w:rsidR="00532350" w:rsidRDefault="00532350" w:rsidP="00532350">
      <w:pPr>
        <w:pStyle w:val="OrderSigInfo"/>
        <w:keepNext/>
        <w:keepLines/>
      </w:pPr>
      <w:r>
        <w:t>2540 Shumard Oak Boulevard</w:t>
      </w:r>
    </w:p>
    <w:p w:rsidR="00532350" w:rsidRDefault="00532350" w:rsidP="00532350">
      <w:pPr>
        <w:pStyle w:val="OrderSigInfo"/>
        <w:keepNext/>
        <w:keepLines/>
      </w:pPr>
      <w:r>
        <w:t>Tallahassee, Florida 32399</w:t>
      </w:r>
    </w:p>
    <w:p w:rsidR="00532350" w:rsidRDefault="00532350" w:rsidP="00532350">
      <w:pPr>
        <w:pStyle w:val="OrderSigInfo"/>
        <w:keepNext/>
        <w:keepLines/>
      </w:pPr>
      <w:r>
        <w:t>(850) 413</w:t>
      </w:r>
      <w:r>
        <w:noBreakHyphen/>
        <w:t>6770</w:t>
      </w:r>
    </w:p>
    <w:p w:rsidR="00532350" w:rsidRDefault="00532350" w:rsidP="00532350">
      <w:pPr>
        <w:pStyle w:val="OrderSigInfo"/>
        <w:keepNext/>
        <w:keepLines/>
      </w:pPr>
      <w:r>
        <w:t>www.floridapsc.com</w:t>
      </w:r>
    </w:p>
    <w:p w:rsidR="00532350" w:rsidRDefault="00532350" w:rsidP="00532350">
      <w:pPr>
        <w:pStyle w:val="OrderSigInfo"/>
        <w:keepNext/>
        <w:keepLines/>
      </w:pPr>
    </w:p>
    <w:p w:rsidR="00532350" w:rsidRDefault="00532350" w:rsidP="00532350">
      <w:pPr>
        <w:pStyle w:val="OrderSigInfo"/>
        <w:keepNext/>
        <w:keepLines/>
      </w:pPr>
      <w:r>
        <w:t>Copies furnished:  A copy of this document is provided to the parties of record at the time of issuance and, if applicable, interested persons.</w:t>
      </w:r>
    </w:p>
    <w:p w:rsidR="00532350" w:rsidRDefault="00532350" w:rsidP="00532350">
      <w:pPr>
        <w:pStyle w:val="OrderBody"/>
        <w:keepNext/>
        <w:keepLines/>
      </w:pPr>
    </w:p>
    <w:p w:rsidR="00532350" w:rsidRDefault="00532350" w:rsidP="00532350">
      <w:pPr>
        <w:pStyle w:val="OrderBody"/>
        <w:keepNext/>
        <w:keepLines/>
      </w:pPr>
    </w:p>
    <w:p w:rsidR="00532350" w:rsidRDefault="00532350" w:rsidP="00532350">
      <w:pPr>
        <w:pStyle w:val="OrderBody"/>
        <w:keepNext/>
        <w:keepLines/>
      </w:pPr>
      <w:r>
        <w:t>WLT</w:t>
      </w:r>
    </w:p>
    <w:p w:rsidR="00532350" w:rsidRDefault="00532350" w:rsidP="00532350"/>
    <w:p w:rsidR="00532350" w:rsidRDefault="00532350" w:rsidP="00532350">
      <w:pPr>
        <w:pStyle w:val="CenterUnderline"/>
      </w:pPr>
      <w:r>
        <w:t>NOTICE OF FURTHER PROCEEDINGS OR JUDICIAL REVIEW</w:t>
      </w:r>
    </w:p>
    <w:p w:rsidR="00532350" w:rsidRDefault="00532350" w:rsidP="00532350">
      <w:pPr>
        <w:pStyle w:val="CenterUnderline"/>
      </w:pPr>
    </w:p>
    <w:p w:rsidR="00532350" w:rsidRDefault="00532350" w:rsidP="005323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32350" w:rsidRDefault="00532350" w:rsidP="00532350">
      <w:pPr>
        <w:pStyle w:val="OrderBody"/>
      </w:pPr>
    </w:p>
    <w:p w:rsidR="00532350" w:rsidRDefault="00532350" w:rsidP="00532350">
      <w:pPr>
        <w:pStyle w:val="OrderBody"/>
      </w:pPr>
      <w:r>
        <w:tab/>
        <w:t>Mediation may be available on a case-by-case basis.  If mediation is conducted, it does not affect a substantially interested person's right to a hearing.</w:t>
      </w:r>
    </w:p>
    <w:p w:rsidR="00532350" w:rsidRDefault="00532350" w:rsidP="00532350">
      <w:pPr>
        <w:pStyle w:val="OrderBody"/>
      </w:pPr>
    </w:p>
    <w:p w:rsidR="00532350" w:rsidRDefault="00532350" w:rsidP="0053235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21C4" w:rsidRDefault="006E21C4" w:rsidP="00D57E57"/>
    <w:sectPr w:rsidR="006E21C4" w:rsidSect="0053235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50" w:rsidRDefault="00532350">
      <w:r>
        <w:separator/>
      </w:r>
    </w:p>
  </w:endnote>
  <w:endnote w:type="continuationSeparator" w:id="0">
    <w:p w:rsidR="00532350" w:rsidRDefault="0053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50" w:rsidRDefault="00532350">
      <w:r>
        <w:separator/>
      </w:r>
    </w:p>
  </w:footnote>
  <w:footnote w:type="continuationSeparator" w:id="0">
    <w:p w:rsidR="00532350" w:rsidRDefault="00532350">
      <w:r>
        <w:continuationSeparator/>
      </w:r>
    </w:p>
  </w:footnote>
  <w:footnote w:id="1">
    <w:p w:rsidR="00532350" w:rsidRDefault="00532350" w:rsidP="00532350">
      <w:pPr>
        <w:pStyle w:val="FootnoteText"/>
      </w:pPr>
      <w:r>
        <w:rPr>
          <w:rStyle w:val="FootnoteReference"/>
        </w:rPr>
        <w:footnoteRef/>
      </w:r>
      <w:r>
        <w:t xml:space="preserve"> Order No. PSC-2017-0451-AS-EU</w:t>
      </w:r>
      <w:r w:rsidRPr="005002F0">
        <w:t>,</w:t>
      </w:r>
      <w:r w:rsidRPr="005002F0">
        <w:rPr>
          <w:spacing w:val="45"/>
        </w:rPr>
        <w:t xml:space="preserve"> </w:t>
      </w:r>
      <w:r>
        <w:t>issued</w:t>
      </w:r>
      <w:r w:rsidRPr="005002F0">
        <w:rPr>
          <w:spacing w:val="45"/>
        </w:rPr>
        <w:t xml:space="preserve"> </w:t>
      </w:r>
      <w:r w:rsidRPr="005002F0">
        <w:t>Nov</w:t>
      </w:r>
      <w:r>
        <w:t>ember</w:t>
      </w:r>
      <w:r w:rsidRPr="005002F0">
        <w:rPr>
          <w:spacing w:val="46"/>
        </w:rPr>
        <w:t xml:space="preserve"> </w:t>
      </w:r>
      <w:r w:rsidRPr="005002F0">
        <w:t>20, 2017</w:t>
      </w:r>
      <w:r>
        <w:t xml:space="preserve">, in Docket Nos. 20170183-EI, 20100437-EI, 20150171-EI, 20170001-EI, 20170002-EG, and 20170009-EI, </w:t>
      </w:r>
      <w:r w:rsidRPr="00A24DB8">
        <w:rPr>
          <w:i/>
          <w:iCs/>
        </w:rPr>
        <w:t>In re: Application for limited proceeding to approve 2017 second revised and restated settlement agreement, including certain rate adjustments, by Duke Energy Florida, LLC</w:t>
      </w:r>
      <w:r>
        <w:rPr>
          <w:i/>
          <w:iCs/>
        </w:rPr>
        <w:t>.</w:t>
      </w:r>
      <w:r w:rsidRPr="00A24DB8">
        <w:rPr>
          <w:i/>
          <w:iCs/>
        </w:rPr>
        <w:t xml:space="preserve">, In re: Examination of the outage and replacement fuel/power costs associated with the CR3 steam generator replacement project, by Progress Energy Florida, Inc., In re: Petition for issuance of nuclear asset-recovery financing order, by Duke Energy Florida, Inc., d/b/a Duke Energy, In re: Fuel and purchased power cost </w:t>
      </w:r>
      <w:r w:rsidRPr="009148ED">
        <w:rPr>
          <w:i/>
          <w:iCs/>
        </w:rPr>
        <w:t>recovery</w:t>
      </w:r>
      <w:r w:rsidRPr="00A24DB8">
        <w:rPr>
          <w:i/>
          <w:iCs/>
        </w:rPr>
        <w:t xml:space="preserve"> clause with generating performance incentive factor, In re: Energy conservation cost recovery clause, and In re: Nuclear cost recovery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31B3D">
      <w:fldChar w:fldCharType="begin"/>
    </w:r>
    <w:r w:rsidR="00B31B3D">
      <w:instrText xml:space="preserve"> REF OrderNo0149 </w:instrText>
    </w:r>
    <w:r w:rsidR="00B31B3D">
      <w:fldChar w:fldCharType="separate"/>
    </w:r>
    <w:r w:rsidR="00B31B3D">
      <w:t>PSC-2021-0149-PCO-EI</w:t>
    </w:r>
    <w:r w:rsidR="00B31B3D">
      <w:fldChar w:fldCharType="end"/>
    </w:r>
  </w:p>
  <w:p w:rsidR="00FA6EFD" w:rsidRDefault="00532350">
    <w:pPr>
      <w:pStyle w:val="OrderHeader"/>
    </w:pPr>
    <w:bookmarkStart w:id="7" w:name="HeaderDocketNo"/>
    <w:bookmarkEnd w:id="7"/>
    <w:r>
      <w:t>DOCKET NOS. 20190110-EI, 20190222-EI, 20210016-EI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1B3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20190222-EI, 20210016-EI"/>
  </w:docVars>
  <w:rsids>
    <w:rsidRoot w:val="00532350"/>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4C6D"/>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235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4EAF"/>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5492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1B3D"/>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532350"/>
    <w:rPr>
      <w:color w:val="0000FF" w:themeColor="hyperlink"/>
      <w:u w:val="single"/>
    </w:rPr>
  </w:style>
  <w:style w:type="paragraph" w:styleId="BalloonText">
    <w:name w:val="Balloon Text"/>
    <w:basedOn w:val="Normal"/>
    <w:link w:val="BalloonTextChar"/>
    <w:semiHidden/>
    <w:unhideWhenUsed/>
    <w:rsid w:val="00094C6D"/>
    <w:rPr>
      <w:rFonts w:ascii="Segoe UI" w:hAnsi="Segoe UI" w:cs="Segoe UI"/>
      <w:sz w:val="18"/>
      <w:szCs w:val="18"/>
    </w:rPr>
  </w:style>
  <w:style w:type="character" w:customStyle="1" w:styleId="BalloonTextChar">
    <w:name w:val="Balloon Text Char"/>
    <w:basedOn w:val="DefaultParagraphFont"/>
    <w:link w:val="BalloonText"/>
    <w:semiHidden/>
    <w:rsid w:val="00094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ton@spilmanlaw.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naum@spilman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2021-04-22T18:37:00Z</dcterms:created>
  <dcterms:modified xsi:type="dcterms:W3CDTF">2021-04-22T19:57:00Z</dcterms:modified>
</cp:coreProperties>
</file>