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93F48" w:rsidP="00393F48">
      <w:pPr>
        <w:pStyle w:val="OrderHeading"/>
      </w:pPr>
      <w:r>
        <w:t>BEFORE THE FLORIDA PUBLIC SERVICE COMMISSION</w:t>
      </w:r>
    </w:p>
    <w:p w:rsidR="00393F48" w:rsidRDefault="00393F48" w:rsidP="00393F48">
      <w:pPr>
        <w:pStyle w:val="OrderBody"/>
      </w:pPr>
    </w:p>
    <w:p w:rsidR="00393F48" w:rsidRDefault="00393F48" w:rsidP="00393F4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93F48" w:rsidRPr="00C63FCF" w:rsidTr="00C63FCF">
        <w:trPr>
          <w:trHeight w:val="828"/>
        </w:trPr>
        <w:tc>
          <w:tcPr>
            <w:tcW w:w="4788" w:type="dxa"/>
            <w:tcBorders>
              <w:bottom w:val="single" w:sz="8" w:space="0" w:color="auto"/>
              <w:right w:val="double" w:sz="6" w:space="0" w:color="auto"/>
            </w:tcBorders>
            <w:shd w:val="clear" w:color="auto" w:fill="auto"/>
          </w:tcPr>
          <w:p w:rsidR="00393F48" w:rsidRDefault="00393F48"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393F48" w:rsidRDefault="00393F48" w:rsidP="00393F48">
            <w:pPr>
              <w:pStyle w:val="OrderBody"/>
            </w:pPr>
            <w:r>
              <w:t xml:space="preserve">DOCKET NO. </w:t>
            </w:r>
            <w:bookmarkStart w:id="1" w:name="SSDocketNo"/>
            <w:bookmarkEnd w:id="1"/>
            <w:r>
              <w:t>20210015-EI</w:t>
            </w:r>
          </w:p>
          <w:p w:rsidR="00393F48" w:rsidRDefault="00393F48" w:rsidP="00C63FCF">
            <w:pPr>
              <w:pStyle w:val="OrderBody"/>
              <w:tabs>
                <w:tab w:val="center" w:pos="4320"/>
                <w:tab w:val="right" w:pos="8640"/>
              </w:tabs>
              <w:jc w:val="left"/>
            </w:pPr>
            <w:r>
              <w:t xml:space="preserve">ORDER NO. </w:t>
            </w:r>
            <w:bookmarkStart w:id="2" w:name="OrderNo0169"/>
            <w:r w:rsidR="00B729FE">
              <w:t>PSC-2021-0169-PCO-EI</w:t>
            </w:r>
            <w:bookmarkEnd w:id="2"/>
          </w:p>
          <w:p w:rsidR="00393F48" w:rsidRDefault="00393F48" w:rsidP="00C63FCF">
            <w:pPr>
              <w:pStyle w:val="OrderBody"/>
              <w:tabs>
                <w:tab w:val="center" w:pos="4320"/>
                <w:tab w:val="right" w:pos="8640"/>
              </w:tabs>
              <w:jc w:val="left"/>
            </w:pPr>
            <w:r>
              <w:t xml:space="preserve">ISSUED: </w:t>
            </w:r>
            <w:r w:rsidR="00B729FE">
              <w:t>May 14, 2021</w:t>
            </w:r>
          </w:p>
        </w:tc>
      </w:tr>
    </w:tbl>
    <w:p w:rsidR="00393F48" w:rsidRDefault="00393F48" w:rsidP="00393F48"/>
    <w:p w:rsidR="00393F48" w:rsidRDefault="00393F48" w:rsidP="00393F48"/>
    <w:p w:rsidR="00393F48" w:rsidRDefault="00393F48" w:rsidP="00B67A43">
      <w:pPr>
        <w:ind w:firstLine="720"/>
        <w:jc w:val="both"/>
      </w:pPr>
      <w:bookmarkStart w:id="3" w:name="Commissioners"/>
      <w:bookmarkEnd w:id="3"/>
      <w:r>
        <w:t>The following Commissioners participated in the disposition of this matter:</w:t>
      </w:r>
    </w:p>
    <w:p w:rsidR="00393F48" w:rsidRDefault="00393F48" w:rsidP="00B67A43"/>
    <w:p w:rsidR="00393F48" w:rsidRDefault="00393F48" w:rsidP="00B67A43">
      <w:pPr>
        <w:jc w:val="center"/>
      </w:pPr>
      <w:r>
        <w:t>GARY F. CLARK, Chairman</w:t>
      </w:r>
    </w:p>
    <w:p w:rsidR="00393F48" w:rsidRDefault="00393F48" w:rsidP="00B67A43">
      <w:pPr>
        <w:jc w:val="center"/>
      </w:pPr>
      <w:r>
        <w:t>ART GRAHAM</w:t>
      </w:r>
    </w:p>
    <w:p w:rsidR="00393F48" w:rsidRDefault="00393F48" w:rsidP="00B67A43">
      <w:pPr>
        <w:jc w:val="center"/>
      </w:pPr>
      <w:r>
        <w:t>ANDREW GILES FAY</w:t>
      </w:r>
    </w:p>
    <w:p w:rsidR="00393F48" w:rsidRDefault="00393F48" w:rsidP="00B67A43">
      <w:pPr>
        <w:jc w:val="center"/>
      </w:pPr>
      <w:r>
        <w:t>MIKE LA ROSA</w:t>
      </w:r>
    </w:p>
    <w:p w:rsidR="00393F48" w:rsidRDefault="00393F48" w:rsidP="00B67A43"/>
    <w:p w:rsidR="00393F48" w:rsidRDefault="00393F48" w:rsidP="00393F48">
      <w:pPr>
        <w:pStyle w:val="CenterUnderline"/>
      </w:pPr>
      <w:r>
        <w:t>ORDER</w:t>
      </w:r>
      <w:bookmarkStart w:id="4" w:name="OrderTitle"/>
      <w:r>
        <w:t xml:space="preserve"> SUSPENDING RATES </w:t>
      </w:r>
      <w:bookmarkEnd w:id="4"/>
    </w:p>
    <w:p w:rsidR="00393F48" w:rsidRDefault="00393F48" w:rsidP="00393F48">
      <w:pPr>
        <w:pStyle w:val="CenterUnderline"/>
      </w:pPr>
    </w:p>
    <w:p w:rsidR="00393F48" w:rsidRDefault="00393F48" w:rsidP="00393F48">
      <w:pPr>
        <w:pStyle w:val="OrderBody"/>
      </w:pPr>
      <w:r>
        <w:t>BY THE COMMISSION:</w:t>
      </w:r>
    </w:p>
    <w:p w:rsidR="00393F48" w:rsidRDefault="00393F48" w:rsidP="00393F48">
      <w:pPr>
        <w:pStyle w:val="OrderBody"/>
      </w:pPr>
    </w:p>
    <w:p w:rsidR="00393F48" w:rsidRPr="00F90BC0" w:rsidRDefault="00393F48" w:rsidP="00393F48">
      <w:pPr>
        <w:pStyle w:val="BodyText"/>
        <w:ind w:firstLine="720"/>
        <w:jc w:val="both"/>
      </w:pPr>
      <w:bookmarkStart w:id="5" w:name="OrderText"/>
      <w:bookmarkEnd w:id="5"/>
      <w:r w:rsidRPr="00F90BC0">
        <w:t>This proceeding commenced on March 12, 2021, with the filing of a petition for a permanent rate increase by Florida Power &amp; Light Company (FPL or Company).</w:t>
      </w:r>
      <w:r>
        <w:t xml:space="preserve">  </w:t>
      </w:r>
      <w:r w:rsidRPr="00F90BC0">
        <w:t>The Company is engaged in business as a public utility providing electric service as defined in Section 366.02, Florida Statutes (F.S.), and is subject to the jurisdiction of the Commission.</w:t>
      </w:r>
      <w:r>
        <w:t xml:space="preserve">  </w:t>
      </w:r>
      <w:r w:rsidRPr="00F90BC0">
        <w:t>FPL provides electric service to more than 5.6 million retail customers in much of the state.</w:t>
      </w:r>
    </w:p>
    <w:p w:rsidR="00393F48" w:rsidRPr="003A58B9" w:rsidRDefault="00393F48" w:rsidP="00393F48">
      <w:pPr>
        <w:pStyle w:val="BodyText"/>
        <w:ind w:firstLine="720"/>
        <w:jc w:val="both"/>
      </w:pPr>
      <w:r w:rsidRPr="00F90BC0">
        <w:t xml:space="preserve">FPL has requested an increase in its retail rates and charges to generate $1.108 billion in additional gross annual revenue, effective January 1, 2022. </w:t>
      </w:r>
      <w:r>
        <w:t xml:space="preserve"> </w:t>
      </w:r>
      <w:r w:rsidRPr="00F90BC0">
        <w:t>The Company also has requested an increase in its retail rates and charges to generate $607 million in additional gross annual revenue, effective January 1, 2023.</w:t>
      </w:r>
      <w:r>
        <w:t xml:space="preserve">  </w:t>
      </w:r>
      <w:r w:rsidRPr="009A631F">
        <w:t>FPL asserts that the combined increases will allow the Company to earn a return on equity (ROE) of 11.50 percent which includes a 50 basis point ROE performance incentive.</w:t>
      </w:r>
      <w:r>
        <w:t xml:space="preserve">  </w:t>
      </w:r>
      <w:r w:rsidRPr="009A631F">
        <w:t xml:space="preserve">The Company based its requests on projected test years ending December 31, 2022 and December 31, 2023. </w:t>
      </w:r>
      <w:r>
        <w:t xml:space="preserve"> </w:t>
      </w:r>
      <w:r w:rsidRPr="009A631F">
        <w:t>FPL stated that these test years are the appropriate periods to</w:t>
      </w:r>
      <w:r>
        <w:t xml:space="preserve"> </w:t>
      </w:r>
      <w:r w:rsidRPr="009A631F">
        <w:t>be utilized because they best represent expected future operations in the period immediately after any new base rates go into e</w:t>
      </w:r>
      <w:r w:rsidRPr="00FA1BCC">
        <w:t>ffect.</w:t>
      </w:r>
      <w:r>
        <w:t xml:space="preserve">  </w:t>
      </w:r>
      <w:r w:rsidRPr="00FA1BCC">
        <w:t xml:space="preserve">FPL has also requested Solar Base Rate Adjustments </w:t>
      </w:r>
      <w:r>
        <w:t xml:space="preserve">(SoBRAs) </w:t>
      </w:r>
      <w:r w:rsidRPr="00FA1BCC">
        <w:t>of approximately $140 million for both 2024 and 2025.</w:t>
      </w:r>
      <w:r>
        <w:t xml:space="preserve"> </w:t>
      </w:r>
      <w:r w:rsidRPr="00FA1BCC">
        <w:t xml:space="preserve"> In total, the Company is requesting a $1.995 billion base rate increase.</w:t>
      </w:r>
      <w:r>
        <w:t xml:space="preserve"> </w:t>
      </w:r>
      <w:r w:rsidRPr="00FA1BCC">
        <w:t xml:space="preserve"> The current proposal also includes a 5-year transition rider a</w:t>
      </w:r>
      <w:r>
        <w:t>ssess</w:t>
      </w:r>
      <w:r w:rsidRPr="00FA1BCC">
        <w:t>ed to former Gulf Power Company customers (Northwest Florida)</w:t>
      </w:r>
      <w:r>
        <w:t xml:space="preserve"> and credited to legacy FPL customers (Peninsula Florida)</w:t>
      </w:r>
      <w:r w:rsidRPr="00FA1BCC">
        <w:t xml:space="preserve">. </w:t>
      </w:r>
      <w:r>
        <w:t xml:space="preserve"> </w:t>
      </w:r>
      <w:r w:rsidRPr="00FA1BCC">
        <w:t>The rider is separate and apart from Gulf’s recovery of storm restoration costs resulting from Hurricanes Michael and Sally, which will continue under a separate surcharge.</w:t>
      </w:r>
      <w:r w:rsidRPr="009D421C">
        <w:t xml:space="preserve">  F</w:t>
      </w:r>
      <w:r w:rsidRPr="003A58B9">
        <w:t>PL did not request any interim rate relief.</w:t>
      </w:r>
    </w:p>
    <w:p w:rsidR="00393F48" w:rsidRDefault="00393F48" w:rsidP="00393F48">
      <w:pPr>
        <w:pStyle w:val="BodyText"/>
        <w:ind w:firstLine="720"/>
        <w:jc w:val="both"/>
      </w:pPr>
      <w:r w:rsidRPr="00FB7192">
        <w:t xml:space="preserve">In FPL’s most recent base rate proceeding in Docket No. 20160021-EI, </w:t>
      </w:r>
      <w:r w:rsidR="00A4326D">
        <w:t xml:space="preserve">we </w:t>
      </w:r>
      <w:r w:rsidRPr="00FB7192">
        <w:t>approved a settlement agreement which authorized a revenue increas</w:t>
      </w:r>
      <w:r w:rsidRPr="00902B7E">
        <w:t>e of $400 million effective January 1, 2017, and a revenue increase of $211 million effective January 1, 2018</w:t>
      </w:r>
      <w:r w:rsidR="00221A86">
        <w:t>.</w:t>
      </w:r>
      <w:r>
        <w:rPr>
          <w:rStyle w:val="FootnoteReference"/>
        </w:rPr>
        <w:footnoteReference w:id="1"/>
      </w:r>
      <w:r w:rsidR="007855AB">
        <w:t xml:space="preserve">  </w:t>
      </w:r>
      <w:r w:rsidRPr="00902B7E">
        <w:t xml:space="preserve">In addition, the </w:t>
      </w:r>
      <w:r w:rsidRPr="00902B7E">
        <w:lastRenderedPageBreak/>
        <w:t xml:space="preserve">settlement agreement provided for </w:t>
      </w:r>
      <w:r w:rsidRPr="0033701D">
        <w:t>a</w:t>
      </w:r>
      <w:r>
        <w:t xml:space="preserve"> </w:t>
      </w:r>
      <w:r w:rsidRPr="00902B7E">
        <w:t xml:space="preserve">generation base rate adjustment to coincide with the in-service date of the Okeechobee Clean Energy Center. </w:t>
      </w:r>
      <w:r w:rsidR="007855AB">
        <w:t xml:space="preserve"> </w:t>
      </w:r>
      <w:r w:rsidRPr="00902B7E">
        <w:t>The settlement agreement provided that retail base rates, with certain exceptions, would be frozen through the last billing cycle in December 2020.</w:t>
      </w:r>
      <w:r w:rsidR="007855AB">
        <w:t xml:space="preserve">  </w:t>
      </w:r>
      <w:r>
        <w:t>Section 12(c) of the settlement agreement permitted FPL to continue to amortize its theoretical depreciation reserve surplus beyond December 31, 2020, if the Company provided notice to the Parties of the settlement agreement, prior to March 31, 2020, that it did not intend to seek a base rate increase with an effective date prior to January 1, 2022.</w:t>
      </w:r>
      <w:r>
        <w:rPr>
          <w:rStyle w:val="FootnoteReference"/>
        </w:rPr>
        <w:footnoteReference w:id="2"/>
      </w:r>
      <w:r>
        <w:t xml:space="preserve"> </w:t>
      </w:r>
      <w:r w:rsidR="007855AB">
        <w:t xml:space="preserve"> </w:t>
      </w:r>
      <w:r>
        <w:t xml:space="preserve">FPL exercised this option. </w:t>
      </w:r>
    </w:p>
    <w:p w:rsidR="00393F48" w:rsidRDefault="00393F48" w:rsidP="00393F48">
      <w:pPr>
        <w:pStyle w:val="BodyText"/>
        <w:ind w:firstLine="720"/>
        <w:jc w:val="both"/>
      </w:pPr>
      <w:r w:rsidRPr="00B5500C">
        <w:t xml:space="preserve">On January 29, 2021, </w:t>
      </w:r>
      <w:r w:rsidR="007855AB">
        <w:t xml:space="preserve">we </w:t>
      </w:r>
      <w:r w:rsidRPr="00B5500C">
        <w:t>acknowledged the Office of Public Counsel’s notice of intervention in this proceeding.</w:t>
      </w:r>
      <w:r>
        <w:rPr>
          <w:rStyle w:val="FootnoteReference"/>
        </w:rPr>
        <w:footnoteReference w:id="3"/>
      </w:r>
      <w:r w:rsidR="007855AB">
        <w:t xml:space="preserve">  </w:t>
      </w:r>
      <w:r w:rsidR="00BD122D">
        <w:t xml:space="preserve">The Florida Executive Agencies, Florida Industrial Power Users Group, Florida Retail Federation, Daniel and Alexandria Larson, Southern Alliance for Clean Energy, League of United Latin American Citizens, Environmental Confederation of Southwest Florida, Inc. and Florida Rising, Inc. are parties to this docket.  Walmart, Vote Solar, Inc., CLEO Institute, Inc., and Floridians Against Increased Rates, Inc. have filed to intervene but not yet been granted intervention.  A </w:t>
      </w:r>
      <w:r w:rsidRPr="00F61C22">
        <w:t>hearing has been scheduled for August 16-20 and 23-27, 2021.</w:t>
      </w:r>
    </w:p>
    <w:p w:rsidR="00393F48" w:rsidRDefault="00393F48" w:rsidP="00221A86">
      <w:pPr>
        <w:ind w:firstLine="720"/>
        <w:jc w:val="both"/>
      </w:pPr>
      <w:r w:rsidRPr="00F61C22">
        <w:t xml:space="preserve">This </w:t>
      </w:r>
      <w:r w:rsidR="00221A86">
        <w:t>order a</w:t>
      </w:r>
      <w:r w:rsidRPr="00F61C22">
        <w:t>ddresses the suspension of the requested permanent rate increase.</w:t>
      </w:r>
      <w:r w:rsidR="007855AB">
        <w:t xml:space="preserve">  </w:t>
      </w:r>
      <w:r w:rsidR="00221A86">
        <w:t xml:space="preserve">We have </w:t>
      </w:r>
      <w:r w:rsidRPr="00F61C22">
        <w:t>jurisdiction over this matter pursuant to Sections 366.06(2) and (4), F.S.</w:t>
      </w:r>
    </w:p>
    <w:p w:rsidR="00221A86" w:rsidRDefault="00221A86" w:rsidP="00221A86">
      <w:pPr>
        <w:ind w:firstLine="720"/>
        <w:jc w:val="both"/>
      </w:pPr>
    </w:p>
    <w:p w:rsidR="00221A86" w:rsidRDefault="00221A86" w:rsidP="00221A86">
      <w:pPr>
        <w:jc w:val="center"/>
        <w:rPr>
          <w:u w:val="single"/>
        </w:rPr>
      </w:pPr>
      <w:r>
        <w:rPr>
          <w:u w:val="single"/>
        </w:rPr>
        <w:t>DECISION</w:t>
      </w:r>
    </w:p>
    <w:p w:rsidR="00221A86" w:rsidRDefault="00221A86" w:rsidP="00221A86">
      <w:pPr>
        <w:jc w:val="center"/>
        <w:rPr>
          <w:u w:val="single"/>
        </w:rPr>
      </w:pPr>
    </w:p>
    <w:p w:rsidR="00393F48" w:rsidRDefault="00D41FA4" w:rsidP="00D41FA4">
      <w:pPr>
        <w:pStyle w:val="BodyText"/>
        <w:ind w:firstLine="720"/>
        <w:jc w:val="both"/>
      </w:pPr>
      <w:r w:rsidRPr="00792F0F">
        <w:t>FPL filed its petition, testimony, and minimum filing requi</w:t>
      </w:r>
      <w:r w:rsidR="009D421C">
        <w:t xml:space="preserve">rements on March 12, 2021. </w:t>
      </w:r>
      <w:r w:rsidRPr="00792F0F">
        <w:t xml:space="preserve">The Company has requested an increase in its retail rates and charges to generate $1.108 billion in additional gross annual revenue, effective January 1, 2022. </w:t>
      </w:r>
      <w:r w:rsidR="007855AB">
        <w:t xml:space="preserve"> </w:t>
      </w:r>
      <w:r w:rsidRPr="00792F0F">
        <w:t xml:space="preserve">FPL also has requested an increase in its retail rates and charges to generate $607 million in additional gross annual revenue, effective January 1, 2023. </w:t>
      </w:r>
      <w:r w:rsidR="007855AB">
        <w:t xml:space="preserve"> </w:t>
      </w:r>
      <w:r w:rsidRPr="00792F0F">
        <w:t>Further, FPL has requested SoBRA</w:t>
      </w:r>
      <w:r>
        <w:t>s</w:t>
      </w:r>
      <w:r w:rsidRPr="00792F0F">
        <w:t xml:space="preserve"> of approximately $140 million for both 2024 and 2025.</w:t>
      </w:r>
    </w:p>
    <w:p w:rsidR="00D41FA4" w:rsidRPr="00792F0F" w:rsidRDefault="00D41FA4" w:rsidP="00D41FA4">
      <w:pPr>
        <w:pStyle w:val="BodyText"/>
        <w:ind w:firstLine="720"/>
        <w:jc w:val="both"/>
      </w:pPr>
      <w:r w:rsidRPr="00792F0F">
        <w:t xml:space="preserve">Historically, </w:t>
      </w:r>
      <w:r>
        <w:t>we have</w:t>
      </w:r>
      <w:r w:rsidRPr="00792F0F">
        <w:t xml:space="preserve"> suspended requested permanent rate schedules in order to adequately and thoroughly examine the basis for the new rates.</w:t>
      </w:r>
      <w:r w:rsidR="007855AB">
        <w:t xml:space="preserve">  </w:t>
      </w:r>
      <w:r w:rsidRPr="00792F0F">
        <w:t>Suspension of a requested rate increase is authorized by Section 366.06(3), F.S., which provides:</w:t>
      </w:r>
    </w:p>
    <w:p w:rsidR="00D41FA4" w:rsidRDefault="00D41FA4" w:rsidP="00D41FA4">
      <w:pPr>
        <w:pStyle w:val="BodyText"/>
        <w:ind w:left="720" w:right="720"/>
        <w:jc w:val="both"/>
      </w:pPr>
      <w:r w:rsidRPr="00792F0F">
        <w:t>Pending a final order by the commission in any rate proceeding under this section, the commission may withhold consent to the operation of all or any portion of the new rate schedules, delivering to the utility requesting such increase, within 60 days, a reason or written statement of good cause for withholding its consent</w:t>
      </w:r>
      <w:r>
        <w:t>.</w:t>
      </w:r>
    </w:p>
    <w:p w:rsidR="00D41FA4" w:rsidRDefault="00D41FA4" w:rsidP="00D41FA4">
      <w:pPr>
        <w:pStyle w:val="BodyText"/>
        <w:ind w:left="720" w:right="720"/>
        <w:jc w:val="both"/>
      </w:pPr>
    </w:p>
    <w:p w:rsidR="00D41FA4" w:rsidRDefault="00D41FA4" w:rsidP="00D41FA4">
      <w:pPr>
        <w:pStyle w:val="BodyText"/>
        <w:ind w:firstLine="720"/>
        <w:jc w:val="both"/>
      </w:pPr>
      <w:r>
        <w:lastRenderedPageBreak/>
        <w:t xml:space="preserve">In this rate case we also find it appropriate to suspend the </w:t>
      </w:r>
      <w:r w:rsidRPr="00792F0F">
        <w:t xml:space="preserve">requested permanent rate schedules to allow </w:t>
      </w:r>
      <w:r>
        <w:t xml:space="preserve">our </w:t>
      </w:r>
      <w:r w:rsidRPr="00792F0F">
        <w:t>staff and any intervenors sufficient time to adequately investigate whether the request for permanent rate relief is appropriate</w:t>
      </w:r>
      <w:r>
        <w:t>.</w:t>
      </w:r>
    </w:p>
    <w:p w:rsidR="00D41FA4" w:rsidRDefault="00D41FA4" w:rsidP="00D41FA4">
      <w:pPr>
        <w:pStyle w:val="BodyText"/>
        <w:ind w:firstLine="720"/>
        <w:jc w:val="both"/>
      </w:pPr>
      <w:r>
        <w:t>Based on the foregoing, it is</w:t>
      </w:r>
    </w:p>
    <w:p w:rsidR="00D41FA4" w:rsidRDefault="00D41FA4" w:rsidP="00D41FA4">
      <w:pPr>
        <w:pStyle w:val="BodyText"/>
        <w:ind w:firstLine="720"/>
        <w:jc w:val="both"/>
      </w:pPr>
      <w:r>
        <w:t>ORDERED by the Florida Public Service Commission that the requested permanent rate schedules filed by the Florida Power &amp; Light Company in this docket shall be suspended in order to allow sufficient time to adequately investigate whether the request for permanent rate relief is appropriate.  It is further</w:t>
      </w:r>
    </w:p>
    <w:p w:rsidR="009D421C" w:rsidRDefault="00D41FA4" w:rsidP="009D421C">
      <w:pPr>
        <w:pStyle w:val="BodyText"/>
        <w:ind w:firstLine="720"/>
        <w:jc w:val="both"/>
      </w:pPr>
      <w:r>
        <w:t xml:space="preserve">ORDERED that this </w:t>
      </w:r>
      <w:r w:rsidR="00C61C89" w:rsidRPr="00DD19C5">
        <w:t>docket sh</w:t>
      </w:r>
      <w:r w:rsidR="00C61C89">
        <w:t>all</w:t>
      </w:r>
      <w:r w:rsidR="00C61C89" w:rsidRPr="00DD19C5">
        <w:t xml:space="preserve"> remain open pending </w:t>
      </w:r>
      <w:r w:rsidR="00C61C89">
        <w:t xml:space="preserve">our </w:t>
      </w:r>
      <w:r w:rsidR="00C61C89" w:rsidRPr="00DD19C5">
        <w:t xml:space="preserve">final </w:t>
      </w:r>
      <w:r w:rsidR="00C61C89">
        <w:t xml:space="preserve">decision regarding Florida Power &amp; Light </w:t>
      </w:r>
      <w:r w:rsidR="00C61C89" w:rsidRPr="00DD19C5">
        <w:t>Company’s requested permanent base rate increase</w:t>
      </w:r>
      <w:r w:rsidR="00C61C89">
        <w:t>.</w:t>
      </w:r>
    </w:p>
    <w:p w:rsidR="00C61C89" w:rsidRDefault="00C61C89" w:rsidP="00C61C89">
      <w:pPr>
        <w:pStyle w:val="BodyText"/>
        <w:keepNext/>
        <w:keepLines/>
        <w:ind w:firstLine="720"/>
        <w:jc w:val="both"/>
      </w:pPr>
      <w:r>
        <w:t xml:space="preserve">By ORDER of the Florida Public Service Commission this </w:t>
      </w:r>
      <w:bookmarkStart w:id="6" w:name="replaceDate"/>
      <w:bookmarkEnd w:id="6"/>
      <w:r w:rsidR="00B729FE">
        <w:rPr>
          <w:u w:val="single"/>
        </w:rPr>
        <w:t>14th</w:t>
      </w:r>
      <w:r w:rsidR="00B729FE">
        <w:t xml:space="preserve"> day of </w:t>
      </w:r>
      <w:r w:rsidR="00B729FE">
        <w:rPr>
          <w:u w:val="single"/>
        </w:rPr>
        <w:t>May</w:t>
      </w:r>
      <w:r w:rsidR="00B729FE">
        <w:t xml:space="preserve">, </w:t>
      </w:r>
      <w:r w:rsidR="00B729FE">
        <w:rPr>
          <w:u w:val="single"/>
        </w:rPr>
        <w:t>2021</w:t>
      </w:r>
      <w:r w:rsidR="00B729FE">
        <w:t>.</w:t>
      </w:r>
    </w:p>
    <w:p w:rsidR="00B729FE" w:rsidRDefault="00B729FE" w:rsidP="00C61C89">
      <w:pPr>
        <w:pStyle w:val="BodyText"/>
        <w:keepNext/>
        <w:keepLines/>
        <w:ind w:firstLine="720"/>
        <w:jc w:val="both"/>
      </w:pPr>
    </w:p>
    <w:p w:rsidR="006A67CC" w:rsidRPr="00B729FE" w:rsidRDefault="006A67CC" w:rsidP="00C61C89">
      <w:pPr>
        <w:pStyle w:val="BodyText"/>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C61C89" w:rsidTr="00C61C89">
        <w:tc>
          <w:tcPr>
            <w:tcW w:w="720" w:type="dxa"/>
            <w:shd w:val="clear" w:color="auto" w:fill="auto"/>
          </w:tcPr>
          <w:p w:rsidR="00C61C89" w:rsidRDefault="00C61C89" w:rsidP="00C61C89">
            <w:pPr>
              <w:pStyle w:val="BodyText"/>
              <w:keepNext/>
              <w:keepLines/>
              <w:jc w:val="both"/>
            </w:pPr>
            <w:bookmarkStart w:id="7" w:name="bkmrkSignature" w:colFirst="0" w:colLast="0"/>
          </w:p>
        </w:tc>
        <w:tc>
          <w:tcPr>
            <w:tcW w:w="4320" w:type="dxa"/>
            <w:tcBorders>
              <w:bottom w:val="single" w:sz="4" w:space="0" w:color="auto"/>
            </w:tcBorders>
            <w:shd w:val="clear" w:color="auto" w:fill="auto"/>
          </w:tcPr>
          <w:p w:rsidR="00C61C89" w:rsidRDefault="00236812" w:rsidP="00C61C89">
            <w:pPr>
              <w:pStyle w:val="BodyText"/>
              <w:keepNext/>
              <w:keepLines/>
              <w:jc w:val="both"/>
            </w:pPr>
            <w:r>
              <w:t>/s/ Adam J. Teitzman</w:t>
            </w:r>
            <w:bookmarkStart w:id="8" w:name="_GoBack"/>
            <w:bookmarkEnd w:id="8"/>
          </w:p>
        </w:tc>
      </w:tr>
      <w:bookmarkEnd w:id="7"/>
      <w:tr w:rsidR="00C61C89" w:rsidTr="00C61C89">
        <w:tc>
          <w:tcPr>
            <w:tcW w:w="720" w:type="dxa"/>
            <w:shd w:val="clear" w:color="auto" w:fill="auto"/>
          </w:tcPr>
          <w:p w:rsidR="00C61C89" w:rsidRDefault="00C61C89" w:rsidP="00C61C89">
            <w:pPr>
              <w:pStyle w:val="BodyText"/>
              <w:keepNext/>
              <w:keepLines/>
              <w:jc w:val="both"/>
            </w:pPr>
          </w:p>
        </w:tc>
        <w:tc>
          <w:tcPr>
            <w:tcW w:w="4320" w:type="dxa"/>
            <w:tcBorders>
              <w:top w:val="single" w:sz="4" w:space="0" w:color="auto"/>
            </w:tcBorders>
            <w:shd w:val="clear" w:color="auto" w:fill="auto"/>
          </w:tcPr>
          <w:p w:rsidR="00C61C89" w:rsidRDefault="00C61C89" w:rsidP="00D966EF">
            <w:pPr>
              <w:pStyle w:val="BodyText"/>
              <w:keepNext/>
              <w:keepLines/>
              <w:spacing w:after="0"/>
              <w:jc w:val="both"/>
            </w:pPr>
            <w:r>
              <w:t>ADAM J. TEITZMAN</w:t>
            </w:r>
          </w:p>
          <w:p w:rsidR="00C61C89" w:rsidRDefault="00C61C89" w:rsidP="00D966EF">
            <w:pPr>
              <w:pStyle w:val="BodyText"/>
              <w:keepNext/>
              <w:keepLines/>
              <w:spacing w:after="0"/>
              <w:jc w:val="both"/>
            </w:pPr>
            <w:r>
              <w:t>Commission Clerk</w:t>
            </w:r>
          </w:p>
        </w:tc>
      </w:tr>
    </w:tbl>
    <w:p w:rsidR="00C61C89" w:rsidRDefault="00C61C89" w:rsidP="00C61C89">
      <w:pPr>
        <w:pStyle w:val="OrderSigInfo"/>
        <w:keepNext/>
        <w:keepLines/>
      </w:pPr>
      <w:r>
        <w:t>Florida Public Service Commission</w:t>
      </w:r>
    </w:p>
    <w:p w:rsidR="00C61C89" w:rsidRDefault="00C61C89" w:rsidP="00C61C89">
      <w:pPr>
        <w:pStyle w:val="OrderSigInfo"/>
        <w:keepNext/>
        <w:keepLines/>
      </w:pPr>
      <w:r>
        <w:t>2540 Shumard Oak Boulevard</w:t>
      </w:r>
    </w:p>
    <w:p w:rsidR="00C61C89" w:rsidRDefault="00C61C89" w:rsidP="00C61C89">
      <w:pPr>
        <w:pStyle w:val="OrderSigInfo"/>
        <w:keepNext/>
        <w:keepLines/>
      </w:pPr>
      <w:r>
        <w:t>Tallahassee, Florida 32399</w:t>
      </w:r>
    </w:p>
    <w:p w:rsidR="00C61C89" w:rsidRDefault="00C61C89" w:rsidP="00C61C89">
      <w:pPr>
        <w:pStyle w:val="OrderSigInfo"/>
        <w:keepNext/>
        <w:keepLines/>
      </w:pPr>
      <w:r>
        <w:t>(850) 413</w:t>
      </w:r>
      <w:r>
        <w:noBreakHyphen/>
        <w:t>6770</w:t>
      </w:r>
    </w:p>
    <w:p w:rsidR="00C61C89" w:rsidRDefault="00C61C89" w:rsidP="00C61C89">
      <w:pPr>
        <w:pStyle w:val="OrderSigInfo"/>
        <w:keepNext/>
        <w:keepLines/>
      </w:pPr>
      <w:r>
        <w:t>www.floridapsc.com</w:t>
      </w:r>
    </w:p>
    <w:p w:rsidR="00C61C89" w:rsidRDefault="00C61C89" w:rsidP="00C61C89">
      <w:pPr>
        <w:pStyle w:val="OrderSigInfo"/>
        <w:keepNext/>
        <w:keepLines/>
      </w:pPr>
    </w:p>
    <w:p w:rsidR="00C61C89" w:rsidRDefault="00C61C89" w:rsidP="00C61C89">
      <w:pPr>
        <w:pStyle w:val="OrderSigInfo"/>
        <w:keepNext/>
        <w:keepLines/>
      </w:pPr>
      <w:r>
        <w:t>Copies furnished:  A copy of this document is provided to the parties of record at the time of issuance and, if applicable, interested persons.</w:t>
      </w:r>
    </w:p>
    <w:p w:rsidR="00C61C89" w:rsidRDefault="00C61C89" w:rsidP="00C61C89">
      <w:pPr>
        <w:pStyle w:val="OrderBody"/>
      </w:pPr>
    </w:p>
    <w:p w:rsidR="00C61C89" w:rsidRDefault="00C61C89" w:rsidP="00C61C89">
      <w:pPr>
        <w:pStyle w:val="OrderBody"/>
      </w:pPr>
      <w:r>
        <w:t>SBr</w:t>
      </w:r>
    </w:p>
    <w:p w:rsidR="00C61C89" w:rsidRDefault="00C61C89" w:rsidP="00C61C89">
      <w:pPr>
        <w:pStyle w:val="OrderBody"/>
      </w:pPr>
    </w:p>
    <w:p w:rsidR="00C61C89" w:rsidRDefault="00C61C89" w:rsidP="00C61C89">
      <w:pPr>
        <w:pStyle w:val="CenterUnderline"/>
      </w:pPr>
      <w:r>
        <w:t>NOTICE OF FURTHER PROCEEDINGS OR JUDICIAL REVIEW</w:t>
      </w:r>
    </w:p>
    <w:p w:rsidR="00C61C89" w:rsidRDefault="00C61C89" w:rsidP="00C61C89">
      <w:pPr>
        <w:pStyle w:val="CenterUnderline"/>
      </w:pPr>
    </w:p>
    <w:p w:rsidR="00C61C89" w:rsidRDefault="00C61C89" w:rsidP="00C61C8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61C89" w:rsidRDefault="00C61C89" w:rsidP="00C61C89">
      <w:pPr>
        <w:pStyle w:val="OrderBody"/>
      </w:pPr>
    </w:p>
    <w:p w:rsidR="00C61C89" w:rsidRDefault="00C61C89" w:rsidP="00C61C89">
      <w:pPr>
        <w:pStyle w:val="OrderBody"/>
      </w:pPr>
      <w:r>
        <w:tab/>
        <w:t>Mediation may be available on a case-by-case basis.  If mediation is conducted, it does not affect a substantially interested person's right to a hearing.</w:t>
      </w:r>
    </w:p>
    <w:p w:rsidR="00C61C89" w:rsidRDefault="00C61C89" w:rsidP="00C61C89">
      <w:pPr>
        <w:pStyle w:val="OrderBody"/>
      </w:pPr>
    </w:p>
    <w:p w:rsidR="00C61C89" w:rsidRDefault="00C61C89" w:rsidP="00C61C89">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w:t>
      </w:r>
      <w:r>
        <w:lastRenderedPageBreak/>
        <w:t>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E21C4" w:rsidRDefault="006E21C4" w:rsidP="00D57E57"/>
    <w:sectPr w:rsidR="006E21C4" w:rsidSect="00393F48">
      <w:headerReference w:type="default" r:id="rId6"/>
      <w:footerReference w:type="first" r:id="rId7"/>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F48" w:rsidRDefault="00393F48">
      <w:r>
        <w:separator/>
      </w:r>
    </w:p>
  </w:endnote>
  <w:endnote w:type="continuationSeparator" w:id="0">
    <w:p w:rsidR="00393F48" w:rsidRDefault="0039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F48" w:rsidRDefault="00393F48">
      <w:r>
        <w:separator/>
      </w:r>
    </w:p>
  </w:footnote>
  <w:footnote w:type="continuationSeparator" w:id="0">
    <w:p w:rsidR="00393F48" w:rsidRDefault="00393F48">
      <w:r>
        <w:continuationSeparator/>
      </w:r>
    </w:p>
  </w:footnote>
  <w:footnote w:id="1">
    <w:p w:rsidR="00393F48" w:rsidRPr="009A57F5" w:rsidRDefault="00393F48" w:rsidP="00393F48">
      <w:pPr>
        <w:pStyle w:val="FootnoteText"/>
      </w:pPr>
      <w:r>
        <w:rPr>
          <w:rStyle w:val="FootnoteReference"/>
        </w:rPr>
        <w:footnoteRef/>
      </w:r>
      <w:r>
        <w:t xml:space="preserve"> Order No. PSC-2016-0560-AS-EI, issued December 15, 2016, in Docket No. 20160021-EI, </w:t>
      </w:r>
      <w:r w:rsidRPr="009A57F5">
        <w:rPr>
          <w:i/>
        </w:rPr>
        <w:t>In re: Petition for rate increase by Florida Power &amp; Light Company</w:t>
      </w:r>
      <w:r w:rsidRPr="009A57F5">
        <w:t xml:space="preserve">; Docket No. </w:t>
      </w:r>
      <w:r>
        <w:t>20</w:t>
      </w:r>
      <w:r w:rsidRPr="009A57F5">
        <w:t xml:space="preserve">160061-EI, </w:t>
      </w:r>
      <w:r w:rsidRPr="009A57F5">
        <w:rPr>
          <w:i/>
        </w:rPr>
        <w:t>In re: Petition for approval of 2016-2018 storm hardening plan, by Florida Power &amp; Light Company</w:t>
      </w:r>
      <w:r w:rsidRPr="009A57F5">
        <w:t xml:space="preserve">; Docket No. </w:t>
      </w:r>
      <w:r>
        <w:t>20</w:t>
      </w:r>
      <w:r w:rsidRPr="009A57F5">
        <w:t xml:space="preserve">160062-EI, </w:t>
      </w:r>
      <w:r w:rsidRPr="009A57F5">
        <w:rPr>
          <w:i/>
        </w:rPr>
        <w:t>In re: 2016 depreciation and dismantlement study by Florida Power &amp; Light Company</w:t>
      </w:r>
      <w:r w:rsidRPr="009A57F5">
        <w:t xml:space="preserve">; Docket No. </w:t>
      </w:r>
      <w:r>
        <w:t>20</w:t>
      </w:r>
      <w:r w:rsidRPr="009A57F5">
        <w:t xml:space="preserve">160088-EI, </w:t>
      </w:r>
      <w:r w:rsidRPr="009A57F5">
        <w:rPr>
          <w:i/>
        </w:rPr>
        <w:t>In re: Petition for limited proceeding to modify and continue incentive mechanism, by Florida Power &amp; Light Company</w:t>
      </w:r>
      <w:r>
        <w:t>.</w:t>
      </w:r>
    </w:p>
  </w:footnote>
  <w:footnote w:id="2">
    <w:p w:rsidR="00393F48" w:rsidRDefault="00393F48" w:rsidP="00393F48">
      <w:pPr>
        <w:pStyle w:val="FootnoteText"/>
      </w:pPr>
      <w:r>
        <w:rPr>
          <w:rStyle w:val="FootnoteReference"/>
        </w:rPr>
        <w:footnoteRef/>
      </w:r>
      <w:r>
        <w:t xml:space="preserve"> </w:t>
      </w:r>
      <w:r w:rsidRPr="00326EC7">
        <w:rPr>
          <w:i/>
        </w:rPr>
        <w:t>Id.</w:t>
      </w:r>
    </w:p>
  </w:footnote>
  <w:footnote w:id="3">
    <w:p w:rsidR="00393F48" w:rsidRPr="00775545" w:rsidRDefault="00393F48" w:rsidP="00393F48">
      <w:pPr>
        <w:pStyle w:val="FootnoteText"/>
      </w:pPr>
      <w:r>
        <w:rPr>
          <w:rStyle w:val="FootnoteReference"/>
        </w:rPr>
        <w:footnoteRef/>
      </w:r>
      <w:r>
        <w:t xml:space="preserve"> Order No. PSC-2021-0062-PCO-EI, issued January 29, 2021, in Docket No. 20210015-EI, </w:t>
      </w:r>
      <w:r>
        <w:rPr>
          <w:i/>
        </w:rPr>
        <w:t>In re: Petition for rate increase by Florida Power &amp; Light Company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236812">
      <w:fldChar w:fldCharType="begin"/>
    </w:r>
    <w:r w:rsidR="00236812">
      <w:instrText xml:space="preserve"> REF OrderNo0169 </w:instrText>
    </w:r>
    <w:r w:rsidR="00236812">
      <w:fldChar w:fldCharType="separate"/>
    </w:r>
    <w:r w:rsidR="00D81281">
      <w:t>PSC-2021-0169-PCO-EI</w:t>
    </w:r>
    <w:r w:rsidR="00236812">
      <w:fldChar w:fldCharType="end"/>
    </w:r>
  </w:p>
  <w:p w:rsidR="00FA6EFD" w:rsidRDefault="00393F48">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3681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393F48"/>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1A86"/>
    <w:rsid w:val="0022721A"/>
    <w:rsid w:val="00230BB9"/>
    <w:rsid w:val="00236812"/>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3F4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A67CC"/>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55AB"/>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21C"/>
    <w:rsid w:val="009D4C29"/>
    <w:rsid w:val="009E58E9"/>
    <w:rsid w:val="009F6AD2"/>
    <w:rsid w:val="009F7C1B"/>
    <w:rsid w:val="00A00D8D"/>
    <w:rsid w:val="00A01BB6"/>
    <w:rsid w:val="00A22B28"/>
    <w:rsid w:val="00A4303C"/>
    <w:rsid w:val="00A4326D"/>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9FE"/>
    <w:rsid w:val="00B72CFF"/>
    <w:rsid w:val="00B73DE6"/>
    <w:rsid w:val="00B761CD"/>
    <w:rsid w:val="00B76B66"/>
    <w:rsid w:val="00B86EF0"/>
    <w:rsid w:val="00B96969"/>
    <w:rsid w:val="00B97900"/>
    <w:rsid w:val="00BA1229"/>
    <w:rsid w:val="00BA44A8"/>
    <w:rsid w:val="00BA49C5"/>
    <w:rsid w:val="00BB0182"/>
    <w:rsid w:val="00BC786E"/>
    <w:rsid w:val="00BD122D"/>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1C89"/>
    <w:rsid w:val="00C66692"/>
    <w:rsid w:val="00C673B5"/>
    <w:rsid w:val="00C7063D"/>
    <w:rsid w:val="00C81CC7"/>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1FA4"/>
    <w:rsid w:val="00D46FAA"/>
    <w:rsid w:val="00D47A40"/>
    <w:rsid w:val="00D51D33"/>
    <w:rsid w:val="00D57BB2"/>
    <w:rsid w:val="00D57E57"/>
    <w:rsid w:val="00D70752"/>
    <w:rsid w:val="00D80E2D"/>
    <w:rsid w:val="00D81281"/>
    <w:rsid w:val="00D84D5E"/>
    <w:rsid w:val="00D8560E"/>
    <w:rsid w:val="00D8758F"/>
    <w:rsid w:val="00D966E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6788"/>
    <w:rsid w:val="00F22B27"/>
    <w:rsid w:val="00F234A7"/>
    <w:rsid w:val="00F277B6"/>
    <w:rsid w:val="00F27DA5"/>
    <w:rsid w:val="00F37E07"/>
    <w:rsid w:val="00F4182A"/>
    <w:rsid w:val="00F47AC5"/>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D41FA4"/>
    <w:pPr>
      <w:jc w:val="center"/>
    </w:pPr>
    <w:rPr>
      <w:rFonts w:ascii="Arial" w:hAnsi="Arial"/>
      <w:b/>
    </w:rPr>
  </w:style>
  <w:style w:type="paragraph" w:styleId="BalloonText">
    <w:name w:val="Balloon Text"/>
    <w:basedOn w:val="Normal"/>
    <w:link w:val="BalloonTextChar"/>
    <w:semiHidden/>
    <w:unhideWhenUsed/>
    <w:rsid w:val="006A67CC"/>
    <w:rPr>
      <w:rFonts w:ascii="Segoe UI" w:hAnsi="Segoe UI" w:cs="Segoe UI"/>
      <w:sz w:val="18"/>
      <w:szCs w:val="18"/>
    </w:rPr>
  </w:style>
  <w:style w:type="character" w:customStyle="1" w:styleId="BalloonTextChar">
    <w:name w:val="Balloon Text Char"/>
    <w:basedOn w:val="DefaultParagraphFont"/>
    <w:link w:val="BalloonText"/>
    <w:semiHidden/>
    <w:rsid w:val="006A67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4</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2021-05-14T14:59:00Z</dcterms:created>
  <dcterms:modified xsi:type="dcterms:W3CDTF">2021-05-14T19:31:00Z</dcterms:modified>
</cp:coreProperties>
</file>