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14:anchorId="52507CB6" wp14:editId="74CD3C23">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E2C4E">
            <w:pPr>
              <w:pStyle w:val="MemoHeading"/>
            </w:pPr>
            <w:bookmarkStart w:id="0" w:name="FilingDate"/>
            <w:r w:rsidRPr="00D31849">
              <w:t>August 27, 2021</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proofErr w:type="spellStart"/>
            <w:r w:rsidR="004E69B5">
              <w:t>Teitzman</w:t>
            </w:r>
            <w:proofErr w:type="spellEnd"/>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E2C4E" w:rsidRDefault="00EE2C4E">
            <w:pPr>
              <w:pStyle w:val="MemoHeading"/>
            </w:pPr>
            <w:bookmarkStart w:id="1" w:name="From"/>
            <w:r>
              <w:t>Division of Economics (Bruce, Hudson)</w:t>
            </w:r>
            <w:r w:rsidR="00CC4101" w:rsidRPr="00CC4101">
              <w:rPr>
                <w:b/>
              </w:rPr>
              <w:t xml:space="preserve">  </w:t>
            </w:r>
            <w:r w:rsidR="00CC4101" w:rsidRPr="00CC4101">
              <w:rPr>
                <w:rFonts w:ascii="Freestyle Script" w:hAnsi="Freestyle Script"/>
                <w:b/>
                <w:color w:val="1F497D" w:themeColor="text2"/>
                <w:sz w:val="28"/>
                <w:szCs w:val="28"/>
              </w:rPr>
              <w:t>JGH</w:t>
            </w:r>
          </w:p>
          <w:p w:rsidR="007C0528" w:rsidRDefault="00EE2C4E">
            <w:pPr>
              <w:pStyle w:val="MemoHeading"/>
            </w:pPr>
            <w:r>
              <w:t>Office of the General Counsel (Trierweiler, Crawford)</w:t>
            </w:r>
            <w:bookmarkEnd w:id="1"/>
            <w:r w:rsidR="00CC4101">
              <w:t xml:space="preserve">  </w:t>
            </w:r>
            <w:r w:rsidR="00CC4101">
              <w:rPr>
                <w:rFonts w:ascii="Freestyle Script" w:hAnsi="Freestyle Script"/>
                <w:b/>
                <w:color w:val="1F497D" w:themeColor="text2"/>
                <w:sz w:val="28"/>
                <w:szCs w:val="28"/>
              </w:rPr>
              <w:t>JSC</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E2C4E">
            <w:pPr>
              <w:pStyle w:val="MemoHeadingRe"/>
            </w:pPr>
            <w:bookmarkStart w:id="2" w:name="Re"/>
            <w:r>
              <w:t>Docket No. 20200139-WS – Application for increase in water and wastewater rates in Charlotte, Highlands, Lake, Lee, Marion, Orange, Pasco, Pinellas, Polk, and Seminole Counties, by Utilities, Inc. of Florida.</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E2C4E" w:rsidP="00687B03">
            <w:pPr>
              <w:pStyle w:val="MemoHeading"/>
            </w:pPr>
            <w:bookmarkStart w:id="3" w:name="AgendaDate"/>
            <w:r>
              <w:t>09/08/21</w:t>
            </w:r>
            <w:bookmarkEnd w:id="3"/>
            <w:r w:rsidR="007C0528">
              <w:t xml:space="preserve"> – </w:t>
            </w:r>
            <w:bookmarkStart w:id="4" w:name="PermittedStatus"/>
            <w:r>
              <w:t>Regular Agenda</w:t>
            </w:r>
            <w:bookmarkEnd w:id="4"/>
            <w:r w:rsidR="00687B03">
              <w:t xml:space="preserve"> – Motion for Reconsideration – Oral Argument Requested; Participation is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E2C4E">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E2C4E">
            <w:pPr>
              <w:pStyle w:val="MemoHeading"/>
            </w:pPr>
            <w:bookmarkStart w:id="6" w:name="PrehearingOfficer"/>
            <w:r>
              <w:t>Fay</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EE2C4E">
            <w:pPr>
              <w:pStyle w:val="MemoHeading"/>
            </w:pPr>
            <w:bookmarkStart w:id="8" w:name="CriticalDates"/>
            <w:r w:rsidRPr="00D31849">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E2C4E">
            <w:pPr>
              <w:pStyle w:val="MemoHeading"/>
            </w:pPr>
            <w:bookmarkStart w:id="9" w:name="SpecialInstructions"/>
            <w:r w:rsidRPr="00D31849">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377FBE" w:rsidRDefault="00A56366" w:rsidP="00377FBE">
      <w:pPr>
        <w:pStyle w:val="BodyText"/>
      </w:pPr>
      <w:bookmarkStart w:id="13" w:name="_GoBack"/>
      <w:bookmarkEnd w:id="13"/>
      <w:r w:rsidRPr="00885264">
        <w:t>Utilities, Inc. of Florida (UIF or Utility)</w:t>
      </w:r>
      <w:r w:rsidR="00C82579" w:rsidRPr="00C82579">
        <w:t xml:space="preserve"> filed its Application for </w:t>
      </w:r>
      <w:r>
        <w:t>I</w:t>
      </w:r>
      <w:r w:rsidR="00C82579" w:rsidRPr="00C82579">
        <w:t xml:space="preserve">ncrease in </w:t>
      </w:r>
      <w:r>
        <w:t>R</w:t>
      </w:r>
      <w:r w:rsidR="00C82579" w:rsidRPr="00C82579">
        <w:t xml:space="preserve">ates </w:t>
      </w:r>
      <w:r w:rsidR="00B325E1">
        <w:t xml:space="preserve">(Application) </w:t>
      </w:r>
      <w:r w:rsidR="00C82579" w:rsidRPr="00C82579">
        <w:t>on June 30, 2020</w:t>
      </w:r>
      <w:r w:rsidR="00C82579">
        <w:t xml:space="preserve">, and the official filing date </w:t>
      </w:r>
      <w:r w:rsidR="006B7092">
        <w:t>was</w:t>
      </w:r>
      <w:r w:rsidR="00C82579">
        <w:t xml:space="preserve"> August 31, 202</w:t>
      </w:r>
      <w:r w:rsidR="00F46E3A">
        <w:t>0</w:t>
      </w:r>
      <w:r w:rsidR="00C82579">
        <w:t>.</w:t>
      </w:r>
      <w:r w:rsidR="00C82579" w:rsidRPr="00C82579">
        <w:t xml:space="preserve"> </w:t>
      </w:r>
      <w:r w:rsidR="001956CC">
        <w:t xml:space="preserve">The Office of Public Counsel </w:t>
      </w:r>
      <w:r w:rsidR="006B7092">
        <w:t xml:space="preserve">(OPC) </w:t>
      </w:r>
      <w:r w:rsidR="001956CC">
        <w:t>intervene</w:t>
      </w:r>
      <w:r w:rsidR="00B7382F">
        <w:t>d</w:t>
      </w:r>
      <w:r w:rsidR="001956CC">
        <w:t xml:space="preserve"> and </w:t>
      </w:r>
      <w:r w:rsidR="00B7382F">
        <w:t>is</w:t>
      </w:r>
      <w:r w:rsidR="001956CC">
        <w:t xml:space="preserve"> the only other party </w:t>
      </w:r>
      <w:r w:rsidR="00B325E1">
        <w:t>to</w:t>
      </w:r>
      <w:r w:rsidR="001956CC">
        <w:t xml:space="preserve"> this docket.</w:t>
      </w:r>
      <w:r w:rsidR="00C04E14">
        <w:t xml:space="preserve"> Type 2 Stipulations </w:t>
      </w:r>
      <w:r w:rsidR="006B7092">
        <w:t xml:space="preserve">were proposed </w:t>
      </w:r>
      <w:r w:rsidR="00C04E14">
        <w:t xml:space="preserve">on 14 of the 45 contested issues, </w:t>
      </w:r>
      <w:r w:rsidR="006B7092">
        <w:t>which were approved by the Commission at the February 3, 2021 hearing</w:t>
      </w:r>
      <w:r w:rsidR="00B325E1">
        <w:t xml:space="preserve"> and set forth in the Commission’s </w:t>
      </w:r>
      <w:r w:rsidR="00075414">
        <w:t>F</w:t>
      </w:r>
      <w:r w:rsidR="00B325E1">
        <w:t xml:space="preserve">inal </w:t>
      </w:r>
      <w:r w:rsidR="00075414">
        <w:t>O</w:t>
      </w:r>
      <w:r w:rsidR="00B325E1">
        <w:t>rder approving the rate increase</w:t>
      </w:r>
      <w:r w:rsidR="006B7092">
        <w:t>.</w:t>
      </w:r>
      <w:r w:rsidR="00B325E1">
        <w:rPr>
          <w:rStyle w:val="FootnoteReference"/>
        </w:rPr>
        <w:footnoteReference w:id="1"/>
      </w:r>
      <w:r w:rsidR="00C04E14">
        <w:t xml:space="preserve"> </w:t>
      </w:r>
      <w:r w:rsidR="001D7168">
        <w:t>Two</w:t>
      </w:r>
      <w:r w:rsidR="00C04E14">
        <w:t xml:space="preserve"> of the stipulated issues w</w:t>
      </w:r>
      <w:r w:rsidR="001D7168">
        <w:t>ere</w:t>
      </w:r>
      <w:r w:rsidR="00C04E14">
        <w:t xml:space="preserve"> </w:t>
      </w:r>
      <w:r w:rsidR="001D7168">
        <w:t>Issue 34 (“</w:t>
      </w:r>
      <w:r w:rsidR="001D7168" w:rsidRPr="001D7168">
        <w:t>What are the appropriate rate structures and rates for the water systems?</w:t>
      </w:r>
      <w:r w:rsidR="001D7168">
        <w:t xml:space="preserve">”) and </w:t>
      </w:r>
      <w:r w:rsidR="00C04E14">
        <w:t>Issue 36</w:t>
      </w:r>
      <w:r w:rsidR="001D7168">
        <w:t xml:space="preserve"> (</w:t>
      </w:r>
      <w:r w:rsidR="006B7092">
        <w:t>“</w:t>
      </w:r>
      <w:r w:rsidR="006B7092" w:rsidRPr="004D36EC">
        <w:t xml:space="preserve">What are the appropriate rate structures and rates for the </w:t>
      </w:r>
      <w:r w:rsidR="006B7092" w:rsidRPr="004D36EC">
        <w:lastRenderedPageBreak/>
        <w:t>wastewater systems?</w:t>
      </w:r>
      <w:r w:rsidR="006B7092">
        <w:t>”</w:t>
      </w:r>
      <w:r w:rsidR="001D7168">
        <w:t>).</w:t>
      </w:r>
      <w:r w:rsidR="001D7168">
        <w:rPr>
          <w:rStyle w:val="FootnoteReference"/>
        </w:rPr>
        <w:footnoteReference w:id="2"/>
      </w:r>
      <w:r w:rsidR="006B7092">
        <w:t xml:space="preserve"> The </w:t>
      </w:r>
      <w:r w:rsidR="00B325E1">
        <w:t xml:space="preserve">approved </w:t>
      </w:r>
      <w:r w:rsidR="006B7092">
        <w:t>Type 2 stipulation</w:t>
      </w:r>
      <w:r w:rsidR="001D7168">
        <w:t>s</w:t>
      </w:r>
      <w:r w:rsidR="006B7092">
        <w:t xml:space="preserve"> </w:t>
      </w:r>
      <w:r w:rsidR="00A63FA8">
        <w:t>for Issues 34</w:t>
      </w:r>
      <w:r w:rsidR="00A63FA8">
        <w:rPr>
          <w:rStyle w:val="FootnoteReference"/>
        </w:rPr>
        <w:footnoteReference w:id="3"/>
      </w:r>
      <w:r w:rsidR="00A63FA8">
        <w:t xml:space="preserve"> and 36</w:t>
      </w:r>
      <w:r w:rsidR="00A63FA8">
        <w:rPr>
          <w:rStyle w:val="FootnoteReference"/>
        </w:rPr>
        <w:footnoteReference w:id="4"/>
      </w:r>
      <w:r w:rsidR="00A63FA8">
        <w:t xml:space="preserve"> </w:t>
      </w:r>
      <w:r w:rsidR="006B7092">
        <w:t xml:space="preserve">provided for an across-the-board increase to </w:t>
      </w:r>
      <w:r w:rsidR="00B325E1">
        <w:t xml:space="preserve">UIF’s </w:t>
      </w:r>
      <w:r w:rsidR="00A63FA8">
        <w:t xml:space="preserve">water and </w:t>
      </w:r>
      <w:r w:rsidR="00B325E1">
        <w:t xml:space="preserve">wastewater </w:t>
      </w:r>
      <w:r w:rsidR="006B7092">
        <w:t>service rates at the time of filing.</w:t>
      </w:r>
    </w:p>
    <w:p w:rsidR="007858A2" w:rsidRDefault="00885264" w:rsidP="00B32EFD">
      <w:pPr>
        <w:pStyle w:val="CenterUnderline"/>
        <w:jc w:val="both"/>
        <w:rPr>
          <w:u w:val="none"/>
        </w:rPr>
      </w:pPr>
      <w:r w:rsidRPr="002F1813">
        <w:rPr>
          <w:u w:val="none"/>
        </w:rPr>
        <w:t xml:space="preserve">On </w:t>
      </w:r>
      <w:r w:rsidR="007B1A7D">
        <w:rPr>
          <w:u w:val="none"/>
        </w:rPr>
        <w:t xml:space="preserve">June </w:t>
      </w:r>
      <w:r w:rsidR="0019363E">
        <w:rPr>
          <w:u w:val="none"/>
        </w:rPr>
        <w:t>18</w:t>
      </w:r>
      <w:r w:rsidR="007B1A7D">
        <w:rPr>
          <w:u w:val="none"/>
        </w:rPr>
        <w:t xml:space="preserve">, 2021, </w:t>
      </w:r>
      <w:r w:rsidR="00A56366">
        <w:rPr>
          <w:u w:val="none"/>
        </w:rPr>
        <w:t xml:space="preserve">UIF </w:t>
      </w:r>
      <w:r w:rsidR="007B1A7D" w:rsidRPr="00D31849">
        <w:rPr>
          <w:u w:val="none"/>
        </w:rPr>
        <w:t>served</w:t>
      </w:r>
      <w:r w:rsidR="007B1A7D">
        <w:rPr>
          <w:u w:val="none"/>
        </w:rPr>
        <w:t xml:space="preserve"> </w:t>
      </w:r>
      <w:r w:rsidR="006807AC">
        <w:rPr>
          <w:u w:val="none"/>
        </w:rPr>
        <w:t>counsel for OPC and staff</w:t>
      </w:r>
      <w:r w:rsidR="00A56366">
        <w:rPr>
          <w:u w:val="none"/>
        </w:rPr>
        <w:t xml:space="preserve"> with</w:t>
      </w:r>
      <w:r w:rsidR="001B1741">
        <w:rPr>
          <w:u w:val="none"/>
        </w:rPr>
        <w:t xml:space="preserve"> </w:t>
      </w:r>
      <w:r w:rsidRPr="002F1813">
        <w:rPr>
          <w:u w:val="none"/>
        </w:rPr>
        <w:t xml:space="preserve">a </w:t>
      </w:r>
      <w:r w:rsidR="00D31F9A" w:rsidRPr="002F1813">
        <w:rPr>
          <w:u w:val="none"/>
        </w:rPr>
        <w:t xml:space="preserve">Motion for Reconsideration </w:t>
      </w:r>
      <w:r w:rsidR="00D31F9A">
        <w:rPr>
          <w:u w:val="none"/>
        </w:rPr>
        <w:t xml:space="preserve">(Motion) and </w:t>
      </w:r>
      <w:r w:rsidR="007B1A7D">
        <w:rPr>
          <w:u w:val="none"/>
        </w:rPr>
        <w:t xml:space="preserve">Request for Oral Argument </w:t>
      </w:r>
      <w:r w:rsidR="00D9163B">
        <w:rPr>
          <w:u w:val="none"/>
        </w:rPr>
        <w:t xml:space="preserve">(Request) </w:t>
      </w:r>
      <w:r w:rsidRPr="002F1813">
        <w:rPr>
          <w:u w:val="none"/>
        </w:rPr>
        <w:t xml:space="preserve">of Order No. </w:t>
      </w:r>
      <w:r w:rsidR="007B1A7D" w:rsidRPr="007B1A7D">
        <w:rPr>
          <w:color w:val="333333"/>
          <w:u w:val="none"/>
        </w:rPr>
        <w:t>PSC-2021-0206-FOF-WS</w:t>
      </w:r>
      <w:r w:rsidRPr="002F1813">
        <w:rPr>
          <w:u w:val="none"/>
        </w:rPr>
        <w:t>.</w:t>
      </w:r>
      <w:r w:rsidR="00377FBE">
        <w:rPr>
          <w:rStyle w:val="CommentReference"/>
          <w:u w:val="none"/>
        </w:rPr>
        <w:t xml:space="preserve"> </w:t>
      </w:r>
      <w:r w:rsidR="007B1A7D">
        <w:rPr>
          <w:u w:val="none"/>
        </w:rPr>
        <w:t xml:space="preserve"> </w:t>
      </w:r>
      <w:r w:rsidR="00C05A9A" w:rsidRPr="00C05A9A">
        <w:rPr>
          <w:u w:val="none"/>
        </w:rPr>
        <w:t xml:space="preserve">However, </w:t>
      </w:r>
      <w:r w:rsidR="001B1741">
        <w:rPr>
          <w:u w:val="none"/>
        </w:rPr>
        <w:t xml:space="preserve">UIF </w:t>
      </w:r>
      <w:r w:rsidR="006807AC">
        <w:rPr>
          <w:u w:val="none"/>
        </w:rPr>
        <w:t>inadvertently</w:t>
      </w:r>
      <w:r w:rsidR="001B1741">
        <w:rPr>
          <w:u w:val="none"/>
        </w:rPr>
        <w:t xml:space="preserve"> filed </w:t>
      </w:r>
      <w:r w:rsidR="006807AC">
        <w:rPr>
          <w:u w:val="none"/>
        </w:rPr>
        <w:t xml:space="preserve">with the Commission Clerk </w:t>
      </w:r>
      <w:r w:rsidR="001B1741">
        <w:rPr>
          <w:u w:val="none"/>
        </w:rPr>
        <w:t xml:space="preserve">two copies of its Request </w:t>
      </w:r>
      <w:r w:rsidR="00D35051">
        <w:rPr>
          <w:u w:val="none"/>
        </w:rPr>
        <w:t xml:space="preserve">for Oral Argument, </w:t>
      </w:r>
      <w:r w:rsidR="001B1741">
        <w:rPr>
          <w:u w:val="none"/>
        </w:rPr>
        <w:t>on June 18, 2021</w:t>
      </w:r>
      <w:r w:rsidR="00D35051">
        <w:rPr>
          <w:u w:val="none"/>
        </w:rPr>
        <w:t xml:space="preserve">, </w:t>
      </w:r>
      <w:r w:rsidR="006807AC">
        <w:rPr>
          <w:u w:val="none"/>
        </w:rPr>
        <w:t>omitting</w:t>
      </w:r>
      <w:r w:rsidR="00D35051">
        <w:rPr>
          <w:u w:val="none"/>
        </w:rPr>
        <w:t xml:space="preserve"> the Motion itself</w:t>
      </w:r>
      <w:r w:rsidR="006807AC">
        <w:rPr>
          <w:u w:val="none"/>
        </w:rPr>
        <w:t>.</w:t>
      </w:r>
      <w:r w:rsidR="00D35051">
        <w:rPr>
          <w:u w:val="none"/>
        </w:rPr>
        <w:t xml:space="preserve"> </w:t>
      </w:r>
      <w:r w:rsidR="00B7382F">
        <w:rPr>
          <w:u w:val="none"/>
        </w:rPr>
        <w:t xml:space="preserve">Notwithstanding the untimely filing of the Motion, </w:t>
      </w:r>
      <w:r w:rsidR="00B7382F" w:rsidRPr="002F1813">
        <w:rPr>
          <w:u w:val="none"/>
        </w:rPr>
        <w:t>OPC</w:t>
      </w:r>
      <w:r w:rsidR="00B7382F">
        <w:rPr>
          <w:u w:val="none"/>
        </w:rPr>
        <w:t xml:space="preserve"> filed </w:t>
      </w:r>
      <w:r w:rsidR="00B7382F" w:rsidRPr="002F1813">
        <w:rPr>
          <w:u w:val="none"/>
        </w:rPr>
        <w:t xml:space="preserve">its Response to </w:t>
      </w:r>
      <w:r w:rsidR="00B7382F">
        <w:rPr>
          <w:u w:val="none"/>
        </w:rPr>
        <w:t>UIF</w:t>
      </w:r>
      <w:r w:rsidR="00B7382F" w:rsidRPr="002F1813">
        <w:rPr>
          <w:u w:val="none"/>
        </w:rPr>
        <w:t>’s Motion</w:t>
      </w:r>
      <w:r w:rsidR="00B7382F">
        <w:rPr>
          <w:u w:val="none"/>
        </w:rPr>
        <w:t xml:space="preserve"> (Response), o</w:t>
      </w:r>
      <w:r w:rsidR="00B7382F" w:rsidRPr="002F1813">
        <w:rPr>
          <w:u w:val="none"/>
        </w:rPr>
        <w:t xml:space="preserve">n </w:t>
      </w:r>
      <w:r w:rsidR="00B7382F">
        <w:rPr>
          <w:u w:val="none"/>
        </w:rPr>
        <w:t>June 25</w:t>
      </w:r>
      <w:r w:rsidR="00B7382F" w:rsidRPr="002F1813">
        <w:rPr>
          <w:u w:val="none"/>
        </w:rPr>
        <w:t>, 20</w:t>
      </w:r>
      <w:r w:rsidR="00B7382F">
        <w:rPr>
          <w:u w:val="none"/>
        </w:rPr>
        <w:t>21. UIF’s</w:t>
      </w:r>
      <w:r w:rsidR="00D35051">
        <w:rPr>
          <w:u w:val="none"/>
        </w:rPr>
        <w:t xml:space="preserve"> Motion </w:t>
      </w:r>
      <w:r w:rsidR="00C05A9A" w:rsidRPr="00C05A9A">
        <w:rPr>
          <w:u w:val="none"/>
        </w:rPr>
        <w:t>was</w:t>
      </w:r>
      <w:r w:rsidR="00D35051">
        <w:rPr>
          <w:u w:val="none"/>
        </w:rPr>
        <w:t xml:space="preserve">n’t </w:t>
      </w:r>
      <w:r w:rsidR="00C05A9A" w:rsidRPr="00D31849">
        <w:rPr>
          <w:u w:val="none"/>
        </w:rPr>
        <w:t>filed</w:t>
      </w:r>
      <w:r w:rsidR="00C05A9A" w:rsidRPr="00C05A9A">
        <w:rPr>
          <w:u w:val="none"/>
        </w:rPr>
        <w:t xml:space="preserve"> </w:t>
      </w:r>
      <w:r w:rsidR="006807AC">
        <w:rPr>
          <w:u w:val="none"/>
        </w:rPr>
        <w:t xml:space="preserve">in the docket </w:t>
      </w:r>
      <w:r w:rsidR="00D35051">
        <w:rPr>
          <w:u w:val="none"/>
        </w:rPr>
        <w:t xml:space="preserve">until </w:t>
      </w:r>
      <w:r w:rsidR="00D35051" w:rsidRPr="00C05A9A">
        <w:rPr>
          <w:u w:val="none"/>
        </w:rPr>
        <w:t>July 2, 2021</w:t>
      </w:r>
      <w:r w:rsidR="00D35051">
        <w:rPr>
          <w:u w:val="none"/>
        </w:rPr>
        <w:t xml:space="preserve">, by </w:t>
      </w:r>
      <w:r w:rsidR="00A56366">
        <w:rPr>
          <w:u w:val="none"/>
        </w:rPr>
        <w:t>m</w:t>
      </w:r>
      <w:r w:rsidR="00D35051">
        <w:rPr>
          <w:u w:val="none"/>
        </w:rPr>
        <w:t xml:space="preserve">emorandum from </w:t>
      </w:r>
      <w:r w:rsidR="00C05A9A" w:rsidRPr="00C05A9A">
        <w:rPr>
          <w:u w:val="none"/>
        </w:rPr>
        <w:t xml:space="preserve">Commission </w:t>
      </w:r>
      <w:r w:rsidR="00D35051">
        <w:rPr>
          <w:u w:val="none"/>
        </w:rPr>
        <w:t>counsel</w:t>
      </w:r>
      <w:r w:rsidR="00D31F9A">
        <w:rPr>
          <w:u w:val="none"/>
        </w:rPr>
        <w:t>, having discovered UIF’s error in filing</w:t>
      </w:r>
      <w:r w:rsidR="00C05A9A" w:rsidRPr="00C05A9A">
        <w:rPr>
          <w:u w:val="none"/>
        </w:rPr>
        <w:t>.</w:t>
      </w:r>
      <w:r w:rsidR="00E81CC0">
        <w:rPr>
          <w:rStyle w:val="FootnoteReference"/>
          <w:u w:val="none"/>
        </w:rPr>
        <w:footnoteReference w:id="5"/>
      </w:r>
      <w:r w:rsidR="00C05A9A">
        <w:rPr>
          <w:u w:val="none"/>
        </w:rPr>
        <w:t xml:space="preserve"> </w:t>
      </w:r>
    </w:p>
    <w:p w:rsidR="007858A2" w:rsidRDefault="007858A2" w:rsidP="00BD26F8">
      <w:pPr>
        <w:pStyle w:val="CenterUnderline"/>
        <w:ind w:firstLine="720"/>
        <w:jc w:val="both"/>
        <w:rPr>
          <w:u w:val="none"/>
        </w:rPr>
      </w:pPr>
    </w:p>
    <w:p w:rsidR="007858A2" w:rsidRDefault="007858A2" w:rsidP="00B32EFD">
      <w:pPr>
        <w:autoSpaceDE w:val="0"/>
        <w:autoSpaceDN w:val="0"/>
        <w:adjustRightInd w:val="0"/>
        <w:jc w:val="both"/>
      </w:pPr>
      <w:r>
        <w:t>In its Motion, UIF states that n</w:t>
      </w:r>
      <w:r>
        <w:rPr>
          <w:rFonts w:ascii="TimesNewRomanPSMT" w:hAnsi="TimesNewRomanPSMT" w:cs="TimesNewRomanPSMT"/>
          <w:sz w:val="23"/>
          <w:szCs w:val="23"/>
        </w:rPr>
        <w:t xml:space="preserve">either the </w:t>
      </w:r>
      <w:r w:rsidR="00F8204A">
        <w:rPr>
          <w:rFonts w:ascii="TimesNewRomanPSMT" w:hAnsi="TimesNewRomanPSMT" w:cs="TimesNewRomanPSMT"/>
          <w:sz w:val="23"/>
          <w:szCs w:val="23"/>
        </w:rPr>
        <w:t>s</w:t>
      </w:r>
      <w:r>
        <w:rPr>
          <w:rFonts w:ascii="TimesNewRomanPSMT" w:hAnsi="TimesNewRomanPSMT" w:cs="TimesNewRomanPSMT"/>
          <w:sz w:val="23"/>
          <w:szCs w:val="23"/>
        </w:rPr>
        <w:t xml:space="preserve">taff </w:t>
      </w:r>
      <w:r w:rsidR="00F8204A">
        <w:rPr>
          <w:rFonts w:ascii="TimesNewRomanPSMT" w:hAnsi="TimesNewRomanPSMT" w:cs="TimesNewRomanPSMT"/>
          <w:sz w:val="23"/>
          <w:szCs w:val="23"/>
        </w:rPr>
        <w:t>post-hearing r</w:t>
      </w:r>
      <w:r>
        <w:rPr>
          <w:rFonts w:ascii="TimesNewRomanPSMT" w:hAnsi="TimesNewRomanPSMT" w:cs="TimesNewRomanPSMT"/>
          <w:sz w:val="23"/>
          <w:szCs w:val="23"/>
        </w:rPr>
        <w:t xml:space="preserve">ecommendation nor the Final Order mentioned the </w:t>
      </w:r>
      <w:r w:rsidR="00800EA5">
        <w:rPr>
          <w:rFonts w:ascii="TimesNewRomanPSMT" w:hAnsi="TimesNewRomanPSMT" w:cs="TimesNewRomanPSMT"/>
          <w:sz w:val="23"/>
          <w:szCs w:val="23"/>
        </w:rPr>
        <w:t xml:space="preserve">application of a </w:t>
      </w:r>
      <w:r>
        <w:rPr>
          <w:rFonts w:ascii="TimesNewRomanPSMT" w:hAnsi="TimesNewRomanPSMT" w:cs="TimesNewRomanPSMT"/>
          <w:sz w:val="23"/>
          <w:szCs w:val="23"/>
        </w:rPr>
        <w:t>repression adjustment</w:t>
      </w:r>
      <w:r>
        <w:rPr>
          <w:rStyle w:val="FootnoteReference"/>
          <w:rFonts w:ascii="TimesNewRomanPSMT" w:hAnsi="TimesNewRomanPSMT" w:cs="TimesNewRomanPSMT"/>
          <w:sz w:val="23"/>
          <w:szCs w:val="23"/>
        </w:rPr>
        <w:footnoteReference w:id="6"/>
      </w:r>
      <w:r>
        <w:rPr>
          <w:rFonts w:ascii="TimesNewRomanPSMT" w:hAnsi="TimesNewRomanPSMT" w:cs="TimesNewRomanPSMT"/>
          <w:sz w:val="23"/>
          <w:szCs w:val="23"/>
        </w:rPr>
        <w:t xml:space="preserve"> </w:t>
      </w:r>
      <w:r w:rsidR="00800EA5">
        <w:rPr>
          <w:rFonts w:ascii="TimesNewRomanPSMT" w:hAnsi="TimesNewRomanPSMT" w:cs="TimesNewRomanPSMT"/>
          <w:sz w:val="23"/>
          <w:szCs w:val="23"/>
        </w:rPr>
        <w:t xml:space="preserve">that was </w:t>
      </w:r>
      <w:r>
        <w:rPr>
          <w:rFonts w:ascii="TimesNewRomanPSMT" w:hAnsi="TimesNewRomanPSMT" w:cs="TimesNewRomanPSMT"/>
          <w:sz w:val="23"/>
          <w:szCs w:val="23"/>
        </w:rPr>
        <w:t>requested by UIF in its Application</w:t>
      </w:r>
      <w:r w:rsidR="00800EA5">
        <w:rPr>
          <w:rFonts w:ascii="TimesNewRomanPSMT" w:hAnsi="TimesNewRomanPSMT" w:cs="TimesNewRomanPSMT"/>
          <w:sz w:val="23"/>
          <w:szCs w:val="23"/>
        </w:rPr>
        <w:t>.</w:t>
      </w:r>
      <w:r w:rsidR="00F8204A">
        <w:rPr>
          <w:rStyle w:val="FootnoteReference"/>
          <w:rFonts w:ascii="TimesNewRomanPSMT" w:hAnsi="TimesNewRomanPSMT" w:cs="TimesNewRomanPSMT"/>
          <w:sz w:val="23"/>
          <w:szCs w:val="23"/>
        </w:rPr>
        <w:footnoteReference w:id="7"/>
      </w:r>
      <w:r>
        <w:rPr>
          <w:rFonts w:ascii="TimesNewRomanPSMT" w:hAnsi="TimesNewRomanPSMT" w:cs="TimesNewRomanPSMT"/>
          <w:sz w:val="23"/>
          <w:szCs w:val="23"/>
        </w:rPr>
        <w:t xml:space="preserve"> </w:t>
      </w:r>
      <w:r w:rsidR="00800EA5">
        <w:rPr>
          <w:rFonts w:ascii="TimesNewRomanPSMT" w:hAnsi="TimesNewRomanPSMT" w:cs="TimesNewRomanPSMT"/>
          <w:sz w:val="23"/>
          <w:szCs w:val="23"/>
        </w:rPr>
        <w:t xml:space="preserve">UIF concludes that as </w:t>
      </w:r>
      <w:r w:rsidR="00DF0FB2">
        <w:rPr>
          <w:rFonts w:ascii="TimesNewRomanPSMT" w:hAnsi="TimesNewRomanPSMT" w:cs="TimesNewRomanPSMT"/>
          <w:sz w:val="23"/>
          <w:szCs w:val="23"/>
        </w:rPr>
        <w:t xml:space="preserve">a repression adjustment </w:t>
      </w:r>
      <w:r w:rsidR="00800EA5">
        <w:rPr>
          <w:rFonts w:ascii="TimesNewRomanPSMT" w:hAnsi="TimesNewRomanPSMT" w:cs="TimesNewRomanPSMT"/>
          <w:sz w:val="23"/>
          <w:szCs w:val="23"/>
        </w:rPr>
        <w:t xml:space="preserve">was not mentioned, </w:t>
      </w:r>
      <w:r>
        <w:rPr>
          <w:rFonts w:ascii="TimesNewRomanPSMT" w:hAnsi="TimesNewRomanPSMT" w:cs="TimesNewRomanPSMT"/>
          <w:sz w:val="23"/>
          <w:szCs w:val="23"/>
        </w:rPr>
        <w:t>the Commission must have overlooked the matter in the Final Order.</w:t>
      </w:r>
      <w:r w:rsidR="00224DD3">
        <w:t xml:space="preserve"> </w:t>
      </w:r>
    </w:p>
    <w:p w:rsidR="0094222B" w:rsidRDefault="0094222B" w:rsidP="00B32EFD">
      <w:pPr>
        <w:autoSpaceDE w:val="0"/>
        <w:autoSpaceDN w:val="0"/>
        <w:adjustRightInd w:val="0"/>
        <w:jc w:val="both"/>
      </w:pPr>
    </w:p>
    <w:p w:rsidR="0094222B" w:rsidRDefault="0094222B" w:rsidP="00B32EFD">
      <w:pPr>
        <w:autoSpaceDE w:val="0"/>
        <w:autoSpaceDN w:val="0"/>
        <w:adjustRightInd w:val="0"/>
        <w:jc w:val="both"/>
        <w:rPr>
          <w:rFonts w:ascii="TimesNewRomanPSMT" w:hAnsi="TimesNewRomanPSMT" w:cs="TimesNewRomanPSMT"/>
          <w:sz w:val="23"/>
          <w:szCs w:val="23"/>
        </w:rPr>
      </w:pPr>
      <w:r>
        <w:t xml:space="preserve">In its Response, OPC contends that UIF failed to provide evidence at hearing upon which a repression adjustment could be made, and that </w:t>
      </w:r>
      <w:r w:rsidR="00CD69C5">
        <w:t xml:space="preserve">such an adjustment was unnecessary given </w:t>
      </w:r>
      <w:r>
        <w:t>UIF’</w:t>
      </w:r>
      <w:r w:rsidR="00CD69C5">
        <w:t>s stipulation to rate design.</w:t>
      </w:r>
    </w:p>
    <w:p w:rsidR="007858A2" w:rsidRDefault="007858A2" w:rsidP="00BD26F8">
      <w:pPr>
        <w:pStyle w:val="CenterUnderline"/>
        <w:ind w:firstLine="720"/>
        <w:jc w:val="both"/>
        <w:rPr>
          <w:u w:val="none"/>
        </w:rPr>
      </w:pPr>
    </w:p>
    <w:p w:rsidR="009803B0" w:rsidRDefault="00275EC2" w:rsidP="00B32EFD">
      <w:pPr>
        <w:pStyle w:val="CenterUnderline"/>
        <w:jc w:val="both"/>
      </w:pPr>
      <w:r>
        <w:rPr>
          <w:u w:val="none"/>
        </w:rPr>
        <w:t>T</w:t>
      </w:r>
      <w:r w:rsidRPr="00AA221C">
        <w:rPr>
          <w:u w:val="none"/>
        </w:rPr>
        <w:t xml:space="preserve">his </w:t>
      </w:r>
      <w:r>
        <w:rPr>
          <w:u w:val="none"/>
        </w:rPr>
        <w:t>recommendation</w:t>
      </w:r>
      <w:r w:rsidRPr="00AA221C">
        <w:rPr>
          <w:u w:val="none"/>
        </w:rPr>
        <w:t xml:space="preserve"> addresses </w:t>
      </w:r>
      <w:r>
        <w:rPr>
          <w:u w:val="none"/>
        </w:rPr>
        <w:t xml:space="preserve">UIF’s </w:t>
      </w:r>
      <w:r w:rsidRPr="00AA221C">
        <w:rPr>
          <w:u w:val="none"/>
        </w:rPr>
        <w:t>Request</w:t>
      </w:r>
      <w:r>
        <w:rPr>
          <w:u w:val="none"/>
        </w:rPr>
        <w:t xml:space="preserve"> for Oral Argument, UIF’s Motion for Reconsideration, and OPC’s Response thereto.</w:t>
      </w:r>
      <w:r w:rsidRPr="00AA221C">
        <w:rPr>
          <w:u w:val="none"/>
        </w:rPr>
        <w:t xml:space="preserve"> </w:t>
      </w:r>
      <w:r w:rsidR="008D3F54">
        <w:rPr>
          <w:u w:val="none"/>
        </w:rPr>
        <w:t xml:space="preserve">The Commission has </w:t>
      </w:r>
      <w:r w:rsidR="009803B0" w:rsidRPr="00BD26F8">
        <w:rPr>
          <w:u w:val="none"/>
        </w:rPr>
        <w:t xml:space="preserve">jurisdiction pursuant to Section 367.081, </w:t>
      </w:r>
      <w:r>
        <w:rPr>
          <w:u w:val="none"/>
        </w:rPr>
        <w:t>Florida Statutes (</w:t>
      </w:r>
      <w:r w:rsidR="009803B0" w:rsidRPr="00BD26F8">
        <w:rPr>
          <w:u w:val="none"/>
        </w:rPr>
        <w:t>F.S.</w:t>
      </w:r>
      <w:r>
        <w:rPr>
          <w:u w:val="none"/>
        </w:rPr>
        <w:t>).</w:t>
      </w:r>
    </w:p>
    <w:p w:rsidR="009803B0" w:rsidRPr="009B179B" w:rsidRDefault="009803B0" w:rsidP="009803B0">
      <w:pPr>
        <w:jc w:val="both"/>
      </w:pPr>
    </w:p>
    <w:p w:rsidR="0068481F" w:rsidRDefault="0068481F">
      <w:pPr>
        <w:pStyle w:val="BodyText"/>
      </w:pP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9803B0" w:rsidRPr="00545976" w:rsidRDefault="009803B0">
      <w:pPr>
        <w:pStyle w:val="IssueHeading"/>
        <w:rPr>
          <w:vanish/>
          <w:specVanish/>
        </w:rPr>
      </w:pPr>
      <w:r w:rsidRPr="00545976">
        <w:t xml:space="preserve">Issue </w:t>
      </w:r>
      <w:r w:rsidR="00BB4983">
        <w:fldChar w:fldCharType="begin"/>
      </w:r>
      <w:r w:rsidR="00BB4983">
        <w:instrText xml:space="preserve"> SEQ Issue \* MERGEFORMAT </w:instrText>
      </w:r>
      <w:r w:rsidR="00BB4983">
        <w:fldChar w:fldCharType="separate"/>
      </w:r>
      <w:r w:rsidR="00F53B2A">
        <w:rPr>
          <w:noProof/>
        </w:rPr>
        <w:t>1</w:t>
      </w:r>
      <w:r w:rsidR="00BB4983">
        <w:rPr>
          <w:noProof/>
        </w:rPr>
        <w:fldChar w:fldCharType="end"/>
      </w:r>
      <w:r w:rsidRPr="00545976">
        <w:t>:</w:t>
      </w:r>
      <w:r w:rsidRPr="00545976">
        <w:fldChar w:fldCharType="begin"/>
      </w:r>
      <w:r w:rsidRPr="00545976">
        <w:instrText xml:space="preserve"> TC "</w:instrText>
      </w:r>
      <w:r w:rsidRPr="00545976">
        <w:fldChar w:fldCharType="begin"/>
      </w:r>
      <w:r w:rsidRPr="00545976">
        <w:instrText xml:space="preserve"> SEQ issue \c </w:instrText>
      </w:r>
      <w:r w:rsidRPr="00545976">
        <w:fldChar w:fldCharType="separate"/>
      </w:r>
      <w:r w:rsidR="00F53B2A">
        <w:rPr>
          <w:noProof/>
        </w:rPr>
        <w:instrText>1</w:instrText>
      </w:r>
      <w:r w:rsidRPr="00545976">
        <w:fldChar w:fldCharType="end"/>
      </w:r>
      <w:r w:rsidRPr="00545976">
        <w:tab/>
        <w:instrText xml:space="preserve">" \l 1 </w:instrText>
      </w:r>
      <w:r w:rsidRPr="00545976">
        <w:fldChar w:fldCharType="end"/>
      </w:r>
      <w:r w:rsidRPr="00545976">
        <w:t> </w:t>
      </w:r>
    </w:p>
    <w:p w:rsidR="002F048F" w:rsidRPr="005667B6" w:rsidRDefault="009803B0" w:rsidP="002F048F">
      <w:pPr>
        <w:pStyle w:val="BodyText"/>
      </w:pPr>
      <w:r>
        <w:t> </w:t>
      </w:r>
      <w:r w:rsidR="002F048F" w:rsidRPr="005667B6">
        <w:t xml:space="preserve">Should UIF’s Request for Oral Argument on its Motion for Reconsideration of Order No. PSC-2021-0206-FOF-WS be </w:t>
      </w:r>
      <w:proofErr w:type="gramStart"/>
      <w:r w:rsidR="002F048F" w:rsidRPr="005667B6">
        <w:t>Granted</w:t>
      </w:r>
      <w:proofErr w:type="gramEnd"/>
      <w:r w:rsidR="002F048F" w:rsidRPr="005667B6">
        <w:t>?</w:t>
      </w:r>
      <w:r w:rsidR="002F048F">
        <w:t xml:space="preserve"> </w:t>
      </w:r>
    </w:p>
    <w:p w:rsidR="002F048F" w:rsidRPr="00545976" w:rsidRDefault="002F048F" w:rsidP="002F048F">
      <w:pPr>
        <w:pStyle w:val="BodyText"/>
        <w:rPr>
          <w:rFonts w:ascii="Arial" w:hAnsi="Arial" w:cs="Arial"/>
          <w:b/>
          <w:bCs/>
          <w:i/>
          <w:iCs/>
          <w:vanish/>
        </w:rPr>
      </w:pPr>
      <w:r w:rsidRPr="00545976">
        <w:rPr>
          <w:rFonts w:ascii="Arial" w:hAnsi="Arial" w:cs="Arial"/>
          <w:b/>
          <w:bCs/>
          <w:i/>
          <w:iCs/>
        </w:rPr>
        <w:t>Recommendation: </w:t>
      </w:r>
    </w:p>
    <w:p w:rsidR="002F048F" w:rsidRPr="00017DB3" w:rsidRDefault="002F048F" w:rsidP="002F048F">
      <w:pPr>
        <w:autoSpaceDE w:val="0"/>
        <w:autoSpaceDN w:val="0"/>
        <w:adjustRightInd w:val="0"/>
        <w:ind w:firstLine="720"/>
        <w:jc w:val="both"/>
      </w:pPr>
      <w:r w:rsidRPr="00545976">
        <w:rPr>
          <w:rFonts w:ascii="Arial" w:hAnsi="Arial" w:cs="Arial"/>
        </w:rPr>
        <w:t> </w:t>
      </w:r>
      <w:r w:rsidRPr="00017DB3">
        <w:t>No</w:t>
      </w:r>
      <w:r w:rsidR="009671B4">
        <w:t>.</w:t>
      </w:r>
      <w:r w:rsidRPr="00017DB3">
        <w:t xml:space="preserve"> Staff </w:t>
      </w:r>
      <w:r w:rsidR="009671B4">
        <w:t>recommends</w:t>
      </w:r>
      <w:r w:rsidRPr="00017DB3">
        <w:t xml:space="preserve"> that </w:t>
      </w:r>
      <w:r w:rsidR="009671B4">
        <w:t xml:space="preserve">oral argument was not requested consistent with the requirements of Rule 25-22.0022, Florida Administrative Code (F.A.C.), and that the pleadings are sufficient </w:t>
      </w:r>
      <w:r w:rsidRPr="00017DB3">
        <w:t>for the disposition of this matter</w:t>
      </w:r>
      <w:r w:rsidR="009671B4">
        <w:t>.</w:t>
      </w:r>
      <w:r w:rsidRPr="00017DB3">
        <w:t xml:space="preserve"> </w:t>
      </w:r>
      <w:r w:rsidR="009671B4">
        <w:t>H</w:t>
      </w:r>
      <w:r w:rsidRPr="00017DB3">
        <w:t xml:space="preserve">owever, if the Commission chooses to hear oral argument at its discretion, staff recommends providing 5 minutes </w:t>
      </w:r>
      <w:r w:rsidR="00FC1ED9" w:rsidRPr="00017DB3">
        <w:t xml:space="preserve">per </w:t>
      </w:r>
      <w:r w:rsidR="009671B4">
        <w:t>p</w:t>
      </w:r>
      <w:r w:rsidRPr="00017DB3">
        <w:t>arty. (Trierweiler)</w:t>
      </w:r>
    </w:p>
    <w:p w:rsidR="002F048F" w:rsidRPr="005667B6" w:rsidRDefault="002F048F" w:rsidP="002F048F">
      <w:pPr>
        <w:autoSpaceDE w:val="0"/>
        <w:autoSpaceDN w:val="0"/>
        <w:adjustRightInd w:val="0"/>
        <w:ind w:firstLine="720"/>
        <w:jc w:val="both"/>
      </w:pPr>
    </w:p>
    <w:p w:rsidR="002F048F" w:rsidRPr="00545976" w:rsidRDefault="002F048F" w:rsidP="002F048F">
      <w:pPr>
        <w:pStyle w:val="BodyText"/>
        <w:rPr>
          <w:rFonts w:ascii="Arial" w:hAnsi="Arial" w:cs="Arial"/>
          <w:b/>
          <w:bCs/>
          <w:i/>
          <w:iCs/>
          <w:vanish/>
        </w:rPr>
      </w:pPr>
      <w:r w:rsidRPr="00545976">
        <w:rPr>
          <w:rFonts w:ascii="Arial" w:hAnsi="Arial" w:cs="Arial"/>
          <w:b/>
          <w:bCs/>
          <w:i/>
          <w:iCs/>
        </w:rPr>
        <w:t>Staff Analysis: </w:t>
      </w:r>
    </w:p>
    <w:p w:rsidR="002F048F" w:rsidRPr="00545976" w:rsidRDefault="002F048F" w:rsidP="002F048F">
      <w:pPr>
        <w:pStyle w:val="BodyText"/>
        <w:rPr>
          <w:rFonts w:ascii="Arial" w:hAnsi="Arial" w:cs="Arial"/>
        </w:rPr>
      </w:pPr>
      <w:r w:rsidRPr="00545976">
        <w:rPr>
          <w:rFonts w:ascii="Arial" w:hAnsi="Arial" w:cs="Arial"/>
        </w:rPr>
        <w:t> </w:t>
      </w:r>
    </w:p>
    <w:p w:rsidR="002F048F" w:rsidRPr="005667B6" w:rsidRDefault="002F048F" w:rsidP="002F048F">
      <w:pPr>
        <w:pStyle w:val="BodyText"/>
        <w:rPr>
          <w:u w:val="single"/>
        </w:rPr>
      </w:pPr>
      <w:r w:rsidRPr="005667B6">
        <w:rPr>
          <w:u w:val="single"/>
        </w:rPr>
        <w:t>Law</w:t>
      </w:r>
    </w:p>
    <w:p w:rsidR="002F048F" w:rsidRPr="005667B6" w:rsidRDefault="002F048F" w:rsidP="00B32EFD">
      <w:pPr>
        <w:pStyle w:val="BodyText"/>
      </w:pPr>
      <w:r w:rsidRPr="005667B6">
        <w:t xml:space="preserve">Rule 25-22.0022(1), F.A.C., allows a party to request oral argument before the Commission for any motion by separate written pleading filed concurrently with the motion on which argument is requested. Failure to timely file a request for oral argument constitutes a waiver thereof. Granting or denying oral argument is within the sole discretion of the Commission. Rule 25-22.0022(3), F.A.C. </w:t>
      </w:r>
      <w:r w:rsidR="00955E00">
        <w:t>Pursuant to Rule 25-22.0022(2), F.A.C., the Commission may request oral argument at its discretion.</w:t>
      </w:r>
      <w:r w:rsidR="00955E00" w:rsidRPr="005667B6" w:rsidDel="00955E00">
        <w:t xml:space="preserve"> </w:t>
      </w:r>
    </w:p>
    <w:p w:rsidR="002F048F" w:rsidRPr="005667B6" w:rsidRDefault="002F048F" w:rsidP="002F048F">
      <w:pPr>
        <w:pStyle w:val="BodyText"/>
        <w:rPr>
          <w:u w:val="single"/>
        </w:rPr>
      </w:pPr>
      <w:r w:rsidRPr="005667B6">
        <w:rPr>
          <w:u w:val="single"/>
        </w:rPr>
        <w:t>UIF’s Position</w:t>
      </w:r>
    </w:p>
    <w:p w:rsidR="002F048F" w:rsidRPr="005667B6" w:rsidRDefault="002F048F" w:rsidP="00B32EFD">
      <w:pPr>
        <w:pStyle w:val="BodyText"/>
      </w:pPr>
      <w:r w:rsidRPr="005667B6">
        <w:t xml:space="preserve">UIF </w:t>
      </w:r>
      <w:r w:rsidR="00164DE4">
        <w:t>contends</w:t>
      </w:r>
      <w:r w:rsidRPr="005667B6">
        <w:t xml:space="preserve"> that </w:t>
      </w:r>
      <w:r w:rsidR="00164DE4">
        <w:t>because the</w:t>
      </w:r>
      <w:r w:rsidRPr="005667B6">
        <w:t xml:space="preserve"> repression adjustment was not discussed in the Staff Recommendation and </w:t>
      </w:r>
      <w:r w:rsidR="00164DE4">
        <w:t xml:space="preserve">was </w:t>
      </w:r>
      <w:r w:rsidRPr="005667B6">
        <w:t xml:space="preserve">not addressed by the Commissioners at the </w:t>
      </w:r>
      <w:r w:rsidR="00164DE4">
        <w:t xml:space="preserve">post-hearing </w:t>
      </w:r>
      <w:r w:rsidRPr="005667B6">
        <w:t>Commission Conference, the Commissioners would benefit by hearing oral argument on the issue</w:t>
      </w:r>
      <w:r w:rsidR="006E3617">
        <w:t>.</w:t>
      </w:r>
      <w:r w:rsidRPr="005667B6">
        <w:t xml:space="preserve"> UIF requests fifteen (15) minutes for each party. OPC did not file a response to UIF’s Request for Oral Argument.</w:t>
      </w:r>
    </w:p>
    <w:p w:rsidR="002F048F" w:rsidRPr="005667B6" w:rsidRDefault="002F048F" w:rsidP="002F048F">
      <w:pPr>
        <w:pStyle w:val="BodyText"/>
        <w:rPr>
          <w:u w:val="single"/>
        </w:rPr>
      </w:pPr>
      <w:r w:rsidRPr="005667B6">
        <w:rPr>
          <w:u w:val="single"/>
        </w:rPr>
        <w:t>Staff Analysis</w:t>
      </w:r>
    </w:p>
    <w:p w:rsidR="002F048F" w:rsidRDefault="006E3617" w:rsidP="00057F24">
      <w:pPr>
        <w:pStyle w:val="BodyText"/>
      </w:pPr>
      <w:r>
        <w:t>As discussed in the case background, t</w:t>
      </w:r>
      <w:r w:rsidR="00955E00">
        <w:t xml:space="preserve">he Utility’s </w:t>
      </w:r>
      <w:r w:rsidR="002F048F">
        <w:t>Request for Oral Argument was not filed concurrently with the Motion, as required by Rule</w:t>
      </w:r>
      <w:r w:rsidR="00545976">
        <w:t xml:space="preserve"> </w:t>
      </w:r>
      <w:r w:rsidR="00955E00">
        <w:t>25-22</w:t>
      </w:r>
      <w:r w:rsidR="00545976" w:rsidRPr="005667B6">
        <w:t>.0022(1)</w:t>
      </w:r>
      <w:r w:rsidR="00955E00">
        <w:t>, F.A.C</w:t>
      </w:r>
      <w:r w:rsidR="002F048F">
        <w:t xml:space="preserve">. </w:t>
      </w:r>
      <w:r w:rsidR="00054DBE">
        <w:t>Further, staff believes that the pleadings are sufficient on their face for the Commission to evaluate and decide UIF</w:t>
      </w:r>
      <w:r w:rsidR="00EB65F0">
        <w:t>’</w:t>
      </w:r>
      <w:r w:rsidR="00054DBE">
        <w:t xml:space="preserve">s Motion. </w:t>
      </w:r>
      <w:r w:rsidR="00545976">
        <w:t xml:space="preserve">Staff recommends </w:t>
      </w:r>
      <w:r w:rsidR="00955E00">
        <w:t xml:space="preserve">that </w:t>
      </w:r>
      <w:r w:rsidR="00017DB3">
        <w:t xml:space="preserve">UIF’s Request </w:t>
      </w:r>
      <w:r w:rsidR="00955E00">
        <w:t xml:space="preserve">should be denied </w:t>
      </w:r>
      <w:r w:rsidR="00017DB3">
        <w:t xml:space="preserve">as </w:t>
      </w:r>
      <w:r w:rsidR="002F048F" w:rsidRPr="005667B6">
        <w:t>unnecessary for the disposition of this matter</w:t>
      </w:r>
      <w:r w:rsidR="00054DBE">
        <w:t xml:space="preserve">, and </w:t>
      </w:r>
      <w:r>
        <w:t xml:space="preserve">because </w:t>
      </w:r>
      <w:r w:rsidR="00054DBE">
        <w:t>its request for oral argument was not made consistent with the requirements of Rule 25-22.022, F.A.C. H</w:t>
      </w:r>
      <w:r w:rsidR="002F048F">
        <w:t>owever, if the Commission, in its discretion, chooses to hear oral argument, staff recommends 5 minutes per party</w:t>
      </w:r>
      <w:r w:rsidR="00054DBE">
        <w:t xml:space="preserve"> is sufficient</w:t>
      </w:r>
      <w:r w:rsidR="002F048F">
        <w:t>.</w:t>
      </w:r>
    </w:p>
    <w:p w:rsidR="009803B0" w:rsidRDefault="004F1663">
      <w:pPr>
        <w:pStyle w:val="BodyText"/>
      </w:pPr>
      <w:r>
        <w:br w:type="page"/>
      </w:r>
      <w:r w:rsidR="002F048F" w:rsidRPr="00B32EFD">
        <w:rPr>
          <w:rFonts w:ascii="Arial" w:hAnsi="Arial" w:cs="Arial"/>
          <w:b/>
          <w:bCs/>
          <w:i/>
        </w:rPr>
        <w:t xml:space="preserve">Issue </w:t>
      </w:r>
      <w:r w:rsidR="002F048F" w:rsidRPr="00B32EFD">
        <w:rPr>
          <w:rFonts w:ascii="Arial" w:hAnsi="Arial" w:cs="Arial"/>
          <w:b/>
          <w:bCs/>
          <w:i/>
        </w:rPr>
        <w:fldChar w:fldCharType="begin"/>
      </w:r>
      <w:r w:rsidR="002F048F" w:rsidRPr="00B32EFD">
        <w:rPr>
          <w:rFonts w:ascii="Arial" w:hAnsi="Arial" w:cs="Arial"/>
          <w:b/>
          <w:bCs/>
          <w:i/>
        </w:rPr>
        <w:instrText xml:space="preserve"> SEQ Issue \* MERGEFORMAT </w:instrText>
      </w:r>
      <w:r w:rsidR="002F048F" w:rsidRPr="00B32EFD">
        <w:rPr>
          <w:rFonts w:ascii="Arial" w:hAnsi="Arial" w:cs="Arial"/>
          <w:b/>
          <w:bCs/>
          <w:i/>
        </w:rPr>
        <w:fldChar w:fldCharType="separate"/>
      </w:r>
      <w:r w:rsidR="00F53B2A">
        <w:rPr>
          <w:rFonts w:ascii="Arial" w:hAnsi="Arial" w:cs="Arial"/>
          <w:b/>
          <w:bCs/>
          <w:i/>
          <w:noProof/>
        </w:rPr>
        <w:t>2</w:t>
      </w:r>
      <w:r w:rsidR="002F048F" w:rsidRPr="00B32EFD">
        <w:rPr>
          <w:rFonts w:ascii="Arial" w:hAnsi="Arial" w:cs="Arial"/>
        </w:rPr>
        <w:fldChar w:fldCharType="end"/>
      </w:r>
      <w:r w:rsidR="002F048F" w:rsidRPr="00B32EFD">
        <w:rPr>
          <w:rFonts w:ascii="Arial" w:hAnsi="Arial" w:cs="Arial"/>
          <w:b/>
          <w:bCs/>
          <w:i/>
        </w:rPr>
        <w:t>:</w:t>
      </w:r>
      <w:r w:rsidR="002F048F" w:rsidRPr="005667B6">
        <w:rPr>
          <w:b/>
          <w:bCs/>
          <w:i/>
        </w:rPr>
        <w:fldChar w:fldCharType="begin"/>
      </w:r>
      <w:r w:rsidR="002F048F" w:rsidRPr="005667B6">
        <w:rPr>
          <w:b/>
          <w:bCs/>
          <w:i/>
        </w:rPr>
        <w:instrText xml:space="preserve"> TC "</w:instrText>
      </w:r>
      <w:r w:rsidR="002F048F" w:rsidRPr="005667B6">
        <w:rPr>
          <w:b/>
          <w:bCs/>
          <w:i/>
        </w:rPr>
        <w:fldChar w:fldCharType="begin"/>
      </w:r>
      <w:r w:rsidR="002F048F" w:rsidRPr="005667B6">
        <w:rPr>
          <w:b/>
          <w:bCs/>
          <w:i/>
        </w:rPr>
        <w:instrText xml:space="preserve"> SEQ issue \c </w:instrText>
      </w:r>
      <w:r w:rsidR="002F048F" w:rsidRPr="005667B6">
        <w:rPr>
          <w:b/>
          <w:bCs/>
          <w:i/>
        </w:rPr>
        <w:fldChar w:fldCharType="separate"/>
      </w:r>
      <w:r w:rsidR="00F53B2A">
        <w:rPr>
          <w:b/>
          <w:bCs/>
          <w:i/>
          <w:noProof/>
        </w:rPr>
        <w:instrText>2</w:instrText>
      </w:r>
      <w:r w:rsidR="002F048F" w:rsidRPr="005667B6">
        <w:fldChar w:fldCharType="end"/>
      </w:r>
      <w:r w:rsidR="002F048F" w:rsidRPr="005667B6">
        <w:rPr>
          <w:b/>
          <w:bCs/>
          <w:i/>
        </w:rPr>
        <w:tab/>
        <w:instrText xml:space="preserve">" \l 1 </w:instrText>
      </w:r>
      <w:r w:rsidR="002F048F" w:rsidRPr="005667B6">
        <w:rPr>
          <w:b/>
          <w:bCs/>
          <w:i/>
        </w:rPr>
        <w:fldChar w:fldCharType="end"/>
      </w:r>
      <w:r w:rsidR="002F048F" w:rsidRPr="005667B6">
        <w:rPr>
          <w:b/>
          <w:bCs/>
          <w:i/>
        </w:rPr>
        <w:t> </w:t>
      </w:r>
      <w:r w:rsidR="005112AF">
        <w:t xml:space="preserve">Should </w:t>
      </w:r>
      <w:r w:rsidR="005112AF" w:rsidRPr="00885264">
        <w:t>UIF</w:t>
      </w:r>
      <w:r w:rsidR="005112AF">
        <w:t>’s</w:t>
      </w:r>
      <w:r w:rsidR="005112AF" w:rsidRPr="002F1813">
        <w:t xml:space="preserve"> Motion for Reconsideration of Order No. </w:t>
      </w:r>
      <w:r w:rsidR="005112AF" w:rsidRPr="007B1A7D">
        <w:rPr>
          <w:color w:val="333333"/>
        </w:rPr>
        <w:t xml:space="preserve">PSC-2021-0206-FOF-WS </w:t>
      </w:r>
      <w:r w:rsidR="005112AF">
        <w:rPr>
          <w:color w:val="333333"/>
        </w:rPr>
        <w:t xml:space="preserve">be </w:t>
      </w:r>
      <w:proofErr w:type="gramStart"/>
      <w:r w:rsidR="005112AF">
        <w:rPr>
          <w:color w:val="333333"/>
        </w:rPr>
        <w:t>Granted</w:t>
      </w:r>
      <w:proofErr w:type="gramEnd"/>
      <w:r w:rsidR="005112AF">
        <w:rPr>
          <w:color w:val="333333"/>
        </w:rPr>
        <w:t>?</w:t>
      </w:r>
    </w:p>
    <w:p w:rsidR="009803B0" w:rsidRPr="000B7EA8" w:rsidRDefault="009803B0">
      <w:pPr>
        <w:pStyle w:val="IssueSubsectionHeading"/>
        <w:rPr>
          <w:vanish/>
          <w:specVanish/>
        </w:rPr>
      </w:pPr>
      <w:r w:rsidRPr="000B7EA8">
        <w:t>Recommendation: </w:t>
      </w:r>
    </w:p>
    <w:p w:rsidR="009803B0" w:rsidRPr="00E73040" w:rsidRDefault="009803B0">
      <w:pPr>
        <w:pStyle w:val="BodyText"/>
      </w:pPr>
      <w:r w:rsidRPr="000B7EA8">
        <w:t> </w:t>
      </w:r>
      <w:r w:rsidR="005112AF" w:rsidRPr="000B7EA8">
        <w:t xml:space="preserve">No. </w:t>
      </w:r>
      <w:r w:rsidR="00BE0810">
        <w:t xml:space="preserve">UIF’s Motion for Reconsideration should be denied as being untimely filed. However, if the Commission wishes to address the substance of UIF’s Motion, staff recommends the Motion should be denied because </w:t>
      </w:r>
      <w:r w:rsidR="00DF533C" w:rsidRPr="00B32EFD">
        <w:t>UIF fails to raise a point of fact or law that the Commission overlooked or failed to consider</w:t>
      </w:r>
      <w:r w:rsidR="00E73040">
        <w:t xml:space="preserve"> in rendering its decision.</w:t>
      </w:r>
      <w:r w:rsidR="002F048F" w:rsidRPr="00B32EFD">
        <w:t xml:space="preserve"> (Trierweiler)</w:t>
      </w:r>
    </w:p>
    <w:p w:rsidR="009803B0" w:rsidRPr="004C3641" w:rsidRDefault="009803B0">
      <w:pPr>
        <w:pStyle w:val="IssueSubsectionHeading"/>
        <w:rPr>
          <w:vanish/>
          <w:specVanish/>
        </w:rPr>
      </w:pPr>
      <w:r w:rsidRPr="004C3641">
        <w:t>Staff Analysis: </w:t>
      </w:r>
    </w:p>
    <w:p w:rsidR="009803B0" w:rsidRDefault="009803B0">
      <w:pPr>
        <w:pStyle w:val="BodyText"/>
      </w:pPr>
      <w:r>
        <w:t> </w:t>
      </w:r>
    </w:p>
    <w:p w:rsidR="00C25118" w:rsidRDefault="00C25118" w:rsidP="00C25118">
      <w:pPr>
        <w:pStyle w:val="BodyText"/>
        <w:rPr>
          <w:u w:val="single"/>
        </w:rPr>
      </w:pPr>
      <w:r>
        <w:rPr>
          <w:u w:val="single"/>
        </w:rPr>
        <w:t>Law</w:t>
      </w:r>
    </w:p>
    <w:p w:rsidR="00F66A78" w:rsidRDefault="00F66A78" w:rsidP="00F66A78">
      <w:pPr>
        <w:pStyle w:val="BodyText"/>
        <w:rPr>
          <w:b/>
        </w:rPr>
      </w:pPr>
      <w:r>
        <w:t>Rule 25-22.060</w:t>
      </w:r>
      <w:r w:rsidR="00494C8B">
        <w:t>(3)</w:t>
      </w:r>
      <w:r>
        <w:t>, F.A.C., applies to requests for reconsideration of final orders, and states:</w:t>
      </w:r>
      <w:r>
        <w:rPr>
          <w:b/>
        </w:rPr>
        <w:t xml:space="preserve"> </w:t>
      </w:r>
    </w:p>
    <w:p w:rsidR="00F66A78" w:rsidRPr="00F66A78" w:rsidRDefault="00494C8B" w:rsidP="00F66A78">
      <w:pPr>
        <w:pStyle w:val="BodyText"/>
        <w:ind w:left="720" w:right="720"/>
      </w:pPr>
      <w:r w:rsidRPr="00F66A78">
        <w:t xml:space="preserve"> </w:t>
      </w:r>
      <w:r w:rsidR="00F66A78" w:rsidRPr="00F66A78">
        <w:t>(3) Time. A motion for reconsideration of a final order shall be filed within 15 days after issuance of the order. A response to a motion for reconsideration or a cross motion for reconsideration shall be served within 7 days of service of the motion for reconsideration to which the response or cross motion is directed. A response to a cross motion for reconsideration shall be served within 7 days of service of the cross motion.</w:t>
      </w:r>
    </w:p>
    <w:p w:rsidR="00C25118" w:rsidRDefault="00C25118" w:rsidP="00B32EFD">
      <w:pPr>
        <w:pStyle w:val="BodyText"/>
        <w:rPr>
          <w:u w:val="single"/>
        </w:rPr>
      </w:pPr>
      <w:r w:rsidRPr="00C25118">
        <w:t xml:space="preserve">The standard of review for reconsideration of a Commission order is whether the motion identifies a point of fact or law that </w:t>
      </w:r>
      <w:r w:rsidR="00473507">
        <w:t xml:space="preserve">Commission </w:t>
      </w:r>
      <w:r w:rsidRPr="00C25118">
        <w:t xml:space="preserve">overlooked or failed to consider in rendering the order. </w:t>
      </w:r>
      <w:r w:rsidRPr="008B1816">
        <w:rPr>
          <w:i/>
        </w:rPr>
        <w:t>See Stewart Bonded Warehouse, Inc. v. Bevis</w:t>
      </w:r>
      <w:r w:rsidRPr="00C25118">
        <w:t>, 294 So. 2d 315 (</w:t>
      </w:r>
      <w:smartTag w:uri="urn:schemas-microsoft-com:office:smarttags" w:element="State">
        <w:smartTag w:uri="urn:schemas-microsoft-com:office:smarttags" w:element="place">
          <w:r w:rsidRPr="00C25118">
            <w:t>Fla.</w:t>
          </w:r>
        </w:smartTag>
      </w:smartTag>
      <w:r w:rsidRPr="00C25118">
        <w:t xml:space="preserve"> 1974); </w:t>
      </w:r>
      <w:r w:rsidRPr="008B1816">
        <w:rPr>
          <w:i/>
        </w:rPr>
        <w:t>Diamond Cab Co. v. King</w:t>
      </w:r>
      <w:r w:rsidRPr="00C25118">
        <w:t>, 146 So. 2d 889 (</w:t>
      </w:r>
      <w:smartTag w:uri="urn:schemas-microsoft-com:office:smarttags" w:element="State">
        <w:smartTag w:uri="urn:schemas-microsoft-com:office:smarttags" w:element="place">
          <w:r w:rsidRPr="00C25118">
            <w:t>Fla.</w:t>
          </w:r>
        </w:smartTag>
      </w:smartTag>
      <w:r w:rsidRPr="00C25118">
        <w:t xml:space="preserve"> 1962); and </w:t>
      </w:r>
      <w:proofErr w:type="spellStart"/>
      <w:r w:rsidRPr="008B1816">
        <w:rPr>
          <w:i/>
        </w:rPr>
        <w:t>Pingree</w:t>
      </w:r>
      <w:proofErr w:type="spellEnd"/>
      <w:r w:rsidRPr="008B1816">
        <w:rPr>
          <w:i/>
        </w:rPr>
        <w:t xml:space="preserve"> v. </w:t>
      </w:r>
      <w:proofErr w:type="spellStart"/>
      <w:r w:rsidRPr="008B1816">
        <w:rPr>
          <w:i/>
        </w:rPr>
        <w:t>Quaintance</w:t>
      </w:r>
      <w:proofErr w:type="spellEnd"/>
      <w:r w:rsidRPr="00C25118">
        <w:t xml:space="preserve">, 394 So. 2d 162 (Fla. 1st DCA 1981).  In a motion for reconsideration, it is not appropriate to reargue matters that have already been considered. </w:t>
      </w:r>
      <w:r w:rsidRPr="008B1816">
        <w:rPr>
          <w:i/>
        </w:rPr>
        <w:t>Sherwood v. State</w:t>
      </w:r>
      <w:r w:rsidRPr="00C25118">
        <w:t xml:space="preserve">, 111 So. 2d 96 (Fla. 3rd DCA 1959); citing </w:t>
      </w:r>
      <w:r w:rsidRPr="008B1816">
        <w:rPr>
          <w:i/>
        </w:rPr>
        <w:t xml:space="preserve">State ex. rel. </w:t>
      </w:r>
      <w:proofErr w:type="spellStart"/>
      <w:r w:rsidRPr="008B1816">
        <w:rPr>
          <w:i/>
        </w:rPr>
        <w:t>Jaytex</w:t>
      </w:r>
      <w:proofErr w:type="spellEnd"/>
      <w:r w:rsidRPr="008B1816">
        <w:rPr>
          <w:i/>
        </w:rPr>
        <w:t xml:space="preserve"> Realty Co. v. Green</w:t>
      </w:r>
      <w:r w:rsidRPr="00C25118">
        <w:t xml:space="preserve">, 105 So. 2d 817 (Fla. 1st DCA 1958).  Furthermore, a motion for reconsideration should not be granted “based upon an arbitrary feeling that a mistake may have been made, but should be based upon specific factual matters set forth in the record and susceptible to review.” </w:t>
      </w:r>
      <w:r w:rsidRPr="008B1816">
        <w:rPr>
          <w:i/>
        </w:rPr>
        <w:t>Stewart Bonded Warehouse, Inc.</w:t>
      </w:r>
    </w:p>
    <w:p w:rsidR="00473507" w:rsidRDefault="00473507" w:rsidP="00B7382F">
      <w:pPr>
        <w:pStyle w:val="BodyText"/>
        <w:rPr>
          <w:rFonts w:ascii="TimesNewRomanPSMT" w:hAnsi="TimesNewRomanPSMT" w:cs="TimesNewRomanPSMT"/>
          <w:sz w:val="23"/>
          <w:szCs w:val="23"/>
        </w:rPr>
      </w:pPr>
      <w:r w:rsidRPr="00825AD3">
        <w:rPr>
          <w:u w:val="single"/>
        </w:rPr>
        <w:t xml:space="preserve">UIF’s </w:t>
      </w:r>
      <w:r w:rsidR="00005E94">
        <w:rPr>
          <w:u w:val="single"/>
        </w:rPr>
        <w:t>Motion</w:t>
      </w:r>
    </w:p>
    <w:p w:rsidR="00D16CA3" w:rsidRDefault="00473507" w:rsidP="00D16CA3">
      <w:pPr>
        <w:autoSpaceDE w:val="0"/>
        <w:autoSpaceDN w:val="0"/>
        <w:adjustRightInd w:val="0"/>
        <w:jc w:val="both"/>
        <w:rPr>
          <w:rFonts w:ascii="TimesNewRomanPSMT" w:hAnsi="TimesNewRomanPSMT" w:cs="TimesNewRomanPSMT"/>
          <w:sz w:val="23"/>
          <w:szCs w:val="23"/>
        </w:rPr>
      </w:pPr>
      <w:r>
        <w:rPr>
          <w:rFonts w:ascii="TimesNewRomanPSMT" w:hAnsi="TimesNewRomanPSMT" w:cs="TimesNewRomanPSMT"/>
          <w:sz w:val="23"/>
          <w:szCs w:val="23"/>
        </w:rPr>
        <w:t xml:space="preserve">UIF states </w:t>
      </w:r>
      <w:r w:rsidR="00D16CA3">
        <w:rPr>
          <w:rFonts w:ascii="TimesNewRomanPSMT" w:hAnsi="TimesNewRomanPSMT" w:cs="TimesNewRomanPSMT"/>
          <w:sz w:val="23"/>
          <w:szCs w:val="23"/>
        </w:rPr>
        <w:t xml:space="preserve">in its Motion </w:t>
      </w:r>
      <w:r>
        <w:rPr>
          <w:rFonts w:ascii="TimesNewRomanPSMT" w:hAnsi="TimesNewRomanPSMT" w:cs="TimesNewRomanPSMT"/>
          <w:sz w:val="23"/>
          <w:szCs w:val="23"/>
        </w:rPr>
        <w:t>that a</w:t>
      </w:r>
      <w:r w:rsidRPr="00473507">
        <w:rPr>
          <w:rFonts w:ascii="TimesNewRomanPSMT" w:hAnsi="TimesNewRomanPSMT" w:cs="TimesNewRomanPSMT"/>
          <w:sz w:val="23"/>
          <w:szCs w:val="23"/>
        </w:rPr>
        <w:t xml:space="preserve"> water repression adjustment quantifies changes in consumption in response to an</w:t>
      </w:r>
      <w:r>
        <w:rPr>
          <w:rFonts w:ascii="TimesNewRomanPSMT" w:hAnsi="TimesNewRomanPSMT" w:cs="TimesNewRomanPSMT"/>
          <w:sz w:val="23"/>
          <w:szCs w:val="23"/>
        </w:rPr>
        <w:t xml:space="preserve"> </w:t>
      </w:r>
      <w:r w:rsidRPr="00473507">
        <w:rPr>
          <w:rFonts w:ascii="TimesNewRomanPSMT" w:hAnsi="TimesNewRomanPSMT" w:cs="TimesNewRomanPSMT"/>
          <w:sz w:val="23"/>
          <w:szCs w:val="23"/>
        </w:rPr>
        <w:t xml:space="preserve">increase in price. </w:t>
      </w:r>
      <w:r>
        <w:rPr>
          <w:rFonts w:ascii="TimesNewRomanPSMT" w:hAnsi="TimesNewRomanPSMT" w:cs="TimesNewRomanPSMT"/>
          <w:sz w:val="23"/>
          <w:szCs w:val="23"/>
        </w:rPr>
        <w:t>UIF also states that t</w:t>
      </w:r>
      <w:r w:rsidRPr="00473507">
        <w:rPr>
          <w:rFonts w:ascii="TimesNewRomanPSMT" w:hAnsi="TimesNewRomanPSMT" w:cs="TimesNewRomanPSMT"/>
          <w:sz w:val="23"/>
          <w:szCs w:val="23"/>
        </w:rPr>
        <w:t>he Commission has historically estimated that the rate by which residential</w:t>
      </w:r>
      <w:r>
        <w:rPr>
          <w:rFonts w:ascii="TimesNewRomanPSMT" w:hAnsi="TimesNewRomanPSMT" w:cs="TimesNewRomanPSMT"/>
          <w:sz w:val="23"/>
          <w:szCs w:val="23"/>
        </w:rPr>
        <w:t xml:space="preserve"> </w:t>
      </w:r>
      <w:r w:rsidRPr="00473507">
        <w:rPr>
          <w:rFonts w:ascii="TimesNewRomanPSMT" w:hAnsi="TimesNewRomanPSMT" w:cs="TimesNewRomanPSMT"/>
          <w:sz w:val="23"/>
          <w:szCs w:val="23"/>
        </w:rPr>
        <w:t>customers will reduce their water consumption in response to an increase in price - elasticity of</w:t>
      </w:r>
      <w:r>
        <w:rPr>
          <w:rFonts w:ascii="TimesNewRomanPSMT" w:hAnsi="TimesNewRomanPSMT" w:cs="TimesNewRomanPSMT"/>
          <w:sz w:val="23"/>
          <w:szCs w:val="23"/>
        </w:rPr>
        <w:t xml:space="preserve"> </w:t>
      </w:r>
      <w:r w:rsidRPr="00473507">
        <w:rPr>
          <w:rFonts w:ascii="TimesNewRomanPSMT" w:hAnsi="TimesNewRomanPSMT" w:cs="TimesNewRomanPSMT"/>
          <w:sz w:val="23"/>
          <w:szCs w:val="23"/>
        </w:rPr>
        <w:t xml:space="preserve">demand - is four percent of discretionary usage for every ten percent increase in price. </w:t>
      </w:r>
      <w:r>
        <w:rPr>
          <w:rFonts w:ascii="TimesNewRomanPSMT" w:hAnsi="TimesNewRomanPSMT" w:cs="TimesNewRomanPSMT"/>
          <w:sz w:val="23"/>
          <w:szCs w:val="23"/>
        </w:rPr>
        <w:t>UIF asserts that i</w:t>
      </w:r>
      <w:r w:rsidRPr="00473507">
        <w:rPr>
          <w:rFonts w:ascii="TimesNewRomanPSMT" w:hAnsi="TimesNewRomanPSMT" w:cs="TimesNewRomanPSMT"/>
          <w:sz w:val="23"/>
          <w:szCs w:val="23"/>
        </w:rPr>
        <w:t>nclusion of</w:t>
      </w:r>
      <w:r>
        <w:rPr>
          <w:rFonts w:ascii="TimesNewRomanPSMT" w:hAnsi="TimesNewRomanPSMT" w:cs="TimesNewRomanPSMT"/>
          <w:sz w:val="23"/>
          <w:szCs w:val="23"/>
        </w:rPr>
        <w:t xml:space="preserve"> </w:t>
      </w:r>
      <w:r w:rsidRPr="00473507">
        <w:rPr>
          <w:rFonts w:ascii="TimesNewRomanPSMT" w:hAnsi="TimesNewRomanPSMT" w:cs="TimesNewRomanPSMT"/>
          <w:sz w:val="23"/>
          <w:szCs w:val="23"/>
        </w:rPr>
        <w:t xml:space="preserve">a repression adjustment is a long-standing Commission practice. </w:t>
      </w:r>
      <w:r w:rsidR="00692337">
        <w:rPr>
          <w:rFonts w:ascii="TimesNewRomanPSMT" w:hAnsi="TimesNewRomanPSMT" w:cs="TimesNewRomanPSMT"/>
          <w:sz w:val="23"/>
          <w:szCs w:val="23"/>
        </w:rPr>
        <w:t>A</w:t>
      </w:r>
      <w:r w:rsidR="00D16CA3">
        <w:rPr>
          <w:rFonts w:ascii="TimesNewRomanPSMT" w:hAnsi="TimesNewRomanPSMT" w:cs="TimesNewRomanPSMT"/>
          <w:sz w:val="23"/>
          <w:szCs w:val="23"/>
        </w:rPr>
        <w:t xml:space="preserve">ccording to UIF, </w:t>
      </w:r>
      <w:r w:rsidR="00692337">
        <w:rPr>
          <w:rFonts w:ascii="TimesNewRomanPSMT" w:hAnsi="TimesNewRomanPSMT" w:cs="TimesNewRomanPSMT"/>
          <w:sz w:val="23"/>
          <w:szCs w:val="23"/>
        </w:rPr>
        <w:t xml:space="preserve">the Commission’s failure to apply a repression adjustment establishes that </w:t>
      </w:r>
      <w:r w:rsidR="00D16CA3" w:rsidRPr="00473507">
        <w:rPr>
          <w:rFonts w:ascii="TimesNewRomanPSMT" w:hAnsi="TimesNewRomanPSMT" w:cs="TimesNewRomanPSMT"/>
          <w:sz w:val="23"/>
          <w:szCs w:val="23"/>
        </w:rPr>
        <w:t>this Motion clearly meets the strict</w:t>
      </w:r>
      <w:r w:rsidR="00D16CA3">
        <w:rPr>
          <w:rFonts w:ascii="TimesNewRomanPSMT" w:hAnsi="TimesNewRomanPSMT" w:cs="TimesNewRomanPSMT"/>
          <w:sz w:val="23"/>
          <w:szCs w:val="23"/>
        </w:rPr>
        <w:t xml:space="preserve"> </w:t>
      </w:r>
      <w:r w:rsidR="00D16CA3" w:rsidRPr="00473507">
        <w:rPr>
          <w:rFonts w:ascii="TimesNewRomanPSMT" w:hAnsi="TimesNewRomanPSMT" w:cs="TimesNewRomanPSMT"/>
          <w:sz w:val="23"/>
          <w:szCs w:val="23"/>
        </w:rPr>
        <w:t>standard for reconsideration of a point of fact being overlooked.</w:t>
      </w:r>
      <w:r w:rsidR="00D16CA3">
        <w:rPr>
          <w:rFonts w:ascii="TimesNewRomanPSMT" w:hAnsi="TimesNewRomanPSMT" w:cs="TimesNewRomanPSMT"/>
          <w:sz w:val="23"/>
          <w:szCs w:val="23"/>
        </w:rPr>
        <w:t xml:space="preserve"> </w:t>
      </w:r>
    </w:p>
    <w:p w:rsidR="00473507" w:rsidRDefault="00473507" w:rsidP="00473507">
      <w:pPr>
        <w:autoSpaceDE w:val="0"/>
        <w:autoSpaceDN w:val="0"/>
        <w:adjustRightInd w:val="0"/>
        <w:jc w:val="both"/>
        <w:rPr>
          <w:rFonts w:ascii="TimesNewRomanPSMT" w:hAnsi="TimesNewRomanPSMT" w:cs="TimesNewRomanPSMT"/>
          <w:sz w:val="23"/>
          <w:szCs w:val="23"/>
        </w:rPr>
      </w:pPr>
    </w:p>
    <w:p w:rsidR="00933AA0" w:rsidRDefault="00182F5F" w:rsidP="00473507">
      <w:pPr>
        <w:autoSpaceDE w:val="0"/>
        <w:autoSpaceDN w:val="0"/>
        <w:adjustRightInd w:val="0"/>
        <w:jc w:val="both"/>
        <w:rPr>
          <w:rFonts w:ascii="TimesNewRomanPSMT" w:hAnsi="TimesNewRomanPSMT" w:cs="TimesNewRomanPSMT"/>
          <w:sz w:val="23"/>
          <w:szCs w:val="23"/>
        </w:rPr>
      </w:pPr>
      <w:r>
        <w:rPr>
          <w:rFonts w:ascii="TimesNewRomanPSMT" w:hAnsi="TimesNewRomanPSMT" w:cs="TimesNewRomanPSMT"/>
          <w:sz w:val="23"/>
          <w:szCs w:val="23"/>
        </w:rPr>
        <w:t xml:space="preserve">In its Motion, </w:t>
      </w:r>
      <w:r w:rsidR="00473507">
        <w:rPr>
          <w:rFonts w:ascii="TimesNewRomanPSMT" w:hAnsi="TimesNewRomanPSMT" w:cs="TimesNewRomanPSMT"/>
          <w:sz w:val="23"/>
          <w:szCs w:val="23"/>
        </w:rPr>
        <w:t xml:space="preserve">UIF </w:t>
      </w:r>
      <w:r w:rsidR="006A0FDF">
        <w:rPr>
          <w:rFonts w:ascii="TimesNewRomanPSMT" w:hAnsi="TimesNewRomanPSMT" w:cs="TimesNewRomanPSMT"/>
          <w:sz w:val="23"/>
          <w:szCs w:val="23"/>
        </w:rPr>
        <w:t>concedes</w:t>
      </w:r>
      <w:r w:rsidR="00473507">
        <w:rPr>
          <w:rFonts w:ascii="TimesNewRomanPSMT" w:hAnsi="TimesNewRomanPSMT" w:cs="TimesNewRomanPSMT"/>
          <w:sz w:val="23"/>
          <w:szCs w:val="23"/>
        </w:rPr>
        <w:t xml:space="preserve"> that it did not present evidence on repression as it and other utilities have done in the past</w:t>
      </w:r>
      <w:r w:rsidR="00442670">
        <w:rPr>
          <w:rFonts w:ascii="TimesNewRomanPSMT" w:hAnsi="TimesNewRomanPSMT" w:cs="TimesNewRomanPSMT"/>
          <w:sz w:val="23"/>
          <w:szCs w:val="23"/>
        </w:rPr>
        <w:t xml:space="preserve">. </w:t>
      </w:r>
      <w:r w:rsidR="000C6D6C">
        <w:rPr>
          <w:rFonts w:ascii="TimesNewRomanPSMT" w:hAnsi="TimesNewRomanPSMT" w:cs="TimesNewRomanPSMT"/>
          <w:sz w:val="23"/>
          <w:szCs w:val="23"/>
        </w:rPr>
        <w:t xml:space="preserve">To support its position, </w:t>
      </w:r>
      <w:r w:rsidR="00B86F0E">
        <w:rPr>
          <w:rFonts w:ascii="TimesNewRomanPSMT" w:hAnsi="TimesNewRomanPSMT" w:cs="TimesNewRomanPSMT"/>
          <w:sz w:val="23"/>
          <w:szCs w:val="23"/>
        </w:rPr>
        <w:t xml:space="preserve">UIF cites to prior Commission orders </w:t>
      </w:r>
      <w:r w:rsidR="000C6D6C">
        <w:rPr>
          <w:rFonts w:ascii="TimesNewRomanPSMT" w:hAnsi="TimesNewRomanPSMT" w:cs="TimesNewRomanPSMT"/>
          <w:sz w:val="23"/>
          <w:szCs w:val="23"/>
        </w:rPr>
        <w:t>addressing base rate proceedings for Commission-regulated water and wastewater utilities</w:t>
      </w:r>
      <w:r w:rsidR="009B129F">
        <w:rPr>
          <w:rFonts w:ascii="TimesNewRomanPSMT" w:hAnsi="TimesNewRomanPSMT" w:cs="TimesNewRomanPSMT"/>
          <w:sz w:val="23"/>
          <w:szCs w:val="23"/>
        </w:rPr>
        <w:t>,</w:t>
      </w:r>
      <w:r w:rsidR="000C6D6C">
        <w:rPr>
          <w:rFonts w:ascii="TimesNewRomanPSMT" w:hAnsi="TimesNewRomanPSMT" w:cs="TimesNewRomanPSMT"/>
          <w:sz w:val="23"/>
          <w:szCs w:val="23"/>
        </w:rPr>
        <w:t xml:space="preserve"> in which repression adjustments were made </w:t>
      </w:r>
      <w:r w:rsidR="009B129F">
        <w:rPr>
          <w:rFonts w:ascii="TimesNewRomanPSMT" w:hAnsi="TimesNewRomanPSMT" w:cs="TimesNewRomanPSMT"/>
          <w:sz w:val="23"/>
          <w:szCs w:val="23"/>
        </w:rPr>
        <w:t>to reflect anticipated reductions in the number of gallons sold</w:t>
      </w:r>
      <w:r w:rsidR="000C6D6C">
        <w:rPr>
          <w:rFonts w:ascii="TimesNewRomanPSMT" w:hAnsi="TimesNewRomanPSMT" w:cs="TimesNewRomanPSMT"/>
          <w:sz w:val="23"/>
          <w:szCs w:val="23"/>
        </w:rPr>
        <w:t>.</w:t>
      </w:r>
    </w:p>
    <w:p w:rsidR="00933AA0" w:rsidRDefault="00933AA0" w:rsidP="00473507">
      <w:pPr>
        <w:autoSpaceDE w:val="0"/>
        <w:autoSpaceDN w:val="0"/>
        <w:adjustRightInd w:val="0"/>
        <w:jc w:val="both"/>
        <w:rPr>
          <w:rFonts w:ascii="TimesNewRomanPSMT" w:hAnsi="TimesNewRomanPSMT" w:cs="TimesNewRomanPSMT"/>
          <w:sz w:val="23"/>
          <w:szCs w:val="23"/>
        </w:rPr>
      </w:pPr>
    </w:p>
    <w:p w:rsidR="008407B9" w:rsidRDefault="009B129F" w:rsidP="00F12B2F">
      <w:pPr>
        <w:autoSpaceDE w:val="0"/>
        <w:autoSpaceDN w:val="0"/>
        <w:adjustRightInd w:val="0"/>
        <w:jc w:val="both"/>
        <w:rPr>
          <w:rFonts w:ascii="TimesNewRomanPSMT" w:hAnsi="TimesNewRomanPSMT" w:cs="TimesNewRomanPSMT"/>
          <w:sz w:val="23"/>
          <w:szCs w:val="23"/>
        </w:rPr>
      </w:pPr>
      <w:r w:rsidRPr="00473507">
        <w:rPr>
          <w:rFonts w:ascii="TimesNewRomanPSMT" w:hAnsi="TimesNewRomanPSMT" w:cs="TimesNewRomanPSMT"/>
          <w:sz w:val="23"/>
          <w:szCs w:val="23"/>
        </w:rPr>
        <w:t xml:space="preserve">In </w:t>
      </w:r>
      <w:r w:rsidR="00CD69C5">
        <w:rPr>
          <w:rFonts w:ascii="TimesNewRomanPSMT" w:hAnsi="TimesNewRomanPSMT" w:cs="TimesNewRomanPSMT"/>
          <w:sz w:val="23"/>
          <w:szCs w:val="23"/>
        </w:rPr>
        <w:t xml:space="preserve">Final </w:t>
      </w:r>
      <w:r>
        <w:rPr>
          <w:rFonts w:ascii="TimesNewRomanPSMT" w:hAnsi="TimesNewRomanPSMT" w:cs="TimesNewRomanPSMT"/>
          <w:sz w:val="23"/>
          <w:szCs w:val="23"/>
        </w:rPr>
        <w:t>Order No. PSC-2021-0206</w:t>
      </w:r>
      <w:r w:rsidRPr="00473507">
        <w:rPr>
          <w:rFonts w:ascii="TimesNewRomanPSMT" w:hAnsi="TimesNewRomanPSMT" w:cs="TimesNewRomanPSMT"/>
          <w:sz w:val="23"/>
          <w:szCs w:val="23"/>
        </w:rPr>
        <w:t>, the</w:t>
      </w:r>
      <w:r>
        <w:rPr>
          <w:rFonts w:ascii="TimesNewRomanPSMT" w:hAnsi="TimesNewRomanPSMT" w:cs="TimesNewRomanPSMT"/>
          <w:sz w:val="23"/>
          <w:szCs w:val="23"/>
        </w:rPr>
        <w:t xml:space="preserve"> </w:t>
      </w:r>
      <w:r w:rsidRPr="00473507">
        <w:rPr>
          <w:rFonts w:ascii="TimesNewRomanPSMT" w:hAnsi="TimesNewRomanPSMT" w:cs="TimesNewRomanPSMT"/>
          <w:sz w:val="23"/>
          <w:szCs w:val="23"/>
        </w:rPr>
        <w:t xml:space="preserve">Commission approved a 10.20 percent </w:t>
      </w:r>
      <w:r>
        <w:rPr>
          <w:rFonts w:ascii="TimesNewRomanPSMT" w:hAnsi="TimesNewRomanPSMT" w:cs="TimesNewRomanPSMT"/>
          <w:sz w:val="23"/>
          <w:szCs w:val="23"/>
        </w:rPr>
        <w:t xml:space="preserve">increase </w:t>
      </w:r>
      <w:r w:rsidRPr="00473507">
        <w:rPr>
          <w:rFonts w:ascii="TimesNewRomanPSMT" w:hAnsi="TimesNewRomanPSMT" w:cs="TimesNewRomanPSMT"/>
          <w:sz w:val="23"/>
          <w:szCs w:val="23"/>
        </w:rPr>
        <w:t>in water rates and a 22.82 percent increase in wastewater</w:t>
      </w:r>
      <w:r>
        <w:rPr>
          <w:rFonts w:ascii="TimesNewRomanPSMT" w:hAnsi="TimesNewRomanPSMT" w:cs="TimesNewRomanPSMT"/>
          <w:sz w:val="23"/>
          <w:szCs w:val="23"/>
        </w:rPr>
        <w:t xml:space="preserve"> </w:t>
      </w:r>
      <w:r w:rsidRPr="00473507">
        <w:rPr>
          <w:rFonts w:ascii="TimesNewRomanPSMT" w:hAnsi="TimesNewRomanPSMT" w:cs="TimesNewRomanPSMT"/>
          <w:sz w:val="23"/>
          <w:szCs w:val="23"/>
        </w:rPr>
        <w:t xml:space="preserve">rates, </w:t>
      </w:r>
      <w:r>
        <w:rPr>
          <w:rFonts w:ascii="TimesNewRomanPSMT" w:hAnsi="TimesNewRomanPSMT" w:cs="TimesNewRomanPSMT"/>
          <w:sz w:val="23"/>
          <w:szCs w:val="23"/>
        </w:rPr>
        <w:t xml:space="preserve">which UIF asserts requires </w:t>
      </w:r>
      <w:r w:rsidRPr="00473507">
        <w:rPr>
          <w:rFonts w:ascii="TimesNewRomanPSMT" w:hAnsi="TimesNewRomanPSMT" w:cs="TimesNewRomanPSMT"/>
          <w:sz w:val="23"/>
          <w:szCs w:val="23"/>
        </w:rPr>
        <w:t>a repression adjustment in order for UIF to have a fair opportunity to</w:t>
      </w:r>
      <w:r>
        <w:rPr>
          <w:rFonts w:ascii="TimesNewRomanPSMT" w:hAnsi="TimesNewRomanPSMT" w:cs="TimesNewRomanPSMT"/>
          <w:sz w:val="23"/>
          <w:szCs w:val="23"/>
        </w:rPr>
        <w:t xml:space="preserve"> </w:t>
      </w:r>
      <w:r w:rsidRPr="00473507">
        <w:rPr>
          <w:rFonts w:ascii="TimesNewRomanPSMT" w:hAnsi="TimesNewRomanPSMT" w:cs="TimesNewRomanPSMT"/>
          <w:sz w:val="23"/>
          <w:szCs w:val="23"/>
        </w:rPr>
        <w:t>achieve its authorized rate of return consistent with the Commission’s practice of applying a</w:t>
      </w:r>
      <w:r>
        <w:rPr>
          <w:rFonts w:ascii="TimesNewRomanPSMT" w:hAnsi="TimesNewRomanPSMT" w:cs="TimesNewRomanPSMT"/>
          <w:sz w:val="23"/>
          <w:szCs w:val="23"/>
        </w:rPr>
        <w:t xml:space="preserve"> </w:t>
      </w:r>
      <w:r w:rsidRPr="00473507">
        <w:rPr>
          <w:rFonts w:ascii="TimesNewRomanPSMT" w:hAnsi="TimesNewRomanPSMT" w:cs="TimesNewRomanPSMT"/>
          <w:sz w:val="23"/>
          <w:szCs w:val="23"/>
        </w:rPr>
        <w:t>repression adjustment.</w:t>
      </w:r>
      <w:r>
        <w:rPr>
          <w:rFonts w:ascii="TimesNewRomanPSMT" w:hAnsi="TimesNewRomanPSMT" w:cs="TimesNewRomanPSMT"/>
          <w:sz w:val="23"/>
          <w:szCs w:val="23"/>
        </w:rPr>
        <w:t xml:space="preserve"> </w:t>
      </w:r>
      <w:r w:rsidR="00933AA0">
        <w:rPr>
          <w:rFonts w:ascii="TimesNewRomanPSMT" w:hAnsi="TimesNewRomanPSMT" w:cs="TimesNewRomanPSMT"/>
          <w:sz w:val="23"/>
          <w:szCs w:val="23"/>
        </w:rPr>
        <w:t>UIF estimate</w:t>
      </w:r>
      <w:r w:rsidR="00F67186">
        <w:rPr>
          <w:rFonts w:ascii="TimesNewRomanPSMT" w:hAnsi="TimesNewRomanPSMT" w:cs="TimesNewRomanPSMT"/>
          <w:sz w:val="23"/>
          <w:szCs w:val="23"/>
        </w:rPr>
        <w:t>s</w:t>
      </w:r>
      <w:r w:rsidR="00933AA0">
        <w:rPr>
          <w:rFonts w:ascii="TimesNewRomanPSMT" w:hAnsi="TimesNewRomanPSMT" w:cs="TimesNewRomanPSMT"/>
          <w:sz w:val="23"/>
          <w:szCs w:val="23"/>
        </w:rPr>
        <w:t xml:space="preserve"> that the repression adjustment revenues should have been approximately $250,000 for water and $250,000 for wastewater, for a total annual revenue shortfall of approximately $500,000</w:t>
      </w:r>
      <w:r w:rsidR="00F67186">
        <w:rPr>
          <w:rFonts w:ascii="TimesNewRomanPSMT" w:hAnsi="TimesNewRomanPSMT" w:cs="TimesNewRomanPSMT"/>
          <w:sz w:val="23"/>
          <w:szCs w:val="23"/>
        </w:rPr>
        <w:t xml:space="preserve">. UIF contends this results in a </w:t>
      </w:r>
      <w:r w:rsidR="00933AA0">
        <w:rPr>
          <w:rFonts w:ascii="TimesNewRomanPSMT" w:hAnsi="TimesNewRomanPSMT" w:cs="TimesNewRomanPSMT"/>
          <w:sz w:val="23"/>
          <w:szCs w:val="23"/>
        </w:rPr>
        <w:t xml:space="preserve">rate of return of closer to the lower end of </w:t>
      </w:r>
      <w:r w:rsidR="00F67186">
        <w:rPr>
          <w:rFonts w:ascii="TimesNewRomanPSMT" w:hAnsi="TimesNewRomanPSMT" w:cs="TimesNewRomanPSMT"/>
          <w:sz w:val="23"/>
          <w:szCs w:val="23"/>
        </w:rPr>
        <w:t>its</w:t>
      </w:r>
      <w:r w:rsidR="00933AA0">
        <w:rPr>
          <w:rFonts w:ascii="TimesNewRomanPSMT" w:hAnsi="TimesNewRomanPSMT" w:cs="TimesNewRomanPSMT"/>
          <w:sz w:val="23"/>
          <w:szCs w:val="23"/>
        </w:rPr>
        <w:t xml:space="preserve"> authorized rate of return o</w:t>
      </w:r>
      <w:r w:rsidR="00F67186">
        <w:rPr>
          <w:rFonts w:ascii="TimesNewRomanPSMT" w:hAnsi="TimesNewRomanPSMT" w:cs="TimesNewRomanPSMT"/>
          <w:sz w:val="23"/>
          <w:szCs w:val="23"/>
        </w:rPr>
        <w:t>f</w:t>
      </w:r>
      <w:r w:rsidR="00933AA0">
        <w:rPr>
          <w:rFonts w:ascii="TimesNewRomanPSMT" w:hAnsi="TimesNewRomanPSMT" w:cs="TimesNewRomanPSMT"/>
          <w:sz w:val="23"/>
          <w:szCs w:val="23"/>
        </w:rPr>
        <w:t xml:space="preserve"> 8.75</w:t>
      </w:r>
      <w:r w:rsidR="00CD09C6">
        <w:rPr>
          <w:rFonts w:ascii="TimesNewRomanPSMT" w:hAnsi="TimesNewRomanPSMT" w:cs="TimesNewRomanPSMT"/>
          <w:sz w:val="23"/>
          <w:szCs w:val="23"/>
        </w:rPr>
        <w:t xml:space="preserve"> percent,</w:t>
      </w:r>
      <w:r w:rsidR="00933AA0">
        <w:rPr>
          <w:rFonts w:ascii="TimesNewRomanPSMT" w:hAnsi="TimesNewRomanPSMT" w:cs="TimesNewRomanPSMT"/>
          <w:sz w:val="23"/>
          <w:szCs w:val="23"/>
        </w:rPr>
        <w:t xml:space="preserve"> almost assuring the </w:t>
      </w:r>
      <w:r w:rsidR="00F67186">
        <w:rPr>
          <w:rFonts w:ascii="TimesNewRomanPSMT" w:hAnsi="TimesNewRomanPSMT" w:cs="TimesNewRomanPSMT"/>
          <w:sz w:val="23"/>
          <w:szCs w:val="23"/>
        </w:rPr>
        <w:t xml:space="preserve">need for </w:t>
      </w:r>
      <w:r w:rsidR="00933AA0">
        <w:rPr>
          <w:rFonts w:ascii="TimesNewRomanPSMT" w:hAnsi="TimesNewRomanPSMT" w:cs="TimesNewRomanPSMT"/>
          <w:sz w:val="23"/>
          <w:szCs w:val="23"/>
        </w:rPr>
        <w:t xml:space="preserve">another rate case in less than </w:t>
      </w:r>
      <w:r w:rsidR="00CD09C6">
        <w:rPr>
          <w:rFonts w:ascii="TimesNewRomanPSMT" w:hAnsi="TimesNewRomanPSMT" w:cs="TimesNewRomanPSMT"/>
          <w:sz w:val="23"/>
          <w:szCs w:val="23"/>
        </w:rPr>
        <w:t>four</w:t>
      </w:r>
      <w:r w:rsidR="00933AA0">
        <w:rPr>
          <w:rFonts w:ascii="TimesNewRomanPSMT" w:hAnsi="TimesNewRomanPSMT" w:cs="TimesNewRomanPSMT"/>
          <w:sz w:val="23"/>
          <w:szCs w:val="23"/>
        </w:rPr>
        <w:t xml:space="preserve"> years.</w:t>
      </w:r>
      <w:r w:rsidR="00CD09C6">
        <w:rPr>
          <w:rFonts w:ascii="TimesNewRomanPSMT" w:hAnsi="TimesNewRomanPSMT" w:cs="TimesNewRomanPSMT"/>
          <w:sz w:val="23"/>
          <w:szCs w:val="23"/>
        </w:rPr>
        <w:t xml:space="preserve"> </w:t>
      </w:r>
    </w:p>
    <w:p w:rsidR="008407B9" w:rsidRDefault="008407B9" w:rsidP="00F12B2F">
      <w:pPr>
        <w:autoSpaceDE w:val="0"/>
        <w:autoSpaceDN w:val="0"/>
        <w:adjustRightInd w:val="0"/>
        <w:jc w:val="both"/>
        <w:rPr>
          <w:rFonts w:ascii="TimesNewRomanPSMT" w:hAnsi="TimesNewRomanPSMT" w:cs="TimesNewRomanPSMT"/>
          <w:sz w:val="23"/>
          <w:szCs w:val="23"/>
        </w:rPr>
      </w:pPr>
    </w:p>
    <w:p w:rsidR="00473507" w:rsidRDefault="00F12B2F" w:rsidP="00F12B2F">
      <w:pPr>
        <w:autoSpaceDE w:val="0"/>
        <w:autoSpaceDN w:val="0"/>
        <w:adjustRightInd w:val="0"/>
        <w:jc w:val="both"/>
        <w:rPr>
          <w:rFonts w:ascii="TimesNewRomanPSMT" w:hAnsi="TimesNewRomanPSMT" w:cs="TimesNewRomanPSMT"/>
          <w:sz w:val="23"/>
          <w:szCs w:val="23"/>
        </w:rPr>
      </w:pPr>
      <w:r>
        <w:rPr>
          <w:rFonts w:ascii="TimesNewRomanPSMT" w:hAnsi="TimesNewRomanPSMT" w:cs="TimesNewRomanPSMT"/>
          <w:sz w:val="23"/>
          <w:szCs w:val="23"/>
        </w:rPr>
        <w:t xml:space="preserve">UIF </w:t>
      </w:r>
      <w:r w:rsidR="00CD09C6">
        <w:rPr>
          <w:rFonts w:ascii="TimesNewRomanPSMT" w:hAnsi="TimesNewRomanPSMT" w:cs="TimesNewRomanPSMT"/>
          <w:sz w:val="23"/>
          <w:szCs w:val="23"/>
        </w:rPr>
        <w:t xml:space="preserve">concludes by asking the </w:t>
      </w:r>
      <w:r>
        <w:rPr>
          <w:rFonts w:ascii="TimesNewRomanPSMT" w:hAnsi="TimesNewRomanPSMT" w:cs="TimesNewRomanPSMT"/>
          <w:sz w:val="23"/>
          <w:szCs w:val="23"/>
        </w:rPr>
        <w:t xml:space="preserve">Commission </w:t>
      </w:r>
      <w:r w:rsidR="00005E94">
        <w:rPr>
          <w:rFonts w:ascii="TimesNewRomanPSMT" w:hAnsi="TimesNewRomanPSMT" w:cs="TimesNewRomanPSMT"/>
          <w:sz w:val="23"/>
          <w:szCs w:val="23"/>
        </w:rPr>
        <w:t xml:space="preserve">to </w:t>
      </w:r>
      <w:r w:rsidR="00F67186">
        <w:rPr>
          <w:rFonts w:ascii="TimesNewRomanPSMT" w:hAnsi="TimesNewRomanPSMT" w:cs="TimesNewRomanPSMT"/>
          <w:sz w:val="23"/>
          <w:szCs w:val="23"/>
        </w:rPr>
        <w:t>r</w:t>
      </w:r>
      <w:r>
        <w:rPr>
          <w:rFonts w:ascii="TimesNewRomanPSMT" w:hAnsi="TimesNewRomanPSMT" w:cs="TimesNewRomanPSMT"/>
          <w:sz w:val="23"/>
          <w:szCs w:val="23"/>
        </w:rPr>
        <w:t>econsider the lack of a repression adjustment and increase UIF’s revenue requirement to incorporate the expected repression in usage, so UIF can have an opportunity to earn its authorized return.</w:t>
      </w:r>
      <w:r w:rsidR="00CD09C6">
        <w:rPr>
          <w:rFonts w:ascii="TimesNewRomanPSMT" w:hAnsi="TimesNewRomanPSMT" w:cs="TimesNewRomanPSMT"/>
          <w:sz w:val="23"/>
          <w:szCs w:val="23"/>
        </w:rPr>
        <w:t xml:space="preserve">  </w:t>
      </w:r>
      <w:r w:rsidR="00B86F0E">
        <w:rPr>
          <w:rFonts w:ascii="TimesNewRomanPSMT" w:hAnsi="TimesNewRomanPSMT" w:cs="TimesNewRomanPSMT"/>
          <w:sz w:val="23"/>
          <w:szCs w:val="23"/>
        </w:rPr>
        <w:t xml:space="preserve"> </w:t>
      </w:r>
    </w:p>
    <w:p w:rsidR="00F12B2F" w:rsidRDefault="00F12B2F" w:rsidP="00F12B2F">
      <w:pPr>
        <w:autoSpaceDE w:val="0"/>
        <w:autoSpaceDN w:val="0"/>
        <w:adjustRightInd w:val="0"/>
        <w:jc w:val="both"/>
        <w:rPr>
          <w:rFonts w:ascii="TimesNewRomanPSMT" w:hAnsi="TimesNewRomanPSMT" w:cs="TimesNewRomanPSMT"/>
          <w:sz w:val="23"/>
          <w:szCs w:val="23"/>
        </w:rPr>
      </w:pPr>
    </w:p>
    <w:p w:rsidR="00F12B2F" w:rsidRDefault="00F12B2F" w:rsidP="00F12B2F">
      <w:pPr>
        <w:autoSpaceDE w:val="0"/>
        <w:autoSpaceDN w:val="0"/>
        <w:adjustRightInd w:val="0"/>
        <w:jc w:val="both"/>
        <w:rPr>
          <w:u w:val="single"/>
        </w:rPr>
      </w:pPr>
      <w:r>
        <w:rPr>
          <w:u w:val="single"/>
        </w:rPr>
        <w:t>OPC’s Response</w:t>
      </w:r>
    </w:p>
    <w:p w:rsidR="00005E94" w:rsidRDefault="00005E94" w:rsidP="00F12B2F">
      <w:pPr>
        <w:autoSpaceDE w:val="0"/>
        <w:autoSpaceDN w:val="0"/>
        <w:adjustRightInd w:val="0"/>
        <w:jc w:val="both"/>
        <w:rPr>
          <w:u w:val="single"/>
        </w:rPr>
      </w:pPr>
    </w:p>
    <w:p w:rsidR="003103B7" w:rsidRDefault="003103B7" w:rsidP="00B32EFD">
      <w:pPr>
        <w:autoSpaceDE w:val="0"/>
        <w:autoSpaceDN w:val="0"/>
        <w:adjustRightInd w:val="0"/>
        <w:jc w:val="both"/>
      </w:pPr>
      <w:r>
        <w:t xml:space="preserve">OPC </w:t>
      </w:r>
      <w:r w:rsidR="00CF5DE9">
        <w:t xml:space="preserve">asserts </w:t>
      </w:r>
      <w:r>
        <w:t xml:space="preserve">that </w:t>
      </w:r>
      <w:r w:rsidRPr="003103B7">
        <w:t xml:space="preserve">UIF entered into a stipulation </w:t>
      </w:r>
      <w:r w:rsidR="00CF5DE9">
        <w:t>of</w:t>
      </w:r>
      <w:r w:rsidRPr="003103B7">
        <w:t xml:space="preserve"> Issue 36,</w:t>
      </w:r>
      <w:r w:rsidR="00A63FA8">
        <w:rPr>
          <w:rStyle w:val="FootnoteReference"/>
        </w:rPr>
        <w:footnoteReference w:id="8"/>
      </w:r>
      <w:r w:rsidRPr="003103B7">
        <w:t xml:space="preserve"> as reflected in Prehearing Order</w:t>
      </w:r>
      <w:r>
        <w:t xml:space="preserve"> </w:t>
      </w:r>
      <w:r w:rsidRPr="003103B7">
        <w:t>No. PSC-2021-0064-PHO-WS</w:t>
      </w:r>
      <w:r w:rsidR="006A0FDF">
        <w:t>,</w:t>
      </w:r>
      <w:r w:rsidRPr="003103B7">
        <w:t xml:space="preserve"> issued January 29, 2021</w:t>
      </w:r>
      <w:r>
        <w:t xml:space="preserve">, </w:t>
      </w:r>
      <w:r w:rsidR="00CF5DE9">
        <w:t xml:space="preserve">which </w:t>
      </w:r>
      <w:r w:rsidRPr="003103B7">
        <w:t>OPC did not oppose</w:t>
      </w:r>
      <w:r w:rsidR="00CF5DE9">
        <w:t xml:space="preserve">. </w:t>
      </w:r>
      <w:r w:rsidR="00F33B06">
        <w:t>O</w:t>
      </w:r>
      <w:r w:rsidR="00CF5DE9">
        <w:t>PC avers that t</w:t>
      </w:r>
      <w:r w:rsidRPr="003103B7">
        <w:t xml:space="preserve">he stipulation </w:t>
      </w:r>
      <w:r w:rsidR="00CF5DE9">
        <w:t xml:space="preserve">of </w:t>
      </w:r>
      <w:r w:rsidRPr="003103B7">
        <w:t xml:space="preserve">Issue 36 resolved all rate design matters, including the </w:t>
      </w:r>
      <w:r w:rsidR="001C2BFB">
        <w:t xml:space="preserve">single </w:t>
      </w:r>
      <w:r w:rsidRPr="003103B7">
        <w:t>reference to a repression</w:t>
      </w:r>
      <w:r>
        <w:t xml:space="preserve"> </w:t>
      </w:r>
      <w:r w:rsidRPr="003103B7">
        <w:t>adjustment listed in UIF's Application, filed June 30, 2020.</w:t>
      </w:r>
      <w:r>
        <w:t xml:space="preserve"> </w:t>
      </w:r>
      <w:r w:rsidRPr="003103B7">
        <w:t xml:space="preserve">Moreover, </w:t>
      </w:r>
      <w:r w:rsidR="00CF5DE9">
        <w:t xml:space="preserve">OPC argues that </w:t>
      </w:r>
      <w:r w:rsidRPr="003103B7">
        <w:t xml:space="preserve">UIF did not present testimony to explain or </w:t>
      </w:r>
      <w:r w:rsidR="00CF5DE9">
        <w:t>support a repression adjustment and that b</w:t>
      </w:r>
      <w:r w:rsidRPr="003103B7">
        <w:t xml:space="preserve">y its own admission, UIF simply "did not present evidence on repression." Therefore, </w:t>
      </w:r>
      <w:r w:rsidR="00CF5DE9">
        <w:t xml:space="preserve">OPC contends that </w:t>
      </w:r>
      <w:r w:rsidRPr="003103B7">
        <w:t>even if the issue had not been resol</w:t>
      </w:r>
      <w:r w:rsidR="00CF5DE9">
        <w:t>ved by UIF 's stipulation, the U</w:t>
      </w:r>
      <w:r w:rsidRPr="003103B7">
        <w:t>tility failed to carry</w:t>
      </w:r>
      <w:r>
        <w:t xml:space="preserve"> </w:t>
      </w:r>
      <w:r w:rsidRPr="003103B7">
        <w:t>its burden of proof for a repression adjustment.</w:t>
      </w:r>
      <w:r>
        <w:t xml:space="preserve"> </w:t>
      </w:r>
    </w:p>
    <w:p w:rsidR="003103B7" w:rsidRDefault="003103B7" w:rsidP="003103B7">
      <w:pPr>
        <w:autoSpaceDE w:val="0"/>
        <w:autoSpaceDN w:val="0"/>
        <w:adjustRightInd w:val="0"/>
        <w:ind w:firstLine="720"/>
        <w:jc w:val="both"/>
      </w:pPr>
    </w:p>
    <w:p w:rsidR="003103B7" w:rsidRDefault="003103B7" w:rsidP="00B32EFD">
      <w:pPr>
        <w:autoSpaceDE w:val="0"/>
        <w:autoSpaceDN w:val="0"/>
        <w:adjustRightInd w:val="0"/>
        <w:jc w:val="both"/>
      </w:pPr>
      <w:r>
        <w:t xml:space="preserve">OPC notes that </w:t>
      </w:r>
      <w:r w:rsidRPr="003103B7">
        <w:t>UIF's witnesses</w:t>
      </w:r>
      <w:r w:rsidR="007B174A">
        <w:t>,</w:t>
      </w:r>
      <w:r w:rsidRPr="003103B7">
        <w:t xml:space="preserve"> Swain and Seidman</w:t>
      </w:r>
      <w:r w:rsidR="007B174A">
        <w:t>,</w:t>
      </w:r>
      <w:r w:rsidRPr="003103B7">
        <w:t xml:space="preserve"> each referenced repression only tangentially in an exhibit schedule concern</w:t>
      </w:r>
      <w:r w:rsidR="00CF5DE9">
        <w:t>ing</w:t>
      </w:r>
      <w:r w:rsidRPr="003103B7">
        <w:t xml:space="preserve"> the Used and Useful (U&amp;U) status of just one of UIF's systems - </w:t>
      </w:r>
      <w:proofErr w:type="spellStart"/>
      <w:r w:rsidRPr="003103B7">
        <w:t>Pennbrooke</w:t>
      </w:r>
      <w:proofErr w:type="spellEnd"/>
      <w:r w:rsidRPr="003103B7">
        <w:t>.</w:t>
      </w:r>
      <w:r w:rsidR="00CF5DE9">
        <w:rPr>
          <w:rStyle w:val="FootnoteReference"/>
        </w:rPr>
        <w:footnoteReference w:id="9"/>
      </w:r>
      <w:r w:rsidRPr="003103B7">
        <w:t xml:space="preserve"> While</w:t>
      </w:r>
      <w:r>
        <w:t xml:space="preserve"> </w:t>
      </w:r>
      <w:r w:rsidRPr="003103B7">
        <w:t xml:space="preserve">acknowledging demand had dropped at </w:t>
      </w:r>
      <w:proofErr w:type="spellStart"/>
      <w:r w:rsidRPr="003103B7">
        <w:t>Pennbrooke</w:t>
      </w:r>
      <w:proofErr w:type="spellEnd"/>
      <w:r w:rsidRPr="003103B7">
        <w:t xml:space="preserve">, the witnesses proposed </w:t>
      </w:r>
      <w:r w:rsidR="00CF5DE9">
        <w:t xml:space="preserve">that </w:t>
      </w:r>
      <w:r w:rsidRPr="003103B7">
        <w:t>the U&amp;U for that one system should</w:t>
      </w:r>
      <w:r>
        <w:t xml:space="preserve"> </w:t>
      </w:r>
      <w:r w:rsidRPr="003103B7">
        <w:t xml:space="preserve">remain at </w:t>
      </w:r>
      <w:r w:rsidR="00BD2252">
        <w:t>1</w:t>
      </w:r>
      <w:r w:rsidRPr="003103B7">
        <w:t xml:space="preserve">00% "to reflect reduced demand due to repression and conservation." </w:t>
      </w:r>
    </w:p>
    <w:p w:rsidR="0020498A" w:rsidRPr="003103B7" w:rsidRDefault="0020498A" w:rsidP="003103B7">
      <w:pPr>
        <w:autoSpaceDE w:val="0"/>
        <w:autoSpaceDN w:val="0"/>
        <w:adjustRightInd w:val="0"/>
        <w:ind w:firstLine="720"/>
        <w:jc w:val="both"/>
      </w:pPr>
    </w:p>
    <w:p w:rsidR="00E57402" w:rsidRDefault="003103B7" w:rsidP="00B32EFD">
      <w:pPr>
        <w:autoSpaceDE w:val="0"/>
        <w:autoSpaceDN w:val="0"/>
        <w:adjustRightInd w:val="0"/>
        <w:jc w:val="both"/>
      </w:pPr>
      <w:r>
        <w:t xml:space="preserve">OPC </w:t>
      </w:r>
      <w:r w:rsidR="0020498A">
        <w:t xml:space="preserve">argues that </w:t>
      </w:r>
      <w:r>
        <w:t>n</w:t>
      </w:r>
      <w:r w:rsidRPr="003103B7">
        <w:t>o statute or administrative rule requires the Commission to apply a repression</w:t>
      </w:r>
      <w:r>
        <w:t xml:space="preserve"> </w:t>
      </w:r>
      <w:r w:rsidRPr="003103B7">
        <w:t>adjustment to rate increases in all cases. Instead,</w:t>
      </w:r>
      <w:r>
        <w:t xml:space="preserve"> </w:t>
      </w:r>
      <w:r w:rsidRPr="003103B7">
        <w:t xml:space="preserve">application of a repression adjustment </w:t>
      </w:r>
      <w:r w:rsidR="0020498A">
        <w:t>is</w:t>
      </w:r>
      <w:r w:rsidRPr="003103B7">
        <w:t xml:space="preserve"> subject to the discretion of the Commission. </w:t>
      </w:r>
      <w:r w:rsidR="0020498A">
        <w:t xml:space="preserve">OPC reasons that </w:t>
      </w:r>
      <w:r w:rsidRPr="003103B7">
        <w:t xml:space="preserve">the law does not require a repression adjustment in cases </w:t>
      </w:r>
      <w:r w:rsidR="0020498A">
        <w:t xml:space="preserve">in which </w:t>
      </w:r>
      <w:r w:rsidRPr="003103B7">
        <w:t>a utility fail</w:t>
      </w:r>
      <w:r w:rsidR="0020498A">
        <w:t>s</w:t>
      </w:r>
      <w:r w:rsidRPr="003103B7">
        <w:t xml:space="preserve"> to present</w:t>
      </w:r>
      <w:r>
        <w:t xml:space="preserve"> </w:t>
      </w:r>
      <w:r w:rsidRPr="003103B7">
        <w:t>testimony or evidence to support such an adjustment.</w:t>
      </w:r>
    </w:p>
    <w:p w:rsidR="003103B7" w:rsidRDefault="003103B7" w:rsidP="003103B7">
      <w:pPr>
        <w:autoSpaceDE w:val="0"/>
        <w:autoSpaceDN w:val="0"/>
        <w:adjustRightInd w:val="0"/>
        <w:ind w:firstLine="720"/>
        <w:jc w:val="both"/>
      </w:pPr>
    </w:p>
    <w:p w:rsidR="003103B7" w:rsidRDefault="003103B7" w:rsidP="00B32EFD">
      <w:pPr>
        <w:autoSpaceDE w:val="0"/>
        <w:autoSpaceDN w:val="0"/>
        <w:adjustRightInd w:val="0"/>
        <w:jc w:val="both"/>
      </w:pPr>
      <w:r>
        <w:t xml:space="preserve">OPC </w:t>
      </w:r>
      <w:r w:rsidR="0020498A">
        <w:t>cites</w:t>
      </w:r>
      <w:r w:rsidR="001C2BFB">
        <w:t xml:space="preserve"> to</w:t>
      </w:r>
      <w:r w:rsidR="0020498A">
        <w:t xml:space="preserve"> </w:t>
      </w:r>
      <w:r w:rsidR="00F71FF6" w:rsidRPr="00F71FF6">
        <w:rPr>
          <w:i/>
          <w:iCs/>
        </w:rPr>
        <w:t xml:space="preserve">Florida Power Corp. v. </w:t>
      </w:r>
      <w:proofErr w:type="spellStart"/>
      <w:r w:rsidR="00F71FF6" w:rsidRPr="00F71FF6">
        <w:rPr>
          <w:i/>
          <w:iCs/>
        </w:rPr>
        <w:t>Cresse</w:t>
      </w:r>
      <w:proofErr w:type="spellEnd"/>
      <w:r w:rsidR="00F71FF6" w:rsidRPr="00F71FF6">
        <w:t>, 413 So. 2d 1187, 1191 (Fla. 1982)</w:t>
      </w:r>
      <w:r w:rsidR="00F71FF6">
        <w:t xml:space="preserve">, </w:t>
      </w:r>
      <w:r w:rsidR="0020498A">
        <w:t xml:space="preserve">for the premise that </w:t>
      </w:r>
      <w:r w:rsidR="00F71FF6">
        <w:t xml:space="preserve">the burden of proof is always on a utility seeking a rate change. OPC notes that </w:t>
      </w:r>
      <w:r w:rsidR="00F71FF6" w:rsidRPr="00F71FF6">
        <w:t xml:space="preserve">the Commission’s rules </w:t>
      </w:r>
      <w:r w:rsidR="00F71FF6">
        <w:t xml:space="preserve">do not </w:t>
      </w:r>
      <w:r w:rsidR="00F71FF6" w:rsidRPr="00F71FF6">
        <w:t>require the Commission to automatically apply a repression adjustment to rate increases of a certain</w:t>
      </w:r>
      <w:r w:rsidR="00F71FF6">
        <w:t xml:space="preserve"> </w:t>
      </w:r>
      <w:r w:rsidR="00F71FF6" w:rsidRPr="00F71FF6">
        <w:t>amount</w:t>
      </w:r>
      <w:r w:rsidR="0020498A">
        <w:t xml:space="preserve"> and thus, argues that </w:t>
      </w:r>
      <w:r w:rsidR="00F71FF6" w:rsidRPr="00F71FF6">
        <w:t xml:space="preserve">UIF’s </w:t>
      </w:r>
      <w:r w:rsidR="0020498A">
        <w:t xml:space="preserve">reliance </w:t>
      </w:r>
      <w:r w:rsidR="00F71FF6" w:rsidRPr="00F71FF6">
        <w:t xml:space="preserve">on </w:t>
      </w:r>
      <w:r w:rsidR="001C2BFB">
        <w:t>s</w:t>
      </w:r>
      <w:r w:rsidR="00F71FF6" w:rsidRPr="00F71FF6">
        <w:t xml:space="preserve">taff to </w:t>
      </w:r>
      <w:r w:rsidR="001C2BFB">
        <w:t xml:space="preserve">automatically </w:t>
      </w:r>
      <w:r w:rsidR="00F71FF6" w:rsidRPr="00F71FF6">
        <w:t>include a repression adjustment has no legal basis.</w:t>
      </w:r>
      <w:r w:rsidR="00F71FF6">
        <w:t xml:space="preserve"> </w:t>
      </w:r>
      <w:r w:rsidR="0020498A">
        <w:t xml:space="preserve">Moreover, </w:t>
      </w:r>
      <w:r w:rsidR="00F71FF6">
        <w:t>OPC argues</w:t>
      </w:r>
      <w:r w:rsidR="0020498A">
        <w:t xml:space="preserve"> that </w:t>
      </w:r>
      <w:r w:rsidR="00F71FF6" w:rsidRPr="00F71FF6">
        <w:t>UIF’s stipulation</w:t>
      </w:r>
      <w:r w:rsidR="0020498A">
        <w:t xml:space="preserve"> </w:t>
      </w:r>
      <w:r w:rsidR="00F71FF6" w:rsidRPr="00F71FF6">
        <w:t>negated any</w:t>
      </w:r>
      <w:r w:rsidR="00F71FF6">
        <w:t xml:space="preserve"> </w:t>
      </w:r>
      <w:r w:rsidR="00F71FF6" w:rsidRPr="00F71FF6">
        <w:t>reliance on alleged but unfounded “long-standing Commission practice.”</w:t>
      </w:r>
      <w:r w:rsidR="0020498A">
        <w:t xml:space="preserve"> </w:t>
      </w:r>
      <w:r w:rsidR="00F71FF6">
        <w:t xml:space="preserve">OPC asserts that to allow a utility to merely list allegations or requests in </w:t>
      </w:r>
      <w:r w:rsidR="001B771F">
        <w:t>its petition</w:t>
      </w:r>
      <w:r w:rsidR="00F71FF6">
        <w:t xml:space="preserve">, fail to produce evidence, and then expect all aspects of the petition to be granted, would establish a dangerous precedent and </w:t>
      </w:r>
      <w:r w:rsidR="006A6899">
        <w:t xml:space="preserve">represent a shift in the burden of proof away from </w:t>
      </w:r>
      <w:r w:rsidR="00F71FF6">
        <w:t>the petitioning utility.</w:t>
      </w:r>
    </w:p>
    <w:p w:rsidR="00A61EDE" w:rsidRDefault="00A61EDE" w:rsidP="00F71FF6">
      <w:pPr>
        <w:autoSpaceDE w:val="0"/>
        <w:autoSpaceDN w:val="0"/>
        <w:adjustRightInd w:val="0"/>
        <w:ind w:firstLine="720"/>
        <w:jc w:val="both"/>
      </w:pPr>
    </w:p>
    <w:p w:rsidR="00A61EDE" w:rsidRDefault="002E2823" w:rsidP="00B32EFD">
      <w:pPr>
        <w:autoSpaceDE w:val="0"/>
        <w:autoSpaceDN w:val="0"/>
        <w:adjustRightInd w:val="0"/>
        <w:jc w:val="both"/>
      </w:pPr>
      <w:r>
        <w:t xml:space="preserve">OPC also takes issue with </w:t>
      </w:r>
      <w:r w:rsidR="00A61EDE">
        <w:t>UIF</w:t>
      </w:r>
      <w:r>
        <w:t>’s</w:t>
      </w:r>
      <w:r w:rsidR="00A61EDE">
        <w:t xml:space="preserve"> complain</w:t>
      </w:r>
      <w:r>
        <w:t>t</w:t>
      </w:r>
      <w:r w:rsidR="00A61EDE">
        <w:t xml:space="preserve"> that the Commission did not discuss a repression adjustment during the </w:t>
      </w:r>
      <w:r w:rsidR="009B4DA2">
        <w:t xml:space="preserve">post-hearing </w:t>
      </w:r>
      <w:r w:rsidR="00A61EDE">
        <w:t xml:space="preserve">Commission Conference. </w:t>
      </w:r>
      <w:r>
        <w:t xml:space="preserve">OPC notes that </w:t>
      </w:r>
      <w:r w:rsidR="00A61EDE">
        <w:t>in light of the stipulation to which UIF agreed,</w:t>
      </w:r>
      <w:r>
        <w:t xml:space="preserve"> </w:t>
      </w:r>
      <w:r w:rsidR="00A61EDE">
        <w:t>there was no basis for the Commission to delve into th</w:t>
      </w:r>
      <w:r w:rsidR="006A6899">
        <w:t>at</w:t>
      </w:r>
      <w:r w:rsidR="00A61EDE">
        <w:t xml:space="preserve"> topic</w:t>
      </w:r>
      <w:r w:rsidR="006A6899">
        <w:t>.</w:t>
      </w:r>
      <w:r w:rsidR="00A61EDE">
        <w:t xml:space="preserve"> </w:t>
      </w:r>
      <w:r w:rsidR="006A6899">
        <w:t xml:space="preserve">OPC asserts that </w:t>
      </w:r>
      <w:r w:rsidR="001B771F">
        <w:t xml:space="preserve">even if </w:t>
      </w:r>
      <w:r w:rsidR="00A61EDE">
        <w:t xml:space="preserve">a repression adjustment </w:t>
      </w:r>
      <w:r w:rsidR="001B771F">
        <w:t xml:space="preserve">had been at </w:t>
      </w:r>
      <w:r w:rsidR="00A61EDE">
        <w:t>issue</w:t>
      </w:r>
      <w:r w:rsidR="001B771F">
        <w:t xml:space="preserve">, </w:t>
      </w:r>
      <w:r w:rsidR="00A61EDE">
        <w:t>UIF resolved the matter via</w:t>
      </w:r>
      <w:r>
        <w:t xml:space="preserve"> </w:t>
      </w:r>
      <w:r w:rsidR="00A61EDE">
        <w:t xml:space="preserve">stipulation. </w:t>
      </w:r>
      <w:r>
        <w:t xml:space="preserve">OPC </w:t>
      </w:r>
      <w:r w:rsidR="007B174A">
        <w:t xml:space="preserve">also </w:t>
      </w:r>
      <w:r w:rsidR="006A6899">
        <w:t xml:space="preserve">asserts </w:t>
      </w:r>
      <w:r>
        <w:t>that t</w:t>
      </w:r>
      <w:r w:rsidR="00A61EDE">
        <w:t>he lack of a particular discussion of one item in a document or proceeding is not</w:t>
      </w:r>
      <w:r>
        <w:t xml:space="preserve"> </w:t>
      </w:r>
      <w:r w:rsidR="00A61EDE">
        <w:t xml:space="preserve">presumptive proof that the item or matter </w:t>
      </w:r>
      <w:r w:rsidR="00F46E3A">
        <w:t xml:space="preserve">was </w:t>
      </w:r>
      <w:r w:rsidR="00A61EDE">
        <w:t>not considered by the tribunal at all.</w:t>
      </w:r>
      <w:r w:rsidR="006A6899">
        <w:rPr>
          <w:rStyle w:val="FootnoteReference"/>
        </w:rPr>
        <w:footnoteReference w:id="10"/>
      </w:r>
      <w:r w:rsidR="00A61EDE">
        <w:t xml:space="preserve"> </w:t>
      </w:r>
      <w:r>
        <w:t xml:space="preserve">OPC </w:t>
      </w:r>
      <w:r w:rsidR="001F029C">
        <w:t>argues</w:t>
      </w:r>
      <w:r>
        <w:t xml:space="preserve"> that t</w:t>
      </w:r>
      <w:r w:rsidR="00A61EDE">
        <w:t>here</w:t>
      </w:r>
      <w:r>
        <w:t xml:space="preserve"> </w:t>
      </w:r>
      <w:r w:rsidR="00A61EDE">
        <w:t>is no reason to believe the Commission overlooked or failed to c</w:t>
      </w:r>
      <w:r w:rsidR="001F029C">
        <w:t>onsider a repression adjustment and that t</w:t>
      </w:r>
      <w:r w:rsidR="00A61EDE">
        <w:t xml:space="preserve">he record evidence shows </w:t>
      </w:r>
      <w:r w:rsidR="001F029C">
        <w:t xml:space="preserve">that </w:t>
      </w:r>
      <w:r w:rsidR="00A61EDE">
        <w:t>all aspects of rate design were considered, and that UIF’s stipulation</w:t>
      </w:r>
      <w:r>
        <w:t xml:space="preserve"> </w:t>
      </w:r>
      <w:r w:rsidR="00A61EDE">
        <w:t>fully addressed and resolved the issue.</w:t>
      </w:r>
    </w:p>
    <w:p w:rsidR="002E2823" w:rsidRDefault="002E2823" w:rsidP="00A61EDE">
      <w:pPr>
        <w:autoSpaceDE w:val="0"/>
        <w:autoSpaceDN w:val="0"/>
        <w:adjustRightInd w:val="0"/>
        <w:ind w:firstLine="720"/>
        <w:jc w:val="both"/>
      </w:pPr>
    </w:p>
    <w:p w:rsidR="002E2823" w:rsidRDefault="002E2823" w:rsidP="00B32EFD">
      <w:pPr>
        <w:autoSpaceDE w:val="0"/>
        <w:autoSpaceDN w:val="0"/>
        <w:adjustRightInd w:val="0"/>
        <w:jc w:val="both"/>
      </w:pPr>
      <w:r>
        <w:t xml:space="preserve">OPC characterizes </w:t>
      </w:r>
      <w:r w:rsidRPr="002E2823">
        <w:t xml:space="preserve">UIF’s Motion </w:t>
      </w:r>
      <w:r w:rsidR="001F029C">
        <w:t xml:space="preserve">an </w:t>
      </w:r>
      <w:r w:rsidRPr="002E2823">
        <w:t>attempt to use reconsideration as a tactic to reargue</w:t>
      </w:r>
      <w:r>
        <w:t xml:space="preserve"> </w:t>
      </w:r>
      <w:r w:rsidRPr="002E2823">
        <w:t xml:space="preserve">the case or persuade the Commission </w:t>
      </w:r>
      <w:r w:rsidR="007B174A">
        <w:t xml:space="preserve">to </w:t>
      </w:r>
      <w:r w:rsidRPr="002E2823">
        <w:t>change its mind in the absence of evidence to support the</w:t>
      </w:r>
      <w:r>
        <w:t xml:space="preserve"> </w:t>
      </w:r>
      <w:r w:rsidRPr="002E2823">
        <w:t>change</w:t>
      </w:r>
      <w:r w:rsidR="001C2BFB">
        <w:t>,</w:t>
      </w:r>
      <w:r w:rsidR="00A31E4D">
        <w:t xml:space="preserve"> and that such use of </w:t>
      </w:r>
      <w:r w:rsidR="001C2BFB">
        <w:t>reconsideration</w:t>
      </w:r>
      <w:r w:rsidR="00A31E4D" w:rsidRPr="002E2823">
        <w:t xml:space="preserve"> is contrary to law.</w:t>
      </w:r>
      <w:r w:rsidR="00A31E4D">
        <w:rPr>
          <w:rStyle w:val="FootnoteReference"/>
        </w:rPr>
        <w:footnoteReference w:id="11"/>
      </w:r>
      <w:r w:rsidRPr="002E2823">
        <w:t xml:space="preserve"> </w:t>
      </w:r>
      <w:r w:rsidR="00A85DD7">
        <w:t xml:space="preserve">OPC </w:t>
      </w:r>
      <w:r w:rsidR="00617B91">
        <w:t xml:space="preserve">concludes that </w:t>
      </w:r>
      <w:r w:rsidR="00A85DD7">
        <w:t xml:space="preserve">that </w:t>
      </w:r>
      <w:r w:rsidR="001F029C">
        <w:t>UIF’s M</w:t>
      </w:r>
      <w:r w:rsidRPr="002E2823">
        <w:t>otion fails to meet the requirements for reconsideration under Rule 25-22.060,</w:t>
      </w:r>
      <w:r>
        <w:t xml:space="preserve"> </w:t>
      </w:r>
      <w:r w:rsidRPr="002E2823">
        <w:t>F.A.C.</w:t>
      </w:r>
      <w:r w:rsidR="00617B91">
        <w:t>,</w:t>
      </w:r>
      <w:r w:rsidRPr="002E2823">
        <w:t xml:space="preserve"> </w:t>
      </w:r>
      <w:r w:rsidR="00617B91">
        <w:t xml:space="preserve">and </w:t>
      </w:r>
      <w:r w:rsidR="00A85DD7">
        <w:t>that granting UIF’s Motion</w:t>
      </w:r>
      <w:r w:rsidRPr="002E2823">
        <w:t xml:space="preserve"> would be a departure from established</w:t>
      </w:r>
      <w:r w:rsidR="00A85DD7">
        <w:t xml:space="preserve"> </w:t>
      </w:r>
      <w:r w:rsidRPr="002E2823">
        <w:t xml:space="preserve">Commission policy and </w:t>
      </w:r>
      <w:r w:rsidR="00617B91">
        <w:t xml:space="preserve">would </w:t>
      </w:r>
      <w:r w:rsidR="001B771F">
        <w:t>result in</w:t>
      </w:r>
      <w:r w:rsidR="00617B91">
        <w:t xml:space="preserve"> </w:t>
      </w:r>
      <w:r w:rsidRPr="002E2823">
        <w:t>reversible error.</w:t>
      </w:r>
    </w:p>
    <w:p w:rsidR="009B4DA2" w:rsidRDefault="009B4DA2" w:rsidP="00B32EFD">
      <w:pPr>
        <w:autoSpaceDE w:val="0"/>
        <w:autoSpaceDN w:val="0"/>
        <w:adjustRightInd w:val="0"/>
        <w:jc w:val="both"/>
      </w:pPr>
    </w:p>
    <w:p w:rsidR="009B4DA2" w:rsidRPr="00431664" w:rsidRDefault="009B4DA2" w:rsidP="00B32EFD">
      <w:pPr>
        <w:autoSpaceDE w:val="0"/>
        <w:autoSpaceDN w:val="0"/>
        <w:adjustRightInd w:val="0"/>
        <w:jc w:val="both"/>
        <w:rPr>
          <w:u w:val="single"/>
        </w:rPr>
      </w:pPr>
      <w:r>
        <w:rPr>
          <w:u w:val="single"/>
        </w:rPr>
        <w:t>Staff Analysis</w:t>
      </w:r>
    </w:p>
    <w:p w:rsidR="00F71FF6" w:rsidRDefault="00F71FF6" w:rsidP="00F71FF6">
      <w:pPr>
        <w:autoSpaceDE w:val="0"/>
        <w:autoSpaceDN w:val="0"/>
        <w:adjustRightInd w:val="0"/>
        <w:ind w:firstLine="720"/>
        <w:jc w:val="both"/>
      </w:pPr>
    </w:p>
    <w:p w:rsidR="00427AED" w:rsidRPr="00B32EFD" w:rsidRDefault="00427AED" w:rsidP="00431664">
      <w:pPr>
        <w:autoSpaceDE w:val="0"/>
        <w:autoSpaceDN w:val="0"/>
        <w:adjustRightInd w:val="0"/>
        <w:ind w:firstLine="720"/>
        <w:rPr>
          <w:u w:val="single"/>
        </w:rPr>
      </w:pPr>
      <w:r w:rsidRPr="00B32EFD">
        <w:rPr>
          <w:u w:val="single"/>
        </w:rPr>
        <w:t>Untimely Filing of the Motion</w:t>
      </w:r>
    </w:p>
    <w:p w:rsidR="00427AED" w:rsidRDefault="00427AED" w:rsidP="00427AED">
      <w:pPr>
        <w:autoSpaceDE w:val="0"/>
        <w:autoSpaceDN w:val="0"/>
        <w:adjustRightInd w:val="0"/>
      </w:pPr>
    </w:p>
    <w:p w:rsidR="00427AED" w:rsidRDefault="00427AED" w:rsidP="00427AED">
      <w:pPr>
        <w:autoSpaceDE w:val="0"/>
        <w:autoSpaceDN w:val="0"/>
        <w:adjustRightInd w:val="0"/>
        <w:jc w:val="both"/>
      </w:pPr>
      <w:r w:rsidRPr="000B7EA8">
        <w:t>Although OPC chose not to raise the matter</w:t>
      </w:r>
      <w:r>
        <w:t xml:space="preserve"> in its Response</w:t>
      </w:r>
      <w:r w:rsidRPr="000B7EA8">
        <w:t>, UIF’s Motion should have been filed within 15 days, pursuant to Rule 25-22.060(3), F.A.C.</w:t>
      </w:r>
      <w:r>
        <w:t xml:space="preserve"> Failure to file a timely motion for reconsideration shall constitute waiver of the right to do so. Rule </w:t>
      </w:r>
      <w:r w:rsidRPr="000B7EA8">
        <w:t>25-22.060(1)(d), F.A.C.</w:t>
      </w:r>
      <w:r>
        <w:t xml:space="preserve"> As discussed in the case background, any request for reconsideration of Order No. PSC-2021-0206-FOF-WS was due to be filed by June 21, 2021.</w:t>
      </w:r>
      <w:r>
        <w:rPr>
          <w:rStyle w:val="FootnoteReference"/>
        </w:rPr>
        <w:footnoteReference w:id="12"/>
      </w:r>
      <w:r>
        <w:t xml:space="preserve"> UIF inadvertently filed two copies of its Request for Oral Argument on June 18, 2021. While timely served to counsel for OPC and staff, UIF’s Motion for Reconsideration was not filed with the Commission Clerk until July 2, 2021, when the error was discovered by staff, and a copy of the Motion was placed </w:t>
      </w:r>
      <w:r w:rsidR="008A2E7C">
        <w:t xml:space="preserve">by staff </w:t>
      </w:r>
      <w:r>
        <w:t xml:space="preserve">in the docket file. The time limitation for filing reconsideration is jurisdictional, and the Commission does not have </w:t>
      </w:r>
      <w:r w:rsidR="008A2E7C">
        <w:t>the</w:t>
      </w:r>
      <w:r>
        <w:t xml:space="preserve"> authority to enlarge it.</w:t>
      </w:r>
      <w:r>
        <w:rPr>
          <w:rStyle w:val="FootnoteReference"/>
        </w:rPr>
        <w:footnoteReference w:id="13"/>
      </w:r>
      <w:r>
        <w:t xml:space="preserve"> Staff recommends that UIF’s Motion should be denied on the basis of untimeliness. However, if the Commission address</w:t>
      </w:r>
      <w:r w:rsidR="00CD69C5">
        <w:t>es</w:t>
      </w:r>
      <w:r>
        <w:t xml:space="preserve"> the substance of UIF’s Motion,</w:t>
      </w:r>
      <w:r>
        <w:rPr>
          <w:rStyle w:val="FootnoteReference"/>
        </w:rPr>
        <w:footnoteReference w:id="14"/>
      </w:r>
      <w:r>
        <w:t xml:space="preserve"> staff recommends it should be denied for the reasons set forth below.   </w:t>
      </w:r>
    </w:p>
    <w:p w:rsidR="001463C4" w:rsidRPr="00B32EFD" w:rsidRDefault="001463C4" w:rsidP="00431664">
      <w:pPr>
        <w:autoSpaceDE w:val="0"/>
        <w:autoSpaceDN w:val="0"/>
        <w:adjustRightInd w:val="0"/>
        <w:ind w:firstLine="720"/>
        <w:rPr>
          <w:u w:val="single"/>
        </w:rPr>
      </w:pPr>
      <w:r w:rsidRPr="00B32EFD">
        <w:rPr>
          <w:u w:val="single"/>
        </w:rPr>
        <w:t>Absence of Evidence in the Record</w:t>
      </w:r>
    </w:p>
    <w:p w:rsidR="006416FE" w:rsidRDefault="006416FE" w:rsidP="00B32EFD">
      <w:pPr>
        <w:autoSpaceDE w:val="0"/>
        <w:autoSpaceDN w:val="0"/>
        <w:adjustRightInd w:val="0"/>
        <w:jc w:val="both"/>
      </w:pPr>
    </w:p>
    <w:p w:rsidR="007D2A47" w:rsidRDefault="002014B3" w:rsidP="008C5BA2">
      <w:pPr>
        <w:autoSpaceDE w:val="0"/>
        <w:autoSpaceDN w:val="0"/>
        <w:adjustRightInd w:val="0"/>
        <w:jc w:val="both"/>
        <w:rPr>
          <w:rFonts w:ascii="TimesNewRomanPSMT" w:hAnsi="TimesNewRomanPSMT" w:cs="TimesNewRomanPSMT"/>
          <w:sz w:val="23"/>
          <w:szCs w:val="23"/>
        </w:rPr>
      </w:pPr>
      <w:r>
        <w:rPr>
          <w:rFonts w:ascii="TimesNewRomanPSMT" w:hAnsi="TimesNewRomanPSMT" w:cs="TimesNewRomanPSMT"/>
          <w:sz w:val="23"/>
          <w:szCs w:val="23"/>
        </w:rPr>
        <w:t>In its Motion, UIF cites to 11 Commission orders addressing base rate increases for Commission-regulated water and wastewater utilities, in which repression adjustments were made to reflect anticipated reductions in the number of gallons sold. H</w:t>
      </w:r>
      <w:r w:rsidR="008C5BA2">
        <w:rPr>
          <w:rFonts w:ascii="TimesNewRomanPSMT" w:hAnsi="TimesNewRomanPSMT" w:cs="TimesNewRomanPSMT"/>
          <w:sz w:val="23"/>
          <w:szCs w:val="23"/>
        </w:rPr>
        <w:t xml:space="preserve">owever, 9 of the 11 cases referenced by UIF were </w:t>
      </w:r>
      <w:r>
        <w:rPr>
          <w:rFonts w:ascii="TimesNewRomanPSMT" w:hAnsi="TimesNewRomanPSMT" w:cs="TimesNewRomanPSMT"/>
          <w:sz w:val="23"/>
          <w:szCs w:val="23"/>
        </w:rPr>
        <w:t xml:space="preserve">conducted pursuant to the Commission’s </w:t>
      </w:r>
      <w:r w:rsidR="008C5BA2">
        <w:rPr>
          <w:rFonts w:ascii="TimesNewRomanPSMT" w:hAnsi="TimesNewRomanPSMT" w:cs="TimesNewRomanPSMT"/>
          <w:sz w:val="23"/>
          <w:szCs w:val="23"/>
        </w:rPr>
        <w:t>Proposed Agency Action (PAA)</w:t>
      </w:r>
      <w:r>
        <w:rPr>
          <w:rFonts w:ascii="TimesNewRomanPSMT" w:hAnsi="TimesNewRomanPSMT" w:cs="TimesNewRomanPSMT"/>
          <w:sz w:val="23"/>
          <w:szCs w:val="23"/>
        </w:rPr>
        <w:t xml:space="preserve"> process. If a utility is dissatisfied with the Commission’s PAA order, it can request an administrative hearing, at which it bears the ultimate burden to support its rate request and </w:t>
      </w:r>
      <w:r w:rsidR="004B141B">
        <w:rPr>
          <w:rFonts w:ascii="TimesNewRomanPSMT" w:hAnsi="TimesNewRomanPSMT" w:cs="TimesNewRomanPSMT"/>
          <w:sz w:val="23"/>
          <w:szCs w:val="23"/>
        </w:rPr>
        <w:t xml:space="preserve">to </w:t>
      </w:r>
      <w:r w:rsidR="00792F39">
        <w:rPr>
          <w:rFonts w:ascii="TimesNewRomanPSMT" w:hAnsi="TimesNewRomanPSMT" w:cs="TimesNewRomanPSMT"/>
          <w:sz w:val="23"/>
          <w:szCs w:val="23"/>
        </w:rPr>
        <w:t xml:space="preserve">place into evidence </w:t>
      </w:r>
      <w:r>
        <w:rPr>
          <w:rFonts w:ascii="TimesNewRomanPSMT" w:hAnsi="TimesNewRomanPSMT" w:cs="TimesNewRomanPSMT"/>
          <w:sz w:val="23"/>
          <w:szCs w:val="23"/>
        </w:rPr>
        <w:t xml:space="preserve">the various components that go into setting rates, including testimony and evidence as to the appropriate repression adjustment, if any. </w:t>
      </w:r>
    </w:p>
    <w:p w:rsidR="003476E9" w:rsidRDefault="003476E9" w:rsidP="008C5BA2">
      <w:pPr>
        <w:autoSpaceDE w:val="0"/>
        <w:autoSpaceDN w:val="0"/>
        <w:adjustRightInd w:val="0"/>
        <w:jc w:val="both"/>
        <w:rPr>
          <w:rFonts w:ascii="TimesNewRomanPSMT" w:hAnsi="TimesNewRomanPSMT" w:cs="TimesNewRomanPSMT"/>
          <w:sz w:val="23"/>
          <w:szCs w:val="23"/>
        </w:rPr>
      </w:pPr>
    </w:p>
    <w:p w:rsidR="002014B3" w:rsidRDefault="002014B3" w:rsidP="00B32EFD">
      <w:pPr>
        <w:autoSpaceDE w:val="0"/>
        <w:autoSpaceDN w:val="0"/>
        <w:adjustRightInd w:val="0"/>
        <w:jc w:val="both"/>
      </w:pPr>
      <w:r>
        <w:rPr>
          <w:rFonts w:ascii="TimesNewRomanPSMT" w:hAnsi="TimesNewRomanPSMT" w:cs="TimesNewRomanPSMT"/>
          <w:sz w:val="23"/>
          <w:szCs w:val="23"/>
        </w:rPr>
        <w:t>The other two orders cited by UIF were post-hearing decisions, issued after the Commission conducted an administrative hearing. I</w:t>
      </w:r>
      <w:r w:rsidR="005C1026">
        <w:t xml:space="preserve">n both instances, the repression adjustments were supported by expert testimony. </w:t>
      </w:r>
      <w:r w:rsidR="007D2A47">
        <w:t>For example, a</w:t>
      </w:r>
      <w:r w:rsidR="00A50FAC">
        <w:t xml:space="preserve"> repression adjustment </w:t>
      </w:r>
      <w:r w:rsidR="001B771F">
        <w:t xml:space="preserve">was </w:t>
      </w:r>
      <w:r w:rsidR="00A50FAC">
        <w:t xml:space="preserve">prominently featured in </w:t>
      </w:r>
      <w:r w:rsidR="005C1026">
        <w:t>UIF’s 201</w:t>
      </w:r>
      <w:r w:rsidR="007D2A47">
        <w:t>6</w:t>
      </w:r>
      <w:r w:rsidR="005C1026">
        <w:t xml:space="preserve"> rate case</w:t>
      </w:r>
      <w:r w:rsidR="00057F24">
        <w:t>,</w:t>
      </w:r>
      <w:r w:rsidR="00A50FAC">
        <w:t xml:space="preserve"> </w:t>
      </w:r>
      <w:r w:rsidR="00057F24">
        <w:t>where</w:t>
      </w:r>
      <w:r w:rsidR="00A50FAC">
        <w:t xml:space="preserve"> </w:t>
      </w:r>
      <w:r w:rsidR="000B499B">
        <w:t xml:space="preserve">UIF filed evidence in support of </w:t>
      </w:r>
      <w:r w:rsidR="001B771F">
        <w:t>the</w:t>
      </w:r>
      <w:r w:rsidR="000B499B">
        <w:t xml:space="preserve"> </w:t>
      </w:r>
      <w:r w:rsidR="00A50FAC">
        <w:t xml:space="preserve">repression adjustment issue </w:t>
      </w:r>
      <w:r w:rsidR="000B499B">
        <w:t>in the record, which included</w:t>
      </w:r>
      <w:r w:rsidR="001463C4">
        <w:t xml:space="preserve"> the testimony of </w:t>
      </w:r>
      <w:r w:rsidR="0062134E">
        <w:t xml:space="preserve">the Utility’s </w:t>
      </w:r>
      <w:r w:rsidR="001463C4">
        <w:t>own expert witness</w:t>
      </w:r>
      <w:r w:rsidR="0034675B">
        <w:t>,</w:t>
      </w:r>
      <w:r w:rsidR="001463C4">
        <w:t xml:space="preserve"> </w:t>
      </w:r>
      <w:r w:rsidR="001B771F">
        <w:t xml:space="preserve">that </w:t>
      </w:r>
      <w:r w:rsidR="003639F1">
        <w:t xml:space="preserve">was </w:t>
      </w:r>
      <w:r w:rsidR="0034675B">
        <w:t xml:space="preserve">then </w:t>
      </w:r>
      <w:r w:rsidR="003639F1">
        <w:t xml:space="preserve">countered by </w:t>
      </w:r>
      <w:r w:rsidR="00A50FAC">
        <w:t xml:space="preserve">the testimony of </w:t>
      </w:r>
      <w:r w:rsidR="007D2A47">
        <w:t xml:space="preserve">the </w:t>
      </w:r>
      <w:r w:rsidR="001B771F">
        <w:t>Commission s</w:t>
      </w:r>
      <w:r w:rsidR="004B185B">
        <w:t>taff witness</w:t>
      </w:r>
      <w:r w:rsidR="000B499B">
        <w:t>.</w:t>
      </w:r>
      <w:r w:rsidR="00677D7F">
        <w:rPr>
          <w:rStyle w:val="FootnoteReference"/>
        </w:rPr>
        <w:footnoteReference w:id="15"/>
      </w:r>
      <w:r w:rsidR="005C1026">
        <w:t xml:space="preserve"> </w:t>
      </w:r>
      <w:r>
        <w:rPr>
          <w:rFonts w:ascii="TimesNewRomanPSMT" w:hAnsi="TimesNewRomanPSMT" w:cs="TimesNewRomanPSMT"/>
          <w:sz w:val="23"/>
          <w:szCs w:val="23"/>
        </w:rPr>
        <w:t xml:space="preserve">UIF provided no citations to Commission orders where a repression adjustment was made after conducting a hearing in which no evidence was provided regarding </w:t>
      </w:r>
      <w:r w:rsidR="003476E9">
        <w:rPr>
          <w:rFonts w:ascii="TimesNewRomanPSMT" w:hAnsi="TimesNewRomanPSMT" w:cs="TimesNewRomanPSMT"/>
          <w:sz w:val="23"/>
          <w:szCs w:val="23"/>
        </w:rPr>
        <w:t>such an</w:t>
      </w:r>
      <w:r>
        <w:rPr>
          <w:rFonts w:ascii="TimesNewRomanPSMT" w:hAnsi="TimesNewRomanPSMT" w:cs="TimesNewRomanPSMT"/>
          <w:sz w:val="23"/>
          <w:szCs w:val="23"/>
        </w:rPr>
        <w:t xml:space="preserve"> adjustment. Nor did UIF cite to a case where a repression adjustment was made after an across-the-board increase </w:t>
      </w:r>
      <w:r w:rsidR="00BC7F29">
        <w:rPr>
          <w:rFonts w:ascii="TimesNewRomanPSMT" w:hAnsi="TimesNewRomanPSMT" w:cs="TimesNewRomanPSMT"/>
          <w:sz w:val="23"/>
          <w:szCs w:val="23"/>
        </w:rPr>
        <w:t xml:space="preserve">to service rates </w:t>
      </w:r>
      <w:r>
        <w:rPr>
          <w:rFonts w:ascii="TimesNewRomanPSMT" w:hAnsi="TimesNewRomanPSMT" w:cs="TimesNewRomanPSMT"/>
          <w:sz w:val="23"/>
          <w:szCs w:val="23"/>
        </w:rPr>
        <w:t>was approved by the Commission.</w:t>
      </w:r>
    </w:p>
    <w:p w:rsidR="001463C4" w:rsidRDefault="001463C4" w:rsidP="001463C4">
      <w:pPr>
        <w:autoSpaceDE w:val="0"/>
        <w:autoSpaceDN w:val="0"/>
        <w:adjustRightInd w:val="0"/>
        <w:jc w:val="both"/>
      </w:pPr>
    </w:p>
    <w:p w:rsidR="009F4915" w:rsidRPr="0044674D" w:rsidRDefault="001463C4" w:rsidP="00B32EFD">
      <w:pPr>
        <w:autoSpaceDE w:val="0"/>
        <w:autoSpaceDN w:val="0"/>
        <w:adjustRightInd w:val="0"/>
        <w:jc w:val="both"/>
      </w:pPr>
      <w:r>
        <w:t xml:space="preserve">Despite UIF’s admission in its Motion </w:t>
      </w:r>
      <w:r w:rsidR="0062134E">
        <w:t xml:space="preserve">that </w:t>
      </w:r>
      <w:r>
        <w:t>it failed to provide evidence or testimony to support a repression adjustm</w:t>
      </w:r>
      <w:r w:rsidR="0062134E">
        <w:t>ent</w:t>
      </w:r>
      <w:r w:rsidR="001B771F">
        <w:t xml:space="preserve"> in this docket</w:t>
      </w:r>
      <w:r w:rsidR="0062134E">
        <w:t xml:space="preserve">, the Utility claims that </w:t>
      </w:r>
      <w:r w:rsidR="001B771F">
        <w:t>Commission staff</w:t>
      </w:r>
      <w:r>
        <w:t xml:space="preserve"> should </w:t>
      </w:r>
      <w:r w:rsidR="003639F1">
        <w:t>have applied it anyway because the Utility requested it in its Application.</w:t>
      </w:r>
      <w:r w:rsidR="00464762">
        <w:rPr>
          <w:rStyle w:val="FootnoteReference"/>
        </w:rPr>
        <w:footnoteReference w:id="16"/>
      </w:r>
      <w:r>
        <w:t xml:space="preserve"> </w:t>
      </w:r>
      <w:r w:rsidR="001B771F">
        <w:t>T</w:t>
      </w:r>
      <w:r w:rsidR="003639F1">
        <w:t xml:space="preserve">he Commission’s long-standing practice is that the </w:t>
      </w:r>
      <w:r w:rsidR="00ED077C">
        <w:t xml:space="preserve">ultimate </w:t>
      </w:r>
      <w:r w:rsidR="003639F1">
        <w:t xml:space="preserve">burden of proof to establish a record sufficient </w:t>
      </w:r>
      <w:r w:rsidR="0036491A">
        <w:t xml:space="preserve">to </w:t>
      </w:r>
      <w:r w:rsidR="003639F1">
        <w:t xml:space="preserve">support </w:t>
      </w:r>
      <w:r w:rsidR="0062134E">
        <w:t>requested rates</w:t>
      </w:r>
      <w:r w:rsidR="003639F1">
        <w:t xml:space="preserve"> lies with the </w:t>
      </w:r>
      <w:r w:rsidR="0036491A">
        <w:t>u</w:t>
      </w:r>
      <w:r w:rsidR="003639F1">
        <w:t>tility seeking a rate change.</w:t>
      </w:r>
      <w:r w:rsidR="003639F1">
        <w:rPr>
          <w:rStyle w:val="FootnoteReference"/>
        </w:rPr>
        <w:footnoteReference w:id="17"/>
      </w:r>
      <w:r w:rsidR="003639F1">
        <w:t xml:space="preserve"> </w:t>
      </w:r>
      <w:r w:rsidR="001B771F">
        <w:t xml:space="preserve">When the </w:t>
      </w:r>
      <w:r w:rsidR="00A50FAC">
        <w:t xml:space="preserve">record is devoid of </w:t>
      </w:r>
      <w:r w:rsidR="00A57724">
        <w:t xml:space="preserve">the </w:t>
      </w:r>
      <w:r w:rsidR="00A50FAC">
        <w:t xml:space="preserve">evidence </w:t>
      </w:r>
      <w:r w:rsidR="00A57724">
        <w:t xml:space="preserve">required </w:t>
      </w:r>
      <w:r w:rsidR="00A50FAC">
        <w:t>to support a repression adjustment</w:t>
      </w:r>
      <w:r w:rsidR="001B771F">
        <w:t>,</w:t>
      </w:r>
      <w:r w:rsidR="00BD2252">
        <w:t xml:space="preserve"> </w:t>
      </w:r>
      <w:r w:rsidR="0075641B">
        <w:t xml:space="preserve">the Commission cannot create that evidence after the fact and retroactively apply it to the approved rates. Indeed, as the record is silent, </w:t>
      </w:r>
      <w:r w:rsidR="003639F1" w:rsidRPr="0044674D">
        <w:t>UIF’s</w:t>
      </w:r>
      <w:r w:rsidR="009F4915" w:rsidRPr="0044674D">
        <w:t xml:space="preserve"> speculated </w:t>
      </w:r>
      <w:r w:rsidR="00BD2252">
        <w:t xml:space="preserve">revenue shortfall </w:t>
      </w:r>
      <w:r w:rsidR="009F4915" w:rsidRPr="0044674D">
        <w:t xml:space="preserve">amounts </w:t>
      </w:r>
      <w:r w:rsidR="0075641B">
        <w:t xml:space="preserve">due to </w:t>
      </w:r>
      <w:r w:rsidR="00CB4012">
        <w:t xml:space="preserve">the absence of </w:t>
      </w:r>
      <w:r w:rsidR="0075641B">
        <w:t>a repression adjustment cannot be verified.</w:t>
      </w:r>
      <w:r w:rsidR="009F4915" w:rsidRPr="0044674D">
        <w:t xml:space="preserve"> </w:t>
      </w:r>
      <w:r w:rsidR="00ED077C">
        <w:t xml:space="preserve">Further, as discussed </w:t>
      </w:r>
      <w:r w:rsidR="009A0BB1">
        <w:t>below</w:t>
      </w:r>
      <w:r w:rsidR="00ED077C">
        <w:t xml:space="preserve">, a repression adjustment would not be appropriate in this case, where an across-the-board </w:t>
      </w:r>
      <w:r w:rsidR="00F364A2">
        <w:t xml:space="preserve">increase to </w:t>
      </w:r>
      <w:r w:rsidR="009A0BB1">
        <w:t xml:space="preserve">water and wastewater </w:t>
      </w:r>
      <w:r w:rsidR="00F364A2">
        <w:t>service rates</w:t>
      </w:r>
      <w:r w:rsidR="00ED077C">
        <w:t xml:space="preserve"> </w:t>
      </w:r>
      <w:r w:rsidR="00F364A2">
        <w:t>wa</w:t>
      </w:r>
      <w:r w:rsidR="00ED077C">
        <w:t>s made.</w:t>
      </w:r>
    </w:p>
    <w:p w:rsidR="00945D77" w:rsidRDefault="00945D77" w:rsidP="0044674D">
      <w:pPr>
        <w:pStyle w:val="OrderBody"/>
        <w:ind w:firstLine="720"/>
        <w:rPr>
          <w:iCs/>
          <w:sz w:val="24"/>
          <w:szCs w:val="24"/>
        </w:rPr>
      </w:pPr>
    </w:p>
    <w:p w:rsidR="00934D6F" w:rsidRPr="00B32EFD" w:rsidRDefault="00DE6B51" w:rsidP="00431664">
      <w:pPr>
        <w:autoSpaceDE w:val="0"/>
        <w:autoSpaceDN w:val="0"/>
        <w:adjustRightInd w:val="0"/>
        <w:ind w:firstLine="720"/>
        <w:rPr>
          <w:u w:val="single"/>
        </w:rPr>
      </w:pPr>
      <w:r w:rsidRPr="00B32EFD">
        <w:rPr>
          <w:u w:val="single"/>
        </w:rPr>
        <w:t>UIF’s Stipulation to Issue</w:t>
      </w:r>
      <w:r w:rsidR="005E3D68">
        <w:rPr>
          <w:u w:val="single"/>
        </w:rPr>
        <w:t>s 34 and</w:t>
      </w:r>
      <w:r w:rsidRPr="00B32EFD">
        <w:rPr>
          <w:u w:val="single"/>
        </w:rPr>
        <w:t xml:space="preserve"> 36</w:t>
      </w:r>
    </w:p>
    <w:p w:rsidR="006416FE" w:rsidRDefault="006416FE" w:rsidP="00B32EFD">
      <w:pPr>
        <w:autoSpaceDE w:val="0"/>
        <w:autoSpaceDN w:val="0"/>
        <w:adjustRightInd w:val="0"/>
        <w:jc w:val="both"/>
      </w:pPr>
    </w:p>
    <w:p w:rsidR="002A1C2A" w:rsidRPr="002A1C2A" w:rsidRDefault="005E3D68" w:rsidP="00431664">
      <w:pPr>
        <w:autoSpaceDE w:val="0"/>
        <w:autoSpaceDN w:val="0"/>
        <w:adjustRightInd w:val="0"/>
        <w:jc w:val="both"/>
      </w:pPr>
      <w:r>
        <w:t xml:space="preserve">As discussed in the case background, Type 2 stipulations were agreed to by UIF and approved by the Commission with respect to </w:t>
      </w:r>
      <w:r w:rsidR="00057F24">
        <w:t>the rate structure f</w:t>
      </w:r>
      <w:r w:rsidR="0030226D">
        <w:t>o</w:t>
      </w:r>
      <w:r w:rsidR="00057F24">
        <w:t xml:space="preserve">r </w:t>
      </w:r>
      <w:r>
        <w:t xml:space="preserve">water (Issue 34) and wastewater (Issue 36) rate structure, resulting in an across-the-board increase to water and wastewater service rates. </w:t>
      </w:r>
      <w:r w:rsidR="002A1C2A" w:rsidRPr="002A1C2A">
        <w:t xml:space="preserve">The Commission does not apply a repression adjustment </w:t>
      </w:r>
      <w:r w:rsidR="00057F24">
        <w:t>to</w:t>
      </w:r>
      <w:r w:rsidR="002A1C2A" w:rsidRPr="002A1C2A">
        <w:t xml:space="preserve"> across-the-board rate increases. The application of an across-the-board increase results in the existing rates being increased uniformly by the percentage increase in the revenue requirement. Under the application of an across-the-board increase, all parameters of rate design are held constant</w:t>
      </w:r>
      <w:r>
        <w:t>,</w:t>
      </w:r>
      <w:r w:rsidR="002A1C2A" w:rsidRPr="002A1C2A">
        <w:t xml:space="preserve"> such as the base facility charge recovery allocation, rate blocks, and billing determinants. Factoring in a repression adjustment negates the premise of an across-the-board increase because cost recovery would have to be redistributed to account for any anticipated reduction in gallons and related operation and maintenance expenses. As OPC notes in its response, UIF’s stipulation to water and wastewater rate</w:t>
      </w:r>
      <w:r>
        <w:t xml:space="preserve"> structure</w:t>
      </w:r>
      <w:r w:rsidR="002A1C2A" w:rsidRPr="002A1C2A">
        <w:t xml:space="preserve"> is an across-the-board rate increase where staff does not ap</w:t>
      </w:r>
      <w:r w:rsidR="00390F56">
        <w:t>ply a repression reduction. These</w:t>
      </w:r>
      <w:r w:rsidR="002A1C2A" w:rsidRPr="002A1C2A">
        <w:t xml:space="preserve"> stipulation</w:t>
      </w:r>
      <w:r w:rsidR="00390F56">
        <w:t>s</w:t>
      </w:r>
      <w:r w:rsidR="002A1C2A" w:rsidRPr="002A1C2A">
        <w:t xml:space="preserve"> resolved all rate design matters, including the </w:t>
      </w:r>
      <w:r>
        <w:t xml:space="preserve">passing </w:t>
      </w:r>
      <w:r w:rsidR="002A1C2A" w:rsidRPr="002A1C2A">
        <w:t>reference to a repression adjustment listed in UIF's Application. OPC did not oppose approval of the stipulation, and UIF’s stipulation to Issue</w:t>
      </w:r>
      <w:r>
        <w:t>s</w:t>
      </w:r>
      <w:r w:rsidR="002A1C2A" w:rsidRPr="002A1C2A">
        <w:t xml:space="preserve"> </w:t>
      </w:r>
      <w:r>
        <w:t xml:space="preserve">34 and </w:t>
      </w:r>
      <w:r w:rsidR="002A1C2A" w:rsidRPr="002A1C2A">
        <w:t>36 is not contested in its Motion.</w:t>
      </w:r>
    </w:p>
    <w:p w:rsidR="006437BA" w:rsidRDefault="006437BA" w:rsidP="00DE6B51">
      <w:pPr>
        <w:autoSpaceDE w:val="0"/>
        <w:autoSpaceDN w:val="0"/>
        <w:adjustRightInd w:val="0"/>
        <w:ind w:firstLine="720"/>
        <w:jc w:val="both"/>
      </w:pPr>
    </w:p>
    <w:p w:rsidR="00D22DB0" w:rsidRDefault="00D22DB0" w:rsidP="00431664">
      <w:pPr>
        <w:autoSpaceDE w:val="0"/>
        <w:autoSpaceDN w:val="0"/>
        <w:adjustRightInd w:val="0"/>
        <w:ind w:firstLine="720"/>
        <w:jc w:val="both"/>
      </w:pPr>
      <w:r w:rsidRPr="008B1816">
        <w:rPr>
          <w:u w:val="single"/>
        </w:rPr>
        <w:t>Conclusion</w:t>
      </w:r>
    </w:p>
    <w:p w:rsidR="008B1816" w:rsidRPr="008B1816" w:rsidRDefault="008B1816" w:rsidP="00D22DB0">
      <w:pPr>
        <w:autoSpaceDE w:val="0"/>
        <w:autoSpaceDN w:val="0"/>
        <w:adjustRightInd w:val="0"/>
        <w:jc w:val="both"/>
      </w:pPr>
    </w:p>
    <w:p w:rsidR="00617B91" w:rsidRDefault="00587DD2" w:rsidP="00B32EFD">
      <w:pPr>
        <w:pStyle w:val="BodyText"/>
      </w:pPr>
      <w:r>
        <w:t>As stated above, staff recommends that UIF’s Motion should be denied as having been untimely filed. However, if the Commission address</w:t>
      </w:r>
      <w:r w:rsidR="00F71934">
        <w:t>es</w:t>
      </w:r>
      <w:r>
        <w:t xml:space="preserve"> the substance of UIF’s Motion, staff recommends it should be denied for the following reasons. </w:t>
      </w:r>
      <w:r w:rsidR="00AA23D7" w:rsidRPr="00C25118">
        <w:t xml:space="preserve">The standard of review for reconsideration of a Commission order is whether the motion identifies a point of fact or law that </w:t>
      </w:r>
      <w:r w:rsidR="00AA23D7">
        <w:t xml:space="preserve">Commission </w:t>
      </w:r>
      <w:r w:rsidR="00AA23D7" w:rsidRPr="00C25118">
        <w:t>overlooked or failed to consider in rendering the order.</w:t>
      </w:r>
      <w:r w:rsidR="00AA23D7">
        <w:rPr>
          <w:rStyle w:val="FootnoteReference"/>
        </w:rPr>
        <w:footnoteReference w:id="18"/>
      </w:r>
      <w:r w:rsidR="00AA23D7" w:rsidRPr="00C25118">
        <w:t xml:space="preserve"> </w:t>
      </w:r>
      <w:r w:rsidR="006437BA">
        <w:t>T</w:t>
      </w:r>
      <w:r w:rsidR="001463C4">
        <w:t xml:space="preserve">he lack of a particular discussion of one item in a document or proceeding is not presumptive proof that the item or matter </w:t>
      </w:r>
      <w:r w:rsidR="00057F24">
        <w:t xml:space="preserve">was </w:t>
      </w:r>
      <w:r w:rsidR="001463C4">
        <w:t>not considered by the tribunal</w:t>
      </w:r>
      <w:r w:rsidR="00AA23D7">
        <w:t>.</w:t>
      </w:r>
      <w:r w:rsidR="001463C4">
        <w:t xml:space="preserve"> </w:t>
      </w:r>
      <w:r w:rsidR="0057371C" w:rsidRPr="00C25118">
        <w:t>Furthermore, a motion for reconsideration should not be granted “based upon an arbitrary feeling that a mistake may have been made, but should be based upon specific factual matters set forth in the record and susceptible to review.”</w:t>
      </w:r>
      <w:r w:rsidR="00977C9A">
        <w:rPr>
          <w:rStyle w:val="FootnoteReference"/>
        </w:rPr>
        <w:footnoteReference w:id="19"/>
      </w:r>
      <w:r w:rsidR="0057371C" w:rsidRPr="00C25118">
        <w:t xml:space="preserve"> </w:t>
      </w:r>
    </w:p>
    <w:p w:rsidR="003B0A00" w:rsidRDefault="00617B91" w:rsidP="002A1C2A">
      <w:pPr>
        <w:pStyle w:val="BodyText"/>
      </w:pPr>
      <w:r w:rsidRPr="00617B91">
        <w:t>UIF’s assertion</w:t>
      </w:r>
      <w:r w:rsidR="00F71934">
        <w:t>,</w:t>
      </w:r>
      <w:r w:rsidRPr="00617B91">
        <w:t xml:space="preserve"> that the absence of a repression adjustment in the </w:t>
      </w:r>
      <w:r w:rsidR="00F71934">
        <w:t>s</w:t>
      </w:r>
      <w:r w:rsidRPr="00617B91">
        <w:t xml:space="preserve">taff </w:t>
      </w:r>
      <w:r w:rsidR="00F71934">
        <w:t>r</w:t>
      </w:r>
      <w:r w:rsidRPr="00617B91">
        <w:t xml:space="preserve">ecommendation and subsequent </w:t>
      </w:r>
      <w:r w:rsidR="00F71934">
        <w:t>f</w:t>
      </w:r>
      <w:r w:rsidRPr="00617B91">
        <w:t xml:space="preserve">inal </w:t>
      </w:r>
      <w:r w:rsidR="00F71934">
        <w:t>o</w:t>
      </w:r>
      <w:r w:rsidRPr="00617B91">
        <w:t>rder suggests that the Commission overlooked the issue</w:t>
      </w:r>
      <w:r w:rsidR="00F71934">
        <w:t>,</w:t>
      </w:r>
      <w:r w:rsidRPr="00617B91">
        <w:t xml:space="preserve"> is contrary to UIF’s admission in its Motion that it offered no evidence in support of a repression adjustment in the record or at Hearing</w:t>
      </w:r>
      <w:r w:rsidR="00F71934">
        <w:t>. It further</w:t>
      </w:r>
      <w:r w:rsidRPr="00617B91">
        <w:t xml:space="preserve"> ignores UIF’s stipulation to an across-the-board rate increase </w:t>
      </w:r>
      <w:r w:rsidR="00DA5A7E">
        <w:t xml:space="preserve">to </w:t>
      </w:r>
      <w:r w:rsidR="00F71934">
        <w:t xml:space="preserve">water and wastewater </w:t>
      </w:r>
      <w:r w:rsidR="00DA5A7E">
        <w:t xml:space="preserve">service rates, </w:t>
      </w:r>
      <w:r w:rsidR="006437BA">
        <w:t xml:space="preserve">reflected in the </w:t>
      </w:r>
      <w:r w:rsidR="00075414">
        <w:t>F</w:t>
      </w:r>
      <w:r w:rsidR="00DA5A7E">
        <w:t xml:space="preserve">inal </w:t>
      </w:r>
      <w:r w:rsidR="00075414">
        <w:t>O</w:t>
      </w:r>
      <w:r w:rsidR="00DA5A7E">
        <w:t>rder of this proceeding</w:t>
      </w:r>
      <w:r w:rsidRPr="00617B91">
        <w:t>. The Utility, who has the burden of proof, admits that the record is silent on this issue</w:t>
      </w:r>
      <w:r w:rsidR="006C09B4">
        <w:t>;</w:t>
      </w:r>
      <w:r w:rsidRPr="00617B91">
        <w:t xml:space="preserve"> therefore</w:t>
      </w:r>
      <w:r w:rsidR="006C09B4">
        <w:t>,</w:t>
      </w:r>
      <w:r w:rsidRPr="00617B91">
        <w:t xml:space="preserve"> there was nothing for the Commission to consider, other than the </w:t>
      </w:r>
      <w:r w:rsidR="00F71934">
        <w:t xml:space="preserve">proposed </w:t>
      </w:r>
      <w:r w:rsidRPr="00617B91">
        <w:t>stipulation</w:t>
      </w:r>
      <w:r w:rsidR="00F71934">
        <w:t>s it approved</w:t>
      </w:r>
      <w:r w:rsidRPr="00617B91">
        <w:t xml:space="preserve">. </w:t>
      </w:r>
      <w:r>
        <w:t>R</w:t>
      </w:r>
      <w:r w:rsidR="00977C9A">
        <w:t xml:space="preserve">ather than overlooking a repression adjustment, </w:t>
      </w:r>
      <w:r>
        <w:t xml:space="preserve">the </w:t>
      </w:r>
      <w:r w:rsidR="00B3561C">
        <w:t>adjustment</w:t>
      </w:r>
      <w:r>
        <w:t xml:space="preserve"> </w:t>
      </w:r>
      <w:r w:rsidR="00977C9A">
        <w:t>wasn’t relevant considering the absence of evidence in the record and in light of UIF’s stipulation to Issue</w:t>
      </w:r>
      <w:r w:rsidR="00B3561C">
        <w:t>s 34 and</w:t>
      </w:r>
      <w:r w:rsidR="00977C9A">
        <w:t xml:space="preserve"> 36.</w:t>
      </w:r>
      <w:r w:rsidR="00DA5A7E">
        <w:t xml:space="preserve"> Accordingly, staff recommends that UIF’s Motion for Reconsideration should be denied.</w:t>
      </w:r>
      <w:r w:rsidR="00977C9A">
        <w:t xml:space="preserve"> </w:t>
      </w:r>
    </w:p>
    <w:p w:rsidR="00F71FF6" w:rsidRPr="00473507" w:rsidRDefault="003B0A00" w:rsidP="003B0A00">
      <w:pPr>
        <w:autoSpaceDE w:val="0"/>
        <w:autoSpaceDN w:val="0"/>
        <w:adjustRightInd w:val="0"/>
        <w:ind w:firstLine="720"/>
        <w:jc w:val="both"/>
      </w:pPr>
      <w:r>
        <w:t xml:space="preserve"> </w:t>
      </w:r>
    </w:p>
    <w:p w:rsidR="005667B6" w:rsidRPr="005667B6" w:rsidRDefault="005667B6" w:rsidP="005667B6">
      <w:pPr>
        <w:pStyle w:val="BodyText"/>
        <w:sectPr w:rsidR="005667B6" w:rsidRPr="005667B6"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5667B6" w:rsidRPr="00B32EFD" w:rsidRDefault="005667B6" w:rsidP="005667B6">
      <w:pPr>
        <w:pStyle w:val="BodyText"/>
        <w:rPr>
          <w:rFonts w:ascii="Arial" w:hAnsi="Arial" w:cs="Arial"/>
          <w:b/>
          <w:bCs/>
          <w:i/>
          <w:vanish/>
        </w:rPr>
      </w:pPr>
    </w:p>
    <w:p w:rsidR="009803B0" w:rsidRDefault="005667B6" w:rsidP="004F1663">
      <w:pPr>
        <w:pStyle w:val="BodyText"/>
        <w:rPr>
          <w:vanish/>
          <w:specVanish/>
        </w:rPr>
      </w:pPr>
      <w:r w:rsidRPr="00B32EFD">
        <w:rPr>
          <w:rFonts w:ascii="Arial" w:hAnsi="Arial" w:cs="Arial"/>
          <w:b/>
          <w:i/>
        </w:rPr>
        <w:t> </w:t>
      </w:r>
      <w:r w:rsidR="009803B0" w:rsidRPr="00B32EFD">
        <w:rPr>
          <w:rFonts w:ascii="Arial" w:hAnsi="Arial" w:cs="Arial"/>
          <w:b/>
          <w:i/>
        </w:rPr>
        <w:t xml:space="preserve">Issue </w:t>
      </w:r>
      <w:r w:rsidR="008A3DAE" w:rsidRPr="00B32EFD">
        <w:rPr>
          <w:rFonts w:ascii="Arial" w:hAnsi="Arial" w:cs="Arial"/>
          <w:b/>
          <w:i/>
        </w:rPr>
        <w:fldChar w:fldCharType="begin"/>
      </w:r>
      <w:r w:rsidR="008A3DAE" w:rsidRPr="00B32EFD">
        <w:rPr>
          <w:rFonts w:ascii="Arial" w:hAnsi="Arial" w:cs="Arial"/>
          <w:b/>
          <w:i/>
        </w:rPr>
        <w:instrText xml:space="preserve"> SEQ Issue \* MERGEFORMAT </w:instrText>
      </w:r>
      <w:r w:rsidR="008A3DAE" w:rsidRPr="00B32EFD">
        <w:rPr>
          <w:rFonts w:ascii="Arial" w:hAnsi="Arial" w:cs="Arial"/>
          <w:b/>
          <w:i/>
        </w:rPr>
        <w:fldChar w:fldCharType="separate"/>
      </w:r>
      <w:r w:rsidR="00F53B2A">
        <w:rPr>
          <w:rFonts w:ascii="Arial" w:hAnsi="Arial" w:cs="Arial"/>
          <w:b/>
          <w:i/>
          <w:noProof/>
        </w:rPr>
        <w:t>3</w:t>
      </w:r>
      <w:r w:rsidR="008A3DAE" w:rsidRPr="00B32EFD">
        <w:rPr>
          <w:rFonts w:ascii="Arial" w:hAnsi="Arial" w:cs="Arial"/>
          <w:b/>
          <w:i/>
          <w:noProof/>
        </w:rPr>
        <w:fldChar w:fldCharType="end"/>
      </w:r>
      <w:r w:rsidR="009803B0" w:rsidRPr="00B32EFD">
        <w:rPr>
          <w:rFonts w:ascii="Arial" w:hAnsi="Arial" w:cs="Arial"/>
          <w:b/>
          <w:i/>
        </w:rPr>
        <w:t>:</w:t>
      </w:r>
      <w:r w:rsidR="009803B0">
        <w:fldChar w:fldCharType="begin"/>
      </w:r>
      <w:r w:rsidR="009803B0">
        <w:instrText xml:space="preserve"> TC "</w:instrText>
      </w:r>
      <w:r w:rsidR="009803B0">
        <w:fldChar w:fldCharType="begin"/>
      </w:r>
      <w:r w:rsidR="009803B0">
        <w:instrText xml:space="preserve"> SEQ issue \c </w:instrText>
      </w:r>
      <w:r w:rsidR="009803B0">
        <w:fldChar w:fldCharType="separate"/>
      </w:r>
      <w:r w:rsidR="00F53B2A">
        <w:rPr>
          <w:noProof/>
        </w:rPr>
        <w:instrText>3</w:instrText>
      </w:r>
      <w:r w:rsidR="009803B0">
        <w:fldChar w:fldCharType="end"/>
      </w:r>
      <w:r w:rsidR="009803B0">
        <w:tab/>
        <w:instrText xml:space="preserve">" \l 1 </w:instrText>
      </w:r>
      <w:r w:rsidR="009803B0">
        <w:fldChar w:fldCharType="end"/>
      </w:r>
      <w:r w:rsidR="009803B0">
        <w:t> </w:t>
      </w:r>
    </w:p>
    <w:p w:rsidR="009803B0" w:rsidRDefault="009803B0">
      <w:pPr>
        <w:pStyle w:val="BodyText"/>
      </w:pPr>
      <w:r>
        <w:t> </w:t>
      </w:r>
      <w:r w:rsidR="005667B6">
        <w:t>Should this docket be closed?</w:t>
      </w:r>
    </w:p>
    <w:p w:rsidR="005667B6" w:rsidRPr="00B32EFD" w:rsidRDefault="005667B6" w:rsidP="005667B6">
      <w:pPr>
        <w:pStyle w:val="BodyText"/>
        <w:rPr>
          <w:rFonts w:ascii="Arial" w:hAnsi="Arial" w:cs="Arial"/>
          <w:b/>
          <w:bCs/>
          <w:i/>
          <w:iCs/>
          <w:vanish/>
        </w:rPr>
      </w:pPr>
      <w:r w:rsidRPr="00B32EFD">
        <w:rPr>
          <w:rFonts w:ascii="Arial" w:hAnsi="Arial" w:cs="Arial"/>
          <w:b/>
          <w:bCs/>
          <w:i/>
          <w:iCs/>
        </w:rPr>
        <w:t>Recommendation: </w:t>
      </w:r>
    </w:p>
    <w:p w:rsidR="004F1663" w:rsidRPr="00803038" w:rsidRDefault="005667B6" w:rsidP="005667B6">
      <w:pPr>
        <w:pStyle w:val="BodyText"/>
      </w:pPr>
      <w:r w:rsidRPr="00B32EFD">
        <w:rPr>
          <w:rFonts w:ascii="Arial" w:hAnsi="Arial" w:cs="Arial"/>
        </w:rPr>
        <w:t> </w:t>
      </w:r>
      <w:r w:rsidR="004F1663" w:rsidRPr="00803038">
        <w:t>Yes, this docket should be closed. (Trierweiler)</w:t>
      </w:r>
    </w:p>
    <w:p w:rsidR="005667B6" w:rsidRPr="00B32EFD" w:rsidRDefault="005667B6" w:rsidP="005667B6">
      <w:pPr>
        <w:pStyle w:val="BodyText"/>
        <w:rPr>
          <w:rFonts w:ascii="Arial" w:hAnsi="Arial" w:cs="Arial"/>
          <w:b/>
          <w:bCs/>
          <w:i/>
          <w:iCs/>
          <w:vanish/>
        </w:rPr>
      </w:pPr>
      <w:r w:rsidRPr="00B32EFD">
        <w:rPr>
          <w:rFonts w:ascii="Arial" w:hAnsi="Arial" w:cs="Arial"/>
          <w:b/>
          <w:bCs/>
          <w:i/>
          <w:iCs/>
        </w:rPr>
        <w:t>Staff Analysis: </w:t>
      </w:r>
    </w:p>
    <w:p w:rsidR="009803B0" w:rsidRPr="00803038" w:rsidRDefault="005667B6">
      <w:pPr>
        <w:pStyle w:val="BodyText"/>
      </w:pPr>
      <w:r w:rsidRPr="00B32EFD">
        <w:rPr>
          <w:rFonts w:ascii="Arial" w:hAnsi="Arial" w:cs="Arial"/>
        </w:rPr>
        <w:t> </w:t>
      </w:r>
      <w:r w:rsidRPr="00803038">
        <w:t xml:space="preserve">This docket should </w:t>
      </w:r>
      <w:r w:rsidR="00B14513">
        <w:t>be closed</w:t>
      </w:r>
      <w:r w:rsidRPr="00803038">
        <w:t>.</w:t>
      </w:r>
      <w:r w:rsidR="00435396" w:rsidRPr="00803038">
        <w:t xml:space="preserve"> </w:t>
      </w:r>
    </w:p>
    <w:p w:rsidR="00E06484" w:rsidRDefault="00E06484" w:rsidP="00E275D8">
      <w:pPr>
        <w:pStyle w:val="BodyText"/>
      </w:pPr>
    </w:p>
    <w:sectPr w:rsidR="00E06484" w:rsidSect="0068481F">
      <w:headerReference w:type="default" r:id="rId14"/>
      <w:headerReference w:type="first" r:id="rId15"/>
      <w:footerReference w:type="firs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959" w:rsidRDefault="00633959">
      <w:r>
        <w:separator/>
      </w:r>
    </w:p>
  </w:endnote>
  <w:endnote w:type="continuationSeparator" w:id="0">
    <w:p w:rsidR="00633959" w:rsidRDefault="0063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F39" w:rsidRDefault="00792F3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53B2A">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F39" w:rsidRDefault="00792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F39" w:rsidRDefault="00792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959" w:rsidRDefault="00633959">
      <w:r>
        <w:separator/>
      </w:r>
    </w:p>
  </w:footnote>
  <w:footnote w:type="continuationSeparator" w:id="0">
    <w:p w:rsidR="00633959" w:rsidRDefault="00633959">
      <w:r>
        <w:continuationSeparator/>
      </w:r>
    </w:p>
  </w:footnote>
  <w:footnote w:id="1">
    <w:p w:rsidR="00B325E1" w:rsidRDefault="00B325E1">
      <w:pPr>
        <w:pStyle w:val="FootnoteText"/>
      </w:pPr>
      <w:r>
        <w:rPr>
          <w:rStyle w:val="FootnoteReference"/>
        </w:rPr>
        <w:footnoteRef/>
      </w:r>
      <w:r>
        <w:t xml:space="preserve"> </w:t>
      </w:r>
      <w:r w:rsidRPr="00C83CBD">
        <w:t>Order PSC-2021-0206-FOF-WS</w:t>
      </w:r>
      <w:r>
        <w:t xml:space="preserve">, issued June 4, 2021, </w:t>
      </w:r>
      <w:r w:rsidR="00F46E3A">
        <w:t xml:space="preserve">in </w:t>
      </w:r>
      <w:r>
        <w:t xml:space="preserve">Docket No. 20200139-WS, </w:t>
      </w:r>
      <w:r w:rsidRPr="00C65411">
        <w:rPr>
          <w:i/>
        </w:rPr>
        <w:t xml:space="preserve">In </w:t>
      </w:r>
      <w:r>
        <w:rPr>
          <w:i/>
        </w:rPr>
        <w:t>r</w:t>
      </w:r>
      <w:r w:rsidRPr="00C65411">
        <w:rPr>
          <w:i/>
        </w:rPr>
        <w:t>e</w:t>
      </w:r>
      <w:r>
        <w:rPr>
          <w:i/>
        </w:rPr>
        <w:t>:</w:t>
      </w:r>
      <w:r w:rsidRPr="002E5B12">
        <w:rPr>
          <w:color w:val="232323"/>
          <w:sz w:val="23"/>
          <w:szCs w:val="23"/>
        </w:rPr>
        <w:t xml:space="preserve"> </w:t>
      </w:r>
      <w:r w:rsidRPr="002E5B12">
        <w:rPr>
          <w:i/>
        </w:rPr>
        <w:t>Application for increase in water and wastewater rates</w:t>
      </w:r>
      <w:r>
        <w:rPr>
          <w:i/>
        </w:rPr>
        <w:t xml:space="preserve"> </w:t>
      </w:r>
      <w:r w:rsidRPr="002E5B12">
        <w:rPr>
          <w:i/>
        </w:rPr>
        <w:t>in Charlotte, Highlands, Lake, Lee, Marion, Orange, Pasco, Pinellas, Polk, and</w:t>
      </w:r>
      <w:r>
        <w:rPr>
          <w:i/>
        </w:rPr>
        <w:t xml:space="preserve"> </w:t>
      </w:r>
      <w:r w:rsidRPr="002E5B12">
        <w:rPr>
          <w:i/>
        </w:rPr>
        <w:t>Seminole Counties, by Utilities, Inc. of Florida.</w:t>
      </w:r>
    </w:p>
  </w:footnote>
  <w:footnote w:id="2">
    <w:p w:rsidR="001D7168" w:rsidRDefault="001D7168">
      <w:pPr>
        <w:pStyle w:val="FootnoteText"/>
      </w:pPr>
      <w:r>
        <w:rPr>
          <w:rStyle w:val="FootnoteReference"/>
        </w:rPr>
        <w:footnoteRef/>
      </w:r>
      <w:r>
        <w:t xml:space="preserve"> Order No. PSC-2021-0064-PHO-WS, issued January 29, 2021, in Docket No. 20200139-WS, pp. 27-28.</w:t>
      </w:r>
    </w:p>
  </w:footnote>
  <w:footnote w:id="3">
    <w:p w:rsidR="00A63FA8" w:rsidRDefault="00A63FA8" w:rsidP="00A63FA8">
      <w:pPr>
        <w:pStyle w:val="FootnoteText"/>
      </w:pPr>
      <w:r>
        <w:rPr>
          <w:rStyle w:val="FootnoteReference"/>
        </w:rPr>
        <w:footnoteRef/>
      </w:r>
      <w:r>
        <w:t xml:space="preserve"> Order No. PSC-2021-0206-FOF-WS, issued June 4, 2021, </w:t>
      </w:r>
      <w:r w:rsidR="00F46E3A">
        <w:t xml:space="preserve">in </w:t>
      </w:r>
      <w:r>
        <w:t>Docket No. 20200139-WS, p. 118. The approved language for Issue 34 provides, in pertinent part: “</w:t>
      </w:r>
      <w:r w:rsidRPr="006B7092">
        <w:t>The appropriate rate structure is a continuation of the existing rate structure and the percentage increase shall be applied as an across-the-board increase to service rates at the time of filing. To determine the appropriate percentage increase to apply to the service rates, miscellaneous revenues of $363,563 shall be removed from the test year revenues.</w:t>
      </w:r>
      <w:r>
        <w:t xml:space="preserve">” </w:t>
      </w:r>
      <w:r w:rsidRPr="00B325E1">
        <w:t>T</w:t>
      </w:r>
      <w:r>
        <w:t xml:space="preserve">able 16, showing the </w:t>
      </w:r>
      <w:r w:rsidRPr="00B325E1">
        <w:t>fall</w:t>
      </w:r>
      <w:r>
        <w:t>-</w:t>
      </w:r>
      <w:r w:rsidRPr="00B325E1">
        <w:t xml:space="preserve">out percentage increase to </w:t>
      </w:r>
      <w:r>
        <w:t xml:space="preserve">water </w:t>
      </w:r>
      <w:r w:rsidRPr="00B325E1">
        <w:t>service rates</w:t>
      </w:r>
      <w:r>
        <w:t>,</w:t>
      </w:r>
      <w:r w:rsidRPr="00B325E1">
        <w:t xml:space="preserve"> is </w:t>
      </w:r>
      <w:r>
        <w:t>not included herein.</w:t>
      </w:r>
    </w:p>
  </w:footnote>
  <w:footnote w:id="4">
    <w:p w:rsidR="00A63FA8" w:rsidRDefault="00A63FA8" w:rsidP="00A63FA8">
      <w:pPr>
        <w:pStyle w:val="FootnoteText"/>
      </w:pPr>
      <w:r>
        <w:rPr>
          <w:rStyle w:val="FootnoteReference"/>
        </w:rPr>
        <w:footnoteRef/>
      </w:r>
      <w:r>
        <w:t xml:space="preserve"> Order No. PSC-2021-0206-FOF-WS, p. 119. The approved language for Issue 36 provides, in pertinent part: “The appropriate rate structure is a continuation of the existing rate structure and the percentage increase shall be applied as an across-the-board increase to service rates at the time of filing. To determine the appropriate percentage increase to apply to the service rates, miscellaneous revenues of $333,719 shall be removed from the test year revenues.” </w:t>
      </w:r>
      <w:r w:rsidRPr="00B325E1">
        <w:t>T</w:t>
      </w:r>
      <w:r>
        <w:t xml:space="preserve">able 17, showing the </w:t>
      </w:r>
      <w:r w:rsidRPr="00B325E1">
        <w:t>fall</w:t>
      </w:r>
      <w:r>
        <w:t>-</w:t>
      </w:r>
      <w:r w:rsidRPr="00B325E1">
        <w:t xml:space="preserve">out percentage increase to </w:t>
      </w:r>
      <w:r>
        <w:t xml:space="preserve">wastewater </w:t>
      </w:r>
      <w:r w:rsidRPr="00B325E1">
        <w:t>service rates</w:t>
      </w:r>
      <w:r>
        <w:t>,</w:t>
      </w:r>
      <w:r w:rsidRPr="00B325E1">
        <w:t xml:space="preserve"> is </w:t>
      </w:r>
      <w:r>
        <w:t>not included herein.</w:t>
      </w:r>
    </w:p>
  </w:footnote>
  <w:footnote w:id="5">
    <w:p w:rsidR="00792F39" w:rsidRDefault="00792F39" w:rsidP="00E81CC0">
      <w:pPr>
        <w:pStyle w:val="FootnoteText"/>
      </w:pPr>
      <w:r>
        <w:rPr>
          <w:rStyle w:val="FootnoteReference"/>
        </w:rPr>
        <w:footnoteRef/>
      </w:r>
      <w:r>
        <w:t xml:space="preserve"> See duplicate Document Nos. 06228-2021 and 06229-2021, and Document No. 07450-2021. </w:t>
      </w:r>
    </w:p>
  </w:footnote>
  <w:footnote w:id="6">
    <w:p w:rsidR="00792F39" w:rsidRDefault="00792F39" w:rsidP="007858A2">
      <w:pPr>
        <w:pStyle w:val="FootnoteText"/>
      </w:pPr>
      <w:r>
        <w:rPr>
          <w:rStyle w:val="FootnoteReference"/>
        </w:rPr>
        <w:footnoteRef/>
      </w:r>
      <w:r>
        <w:t xml:space="preserve"> </w:t>
      </w:r>
      <w:r w:rsidRPr="000B3EFB">
        <w:t xml:space="preserve">A repression adjustment reflects the elasticity of demand, or customer’s change in the quantity of a product demanded in response to a change in price. The purpose of the repression adjustment is to ensure the utility will achieve the approved revenue requirement, taking into account the customers' reaction to the price increase. Staff does not use a repression adjustment </w:t>
      </w:r>
      <w:r>
        <w:t>with respect to</w:t>
      </w:r>
      <w:r w:rsidRPr="000B3EFB">
        <w:t xml:space="preserve"> non-discretionary usage, because </w:t>
      </w:r>
      <w:r>
        <w:t xml:space="preserve">it </w:t>
      </w:r>
      <w:r w:rsidRPr="000B3EFB">
        <w:t>assume</w:t>
      </w:r>
      <w:r>
        <w:t>s</w:t>
      </w:r>
      <w:r w:rsidRPr="000B3EFB">
        <w:t xml:space="preserve"> that non-discretionary usage is not responsive to price. </w:t>
      </w:r>
    </w:p>
  </w:footnote>
  <w:footnote w:id="7">
    <w:p w:rsidR="00F8204A" w:rsidRDefault="00F8204A">
      <w:pPr>
        <w:pStyle w:val="FootnoteText"/>
      </w:pPr>
      <w:r>
        <w:rPr>
          <w:rStyle w:val="FootnoteReference"/>
        </w:rPr>
        <w:footnoteRef/>
      </w:r>
      <w:r>
        <w:t xml:space="preserve"> DN 03423-2020. </w:t>
      </w:r>
      <w:r w:rsidRPr="00F8204A">
        <w:t>On page 3 of its Application, UIF requested “</w:t>
      </w:r>
      <w:r w:rsidR="00057F24">
        <w:t>t</w:t>
      </w:r>
      <w:r w:rsidRPr="00F8204A">
        <w:t>he revenue which the Company requests should be adjusted to incorporate the repression in the customer usage as a result of the rates established in this case, in accordance with the standard methodology as utilized by the staff.”</w:t>
      </w:r>
    </w:p>
  </w:footnote>
  <w:footnote w:id="8">
    <w:p w:rsidR="00A63FA8" w:rsidRDefault="00A63FA8">
      <w:pPr>
        <w:pStyle w:val="FootnoteText"/>
      </w:pPr>
      <w:r>
        <w:rPr>
          <w:rStyle w:val="FootnoteReference"/>
        </w:rPr>
        <w:footnoteRef/>
      </w:r>
      <w:r>
        <w:t xml:space="preserve"> In its response, OPC references Issue 36 regarding wastewater rate structure, but does not specifically reference Issue 34 regarding water rate structure.</w:t>
      </w:r>
      <w:r w:rsidR="00FF7A0F">
        <w:t xml:space="preserve"> However, its Response references both water and wastewater rates.</w:t>
      </w:r>
    </w:p>
  </w:footnote>
  <w:footnote w:id="9">
    <w:p w:rsidR="00792F39" w:rsidRDefault="00792F39">
      <w:pPr>
        <w:pStyle w:val="FootnoteText"/>
      </w:pPr>
      <w:r>
        <w:rPr>
          <w:rStyle w:val="FootnoteReference"/>
        </w:rPr>
        <w:footnoteRef/>
      </w:r>
      <w:r>
        <w:t xml:space="preserve"> </w:t>
      </w:r>
      <w:r w:rsidRPr="0020498A">
        <w:t>Swain Ex. DDS-I, page 276; Seidman Ex. FS-3, page 130.</w:t>
      </w:r>
    </w:p>
  </w:footnote>
  <w:footnote w:id="10">
    <w:p w:rsidR="00792F39" w:rsidRDefault="00792F39">
      <w:pPr>
        <w:pStyle w:val="FootnoteText"/>
      </w:pPr>
      <w:r>
        <w:rPr>
          <w:rStyle w:val="FootnoteReference"/>
        </w:rPr>
        <w:footnoteRef/>
      </w:r>
      <w:r>
        <w:t xml:space="preserve"> </w:t>
      </w:r>
      <w:r w:rsidRPr="001F029C">
        <w:rPr>
          <w:i/>
        </w:rPr>
        <w:t>C</w:t>
      </w:r>
      <w:r>
        <w:rPr>
          <w:i/>
        </w:rPr>
        <w:t>iting</w:t>
      </w:r>
      <w:r>
        <w:t xml:space="preserve"> </w:t>
      </w:r>
      <w:r>
        <w:rPr>
          <w:i/>
          <w:iCs/>
        </w:rPr>
        <w:t xml:space="preserve">cf., State ex rel. </w:t>
      </w:r>
      <w:proofErr w:type="spellStart"/>
      <w:r>
        <w:rPr>
          <w:i/>
          <w:iCs/>
        </w:rPr>
        <w:t>Jaytex</w:t>
      </w:r>
      <w:proofErr w:type="spellEnd"/>
      <w:r>
        <w:rPr>
          <w:i/>
          <w:iCs/>
        </w:rPr>
        <w:t xml:space="preserve"> Realty Co. v. Green</w:t>
      </w:r>
      <w:r>
        <w:t>, 105 So. 2d 817, 819 (Fla. 1st DCA 1958) (“[c]</w:t>
      </w:r>
      <w:proofErr w:type="spellStart"/>
      <w:r>
        <w:t>ounsel</w:t>
      </w:r>
      <w:proofErr w:type="spellEnd"/>
      <w:r>
        <w:t xml:space="preserve"> should not . . . draw the conclusion that the matters not discussed were not considered”).</w:t>
      </w:r>
    </w:p>
  </w:footnote>
  <w:footnote w:id="11">
    <w:p w:rsidR="00792F39" w:rsidRDefault="00792F39">
      <w:pPr>
        <w:pStyle w:val="FootnoteText"/>
      </w:pPr>
      <w:r>
        <w:rPr>
          <w:rStyle w:val="FootnoteReference"/>
        </w:rPr>
        <w:footnoteRef/>
      </w:r>
      <w:r>
        <w:t xml:space="preserve"> </w:t>
      </w:r>
      <w:r w:rsidRPr="00A31E4D">
        <w:rPr>
          <w:i/>
        </w:rPr>
        <w:t xml:space="preserve">Citing </w:t>
      </w:r>
      <w:r w:rsidRPr="002E2823">
        <w:rPr>
          <w:i/>
          <w:iCs/>
        </w:rPr>
        <w:t>Stewart Bonded Warehouse, Inc. v. Bevis</w:t>
      </w:r>
      <w:r w:rsidRPr="002E2823">
        <w:t xml:space="preserve">, </w:t>
      </w:r>
      <w:r>
        <w:t xml:space="preserve">and </w:t>
      </w:r>
      <w:r w:rsidRPr="002E2823">
        <w:rPr>
          <w:i/>
          <w:iCs/>
        </w:rPr>
        <w:t>Sherwood v. State</w:t>
      </w:r>
      <w:r w:rsidR="008A2E7C">
        <w:rPr>
          <w:i/>
          <w:iCs/>
        </w:rPr>
        <w:t xml:space="preserve">, </w:t>
      </w:r>
      <w:r w:rsidR="008A2E7C" w:rsidRPr="006E092A">
        <w:rPr>
          <w:i/>
          <w:iCs/>
        </w:rPr>
        <w:t>supra</w:t>
      </w:r>
      <w:r>
        <w:rPr>
          <w:i/>
          <w:iCs/>
        </w:rPr>
        <w:t>.</w:t>
      </w:r>
    </w:p>
  </w:footnote>
  <w:footnote w:id="12">
    <w:p w:rsidR="00427AED" w:rsidRDefault="00427AED" w:rsidP="00427AED">
      <w:pPr>
        <w:pStyle w:val="FootnoteText"/>
      </w:pPr>
      <w:r>
        <w:rPr>
          <w:rStyle w:val="FootnoteReference"/>
        </w:rPr>
        <w:footnoteRef/>
      </w:r>
      <w:r>
        <w:t xml:space="preserve"> The 15</w:t>
      </w:r>
      <w:r w:rsidRPr="00B32EFD">
        <w:rPr>
          <w:vertAlign w:val="superscript"/>
        </w:rPr>
        <w:t>th</w:t>
      </w:r>
      <w:r>
        <w:t xml:space="preserve"> day fell on Saturday, June 19, 2021. Pursuant to Rule 28-106.103, F.A.C., regarding the computation of time, </w:t>
      </w:r>
      <w:r w:rsidRPr="00232B0C">
        <w:t xml:space="preserve">the </w:t>
      </w:r>
      <w:r>
        <w:t xml:space="preserve">reconsideration </w:t>
      </w:r>
      <w:r w:rsidRPr="00232B0C">
        <w:t>period run</w:t>
      </w:r>
      <w:r>
        <w:t>s</w:t>
      </w:r>
      <w:r w:rsidRPr="00232B0C">
        <w:t xml:space="preserve"> until the end of the next day which is not a Saturday, Sunday, or legal holiday.</w:t>
      </w:r>
    </w:p>
  </w:footnote>
  <w:footnote w:id="13">
    <w:p w:rsidR="00427AED" w:rsidRDefault="00427AED" w:rsidP="00427AED">
      <w:pPr>
        <w:pStyle w:val="FootnoteText"/>
      </w:pPr>
      <w:r>
        <w:rPr>
          <w:rStyle w:val="FootnoteReference"/>
        </w:rPr>
        <w:footnoteRef/>
      </w:r>
      <w:r>
        <w:t xml:space="preserve"> </w:t>
      </w:r>
      <w:r w:rsidRPr="00B32EFD">
        <w:rPr>
          <w:i/>
        </w:rPr>
        <w:t>See City of Hollywood v. Public Employees Relations Commission</w:t>
      </w:r>
      <w:r w:rsidRPr="00FA3E44">
        <w:t xml:space="preserve">, 432 So.2d 79 (Fla. 4th DCA 1983), in which the </w:t>
      </w:r>
      <w:r w:rsidR="001F75EA">
        <w:t>c</w:t>
      </w:r>
      <w:r w:rsidRPr="00FA3E44">
        <w:t>ourt held that, since neither Chapter 120, Florida Statutes, PERC's rules, nor the Model Rules of Procedure expressly authorized an extension of time to file for reconsideration, PERC erred in granting such an extension</w:t>
      </w:r>
      <w:r>
        <w:t>.</w:t>
      </w:r>
    </w:p>
  </w:footnote>
  <w:footnote w:id="14">
    <w:p w:rsidR="00427AED" w:rsidRPr="001D34E5" w:rsidRDefault="00427AED" w:rsidP="00427AED">
      <w:pPr>
        <w:pStyle w:val="FootnoteText"/>
      </w:pPr>
      <w:r>
        <w:rPr>
          <w:rStyle w:val="FootnoteReference"/>
        </w:rPr>
        <w:footnoteRef/>
      </w:r>
      <w:r>
        <w:t xml:space="preserve"> </w:t>
      </w:r>
      <w:r>
        <w:rPr>
          <w:i/>
        </w:rPr>
        <w:t>See</w:t>
      </w:r>
      <w:r>
        <w:t xml:space="preserve"> Order No. PSC-95-0047-FOF-WS, issued January 11, 1995, in Docket No. 930880-WS,</w:t>
      </w:r>
      <w:r w:rsidRPr="00431664">
        <w:rPr>
          <w:i/>
        </w:rPr>
        <w:t xml:space="preserve"> In re: Southern States Utilities, Inc.</w:t>
      </w:r>
      <w:r>
        <w:t xml:space="preserve">, in which the order under reconsideration had been subsequently amended (thus tolling the time for reconsideration), and the Commission found that no harm would occur in any event if it were to take up the motion for reconsideration, since the Commission was denying the motion. </w:t>
      </w:r>
    </w:p>
  </w:footnote>
  <w:footnote w:id="15">
    <w:p w:rsidR="00792F39" w:rsidRDefault="00792F39" w:rsidP="007D2A47">
      <w:pPr>
        <w:pStyle w:val="FootnoteText"/>
      </w:pPr>
      <w:r>
        <w:rPr>
          <w:rStyle w:val="FootnoteReference"/>
        </w:rPr>
        <w:footnoteRef/>
      </w:r>
      <w:r>
        <w:t xml:space="preserve"> </w:t>
      </w:r>
      <w:r w:rsidR="007D2A47">
        <w:t xml:space="preserve">Order No. PSC-2017-0361-FOF-WS, issued September 25, 2017, in Docket No. 20160101-WS, </w:t>
      </w:r>
      <w:r w:rsidR="007D2A47" w:rsidRPr="00B32EFD">
        <w:rPr>
          <w:i/>
        </w:rPr>
        <w:t>In re: Application for increase in water and wastewater rates in Charlotte, Highlands, Lake, Lee, Marion, Orange, Pasco, Pinellas, Polk, and Seminole Counties by Utilities, Inc. of Florida,</w:t>
      </w:r>
      <w:r w:rsidR="007D2A47">
        <w:t xml:space="preserve"> pp. 202, 206-207.</w:t>
      </w:r>
    </w:p>
  </w:footnote>
  <w:footnote w:id="16">
    <w:p w:rsidR="00464762" w:rsidRDefault="00464762" w:rsidP="00464762">
      <w:pPr>
        <w:pStyle w:val="FootnoteText"/>
      </w:pPr>
      <w:r>
        <w:rPr>
          <w:rStyle w:val="FootnoteReference"/>
        </w:rPr>
        <w:footnoteRef/>
      </w:r>
      <w:r>
        <w:t xml:space="preserve"> </w:t>
      </w:r>
      <w:r w:rsidRPr="00B32EFD">
        <w:rPr>
          <w:i/>
        </w:rPr>
        <w:t>See</w:t>
      </w:r>
      <w:r>
        <w:t xml:space="preserve"> DN 03423-2020, at p. </w:t>
      </w:r>
      <w:r w:rsidR="004B141B">
        <w:t>3 of UIF’s Application</w:t>
      </w:r>
      <w:r>
        <w:t>: “The revenue which the Company requests should be adjusted to incorporate the repression in the customer usage as a result of the rates established in this case, in accordance with the standard methodology as utilized by the Staff.”</w:t>
      </w:r>
      <w:r w:rsidR="000A5AF8">
        <w:t xml:space="preserve"> </w:t>
      </w:r>
      <w:r w:rsidR="000A5AF8" w:rsidRPr="00B32EFD">
        <w:rPr>
          <w:i/>
        </w:rPr>
        <w:t>See also</w:t>
      </w:r>
      <w:r w:rsidR="000A5AF8">
        <w:t xml:space="preserve"> FN7 above; these appear to be the sole references to repression made by UIF in this proceeding.</w:t>
      </w:r>
    </w:p>
  </w:footnote>
  <w:footnote w:id="17">
    <w:p w:rsidR="00792F39" w:rsidRDefault="00792F39" w:rsidP="003639F1">
      <w:pPr>
        <w:pStyle w:val="FootnoteText"/>
      </w:pPr>
      <w:r>
        <w:rPr>
          <w:rStyle w:val="FootnoteReference"/>
        </w:rPr>
        <w:footnoteRef/>
      </w:r>
      <w:r>
        <w:t xml:space="preserve"> </w:t>
      </w:r>
      <w:r w:rsidRPr="00F41BCF">
        <w:rPr>
          <w:i/>
          <w:iCs/>
        </w:rPr>
        <w:t xml:space="preserve">Florida Power Corp. v. </w:t>
      </w:r>
      <w:proofErr w:type="spellStart"/>
      <w:r w:rsidRPr="00F41BCF">
        <w:rPr>
          <w:i/>
          <w:iCs/>
        </w:rPr>
        <w:t>Cresse</w:t>
      </w:r>
      <w:proofErr w:type="spellEnd"/>
      <w:r w:rsidRPr="00F41BCF">
        <w:t>, 413 So. 2d 1187, 1191 (Fla. 1982)</w:t>
      </w:r>
      <w:r>
        <w:t>.</w:t>
      </w:r>
    </w:p>
  </w:footnote>
  <w:footnote w:id="18">
    <w:p w:rsidR="00792F39" w:rsidRDefault="00792F39" w:rsidP="00AA23D7">
      <w:pPr>
        <w:pStyle w:val="FootnoteText"/>
      </w:pPr>
      <w:r>
        <w:rPr>
          <w:rStyle w:val="FootnoteReference"/>
        </w:rPr>
        <w:footnoteRef/>
      </w:r>
      <w:r>
        <w:t xml:space="preserve"> </w:t>
      </w:r>
      <w:r w:rsidRPr="00977C9A">
        <w:rPr>
          <w:i/>
        </w:rPr>
        <w:t>Stewart Bonded Warehouse, Inc.</w:t>
      </w:r>
      <w:r>
        <w:t xml:space="preserve"> v. </w:t>
      </w:r>
      <w:r w:rsidRPr="0057371C">
        <w:rPr>
          <w:i/>
        </w:rPr>
        <w:t>Bevis</w:t>
      </w:r>
      <w:r>
        <w:t>, 294 So. 2d 315 (Fla. 1974).</w:t>
      </w:r>
    </w:p>
  </w:footnote>
  <w:footnote w:id="19">
    <w:p w:rsidR="00792F39" w:rsidRDefault="00792F39">
      <w:pPr>
        <w:pStyle w:val="FootnoteText"/>
      </w:pPr>
      <w:r>
        <w:rPr>
          <w:rStyle w:val="FootnoteReference"/>
        </w:rPr>
        <w:footnoteRef/>
      </w:r>
      <w:r>
        <w:t xml:space="preserve"> </w:t>
      </w:r>
      <w:r w:rsidRPr="00977C9A">
        <w:rPr>
          <w:i/>
        </w:rPr>
        <w:t>Id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F39" w:rsidRDefault="00792F39"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20200139-WS</w:t>
    </w:r>
    <w:bookmarkEnd w:id="15"/>
  </w:p>
  <w:p w:rsidR="00792F39" w:rsidRDefault="00792F39">
    <w:pPr>
      <w:pStyle w:val="Header"/>
    </w:pPr>
    <w:r>
      <w:t xml:space="preserve">Date: </w:t>
    </w:r>
    <w:r w:rsidRPr="00D31849">
      <w:fldChar w:fldCharType="begin"/>
    </w:r>
    <w:r w:rsidRPr="00D31849">
      <w:instrText xml:space="preserve"> REF FilingDate </w:instrText>
    </w:r>
    <w:r>
      <w:instrText xml:space="preserve"> \* MERGEFORMAT </w:instrText>
    </w:r>
    <w:r w:rsidRPr="00D31849">
      <w:fldChar w:fldCharType="separate"/>
    </w:r>
    <w:r w:rsidR="00F53B2A" w:rsidRPr="00D31849">
      <w:t>August 27, 2021</w:t>
    </w:r>
    <w:r w:rsidRPr="00D3184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F39" w:rsidRDefault="00792F39" w:rsidP="00220732">
    <w:pPr>
      <w:pStyle w:val="Header"/>
      <w:tabs>
        <w:tab w:val="clear" w:pos="4320"/>
        <w:tab w:val="clear" w:pos="8640"/>
        <w:tab w:val="right" w:pos="9360"/>
      </w:tabs>
    </w:pPr>
    <w:r>
      <w:fldChar w:fldCharType="begin"/>
    </w:r>
    <w:r>
      <w:instrText xml:space="preserve"> REF DocketLabel</w:instrText>
    </w:r>
    <w:r>
      <w:fldChar w:fldCharType="separate"/>
    </w:r>
    <w:r w:rsidR="00F53B2A">
      <w:t>Docket No.</w:t>
    </w:r>
    <w:r>
      <w:fldChar w:fldCharType="end"/>
    </w:r>
    <w:r>
      <w:t xml:space="preserve"> </w:t>
    </w:r>
    <w:r>
      <w:fldChar w:fldCharType="begin"/>
    </w:r>
    <w:r>
      <w:instrText xml:space="preserve"> REF DocketList</w:instrText>
    </w:r>
    <w:r>
      <w:fldChar w:fldCharType="separate"/>
    </w:r>
    <w:r w:rsidR="00F53B2A">
      <w:t>20200139-WS</w:t>
    </w:r>
    <w:r>
      <w:fldChar w:fldCharType="end"/>
    </w:r>
    <w:r>
      <w:tab/>
      <w:t xml:space="preserve">Issue </w:t>
    </w:r>
    <w:r w:rsidR="00BB4983">
      <w:fldChar w:fldCharType="begin"/>
    </w:r>
    <w:r w:rsidR="00BB4983">
      <w:instrText xml:space="preserve"> Seq Issue \c \* Arabic </w:instrText>
    </w:r>
    <w:r w:rsidR="00BB4983">
      <w:fldChar w:fldCharType="separate"/>
    </w:r>
    <w:r w:rsidR="00F53B2A">
      <w:rPr>
        <w:noProof/>
      </w:rPr>
      <w:t>2</w:t>
    </w:r>
    <w:r w:rsidR="00BB4983">
      <w:rPr>
        <w:noProof/>
      </w:rPr>
      <w:fldChar w:fldCharType="end"/>
    </w:r>
  </w:p>
  <w:p w:rsidR="00792F39" w:rsidRDefault="00792F39">
    <w:pPr>
      <w:pStyle w:val="Header"/>
    </w:pPr>
    <w:r>
      <w:t xml:space="preserve">Date: </w:t>
    </w:r>
    <w:r w:rsidR="00BB4983">
      <w:fldChar w:fldCharType="begin"/>
    </w:r>
    <w:r w:rsidR="00BB4983">
      <w:instrText xml:space="preserve"> REF FilingDate  \* MERGEFORMAT </w:instrText>
    </w:r>
    <w:r w:rsidR="00BB4983">
      <w:fldChar w:fldCharType="separate"/>
    </w:r>
    <w:r w:rsidR="00F53B2A" w:rsidRPr="00D31849">
      <w:t>August 27, 2021</w:t>
    </w:r>
    <w:r w:rsidR="00BB498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F39" w:rsidRDefault="00792F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F39" w:rsidRDefault="00792F39" w:rsidP="00220732">
    <w:pPr>
      <w:pStyle w:val="Header"/>
      <w:tabs>
        <w:tab w:val="clear" w:pos="4320"/>
        <w:tab w:val="clear" w:pos="8640"/>
        <w:tab w:val="right" w:pos="9360"/>
      </w:tabs>
    </w:pPr>
    <w:r>
      <w:fldChar w:fldCharType="begin"/>
    </w:r>
    <w:r>
      <w:instrText xml:space="preserve"> REF DocketLabel</w:instrText>
    </w:r>
    <w:r>
      <w:fldChar w:fldCharType="separate"/>
    </w:r>
    <w:r w:rsidR="00F53B2A">
      <w:t>Docket No.</w:t>
    </w:r>
    <w:r>
      <w:fldChar w:fldCharType="end"/>
    </w:r>
    <w:r>
      <w:t xml:space="preserve"> </w:t>
    </w:r>
    <w:r>
      <w:fldChar w:fldCharType="begin"/>
    </w:r>
    <w:r>
      <w:instrText xml:space="preserve"> REF DocketList</w:instrText>
    </w:r>
    <w:r>
      <w:fldChar w:fldCharType="separate"/>
    </w:r>
    <w:r w:rsidR="00F53B2A">
      <w:t>20200139-WS</w:t>
    </w:r>
    <w:r>
      <w:fldChar w:fldCharType="end"/>
    </w:r>
    <w:r>
      <w:tab/>
      <w:t xml:space="preserve">Issue </w:t>
    </w:r>
    <w:r w:rsidR="00BB4983">
      <w:fldChar w:fldCharType="begin"/>
    </w:r>
    <w:r w:rsidR="00BB4983">
      <w:instrText xml:space="preserve"> Seq Issue \c \* Arabic </w:instrText>
    </w:r>
    <w:r w:rsidR="00BB4983">
      <w:fldChar w:fldCharType="separate"/>
    </w:r>
    <w:r w:rsidR="00F53B2A">
      <w:rPr>
        <w:noProof/>
      </w:rPr>
      <w:t>3</w:t>
    </w:r>
    <w:r w:rsidR="00BB4983">
      <w:rPr>
        <w:noProof/>
      </w:rPr>
      <w:fldChar w:fldCharType="end"/>
    </w:r>
  </w:p>
  <w:p w:rsidR="00792F39" w:rsidRDefault="00792F39">
    <w:pPr>
      <w:pStyle w:val="Header"/>
    </w:pPr>
    <w:r>
      <w:t xml:space="preserve">Date: </w:t>
    </w:r>
    <w:r w:rsidRPr="004F1663">
      <w:fldChar w:fldCharType="begin"/>
    </w:r>
    <w:r w:rsidRPr="004F1663">
      <w:instrText xml:space="preserve"> REF FilingDate </w:instrText>
    </w:r>
    <w:r>
      <w:instrText xml:space="preserve"> \* MERGEFORMAT </w:instrText>
    </w:r>
    <w:r w:rsidRPr="004F1663">
      <w:fldChar w:fldCharType="separate"/>
    </w:r>
    <w:r w:rsidR="00F53B2A" w:rsidRPr="00D31849">
      <w:t>August 27, 2021</w:t>
    </w:r>
    <w:r w:rsidRPr="004F1663">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F39" w:rsidRDefault="00792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E2C4E"/>
    <w:rsid w:val="000043D5"/>
    <w:rsid w:val="00005E94"/>
    <w:rsid w:val="00006170"/>
    <w:rsid w:val="00010E37"/>
    <w:rsid w:val="000172DA"/>
    <w:rsid w:val="00017DB3"/>
    <w:rsid w:val="000247C5"/>
    <w:rsid w:val="000277C2"/>
    <w:rsid w:val="00035B48"/>
    <w:rsid w:val="00036CE2"/>
    <w:rsid w:val="000437FE"/>
    <w:rsid w:val="000500FF"/>
    <w:rsid w:val="000513BE"/>
    <w:rsid w:val="00054DBE"/>
    <w:rsid w:val="0005566B"/>
    <w:rsid w:val="00057F24"/>
    <w:rsid w:val="00065A06"/>
    <w:rsid w:val="000666F3"/>
    <w:rsid w:val="00070DCB"/>
    <w:rsid w:val="00072CCA"/>
    <w:rsid w:val="00073120"/>
    <w:rsid w:val="00075414"/>
    <w:rsid w:val="000764D0"/>
    <w:rsid w:val="000828D3"/>
    <w:rsid w:val="00092FB6"/>
    <w:rsid w:val="000A2B57"/>
    <w:rsid w:val="000A2C10"/>
    <w:rsid w:val="000A3FBB"/>
    <w:rsid w:val="000A418B"/>
    <w:rsid w:val="000A5AF8"/>
    <w:rsid w:val="000A5D65"/>
    <w:rsid w:val="000B3EFB"/>
    <w:rsid w:val="000B499B"/>
    <w:rsid w:val="000B7EA8"/>
    <w:rsid w:val="000C4431"/>
    <w:rsid w:val="000C6D6C"/>
    <w:rsid w:val="000D1C06"/>
    <w:rsid w:val="000D4319"/>
    <w:rsid w:val="000D542C"/>
    <w:rsid w:val="000F106A"/>
    <w:rsid w:val="000F374A"/>
    <w:rsid w:val="000F4FD6"/>
    <w:rsid w:val="001076AF"/>
    <w:rsid w:val="00117C8C"/>
    <w:rsid w:val="00124C38"/>
    <w:rsid w:val="00124E2E"/>
    <w:rsid w:val="00125ED4"/>
    <w:rsid w:val="001305E9"/>
    <w:rsid w:val="001307AF"/>
    <w:rsid w:val="00135687"/>
    <w:rsid w:val="001463C4"/>
    <w:rsid w:val="0015506E"/>
    <w:rsid w:val="00163031"/>
    <w:rsid w:val="00164DE4"/>
    <w:rsid w:val="00167EA3"/>
    <w:rsid w:val="00171A90"/>
    <w:rsid w:val="00180254"/>
    <w:rsid w:val="00182F5F"/>
    <w:rsid w:val="00191E1F"/>
    <w:rsid w:val="00192943"/>
    <w:rsid w:val="0019363E"/>
    <w:rsid w:val="001956CC"/>
    <w:rsid w:val="001A3380"/>
    <w:rsid w:val="001A531C"/>
    <w:rsid w:val="001A7406"/>
    <w:rsid w:val="001B1741"/>
    <w:rsid w:val="001B4FEE"/>
    <w:rsid w:val="001B51C5"/>
    <w:rsid w:val="001B6F3F"/>
    <w:rsid w:val="001B771F"/>
    <w:rsid w:val="001C2BFB"/>
    <w:rsid w:val="001C52B5"/>
    <w:rsid w:val="001D0D3E"/>
    <w:rsid w:val="001D34E5"/>
    <w:rsid w:val="001D7168"/>
    <w:rsid w:val="001F029C"/>
    <w:rsid w:val="001F2245"/>
    <w:rsid w:val="001F2C63"/>
    <w:rsid w:val="001F48C7"/>
    <w:rsid w:val="001F6DA1"/>
    <w:rsid w:val="001F75EA"/>
    <w:rsid w:val="002014B3"/>
    <w:rsid w:val="002043D0"/>
    <w:rsid w:val="002044E6"/>
    <w:rsid w:val="0020498A"/>
    <w:rsid w:val="00205C82"/>
    <w:rsid w:val="00205DC2"/>
    <w:rsid w:val="00212B17"/>
    <w:rsid w:val="002163B6"/>
    <w:rsid w:val="00220732"/>
    <w:rsid w:val="00221D32"/>
    <w:rsid w:val="00224DD3"/>
    <w:rsid w:val="00225C3F"/>
    <w:rsid w:val="00232B0C"/>
    <w:rsid w:val="00263D44"/>
    <w:rsid w:val="002702AD"/>
    <w:rsid w:val="00275EC2"/>
    <w:rsid w:val="00286339"/>
    <w:rsid w:val="00292D82"/>
    <w:rsid w:val="002963CB"/>
    <w:rsid w:val="002A1C2A"/>
    <w:rsid w:val="002B4A01"/>
    <w:rsid w:val="002B62D0"/>
    <w:rsid w:val="002D1A31"/>
    <w:rsid w:val="002D226D"/>
    <w:rsid w:val="002E2823"/>
    <w:rsid w:val="002E5B12"/>
    <w:rsid w:val="002F048F"/>
    <w:rsid w:val="002F0631"/>
    <w:rsid w:val="002F6030"/>
    <w:rsid w:val="0030226D"/>
    <w:rsid w:val="003037E1"/>
    <w:rsid w:val="00307E51"/>
    <w:rsid w:val="003103B7"/>
    <w:rsid w:val="003103EC"/>
    <w:rsid w:val="003144EF"/>
    <w:rsid w:val="00322F74"/>
    <w:rsid w:val="00325048"/>
    <w:rsid w:val="003369DB"/>
    <w:rsid w:val="00336FCC"/>
    <w:rsid w:val="00340073"/>
    <w:rsid w:val="0034675B"/>
    <w:rsid w:val="003476E9"/>
    <w:rsid w:val="003632FD"/>
    <w:rsid w:val="003639F1"/>
    <w:rsid w:val="0036491A"/>
    <w:rsid w:val="00372805"/>
    <w:rsid w:val="00372A06"/>
    <w:rsid w:val="00373180"/>
    <w:rsid w:val="00375AB9"/>
    <w:rsid w:val="00377FBE"/>
    <w:rsid w:val="003821A0"/>
    <w:rsid w:val="00385B04"/>
    <w:rsid w:val="003864CF"/>
    <w:rsid w:val="00390F56"/>
    <w:rsid w:val="003948AE"/>
    <w:rsid w:val="003A22A6"/>
    <w:rsid w:val="003A5494"/>
    <w:rsid w:val="003B0A00"/>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27AED"/>
    <w:rsid w:val="00431598"/>
    <w:rsid w:val="00431664"/>
    <w:rsid w:val="004319AD"/>
    <w:rsid w:val="00435396"/>
    <w:rsid w:val="00442670"/>
    <w:rsid w:val="004426B8"/>
    <w:rsid w:val="00444432"/>
    <w:rsid w:val="0044674D"/>
    <w:rsid w:val="004617CE"/>
    <w:rsid w:val="0046348D"/>
    <w:rsid w:val="00464762"/>
    <w:rsid w:val="00471860"/>
    <w:rsid w:val="00473507"/>
    <w:rsid w:val="00476E46"/>
    <w:rsid w:val="00477026"/>
    <w:rsid w:val="00494C8B"/>
    <w:rsid w:val="004A744D"/>
    <w:rsid w:val="004B0757"/>
    <w:rsid w:val="004B141B"/>
    <w:rsid w:val="004B185B"/>
    <w:rsid w:val="004B60BD"/>
    <w:rsid w:val="004C3150"/>
    <w:rsid w:val="004C3641"/>
    <w:rsid w:val="004C4390"/>
    <w:rsid w:val="004C4AF7"/>
    <w:rsid w:val="004D2881"/>
    <w:rsid w:val="004D36EC"/>
    <w:rsid w:val="004D385F"/>
    <w:rsid w:val="004D5B39"/>
    <w:rsid w:val="004E330D"/>
    <w:rsid w:val="004E5147"/>
    <w:rsid w:val="004E582E"/>
    <w:rsid w:val="004E62D1"/>
    <w:rsid w:val="004E69B5"/>
    <w:rsid w:val="004F1663"/>
    <w:rsid w:val="004F5C43"/>
    <w:rsid w:val="005012D3"/>
    <w:rsid w:val="00505A20"/>
    <w:rsid w:val="0050652D"/>
    <w:rsid w:val="00506C03"/>
    <w:rsid w:val="0051083A"/>
    <w:rsid w:val="005112AF"/>
    <w:rsid w:val="00511A11"/>
    <w:rsid w:val="00516496"/>
    <w:rsid w:val="00523B11"/>
    <w:rsid w:val="0052572A"/>
    <w:rsid w:val="00532DFB"/>
    <w:rsid w:val="00543CB3"/>
    <w:rsid w:val="005442E4"/>
    <w:rsid w:val="00545976"/>
    <w:rsid w:val="0055529B"/>
    <w:rsid w:val="00560FF0"/>
    <w:rsid w:val="005614BD"/>
    <w:rsid w:val="005667B6"/>
    <w:rsid w:val="0057154F"/>
    <w:rsid w:val="0057371C"/>
    <w:rsid w:val="00580F69"/>
    <w:rsid w:val="00581CA3"/>
    <w:rsid w:val="00587A44"/>
    <w:rsid w:val="00587DD2"/>
    <w:rsid w:val="00592B4E"/>
    <w:rsid w:val="00597730"/>
    <w:rsid w:val="005977EC"/>
    <w:rsid w:val="00597DE7"/>
    <w:rsid w:val="005A4AA2"/>
    <w:rsid w:val="005B34B6"/>
    <w:rsid w:val="005B37F8"/>
    <w:rsid w:val="005B6C8F"/>
    <w:rsid w:val="005B6EC3"/>
    <w:rsid w:val="005C1026"/>
    <w:rsid w:val="005D0F74"/>
    <w:rsid w:val="005D2E7D"/>
    <w:rsid w:val="005D4A8F"/>
    <w:rsid w:val="005D561B"/>
    <w:rsid w:val="005D5ECF"/>
    <w:rsid w:val="005E3D68"/>
    <w:rsid w:val="005E442F"/>
    <w:rsid w:val="005F468D"/>
    <w:rsid w:val="005F69A3"/>
    <w:rsid w:val="00601CEF"/>
    <w:rsid w:val="006029E8"/>
    <w:rsid w:val="00604CC7"/>
    <w:rsid w:val="00615423"/>
    <w:rsid w:val="006165B2"/>
    <w:rsid w:val="00617276"/>
    <w:rsid w:val="00617B91"/>
    <w:rsid w:val="0062134E"/>
    <w:rsid w:val="0062527B"/>
    <w:rsid w:val="00625D97"/>
    <w:rsid w:val="00625F1C"/>
    <w:rsid w:val="006279E1"/>
    <w:rsid w:val="00630CEB"/>
    <w:rsid w:val="00632264"/>
    <w:rsid w:val="00633959"/>
    <w:rsid w:val="006416FE"/>
    <w:rsid w:val="006437BA"/>
    <w:rsid w:val="006470BC"/>
    <w:rsid w:val="006525C7"/>
    <w:rsid w:val="00652D75"/>
    <w:rsid w:val="006554D3"/>
    <w:rsid w:val="00667036"/>
    <w:rsid w:val="00673BDB"/>
    <w:rsid w:val="00674341"/>
    <w:rsid w:val="006771B8"/>
    <w:rsid w:val="00677D7F"/>
    <w:rsid w:val="006807AC"/>
    <w:rsid w:val="006843B6"/>
    <w:rsid w:val="0068481F"/>
    <w:rsid w:val="00687B03"/>
    <w:rsid w:val="0069111D"/>
    <w:rsid w:val="00692337"/>
    <w:rsid w:val="00693CD9"/>
    <w:rsid w:val="00696F5D"/>
    <w:rsid w:val="00697249"/>
    <w:rsid w:val="006A0FDF"/>
    <w:rsid w:val="006A6899"/>
    <w:rsid w:val="006B0D12"/>
    <w:rsid w:val="006B3947"/>
    <w:rsid w:val="006B4293"/>
    <w:rsid w:val="006B624F"/>
    <w:rsid w:val="006B7092"/>
    <w:rsid w:val="006B7C62"/>
    <w:rsid w:val="006C09B4"/>
    <w:rsid w:val="006C0C95"/>
    <w:rsid w:val="006C31E3"/>
    <w:rsid w:val="006D0835"/>
    <w:rsid w:val="006D18D3"/>
    <w:rsid w:val="006D37DA"/>
    <w:rsid w:val="006E08CB"/>
    <w:rsid w:val="006E092A"/>
    <w:rsid w:val="006E3617"/>
    <w:rsid w:val="006E598D"/>
    <w:rsid w:val="0070437D"/>
    <w:rsid w:val="00704CF1"/>
    <w:rsid w:val="00705B04"/>
    <w:rsid w:val="007115E4"/>
    <w:rsid w:val="00724992"/>
    <w:rsid w:val="00734820"/>
    <w:rsid w:val="007349DC"/>
    <w:rsid w:val="0074365E"/>
    <w:rsid w:val="00744B55"/>
    <w:rsid w:val="007515FD"/>
    <w:rsid w:val="00754DB1"/>
    <w:rsid w:val="0075641B"/>
    <w:rsid w:val="00760D80"/>
    <w:rsid w:val="007624D1"/>
    <w:rsid w:val="007671D8"/>
    <w:rsid w:val="00780A66"/>
    <w:rsid w:val="00780C09"/>
    <w:rsid w:val="00780DDF"/>
    <w:rsid w:val="007834E9"/>
    <w:rsid w:val="007858A2"/>
    <w:rsid w:val="00787DBC"/>
    <w:rsid w:val="0079019A"/>
    <w:rsid w:val="00792935"/>
    <w:rsid w:val="007929DB"/>
    <w:rsid w:val="00792F39"/>
    <w:rsid w:val="007A04A1"/>
    <w:rsid w:val="007A1840"/>
    <w:rsid w:val="007A5763"/>
    <w:rsid w:val="007B174A"/>
    <w:rsid w:val="007B1A7D"/>
    <w:rsid w:val="007C0528"/>
    <w:rsid w:val="007C1A17"/>
    <w:rsid w:val="007C3D38"/>
    <w:rsid w:val="007D0F35"/>
    <w:rsid w:val="007D2A47"/>
    <w:rsid w:val="007D4FEB"/>
    <w:rsid w:val="007D6146"/>
    <w:rsid w:val="007E0CE7"/>
    <w:rsid w:val="007F1193"/>
    <w:rsid w:val="007F417F"/>
    <w:rsid w:val="007F7644"/>
    <w:rsid w:val="007F7B15"/>
    <w:rsid w:val="00800EA5"/>
    <w:rsid w:val="00803038"/>
    <w:rsid w:val="008042BD"/>
    <w:rsid w:val="00816624"/>
    <w:rsid w:val="00822427"/>
    <w:rsid w:val="00822562"/>
    <w:rsid w:val="00823663"/>
    <w:rsid w:val="00832DDC"/>
    <w:rsid w:val="008407B9"/>
    <w:rsid w:val="00850BAC"/>
    <w:rsid w:val="00854A3E"/>
    <w:rsid w:val="00855D08"/>
    <w:rsid w:val="00874344"/>
    <w:rsid w:val="00882155"/>
    <w:rsid w:val="0088233B"/>
    <w:rsid w:val="00885264"/>
    <w:rsid w:val="0088599E"/>
    <w:rsid w:val="00886C37"/>
    <w:rsid w:val="00892D99"/>
    <w:rsid w:val="00893315"/>
    <w:rsid w:val="008953C7"/>
    <w:rsid w:val="008A2E7C"/>
    <w:rsid w:val="008A3DAE"/>
    <w:rsid w:val="008B1816"/>
    <w:rsid w:val="008B62AE"/>
    <w:rsid w:val="008B6C6C"/>
    <w:rsid w:val="008C04B5"/>
    <w:rsid w:val="008C10F9"/>
    <w:rsid w:val="008C14FA"/>
    <w:rsid w:val="008C5BA2"/>
    <w:rsid w:val="008C7B0B"/>
    <w:rsid w:val="008D1E35"/>
    <w:rsid w:val="008D3F54"/>
    <w:rsid w:val="008D4057"/>
    <w:rsid w:val="008E1F19"/>
    <w:rsid w:val="008E3416"/>
    <w:rsid w:val="008F2262"/>
    <w:rsid w:val="008F4D2B"/>
    <w:rsid w:val="008F71F5"/>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3AA0"/>
    <w:rsid w:val="00934D6F"/>
    <w:rsid w:val="0093658B"/>
    <w:rsid w:val="00941E02"/>
    <w:rsid w:val="0094222B"/>
    <w:rsid w:val="009429FF"/>
    <w:rsid w:val="00945BD6"/>
    <w:rsid w:val="00945D77"/>
    <w:rsid w:val="009479FB"/>
    <w:rsid w:val="00951C45"/>
    <w:rsid w:val="00955E00"/>
    <w:rsid w:val="009656F2"/>
    <w:rsid w:val="00966A08"/>
    <w:rsid w:val="009671B4"/>
    <w:rsid w:val="00971207"/>
    <w:rsid w:val="00975CB4"/>
    <w:rsid w:val="00977C9A"/>
    <w:rsid w:val="009803B0"/>
    <w:rsid w:val="009863B0"/>
    <w:rsid w:val="00987DE1"/>
    <w:rsid w:val="00990571"/>
    <w:rsid w:val="0099673A"/>
    <w:rsid w:val="00996D68"/>
    <w:rsid w:val="009A0BB1"/>
    <w:rsid w:val="009A3330"/>
    <w:rsid w:val="009A7C96"/>
    <w:rsid w:val="009B129F"/>
    <w:rsid w:val="009B4DA2"/>
    <w:rsid w:val="009C3DB9"/>
    <w:rsid w:val="009C6823"/>
    <w:rsid w:val="009D46E5"/>
    <w:rsid w:val="009D568A"/>
    <w:rsid w:val="009E5456"/>
    <w:rsid w:val="009F04EC"/>
    <w:rsid w:val="009F2A7C"/>
    <w:rsid w:val="009F3B36"/>
    <w:rsid w:val="009F4915"/>
    <w:rsid w:val="00A019B9"/>
    <w:rsid w:val="00A10DA6"/>
    <w:rsid w:val="00A12508"/>
    <w:rsid w:val="00A1282B"/>
    <w:rsid w:val="00A13A27"/>
    <w:rsid w:val="00A175B6"/>
    <w:rsid w:val="00A21835"/>
    <w:rsid w:val="00A2374B"/>
    <w:rsid w:val="00A27D6E"/>
    <w:rsid w:val="00A31E4D"/>
    <w:rsid w:val="00A328EC"/>
    <w:rsid w:val="00A33A51"/>
    <w:rsid w:val="00A41CA6"/>
    <w:rsid w:val="00A47927"/>
    <w:rsid w:val="00A47FFC"/>
    <w:rsid w:val="00A50FAC"/>
    <w:rsid w:val="00A5442F"/>
    <w:rsid w:val="00A54FF9"/>
    <w:rsid w:val="00A56366"/>
    <w:rsid w:val="00A56765"/>
    <w:rsid w:val="00A57724"/>
    <w:rsid w:val="00A61EDE"/>
    <w:rsid w:val="00A63FA8"/>
    <w:rsid w:val="00A675AC"/>
    <w:rsid w:val="00A7581F"/>
    <w:rsid w:val="00A85DD7"/>
    <w:rsid w:val="00A92FB1"/>
    <w:rsid w:val="00A95A0C"/>
    <w:rsid w:val="00AA221C"/>
    <w:rsid w:val="00AA23D7"/>
    <w:rsid w:val="00AA2765"/>
    <w:rsid w:val="00AA77B5"/>
    <w:rsid w:val="00AB6C5D"/>
    <w:rsid w:val="00AC3401"/>
    <w:rsid w:val="00AC51A7"/>
    <w:rsid w:val="00AD444B"/>
    <w:rsid w:val="00AD5614"/>
    <w:rsid w:val="00AD6C78"/>
    <w:rsid w:val="00AE2EAB"/>
    <w:rsid w:val="00AF3249"/>
    <w:rsid w:val="00AF5F89"/>
    <w:rsid w:val="00AF73CB"/>
    <w:rsid w:val="00B002D6"/>
    <w:rsid w:val="00B03379"/>
    <w:rsid w:val="00B05B51"/>
    <w:rsid w:val="00B1269E"/>
    <w:rsid w:val="00B14513"/>
    <w:rsid w:val="00B14E5A"/>
    <w:rsid w:val="00B15370"/>
    <w:rsid w:val="00B16DA4"/>
    <w:rsid w:val="00B17BEB"/>
    <w:rsid w:val="00B21A3C"/>
    <w:rsid w:val="00B223C0"/>
    <w:rsid w:val="00B234ED"/>
    <w:rsid w:val="00B249B2"/>
    <w:rsid w:val="00B25CA3"/>
    <w:rsid w:val="00B2765A"/>
    <w:rsid w:val="00B3109A"/>
    <w:rsid w:val="00B3221A"/>
    <w:rsid w:val="00B325E1"/>
    <w:rsid w:val="00B32EFD"/>
    <w:rsid w:val="00B3561C"/>
    <w:rsid w:val="00B516ED"/>
    <w:rsid w:val="00B57A6A"/>
    <w:rsid w:val="00B7382F"/>
    <w:rsid w:val="00B760F1"/>
    <w:rsid w:val="00B7669E"/>
    <w:rsid w:val="00B77DA1"/>
    <w:rsid w:val="00B8160A"/>
    <w:rsid w:val="00B822A0"/>
    <w:rsid w:val="00B858AE"/>
    <w:rsid w:val="00B85964"/>
    <w:rsid w:val="00B86F0E"/>
    <w:rsid w:val="00B945A8"/>
    <w:rsid w:val="00B96250"/>
    <w:rsid w:val="00BA0D55"/>
    <w:rsid w:val="00BA37B3"/>
    <w:rsid w:val="00BA4CC6"/>
    <w:rsid w:val="00BB3493"/>
    <w:rsid w:val="00BB7468"/>
    <w:rsid w:val="00BC188A"/>
    <w:rsid w:val="00BC402E"/>
    <w:rsid w:val="00BC7F29"/>
    <w:rsid w:val="00BD0F48"/>
    <w:rsid w:val="00BD2252"/>
    <w:rsid w:val="00BD26F8"/>
    <w:rsid w:val="00BD2B8D"/>
    <w:rsid w:val="00BE0810"/>
    <w:rsid w:val="00BE6DDB"/>
    <w:rsid w:val="00BF5010"/>
    <w:rsid w:val="00C03D5F"/>
    <w:rsid w:val="00C04E14"/>
    <w:rsid w:val="00C05A9A"/>
    <w:rsid w:val="00C12913"/>
    <w:rsid w:val="00C13791"/>
    <w:rsid w:val="00C25118"/>
    <w:rsid w:val="00C25E1A"/>
    <w:rsid w:val="00C30E39"/>
    <w:rsid w:val="00C31BB3"/>
    <w:rsid w:val="00C36977"/>
    <w:rsid w:val="00C467DA"/>
    <w:rsid w:val="00C477D9"/>
    <w:rsid w:val="00C60BA3"/>
    <w:rsid w:val="00C623F7"/>
    <w:rsid w:val="00C62A81"/>
    <w:rsid w:val="00C65411"/>
    <w:rsid w:val="00C75BC5"/>
    <w:rsid w:val="00C81670"/>
    <w:rsid w:val="00C81773"/>
    <w:rsid w:val="00C82579"/>
    <w:rsid w:val="00C82861"/>
    <w:rsid w:val="00C83CBD"/>
    <w:rsid w:val="00C86896"/>
    <w:rsid w:val="00C86A8A"/>
    <w:rsid w:val="00C907A8"/>
    <w:rsid w:val="00C93211"/>
    <w:rsid w:val="00C942EC"/>
    <w:rsid w:val="00C96047"/>
    <w:rsid w:val="00C979D0"/>
    <w:rsid w:val="00CA0818"/>
    <w:rsid w:val="00CA15C8"/>
    <w:rsid w:val="00CA2C8F"/>
    <w:rsid w:val="00CA30DA"/>
    <w:rsid w:val="00CA3A24"/>
    <w:rsid w:val="00CA3DCD"/>
    <w:rsid w:val="00CB1777"/>
    <w:rsid w:val="00CB33E9"/>
    <w:rsid w:val="00CB4012"/>
    <w:rsid w:val="00CB4399"/>
    <w:rsid w:val="00CC10A9"/>
    <w:rsid w:val="00CC4101"/>
    <w:rsid w:val="00CD09C6"/>
    <w:rsid w:val="00CD49D7"/>
    <w:rsid w:val="00CD69C5"/>
    <w:rsid w:val="00CE2BF8"/>
    <w:rsid w:val="00CE484E"/>
    <w:rsid w:val="00CE656F"/>
    <w:rsid w:val="00CF0DA8"/>
    <w:rsid w:val="00CF2E25"/>
    <w:rsid w:val="00CF4270"/>
    <w:rsid w:val="00CF4453"/>
    <w:rsid w:val="00CF5D94"/>
    <w:rsid w:val="00CF5DE9"/>
    <w:rsid w:val="00CF7E0F"/>
    <w:rsid w:val="00D034D7"/>
    <w:rsid w:val="00D04BE4"/>
    <w:rsid w:val="00D06D0D"/>
    <w:rsid w:val="00D06FC7"/>
    <w:rsid w:val="00D12565"/>
    <w:rsid w:val="00D14127"/>
    <w:rsid w:val="00D14FCD"/>
    <w:rsid w:val="00D16CA3"/>
    <w:rsid w:val="00D22DB0"/>
    <w:rsid w:val="00D31849"/>
    <w:rsid w:val="00D31F9A"/>
    <w:rsid w:val="00D35051"/>
    <w:rsid w:val="00D60B16"/>
    <w:rsid w:val="00D60F02"/>
    <w:rsid w:val="00D66E49"/>
    <w:rsid w:val="00D70D71"/>
    <w:rsid w:val="00D72F74"/>
    <w:rsid w:val="00D81563"/>
    <w:rsid w:val="00D82523"/>
    <w:rsid w:val="00D85907"/>
    <w:rsid w:val="00D9073E"/>
    <w:rsid w:val="00D9163B"/>
    <w:rsid w:val="00D9221D"/>
    <w:rsid w:val="00D958DF"/>
    <w:rsid w:val="00D96DA1"/>
    <w:rsid w:val="00DA1C44"/>
    <w:rsid w:val="00DA51E7"/>
    <w:rsid w:val="00DA5A7E"/>
    <w:rsid w:val="00DB0260"/>
    <w:rsid w:val="00DB1C78"/>
    <w:rsid w:val="00DB4925"/>
    <w:rsid w:val="00DB6649"/>
    <w:rsid w:val="00DB6EE0"/>
    <w:rsid w:val="00DB7D96"/>
    <w:rsid w:val="00DC23FE"/>
    <w:rsid w:val="00DC59E6"/>
    <w:rsid w:val="00DC68EC"/>
    <w:rsid w:val="00DD150B"/>
    <w:rsid w:val="00DD5025"/>
    <w:rsid w:val="00DE6B51"/>
    <w:rsid w:val="00DF0FB2"/>
    <w:rsid w:val="00DF1510"/>
    <w:rsid w:val="00DF533C"/>
    <w:rsid w:val="00E0246D"/>
    <w:rsid w:val="00E02F1F"/>
    <w:rsid w:val="00E06484"/>
    <w:rsid w:val="00E15F8A"/>
    <w:rsid w:val="00E20A7D"/>
    <w:rsid w:val="00E26F8E"/>
    <w:rsid w:val="00E275D8"/>
    <w:rsid w:val="00E30F6A"/>
    <w:rsid w:val="00E3117C"/>
    <w:rsid w:val="00E375CA"/>
    <w:rsid w:val="00E44EF5"/>
    <w:rsid w:val="00E5364F"/>
    <w:rsid w:val="00E567E8"/>
    <w:rsid w:val="00E57402"/>
    <w:rsid w:val="00E64679"/>
    <w:rsid w:val="00E65EBC"/>
    <w:rsid w:val="00E677FE"/>
    <w:rsid w:val="00E73040"/>
    <w:rsid w:val="00E73432"/>
    <w:rsid w:val="00E754E1"/>
    <w:rsid w:val="00E77760"/>
    <w:rsid w:val="00E77B0C"/>
    <w:rsid w:val="00E77FB8"/>
    <w:rsid w:val="00E81CC0"/>
    <w:rsid w:val="00E838B0"/>
    <w:rsid w:val="00E86A7C"/>
    <w:rsid w:val="00E878E1"/>
    <w:rsid w:val="00E87F2C"/>
    <w:rsid w:val="00E95278"/>
    <w:rsid w:val="00EA2273"/>
    <w:rsid w:val="00EA43F8"/>
    <w:rsid w:val="00EA7C3C"/>
    <w:rsid w:val="00EB2DB3"/>
    <w:rsid w:val="00EB65F0"/>
    <w:rsid w:val="00EC3FBB"/>
    <w:rsid w:val="00EC6B7A"/>
    <w:rsid w:val="00ED077C"/>
    <w:rsid w:val="00ED3A87"/>
    <w:rsid w:val="00ED5B67"/>
    <w:rsid w:val="00EE2C4E"/>
    <w:rsid w:val="00EF264C"/>
    <w:rsid w:val="00EF3FEE"/>
    <w:rsid w:val="00F04B59"/>
    <w:rsid w:val="00F11741"/>
    <w:rsid w:val="00F12B1C"/>
    <w:rsid w:val="00F12B2F"/>
    <w:rsid w:val="00F13CF8"/>
    <w:rsid w:val="00F15855"/>
    <w:rsid w:val="00F200B2"/>
    <w:rsid w:val="00F227DC"/>
    <w:rsid w:val="00F23545"/>
    <w:rsid w:val="00F32978"/>
    <w:rsid w:val="00F33B06"/>
    <w:rsid w:val="00F33C35"/>
    <w:rsid w:val="00F346A4"/>
    <w:rsid w:val="00F364A2"/>
    <w:rsid w:val="00F41BCF"/>
    <w:rsid w:val="00F45CB2"/>
    <w:rsid w:val="00F46E3A"/>
    <w:rsid w:val="00F53B2A"/>
    <w:rsid w:val="00F544C0"/>
    <w:rsid w:val="00F55332"/>
    <w:rsid w:val="00F6504A"/>
    <w:rsid w:val="00F65519"/>
    <w:rsid w:val="00F65FBC"/>
    <w:rsid w:val="00F66A78"/>
    <w:rsid w:val="00F67186"/>
    <w:rsid w:val="00F713C0"/>
    <w:rsid w:val="00F71934"/>
    <w:rsid w:val="00F71FF6"/>
    <w:rsid w:val="00F75DDC"/>
    <w:rsid w:val="00F7792F"/>
    <w:rsid w:val="00F8204A"/>
    <w:rsid w:val="00F842AA"/>
    <w:rsid w:val="00F8476F"/>
    <w:rsid w:val="00F853E1"/>
    <w:rsid w:val="00F85604"/>
    <w:rsid w:val="00F925FD"/>
    <w:rsid w:val="00F94B7A"/>
    <w:rsid w:val="00FA17AC"/>
    <w:rsid w:val="00FA32DE"/>
    <w:rsid w:val="00FA3382"/>
    <w:rsid w:val="00FA3E44"/>
    <w:rsid w:val="00FA59CD"/>
    <w:rsid w:val="00FB1740"/>
    <w:rsid w:val="00FC1ED9"/>
    <w:rsid w:val="00FC5469"/>
    <w:rsid w:val="00FC6D7D"/>
    <w:rsid w:val="00FD16B0"/>
    <w:rsid w:val="00FD290B"/>
    <w:rsid w:val="00FD4FED"/>
    <w:rsid w:val="00FE0577"/>
    <w:rsid w:val="00FE59EC"/>
    <w:rsid w:val="00FE5B67"/>
    <w:rsid w:val="00FE60D6"/>
    <w:rsid w:val="00FF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09A02861"/>
  <w15:docId w15:val="{FB145FC2-1348-441A-BBAE-31B7F62D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9803B0"/>
    <w:rPr>
      <w:vertAlign w:val="superscript"/>
    </w:rPr>
  </w:style>
  <w:style w:type="character" w:customStyle="1" w:styleId="FootnoteTextChar">
    <w:name w:val="Footnote Text Char"/>
    <w:basedOn w:val="DefaultParagraphFont"/>
    <w:link w:val="FootnoteText"/>
    <w:rsid w:val="009803B0"/>
  </w:style>
  <w:style w:type="paragraph" w:customStyle="1" w:styleId="CenterUnderline">
    <w:name w:val="CenterUnderline"/>
    <w:basedOn w:val="Normal"/>
    <w:rsid w:val="00885264"/>
    <w:pPr>
      <w:jc w:val="center"/>
    </w:pPr>
    <w:rPr>
      <w:u w:val="single"/>
    </w:rPr>
  </w:style>
  <w:style w:type="character" w:customStyle="1" w:styleId="OrderBodyChar">
    <w:name w:val="Order Body Char"/>
    <w:basedOn w:val="DefaultParagraphFont"/>
    <w:link w:val="OrderBody"/>
    <w:locked/>
    <w:rsid w:val="0044674D"/>
  </w:style>
  <w:style w:type="paragraph" w:customStyle="1" w:styleId="OrderBody">
    <w:name w:val="Order Body"/>
    <w:basedOn w:val="Normal"/>
    <w:link w:val="OrderBodyChar"/>
    <w:rsid w:val="0044674D"/>
    <w:pPr>
      <w:jc w:val="both"/>
    </w:pPr>
    <w:rPr>
      <w:sz w:val="20"/>
      <w:szCs w:val="20"/>
    </w:rPr>
  </w:style>
  <w:style w:type="character" w:styleId="CommentReference">
    <w:name w:val="annotation reference"/>
    <w:basedOn w:val="DefaultParagraphFont"/>
    <w:semiHidden/>
    <w:unhideWhenUsed/>
    <w:rsid w:val="00687B03"/>
    <w:rPr>
      <w:sz w:val="16"/>
      <w:szCs w:val="16"/>
    </w:rPr>
  </w:style>
  <w:style w:type="paragraph" w:styleId="Revision">
    <w:name w:val="Revision"/>
    <w:hidden/>
    <w:uiPriority w:val="99"/>
    <w:semiHidden/>
    <w:rsid w:val="001956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22443">
      <w:bodyDiv w:val="1"/>
      <w:marLeft w:val="0"/>
      <w:marRight w:val="0"/>
      <w:marTop w:val="0"/>
      <w:marBottom w:val="0"/>
      <w:divBdr>
        <w:top w:val="none" w:sz="0" w:space="0" w:color="auto"/>
        <w:left w:val="none" w:sz="0" w:space="0" w:color="auto"/>
        <w:bottom w:val="none" w:sz="0" w:space="0" w:color="auto"/>
        <w:right w:val="none" w:sz="0" w:space="0" w:color="auto"/>
      </w:divBdr>
    </w:div>
    <w:div w:id="843931261">
      <w:bodyDiv w:val="1"/>
      <w:marLeft w:val="0"/>
      <w:marRight w:val="0"/>
      <w:marTop w:val="0"/>
      <w:marBottom w:val="0"/>
      <w:divBdr>
        <w:top w:val="none" w:sz="0" w:space="0" w:color="auto"/>
        <w:left w:val="none" w:sz="0" w:space="0" w:color="auto"/>
        <w:bottom w:val="none" w:sz="0" w:space="0" w:color="auto"/>
        <w:right w:val="none" w:sz="0" w:space="0" w:color="auto"/>
      </w:divBdr>
    </w:div>
    <w:div w:id="1310136162">
      <w:bodyDiv w:val="1"/>
      <w:marLeft w:val="0"/>
      <w:marRight w:val="0"/>
      <w:marTop w:val="0"/>
      <w:marBottom w:val="0"/>
      <w:divBdr>
        <w:top w:val="none" w:sz="0" w:space="0" w:color="auto"/>
        <w:left w:val="none" w:sz="0" w:space="0" w:color="auto"/>
        <w:bottom w:val="none" w:sz="0" w:space="0" w:color="auto"/>
        <w:right w:val="none" w:sz="0" w:space="0" w:color="auto"/>
      </w:divBdr>
    </w:div>
    <w:div w:id="1411544275">
      <w:bodyDiv w:val="1"/>
      <w:marLeft w:val="0"/>
      <w:marRight w:val="0"/>
      <w:marTop w:val="0"/>
      <w:marBottom w:val="0"/>
      <w:divBdr>
        <w:top w:val="none" w:sz="0" w:space="0" w:color="auto"/>
        <w:left w:val="none" w:sz="0" w:space="0" w:color="auto"/>
        <w:bottom w:val="none" w:sz="0" w:space="0" w:color="auto"/>
        <w:right w:val="none" w:sz="0" w:space="0" w:color="auto"/>
      </w:divBdr>
    </w:div>
    <w:div w:id="1486627925">
      <w:bodyDiv w:val="1"/>
      <w:marLeft w:val="0"/>
      <w:marRight w:val="0"/>
      <w:marTop w:val="0"/>
      <w:marBottom w:val="0"/>
      <w:divBdr>
        <w:top w:val="none" w:sz="0" w:space="0" w:color="auto"/>
        <w:left w:val="none" w:sz="0" w:space="0" w:color="auto"/>
        <w:bottom w:val="none" w:sz="0" w:space="0" w:color="auto"/>
        <w:right w:val="none" w:sz="0" w:space="0" w:color="auto"/>
      </w:divBdr>
    </w:div>
    <w:div w:id="1509905963">
      <w:bodyDiv w:val="1"/>
      <w:marLeft w:val="0"/>
      <w:marRight w:val="0"/>
      <w:marTop w:val="0"/>
      <w:marBottom w:val="0"/>
      <w:divBdr>
        <w:top w:val="none" w:sz="0" w:space="0" w:color="auto"/>
        <w:left w:val="none" w:sz="0" w:space="0" w:color="auto"/>
        <w:bottom w:val="none" w:sz="0" w:space="0" w:color="auto"/>
        <w:right w:val="none" w:sz="0" w:space="0" w:color="auto"/>
      </w:divBdr>
    </w:div>
    <w:div w:id="1847937050">
      <w:bodyDiv w:val="1"/>
      <w:marLeft w:val="0"/>
      <w:marRight w:val="0"/>
      <w:marTop w:val="0"/>
      <w:marBottom w:val="0"/>
      <w:divBdr>
        <w:top w:val="none" w:sz="0" w:space="0" w:color="auto"/>
        <w:left w:val="none" w:sz="0" w:space="0" w:color="auto"/>
        <w:bottom w:val="none" w:sz="0" w:space="0" w:color="auto"/>
        <w:right w:val="none" w:sz="0" w:space="0" w:color="auto"/>
      </w:divBdr>
    </w:div>
    <w:div w:id="188555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F764E-54D0-4DBE-A941-9D21065C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9</Pages>
  <Words>3110</Words>
  <Characters>17073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Nancy Harrison</dc:creator>
  <cp:lastModifiedBy>Melinda Marzicola</cp:lastModifiedBy>
  <cp:revision>2</cp:revision>
  <cp:lastPrinted>2021-08-27T15:12:00Z</cp:lastPrinted>
  <dcterms:created xsi:type="dcterms:W3CDTF">2021-08-27T15:12:00Z</dcterms:created>
  <dcterms:modified xsi:type="dcterms:W3CDTF">2021-08-27T15:12:00Z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20200139-WS</vt:lpwstr>
  </property>
  <property fmtid="{D5CDD505-2E9C-101B-9397-08002B2CF9AE}" pid="3" name="MasterDocument">
    <vt:bool>false</vt:bool>
  </property>
</Properties>
</file>