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1F04D5">
            <w:pPr>
              <w:pStyle w:val="MemoHeading"/>
            </w:pPr>
            <w:bookmarkStart w:id="1" w:name="FilingDate"/>
            <w:r>
              <w:t>October 21, 2021</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1F04D5" w:rsidRDefault="001F04D5">
            <w:pPr>
              <w:pStyle w:val="MemoHeading"/>
            </w:pPr>
            <w:bookmarkStart w:id="2" w:name="From"/>
            <w:r>
              <w:t>Division of Economics (Guffey)</w:t>
            </w:r>
          </w:p>
          <w:p w:rsidR="007C0528" w:rsidRDefault="001F04D5">
            <w:pPr>
              <w:pStyle w:val="MemoHeading"/>
            </w:pPr>
            <w:r>
              <w:t>Office of the General Counsel (Sandy, Crawford)</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1F04D5" w:rsidP="00C305A2">
            <w:pPr>
              <w:pStyle w:val="MemoHeadingRe"/>
            </w:pPr>
            <w:bookmarkStart w:id="3" w:name="Re"/>
            <w:r>
              <w:t xml:space="preserve">Docket No. 20210131-EU – Joint petition for approval of territorial </w:t>
            </w:r>
            <w:r w:rsidR="00075DFA">
              <w:t>Agreement</w:t>
            </w:r>
            <w:r>
              <w:t xml:space="preserve"> in Calhoun, Jackson, and Washington Counties between Gulf Coast Electric Cooperative, Inc. and West Florida Electric Cooperative Association, Inc.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1F04D5">
            <w:pPr>
              <w:pStyle w:val="MemoHeading"/>
            </w:pPr>
            <w:bookmarkStart w:id="4" w:name="AgendaDate"/>
            <w:r>
              <w:t>11/02/21</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1F04D5">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1F04D5">
            <w:pPr>
              <w:pStyle w:val="MemoHeading"/>
            </w:pPr>
            <w:bookmarkStart w:id="7" w:name="PrehearingOfficer"/>
            <w:r>
              <w:t>Fay</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1F04D5">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1F04D5">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6F1B57">
      <w:pPr>
        <w:pStyle w:val="BodyText"/>
      </w:pPr>
      <w:r>
        <w:t>On August 5, 2021, Gulf Coast Electric Cooperative, Inc. (</w:t>
      </w:r>
      <w:r w:rsidR="009333A2">
        <w:t>Gulf Coast</w:t>
      </w:r>
      <w:r>
        <w:t>) and West Florida Electric Cooperative Association, Inc. (</w:t>
      </w:r>
      <w:r w:rsidR="009333A2">
        <w:t>West Florida</w:t>
      </w:r>
      <w:r>
        <w:t xml:space="preserve">), collectively the joint petitioners, filed a petition seeking Commission approval of </w:t>
      </w:r>
      <w:r w:rsidR="00633707">
        <w:t>a</w:t>
      </w:r>
      <w:r>
        <w:t xml:space="preserve"> Territorial </w:t>
      </w:r>
      <w:r w:rsidR="00075DFA">
        <w:t>Agreement</w:t>
      </w:r>
      <w:r>
        <w:t xml:space="preserve"> (</w:t>
      </w:r>
      <w:r w:rsidR="00075DFA">
        <w:t>Agreement</w:t>
      </w:r>
      <w:r>
        <w:t xml:space="preserve">) delineating their respective </w:t>
      </w:r>
      <w:r w:rsidR="002D5077">
        <w:t xml:space="preserve">retail </w:t>
      </w:r>
      <w:r>
        <w:t xml:space="preserve">service boundaries in Calhoun, Jackson, and Washington counties. The proposed </w:t>
      </w:r>
      <w:r w:rsidR="00075DFA">
        <w:t>Agreement</w:t>
      </w:r>
      <w:r>
        <w:t xml:space="preserve"> is the joint petitioners’ first </w:t>
      </w:r>
      <w:r w:rsidR="00075DFA">
        <w:t>Agreement</w:t>
      </w:r>
      <w:r>
        <w:t xml:space="preserve"> applicable to the petitioners’ service boundaries </w:t>
      </w:r>
      <w:r w:rsidR="00633707">
        <w:t>specific to</w:t>
      </w:r>
      <w:r>
        <w:t xml:space="preserve"> Calhoun, Jackson, and </w:t>
      </w:r>
      <w:r w:rsidR="006C1CE5">
        <w:t>Washington</w:t>
      </w:r>
      <w:r>
        <w:t xml:space="preserve"> counties.</w:t>
      </w:r>
      <w:r w:rsidR="009C39B8">
        <w:rPr>
          <w:rStyle w:val="FootnoteReference"/>
        </w:rPr>
        <w:footnoteReference w:id="1"/>
      </w:r>
      <w:r>
        <w:t xml:space="preserve"> The </w:t>
      </w:r>
      <w:r w:rsidR="00075DFA">
        <w:t>Agreement</w:t>
      </w:r>
      <w:r w:rsidR="008053DD">
        <w:t xml:space="preserve"> is Attachment A</w:t>
      </w:r>
      <w:r w:rsidRPr="007676FC">
        <w:t xml:space="preserve"> </w:t>
      </w:r>
      <w:r>
        <w:t xml:space="preserve">and composite maps depicting the proposed boundaries </w:t>
      </w:r>
      <w:r w:rsidR="008053DD">
        <w:t>is</w:t>
      </w:r>
      <w:r>
        <w:t xml:space="preserve"> Attachment </w:t>
      </w:r>
      <w:r w:rsidR="008053DD">
        <w:t>B</w:t>
      </w:r>
      <w:r>
        <w:t xml:space="preserve"> to this recommendation.</w:t>
      </w:r>
    </w:p>
    <w:p w:rsidR="001A146A" w:rsidRDefault="00CA217D" w:rsidP="006C1CE5">
      <w:pPr>
        <w:pStyle w:val="BodyText"/>
      </w:pPr>
      <w:r>
        <w:lastRenderedPageBreak/>
        <w:t xml:space="preserve">The joint petitioners assert that </w:t>
      </w:r>
      <w:r w:rsidR="009333A2">
        <w:t>Gulf Coast</w:t>
      </w:r>
      <w:r>
        <w:t xml:space="preserve"> and </w:t>
      </w:r>
      <w:r w:rsidR="009333A2">
        <w:t>West Florida</w:t>
      </w:r>
      <w:r>
        <w:t xml:space="preserve"> each have electric facilities adjacent to each other in Calhoun, Jackson, and Washington counties. </w:t>
      </w:r>
      <w:r w:rsidR="009333A2">
        <w:t>T</w:t>
      </w:r>
      <w:r>
        <w:t xml:space="preserve">he joint petitioners </w:t>
      </w:r>
      <w:r w:rsidR="009333A2">
        <w:t>negotiated the proposed Agreement</w:t>
      </w:r>
      <w:r>
        <w:t xml:space="preserve"> to establish </w:t>
      </w:r>
      <w:r w:rsidR="00C96F36">
        <w:t>defined</w:t>
      </w:r>
      <w:r>
        <w:t xml:space="preserve"> </w:t>
      </w:r>
      <w:r w:rsidR="00D7391E">
        <w:t xml:space="preserve">retail area </w:t>
      </w:r>
      <w:r>
        <w:t xml:space="preserve">service </w:t>
      </w:r>
      <w:r w:rsidR="00C96F36">
        <w:t>boundaries</w:t>
      </w:r>
      <w:r>
        <w:t xml:space="preserve"> in order to avoid duplication of facilities and </w:t>
      </w:r>
      <w:r w:rsidR="00C96F36">
        <w:t>expenditures</w:t>
      </w:r>
      <w:r w:rsidR="00C52CEB">
        <w:t xml:space="preserve">, </w:t>
      </w:r>
      <w:r>
        <w:t>avoid hazardous conditions</w:t>
      </w:r>
      <w:r w:rsidR="00C52CEB">
        <w:t xml:space="preserve">, and serve their current and future </w:t>
      </w:r>
      <w:r w:rsidR="00A17852">
        <w:t>customers</w:t>
      </w:r>
      <w:r w:rsidR="00C52CEB">
        <w:t xml:space="preserve"> in a safe manner</w:t>
      </w:r>
      <w:r w:rsidR="006C1CE5">
        <w:t xml:space="preserve">. </w:t>
      </w:r>
    </w:p>
    <w:p w:rsidR="006C1CE5" w:rsidRDefault="006C1CE5" w:rsidP="006C1CE5">
      <w:pPr>
        <w:pStyle w:val="BodyText"/>
      </w:pPr>
      <w:r>
        <w:t xml:space="preserve">During the review process, staff issued </w:t>
      </w:r>
      <w:r w:rsidR="001C14F4">
        <w:t>two</w:t>
      </w:r>
      <w:r>
        <w:t xml:space="preserve"> data request</w:t>
      </w:r>
      <w:r w:rsidR="001C14F4">
        <w:t>s</w:t>
      </w:r>
      <w:r>
        <w:t xml:space="preserve"> to the joint petitioners to which responses were received on September 10, 2021</w:t>
      </w:r>
      <w:r w:rsidR="001C14F4">
        <w:t xml:space="preserve"> and September 21, 2021</w:t>
      </w:r>
      <w:r>
        <w:t>. The Commission has jurisdiction over this matter pursuant to Section 366.04, Florida Statutes (F.S.).</w:t>
      </w:r>
    </w:p>
    <w:p w:rsidR="008D0A13" w:rsidRDefault="008D0A13" w:rsidP="006C1CE5">
      <w:pPr>
        <w:pStyle w:val="BodyText"/>
      </w:pPr>
    </w:p>
    <w:p w:rsidR="007C0528" w:rsidRDefault="006F1B57" w:rsidP="006F1B57">
      <w:pPr>
        <w:tabs>
          <w:tab w:val="left" w:pos="6390"/>
        </w:tabs>
      </w:pPr>
      <w:r>
        <w:tab/>
      </w:r>
    </w:p>
    <w:bookmarkEnd w:id="12"/>
    <w:p w:rsidR="00EA2273" w:rsidRDefault="006F1B57" w:rsidP="006F1B57">
      <w:pPr>
        <w:pStyle w:val="RecommendationMajorSectionHeading"/>
        <w:tabs>
          <w:tab w:val="left" w:pos="6390"/>
        </w:tabs>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r>
        <w:tab/>
      </w:r>
    </w:p>
    <w:p w:rsidR="007C0528" w:rsidRDefault="007C0528">
      <w:pPr>
        <w:pStyle w:val="RecommendationMajorSectionHeading"/>
      </w:pPr>
      <w:bookmarkStart w:id="16" w:name="DiscussionOfIssues"/>
      <w:r>
        <w:lastRenderedPageBreak/>
        <w:t>Discussion of Issues</w:t>
      </w:r>
    </w:p>
    <w:bookmarkEnd w:id="16"/>
    <w:p w:rsidR="008D0A13" w:rsidRDefault="008D0A13">
      <w:pPr>
        <w:pStyle w:val="IssueHeading"/>
        <w:rPr>
          <w:vanish/>
          <w:specVanish/>
        </w:rPr>
      </w:pPr>
      <w:r w:rsidRPr="004C3641">
        <w:t xml:space="preserve">Issue </w:t>
      </w:r>
      <w:r w:rsidR="0047582A">
        <w:fldChar w:fldCharType="begin"/>
      </w:r>
      <w:r w:rsidR="0047582A">
        <w:instrText xml:space="preserve"> SEQ Issue \* MERGEFORMAT </w:instrText>
      </w:r>
      <w:r w:rsidR="0047582A">
        <w:fldChar w:fldCharType="separate"/>
      </w:r>
      <w:r w:rsidR="00733A85">
        <w:rPr>
          <w:noProof/>
        </w:rPr>
        <w:t>1</w:t>
      </w:r>
      <w:r w:rsidR="0047582A">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33A85">
        <w:rPr>
          <w:noProof/>
        </w:rPr>
        <w:instrText>1</w:instrText>
      </w:r>
      <w:r>
        <w:fldChar w:fldCharType="end"/>
      </w:r>
      <w:r>
        <w:tab/>
        <w:instrText xml:space="preserve">" \l 1 </w:instrText>
      </w:r>
      <w:r>
        <w:fldChar w:fldCharType="end"/>
      </w:r>
      <w:r>
        <w:t> </w:t>
      </w:r>
    </w:p>
    <w:p w:rsidR="008D0A13" w:rsidRDefault="008D0A13">
      <w:pPr>
        <w:pStyle w:val="BodyText"/>
      </w:pPr>
      <w:r>
        <w:t xml:space="preserve"> Should the Commission approve the proposed Territorial </w:t>
      </w:r>
      <w:r w:rsidR="00075DFA">
        <w:t>Agreement</w:t>
      </w:r>
      <w:r>
        <w:t xml:space="preserve"> in Calhoun, Jackson, and </w:t>
      </w:r>
      <w:r w:rsidR="00FC55B4">
        <w:t>Washington</w:t>
      </w:r>
      <w:r>
        <w:t xml:space="preserve"> counties between Gulf Coast Electric Cooperative, Inc. (</w:t>
      </w:r>
      <w:r w:rsidR="00CF73CD">
        <w:t>Gulf Coast</w:t>
      </w:r>
      <w:r>
        <w:t>) and West Florida Electric Cooperative Association, Inc. (</w:t>
      </w:r>
      <w:r w:rsidR="00CF73CD">
        <w:t>West Florida</w:t>
      </w:r>
      <w:r>
        <w:t>)?</w:t>
      </w:r>
    </w:p>
    <w:p w:rsidR="008D0A13" w:rsidRPr="004C3641" w:rsidRDefault="008D0A13">
      <w:pPr>
        <w:pStyle w:val="IssueSubsectionHeading"/>
        <w:rPr>
          <w:vanish/>
          <w:specVanish/>
        </w:rPr>
      </w:pPr>
      <w:r w:rsidRPr="004C3641">
        <w:t>Recommendation: </w:t>
      </w:r>
    </w:p>
    <w:p w:rsidR="008D0A13" w:rsidRDefault="008D0A13">
      <w:pPr>
        <w:pStyle w:val="BodyText"/>
      </w:pPr>
      <w:r>
        <w:t xml:space="preserve"> Yes, the Commission should approve the </w:t>
      </w:r>
      <w:r w:rsidR="001C14F4">
        <w:t xml:space="preserve">proposed </w:t>
      </w:r>
      <w:r>
        <w:t xml:space="preserve">Territorial </w:t>
      </w:r>
      <w:r w:rsidR="00075DFA">
        <w:t>Agreement</w:t>
      </w:r>
      <w:r>
        <w:t xml:space="preserve"> in Calhoun, Jackson, and </w:t>
      </w:r>
      <w:r w:rsidR="00FC55B4">
        <w:t>Washington</w:t>
      </w:r>
      <w:r>
        <w:t xml:space="preserve"> counties between </w:t>
      </w:r>
      <w:r w:rsidR="00CF73CD">
        <w:t>Gulf Coast</w:t>
      </w:r>
      <w:r>
        <w:t xml:space="preserve"> and W</w:t>
      </w:r>
      <w:r w:rsidR="00CF73CD">
        <w:t>est Florida</w:t>
      </w:r>
      <w:r>
        <w:t xml:space="preserve">. The approval of this </w:t>
      </w:r>
      <w:r w:rsidR="00075DFA">
        <w:t>Agreement</w:t>
      </w:r>
      <w:r>
        <w:t xml:space="preserve"> </w:t>
      </w:r>
      <w:r>
        <w:rPr>
          <w:lang w:val="en"/>
        </w:rPr>
        <w:t xml:space="preserve">will not be a detriment to the public interest and it will enable </w:t>
      </w:r>
      <w:r w:rsidR="00CF73CD">
        <w:t>Gulf Coast</w:t>
      </w:r>
      <w:r>
        <w:t xml:space="preserve"> and </w:t>
      </w:r>
      <w:r w:rsidR="00CF73CD">
        <w:t>West Florida</w:t>
      </w:r>
      <w:r>
        <w:rPr>
          <w:lang w:val="en"/>
        </w:rPr>
        <w:t xml:space="preserve"> to avoid duplication of facilities</w:t>
      </w:r>
      <w:r w:rsidR="001C14F4">
        <w:rPr>
          <w:lang w:val="en"/>
        </w:rPr>
        <w:t xml:space="preserve"> </w:t>
      </w:r>
      <w:r w:rsidR="001C14F4">
        <w:t xml:space="preserve">and expenditures, avoid hazardous conditions, and  serve their current and future </w:t>
      </w:r>
      <w:r w:rsidR="00A17852">
        <w:t>customers</w:t>
      </w:r>
      <w:r w:rsidR="001C14F4">
        <w:t xml:space="preserve"> in a safe manner</w:t>
      </w:r>
      <w:r>
        <w:t xml:space="preserve">. The proposed </w:t>
      </w:r>
      <w:r w:rsidR="00075DFA">
        <w:t>Agreement</w:t>
      </w:r>
      <w:r>
        <w:t xml:space="preserve"> between </w:t>
      </w:r>
      <w:r w:rsidR="00CF73CD">
        <w:t>Gulf Coast</w:t>
      </w:r>
      <w:r>
        <w:t xml:space="preserve"> and </w:t>
      </w:r>
      <w:r w:rsidR="00CF73CD">
        <w:t>West Florida</w:t>
      </w:r>
      <w:r>
        <w:t xml:space="preserve"> should become effective on the date the Commission order approving the </w:t>
      </w:r>
      <w:r w:rsidR="00075DFA">
        <w:t>Agreement</w:t>
      </w:r>
      <w:r>
        <w:t xml:space="preserve"> becomes final</w:t>
      </w:r>
      <w:r w:rsidR="00C912D4">
        <w:t xml:space="preserve"> and no longer subject to judicial review</w:t>
      </w:r>
      <w:r>
        <w:t xml:space="preserve">. (Guffey) </w:t>
      </w:r>
    </w:p>
    <w:p w:rsidR="008D0A13" w:rsidRPr="004C3641" w:rsidRDefault="008D0A13">
      <w:pPr>
        <w:pStyle w:val="IssueSubsectionHeading"/>
        <w:rPr>
          <w:vanish/>
          <w:specVanish/>
        </w:rPr>
      </w:pPr>
      <w:r w:rsidRPr="004C3641">
        <w:t>Staff Analysis: </w:t>
      </w:r>
    </w:p>
    <w:p w:rsidR="008D0A13" w:rsidRDefault="008D0A13">
      <w:pPr>
        <w:pStyle w:val="BodyText"/>
      </w:pPr>
      <w:r>
        <w:t> </w:t>
      </w:r>
      <w:r w:rsidR="00F91C98" w:rsidRPr="00BA36D8">
        <w:t>Pursuant to Section 366.04(2)(d), F.S.</w:t>
      </w:r>
      <w:r w:rsidR="00F91C98">
        <w:t>, and</w:t>
      </w:r>
      <w:r w:rsidR="00F91C98" w:rsidRPr="009E3F7A">
        <w:t xml:space="preserve"> </w:t>
      </w:r>
      <w:r w:rsidR="00F91C98" w:rsidRPr="00BA36D8">
        <w:t xml:space="preserve">Rule 25-6.0440(2), </w:t>
      </w:r>
      <w:r w:rsidR="00F91C98">
        <w:t>F.A.C.,</w:t>
      </w:r>
      <w:r w:rsidR="00F91C98" w:rsidRPr="00BA36D8">
        <w:t xml:space="preserve"> the Commission has the jurisdiction to approve territorial </w:t>
      </w:r>
      <w:r w:rsidR="002D5077">
        <w:t>a</w:t>
      </w:r>
      <w:r w:rsidR="00075DFA">
        <w:t>greement</w:t>
      </w:r>
      <w:r w:rsidR="00F91C98" w:rsidRPr="00BA36D8">
        <w:t>s between and among rural electric cooperatives, municipal electric utilities, and other electric utilities.</w:t>
      </w:r>
      <w:r w:rsidR="00F91C98">
        <w:t xml:space="preserve"> </w:t>
      </w:r>
      <w:r w:rsidR="00F91C98" w:rsidRPr="00BA36D8">
        <w:t xml:space="preserve">Unless the Commission determines that the </w:t>
      </w:r>
      <w:r w:rsidR="00075DFA">
        <w:t>Agreement</w:t>
      </w:r>
      <w:r w:rsidR="00F91C98" w:rsidRPr="00BA36D8">
        <w:t xml:space="preserve"> will cause a detriment to the public interest, the </w:t>
      </w:r>
      <w:r w:rsidR="00075DFA">
        <w:t>Agreement</w:t>
      </w:r>
      <w:r w:rsidR="00F91C98" w:rsidRPr="00BA36D8">
        <w:t xml:space="preserve"> should be approved.</w:t>
      </w:r>
      <w:r w:rsidR="00F91C98" w:rsidRPr="00BA36D8">
        <w:rPr>
          <w:rStyle w:val="FootnoteReference"/>
        </w:rPr>
        <w:footnoteReference w:id="2"/>
      </w:r>
    </w:p>
    <w:p w:rsidR="00E06484" w:rsidRDefault="00F91C98" w:rsidP="00F91C98">
      <w:pPr>
        <w:pStyle w:val="First-LevelSubheading"/>
      </w:pPr>
      <w:r>
        <w:t xml:space="preserve">The Proposed Territorial </w:t>
      </w:r>
      <w:r w:rsidR="00075DFA">
        <w:t>Agreement</w:t>
      </w:r>
    </w:p>
    <w:p w:rsidR="00F91C98" w:rsidRDefault="00C96F36" w:rsidP="00E275D8">
      <w:pPr>
        <w:pStyle w:val="BodyText"/>
      </w:pPr>
      <w:r>
        <w:t xml:space="preserve">In response to staff’s first data request, the joint petitioners stated </w:t>
      </w:r>
      <w:r w:rsidR="000F0D80">
        <w:t>Gulf Coast</w:t>
      </w:r>
      <w:r w:rsidR="003E28DD">
        <w:t xml:space="preserve"> does not currently serve in any municipalities within the service territory subject to this </w:t>
      </w:r>
      <w:r w:rsidR="00075DFA">
        <w:t>Agreement</w:t>
      </w:r>
      <w:r w:rsidR="00614FBA">
        <w:t>,</w:t>
      </w:r>
      <w:r w:rsidR="003E28DD">
        <w:t xml:space="preserve"> but </w:t>
      </w:r>
      <w:r>
        <w:t xml:space="preserve">over the term of the </w:t>
      </w:r>
      <w:r w:rsidR="00075DFA">
        <w:t>Agreement</w:t>
      </w:r>
      <w:r>
        <w:t xml:space="preserve">, </w:t>
      </w:r>
      <w:r w:rsidR="00CF73CD">
        <w:t>Gulf Coast</w:t>
      </w:r>
      <w:r>
        <w:t xml:space="preserve"> estimates that it will serve approximately 5,383 </w:t>
      </w:r>
      <w:r w:rsidR="00A17852">
        <w:t>customers</w:t>
      </w:r>
      <w:r w:rsidR="003E28DD">
        <w:t>.</w:t>
      </w:r>
      <w:r w:rsidR="00524F7E">
        <w:rPr>
          <w:rStyle w:val="FootnoteReference"/>
        </w:rPr>
        <w:footnoteReference w:id="3"/>
      </w:r>
      <w:r w:rsidR="003E28DD">
        <w:t xml:space="preserve"> Currently</w:t>
      </w:r>
      <w:r w:rsidR="00614FBA">
        <w:t>,</w:t>
      </w:r>
      <w:r w:rsidR="003E28DD">
        <w:t xml:space="preserve"> </w:t>
      </w:r>
      <w:r w:rsidR="00CF73CD">
        <w:t>West Florida</w:t>
      </w:r>
      <w:r>
        <w:t xml:space="preserve"> </w:t>
      </w:r>
      <w:r w:rsidR="003E28DD">
        <w:t xml:space="preserve">provides service in </w:t>
      </w:r>
      <w:r w:rsidR="001C14F4">
        <w:t xml:space="preserve">the Town of </w:t>
      </w:r>
      <w:r w:rsidR="003E28DD">
        <w:t xml:space="preserve">Grand Ridge (in Jackson County), and </w:t>
      </w:r>
      <w:r w:rsidR="001C14F4">
        <w:t xml:space="preserve">in the Town of </w:t>
      </w:r>
      <w:r w:rsidR="003E28DD">
        <w:t xml:space="preserve">Wausau (in </w:t>
      </w:r>
      <w:r w:rsidR="00C912D4">
        <w:t>Washington</w:t>
      </w:r>
      <w:r w:rsidR="003E28DD">
        <w:t xml:space="preserve"> County) and over the term of the </w:t>
      </w:r>
      <w:r w:rsidR="00075DFA">
        <w:t>Agreement</w:t>
      </w:r>
      <w:r w:rsidR="003E28DD">
        <w:t>, W</w:t>
      </w:r>
      <w:r w:rsidR="00CF73CD">
        <w:t>est Florida</w:t>
      </w:r>
      <w:r w:rsidR="003E28DD">
        <w:t xml:space="preserve"> estimates it will </w:t>
      </w:r>
      <w:r>
        <w:t>serve approximately 18</w:t>
      </w:r>
      <w:r w:rsidR="003E28DD">
        <w:t>,</w:t>
      </w:r>
      <w:r>
        <w:t xml:space="preserve">370 </w:t>
      </w:r>
      <w:r w:rsidR="00A17852">
        <w:t>customers</w:t>
      </w:r>
      <w:r w:rsidR="00857525">
        <w:t xml:space="preserve"> </w:t>
      </w:r>
      <w:r w:rsidR="008B5461">
        <w:t xml:space="preserve">(including existing customers in Grand Ridge and Wausau) </w:t>
      </w:r>
      <w:r>
        <w:t>within its service territory in Calhoun, Jackson, and Washington counties.</w:t>
      </w:r>
      <w:r w:rsidR="00524F7E">
        <w:rPr>
          <w:rStyle w:val="FootnoteReference"/>
        </w:rPr>
        <w:footnoteReference w:id="4"/>
      </w:r>
      <w:r w:rsidR="001C14F4">
        <w:t xml:space="preserve"> </w:t>
      </w:r>
      <w:r w:rsidR="008A4508">
        <w:t xml:space="preserve">In responses to staff’s second data request, the joint petitioners confirmed that both </w:t>
      </w:r>
      <w:r w:rsidR="00CF73CD">
        <w:t>Gulf Coast</w:t>
      </w:r>
      <w:r w:rsidR="008A4508">
        <w:t xml:space="preserve"> and W</w:t>
      </w:r>
      <w:r w:rsidR="00CF73CD">
        <w:t>est Florida</w:t>
      </w:r>
      <w:r w:rsidR="008A4508">
        <w:t xml:space="preserve"> have the capacity and ability to serve their </w:t>
      </w:r>
      <w:r w:rsidR="00CF73CD">
        <w:t>expected</w:t>
      </w:r>
      <w:r w:rsidR="008A4508">
        <w:t xml:space="preserve"> future </w:t>
      </w:r>
      <w:r w:rsidR="00A17852">
        <w:t>customers</w:t>
      </w:r>
      <w:r w:rsidR="008A4508">
        <w:t xml:space="preserve"> without negatively impacting their existing </w:t>
      </w:r>
      <w:r w:rsidR="00A17852">
        <w:t>customer base</w:t>
      </w:r>
      <w:r w:rsidR="008A4508">
        <w:t xml:space="preserve">. The joint petitioners also affirm that the proposed Agreement would enhance the service reliability by </w:t>
      </w:r>
      <w:r w:rsidR="00CF73CD">
        <w:t>avoiding any potential</w:t>
      </w:r>
      <w:r w:rsidR="008A4508">
        <w:t xml:space="preserve"> uneconomic duplication of facilities and hazardous conditions.</w:t>
      </w:r>
      <w:r w:rsidR="008A4508">
        <w:rPr>
          <w:rStyle w:val="FootnoteReference"/>
        </w:rPr>
        <w:footnoteReference w:id="5"/>
      </w:r>
    </w:p>
    <w:p w:rsidR="00C912D4" w:rsidRDefault="00C1173F" w:rsidP="00E275D8">
      <w:pPr>
        <w:pStyle w:val="BodyText"/>
      </w:pPr>
      <w:r>
        <w:t xml:space="preserve">Pursuant to Paragraph 5 of the petition, there are no customer transfers contemplated in this </w:t>
      </w:r>
      <w:r w:rsidR="00075DFA">
        <w:t>Agreement</w:t>
      </w:r>
      <w:r>
        <w:t xml:space="preserve">. </w:t>
      </w:r>
      <w:r w:rsidR="00E71FFD">
        <w:t xml:space="preserve">Therefore, no notice to customers is required pursuant to Rule 25-6.0440, F.A.C. </w:t>
      </w:r>
      <w:r w:rsidR="001C14F4">
        <w:t>Pursuant to Section 3.1 of the A</w:t>
      </w:r>
      <w:r w:rsidR="005F65B0">
        <w:t>greement, there will be no</w:t>
      </w:r>
      <w:r w:rsidR="001C14F4">
        <w:t xml:space="preserve"> </w:t>
      </w:r>
      <w:r w:rsidR="005F65B0">
        <w:t>electric facilities transferred between the two cooperatives.</w:t>
      </w:r>
      <w:r w:rsidR="005F65B0">
        <w:rPr>
          <w:rStyle w:val="FootnoteReference"/>
        </w:rPr>
        <w:footnoteReference w:id="6"/>
      </w:r>
      <w:r w:rsidR="001C14F4">
        <w:t xml:space="preserve"> </w:t>
      </w:r>
      <w:r>
        <w:t xml:space="preserve">Section 1.10 of the </w:t>
      </w:r>
      <w:r w:rsidR="00075DFA">
        <w:t>Agreement</w:t>
      </w:r>
      <w:r>
        <w:t xml:space="preserve"> states that</w:t>
      </w:r>
      <w:r w:rsidR="005F65B0">
        <w:t>,</w:t>
      </w:r>
      <w:r>
        <w:t xml:space="preserve"> as of </w:t>
      </w:r>
      <w:r w:rsidR="005F65B0">
        <w:t xml:space="preserve">the </w:t>
      </w:r>
      <w:r>
        <w:t xml:space="preserve">date of this </w:t>
      </w:r>
      <w:r w:rsidR="00075DFA">
        <w:lastRenderedPageBreak/>
        <w:t>Agreement</w:t>
      </w:r>
      <w:r w:rsidR="005F65B0">
        <w:t>,</w:t>
      </w:r>
      <w:r>
        <w:t xml:space="preserve"> there are no extra-territorial </w:t>
      </w:r>
      <w:r w:rsidR="00A17852">
        <w:t>customers</w:t>
      </w:r>
      <w:r>
        <w:t>.</w:t>
      </w:r>
      <w:r w:rsidR="001B326E">
        <w:rPr>
          <w:rStyle w:val="FootnoteReference"/>
        </w:rPr>
        <w:footnoteReference w:id="7"/>
      </w:r>
      <w:r>
        <w:t xml:space="preserve"> </w:t>
      </w:r>
      <w:r w:rsidR="002D5077">
        <w:t>I</w:t>
      </w:r>
      <w:r>
        <w:t xml:space="preserve">f the parties </w:t>
      </w:r>
      <w:r w:rsidR="00B4228B">
        <w:t>discover</w:t>
      </w:r>
      <w:r>
        <w:t xml:space="preserve"> extra-territorial </w:t>
      </w:r>
      <w:r w:rsidR="00A17852">
        <w:t>member-customers</w:t>
      </w:r>
      <w:r>
        <w:t xml:space="preserve">, they will be transferred to the appropriate cooperative within 12 months of discovering the </w:t>
      </w:r>
      <w:r w:rsidR="00B4228B">
        <w:t>inadvertent</w:t>
      </w:r>
      <w:r>
        <w:t xml:space="preserve"> service error</w:t>
      </w:r>
      <w:r w:rsidR="002D5077">
        <w:t xml:space="preserve"> pursuant to Section 2.4 of the Agreement</w:t>
      </w:r>
      <w:r>
        <w:t xml:space="preserve">. </w:t>
      </w:r>
    </w:p>
    <w:p w:rsidR="009D6EA3" w:rsidRDefault="00075DFA" w:rsidP="00E275D8">
      <w:pPr>
        <w:pStyle w:val="BodyText"/>
      </w:pPr>
      <w:r>
        <w:t>T</w:t>
      </w:r>
      <w:r w:rsidR="003031E6">
        <w:t xml:space="preserve">he duration of </w:t>
      </w:r>
      <w:r w:rsidR="002D5077">
        <w:t>this proposed</w:t>
      </w:r>
      <w:r w:rsidR="003031E6">
        <w:t xml:space="preserve"> </w:t>
      </w:r>
      <w:r>
        <w:t>Agreement</w:t>
      </w:r>
      <w:r w:rsidR="003031E6">
        <w:t xml:space="preserve"> is 30 years</w:t>
      </w:r>
      <w:r>
        <w:t xml:space="preserve"> pursuant to Section 5.1</w:t>
      </w:r>
      <w:r w:rsidR="003031E6">
        <w:t xml:space="preserve">. Thereafter, the </w:t>
      </w:r>
      <w:r>
        <w:t>Agreement</w:t>
      </w:r>
      <w:r w:rsidR="003031E6">
        <w:t xml:space="preserve"> may automatically </w:t>
      </w:r>
      <w:r w:rsidR="00A17852">
        <w:t xml:space="preserve">be </w:t>
      </w:r>
      <w:r w:rsidR="002D5077">
        <w:t>extended</w:t>
      </w:r>
      <w:r w:rsidR="003031E6">
        <w:t xml:space="preserve"> </w:t>
      </w:r>
      <w:r w:rsidR="00BB3783">
        <w:t>for</w:t>
      </w:r>
      <w:r w:rsidR="003031E6">
        <w:t xml:space="preserve"> </w:t>
      </w:r>
      <w:r w:rsidR="00C96F36">
        <w:t>succeeding</w:t>
      </w:r>
      <w:r w:rsidR="003031E6">
        <w:t xml:space="preserve"> 5</w:t>
      </w:r>
      <w:r w:rsidR="00A17852">
        <w:t>-</w:t>
      </w:r>
      <w:r w:rsidR="003031E6">
        <w:t>year</w:t>
      </w:r>
      <w:r w:rsidR="00BB3783">
        <w:t xml:space="preserve"> terms</w:t>
      </w:r>
      <w:r w:rsidR="002D5077">
        <w:t>. The Agreement may</w:t>
      </w:r>
      <w:r w:rsidR="001B326E">
        <w:t xml:space="preserve"> </w:t>
      </w:r>
      <w:r w:rsidR="002D5077">
        <w:t xml:space="preserve">be terminated by either </w:t>
      </w:r>
      <w:r w:rsidR="003031E6">
        <w:t xml:space="preserve">party </w:t>
      </w:r>
      <w:r w:rsidR="002D5077">
        <w:t>after the expiration of the initial 30-year term or succeeding 5-year term by providing</w:t>
      </w:r>
      <w:r w:rsidR="003031E6">
        <w:t xml:space="preserve"> one year prior notification to the other party to terminate the </w:t>
      </w:r>
      <w:r>
        <w:t>Agreement</w:t>
      </w:r>
      <w:r w:rsidR="003031E6">
        <w:t xml:space="preserve">. </w:t>
      </w:r>
    </w:p>
    <w:p w:rsidR="009D6EA3" w:rsidRDefault="009D6EA3" w:rsidP="009D6EA3">
      <w:pPr>
        <w:pStyle w:val="First-LevelSubheading"/>
      </w:pPr>
      <w:r>
        <w:t>Conclusion</w:t>
      </w:r>
    </w:p>
    <w:p w:rsidR="000D78F6" w:rsidRPr="000D78F6" w:rsidRDefault="000D78F6" w:rsidP="000D78F6">
      <w:pPr>
        <w:pStyle w:val="BodyText"/>
      </w:pPr>
      <w:r>
        <w:t xml:space="preserve">After review of the petition, the proposed </w:t>
      </w:r>
      <w:r w:rsidR="00075DFA">
        <w:t>Agreement</w:t>
      </w:r>
      <w:r>
        <w:t>, and the joint petitioners’ responses to staff’s data request</w:t>
      </w:r>
      <w:r w:rsidR="006224AC">
        <w:t>s</w:t>
      </w:r>
      <w:r>
        <w:t xml:space="preserve">, staff believes that the proposed </w:t>
      </w:r>
      <w:r w:rsidR="00075DFA">
        <w:t>Agreement</w:t>
      </w:r>
      <w:r>
        <w:t xml:space="preserve"> is in the public interest and will enable </w:t>
      </w:r>
      <w:r w:rsidR="00CF73CD">
        <w:t>Gulf Coast</w:t>
      </w:r>
      <w:r>
        <w:t xml:space="preserve"> and W</w:t>
      </w:r>
      <w:r w:rsidR="00CF73CD">
        <w:t>est Florida</w:t>
      </w:r>
      <w:r>
        <w:t xml:space="preserve"> to serve their </w:t>
      </w:r>
      <w:r w:rsidR="00A17852">
        <w:t>customers</w:t>
      </w:r>
      <w:r>
        <w:t xml:space="preserve"> in an efficient manner. As such, staff believes that the</w:t>
      </w:r>
      <w:r w:rsidR="00614FBA">
        <w:t xml:space="preserve"> Commission should approve the proposed Agreement in Calhoun, Jackson, and Washington counties between </w:t>
      </w:r>
      <w:r w:rsidR="00CF73CD">
        <w:t>Gulf Coast</w:t>
      </w:r>
      <w:r w:rsidR="00614FBA">
        <w:t xml:space="preserve"> and W</w:t>
      </w:r>
      <w:r w:rsidR="00CF73CD">
        <w:t>est Florida</w:t>
      </w:r>
      <w:r w:rsidR="00614FBA">
        <w:t xml:space="preserve">. The approval of this Agreement </w:t>
      </w:r>
      <w:r w:rsidR="00614FBA">
        <w:rPr>
          <w:lang w:val="en"/>
        </w:rPr>
        <w:t xml:space="preserve">will not be a detriment to the public interest and it will enable </w:t>
      </w:r>
      <w:r w:rsidR="00CF73CD">
        <w:t>Gulf Coast</w:t>
      </w:r>
      <w:r w:rsidR="00614FBA">
        <w:t xml:space="preserve"> and W</w:t>
      </w:r>
      <w:r w:rsidR="00CF73CD">
        <w:t>est Florida</w:t>
      </w:r>
      <w:r w:rsidR="00614FBA">
        <w:rPr>
          <w:lang w:val="en"/>
        </w:rPr>
        <w:t xml:space="preserve"> to avoid duplication of facilities </w:t>
      </w:r>
      <w:r w:rsidR="00614FBA">
        <w:t xml:space="preserve">and expenditures, </w:t>
      </w:r>
      <w:r w:rsidR="00D223F5">
        <w:t>avoid hazardous conditions, and</w:t>
      </w:r>
      <w:r w:rsidR="00614FBA">
        <w:t xml:space="preserve"> serve their current and future customers in a safe manner. The proposed Agreement between </w:t>
      </w:r>
      <w:r w:rsidR="000F0D80">
        <w:t>Gulf Coast</w:t>
      </w:r>
      <w:r w:rsidR="00614FBA">
        <w:t xml:space="preserve"> and W</w:t>
      </w:r>
      <w:r w:rsidR="000F0D80">
        <w:t>est Florida</w:t>
      </w:r>
      <w:r w:rsidR="00614FBA">
        <w:t xml:space="preserve"> should become effective on the date the Commission order approving the Agreement becomes final and no longer subject to judicial review.</w:t>
      </w:r>
    </w:p>
    <w:p w:rsidR="00FC55B4" w:rsidRDefault="00FC55B4">
      <w:pPr>
        <w:pStyle w:val="IssueHeading"/>
        <w:rPr>
          <w:vanish/>
          <w:specVanish/>
        </w:rPr>
      </w:pPr>
      <w:r w:rsidRPr="004C3641">
        <w:rPr>
          <w:b w:val="0"/>
          <w:i w:val="0"/>
        </w:rPr>
        <w:br w:type="page"/>
      </w:r>
      <w:r w:rsidRPr="004C3641">
        <w:lastRenderedPageBreak/>
        <w:t xml:space="preserve">Issue </w:t>
      </w:r>
      <w:r w:rsidR="0047582A">
        <w:fldChar w:fldCharType="begin"/>
      </w:r>
      <w:r w:rsidR="0047582A">
        <w:instrText xml:space="preserve"> SEQ Issue \* </w:instrText>
      </w:r>
      <w:r w:rsidR="0047582A">
        <w:instrText xml:space="preserve">MERGEFORMAT </w:instrText>
      </w:r>
      <w:r w:rsidR="0047582A">
        <w:fldChar w:fldCharType="separate"/>
      </w:r>
      <w:r w:rsidR="00733A85">
        <w:rPr>
          <w:noProof/>
        </w:rPr>
        <w:t>2</w:t>
      </w:r>
      <w:r w:rsidR="0047582A">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33A85">
        <w:rPr>
          <w:noProof/>
        </w:rPr>
        <w:instrText>2</w:instrText>
      </w:r>
      <w:r>
        <w:fldChar w:fldCharType="end"/>
      </w:r>
      <w:r>
        <w:tab/>
        <w:instrText xml:space="preserve">" \l 1 </w:instrText>
      </w:r>
      <w:r>
        <w:fldChar w:fldCharType="end"/>
      </w:r>
      <w:r>
        <w:t> </w:t>
      </w:r>
    </w:p>
    <w:p w:rsidR="00FC55B4" w:rsidRDefault="00FC55B4">
      <w:pPr>
        <w:pStyle w:val="BodyText"/>
      </w:pPr>
      <w:r>
        <w:t> Should this docket be closed?</w:t>
      </w:r>
    </w:p>
    <w:p w:rsidR="00FC55B4" w:rsidRPr="004C3641" w:rsidRDefault="00FC55B4">
      <w:pPr>
        <w:pStyle w:val="IssueSubsectionHeading"/>
        <w:rPr>
          <w:vanish/>
          <w:specVanish/>
        </w:rPr>
      </w:pPr>
      <w:r w:rsidRPr="004C3641">
        <w:t>Recommendation: </w:t>
      </w:r>
    </w:p>
    <w:p w:rsidR="00FC55B4" w:rsidRDefault="00FC55B4">
      <w:pPr>
        <w:pStyle w:val="BodyText"/>
      </w:pPr>
      <w:r>
        <w:t> If no protest is filed by a person whose substantial interests are affected within 21 days of the issuance of the Order, this docket should be closed upon the issuance of a Consummating Order. (Sandy, Crawford)</w:t>
      </w:r>
    </w:p>
    <w:p w:rsidR="00FC55B4" w:rsidRPr="004C3641" w:rsidRDefault="00FC55B4">
      <w:pPr>
        <w:pStyle w:val="IssueSubsectionHeading"/>
        <w:rPr>
          <w:vanish/>
          <w:specVanish/>
        </w:rPr>
      </w:pPr>
      <w:r w:rsidRPr="004C3641">
        <w:t>Staff Analysis: </w:t>
      </w:r>
    </w:p>
    <w:p w:rsidR="00FC55B4" w:rsidRDefault="00FC55B4">
      <w:pPr>
        <w:pStyle w:val="BodyText"/>
      </w:pPr>
      <w:r>
        <w:t> If no protest is filed by a person whose substantial interests are affected within 21 days of the issuance of the Order, this docket should be closed upon the issuance of a Consummating Order.</w:t>
      </w:r>
    </w:p>
    <w:p w:rsidR="006E4D22" w:rsidRDefault="006E4D22" w:rsidP="00E275D8">
      <w:pPr>
        <w:pStyle w:val="BodyText"/>
        <w:sectPr w:rsidR="006E4D22"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033D2C" w:rsidRDefault="00FD3BB8" w:rsidP="00E275D8">
      <w:pPr>
        <w:pStyle w:val="BodyText"/>
        <w:sectPr w:rsidR="00033D2C" w:rsidSect="0068481F">
          <w:headerReference w:type="default" r:id="rId14"/>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CEC &amp; WFECA Territorial Agreement_Page_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CEC &amp; WFECA Territorial Agreement_Page_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CEC &amp; WFECA Territorial Agreement_Page_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EC &amp; WFECA Territorial Agreement_Page_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CEC &amp; WFECA Territorial Agreement_Page_0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CEC &amp; WFECA Territorial Agreement_Page_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CEC &amp; WFECA Territorial Agreement_Page_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CEC &amp; WFECA Territorial Agreement_Page_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CEC &amp; WFECA Territorial Agreement_Page_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CEC &amp; WFECA Territorial Agreement_Page_10.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33E33" w:rsidRDefault="00D02B1F" w:rsidP="00E275D8">
      <w:pPr>
        <w:pStyle w:val="BodyText"/>
      </w:pPr>
      <w:r>
        <w:rPr>
          <w:noProof/>
        </w:rPr>
        <w:lastRenderedPageBreak/>
        <w:drawing>
          <wp:inline distT="0" distB="0" distL="0" distR="0">
            <wp:extent cx="8138160" cy="54254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s 1-4 from Updated Maps_Page_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p>
    <w:p w:rsidR="00D02B1F" w:rsidRDefault="00D02B1F" w:rsidP="00E275D8">
      <w:pPr>
        <w:pStyle w:val="BodyText"/>
      </w:pPr>
      <w:r>
        <w:rPr>
          <w:noProof/>
        </w:rPr>
        <w:lastRenderedPageBreak/>
        <w:drawing>
          <wp:inline distT="0" distB="0" distL="0" distR="0">
            <wp:extent cx="8138160" cy="54254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s 1-4 from Updated Maps_Page_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p>
    <w:p w:rsidR="00D02B1F" w:rsidRDefault="00D02B1F" w:rsidP="00E275D8">
      <w:pPr>
        <w:pStyle w:val="BodyText"/>
      </w:pPr>
      <w:r>
        <w:rPr>
          <w:noProof/>
        </w:rPr>
        <w:lastRenderedPageBreak/>
        <w:drawing>
          <wp:inline distT="0" distB="0" distL="0" distR="0">
            <wp:extent cx="8138160" cy="54254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es 1-4 from Updated Maps_Page_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p>
    <w:p w:rsidR="002829E5" w:rsidRDefault="00D02B1F" w:rsidP="00D02B1F">
      <w:r>
        <w:rPr>
          <w:noProof/>
        </w:rPr>
        <w:lastRenderedPageBreak/>
        <w:drawing>
          <wp:inline distT="0" distB="0" distL="0" distR="0">
            <wp:extent cx="8138160" cy="54254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s 1-4 from Updated Maps_Page_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p>
    <w:p w:rsidR="009D6EA3" w:rsidRDefault="009D6EA3" w:rsidP="002829E5">
      <w:pPr>
        <w:jc w:val="right"/>
      </w:pPr>
    </w:p>
    <w:p w:rsidR="002829E5" w:rsidRDefault="002829E5" w:rsidP="002829E5">
      <w:pPr>
        <w:jc w:val="right"/>
      </w:pPr>
      <w:r>
        <w:rPr>
          <w:noProof/>
        </w:rPr>
        <w:lastRenderedPageBreak/>
        <w:drawing>
          <wp:inline distT="0" distB="0" distL="0" distR="0">
            <wp:extent cx="8138160" cy="54254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es 5-8 from Updated Maps_Page_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p>
    <w:p w:rsidR="002829E5" w:rsidRPr="002829E5" w:rsidRDefault="002829E5" w:rsidP="002829E5">
      <w:pPr>
        <w:jc w:val="right"/>
      </w:pPr>
      <w:r>
        <w:rPr>
          <w:noProof/>
        </w:rPr>
        <w:lastRenderedPageBreak/>
        <w:drawing>
          <wp:inline distT="0" distB="0" distL="0" distR="0">
            <wp:extent cx="8138160" cy="54254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es 5-8 from Updated Maps_Page_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r>
        <w:rPr>
          <w:noProof/>
        </w:rPr>
        <w:lastRenderedPageBreak/>
        <w:drawing>
          <wp:inline distT="0" distB="0" distL="0" distR="0">
            <wp:extent cx="8138160" cy="54254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es 5-8 from Updated Maps_Page_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r>
        <w:rPr>
          <w:noProof/>
        </w:rPr>
        <w:lastRenderedPageBreak/>
        <w:drawing>
          <wp:inline distT="0" distB="0" distL="0" distR="0">
            <wp:extent cx="8138160" cy="54254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es 5-8 from Updated Maps_Page_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38160" cy="5425440"/>
                    </a:xfrm>
                    <a:prstGeom prst="rect">
                      <a:avLst/>
                    </a:prstGeom>
                  </pic:spPr>
                </pic:pic>
              </a:graphicData>
            </a:graphic>
          </wp:inline>
        </w:drawing>
      </w:r>
    </w:p>
    <w:sectPr w:rsidR="002829E5" w:rsidRPr="002829E5" w:rsidSect="00F33E33">
      <w:headerReference w:type="default" r:id="rId33"/>
      <w:footerReference w:type="default" r:id="rId34"/>
      <w:pgSz w:w="15840" w:h="12240" w:orient="landscape" w:code="1"/>
      <w:pgMar w:top="1440" w:right="1584"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087B" w:rsidRDefault="00E6087B">
      <w:r>
        <w:separator/>
      </w:r>
    </w:p>
  </w:endnote>
  <w:endnote w:type="continuationSeparator" w:id="0">
    <w:p w:rsidR="00E6087B" w:rsidRDefault="00E608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EC1251">
      <w:rPr>
        <w:rStyle w:val="PageNumber"/>
        <w:noProof/>
      </w:rPr>
      <w:t>15</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3A85" w:rsidRDefault="00733A85" w:rsidP="00733A85">
    <w:pPr>
      <w:pStyle w:val="Footer"/>
      <w:tabs>
        <w:tab w:val="clear" w:pos="4320"/>
        <w:tab w:val="clear" w:pos="8640"/>
        <w:tab w:val="center" w:pos="4674"/>
        <w:tab w:val="right" w:pos="9360"/>
      </w:tabs>
      <w:jc w:val="center"/>
    </w:pPr>
    <w:r>
      <w:t xml:space="preserve">- </w:t>
    </w:r>
    <w:r>
      <w:rPr>
        <w:rStyle w:val="PageNumber"/>
      </w:rPr>
      <w:fldChar w:fldCharType="begin"/>
    </w:r>
    <w:r>
      <w:rPr>
        <w:rStyle w:val="PageNumber"/>
      </w:rPr>
      <w:instrText xml:space="preserve"> PAGE </w:instrText>
    </w:r>
    <w:r>
      <w:rPr>
        <w:rStyle w:val="PageNumber"/>
      </w:rPr>
      <w:fldChar w:fldCharType="separate"/>
    </w:r>
    <w:r w:rsidR="00EC1251">
      <w:rPr>
        <w:rStyle w:val="PageNumber"/>
        <w:noProof/>
      </w:rPr>
      <w:t>21</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087B" w:rsidRDefault="00E6087B">
      <w:r>
        <w:separator/>
      </w:r>
    </w:p>
  </w:footnote>
  <w:footnote w:type="continuationSeparator" w:id="0">
    <w:p w:rsidR="00E6087B" w:rsidRDefault="00E6087B">
      <w:r>
        <w:continuationSeparator/>
      </w:r>
    </w:p>
  </w:footnote>
  <w:footnote w:id="1">
    <w:p w:rsidR="009C39B8" w:rsidRDefault="009C39B8">
      <w:pPr>
        <w:pStyle w:val="FootnoteText"/>
      </w:pPr>
      <w:r>
        <w:rPr>
          <w:rStyle w:val="FootnoteReference"/>
        </w:rPr>
        <w:footnoteRef/>
      </w:r>
      <w:r>
        <w:t xml:space="preserve"> Responses 1 and 2 in Staff’s First Data Request, Document No. 11046-2021</w:t>
      </w:r>
      <w:r w:rsidR="00524F7E">
        <w:t>.</w:t>
      </w:r>
    </w:p>
  </w:footnote>
  <w:footnote w:id="2">
    <w:p w:rsidR="00F91C98" w:rsidRDefault="00F91C98" w:rsidP="00F91C98">
      <w:pPr>
        <w:pStyle w:val="FootnoteText"/>
      </w:pPr>
      <w:r>
        <w:rPr>
          <w:rStyle w:val="FootnoteReference"/>
        </w:rPr>
        <w:footnoteRef/>
      </w:r>
      <w:r>
        <w:t xml:space="preserve"> </w:t>
      </w:r>
      <w:r w:rsidRPr="001A76C7">
        <w:rPr>
          <w:i/>
        </w:rPr>
        <w:t>Utilities Commission of the City of New Smyrna Beach v. Florida Public Service Commission</w:t>
      </w:r>
      <w:r>
        <w:t>, 469 So. 2d 731 (Fla. 1985).</w:t>
      </w:r>
    </w:p>
  </w:footnote>
  <w:footnote w:id="3">
    <w:p w:rsidR="00524F7E" w:rsidRDefault="00524F7E">
      <w:pPr>
        <w:pStyle w:val="FootnoteText"/>
      </w:pPr>
      <w:r>
        <w:rPr>
          <w:rStyle w:val="FootnoteReference"/>
        </w:rPr>
        <w:footnoteRef/>
      </w:r>
      <w:r>
        <w:t xml:space="preserve"> Responses 3 and 5 </w:t>
      </w:r>
      <w:r w:rsidR="00614FBA">
        <w:t>to</w:t>
      </w:r>
      <w:r>
        <w:t xml:space="preserve"> Staff’s First Data Request, Document No. 11046-2021.</w:t>
      </w:r>
    </w:p>
  </w:footnote>
  <w:footnote w:id="4">
    <w:p w:rsidR="00524F7E" w:rsidRDefault="00524F7E">
      <w:pPr>
        <w:pStyle w:val="FootnoteText"/>
      </w:pPr>
      <w:r>
        <w:rPr>
          <w:rStyle w:val="FootnoteReference"/>
        </w:rPr>
        <w:footnoteRef/>
      </w:r>
      <w:r>
        <w:t xml:space="preserve"> Responses 4 and 6 </w:t>
      </w:r>
      <w:r w:rsidR="00614FBA">
        <w:t>to</w:t>
      </w:r>
      <w:r>
        <w:t xml:space="preserve"> Staff’s First Data Request, Document No. 11046-2021.</w:t>
      </w:r>
    </w:p>
  </w:footnote>
  <w:footnote w:id="5">
    <w:p w:rsidR="008A4508" w:rsidRDefault="008A4508" w:rsidP="008A4508">
      <w:pPr>
        <w:pStyle w:val="FootnoteText"/>
      </w:pPr>
      <w:r>
        <w:rPr>
          <w:rStyle w:val="FootnoteReference"/>
        </w:rPr>
        <w:footnoteRef/>
      </w:r>
      <w:r>
        <w:t xml:space="preserve"> Responses 2 and 4 </w:t>
      </w:r>
      <w:r w:rsidR="00614FBA">
        <w:t>to</w:t>
      </w:r>
      <w:r>
        <w:t xml:space="preserve"> Staff’s Second Data Request, Document No. 11323-2021.</w:t>
      </w:r>
    </w:p>
  </w:footnote>
  <w:footnote w:id="6">
    <w:p w:rsidR="005F65B0" w:rsidRDefault="005F65B0">
      <w:pPr>
        <w:pStyle w:val="FootnoteText"/>
      </w:pPr>
      <w:r>
        <w:rPr>
          <w:rStyle w:val="FootnoteReference"/>
        </w:rPr>
        <w:footnoteRef/>
      </w:r>
      <w:r>
        <w:t xml:space="preserve"> Responses 1 and 3 </w:t>
      </w:r>
      <w:r w:rsidR="00614FBA">
        <w:t>to</w:t>
      </w:r>
      <w:r>
        <w:t xml:space="preserve"> Staff’s Second Data Request, Document No. 11323-2021.</w:t>
      </w:r>
    </w:p>
  </w:footnote>
  <w:footnote w:id="7">
    <w:p w:rsidR="001B326E" w:rsidRDefault="001B326E">
      <w:pPr>
        <w:pStyle w:val="FootnoteText"/>
      </w:pPr>
      <w:r>
        <w:rPr>
          <w:rStyle w:val="FootnoteReference"/>
        </w:rPr>
        <w:footnoteRef/>
      </w:r>
      <w:r>
        <w:t xml:space="preserve"> </w:t>
      </w:r>
      <w:r w:rsidR="00BE70DA">
        <w:t xml:space="preserve">Pursuant to Section 1.10 Extra-Territorial Customers shall mean any person receiving retail electric service from either Gulf Coast or West Florida on the effective date of this agreement who are located in the territorial area of the other party established by this agreement.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1F04D5"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20210131-EU</w:t>
    </w:r>
    <w:bookmarkEnd w:id="15"/>
  </w:p>
  <w:p w:rsidR="00BC402E" w:rsidRDefault="00BC402E">
    <w:pPr>
      <w:pStyle w:val="Header"/>
    </w:pPr>
    <w:r>
      <w:t xml:space="preserve">Date: </w:t>
    </w:r>
    <w:fldSimple w:instr=" REF FilingDate ">
      <w:r w:rsidR="00733A85">
        <w:t>October 21, 2021</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733A85">
      <w:t>Docket No.</w:t>
    </w:r>
    <w:r>
      <w:fldChar w:fldCharType="end"/>
    </w:r>
    <w:r>
      <w:t xml:space="preserve"> </w:t>
    </w:r>
    <w:r>
      <w:fldChar w:fldCharType="begin"/>
    </w:r>
    <w:r>
      <w:instrText xml:space="preserve"> REF DocketList</w:instrText>
    </w:r>
    <w:r>
      <w:fldChar w:fldCharType="separate"/>
    </w:r>
    <w:r w:rsidR="00733A85">
      <w:t>20210131-EU</w:t>
    </w:r>
    <w:r>
      <w:fldChar w:fldCharType="end"/>
    </w:r>
    <w:r>
      <w:tab/>
      <w:t xml:space="preserve">Issue </w:t>
    </w:r>
    <w:fldSimple w:instr=" Seq Issue \c \* Arabic ">
      <w:r w:rsidR="00EC1251">
        <w:rPr>
          <w:noProof/>
        </w:rPr>
        <w:t>2</w:t>
      </w:r>
    </w:fldSimple>
  </w:p>
  <w:p w:rsidR="00BC402E" w:rsidRDefault="00BC402E">
    <w:pPr>
      <w:pStyle w:val="Header"/>
    </w:pPr>
    <w:r>
      <w:t xml:space="preserve">Date: </w:t>
    </w:r>
    <w:fldSimple w:instr=" REF FilingDate ">
      <w:r w:rsidR="00733A85">
        <w:t>October 21, 2021</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4D22" w:rsidRDefault="006E4D22" w:rsidP="00220732">
    <w:pPr>
      <w:pStyle w:val="Header"/>
      <w:tabs>
        <w:tab w:val="clear" w:pos="4320"/>
        <w:tab w:val="clear" w:pos="8640"/>
        <w:tab w:val="right" w:pos="9360"/>
      </w:tabs>
    </w:pPr>
    <w:r>
      <w:fldChar w:fldCharType="begin"/>
    </w:r>
    <w:r>
      <w:instrText xml:space="preserve"> REF DocketLabel</w:instrText>
    </w:r>
    <w:r>
      <w:fldChar w:fldCharType="separate"/>
    </w:r>
    <w:r w:rsidR="00733A85">
      <w:t>Docket No.</w:t>
    </w:r>
    <w:r>
      <w:fldChar w:fldCharType="end"/>
    </w:r>
    <w:r>
      <w:t xml:space="preserve"> </w:t>
    </w:r>
    <w:r>
      <w:fldChar w:fldCharType="begin"/>
    </w:r>
    <w:r>
      <w:instrText xml:space="preserve"> REF DocketList</w:instrText>
    </w:r>
    <w:r>
      <w:fldChar w:fldCharType="separate"/>
    </w:r>
    <w:r w:rsidR="00733A85">
      <w:t>20210131-EU</w:t>
    </w:r>
    <w:r>
      <w:fldChar w:fldCharType="end"/>
    </w:r>
    <w:r>
      <w:tab/>
      <w:t>Attachment A</w:t>
    </w:r>
  </w:p>
  <w:p w:rsidR="006E4D22" w:rsidRDefault="006E4D22" w:rsidP="00C33757">
    <w:pPr>
      <w:pStyle w:val="Header"/>
    </w:pPr>
    <w:r>
      <w:t xml:space="preserve">Date: </w:t>
    </w:r>
    <w:fldSimple w:instr=" REF FilingDate ">
      <w:r w:rsidR="00733A85">
        <w:t>October 21, 2021</w:t>
      </w:r>
    </w:fldSimple>
    <w:r w:rsidR="00DA3839">
      <w:tab/>
    </w:r>
    <w:r w:rsidR="00DA3839">
      <w:tab/>
      <w:t xml:space="preserve">  </w:t>
    </w:r>
    <w:r w:rsidR="00C33757">
      <w:t xml:space="preserve">                                                           </w:t>
    </w:r>
    <w:r w:rsidR="00DA3839">
      <w:t xml:space="preserve">Page </w:t>
    </w:r>
    <w:r w:rsidR="00DA3839">
      <w:fldChar w:fldCharType="begin"/>
    </w:r>
    <w:r w:rsidR="00DA3839">
      <w:instrText xml:space="preserve">= </w:instrText>
    </w:r>
    <w:r w:rsidR="00DA3839">
      <w:fldChar w:fldCharType="begin"/>
    </w:r>
    <w:r w:rsidR="00DA3839">
      <w:instrText xml:space="preserve">Page  </w:instrText>
    </w:r>
    <w:r w:rsidR="00DA3839">
      <w:fldChar w:fldCharType="separate"/>
    </w:r>
    <w:r w:rsidR="00EC1251">
      <w:rPr>
        <w:noProof/>
      </w:rPr>
      <w:instrText>15</w:instrText>
    </w:r>
    <w:r w:rsidR="00DA3839">
      <w:fldChar w:fldCharType="end"/>
    </w:r>
    <w:r w:rsidR="00DA3839">
      <w:instrText xml:space="preserve">- 5 </w:instrText>
    </w:r>
    <w:r w:rsidR="00DA3839">
      <w:fldChar w:fldCharType="separate"/>
    </w:r>
    <w:r w:rsidR="00EC1251">
      <w:rPr>
        <w:noProof/>
      </w:rPr>
      <w:t>10</w:t>
    </w:r>
    <w:r w:rsidR="00DA3839">
      <w:fldChar w:fldCharType="end"/>
    </w:r>
    <w:r w:rsidR="00DA3839">
      <w:t xml:space="preserve"> of 10</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D2C" w:rsidRDefault="00033D2C" w:rsidP="00220732">
    <w:pPr>
      <w:pStyle w:val="Header"/>
      <w:tabs>
        <w:tab w:val="clear" w:pos="4320"/>
        <w:tab w:val="clear" w:pos="8640"/>
        <w:tab w:val="right" w:pos="9360"/>
      </w:tabs>
    </w:pPr>
    <w:r>
      <w:fldChar w:fldCharType="begin"/>
    </w:r>
    <w:r>
      <w:instrText xml:space="preserve"> REF DocketLabel</w:instrText>
    </w:r>
    <w:r>
      <w:fldChar w:fldCharType="separate"/>
    </w:r>
    <w:r w:rsidR="00733A85">
      <w:t>Docket No.</w:t>
    </w:r>
    <w:r>
      <w:fldChar w:fldCharType="end"/>
    </w:r>
    <w:r>
      <w:t xml:space="preserve"> </w:t>
    </w:r>
    <w:r>
      <w:fldChar w:fldCharType="begin"/>
    </w:r>
    <w:r>
      <w:instrText xml:space="preserve"> REF DocketList</w:instrText>
    </w:r>
    <w:r>
      <w:fldChar w:fldCharType="separate"/>
    </w:r>
    <w:r w:rsidR="00733A85">
      <w:t>20210131-EU</w:t>
    </w:r>
    <w:r>
      <w:fldChar w:fldCharType="end"/>
    </w:r>
    <w:r>
      <w:tab/>
    </w:r>
    <w:r w:rsidR="00ED638B">
      <w:tab/>
    </w:r>
    <w:r w:rsidR="00ED638B">
      <w:tab/>
    </w:r>
    <w:r>
      <w:t>Attachment B</w:t>
    </w:r>
  </w:p>
  <w:p w:rsidR="00033D2C" w:rsidRDefault="00033D2C">
    <w:pPr>
      <w:pStyle w:val="Header"/>
    </w:pPr>
    <w:r>
      <w:t xml:space="preserve">Date: </w:t>
    </w:r>
    <w:fldSimple w:instr=" REF FilingDate ">
      <w:r w:rsidR="00733A85">
        <w:t>October 21, 2021</w:t>
      </w:r>
    </w:fldSimple>
    <w:r w:rsidR="00DA3839">
      <w:tab/>
    </w:r>
    <w:r w:rsidR="00DA3839">
      <w:tab/>
    </w:r>
    <w:r w:rsidR="00DA3839">
      <w:tab/>
    </w:r>
    <w:r w:rsidR="00DA3839">
      <w:tab/>
    </w:r>
    <w:r w:rsidR="00DA3839">
      <w:tab/>
      <w:t xml:space="preserve">Page </w:t>
    </w:r>
    <w:r w:rsidR="00DA3839">
      <w:fldChar w:fldCharType="begin"/>
    </w:r>
    <w:r w:rsidR="00DA3839">
      <w:instrText xml:space="preserve"> =</w:instrText>
    </w:r>
    <w:r w:rsidR="00DA3839">
      <w:fldChar w:fldCharType="begin"/>
    </w:r>
    <w:r w:rsidR="00DA3839">
      <w:instrText>Page</w:instrText>
    </w:r>
    <w:r w:rsidR="00DA3839">
      <w:fldChar w:fldCharType="separate"/>
    </w:r>
    <w:r w:rsidR="00EC1251">
      <w:rPr>
        <w:noProof/>
      </w:rPr>
      <w:instrText>21</w:instrText>
    </w:r>
    <w:r w:rsidR="00DA3839">
      <w:fldChar w:fldCharType="end"/>
    </w:r>
    <w:r w:rsidR="00DA3839">
      <w:instrText xml:space="preserve">- 15 </w:instrText>
    </w:r>
    <w:r w:rsidR="00DA3839">
      <w:fldChar w:fldCharType="separate"/>
    </w:r>
    <w:r w:rsidR="00EC1251">
      <w:rPr>
        <w:noProof/>
      </w:rPr>
      <w:t>6</w:t>
    </w:r>
    <w:r w:rsidR="00DA3839">
      <w:fldChar w:fldCharType="end"/>
    </w:r>
    <w:r w:rsidR="00DA3839">
      <w:t xml:space="preserve"> of 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228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1F04D5"/>
    <w:rsid w:val="000043D5"/>
    <w:rsid w:val="00006170"/>
    <w:rsid w:val="00010E37"/>
    <w:rsid w:val="000172DA"/>
    <w:rsid w:val="000247C5"/>
    <w:rsid w:val="000277C2"/>
    <w:rsid w:val="00033D2C"/>
    <w:rsid w:val="00035B48"/>
    <w:rsid w:val="00036CE2"/>
    <w:rsid w:val="000437FE"/>
    <w:rsid w:val="000513BE"/>
    <w:rsid w:val="00065A06"/>
    <w:rsid w:val="000666F3"/>
    <w:rsid w:val="00070DCB"/>
    <w:rsid w:val="00072CCA"/>
    <w:rsid w:val="00073120"/>
    <w:rsid w:val="00075DFA"/>
    <w:rsid w:val="000764D0"/>
    <w:rsid w:val="000828D3"/>
    <w:rsid w:val="000A2B57"/>
    <w:rsid w:val="000A418B"/>
    <w:rsid w:val="000C4431"/>
    <w:rsid w:val="000D1C06"/>
    <w:rsid w:val="000D4319"/>
    <w:rsid w:val="000D78F6"/>
    <w:rsid w:val="000F0D80"/>
    <w:rsid w:val="000F374A"/>
    <w:rsid w:val="000F522E"/>
    <w:rsid w:val="001076AF"/>
    <w:rsid w:val="00117C8C"/>
    <w:rsid w:val="00124C38"/>
    <w:rsid w:val="00124E2E"/>
    <w:rsid w:val="00125ED4"/>
    <w:rsid w:val="001305E9"/>
    <w:rsid w:val="001307AF"/>
    <w:rsid w:val="00135687"/>
    <w:rsid w:val="0015506E"/>
    <w:rsid w:val="00163031"/>
    <w:rsid w:val="00171A90"/>
    <w:rsid w:val="00180254"/>
    <w:rsid w:val="00191E1F"/>
    <w:rsid w:val="00192943"/>
    <w:rsid w:val="001A146A"/>
    <w:rsid w:val="001A7406"/>
    <w:rsid w:val="001B326E"/>
    <w:rsid w:val="001B4FEE"/>
    <w:rsid w:val="001B51C5"/>
    <w:rsid w:val="001B6F3F"/>
    <w:rsid w:val="001C14F4"/>
    <w:rsid w:val="001C52B5"/>
    <w:rsid w:val="001D0D3E"/>
    <w:rsid w:val="001F04D5"/>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829E5"/>
    <w:rsid w:val="00292D82"/>
    <w:rsid w:val="002963CB"/>
    <w:rsid w:val="002A4708"/>
    <w:rsid w:val="002B4A01"/>
    <w:rsid w:val="002D10D9"/>
    <w:rsid w:val="002D226D"/>
    <w:rsid w:val="002D5077"/>
    <w:rsid w:val="002F6030"/>
    <w:rsid w:val="003031E6"/>
    <w:rsid w:val="003037E1"/>
    <w:rsid w:val="00307E51"/>
    <w:rsid w:val="003103EC"/>
    <w:rsid w:val="003144EF"/>
    <w:rsid w:val="00322F74"/>
    <w:rsid w:val="00340073"/>
    <w:rsid w:val="003632FD"/>
    <w:rsid w:val="0037068B"/>
    <w:rsid w:val="00372805"/>
    <w:rsid w:val="00373180"/>
    <w:rsid w:val="00375AB9"/>
    <w:rsid w:val="003821A0"/>
    <w:rsid w:val="00385B04"/>
    <w:rsid w:val="003864CF"/>
    <w:rsid w:val="003948AE"/>
    <w:rsid w:val="003A22A6"/>
    <w:rsid w:val="003A5494"/>
    <w:rsid w:val="003B2510"/>
    <w:rsid w:val="003C2CC4"/>
    <w:rsid w:val="003C3710"/>
    <w:rsid w:val="003E0EFC"/>
    <w:rsid w:val="003E28DD"/>
    <w:rsid w:val="003E4A2B"/>
    <w:rsid w:val="003E76C2"/>
    <w:rsid w:val="003F1679"/>
    <w:rsid w:val="003F21EB"/>
    <w:rsid w:val="003F4A35"/>
    <w:rsid w:val="003F7FDD"/>
    <w:rsid w:val="00402481"/>
    <w:rsid w:val="004042B4"/>
    <w:rsid w:val="00410DC4"/>
    <w:rsid w:val="00412DAE"/>
    <w:rsid w:val="004242E6"/>
    <w:rsid w:val="00431598"/>
    <w:rsid w:val="004319AD"/>
    <w:rsid w:val="004426B8"/>
    <w:rsid w:val="00444432"/>
    <w:rsid w:val="00471860"/>
    <w:rsid w:val="004757CC"/>
    <w:rsid w:val="00477026"/>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A2B"/>
    <w:rsid w:val="00506C03"/>
    <w:rsid w:val="00511A11"/>
    <w:rsid w:val="00516496"/>
    <w:rsid w:val="00523B11"/>
    <w:rsid w:val="00524F7E"/>
    <w:rsid w:val="0052572A"/>
    <w:rsid w:val="00532DFB"/>
    <w:rsid w:val="00543CB3"/>
    <w:rsid w:val="005442E4"/>
    <w:rsid w:val="0055529B"/>
    <w:rsid w:val="00560FF0"/>
    <w:rsid w:val="005614BD"/>
    <w:rsid w:val="0057154F"/>
    <w:rsid w:val="00580F69"/>
    <w:rsid w:val="00581CA3"/>
    <w:rsid w:val="00586725"/>
    <w:rsid w:val="00587A44"/>
    <w:rsid w:val="00597730"/>
    <w:rsid w:val="005977EC"/>
    <w:rsid w:val="00597DE7"/>
    <w:rsid w:val="005A4AA2"/>
    <w:rsid w:val="005B34B6"/>
    <w:rsid w:val="005B6C8F"/>
    <w:rsid w:val="005B6EC3"/>
    <w:rsid w:val="005D0F74"/>
    <w:rsid w:val="005D2E7D"/>
    <w:rsid w:val="005D4A8F"/>
    <w:rsid w:val="005D561B"/>
    <w:rsid w:val="005D5ECF"/>
    <w:rsid w:val="005F468D"/>
    <w:rsid w:val="005F65B0"/>
    <w:rsid w:val="005F69A3"/>
    <w:rsid w:val="00604CC7"/>
    <w:rsid w:val="00614FBA"/>
    <w:rsid w:val="00615423"/>
    <w:rsid w:val="006165B2"/>
    <w:rsid w:val="00616AF0"/>
    <w:rsid w:val="00617276"/>
    <w:rsid w:val="006224AC"/>
    <w:rsid w:val="0062527B"/>
    <w:rsid w:val="00625D97"/>
    <w:rsid w:val="00625F1C"/>
    <w:rsid w:val="006279E1"/>
    <w:rsid w:val="00630CEB"/>
    <w:rsid w:val="00632264"/>
    <w:rsid w:val="00633707"/>
    <w:rsid w:val="006470BC"/>
    <w:rsid w:val="00654164"/>
    <w:rsid w:val="006554D3"/>
    <w:rsid w:val="00667036"/>
    <w:rsid w:val="00673BDB"/>
    <w:rsid w:val="00674341"/>
    <w:rsid w:val="006771B8"/>
    <w:rsid w:val="006843B6"/>
    <w:rsid w:val="0068481F"/>
    <w:rsid w:val="00696F5D"/>
    <w:rsid w:val="00697249"/>
    <w:rsid w:val="006B3947"/>
    <w:rsid w:val="006B4293"/>
    <w:rsid w:val="006B624F"/>
    <w:rsid w:val="006C0C95"/>
    <w:rsid w:val="006C1CE5"/>
    <w:rsid w:val="006C31E3"/>
    <w:rsid w:val="006D18D3"/>
    <w:rsid w:val="006E08CB"/>
    <w:rsid w:val="006E4D22"/>
    <w:rsid w:val="006E598D"/>
    <w:rsid w:val="006F1B57"/>
    <w:rsid w:val="0070437D"/>
    <w:rsid w:val="00704CF1"/>
    <w:rsid w:val="00705B04"/>
    <w:rsid w:val="00724992"/>
    <w:rsid w:val="00733A85"/>
    <w:rsid w:val="00734820"/>
    <w:rsid w:val="007349DC"/>
    <w:rsid w:val="0074365E"/>
    <w:rsid w:val="00744B55"/>
    <w:rsid w:val="007515FD"/>
    <w:rsid w:val="00760D80"/>
    <w:rsid w:val="00780C09"/>
    <w:rsid w:val="00780DDF"/>
    <w:rsid w:val="007834E9"/>
    <w:rsid w:val="00787DBC"/>
    <w:rsid w:val="0079019A"/>
    <w:rsid w:val="00792935"/>
    <w:rsid w:val="007A04A1"/>
    <w:rsid w:val="007A1840"/>
    <w:rsid w:val="007C0528"/>
    <w:rsid w:val="007C16F1"/>
    <w:rsid w:val="007C38EE"/>
    <w:rsid w:val="007C3D38"/>
    <w:rsid w:val="007D0F35"/>
    <w:rsid w:val="007D4FEB"/>
    <w:rsid w:val="007D6146"/>
    <w:rsid w:val="007E0CE7"/>
    <w:rsid w:val="007E7D5F"/>
    <w:rsid w:val="007F1193"/>
    <w:rsid w:val="007F417F"/>
    <w:rsid w:val="007F7644"/>
    <w:rsid w:val="008042BD"/>
    <w:rsid w:val="008053DD"/>
    <w:rsid w:val="00816624"/>
    <w:rsid w:val="00822427"/>
    <w:rsid w:val="00822562"/>
    <w:rsid w:val="00823663"/>
    <w:rsid w:val="00832DDC"/>
    <w:rsid w:val="00850BAC"/>
    <w:rsid w:val="00854A3E"/>
    <w:rsid w:val="00855D08"/>
    <w:rsid w:val="00857525"/>
    <w:rsid w:val="00874344"/>
    <w:rsid w:val="00882155"/>
    <w:rsid w:val="0088233B"/>
    <w:rsid w:val="00883528"/>
    <w:rsid w:val="008846CB"/>
    <w:rsid w:val="0088599E"/>
    <w:rsid w:val="00886C37"/>
    <w:rsid w:val="00892D99"/>
    <w:rsid w:val="00893315"/>
    <w:rsid w:val="008A4508"/>
    <w:rsid w:val="008B5461"/>
    <w:rsid w:val="008B62AE"/>
    <w:rsid w:val="008C04B5"/>
    <w:rsid w:val="008C14FA"/>
    <w:rsid w:val="008C7B0B"/>
    <w:rsid w:val="008D0A13"/>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148F8"/>
    <w:rsid w:val="00920E64"/>
    <w:rsid w:val="00922002"/>
    <w:rsid w:val="00924020"/>
    <w:rsid w:val="009271A7"/>
    <w:rsid w:val="009333A2"/>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C39B8"/>
    <w:rsid w:val="009C3DB9"/>
    <w:rsid w:val="009D46E5"/>
    <w:rsid w:val="009D568A"/>
    <w:rsid w:val="009D6EA3"/>
    <w:rsid w:val="009F04EC"/>
    <w:rsid w:val="009F2A7C"/>
    <w:rsid w:val="009F3B36"/>
    <w:rsid w:val="00A019B9"/>
    <w:rsid w:val="00A12508"/>
    <w:rsid w:val="00A1282B"/>
    <w:rsid w:val="00A13A27"/>
    <w:rsid w:val="00A175B6"/>
    <w:rsid w:val="00A17852"/>
    <w:rsid w:val="00A21835"/>
    <w:rsid w:val="00A2374B"/>
    <w:rsid w:val="00A27D6E"/>
    <w:rsid w:val="00A328EC"/>
    <w:rsid w:val="00A33A51"/>
    <w:rsid w:val="00A41CA6"/>
    <w:rsid w:val="00A42FA9"/>
    <w:rsid w:val="00A47927"/>
    <w:rsid w:val="00A47FFC"/>
    <w:rsid w:val="00A5442F"/>
    <w:rsid w:val="00A54FF9"/>
    <w:rsid w:val="00A56765"/>
    <w:rsid w:val="00A675AC"/>
    <w:rsid w:val="00A7581F"/>
    <w:rsid w:val="00A92FB1"/>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4228B"/>
    <w:rsid w:val="00B516ED"/>
    <w:rsid w:val="00B57A6A"/>
    <w:rsid w:val="00B760F1"/>
    <w:rsid w:val="00B7669E"/>
    <w:rsid w:val="00B77DA1"/>
    <w:rsid w:val="00B822A0"/>
    <w:rsid w:val="00B858AE"/>
    <w:rsid w:val="00B85964"/>
    <w:rsid w:val="00B96250"/>
    <w:rsid w:val="00BA0D55"/>
    <w:rsid w:val="00BA37B3"/>
    <w:rsid w:val="00BA4CC6"/>
    <w:rsid w:val="00BB3493"/>
    <w:rsid w:val="00BB3783"/>
    <w:rsid w:val="00BB7468"/>
    <w:rsid w:val="00BC188A"/>
    <w:rsid w:val="00BC402E"/>
    <w:rsid w:val="00BD0F48"/>
    <w:rsid w:val="00BE6DDB"/>
    <w:rsid w:val="00BE70DA"/>
    <w:rsid w:val="00BF5010"/>
    <w:rsid w:val="00C03D5F"/>
    <w:rsid w:val="00C1173F"/>
    <w:rsid w:val="00C11AF9"/>
    <w:rsid w:val="00C13791"/>
    <w:rsid w:val="00C305A2"/>
    <w:rsid w:val="00C31BB3"/>
    <w:rsid w:val="00C33757"/>
    <w:rsid w:val="00C36977"/>
    <w:rsid w:val="00C467DA"/>
    <w:rsid w:val="00C477D9"/>
    <w:rsid w:val="00C52CEB"/>
    <w:rsid w:val="00C60BA3"/>
    <w:rsid w:val="00C623F7"/>
    <w:rsid w:val="00C62A81"/>
    <w:rsid w:val="00C64AB3"/>
    <w:rsid w:val="00C75BC5"/>
    <w:rsid w:val="00C81670"/>
    <w:rsid w:val="00C81773"/>
    <w:rsid w:val="00C819B4"/>
    <w:rsid w:val="00C82861"/>
    <w:rsid w:val="00C86896"/>
    <w:rsid w:val="00C907A8"/>
    <w:rsid w:val="00C912D4"/>
    <w:rsid w:val="00C93211"/>
    <w:rsid w:val="00C942EC"/>
    <w:rsid w:val="00C96047"/>
    <w:rsid w:val="00C96F36"/>
    <w:rsid w:val="00C979D0"/>
    <w:rsid w:val="00CA0818"/>
    <w:rsid w:val="00CA15C8"/>
    <w:rsid w:val="00CA217D"/>
    <w:rsid w:val="00CA2C8F"/>
    <w:rsid w:val="00CA30DA"/>
    <w:rsid w:val="00CA3A24"/>
    <w:rsid w:val="00CB1777"/>
    <w:rsid w:val="00CB33E9"/>
    <w:rsid w:val="00CC10A9"/>
    <w:rsid w:val="00CE2BF8"/>
    <w:rsid w:val="00CE484E"/>
    <w:rsid w:val="00CE656F"/>
    <w:rsid w:val="00CF0DA8"/>
    <w:rsid w:val="00CF2E25"/>
    <w:rsid w:val="00CF4453"/>
    <w:rsid w:val="00CF5D94"/>
    <w:rsid w:val="00CF73CD"/>
    <w:rsid w:val="00CF7E0F"/>
    <w:rsid w:val="00D02B1F"/>
    <w:rsid w:val="00D034D7"/>
    <w:rsid w:val="00D04BE4"/>
    <w:rsid w:val="00D06FC7"/>
    <w:rsid w:val="00D12565"/>
    <w:rsid w:val="00D14127"/>
    <w:rsid w:val="00D223F5"/>
    <w:rsid w:val="00D43B88"/>
    <w:rsid w:val="00D60B16"/>
    <w:rsid w:val="00D60F02"/>
    <w:rsid w:val="00D66E49"/>
    <w:rsid w:val="00D70D71"/>
    <w:rsid w:val="00D72F74"/>
    <w:rsid w:val="00D7391E"/>
    <w:rsid w:val="00D81563"/>
    <w:rsid w:val="00D85907"/>
    <w:rsid w:val="00D9073E"/>
    <w:rsid w:val="00D9221D"/>
    <w:rsid w:val="00D958DF"/>
    <w:rsid w:val="00D96DA1"/>
    <w:rsid w:val="00DA3839"/>
    <w:rsid w:val="00DA51E7"/>
    <w:rsid w:val="00DB0260"/>
    <w:rsid w:val="00DB1C78"/>
    <w:rsid w:val="00DB7D96"/>
    <w:rsid w:val="00DC23FE"/>
    <w:rsid w:val="00DC59E6"/>
    <w:rsid w:val="00DD150B"/>
    <w:rsid w:val="00DD5025"/>
    <w:rsid w:val="00DF1510"/>
    <w:rsid w:val="00E02F1F"/>
    <w:rsid w:val="00E06484"/>
    <w:rsid w:val="00E20A7D"/>
    <w:rsid w:val="00E275D8"/>
    <w:rsid w:val="00E30F6A"/>
    <w:rsid w:val="00E3117C"/>
    <w:rsid w:val="00E375CA"/>
    <w:rsid w:val="00E42AD1"/>
    <w:rsid w:val="00E5364F"/>
    <w:rsid w:val="00E567E8"/>
    <w:rsid w:val="00E6087B"/>
    <w:rsid w:val="00E64679"/>
    <w:rsid w:val="00E65EBC"/>
    <w:rsid w:val="00E677FE"/>
    <w:rsid w:val="00E71FFD"/>
    <w:rsid w:val="00E73432"/>
    <w:rsid w:val="00E77B0C"/>
    <w:rsid w:val="00E77FB8"/>
    <w:rsid w:val="00E838B0"/>
    <w:rsid w:val="00E86A7C"/>
    <w:rsid w:val="00E878E1"/>
    <w:rsid w:val="00E87F2C"/>
    <w:rsid w:val="00E95278"/>
    <w:rsid w:val="00EA2273"/>
    <w:rsid w:val="00EA7C3C"/>
    <w:rsid w:val="00EB2DB3"/>
    <w:rsid w:val="00EC1251"/>
    <w:rsid w:val="00EC3FBB"/>
    <w:rsid w:val="00EC6B7A"/>
    <w:rsid w:val="00ED3A87"/>
    <w:rsid w:val="00ED5B67"/>
    <w:rsid w:val="00ED638B"/>
    <w:rsid w:val="00EF086D"/>
    <w:rsid w:val="00EF264C"/>
    <w:rsid w:val="00EF3FEE"/>
    <w:rsid w:val="00F04B59"/>
    <w:rsid w:val="00F11741"/>
    <w:rsid w:val="00F12B1C"/>
    <w:rsid w:val="00F13CF8"/>
    <w:rsid w:val="00F15855"/>
    <w:rsid w:val="00F200B2"/>
    <w:rsid w:val="00F227DC"/>
    <w:rsid w:val="00F32978"/>
    <w:rsid w:val="00F33E33"/>
    <w:rsid w:val="00F45CB2"/>
    <w:rsid w:val="00F544C0"/>
    <w:rsid w:val="00F55332"/>
    <w:rsid w:val="00F6504A"/>
    <w:rsid w:val="00F65519"/>
    <w:rsid w:val="00F713C0"/>
    <w:rsid w:val="00F75DDC"/>
    <w:rsid w:val="00F7792F"/>
    <w:rsid w:val="00F842AA"/>
    <w:rsid w:val="00F8476F"/>
    <w:rsid w:val="00F853E1"/>
    <w:rsid w:val="00F85604"/>
    <w:rsid w:val="00F91C98"/>
    <w:rsid w:val="00F94B7A"/>
    <w:rsid w:val="00FA17AC"/>
    <w:rsid w:val="00FA32DE"/>
    <w:rsid w:val="00FA3382"/>
    <w:rsid w:val="00FA59CD"/>
    <w:rsid w:val="00FB1740"/>
    <w:rsid w:val="00FC5469"/>
    <w:rsid w:val="00FC55B4"/>
    <w:rsid w:val="00FC6D7D"/>
    <w:rsid w:val="00FD16B0"/>
    <w:rsid w:val="00FD3BB8"/>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FC9474F8-385F-4007-A6D2-E54171E2F0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unhideWhenUsed/>
    <w:rsid w:val="00F91C98"/>
    <w:rPr>
      <w:vertAlign w:val="superscript"/>
    </w:rPr>
  </w:style>
  <w:style w:type="character" w:customStyle="1" w:styleId="FootnoteTextChar">
    <w:name w:val="Footnote Text Char"/>
    <w:basedOn w:val="DefaultParagraphFont"/>
    <w:link w:val="FootnoteText"/>
    <w:uiPriority w:val="99"/>
    <w:rsid w:val="00F91C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jp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g"/><Relationship Id="rId25" Type="http://schemas.openxmlformats.org/officeDocument/2006/relationships/image" Target="media/image12.jpeg"/><Relationship Id="rId33"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jpg"/><Relationship Id="rId32"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58BAB-C385-486D-B552-255DF0268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23</Pages>
  <Words>1014</Words>
  <Characters>6175</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7175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Sevini Guffey</dc:creator>
  <cp:lastModifiedBy>Andrea Mick</cp:lastModifiedBy>
  <cp:revision>2</cp:revision>
  <cp:lastPrinted>2021-09-28T14:37:00Z</cp:lastPrinted>
  <dcterms:created xsi:type="dcterms:W3CDTF">2021-10-21T13:38:00Z</dcterms:created>
  <dcterms:modified xsi:type="dcterms:W3CDTF">2021-10-21T13:38:00Z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20210131-EU</vt:lpwstr>
  </property>
  <property fmtid="{D5CDD505-2E9C-101B-9397-08002B2CF9AE}" pid="3" name="MasterDocument">
    <vt:bool>false</vt:bool>
  </property>
</Properties>
</file>