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3B17F4" w:rsidP="00AE4ACC">
            <w:pPr>
              <w:pStyle w:val="MemoHeading"/>
            </w:pPr>
            <w:bookmarkStart w:id="1" w:name="FilingDate"/>
            <w:r>
              <w:t xml:space="preserve">November </w:t>
            </w:r>
            <w:r w:rsidR="00AE4ACC">
              <w:t>2</w:t>
            </w:r>
            <w:r>
              <w:t>3, 2021</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3B17F4" w:rsidRDefault="003B17F4">
            <w:pPr>
              <w:pStyle w:val="MemoHeading"/>
            </w:pPr>
            <w:bookmarkStart w:id="2" w:name="From"/>
            <w:r>
              <w:t>Division of Economics (Forrest, Coston)</w:t>
            </w:r>
          </w:p>
          <w:p w:rsidR="007C0528" w:rsidRDefault="003B17F4">
            <w:pPr>
              <w:pStyle w:val="MemoHeading"/>
            </w:pPr>
            <w:r>
              <w:t>Office of the General Counsel (Stiller)</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3B17F4">
            <w:pPr>
              <w:pStyle w:val="MemoHeadingRe"/>
            </w:pPr>
            <w:bookmarkStart w:id="3" w:name="Re"/>
            <w:r>
              <w:t>Docket No. 20210064-EI – Petition for approval of revised underground residential distribution tariffs, by Tampa Electric Company.</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AE4ACC">
            <w:pPr>
              <w:pStyle w:val="MemoHeading"/>
            </w:pPr>
            <w:bookmarkStart w:id="4" w:name="AgendaDate"/>
            <w:r>
              <w:t>12/07</w:t>
            </w:r>
            <w:r w:rsidR="003B17F4">
              <w:t>/21</w:t>
            </w:r>
            <w:bookmarkEnd w:id="4"/>
            <w:r w:rsidR="007C0528">
              <w:t xml:space="preserve"> </w:t>
            </w:r>
            <w:r w:rsidR="006F00AB">
              <w:t xml:space="preserve">–Tariff Filing </w:t>
            </w:r>
            <w:r w:rsidR="007C0528">
              <w:t xml:space="preserve">– </w:t>
            </w:r>
            <w:bookmarkStart w:id="5" w:name="PermittedStatus"/>
            <w:r w:rsidR="003B17F4">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3B17F4">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3B17F4">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3B17F4">
            <w:pPr>
              <w:pStyle w:val="MemoHeading"/>
            </w:pPr>
            <w:bookmarkStart w:id="9" w:name="CriticalDates"/>
            <w:r>
              <w:t>04/01/22 (12-Month Effective Date)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3B17F4">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3B17F4" w:rsidRPr="003B17F4" w:rsidRDefault="003B17F4" w:rsidP="003B17F4">
      <w:pPr>
        <w:pStyle w:val="BodyText"/>
      </w:pPr>
      <w:r w:rsidRPr="003B17F4">
        <w:t>On April 1, 2021, Tampa Electric Company (TECO or utility) filed a petition</w:t>
      </w:r>
      <w:r w:rsidR="00D96F46">
        <w:t xml:space="preserve"> (original </w:t>
      </w:r>
      <w:r w:rsidR="005D0ED4">
        <w:t>petition</w:t>
      </w:r>
      <w:r w:rsidR="00D96F46">
        <w:t>)</w:t>
      </w:r>
      <w:r w:rsidRPr="003B17F4">
        <w:t xml:space="preserve"> for approval of tariff modifications of its underground residential distribution (URD) tariff.  TECO’s current URD tariffs were approved in Order No. PSC-2018-0319-TRF-EI.</w:t>
      </w:r>
      <w:r w:rsidRPr="003B17F4">
        <w:rPr>
          <w:vertAlign w:val="superscript"/>
        </w:rPr>
        <w:footnoteReference w:id="1"/>
      </w:r>
    </w:p>
    <w:p w:rsidR="005D0ED4" w:rsidRDefault="00D96F46" w:rsidP="00D96F46">
      <w:pPr>
        <w:pStyle w:val="BodyText"/>
      </w:pPr>
      <w:r>
        <w:t xml:space="preserve">In TECO’s original </w:t>
      </w:r>
      <w:r w:rsidR="005D0ED4">
        <w:t>petition</w:t>
      </w:r>
      <w:r>
        <w:t xml:space="preserve">, </w:t>
      </w:r>
      <w:r w:rsidR="005D0ED4">
        <w:t xml:space="preserve">the utility provided </w:t>
      </w:r>
      <w:r>
        <w:t xml:space="preserve">updated cost calculations and supporting documentation for its </w:t>
      </w:r>
      <w:r w:rsidR="009E64FF">
        <w:t>low-density</w:t>
      </w:r>
      <w:r>
        <w:t xml:space="preserve"> and </w:t>
      </w:r>
      <w:r w:rsidR="009D5CEA">
        <w:t>high-density service lateral differential cost</w:t>
      </w:r>
      <w:r w:rsidR="005D0ED4">
        <w:t>, per Rule 25-6.078, Florida Administrative Code (F.A.C.)</w:t>
      </w:r>
      <w:r w:rsidR="005364CF">
        <w:t>. These calculations take</w:t>
      </w:r>
      <w:r>
        <w:t xml:space="preserve"> into account current labor and material costs and an updated net present value</w:t>
      </w:r>
      <w:r w:rsidR="00A37E77">
        <w:t xml:space="preserve"> (NPV)</w:t>
      </w:r>
      <w:r>
        <w:t xml:space="preserve"> analysis, which includes the average historical storm restoration costs, as allowed in subsection 4 of the rule. The utility’s calculation determined that </w:t>
      </w:r>
      <w:proofErr w:type="gramStart"/>
      <w:r>
        <w:t>the per</w:t>
      </w:r>
      <w:proofErr w:type="gramEnd"/>
      <w:r>
        <w:t xml:space="preserve"> lot undergrounding differential for </w:t>
      </w:r>
      <w:r w:rsidR="009E64FF">
        <w:t>high-density</w:t>
      </w:r>
      <w:r>
        <w:t xml:space="preserve"> subdivisions is </w:t>
      </w:r>
      <w:r w:rsidR="009E64FF">
        <w:t>$0.00</w:t>
      </w:r>
      <w:r>
        <w:t xml:space="preserve"> and the per lot undergrounding differential for </w:t>
      </w:r>
      <w:r w:rsidR="009E64FF">
        <w:t>low-density</w:t>
      </w:r>
      <w:r>
        <w:t xml:space="preserve"> subdivisions is $370.29. In its </w:t>
      </w:r>
      <w:r w:rsidR="005D0ED4">
        <w:t xml:space="preserve">original </w:t>
      </w:r>
      <w:r>
        <w:lastRenderedPageBreak/>
        <w:t xml:space="preserve">petition, TECO </w:t>
      </w:r>
      <w:r w:rsidR="009E64FF">
        <w:t>proposed to waive the $370.29 per lot low-density subdivision charge, pursuant to Rule 25-6.078(10), F.A.C., and continue to set the charge at $0.00.</w:t>
      </w:r>
    </w:p>
    <w:p w:rsidR="005D0ED4" w:rsidRDefault="003B17F4" w:rsidP="00D96F46">
      <w:pPr>
        <w:pStyle w:val="BodyText"/>
      </w:pPr>
      <w:r w:rsidRPr="003B17F4">
        <w:t>Staff issued three data requests</w:t>
      </w:r>
      <w:r w:rsidR="005D0ED4">
        <w:t xml:space="preserve"> on the original petition</w:t>
      </w:r>
      <w:r w:rsidRPr="003B17F4">
        <w:t xml:space="preserve">, for which responses were provided on May 19, July 14, and August 2, 2021. </w:t>
      </w:r>
      <w:r w:rsidR="000009A4">
        <w:t>In addition, o</w:t>
      </w:r>
      <w:r w:rsidRPr="003B17F4">
        <w:t xml:space="preserve">n August 4, 2021, TECO filed a revised response to question 3a in staff’s third data request. </w:t>
      </w:r>
      <w:r w:rsidR="000009A4">
        <w:t>S</w:t>
      </w:r>
      <w:r w:rsidRPr="003B17F4">
        <w:t>taff held a conference call with the utility on August 31, 2021. As a result of that call,</w:t>
      </w:r>
      <w:r w:rsidR="00514704" w:rsidRPr="00514704">
        <w:t xml:space="preserve"> on September 15, 2021</w:t>
      </w:r>
      <w:r w:rsidR="009A2F5D">
        <w:t>,</w:t>
      </w:r>
      <w:r w:rsidRPr="003B17F4">
        <w:t xml:space="preserve"> the utility provided a supplement to</w:t>
      </w:r>
      <w:r w:rsidR="005364CF">
        <w:t xml:space="preserve"> its</w:t>
      </w:r>
      <w:r w:rsidRPr="003B17F4">
        <w:t xml:space="preserve"> response to staff’s first data request</w:t>
      </w:r>
      <w:r w:rsidR="009D5CEA">
        <w:t>, question one</w:t>
      </w:r>
      <w:r w:rsidR="00514704">
        <w:t>.</w:t>
      </w:r>
      <w:r>
        <w:t xml:space="preserve"> O</w:t>
      </w:r>
      <w:r w:rsidRPr="003B17F4">
        <w:t>n September 30, 2021, TECO filed a response to staff’s first supplemental data request.</w:t>
      </w:r>
      <w:r>
        <w:t xml:space="preserve"> </w:t>
      </w:r>
    </w:p>
    <w:p w:rsidR="003B17F4" w:rsidRPr="003B17F4" w:rsidRDefault="003B17F4" w:rsidP="00D96F46">
      <w:pPr>
        <w:pStyle w:val="BodyText"/>
      </w:pPr>
      <w:r>
        <w:t>On November 1</w:t>
      </w:r>
      <w:r w:rsidR="00D96F46">
        <w:t>0</w:t>
      </w:r>
      <w:r>
        <w:t>, 2021</w:t>
      </w:r>
      <w:r w:rsidR="00D96F46">
        <w:t>, staff held a subsequent conference call with the utility. In response to this call,</w:t>
      </w:r>
      <w:r>
        <w:t xml:space="preserve"> the utility filed an amended petition on November </w:t>
      </w:r>
      <w:r w:rsidR="00D96F46">
        <w:t>12</w:t>
      </w:r>
      <w:r>
        <w:t>, 2021</w:t>
      </w:r>
      <w:r w:rsidR="00D96F46">
        <w:t>, modifying the utility’s requested low-density per lot differential</w:t>
      </w:r>
      <w:r w:rsidR="00514704">
        <w:t>.</w:t>
      </w:r>
      <w:r>
        <w:t xml:space="preserve"> </w:t>
      </w:r>
      <w:r w:rsidR="005D0ED4">
        <w:t xml:space="preserve">In the </w:t>
      </w:r>
      <w:r w:rsidR="00DC7D3E">
        <w:t>amended</w:t>
      </w:r>
      <w:r w:rsidR="005D0ED4">
        <w:t xml:space="preserve"> petition, the utility </w:t>
      </w:r>
      <w:r w:rsidR="006468E7">
        <w:t xml:space="preserve">removed its </w:t>
      </w:r>
      <w:r w:rsidR="005D0ED4">
        <w:t>requested</w:t>
      </w:r>
      <w:r w:rsidR="00021CA2">
        <w:t xml:space="preserve"> waiver of the $370.29</w:t>
      </w:r>
      <w:r w:rsidR="009A2F5D">
        <w:t xml:space="preserve"> per lot</w:t>
      </w:r>
      <w:r w:rsidR="00021CA2">
        <w:t xml:space="preserve"> charge,</w:t>
      </w:r>
      <w:r w:rsidR="006468E7">
        <w:t xml:space="preserve"> </w:t>
      </w:r>
      <w:r w:rsidR="00A92ABB">
        <w:t>pursuant to</w:t>
      </w:r>
      <w:r w:rsidR="00021CA2">
        <w:t xml:space="preserve"> Rule 25-6-078(10), F.A.C.</w:t>
      </w:r>
      <w:r w:rsidR="00A92ABB">
        <w:t>,</w:t>
      </w:r>
      <w:r w:rsidR="00021CA2">
        <w:t xml:space="preserve"> </w:t>
      </w:r>
      <w:r w:rsidR="00A92ABB">
        <w:t>and</w:t>
      </w:r>
      <w:r w:rsidR="00021CA2">
        <w:t xml:space="preserve"> proposed a</w:t>
      </w:r>
      <w:r w:rsidR="009E64FF">
        <w:t xml:space="preserve"> </w:t>
      </w:r>
      <w:r w:rsidR="005D0ED4">
        <w:t>low-densit</w:t>
      </w:r>
      <w:r w:rsidR="009E64FF">
        <w:t xml:space="preserve">y per lot differential </w:t>
      </w:r>
      <w:r w:rsidR="00DC7D3E">
        <w:t>of</w:t>
      </w:r>
      <w:r w:rsidR="006468E7">
        <w:t xml:space="preserve"> </w:t>
      </w:r>
      <w:r w:rsidR="005D0ED4">
        <w:t>$370.29</w:t>
      </w:r>
      <w:r w:rsidR="00DC7D3E">
        <w:t>, as supported by the calculations</w:t>
      </w:r>
      <w:r w:rsidR="005D0ED4">
        <w:t xml:space="preserve">. </w:t>
      </w:r>
      <w:r w:rsidR="00D96F46" w:rsidRPr="003B17F4">
        <w:t>The</w:t>
      </w:r>
      <w:r w:rsidR="005364CF">
        <w:t xml:space="preserve"> proposed tariffs and</w:t>
      </w:r>
      <w:r w:rsidR="00D96F46" w:rsidRPr="003B17F4">
        <w:t xml:space="preserve"> charges </w:t>
      </w:r>
      <w:r w:rsidR="00D96F46">
        <w:t xml:space="preserve">associated with the amended petition </w:t>
      </w:r>
      <w:r w:rsidR="00D96F46" w:rsidRPr="003B17F4">
        <w:t>are shown in legislative format in Attachment A of the recommendation.</w:t>
      </w:r>
    </w:p>
    <w:p w:rsidR="003B17F4" w:rsidRPr="003B17F4" w:rsidRDefault="003B17F4" w:rsidP="003B17F4">
      <w:pPr>
        <w:pStyle w:val="BodyText"/>
      </w:pPr>
      <w:r w:rsidRPr="003B17F4">
        <w:t>The Commission suspended the proposed tariffs on May 4, 2021, pursuant to Section 366.06(3), Florida Statutes (F.S.). On September 28, 2021, TECO waived the eight-month requirement of Section 366.06(3), F.S. The Commission has jurisdiction over this matter pursuant to Sections 366.</w:t>
      </w:r>
      <w:r w:rsidR="005364CF">
        <w:t>03, 366.04, 366.05, and 366.06 F.S</w:t>
      </w:r>
      <w:r w:rsidRPr="003B17F4">
        <w:t>.</w:t>
      </w:r>
    </w:p>
    <w:p w:rsidR="003B17F4" w:rsidRPr="003B17F4" w:rsidRDefault="003B17F4" w:rsidP="003B17F4">
      <w:pPr>
        <w:pStyle w:val="BodyText"/>
      </w:pP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3B17F4" w:rsidRDefault="003B17F4">
      <w:pPr>
        <w:pStyle w:val="IssueHeading"/>
        <w:rPr>
          <w:vanish/>
          <w:specVanish/>
        </w:rPr>
      </w:pPr>
      <w:r w:rsidRPr="004C3641">
        <w:t xml:space="preserve">Issue </w:t>
      </w:r>
      <w:fldSimple w:instr=" SEQ Issue \* MERGEFORMAT ">
        <w:r w:rsidR="00C54D12">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C54D12">
        <w:rPr>
          <w:noProof/>
        </w:rPr>
        <w:instrText>1</w:instrText>
      </w:r>
      <w:r>
        <w:fldChar w:fldCharType="end"/>
      </w:r>
      <w:r>
        <w:tab/>
        <w:instrText xml:space="preserve">" \l 1 </w:instrText>
      </w:r>
      <w:r>
        <w:fldChar w:fldCharType="end"/>
      </w:r>
      <w:r>
        <w:t> </w:t>
      </w:r>
    </w:p>
    <w:p w:rsidR="003B17F4" w:rsidRDefault="003B17F4">
      <w:pPr>
        <w:pStyle w:val="BodyText"/>
      </w:pPr>
      <w:r>
        <w:t> Should the Commission approve TECO’s underground residential distribution tariffs and associated charges</w:t>
      </w:r>
      <w:r w:rsidR="00A37E77">
        <w:t>?</w:t>
      </w:r>
      <w:r>
        <w:t xml:space="preserve"> </w:t>
      </w:r>
    </w:p>
    <w:p w:rsidR="003B17F4" w:rsidRPr="004C3641" w:rsidRDefault="003B17F4">
      <w:pPr>
        <w:pStyle w:val="IssueSubsectionHeading"/>
        <w:rPr>
          <w:vanish/>
          <w:specVanish/>
        </w:rPr>
      </w:pPr>
      <w:r w:rsidRPr="004C3641">
        <w:t>Recommendation: </w:t>
      </w:r>
    </w:p>
    <w:p w:rsidR="003B17F4" w:rsidRDefault="003B17F4">
      <w:pPr>
        <w:pStyle w:val="BodyText"/>
      </w:pPr>
      <w:r>
        <w:t> Yes</w:t>
      </w:r>
      <w:r w:rsidR="00A9294E">
        <w:t>, the Commission should approve</w:t>
      </w:r>
      <w:r>
        <w:t xml:space="preserve"> TECO</w:t>
      </w:r>
      <w:r w:rsidR="00C0378D">
        <w:t>’</w:t>
      </w:r>
      <w:r>
        <w:t>s underground residential distribution tariffs and associated charges as filed in the amended petition</w:t>
      </w:r>
      <w:r w:rsidR="00D80A05">
        <w:t>, effective thirty days after</w:t>
      </w:r>
      <w:r w:rsidR="002C0706">
        <w:t xml:space="preserve"> the</w:t>
      </w:r>
      <w:r w:rsidR="00D80A05">
        <w:t xml:space="preserve"> Commission vote</w:t>
      </w:r>
      <w:r>
        <w:t xml:space="preserve">.  </w:t>
      </w:r>
      <w:r w:rsidR="00A37E77">
        <w:t>(Forrest)</w:t>
      </w:r>
    </w:p>
    <w:p w:rsidR="003B17F4" w:rsidRPr="004C3641" w:rsidRDefault="003B17F4">
      <w:pPr>
        <w:pStyle w:val="IssueSubsectionHeading"/>
        <w:rPr>
          <w:vanish/>
          <w:specVanish/>
        </w:rPr>
      </w:pPr>
      <w:r w:rsidRPr="004C3641">
        <w:t>Staff Analysis: </w:t>
      </w:r>
    </w:p>
    <w:p w:rsidR="003B17F4" w:rsidRDefault="003B17F4">
      <w:pPr>
        <w:pStyle w:val="BodyText"/>
      </w:pPr>
      <w:r>
        <w:t> </w:t>
      </w:r>
      <w:r w:rsidRPr="003B17F4">
        <w:t xml:space="preserve">Rule 25-6.078, F.A.C., (URD rule) defines </w:t>
      </w:r>
      <w:r w:rsidR="005364CF">
        <w:t xml:space="preserve">electric </w:t>
      </w:r>
      <w:r w:rsidRPr="003B17F4">
        <w:t xml:space="preserve">investor-owned utilities’ (IOU) responsibilities for filing updated URD tariffs. All </w:t>
      </w:r>
      <w:r w:rsidR="006C334E">
        <w:t xml:space="preserve">electric </w:t>
      </w:r>
      <w:r w:rsidRPr="003B17F4">
        <w:t>IOUs are required to file supporting data and analyses for URD tariffs at least once every three years. The URD tariffs provide standard charges for underground service in new residential subdivisions and represent the additional costs, if any, the utility incurs to provide underground service in place of overhead service. The cost of standard overhead construction is recovered through base rates from all ratepayers. In lieu of overhead construction, customers have the option of requesting underground facilities. Typically, the URD customer is the developer of the subdivision.</w:t>
      </w:r>
    </w:p>
    <w:p w:rsidR="003B17F4" w:rsidRDefault="003B17F4" w:rsidP="003B17F4">
      <w:pPr>
        <w:pStyle w:val="BodyText"/>
      </w:pPr>
      <w:r>
        <w:t xml:space="preserve">In its </w:t>
      </w:r>
      <w:r w:rsidR="00D96F46">
        <w:t xml:space="preserve">amended </w:t>
      </w:r>
      <w:r>
        <w:t xml:space="preserve">petition, the utility </w:t>
      </w:r>
      <w:r w:rsidR="00021CA2">
        <w:t>resubmitted its</w:t>
      </w:r>
      <w:r>
        <w:t xml:space="preserve"> cost calculations and supporting documentation for its </w:t>
      </w:r>
      <w:r w:rsidR="009E64FF">
        <w:t>low-density</w:t>
      </w:r>
      <w:r>
        <w:t xml:space="preserve"> and </w:t>
      </w:r>
      <w:r w:rsidR="009E64FF">
        <w:t>high-density</w:t>
      </w:r>
      <w:r>
        <w:t xml:space="preserve"> per lot service lateral cost differentials</w:t>
      </w:r>
      <w:r w:rsidR="00021CA2">
        <w:t xml:space="preserve"> as filed in the original petition</w:t>
      </w:r>
      <w:r>
        <w:t xml:space="preserve">. The utility’s calculation determined that </w:t>
      </w:r>
      <w:proofErr w:type="gramStart"/>
      <w:r>
        <w:t>the per</w:t>
      </w:r>
      <w:proofErr w:type="gramEnd"/>
      <w:r>
        <w:t xml:space="preserve"> lot undergrounding differential for </w:t>
      </w:r>
      <w:r w:rsidR="009E64FF">
        <w:t>high-density</w:t>
      </w:r>
      <w:r>
        <w:t xml:space="preserve"> subdivisions is </w:t>
      </w:r>
      <w:r w:rsidR="009E64FF">
        <w:t>$0.00</w:t>
      </w:r>
      <w:r>
        <w:t xml:space="preserve"> and the per lot undergrounding differential for </w:t>
      </w:r>
      <w:r w:rsidR="009E64FF">
        <w:t>low-density</w:t>
      </w:r>
      <w:r>
        <w:t xml:space="preserve"> subdivisions is $370.29. </w:t>
      </w:r>
      <w:r w:rsidR="009E64FF">
        <w:t>The currently approved</w:t>
      </w:r>
      <w:r w:rsidR="00CA7C44">
        <w:t xml:space="preserve"> high</w:t>
      </w:r>
      <w:r w:rsidR="00A92ABB">
        <w:t>-</w:t>
      </w:r>
      <w:r w:rsidR="00CA7C44">
        <w:t xml:space="preserve"> and </w:t>
      </w:r>
      <w:r w:rsidR="009E64FF">
        <w:t>low-density</w:t>
      </w:r>
      <w:r w:rsidR="00CA7C44">
        <w:t xml:space="preserve"> cost differentials are </w:t>
      </w:r>
      <w:r w:rsidR="009E64FF">
        <w:t>$0.00</w:t>
      </w:r>
      <w:r w:rsidR="00CA7C44">
        <w:t xml:space="preserve">. </w:t>
      </w:r>
      <w:r>
        <w:t xml:space="preserve"> While labor and material costs</w:t>
      </w:r>
      <w:r w:rsidR="00AE4ACC">
        <w:t xml:space="preserve"> have</w:t>
      </w:r>
      <w:r>
        <w:t xml:space="preserve"> fluctuated since the 2018 filing, the main reason for the increase in the calculated </w:t>
      </w:r>
      <w:r w:rsidR="009E64FF">
        <w:t>low-density</w:t>
      </w:r>
      <w:r>
        <w:t xml:space="preserve"> differential is the decrease in the NPV operational cost analysis</w:t>
      </w:r>
      <w:r w:rsidR="00CA7C44">
        <w:t xml:space="preserve"> credit</w:t>
      </w:r>
      <w:r>
        <w:t xml:space="preserve">. A </w:t>
      </w:r>
      <w:r w:rsidR="007C765B">
        <w:t>lower</w:t>
      </w:r>
      <w:r>
        <w:t xml:space="preserve"> URD</w:t>
      </w:r>
      <w:r w:rsidR="007C765B">
        <w:t xml:space="preserve"> differential</w:t>
      </w:r>
      <w:r>
        <w:t xml:space="preserve"> charge is typically the result of the avoided storm restoration costs</w:t>
      </w:r>
      <w:r w:rsidR="006C334E">
        <w:t>,</w:t>
      </w:r>
      <w:r>
        <w:t xml:space="preserve"> offsetting any higher labor and material costs associated with underground construction.   </w:t>
      </w:r>
    </w:p>
    <w:p w:rsidR="008D22B6" w:rsidRDefault="008D22B6" w:rsidP="008D22B6">
      <w:pPr>
        <w:pStyle w:val="BodyText"/>
      </w:pPr>
      <w:r>
        <w:t xml:space="preserve">Table 1-1 presents a comparison between the currently approved and proposed URD differentials for the </w:t>
      </w:r>
      <w:r w:rsidR="00021CA2">
        <w:t>l</w:t>
      </w:r>
      <w:r w:rsidR="009E64FF">
        <w:t>ow-density</w:t>
      </w:r>
      <w:r>
        <w:t xml:space="preserve"> and </w:t>
      </w:r>
      <w:r w:rsidR="00021CA2">
        <w:t>h</w:t>
      </w:r>
      <w:r w:rsidR="009E64FF">
        <w:t>igh-density</w:t>
      </w:r>
      <w:r>
        <w:t xml:space="preserve"> subdivision</w:t>
      </w:r>
      <w:r w:rsidR="007C765B">
        <w:t xml:space="preserve"> model</w:t>
      </w:r>
      <w:r>
        <w:t xml:space="preserve">s. The </w:t>
      </w:r>
      <w:r w:rsidR="007C765B">
        <w:t xml:space="preserve">differentials are </w:t>
      </w:r>
      <w:r>
        <w:t xml:space="preserve">shown </w:t>
      </w:r>
      <w:r w:rsidR="007C765B">
        <w:t xml:space="preserve">as a </w:t>
      </w:r>
      <w:r>
        <w:t>per</w:t>
      </w:r>
      <w:r w:rsidR="00A92ABB">
        <w:t xml:space="preserve"> </w:t>
      </w:r>
      <w:r>
        <w:t>lot charge.</w:t>
      </w:r>
    </w:p>
    <w:p w:rsidR="008D22B6" w:rsidRDefault="008D22B6" w:rsidP="008D22B6">
      <w:pPr>
        <w:pStyle w:val="TableNumber"/>
        <w:keepNext/>
      </w:pPr>
      <w:r>
        <w:t xml:space="preserve">Table </w:t>
      </w:r>
      <w:fldSimple w:instr=" SEQ Issue \c ">
        <w:r w:rsidR="00C54D12">
          <w:rPr>
            <w:noProof/>
          </w:rPr>
          <w:t>1</w:t>
        </w:r>
      </w:fldSimple>
      <w:r>
        <w:t>-1</w:t>
      </w:r>
    </w:p>
    <w:p w:rsidR="008D22B6" w:rsidRDefault="008D22B6" w:rsidP="008D22B6">
      <w:pPr>
        <w:pStyle w:val="TableTitle"/>
        <w:keepNext/>
      </w:pPr>
      <w:r>
        <w:t>Comparison of URD Differential per Lot</w:t>
      </w:r>
    </w:p>
    <w:tbl>
      <w:tblPr>
        <w:tblStyle w:val="TableGrid"/>
        <w:tblW w:w="0" w:type="auto"/>
        <w:tblInd w:w="828" w:type="dxa"/>
        <w:tblLook w:val="04A0" w:firstRow="1" w:lastRow="0" w:firstColumn="1" w:lastColumn="0" w:noHBand="0" w:noVBand="1"/>
      </w:tblPr>
      <w:tblGrid>
        <w:gridCol w:w="2520"/>
        <w:gridCol w:w="2610"/>
        <w:gridCol w:w="2700"/>
      </w:tblGrid>
      <w:tr w:rsidR="008D22B6" w:rsidTr="000F1C32">
        <w:tc>
          <w:tcPr>
            <w:tcW w:w="2520" w:type="dxa"/>
          </w:tcPr>
          <w:p w:rsidR="008D22B6" w:rsidRDefault="008D22B6" w:rsidP="008D22B6"/>
        </w:tc>
        <w:tc>
          <w:tcPr>
            <w:tcW w:w="2610" w:type="dxa"/>
          </w:tcPr>
          <w:p w:rsidR="008D22B6" w:rsidRPr="00AA48C5" w:rsidRDefault="008D22B6" w:rsidP="008D22B6">
            <w:pPr>
              <w:rPr>
                <w:b/>
              </w:rPr>
            </w:pPr>
            <w:r w:rsidRPr="00AA48C5">
              <w:rPr>
                <w:b/>
              </w:rPr>
              <w:t>Current Differential</w:t>
            </w:r>
          </w:p>
        </w:tc>
        <w:tc>
          <w:tcPr>
            <w:tcW w:w="2700" w:type="dxa"/>
          </w:tcPr>
          <w:p w:rsidR="008D22B6" w:rsidRPr="00AA48C5" w:rsidRDefault="008D22B6" w:rsidP="008D22B6">
            <w:pPr>
              <w:rPr>
                <w:b/>
              </w:rPr>
            </w:pPr>
            <w:r w:rsidRPr="00AA48C5">
              <w:rPr>
                <w:b/>
              </w:rPr>
              <w:t>Proposed Differential</w:t>
            </w:r>
          </w:p>
        </w:tc>
      </w:tr>
      <w:tr w:rsidR="008D22B6" w:rsidTr="000F1C32">
        <w:tc>
          <w:tcPr>
            <w:tcW w:w="2520" w:type="dxa"/>
          </w:tcPr>
          <w:p w:rsidR="008D22B6" w:rsidRDefault="009E64FF" w:rsidP="008D22B6">
            <w:r>
              <w:t>Low-density</w:t>
            </w:r>
          </w:p>
        </w:tc>
        <w:tc>
          <w:tcPr>
            <w:tcW w:w="2610" w:type="dxa"/>
          </w:tcPr>
          <w:p w:rsidR="008D22B6" w:rsidRDefault="008D22B6" w:rsidP="00514704">
            <w:pPr>
              <w:jc w:val="right"/>
            </w:pPr>
            <w:r>
              <w:t>$0.00</w:t>
            </w:r>
          </w:p>
        </w:tc>
        <w:tc>
          <w:tcPr>
            <w:tcW w:w="2700" w:type="dxa"/>
          </w:tcPr>
          <w:p w:rsidR="008D22B6" w:rsidRDefault="008D22B6" w:rsidP="00514704">
            <w:pPr>
              <w:jc w:val="right"/>
            </w:pPr>
            <w:r>
              <w:t>$370.29</w:t>
            </w:r>
          </w:p>
        </w:tc>
      </w:tr>
      <w:tr w:rsidR="008D22B6" w:rsidTr="000F1C32">
        <w:tc>
          <w:tcPr>
            <w:tcW w:w="2520" w:type="dxa"/>
          </w:tcPr>
          <w:p w:rsidR="008D22B6" w:rsidRDefault="009E64FF" w:rsidP="008D22B6">
            <w:r>
              <w:t>High-density</w:t>
            </w:r>
          </w:p>
        </w:tc>
        <w:tc>
          <w:tcPr>
            <w:tcW w:w="2610" w:type="dxa"/>
          </w:tcPr>
          <w:p w:rsidR="008D22B6" w:rsidRDefault="008D22B6" w:rsidP="00514704">
            <w:pPr>
              <w:jc w:val="right"/>
            </w:pPr>
            <w:r>
              <w:t>$0.00</w:t>
            </w:r>
          </w:p>
        </w:tc>
        <w:tc>
          <w:tcPr>
            <w:tcW w:w="2700" w:type="dxa"/>
          </w:tcPr>
          <w:p w:rsidR="008D22B6" w:rsidRDefault="008D22B6" w:rsidP="00514704">
            <w:pPr>
              <w:jc w:val="right"/>
            </w:pPr>
            <w:r>
              <w:t>$0.00</w:t>
            </w:r>
          </w:p>
        </w:tc>
      </w:tr>
    </w:tbl>
    <w:p w:rsidR="003B17F4" w:rsidRDefault="00021CA2" w:rsidP="00021CA2">
      <w:pPr>
        <w:pStyle w:val="TableSource"/>
      </w:pPr>
      <w:r>
        <w:t xml:space="preserve">        </w:t>
      </w:r>
      <w:r w:rsidR="000F1C32">
        <w:t xml:space="preserve">   </w:t>
      </w:r>
      <w:r>
        <w:t xml:space="preserve"> </w:t>
      </w:r>
      <w:r w:rsidR="008D22B6">
        <w:t xml:space="preserve">Source: </w:t>
      </w:r>
      <w:r w:rsidR="008136CE">
        <w:t>TECO’s a</w:t>
      </w:r>
      <w:r w:rsidR="008D22B6">
        <w:t>mended Petition Filed on November 12, 2021</w:t>
      </w:r>
      <w:r w:rsidR="008136CE">
        <w:t>.</w:t>
      </w:r>
    </w:p>
    <w:p w:rsidR="00D6285F" w:rsidRDefault="00D6285F" w:rsidP="00D6285F">
      <w:pPr>
        <w:pStyle w:val="BodyText"/>
      </w:pPr>
      <w:r w:rsidRPr="00C0378D">
        <w:t xml:space="preserve">As shown in Table 1-1 above, the differential </w:t>
      </w:r>
      <w:r w:rsidR="00A92ABB">
        <w:t xml:space="preserve">has </w:t>
      </w:r>
      <w:r w:rsidRPr="00C0378D">
        <w:t>increased for low-density subdivisions and ha</w:t>
      </w:r>
      <w:r w:rsidR="00A92ABB">
        <w:t>s</w:t>
      </w:r>
      <w:r w:rsidRPr="00C0378D">
        <w:t xml:space="preserve"> remained </w:t>
      </w:r>
      <w:r w:rsidR="009E64FF">
        <w:t>$0.00</w:t>
      </w:r>
      <w:r w:rsidRPr="00C0378D">
        <w:t xml:space="preserve"> for </w:t>
      </w:r>
      <w:r w:rsidR="00A92ABB">
        <w:t xml:space="preserve">the </w:t>
      </w:r>
      <w:r w:rsidRPr="00C0378D">
        <w:t>high-density</w:t>
      </w:r>
      <w:r w:rsidR="00A92ABB">
        <w:t xml:space="preserve"> subdivisions</w:t>
      </w:r>
      <w:r w:rsidRPr="00C0378D">
        <w:t xml:space="preserve">. Two primary factors impacted the calculation of </w:t>
      </w:r>
      <w:r w:rsidR="006C334E">
        <w:t xml:space="preserve">TECO’s proposed URD charges </w:t>
      </w:r>
      <w:r w:rsidRPr="00C0378D">
        <w:t>are discussed in greater detail below: (1) updated labor and material costs and (2) calculation of operational costs.</w:t>
      </w:r>
      <w:r>
        <w:t xml:space="preserve"> </w:t>
      </w:r>
    </w:p>
    <w:p w:rsidR="00021CA2" w:rsidRDefault="00021CA2" w:rsidP="00594F92">
      <w:pPr>
        <w:pStyle w:val="First-LevelSubheading"/>
      </w:pPr>
    </w:p>
    <w:p w:rsidR="00025682" w:rsidRDefault="00594F92" w:rsidP="00594F92">
      <w:pPr>
        <w:pStyle w:val="First-LevelSubheading"/>
      </w:pPr>
      <w:r>
        <w:t>Updated Labor and Material Costs</w:t>
      </w:r>
    </w:p>
    <w:p w:rsidR="00AA48C5" w:rsidRDefault="00594F92" w:rsidP="00AA48C5">
      <w:pPr>
        <w:pStyle w:val="BodyText"/>
      </w:pPr>
      <w:r>
        <w:t>The installation costs of both underground and overhead facilities include the labor and material costs to provide primary, secondary, and service distribution lines as well as transformers. The costs of poles are specific to overhead service while the costs of trenching and backfilling are specific to underground service.</w:t>
      </w:r>
      <w:r w:rsidR="00AA48C5">
        <w:t xml:space="preserve"> Tabl</w:t>
      </w:r>
      <w:r w:rsidR="00FA0919">
        <w:t>e 1-2 compares the</w:t>
      </w:r>
      <w:r w:rsidR="00CA7C44">
        <w:t xml:space="preserve"> </w:t>
      </w:r>
      <w:r w:rsidR="000009A4">
        <w:t>currently</w:t>
      </w:r>
      <w:r w:rsidR="00CA7C44">
        <w:t xml:space="preserve"> approved</w:t>
      </w:r>
      <w:r w:rsidR="00FA0919">
        <w:t xml:space="preserve"> per</w:t>
      </w:r>
      <w:r w:rsidR="00A92ABB">
        <w:t xml:space="preserve"> </w:t>
      </w:r>
      <w:r w:rsidR="00FA0919">
        <w:t>lot</w:t>
      </w:r>
      <w:r w:rsidR="00AA48C5">
        <w:t xml:space="preserve"> 2018</w:t>
      </w:r>
      <w:r w:rsidR="006445FB">
        <w:t xml:space="preserve"> costs</w:t>
      </w:r>
      <w:r w:rsidR="00AA48C5">
        <w:t xml:space="preserve"> and</w:t>
      </w:r>
      <w:r w:rsidR="006445FB">
        <w:t xml:space="preserve"> the</w:t>
      </w:r>
      <w:r w:rsidR="00AA48C5">
        <w:t xml:space="preserve"> 2021 </w:t>
      </w:r>
      <w:r w:rsidR="006445FB">
        <w:t xml:space="preserve">costs for </w:t>
      </w:r>
      <w:r w:rsidR="00AA48C5">
        <w:t xml:space="preserve">underground and overhead labor and material for the two </w:t>
      </w:r>
      <w:r w:rsidR="00AE4ACC">
        <w:t>subdivision models</w:t>
      </w:r>
      <w:r w:rsidR="00AA48C5">
        <w:t>.</w:t>
      </w:r>
    </w:p>
    <w:p w:rsidR="00AA48C5" w:rsidRDefault="006935B2" w:rsidP="006935B2">
      <w:pPr>
        <w:pStyle w:val="TableNumber"/>
        <w:keepNext/>
      </w:pPr>
      <w:r>
        <w:t xml:space="preserve">Table </w:t>
      </w:r>
      <w:fldSimple w:instr=" SEQ Issue \c ">
        <w:r w:rsidR="00C54D12">
          <w:rPr>
            <w:noProof/>
          </w:rPr>
          <w:t>1</w:t>
        </w:r>
      </w:fldSimple>
      <w:r>
        <w:t>-</w:t>
      </w:r>
      <w:r w:rsidR="00662F58">
        <w:t>2</w:t>
      </w:r>
    </w:p>
    <w:p w:rsidR="006935B2" w:rsidRDefault="00662F58" w:rsidP="006935B2">
      <w:pPr>
        <w:pStyle w:val="TableTitle"/>
        <w:keepNext/>
      </w:pPr>
      <w:r>
        <w:t>Labor and Material Costs per Lot</w:t>
      </w:r>
    </w:p>
    <w:tbl>
      <w:tblPr>
        <w:tblStyle w:val="TableGrid"/>
        <w:tblW w:w="0" w:type="auto"/>
        <w:tblInd w:w="288" w:type="dxa"/>
        <w:tblLook w:val="04A0" w:firstRow="1" w:lastRow="0" w:firstColumn="1" w:lastColumn="0" w:noHBand="0" w:noVBand="1"/>
      </w:tblPr>
      <w:tblGrid>
        <w:gridCol w:w="3240"/>
        <w:gridCol w:w="1800"/>
        <w:gridCol w:w="1890"/>
        <w:gridCol w:w="1710"/>
      </w:tblGrid>
      <w:tr w:rsidR="006935B2" w:rsidTr="000F1C32">
        <w:tc>
          <w:tcPr>
            <w:tcW w:w="3240" w:type="dxa"/>
          </w:tcPr>
          <w:p w:rsidR="006935B2" w:rsidRDefault="006935B2" w:rsidP="006935B2"/>
        </w:tc>
        <w:tc>
          <w:tcPr>
            <w:tcW w:w="1800" w:type="dxa"/>
          </w:tcPr>
          <w:p w:rsidR="006935B2" w:rsidRPr="00662F58" w:rsidRDefault="004136FA" w:rsidP="00514704">
            <w:pPr>
              <w:jc w:val="center"/>
              <w:rPr>
                <w:b/>
              </w:rPr>
            </w:pPr>
            <w:r>
              <w:rPr>
                <w:b/>
              </w:rPr>
              <w:t xml:space="preserve">2018 </w:t>
            </w:r>
            <w:r w:rsidR="00662F58" w:rsidRPr="00662F58">
              <w:rPr>
                <w:b/>
              </w:rPr>
              <w:t>Costs</w:t>
            </w:r>
          </w:p>
        </w:tc>
        <w:tc>
          <w:tcPr>
            <w:tcW w:w="1890" w:type="dxa"/>
          </w:tcPr>
          <w:p w:rsidR="006935B2" w:rsidRPr="00662F58" w:rsidRDefault="00C0378D" w:rsidP="00514704">
            <w:pPr>
              <w:jc w:val="center"/>
              <w:rPr>
                <w:b/>
              </w:rPr>
            </w:pPr>
            <w:r>
              <w:rPr>
                <w:b/>
              </w:rPr>
              <w:t xml:space="preserve">2021 </w:t>
            </w:r>
            <w:r w:rsidR="00662F58" w:rsidRPr="00662F58">
              <w:rPr>
                <w:b/>
              </w:rPr>
              <w:t>Costs</w:t>
            </w:r>
          </w:p>
        </w:tc>
        <w:tc>
          <w:tcPr>
            <w:tcW w:w="1710" w:type="dxa"/>
          </w:tcPr>
          <w:p w:rsidR="006935B2" w:rsidRPr="00662F58" w:rsidRDefault="00662F58" w:rsidP="00514704">
            <w:pPr>
              <w:jc w:val="center"/>
              <w:rPr>
                <w:b/>
              </w:rPr>
            </w:pPr>
            <w:r w:rsidRPr="00662F58">
              <w:rPr>
                <w:b/>
              </w:rPr>
              <w:t>Difference</w:t>
            </w:r>
          </w:p>
        </w:tc>
      </w:tr>
      <w:tr w:rsidR="006935B2" w:rsidTr="000F1C32">
        <w:tc>
          <w:tcPr>
            <w:tcW w:w="3240" w:type="dxa"/>
          </w:tcPr>
          <w:p w:rsidR="006935B2" w:rsidRPr="00E4726D" w:rsidRDefault="009E64FF" w:rsidP="006935B2">
            <w:r>
              <w:rPr>
                <w:b/>
              </w:rPr>
              <w:t>Low-density</w:t>
            </w:r>
          </w:p>
        </w:tc>
        <w:tc>
          <w:tcPr>
            <w:tcW w:w="1800" w:type="dxa"/>
          </w:tcPr>
          <w:p w:rsidR="006935B2" w:rsidRDefault="006935B2" w:rsidP="006935B2"/>
        </w:tc>
        <w:tc>
          <w:tcPr>
            <w:tcW w:w="1890" w:type="dxa"/>
          </w:tcPr>
          <w:p w:rsidR="006935B2" w:rsidRDefault="006935B2" w:rsidP="006935B2"/>
        </w:tc>
        <w:tc>
          <w:tcPr>
            <w:tcW w:w="1710" w:type="dxa"/>
          </w:tcPr>
          <w:p w:rsidR="006935B2" w:rsidRDefault="006935B2" w:rsidP="006935B2"/>
        </w:tc>
      </w:tr>
      <w:tr w:rsidR="006935B2" w:rsidTr="000F1C32">
        <w:tc>
          <w:tcPr>
            <w:tcW w:w="3240" w:type="dxa"/>
          </w:tcPr>
          <w:p w:rsidR="006935B2" w:rsidRDefault="00E4726D" w:rsidP="006935B2">
            <w:r>
              <w:t>Underground labor/material costs</w:t>
            </w:r>
          </w:p>
        </w:tc>
        <w:tc>
          <w:tcPr>
            <w:tcW w:w="1800" w:type="dxa"/>
          </w:tcPr>
          <w:p w:rsidR="006935B2" w:rsidRDefault="00662F58" w:rsidP="00514704">
            <w:pPr>
              <w:jc w:val="right"/>
            </w:pPr>
            <w:r>
              <w:t>$</w:t>
            </w:r>
            <w:r w:rsidR="00FA0919">
              <w:t>2,082</w:t>
            </w:r>
          </w:p>
        </w:tc>
        <w:tc>
          <w:tcPr>
            <w:tcW w:w="1890" w:type="dxa"/>
          </w:tcPr>
          <w:p w:rsidR="006935B2" w:rsidRDefault="00662F58" w:rsidP="00514704">
            <w:pPr>
              <w:jc w:val="right"/>
            </w:pPr>
            <w:r>
              <w:t>$</w:t>
            </w:r>
            <w:r w:rsidR="00FA0919">
              <w:t>2,441</w:t>
            </w:r>
          </w:p>
        </w:tc>
        <w:tc>
          <w:tcPr>
            <w:tcW w:w="1710" w:type="dxa"/>
          </w:tcPr>
          <w:p w:rsidR="006935B2" w:rsidRDefault="00662F58" w:rsidP="00514704">
            <w:pPr>
              <w:jc w:val="right"/>
            </w:pPr>
            <w:r>
              <w:t>$</w:t>
            </w:r>
            <w:r w:rsidR="00FA0919">
              <w:t>359</w:t>
            </w:r>
          </w:p>
        </w:tc>
      </w:tr>
      <w:tr w:rsidR="006935B2" w:rsidTr="000F1C32">
        <w:tc>
          <w:tcPr>
            <w:tcW w:w="3240" w:type="dxa"/>
          </w:tcPr>
          <w:p w:rsidR="006935B2" w:rsidRDefault="00E4726D" w:rsidP="006935B2">
            <w:r>
              <w:t>Overhead labor/material costs</w:t>
            </w:r>
          </w:p>
        </w:tc>
        <w:tc>
          <w:tcPr>
            <w:tcW w:w="1800" w:type="dxa"/>
          </w:tcPr>
          <w:p w:rsidR="006935B2" w:rsidRDefault="00662F58" w:rsidP="008136CE">
            <w:pPr>
              <w:jc w:val="right"/>
            </w:pPr>
            <w:r>
              <w:t>$</w:t>
            </w:r>
            <w:r w:rsidR="00FA0919">
              <w:t>1,28</w:t>
            </w:r>
            <w:r w:rsidR="008136CE">
              <w:t>9</w:t>
            </w:r>
          </w:p>
        </w:tc>
        <w:tc>
          <w:tcPr>
            <w:tcW w:w="1890" w:type="dxa"/>
          </w:tcPr>
          <w:p w:rsidR="006935B2" w:rsidRDefault="00662F58" w:rsidP="00514704">
            <w:pPr>
              <w:jc w:val="right"/>
            </w:pPr>
            <w:r>
              <w:t>$</w:t>
            </w:r>
            <w:r w:rsidR="00FA0919">
              <w:t>1,429</w:t>
            </w:r>
          </w:p>
        </w:tc>
        <w:tc>
          <w:tcPr>
            <w:tcW w:w="1710" w:type="dxa"/>
          </w:tcPr>
          <w:p w:rsidR="006935B2" w:rsidRDefault="00662F58" w:rsidP="008136CE">
            <w:pPr>
              <w:jc w:val="right"/>
            </w:pPr>
            <w:r>
              <w:t>$</w:t>
            </w:r>
            <w:r w:rsidR="00FA0919">
              <w:t>14</w:t>
            </w:r>
            <w:r w:rsidR="008136CE">
              <w:t>0</w:t>
            </w:r>
          </w:p>
        </w:tc>
      </w:tr>
      <w:tr w:rsidR="006935B2" w:rsidTr="000F1C32">
        <w:tc>
          <w:tcPr>
            <w:tcW w:w="3240" w:type="dxa"/>
          </w:tcPr>
          <w:p w:rsidR="006935B2" w:rsidRDefault="00E4726D" w:rsidP="006935B2">
            <w:r>
              <w:t>Per lot differential</w:t>
            </w:r>
          </w:p>
        </w:tc>
        <w:tc>
          <w:tcPr>
            <w:tcW w:w="1800" w:type="dxa"/>
          </w:tcPr>
          <w:p w:rsidR="006935B2" w:rsidRDefault="00662F58" w:rsidP="008136CE">
            <w:pPr>
              <w:jc w:val="right"/>
            </w:pPr>
            <w:r>
              <w:t>$</w:t>
            </w:r>
            <w:r w:rsidR="00FA0919">
              <w:t>79</w:t>
            </w:r>
            <w:r w:rsidR="008136CE">
              <w:t>3</w:t>
            </w:r>
          </w:p>
        </w:tc>
        <w:tc>
          <w:tcPr>
            <w:tcW w:w="1890" w:type="dxa"/>
          </w:tcPr>
          <w:p w:rsidR="006935B2" w:rsidRDefault="00662F58" w:rsidP="00514704">
            <w:pPr>
              <w:jc w:val="right"/>
            </w:pPr>
            <w:r>
              <w:t>$</w:t>
            </w:r>
            <w:r w:rsidR="00FA0919">
              <w:t>1,013</w:t>
            </w:r>
          </w:p>
        </w:tc>
        <w:tc>
          <w:tcPr>
            <w:tcW w:w="1710" w:type="dxa"/>
          </w:tcPr>
          <w:p w:rsidR="00F11237" w:rsidRDefault="00662F58" w:rsidP="008136CE">
            <w:pPr>
              <w:jc w:val="right"/>
            </w:pPr>
            <w:r>
              <w:t>$</w:t>
            </w:r>
            <w:r w:rsidR="00F11237">
              <w:t>2</w:t>
            </w:r>
            <w:r w:rsidR="008136CE">
              <w:t>20</w:t>
            </w:r>
          </w:p>
        </w:tc>
      </w:tr>
      <w:tr w:rsidR="006935B2" w:rsidTr="000F1C32">
        <w:tc>
          <w:tcPr>
            <w:tcW w:w="3240" w:type="dxa"/>
          </w:tcPr>
          <w:p w:rsidR="006935B2" w:rsidRPr="00E4726D" w:rsidRDefault="009E64FF" w:rsidP="006935B2">
            <w:r>
              <w:rPr>
                <w:b/>
              </w:rPr>
              <w:t>High-density</w:t>
            </w:r>
          </w:p>
        </w:tc>
        <w:tc>
          <w:tcPr>
            <w:tcW w:w="1800" w:type="dxa"/>
          </w:tcPr>
          <w:p w:rsidR="006935B2" w:rsidRDefault="006935B2" w:rsidP="00514704">
            <w:pPr>
              <w:jc w:val="right"/>
            </w:pPr>
          </w:p>
        </w:tc>
        <w:tc>
          <w:tcPr>
            <w:tcW w:w="1890" w:type="dxa"/>
          </w:tcPr>
          <w:p w:rsidR="006935B2" w:rsidRDefault="006935B2" w:rsidP="00514704">
            <w:pPr>
              <w:jc w:val="right"/>
            </w:pPr>
          </w:p>
        </w:tc>
        <w:tc>
          <w:tcPr>
            <w:tcW w:w="1710" w:type="dxa"/>
          </w:tcPr>
          <w:p w:rsidR="006935B2" w:rsidRDefault="006935B2" w:rsidP="00514704">
            <w:pPr>
              <w:jc w:val="right"/>
            </w:pPr>
          </w:p>
        </w:tc>
      </w:tr>
      <w:tr w:rsidR="006935B2" w:rsidTr="000F1C32">
        <w:tc>
          <w:tcPr>
            <w:tcW w:w="3240" w:type="dxa"/>
          </w:tcPr>
          <w:p w:rsidR="006935B2" w:rsidRDefault="00662F58" w:rsidP="006935B2">
            <w:r>
              <w:t>Underground labor/material costs</w:t>
            </w:r>
          </w:p>
        </w:tc>
        <w:tc>
          <w:tcPr>
            <w:tcW w:w="1800" w:type="dxa"/>
          </w:tcPr>
          <w:p w:rsidR="006935B2" w:rsidRDefault="00662F58" w:rsidP="00514704">
            <w:pPr>
              <w:jc w:val="right"/>
            </w:pPr>
            <w:r>
              <w:t>$</w:t>
            </w:r>
            <w:r w:rsidR="00FA0919">
              <w:t>1,597</w:t>
            </w:r>
          </w:p>
        </w:tc>
        <w:tc>
          <w:tcPr>
            <w:tcW w:w="1890" w:type="dxa"/>
          </w:tcPr>
          <w:p w:rsidR="006935B2" w:rsidRDefault="00662F58" w:rsidP="00514704">
            <w:pPr>
              <w:jc w:val="right"/>
            </w:pPr>
            <w:r>
              <w:t>$</w:t>
            </w:r>
            <w:r w:rsidR="00444283">
              <w:t>1,</w:t>
            </w:r>
            <w:r w:rsidR="00FA0919">
              <w:t>881</w:t>
            </w:r>
          </w:p>
        </w:tc>
        <w:tc>
          <w:tcPr>
            <w:tcW w:w="1710" w:type="dxa"/>
          </w:tcPr>
          <w:p w:rsidR="006935B2" w:rsidRDefault="00662F58" w:rsidP="00514704">
            <w:pPr>
              <w:tabs>
                <w:tab w:val="center" w:pos="891"/>
              </w:tabs>
              <w:jc w:val="right"/>
            </w:pPr>
            <w:r>
              <w:t>$</w:t>
            </w:r>
            <w:r w:rsidR="00FA0919">
              <w:t>284</w:t>
            </w:r>
          </w:p>
        </w:tc>
      </w:tr>
      <w:tr w:rsidR="006935B2" w:rsidTr="000F1C32">
        <w:tc>
          <w:tcPr>
            <w:tcW w:w="3240" w:type="dxa"/>
          </w:tcPr>
          <w:p w:rsidR="006935B2" w:rsidRDefault="00662F58" w:rsidP="006935B2">
            <w:r>
              <w:t>Overhead labor/material costs.</w:t>
            </w:r>
          </w:p>
        </w:tc>
        <w:tc>
          <w:tcPr>
            <w:tcW w:w="1800" w:type="dxa"/>
          </w:tcPr>
          <w:p w:rsidR="006935B2" w:rsidRDefault="00662F58" w:rsidP="00514704">
            <w:pPr>
              <w:jc w:val="right"/>
            </w:pPr>
            <w:r>
              <w:t>$</w:t>
            </w:r>
            <w:r w:rsidR="00FA0919">
              <w:t>1,001</w:t>
            </w:r>
          </w:p>
        </w:tc>
        <w:tc>
          <w:tcPr>
            <w:tcW w:w="1890" w:type="dxa"/>
          </w:tcPr>
          <w:p w:rsidR="006935B2" w:rsidRDefault="00662F58" w:rsidP="00514704">
            <w:pPr>
              <w:jc w:val="right"/>
            </w:pPr>
            <w:r>
              <w:t>$</w:t>
            </w:r>
            <w:r w:rsidR="00444283">
              <w:t>1,</w:t>
            </w:r>
            <w:r w:rsidR="00FA0919">
              <w:t>122</w:t>
            </w:r>
          </w:p>
        </w:tc>
        <w:tc>
          <w:tcPr>
            <w:tcW w:w="1710" w:type="dxa"/>
          </w:tcPr>
          <w:p w:rsidR="006935B2" w:rsidRDefault="00662F58" w:rsidP="008136CE">
            <w:pPr>
              <w:jc w:val="right"/>
            </w:pPr>
            <w:r>
              <w:t>$</w:t>
            </w:r>
            <w:r w:rsidR="00FA0919">
              <w:t>12</w:t>
            </w:r>
            <w:r w:rsidR="008136CE">
              <w:t>1</w:t>
            </w:r>
          </w:p>
        </w:tc>
      </w:tr>
      <w:tr w:rsidR="006935B2" w:rsidTr="000F1C32">
        <w:tc>
          <w:tcPr>
            <w:tcW w:w="3240" w:type="dxa"/>
          </w:tcPr>
          <w:p w:rsidR="006935B2" w:rsidRDefault="00662F58" w:rsidP="006935B2">
            <w:r>
              <w:t>Per lot differential</w:t>
            </w:r>
          </w:p>
        </w:tc>
        <w:tc>
          <w:tcPr>
            <w:tcW w:w="1800" w:type="dxa"/>
          </w:tcPr>
          <w:p w:rsidR="006935B2" w:rsidRDefault="00662F58" w:rsidP="00514704">
            <w:pPr>
              <w:jc w:val="right"/>
            </w:pPr>
            <w:r>
              <w:t>$</w:t>
            </w:r>
            <w:r w:rsidR="00FA0919">
              <w:t>595</w:t>
            </w:r>
          </w:p>
        </w:tc>
        <w:tc>
          <w:tcPr>
            <w:tcW w:w="1890" w:type="dxa"/>
          </w:tcPr>
          <w:p w:rsidR="006935B2" w:rsidRDefault="00662F58" w:rsidP="00514704">
            <w:pPr>
              <w:jc w:val="right"/>
            </w:pPr>
            <w:r>
              <w:t>$</w:t>
            </w:r>
            <w:r w:rsidR="00FA0919">
              <w:t>760</w:t>
            </w:r>
          </w:p>
        </w:tc>
        <w:tc>
          <w:tcPr>
            <w:tcW w:w="1710" w:type="dxa"/>
          </w:tcPr>
          <w:p w:rsidR="00F11237" w:rsidRDefault="00662F58" w:rsidP="00514704">
            <w:pPr>
              <w:jc w:val="right"/>
            </w:pPr>
            <w:r>
              <w:t>$</w:t>
            </w:r>
            <w:r w:rsidR="00FA0919">
              <w:t>165</w:t>
            </w:r>
          </w:p>
        </w:tc>
      </w:tr>
    </w:tbl>
    <w:p w:rsidR="00594F92" w:rsidRDefault="00021CA2" w:rsidP="006935B2">
      <w:pPr>
        <w:pStyle w:val="TableSource"/>
      </w:pPr>
      <w:r>
        <w:t xml:space="preserve">   </w:t>
      </w:r>
      <w:r w:rsidR="006935B2">
        <w:t xml:space="preserve">Source: </w:t>
      </w:r>
      <w:r w:rsidR="008136CE">
        <w:t>TECO’s a</w:t>
      </w:r>
      <w:r w:rsidR="004D6FA7">
        <w:t>mended petition filed on November 12, 2021.</w:t>
      </w:r>
    </w:p>
    <w:p w:rsidR="00662F58" w:rsidRPr="00662F58" w:rsidRDefault="00662F58" w:rsidP="00662F58">
      <w:pPr>
        <w:pStyle w:val="BodyText"/>
      </w:pPr>
      <w:r w:rsidRPr="00F11237">
        <w:t xml:space="preserve">As indicated in Table 1-2 above, the total labor and material cost differentials </w:t>
      </w:r>
      <w:r w:rsidR="00F11237">
        <w:t xml:space="preserve">increased </w:t>
      </w:r>
      <w:r w:rsidRPr="00F11237">
        <w:t xml:space="preserve">for both </w:t>
      </w:r>
      <w:r w:rsidR="00F11237">
        <w:t>model subdivisions.</w:t>
      </w:r>
      <w:r w:rsidR="00793C2B">
        <w:t xml:space="preserve"> The utility states that the reason for the increase is due to the Covid-19 pandemic’s effect on</w:t>
      </w:r>
      <w:r w:rsidR="005364CF">
        <w:t xml:space="preserve"> the</w:t>
      </w:r>
      <w:r w:rsidR="00793C2B">
        <w:t xml:space="preserve"> supply chain which caused reduced manufacturing capacity.</w:t>
      </w:r>
      <w:r w:rsidR="00793C2B">
        <w:rPr>
          <w:rStyle w:val="FootnoteReference"/>
        </w:rPr>
        <w:footnoteReference w:id="2"/>
      </w:r>
    </w:p>
    <w:p w:rsidR="006935B2" w:rsidRDefault="00662F58" w:rsidP="00662F58">
      <w:pPr>
        <w:pStyle w:val="First-LevelSubheading"/>
      </w:pPr>
      <w:r>
        <w:t>Updated Operational Costs</w:t>
      </w:r>
    </w:p>
    <w:p w:rsidR="00662F58" w:rsidRDefault="00662F58" w:rsidP="00662F58">
      <w:pPr>
        <w:pStyle w:val="BodyText"/>
      </w:pPr>
      <w:r>
        <w:t>Rule 25-6.078(4), F.A.C., provides that the differenc</w:t>
      </w:r>
      <w:r w:rsidR="000F1C32">
        <w:t>es in NPV</w:t>
      </w:r>
      <w:r>
        <w:t xml:space="preserve"> of operational costs between overhead and underground systems, including average historical storm restoration costs over the life of the facilities, be included in the URD charge. Operational costs include operations and maintenance (O&amp;M) costs and capital costs. The inclusion of the operational costs is intended to capture longer term costs and benefits of undergrounding.</w:t>
      </w:r>
    </w:p>
    <w:p w:rsidR="009E64FF" w:rsidRDefault="009E64FF" w:rsidP="00662F58">
      <w:pPr>
        <w:pStyle w:val="BodyText"/>
      </w:pPr>
      <w:r>
        <w:t xml:space="preserve">In calculating the per lot cost differential between overhead and underground, Rule 25-6.078(4), F.A.C., allows the utility to calculate the NPV of operational costs to include the average historical storm restoration costs over the life of underground and overhead systems, and take into consideration any cost differential in its calculations.  In recent URD filings, </w:t>
      </w:r>
      <w:r w:rsidRPr="00035AF2">
        <w:t xml:space="preserve">TECO </w:t>
      </w:r>
      <w:r>
        <w:t xml:space="preserve">has </w:t>
      </w:r>
      <w:r w:rsidRPr="00035AF2">
        <w:t xml:space="preserve">used a three-year rolling historical average to calculate its NPV storm restoration costs. </w:t>
      </w:r>
      <w:r>
        <w:t xml:space="preserve">In response to staff’s data request number two, the utility </w:t>
      </w:r>
      <w:r w:rsidR="00B30E1F">
        <w:t>explained</w:t>
      </w:r>
      <w:r>
        <w:t xml:space="preserve"> that it</w:t>
      </w:r>
      <w:r w:rsidR="008A4CCD">
        <w:t xml:space="preserve"> used an updated computer-generated </w:t>
      </w:r>
      <w:r w:rsidRPr="00035AF2">
        <w:t>methodology</w:t>
      </w:r>
      <w:r w:rsidR="008A4CCD">
        <w:t xml:space="preserve"> to calculate storm restoration costs. This methodology relies on</w:t>
      </w:r>
      <w:r w:rsidRPr="00035AF2">
        <w:t xml:space="preserve"> long-term potential </w:t>
      </w:r>
      <w:r w:rsidRPr="00035AF2">
        <w:lastRenderedPageBreak/>
        <w:t>co</w:t>
      </w:r>
      <w:r w:rsidR="008A4CCD">
        <w:t>sts based on hurricane s</w:t>
      </w:r>
      <w:r w:rsidRPr="00035AF2">
        <w:t>imulations</w:t>
      </w:r>
      <w:r w:rsidR="00B30E1F">
        <w:t xml:space="preserve"> and</w:t>
      </w:r>
      <w:r w:rsidR="00A473E1">
        <w:t xml:space="preserve"> is based o</w:t>
      </w:r>
      <w:r w:rsidR="00B30E1F">
        <w:t>n</w:t>
      </w:r>
      <w:r w:rsidR="00A473E1">
        <w:t xml:space="preserve"> the testimony o</w:t>
      </w:r>
      <w:r w:rsidR="00B30E1F">
        <w:t>f TECO witness</w:t>
      </w:r>
      <w:r>
        <w:t xml:space="preserve"> Steven P. Harris in TECO’s recent rate case proceeding.</w:t>
      </w:r>
      <w:r>
        <w:rPr>
          <w:rStyle w:val="FootnoteReference"/>
        </w:rPr>
        <w:footnoteReference w:id="3"/>
      </w:r>
      <w:r>
        <w:t xml:space="preserve"> The Commission approved the use of this methodology in calculating the util</w:t>
      </w:r>
      <w:r w:rsidR="00BE7EB9">
        <w:t>ity’s storm reserve surplus in D</w:t>
      </w:r>
      <w:r>
        <w:t xml:space="preserve">ocket </w:t>
      </w:r>
      <w:r w:rsidR="00BE7EB9">
        <w:t xml:space="preserve">No. </w:t>
      </w:r>
      <w:r>
        <w:t>20210034-EI</w:t>
      </w:r>
      <w:r w:rsidR="00A275A8">
        <w:t>.</w:t>
      </w:r>
      <w:r>
        <w:rPr>
          <w:rStyle w:val="FootnoteReference"/>
        </w:rPr>
        <w:footnoteReference w:id="4"/>
      </w:r>
      <w:r>
        <w:t xml:space="preserve"> TECO explained that the study looks at likely outcomes over a long time perio</w:t>
      </w:r>
      <w:r w:rsidR="00793C2B">
        <w:t>d</w:t>
      </w:r>
      <w:r w:rsidR="005F03AB">
        <w:t xml:space="preserve"> based on historical storm data. The utility states that this methodology helps to reduce</w:t>
      </w:r>
      <w:r w:rsidR="00793C2B">
        <w:t xml:space="preserve"> the volatility in </w:t>
      </w:r>
      <w:r w:rsidR="005364CF">
        <w:t xml:space="preserve">estimated, </w:t>
      </w:r>
      <w:r w:rsidR="00793C2B">
        <w:t>a</w:t>
      </w:r>
      <w:r w:rsidR="005F03AB">
        <w:t xml:space="preserve">voided storm restoration costs. </w:t>
      </w:r>
    </w:p>
    <w:p w:rsidR="00662F58" w:rsidRDefault="00662F58" w:rsidP="00662F58">
      <w:pPr>
        <w:pStyle w:val="TableNumber"/>
        <w:keepNext/>
      </w:pPr>
      <w:r>
        <w:t xml:space="preserve">Table </w:t>
      </w:r>
      <w:fldSimple w:instr=" SEQ Issue \c ">
        <w:r w:rsidR="00C54D12">
          <w:rPr>
            <w:noProof/>
          </w:rPr>
          <w:t>1</w:t>
        </w:r>
      </w:fldSimple>
      <w:r>
        <w:t>-</w:t>
      </w:r>
      <w:r w:rsidR="00234A0E">
        <w:t>3</w:t>
      </w:r>
    </w:p>
    <w:p w:rsidR="00662F58" w:rsidRDefault="00234A0E" w:rsidP="00662F58">
      <w:pPr>
        <w:pStyle w:val="TableTitle"/>
        <w:keepNext/>
      </w:pPr>
      <w:r>
        <w:t>NPV of Operational Costs Differential per Lot</w:t>
      </w:r>
    </w:p>
    <w:tbl>
      <w:tblPr>
        <w:tblStyle w:val="TableGrid"/>
        <w:tblW w:w="0" w:type="auto"/>
        <w:tblLook w:val="04A0" w:firstRow="1" w:lastRow="0" w:firstColumn="1" w:lastColumn="0" w:noHBand="0" w:noVBand="1"/>
      </w:tblPr>
      <w:tblGrid>
        <w:gridCol w:w="4068"/>
        <w:gridCol w:w="1980"/>
        <w:gridCol w:w="2070"/>
        <w:gridCol w:w="1458"/>
      </w:tblGrid>
      <w:tr w:rsidR="00662F58" w:rsidTr="004136FA">
        <w:tc>
          <w:tcPr>
            <w:tcW w:w="4068" w:type="dxa"/>
          </w:tcPr>
          <w:p w:rsidR="00662F58" w:rsidRPr="00662F58" w:rsidRDefault="00662F58" w:rsidP="00662F58">
            <w:pPr>
              <w:rPr>
                <w:b/>
              </w:rPr>
            </w:pPr>
          </w:p>
        </w:tc>
        <w:tc>
          <w:tcPr>
            <w:tcW w:w="1980" w:type="dxa"/>
          </w:tcPr>
          <w:p w:rsidR="00662F58" w:rsidRPr="00662F58" w:rsidRDefault="004136FA" w:rsidP="00514704">
            <w:pPr>
              <w:jc w:val="center"/>
              <w:rPr>
                <w:b/>
              </w:rPr>
            </w:pPr>
            <w:r>
              <w:rPr>
                <w:b/>
              </w:rPr>
              <w:t xml:space="preserve">2018 </w:t>
            </w:r>
            <w:r w:rsidR="00662F58" w:rsidRPr="00662F58">
              <w:rPr>
                <w:b/>
              </w:rPr>
              <w:t>Calculation</w:t>
            </w:r>
          </w:p>
        </w:tc>
        <w:tc>
          <w:tcPr>
            <w:tcW w:w="2070" w:type="dxa"/>
          </w:tcPr>
          <w:p w:rsidR="00662F58" w:rsidRPr="00662F58" w:rsidRDefault="00273BE7" w:rsidP="00514704">
            <w:pPr>
              <w:jc w:val="center"/>
              <w:rPr>
                <w:b/>
              </w:rPr>
            </w:pPr>
            <w:r>
              <w:rPr>
                <w:b/>
              </w:rPr>
              <w:t xml:space="preserve">2021 </w:t>
            </w:r>
            <w:r w:rsidR="00662F58" w:rsidRPr="00662F58">
              <w:rPr>
                <w:b/>
              </w:rPr>
              <w:t>Calculation</w:t>
            </w:r>
          </w:p>
        </w:tc>
        <w:tc>
          <w:tcPr>
            <w:tcW w:w="1458" w:type="dxa"/>
          </w:tcPr>
          <w:p w:rsidR="00662F58" w:rsidRPr="00662F58" w:rsidRDefault="00662F58" w:rsidP="00514704">
            <w:pPr>
              <w:jc w:val="center"/>
              <w:rPr>
                <w:b/>
              </w:rPr>
            </w:pPr>
            <w:r w:rsidRPr="00662F58">
              <w:rPr>
                <w:b/>
              </w:rPr>
              <w:t>Difference</w:t>
            </w:r>
          </w:p>
        </w:tc>
      </w:tr>
      <w:tr w:rsidR="00662F58" w:rsidTr="004136FA">
        <w:tc>
          <w:tcPr>
            <w:tcW w:w="4068" w:type="dxa"/>
          </w:tcPr>
          <w:p w:rsidR="00662F58" w:rsidRPr="00662F58" w:rsidRDefault="009E64FF" w:rsidP="00662F58">
            <w:pPr>
              <w:rPr>
                <w:b/>
              </w:rPr>
            </w:pPr>
            <w:r>
              <w:rPr>
                <w:b/>
              </w:rPr>
              <w:t>Low-density</w:t>
            </w:r>
          </w:p>
        </w:tc>
        <w:tc>
          <w:tcPr>
            <w:tcW w:w="1980" w:type="dxa"/>
          </w:tcPr>
          <w:p w:rsidR="00662F58" w:rsidRPr="00662F58" w:rsidRDefault="00662F58" w:rsidP="00662F58">
            <w:pPr>
              <w:rPr>
                <w:b/>
              </w:rPr>
            </w:pPr>
          </w:p>
        </w:tc>
        <w:tc>
          <w:tcPr>
            <w:tcW w:w="2070" w:type="dxa"/>
          </w:tcPr>
          <w:p w:rsidR="00662F58" w:rsidRPr="00662F58" w:rsidRDefault="00662F58" w:rsidP="00662F58">
            <w:pPr>
              <w:rPr>
                <w:b/>
              </w:rPr>
            </w:pPr>
          </w:p>
        </w:tc>
        <w:tc>
          <w:tcPr>
            <w:tcW w:w="1458" w:type="dxa"/>
          </w:tcPr>
          <w:p w:rsidR="00662F58" w:rsidRPr="00662F58" w:rsidRDefault="00662F58" w:rsidP="00662F58">
            <w:pPr>
              <w:rPr>
                <w:b/>
              </w:rPr>
            </w:pPr>
          </w:p>
        </w:tc>
      </w:tr>
      <w:tr w:rsidR="00662F58" w:rsidTr="004136FA">
        <w:tc>
          <w:tcPr>
            <w:tcW w:w="4068" w:type="dxa"/>
          </w:tcPr>
          <w:p w:rsidR="00662F58" w:rsidRDefault="00662F58" w:rsidP="00662F58">
            <w:r>
              <w:t>Underground NPV- Operational Costs</w:t>
            </w:r>
          </w:p>
        </w:tc>
        <w:tc>
          <w:tcPr>
            <w:tcW w:w="1980" w:type="dxa"/>
          </w:tcPr>
          <w:p w:rsidR="00662F58" w:rsidRDefault="004136FA" w:rsidP="00514704">
            <w:pPr>
              <w:jc w:val="right"/>
            </w:pPr>
            <w:r>
              <w:t>$</w:t>
            </w:r>
            <w:r w:rsidR="00793C2B">
              <w:t>1,247</w:t>
            </w:r>
          </w:p>
        </w:tc>
        <w:tc>
          <w:tcPr>
            <w:tcW w:w="2070" w:type="dxa"/>
          </w:tcPr>
          <w:p w:rsidR="00662F58" w:rsidRDefault="004157E9" w:rsidP="00514704">
            <w:pPr>
              <w:jc w:val="right"/>
            </w:pPr>
            <w:r>
              <w:t>$1,254</w:t>
            </w:r>
          </w:p>
        </w:tc>
        <w:tc>
          <w:tcPr>
            <w:tcW w:w="1458" w:type="dxa"/>
          </w:tcPr>
          <w:p w:rsidR="00662F58" w:rsidRDefault="004136FA" w:rsidP="00514704">
            <w:pPr>
              <w:jc w:val="right"/>
            </w:pPr>
            <w:r>
              <w:t>$</w:t>
            </w:r>
            <w:r w:rsidR="004157E9">
              <w:t>7</w:t>
            </w:r>
          </w:p>
        </w:tc>
      </w:tr>
      <w:tr w:rsidR="00662F58" w:rsidTr="004136FA">
        <w:tc>
          <w:tcPr>
            <w:tcW w:w="4068" w:type="dxa"/>
          </w:tcPr>
          <w:p w:rsidR="00662F58" w:rsidRDefault="00662F58" w:rsidP="00662F58">
            <w:r>
              <w:t>Overhead NPV- Operational Costs</w:t>
            </w:r>
          </w:p>
        </w:tc>
        <w:tc>
          <w:tcPr>
            <w:tcW w:w="1980" w:type="dxa"/>
          </w:tcPr>
          <w:p w:rsidR="00662F58" w:rsidRDefault="004136FA" w:rsidP="00514704">
            <w:pPr>
              <w:jc w:val="right"/>
            </w:pPr>
            <w:r>
              <w:t>$</w:t>
            </w:r>
            <w:r w:rsidR="00793C2B">
              <w:t>2,531</w:t>
            </w:r>
          </w:p>
        </w:tc>
        <w:tc>
          <w:tcPr>
            <w:tcW w:w="2070" w:type="dxa"/>
          </w:tcPr>
          <w:p w:rsidR="00662F58" w:rsidRDefault="004157E9" w:rsidP="00514704">
            <w:pPr>
              <w:jc w:val="right"/>
            </w:pPr>
            <w:r>
              <w:t>$1,897</w:t>
            </w:r>
          </w:p>
        </w:tc>
        <w:tc>
          <w:tcPr>
            <w:tcW w:w="1458" w:type="dxa"/>
          </w:tcPr>
          <w:p w:rsidR="00662F58" w:rsidRDefault="004136FA" w:rsidP="00514704">
            <w:pPr>
              <w:jc w:val="right"/>
            </w:pPr>
            <w:r>
              <w:t>$</w:t>
            </w:r>
            <w:r w:rsidR="004157E9">
              <w:t>(634</w:t>
            </w:r>
            <w:r w:rsidR="00234A0E">
              <w:t>)</w:t>
            </w:r>
          </w:p>
        </w:tc>
      </w:tr>
      <w:tr w:rsidR="00662F58" w:rsidTr="004136FA">
        <w:tc>
          <w:tcPr>
            <w:tcW w:w="4068" w:type="dxa"/>
          </w:tcPr>
          <w:p w:rsidR="00662F58" w:rsidRDefault="00273BE7" w:rsidP="00662F58">
            <w:r>
              <w:t>Per lot Differential</w:t>
            </w:r>
          </w:p>
        </w:tc>
        <w:tc>
          <w:tcPr>
            <w:tcW w:w="1980" w:type="dxa"/>
          </w:tcPr>
          <w:p w:rsidR="00662F58" w:rsidRDefault="004136FA" w:rsidP="00514704">
            <w:pPr>
              <w:jc w:val="right"/>
            </w:pPr>
            <w:r>
              <w:t>$</w:t>
            </w:r>
            <w:r w:rsidR="00793C2B">
              <w:t>(1,284</w:t>
            </w:r>
            <w:r w:rsidR="00F11237">
              <w:t>)</w:t>
            </w:r>
          </w:p>
        </w:tc>
        <w:tc>
          <w:tcPr>
            <w:tcW w:w="2070" w:type="dxa"/>
          </w:tcPr>
          <w:p w:rsidR="00662F58" w:rsidRDefault="004157E9" w:rsidP="00514704">
            <w:pPr>
              <w:jc w:val="right"/>
            </w:pPr>
            <w:r>
              <w:t>$(642</w:t>
            </w:r>
            <w:r w:rsidR="004136FA">
              <w:t>)</w:t>
            </w:r>
          </w:p>
        </w:tc>
        <w:tc>
          <w:tcPr>
            <w:tcW w:w="1458" w:type="dxa"/>
          </w:tcPr>
          <w:p w:rsidR="00662F58" w:rsidRDefault="004136FA" w:rsidP="00514704">
            <w:pPr>
              <w:tabs>
                <w:tab w:val="left" w:pos="750"/>
              </w:tabs>
              <w:jc w:val="right"/>
            </w:pPr>
            <w:r>
              <w:t>$</w:t>
            </w:r>
            <w:r w:rsidR="004157E9">
              <w:t>642</w:t>
            </w:r>
          </w:p>
        </w:tc>
      </w:tr>
      <w:tr w:rsidR="00662F58" w:rsidTr="004136FA">
        <w:tc>
          <w:tcPr>
            <w:tcW w:w="4068" w:type="dxa"/>
          </w:tcPr>
          <w:p w:rsidR="00662F58" w:rsidRPr="00273BE7" w:rsidRDefault="009E64FF" w:rsidP="00662F58">
            <w:pPr>
              <w:rPr>
                <w:b/>
              </w:rPr>
            </w:pPr>
            <w:r>
              <w:rPr>
                <w:b/>
              </w:rPr>
              <w:t>High-density</w:t>
            </w:r>
          </w:p>
        </w:tc>
        <w:tc>
          <w:tcPr>
            <w:tcW w:w="1980" w:type="dxa"/>
          </w:tcPr>
          <w:p w:rsidR="00662F58" w:rsidRDefault="00662F58" w:rsidP="00514704">
            <w:pPr>
              <w:jc w:val="right"/>
            </w:pPr>
          </w:p>
        </w:tc>
        <w:tc>
          <w:tcPr>
            <w:tcW w:w="2070" w:type="dxa"/>
          </w:tcPr>
          <w:p w:rsidR="00662F58" w:rsidRDefault="00662F58" w:rsidP="00514704">
            <w:pPr>
              <w:jc w:val="right"/>
            </w:pPr>
          </w:p>
        </w:tc>
        <w:tc>
          <w:tcPr>
            <w:tcW w:w="1458" w:type="dxa"/>
          </w:tcPr>
          <w:p w:rsidR="00662F58" w:rsidRDefault="00662F58" w:rsidP="00514704">
            <w:pPr>
              <w:jc w:val="right"/>
            </w:pPr>
          </w:p>
        </w:tc>
      </w:tr>
      <w:tr w:rsidR="00662F58" w:rsidTr="004136FA">
        <w:tc>
          <w:tcPr>
            <w:tcW w:w="4068" w:type="dxa"/>
          </w:tcPr>
          <w:p w:rsidR="00662F58" w:rsidRDefault="00273BE7" w:rsidP="00662F58">
            <w:r>
              <w:t>Underground NPV- Operational Costs</w:t>
            </w:r>
          </w:p>
        </w:tc>
        <w:tc>
          <w:tcPr>
            <w:tcW w:w="1980" w:type="dxa"/>
          </w:tcPr>
          <w:p w:rsidR="00662F58" w:rsidRDefault="004136FA" w:rsidP="00514704">
            <w:pPr>
              <w:jc w:val="right"/>
            </w:pPr>
            <w:r>
              <w:t>$</w:t>
            </w:r>
            <w:r w:rsidR="00793C2B">
              <w:t>590</w:t>
            </w:r>
          </w:p>
        </w:tc>
        <w:tc>
          <w:tcPr>
            <w:tcW w:w="2070" w:type="dxa"/>
          </w:tcPr>
          <w:p w:rsidR="00662F58" w:rsidRDefault="004157E9" w:rsidP="00514704">
            <w:pPr>
              <w:jc w:val="right"/>
            </w:pPr>
            <w:r>
              <w:t>$584</w:t>
            </w:r>
          </w:p>
        </w:tc>
        <w:tc>
          <w:tcPr>
            <w:tcW w:w="1458" w:type="dxa"/>
          </w:tcPr>
          <w:p w:rsidR="00662F58" w:rsidRDefault="004136FA" w:rsidP="00514704">
            <w:pPr>
              <w:jc w:val="right"/>
            </w:pPr>
            <w:r>
              <w:t>$</w:t>
            </w:r>
            <w:r w:rsidR="004157E9">
              <w:t>(6</w:t>
            </w:r>
            <w:r w:rsidR="00234A0E">
              <w:t>)</w:t>
            </w:r>
          </w:p>
        </w:tc>
      </w:tr>
      <w:tr w:rsidR="00662F58" w:rsidTr="004136FA">
        <w:tc>
          <w:tcPr>
            <w:tcW w:w="4068" w:type="dxa"/>
          </w:tcPr>
          <w:p w:rsidR="00662F58" w:rsidRDefault="00273BE7" w:rsidP="00662F58">
            <w:r>
              <w:t>Overhead NPV- Operational Costs</w:t>
            </w:r>
          </w:p>
        </w:tc>
        <w:tc>
          <w:tcPr>
            <w:tcW w:w="1980" w:type="dxa"/>
          </w:tcPr>
          <w:p w:rsidR="00662F58" w:rsidRDefault="004136FA" w:rsidP="00514704">
            <w:pPr>
              <w:jc w:val="right"/>
            </w:pPr>
            <w:r>
              <w:t>$</w:t>
            </w:r>
            <w:r w:rsidR="00793C2B">
              <w:t>1,871</w:t>
            </w:r>
          </w:p>
        </w:tc>
        <w:tc>
          <w:tcPr>
            <w:tcW w:w="2070" w:type="dxa"/>
          </w:tcPr>
          <w:p w:rsidR="00662F58" w:rsidRDefault="004157E9" w:rsidP="00514704">
            <w:pPr>
              <w:jc w:val="right"/>
            </w:pPr>
            <w:r>
              <w:t>$1,408</w:t>
            </w:r>
          </w:p>
        </w:tc>
        <w:tc>
          <w:tcPr>
            <w:tcW w:w="1458" w:type="dxa"/>
          </w:tcPr>
          <w:p w:rsidR="00662F58" w:rsidRDefault="004136FA" w:rsidP="00514704">
            <w:pPr>
              <w:jc w:val="right"/>
            </w:pPr>
            <w:r>
              <w:t>$</w:t>
            </w:r>
            <w:r w:rsidR="004157E9">
              <w:t>(463</w:t>
            </w:r>
            <w:r w:rsidR="00234A0E">
              <w:t>)</w:t>
            </w:r>
          </w:p>
        </w:tc>
      </w:tr>
      <w:tr w:rsidR="00662F58" w:rsidTr="004136FA">
        <w:tc>
          <w:tcPr>
            <w:tcW w:w="4068" w:type="dxa"/>
          </w:tcPr>
          <w:p w:rsidR="00662F58" w:rsidRDefault="00273BE7" w:rsidP="00662F58">
            <w:r>
              <w:t>Per lot Differential</w:t>
            </w:r>
          </w:p>
        </w:tc>
        <w:tc>
          <w:tcPr>
            <w:tcW w:w="1980" w:type="dxa"/>
          </w:tcPr>
          <w:p w:rsidR="00662F58" w:rsidRDefault="004136FA" w:rsidP="00514704">
            <w:pPr>
              <w:jc w:val="right"/>
            </w:pPr>
            <w:r>
              <w:t>$</w:t>
            </w:r>
            <w:r w:rsidR="00793C2B">
              <w:t>(1,281</w:t>
            </w:r>
            <w:r w:rsidR="00F11237">
              <w:t>)</w:t>
            </w:r>
          </w:p>
        </w:tc>
        <w:tc>
          <w:tcPr>
            <w:tcW w:w="2070" w:type="dxa"/>
          </w:tcPr>
          <w:p w:rsidR="00662F58" w:rsidRDefault="004157E9" w:rsidP="00514704">
            <w:pPr>
              <w:jc w:val="right"/>
            </w:pPr>
            <w:r>
              <w:t>$(825</w:t>
            </w:r>
            <w:r w:rsidR="004136FA">
              <w:t>)</w:t>
            </w:r>
          </w:p>
        </w:tc>
        <w:tc>
          <w:tcPr>
            <w:tcW w:w="1458" w:type="dxa"/>
          </w:tcPr>
          <w:p w:rsidR="00662F58" w:rsidRDefault="004136FA" w:rsidP="008136CE">
            <w:pPr>
              <w:jc w:val="right"/>
            </w:pPr>
            <w:r>
              <w:t>$</w:t>
            </w:r>
            <w:r w:rsidR="004157E9">
              <w:t>456</w:t>
            </w:r>
          </w:p>
        </w:tc>
      </w:tr>
    </w:tbl>
    <w:p w:rsidR="00662F58" w:rsidRDefault="00662F58" w:rsidP="00662F58">
      <w:pPr>
        <w:pStyle w:val="TableSource"/>
      </w:pPr>
      <w:r>
        <w:t xml:space="preserve">Source: </w:t>
      </w:r>
      <w:r w:rsidR="008136CE">
        <w:t>TECO’s a</w:t>
      </w:r>
      <w:r w:rsidR="004D6FA7">
        <w:t>mended petition filed on November 12, 20</w:t>
      </w:r>
      <w:r w:rsidR="008136CE">
        <w:t>2</w:t>
      </w:r>
      <w:r w:rsidR="004D6FA7">
        <w:t>1.</w:t>
      </w:r>
    </w:p>
    <w:p w:rsidR="00662F58" w:rsidRDefault="00234A0E" w:rsidP="00D6285F">
      <w:pPr>
        <w:pStyle w:val="BodyText"/>
      </w:pPr>
      <w:r>
        <w:t xml:space="preserve">Table 1-3 shows that the NPV of operational costs for overhead service </w:t>
      </w:r>
      <w:r w:rsidR="000A19DC">
        <w:t xml:space="preserve">decreased in both </w:t>
      </w:r>
      <w:r w:rsidR="009E64FF">
        <w:t>low-density</w:t>
      </w:r>
      <w:r w:rsidR="000A19DC">
        <w:t xml:space="preserve"> and </w:t>
      </w:r>
      <w:r w:rsidR="009E64FF">
        <w:t>high-density</w:t>
      </w:r>
      <w:r w:rsidR="005364CF">
        <w:t xml:space="preserve"> subdivision models.</w:t>
      </w:r>
    </w:p>
    <w:p w:rsidR="008D22B6" w:rsidRDefault="000A19DC" w:rsidP="000A19DC">
      <w:pPr>
        <w:pStyle w:val="First-LevelSubheading"/>
      </w:pPr>
      <w:r>
        <w:t>Other Proposed Tariff Changes</w:t>
      </w:r>
    </w:p>
    <w:p w:rsidR="004157E9" w:rsidRDefault="00B30E1F" w:rsidP="005A18C5">
      <w:pPr>
        <w:pStyle w:val="BodyText"/>
      </w:pPr>
      <w:r>
        <w:t>TECO’s proposed URD tariffs also include standard charges for the installation and trenching to install underground service laterals fr</w:t>
      </w:r>
      <w:r w:rsidR="005364CF">
        <w:t>om overhead distribution</w:t>
      </w:r>
      <w:r w:rsidR="005618A5">
        <w:t>,</w:t>
      </w:r>
      <w:r>
        <w:t xml:space="preserve"> underground service laterals converted from existing overhead service drops, and non-refundab</w:t>
      </w:r>
      <w:r w:rsidR="00D40568">
        <w:t>le</w:t>
      </w:r>
      <w:r>
        <w:t xml:space="preserve"> deposits for cost estimates for the conversion of existing overhead distribution </w:t>
      </w:r>
      <w:r w:rsidR="00D40568">
        <w:t>facilities</w:t>
      </w:r>
      <w:r>
        <w:t xml:space="preserve"> to underground facilities.</w:t>
      </w:r>
      <w:r w:rsidR="00D40568">
        <w:t xml:space="preserve"> If a customer requests an underground service lateral, the tariff includes a credit to the customer for avoiding a pole. The charges have been updated to reflect current material and labor costs.</w:t>
      </w:r>
      <w:r>
        <w:t xml:space="preserve"> </w:t>
      </w:r>
    </w:p>
    <w:p w:rsidR="00FA0919" w:rsidRDefault="00FA0919" w:rsidP="00FA0919">
      <w:pPr>
        <w:pStyle w:val="First-LevelSubheading"/>
      </w:pPr>
      <w:r>
        <w:t>Conclusion</w:t>
      </w:r>
    </w:p>
    <w:p w:rsidR="00FA0919" w:rsidRDefault="00FA0919" w:rsidP="00FA0919">
      <w:pPr>
        <w:pStyle w:val="BodyText"/>
      </w:pPr>
      <w:r>
        <w:t>Staff has reviewed TECO’s proposed changes to its URD tariffs and associated charges, the accompanying work papers, and responses to staff’s data requests and discussions with the utility. Staff believes TECO’s proposed URD tariffs and associated charges as filed in the amended petition are reasonable and recommends approval of the tariffs shown in Attachment A.</w:t>
      </w:r>
      <w:r w:rsidR="00D80A05">
        <w:t xml:space="preserve"> These tariff</w:t>
      </w:r>
      <w:r w:rsidR="002C0706">
        <w:t>s should</w:t>
      </w:r>
      <w:r w:rsidR="00D80A05">
        <w:t xml:space="preserve"> become effective thirty days after</w:t>
      </w:r>
      <w:r w:rsidR="002C0706">
        <w:t xml:space="preserve"> the</w:t>
      </w:r>
      <w:r w:rsidR="00D80A05">
        <w:t xml:space="preserve"> Commission vote. </w:t>
      </w:r>
    </w:p>
    <w:p w:rsidR="00E06484" w:rsidRDefault="00E06484" w:rsidP="000009A4">
      <w:pPr>
        <w:pStyle w:val="BodyText"/>
      </w:pPr>
    </w:p>
    <w:p w:rsidR="00A37E77" w:rsidRDefault="00A37E77">
      <w:pPr>
        <w:pStyle w:val="IssueHeading"/>
        <w:rPr>
          <w:vanish/>
          <w:specVanish/>
        </w:rPr>
      </w:pPr>
      <w:r w:rsidRPr="004C3641">
        <w:rPr>
          <w:b w:val="0"/>
          <w:i w:val="0"/>
        </w:rPr>
        <w:br w:type="page"/>
      </w:r>
      <w:r w:rsidRPr="004C3641">
        <w:lastRenderedPageBreak/>
        <w:t xml:space="preserve">Issue </w:t>
      </w:r>
      <w:r w:rsidR="00CE7681">
        <w:fldChar w:fldCharType="begin"/>
      </w:r>
      <w:r w:rsidR="00CE7681">
        <w:instrText xml:space="preserve"> SEQ Issue \* MERGEFORMAT </w:instrText>
      </w:r>
      <w:r w:rsidR="00CE7681">
        <w:fldChar w:fldCharType="separate"/>
      </w:r>
      <w:r w:rsidR="00C54D12">
        <w:rPr>
          <w:noProof/>
        </w:rPr>
        <w:t>2</w:t>
      </w:r>
      <w:r w:rsidR="00CE7681">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C54D12">
        <w:rPr>
          <w:noProof/>
        </w:rPr>
        <w:instrText>2</w:instrText>
      </w:r>
      <w:r>
        <w:fldChar w:fldCharType="end"/>
      </w:r>
      <w:r>
        <w:tab/>
        <w:instrText xml:space="preserve">" \l 1 </w:instrText>
      </w:r>
      <w:r>
        <w:fldChar w:fldCharType="end"/>
      </w:r>
      <w:r>
        <w:t> </w:t>
      </w:r>
    </w:p>
    <w:p w:rsidR="00A37E77" w:rsidRDefault="00A37E77">
      <w:pPr>
        <w:pStyle w:val="BodyText"/>
      </w:pPr>
      <w:r>
        <w:t> </w:t>
      </w:r>
      <w:r w:rsidRPr="00A37E77">
        <w:t>Should this docket be closed?</w:t>
      </w:r>
    </w:p>
    <w:p w:rsidR="00A37E77" w:rsidRPr="004C3641" w:rsidRDefault="00A37E77">
      <w:pPr>
        <w:pStyle w:val="IssueSubsectionHeading"/>
        <w:rPr>
          <w:vanish/>
          <w:specVanish/>
        </w:rPr>
      </w:pPr>
      <w:r w:rsidRPr="004C3641">
        <w:t>Recommendation: </w:t>
      </w:r>
    </w:p>
    <w:p w:rsidR="00A37E77" w:rsidRDefault="00A37E77">
      <w:pPr>
        <w:pStyle w:val="BodyText"/>
      </w:pPr>
      <w:r>
        <w:t>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 (Stiller)</w:t>
      </w:r>
    </w:p>
    <w:p w:rsidR="00A37E77" w:rsidRPr="004C3641" w:rsidRDefault="00A37E77">
      <w:pPr>
        <w:pStyle w:val="IssueSubsectionHeading"/>
        <w:rPr>
          <w:vanish/>
          <w:specVanish/>
        </w:rPr>
      </w:pPr>
      <w:r w:rsidRPr="004C3641">
        <w:t>Staff Analysis: </w:t>
      </w:r>
    </w:p>
    <w:p w:rsidR="00A37E77" w:rsidRDefault="00A37E77" w:rsidP="00A37E77">
      <w:pPr>
        <w:pStyle w:val="BodyText"/>
      </w:pPr>
      <w:r>
        <w:t>If Issue 1 is approved and a protest is filed within 21 days of the issuance of the order, the tariffs should remain in effect, with any revenues held subject to refund, pending resolution of the protest. If no timely protest is filed, this docket should be closed upon the issuance of a consummating order.</w:t>
      </w:r>
    </w:p>
    <w:p w:rsidR="00A37E77" w:rsidRDefault="00A37E77">
      <w:pPr>
        <w:pStyle w:val="BodyText"/>
      </w:pPr>
    </w:p>
    <w:p w:rsidR="005447BB" w:rsidRDefault="005447BB" w:rsidP="000009A4">
      <w:pPr>
        <w:pStyle w:val="BodyText"/>
        <w:sectPr w:rsidR="005447BB"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4D6FA7" w:rsidRDefault="005447BB" w:rsidP="000009A4">
      <w:pPr>
        <w:pStyle w:val="BodyText"/>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064 Tariff pages_Pag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064 Tariff pages_Page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10064 Tariff pages_Page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064 Tariff pages_Page_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4D6FA7" w:rsidSect="0068481F">
      <w:headerReference w:type="default" r:id="rId1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950" w:rsidRDefault="00DB2950">
      <w:r>
        <w:separator/>
      </w:r>
    </w:p>
  </w:endnote>
  <w:endnote w:type="continuationSeparator" w:id="0">
    <w:p w:rsidR="00DB2950" w:rsidRDefault="00DB2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165291">
      <w:rPr>
        <w:rStyle w:val="PageNumber"/>
        <w:noProof/>
      </w:rPr>
      <w:t>10</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950" w:rsidRDefault="00DB2950">
      <w:r>
        <w:separator/>
      </w:r>
    </w:p>
  </w:footnote>
  <w:footnote w:type="continuationSeparator" w:id="0">
    <w:p w:rsidR="00DB2950" w:rsidRDefault="00DB2950">
      <w:r>
        <w:continuationSeparator/>
      </w:r>
    </w:p>
  </w:footnote>
  <w:footnote w:id="1">
    <w:p w:rsidR="003B17F4" w:rsidRDefault="003B17F4" w:rsidP="003B17F4">
      <w:pPr>
        <w:pStyle w:val="FootnoteText"/>
      </w:pPr>
      <w:r>
        <w:rPr>
          <w:rStyle w:val="FootnoteReference"/>
        </w:rPr>
        <w:footnoteRef/>
      </w:r>
      <w:r>
        <w:t xml:space="preserve"> Order No. PSC-2018-0319-TRF-EI, issued June 25, 2018, in Docket No. 20180086-EI, </w:t>
      </w:r>
      <w:r w:rsidRPr="005A0816">
        <w:rPr>
          <w:i/>
        </w:rPr>
        <w:t>In re: Petition for approval of revised underground residential distribution tariffs, by Tampa Electric Company</w:t>
      </w:r>
      <w:r>
        <w:t>.</w:t>
      </w:r>
    </w:p>
  </w:footnote>
  <w:footnote w:id="2">
    <w:p w:rsidR="00793C2B" w:rsidRDefault="00793C2B">
      <w:pPr>
        <w:pStyle w:val="FootnoteText"/>
      </w:pPr>
      <w:r>
        <w:rPr>
          <w:rStyle w:val="FootnoteReference"/>
        </w:rPr>
        <w:footnoteRef/>
      </w:r>
      <w:r>
        <w:t xml:space="preserve"> Document No. 03161-2021</w:t>
      </w:r>
      <w:r w:rsidR="00AC477C">
        <w:t>,</w:t>
      </w:r>
      <w:r>
        <w:t xml:space="preserve"> in Docket No. 20210064, </w:t>
      </w:r>
      <w:r w:rsidRPr="00793C2B">
        <w:rPr>
          <w:i/>
        </w:rPr>
        <w:t>In re: Petition of Tampa Electric Company for Approval of Revised Underground Residential Distribution Tariff.</w:t>
      </w:r>
    </w:p>
  </w:footnote>
  <w:footnote w:id="3">
    <w:p w:rsidR="009E64FF" w:rsidRDefault="009E64FF" w:rsidP="009E64FF">
      <w:pPr>
        <w:pStyle w:val="FootnoteText"/>
      </w:pPr>
      <w:r>
        <w:rPr>
          <w:rStyle w:val="FootnoteReference"/>
        </w:rPr>
        <w:footnoteRef/>
      </w:r>
      <w:r>
        <w:t xml:space="preserve"> Exhibit No. SPH-1, Document No. 1, Page 13 of 19, filed on April 9, 2021</w:t>
      </w:r>
      <w:r w:rsidRPr="00DE306D">
        <w:t xml:space="preserve"> </w:t>
      </w:r>
      <w:r>
        <w:t>in Docket No. 20210034-EI.</w:t>
      </w:r>
    </w:p>
  </w:footnote>
  <w:footnote w:id="4">
    <w:p w:rsidR="009E64FF" w:rsidRDefault="009E64FF" w:rsidP="009E64FF">
      <w:pPr>
        <w:pStyle w:val="FootnoteText"/>
      </w:pPr>
      <w:r w:rsidRPr="00E67CD1">
        <w:rPr>
          <w:rStyle w:val="FootnoteReference"/>
        </w:rPr>
        <w:footnoteRef/>
      </w:r>
      <w:r w:rsidRPr="00E67CD1">
        <w:t xml:space="preserve"> </w:t>
      </w:r>
      <w:r w:rsidRPr="00C54D12">
        <w:t>Order No. PSC-2021-0423-S-EI</w:t>
      </w:r>
      <w:r w:rsidR="00A275A8">
        <w:t>, issued November 10, 2021</w:t>
      </w:r>
      <w:r>
        <w:t xml:space="preserve">, </w:t>
      </w:r>
      <w:r w:rsidR="00BE7EB9">
        <w:t>in D</w:t>
      </w:r>
      <w:r w:rsidRPr="00C54D12">
        <w:t>ocket No. 20210034</w:t>
      </w:r>
      <w:r>
        <w:t>-EI</w:t>
      </w:r>
      <w:r w:rsidRPr="00C54D12">
        <w:t xml:space="preserve">, </w:t>
      </w:r>
      <w:r w:rsidRPr="00C54D12">
        <w:rPr>
          <w:i/>
        </w:rPr>
        <w:t xml:space="preserve">In re: </w:t>
      </w:r>
      <w:r w:rsidRPr="008136CE">
        <w:rPr>
          <w:i/>
        </w:rPr>
        <w:t>Petition for rate increase by Tampa Electric Company.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3B17F4"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20210064-EI</w:t>
    </w:r>
    <w:bookmarkEnd w:id="15"/>
  </w:p>
  <w:p w:rsidR="00BC402E" w:rsidRDefault="00BC402E">
    <w:pPr>
      <w:pStyle w:val="Header"/>
    </w:pPr>
    <w:r>
      <w:t xml:space="preserve">Date: </w:t>
    </w:r>
    <w:fldSimple w:instr=" REF FilingDate ">
      <w:r w:rsidR="00C54D12">
        <w:t>November 23, 2021</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C54D12">
      <w:t>Docket No.</w:t>
    </w:r>
    <w:r>
      <w:fldChar w:fldCharType="end"/>
    </w:r>
    <w:r>
      <w:t xml:space="preserve"> </w:t>
    </w:r>
    <w:r>
      <w:fldChar w:fldCharType="begin"/>
    </w:r>
    <w:r>
      <w:instrText xml:space="preserve"> REF DocketList</w:instrText>
    </w:r>
    <w:r>
      <w:fldChar w:fldCharType="separate"/>
    </w:r>
    <w:r w:rsidR="00C54D12">
      <w:t>20210064-EI</w:t>
    </w:r>
    <w:r>
      <w:fldChar w:fldCharType="end"/>
    </w:r>
    <w:r>
      <w:tab/>
      <w:t xml:space="preserve">Issue </w:t>
    </w:r>
    <w:r w:rsidR="00CE7681">
      <w:fldChar w:fldCharType="begin"/>
    </w:r>
    <w:r w:rsidR="00CE7681">
      <w:instrText xml:space="preserve"> Seq Issue \c \* Arabic </w:instrText>
    </w:r>
    <w:r w:rsidR="00CE7681">
      <w:fldChar w:fldCharType="separate"/>
    </w:r>
    <w:r w:rsidR="00165291">
      <w:rPr>
        <w:noProof/>
      </w:rPr>
      <w:t>2</w:t>
    </w:r>
    <w:r w:rsidR="00CE7681">
      <w:rPr>
        <w:noProof/>
      </w:rPr>
      <w:fldChar w:fldCharType="end"/>
    </w:r>
  </w:p>
  <w:p w:rsidR="00BC402E" w:rsidRDefault="00BC402E">
    <w:pPr>
      <w:pStyle w:val="Header"/>
    </w:pPr>
    <w:r>
      <w:t xml:space="preserve">Date: </w:t>
    </w:r>
    <w:fldSimple w:instr=" REF FilingDate ">
      <w:r w:rsidR="00C54D12">
        <w:t>November 23, 2021</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7BB" w:rsidRDefault="005447BB"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20210064-EI</w:t>
    </w:r>
    <w:r>
      <w:fldChar w:fldCharType="end"/>
    </w:r>
    <w:r w:rsidR="00902C70">
      <w:tab/>
    </w:r>
    <w:r>
      <w:t>Attachment A</w:t>
    </w:r>
  </w:p>
  <w:p w:rsidR="005447BB" w:rsidRDefault="005447BB">
    <w:pPr>
      <w:pStyle w:val="Header"/>
    </w:pPr>
    <w:r>
      <w:t xml:space="preserve">Date: </w:t>
    </w:r>
    <w:r w:rsidR="00CE7681">
      <w:fldChar w:fldCharType="begin"/>
    </w:r>
    <w:r w:rsidR="00CE7681">
      <w:instrText xml:space="preserve"> REF FilingDate </w:instrText>
    </w:r>
    <w:r w:rsidR="00CE7681">
      <w:fldChar w:fldCharType="separate"/>
    </w:r>
    <w:r>
      <w:t>November 23, 2021</w:t>
    </w:r>
    <w:r w:rsidR="00CE7681">
      <w:fldChar w:fldCharType="end"/>
    </w:r>
    <w:r w:rsidR="00902C70">
      <w:tab/>
    </w:r>
    <w:r w:rsidR="00902C70">
      <w:tab/>
      <w:t xml:space="preserve">                                                              Page </w:t>
    </w:r>
    <w:r w:rsidR="00902C70">
      <w:fldChar w:fldCharType="begin"/>
    </w:r>
    <w:r w:rsidR="00902C70">
      <w:instrText xml:space="preserve">= </w:instrText>
    </w:r>
    <w:r w:rsidR="00902C70">
      <w:fldChar w:fldCharType="begin"/>
    </w:r>
    <w:r w:rsidR="00902C70">
      <w:instrText xml:space="preserve"> Page </w:instrText>
    </w:r>
    <w:r w:rsidR="00902C70">
      <w:fldChar w:fldCharType="separate"/>
    </w:r>
    <w:r w:rsidR="00165291">
      <w:rPr>
        <w:noProof/>
      </w:rPr>
      <w:instrText>10</w:instrText>
    </w:r>
    <w:r w:rsidR="00902C70">
      <w:fldChar w:fldCharType="end"/>
    </w:r>
    <w:r w:rsidR="00902C70">
      <w:instrText xml:space="preserve">- 6 </w:instrText>
    </w:r>
    <w:r w:rsidR="00902C70">
      <w:fldChar w:fldCharType="separate"/>
    </w:r>
    <w:r w:rsidR="00165291">
      <w:rPr>
        <w:noProof/>
      </w:rPr>
      <w:t>4</w:t>
    </w:r>
    <w:r w:rsidR="00902C70">
      <w:fldChar w:fldCharType="end"/>
    </w:r>
    <w:r w:rsidR="00902C70">
      <w:t xml:space="preserve"> of 4</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867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3B17F4"/>
    <w:rsid w:val="000009A4"/>
    <w:rsid w:val="000043D5"/>
    <w:rsid w:val="00006170"/>
    <w:rsid w:val="00010E37"/>
    <w:rsid w:val="000172DA"/>
    <w:rsid w:val="00021CA2"/>
    <w:rsid w:val="000247C5"/>
    <w:rsid w:val="00025682"/>
    <w:rsid w:val="000277C2"/>
    <w:rsid w:val="00035B48"/>
    <w:rsid w:val="00036CE2"/>
    <w:rsid w:val="000437FE"/>
    <w:rsid w:val="00045C7F"/>
    <w:rsid w:val="000513BE"/>
    <w:rsid w:val="00065A06"/>
    <w:rsid w:val="000666F3"/>
    <w:rsid w:val="00070DCB"/>
    <w:rsid w:val="00072CCA"/>
    <w:rsid w:val="00073120"/>
    <w:rsid w:val="000764D0"/>
    <w:rsid w:val="000828D3"/>
    <w:rsid w:val="000A19DC"/>
    <w:rsid w:val="000A2B57"/>
    <w:rsid w:val="000A418B"/>
    <w:rsid w:val="000A63ED"/>
    <w:rsid w:val="000C4431"/>
    <w:rsid w:val="000D1C06"/>
    <w:rsid w:val="000D4319"/>
    <w:rsid w:val="000F1C32"/>
    <w:rsid w:val="000F374A"/>
    <w:rsid w:val="001076AF"/>
    <w:rsid w:val="00117C8C"/>
    <w:rsid w:val="00124C38"/>
    <w:rsid w:val="00124E2E"/>
    <w:rsid w:val="00125ED4"/>
    <w:rsid w:val="001305E9"/>
    <w:rsid w:val="001307AF"/>
    <w:rsid w:val="00135687"/>
    <w:rsid w:val="0015506E"/>
    <w:rsid w:val="00163031"/>
    <w:rsid w:val="00165291"/>
    <w:rsid w:val="00171A90"/>
    <w:rsid w:val="001765E7"/>
    <w:rsid w:val="00180254"/>
    <w:rsid w:val="00191E1F"/>
    <w:rsid w:val="00192943"/>
    <w:rsid w:val="001A7406"/>
    <w:rsid w:val="001B4FEE"/>
    <w:rsid w:val="001B51C5"/>
    <w:rsid w:val="001B6F3F"/>
    <w:rsid w:val="001C52B5"/>
    <w:rsid w:val="001D0D3E"/>
    <w:rsid w:val="001E540C"/>
    <w:rsid w:val="001F2245"/>
    <w:rsid w:val="001F2C63"/>
    <w:rsid w:val="001F48C7"/>
    <w:rsid w:val="001F6DA1"/>
    <w:rsid w:val="002044E6"/>
    <w:rsid w:val="00205C82"/>
    <w:rsid w:val="00205DC2"/>
    <w:rsid w:val="00212B17"/>
    <w:rsid w:val="002163B6"/>
    <w:rsid w:val="00220732"/>
    <w:rsid w:val="00221D32"/>
    <w:rsid w:val="00225C3F"/>
    <w:rsid w:val="00234A0E"/>
    <w:rsid w:val="00263D44"/>
    <w:rsid w:val="002702AD"/>
    <w:rsid w:val="00273BE7"/>
    <w:rsid w:val="00292D82"/>
    <w:rsid w:val="002963CB"/>
    <w:rsid w:val="002B4A01"/>
    <w:rsid w:val="002C0706"/>
    <w:rsid w:val="002D226D"/>
    <w:rsid w:val="002F6030"/>
    <w:rsid w:val="003037E1"/>
    <w:rsid w:val="00307E51"/>
    <w:rsid w:val="003103EC"/>
    <w:rsid w:val="003144EF"/>
    <w:rsid w:val="00322F74"/>
    <w:rsid w:val="00340073"/>
    <w:rsid w:val="003632FD"/>
    <w:rsid w:val="00372805"/>
    <w:rsid w:val="00373180"/>
    <w:rsid w:val="00375AB9"/>
    <w:rsid w:val="003821A0"/>
    <w:rsid w:val="00385B04"/>
    <w:rsid w:val="003864CF"/>
    <w:rsid w:val="003948AE"/>
    <w:rsid w:val="003A22A6"/>
    <w:rsid w:val="003A5494"/>
    <w:rsid w:val="003B17F4"/>
    <w:rsid w:val="003B2510"/>
    <w:rsid w:val="003C2CC4"/>
    <w:rsid w:val="003C3710"/>
    <w:rsid w:val="003E0EFC"/>
    <w:rsid w:val="003E4A2B"/>
    <w:rsid w:val="003E76C2"/>
    <w:rsid w:val="003F1679"/>
    <w:rsid w:val="003F21EB"/>
    <w:rsid w:val="003F4A35"/>
    <w:rsid w:val="003F5393"/>
    <w:rsid w:val="003F7FDD"/>
    <w:rsid w:val="00402481"/>
    <w:rsid w:val="004042B4"/>
    <w:rsid w:val="00410DC4"/>
    <w:rsid w:val="00412DAE"/>
    <w:rsid w:val="004136FA"/>
    <w:rsid w:val="004157E9"/>
    <w:rsid w:val="004242E6"/>
    <w:rsid w:val="00431598"/>
    <w:rsid w:val="004319AD"/>
    <w:rsid w:val="004426B8"/>
    <w:rsid w:val="00444283"/>
    <w:rsid w:val="00444432"/>
    <w:rsid w:val="00471860"/>
    <w:rsid w:val="00477026"/>
    <w:rsid w:val="004A744D"/>
    <w:rsid w:val="004B60BD"/>
    <w:rsid w:val="004C3150"/>
    <w:rsid w:val="004C3641"/>
    <w:rsid w:val="004C4390"/>
    <w:rsid w:val="004C4AF7"/>
    <w:rsid w:val="004D2881"/>
    <w:rsid w:val="004D385F"/>
    <w:rsid w:val="004D5B39"/>
    <w:rsid w:val="004D6FA7"/>
    <w:rsid w:val="004E330D"/>
    <w:rsid w:val="004E5147"/>
    <w:rsid w:val="004E69B5"/>
    <w:rsid w:val="004F5C43"/>
    <w:rsid w:val="0050652D"/>
    <w:rsid w:val="00506C03"/>
    <w:rsid w:val="00511A11"/>
    <w:rsid w:val="00514704"/>
    <w:rsid w:val="00516496"/>
    <w:rsid w:val="00523B11"/>
    <w:rsid w:val="0052572A"/>
    <w:rsid w:val="00532DFB"/>
    <w:rsid w:val="005364CF"/>
    <w:rsid w:val="00543CB3"/>
    <w:rsid w:val="005442E4"/>
    <w:rsid w:val="005447BB"/>
    <w:rsid w:val="0055529B"/>
    <w:rsid w:val="00560FF0"/>
    <w:rsid w:val="005614BD"/>
    <w:rsid w:val="005618A5"/>
    <w:rsid w:val="0057154F"/>
    <w:rsid w:val="00580F69"/>
    <w:rsid w:val="00581CA3"/>
    <w:rsid w:val="00587A44"/>
    <w:rsid w:val="00594F92"/>
    <w:rsid w:val="00597730"/>
    <w:rsid w:val="005977EC"/>
    <w:rsid w:val="00597DE7"/>
    <w:rsid w:val="005A18C5"/>
    <w:rsid w:val="005A4AA2"/>
    <w:rsid w:val="005B34B6"/>
    <w:rsid w:val="005B6C8F"/>
    <w:rsid w:val="005B6EC3"/>
    <w:rsid w:val="005D0ED4"/>
    <w:rsid w:val="005D0F74"/>
    <w:rsid w:val="005D2E7D"/>
    <w:rsid w:val="005D4A8F"/>
    <w:rsid w:val="005D561B"/>
    <w:rsid w:val="005D5ECF"/>
    <w:rsid w:val="005F03AB"/>
    <w:rsid w:val="005F468D"/>
    <w:rsid w:val="005F69A3"/>
    <w:rsid w:val="00604CC7"/>
    <w:rsid w:val="00615423"/>
    <w:rsid w:val="006165B2"/>
    <w:rsid w:val="00617276"/>
    <w:rsid w:val="0062527B"/>
    <w:rsid w:val="00625D97"/>
    <w:rsid w:val="00625F1C"/>
    <w:rsid w:val="006279E1"/>
    <w:rsid w:val="00630CEB"/>
    <w:rsid w:val="00632264"/>
    <w:rsid w:val="006445FB"/>
    <w:rsid w:val="006468E7"/>
    <w:rsid w:val="006470BC"/>
    <w:rsid w:val="006554D3"/>
    <w:rsid w:val="00662F58"/>
    <w:rsid w:val="00667036"/>
    <w:rsid w:val="00673BDB"/>
    <w:rsid w:val="00674341"/>
    <w:rsid w:val="006771B8"/>
    <w:rsid w:val="006843B6"/>
    <w:rsid w:val="0068481F"/>
    <w:rsid w:val="006935B2"/>
    <w:rsid w:val="00696F5D"/>
    <w:rsid w:val="00697249"/>
    <w:rsid w:val="006B3947"/>
    <w:rsid w:val="006B4293"/>
    <w:rsid w:val="006B624F"/>
    <w:rsid w:val="006C0C95"/>
    <w:rsid w:val="006C31E3"/>
    <w:rsid w:val="006C334E"/>
    <w:rsid w:val="006D18D3"/>
    <w:rsid w:val="006E08CB"/>
    <w:rsid w:val="006E598D"/>
    <w:rsid w:val="006F00AB"/>
    <w:rsid w:val="0070437D"/>
    <w:rsid w:val="00704C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93C2B"/>
    <w:rsid w:val="007A04A1"/>
    <w:rsid w:val="007A1840"/>
    <w:rsid w:val="007C0528"/>
    <w:rsid w:val="007C3D38"/>
    <w:rsid w:val="007C765B"/>
    <w:rsid w:val="007D0F35"/>
    <w:rsid w:val="007D4D2B"/>
    <w:rsid w:val="007D4FEB"/>
    <w:rsid w:val="007D6146"/>
    <w:rsid w:val="007E0CE7"/>
    <w:rsid w:val="007F1193"/>
    <w:rsid w:val="007F417F"/>
    <w:rsid w:val="007F7644"/>
    <w:rsid w:val="008042BD"/>
    <w:rsid w:val="008136CE"/>
    <w:rsid w:val="00816624"/>
    <w:rsid w:val="00822427"/>
    <w:rsid w:val="00822562"/>
    <w:rsid w:val="00823663"/>
    <w:rsid w:val="00832DDC"/>
    <w:rsid w:val="00850BAC"/>
    <w:rsid w:val="00854A3E"/>
    <w:rsid w:val="00855D08"/>
    <w:rsid w:val="00874344"/>
    <w:rsid w:val="00882155"/>
    <w:rsid w:val="0088233B"/>
    <w:rsid w:val="0088599E"/>
    <w:rsid w:val="00886C37"/>
    <w:rsid w:val="00892D99"/>
    <w:rsid w:val="00893315"/>
    <w:rsid w:val="008A4CCD"/>
    <w:rsid w:val="008B62AE"/>
    <w:rsid w:val="008C04B5"/>
    <w:rsid w:val="008C14FA"/>
    <w:rsid w:val="008C6D2F"/>
    <w:rsid w:val="008C7B0B"/>
    <w:rsid w:val="008D22B6"/>
    <w:rsid w:val="008D4057"/>
    <w:rsid w:val="008E1F19"/>
    <w:rsid w:val="008F2262"/>
    <w:rsid w:val="008F4D2B"/>
    <w:rsid w:val="008F7736"/>
    <w:rsid w:val="0090019E"/>
    <w:rsid w:val="00901086"/>
    <w:rsid w:val="00901C8A"/>
    <w:rsid w:val="00902C70"/>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2F5D"/>
    <w:rsid w:val="009A3330"/>
    <w:rsid w:val="009A7C96"/>
    <w:rsid w:val="009C3DB9"/>
    <w:rsid w:val="009D46E5"/>
    <w:rsid w:val="009D568A"/>
    <w:rsid w:val="009D5CEA"/>
    <w:rsid w:val="009E64FF"/>
    <w:rsid w:val="009F04EC"/>
    <w:rsid w:val="009F2A7C"/>
    <w:rsid w:val="009F3B36"/>
    <w:rsid w:val="00A019B9"/>
    <w:rsid w:val="00A12508"/>
    <w:rsid w:val="00A1282B"/>
    <w:rsid w:val="00A13A27"/>
    <w:rsid w:val="00A175B6"/>
    <w:rsid w:val="00A21835"/>
    <w:rsid w:val="00A2374B"/>
    <w:rsid w:val="00A275A8"/>
    <w:rsid w:val="00A27D6E"/>
    <w:rsid w:val="00A328EC"/>
    <w:rsid w:val="00A33A51"/>
    <w:rsid w:val="00A37E77"/>
    <w:rsid w:val="00A41CA6"/>
    <w:rsid w:val="00A473E1"/>
    <w:rsid w:val="00A47927"/>
    <w:rsid w:val="00A47FFC"/>
    <w:rsid w:val="00A5442F"/>
    <w:rsid w:val="00A54FF9"/>
    <w:rsid w:val="00A56765"/>
    <w:rsid w:val="00A675AC"/>
    <w:rsid w:val="00A7581F"/>
    <w:rsid w:val="00A9294E"/>
    <w:rsid w:val="00A92ABB"/>
    <w:rsid w:val="00A92FB1"/>
    <w:rsid w:val="00A95A0C"/>
    <w:rsid w:val="00AA2765"/>
    <w:rsid w:val="00AA48C5"/>
    <w:rsid w:val="00AA77B5"/>
    <w:rsid w:val="00AB6C5D"/>
    <w:rsid w:val="00AC3401"/>
    <w:rsid w:val="00AC477C"/>
    <w:rsid w:val="00AC51A7"/>
    <w:rsid w:val="00AD444B"/>
    <w:rsid w:val="00AD5614"/>
    <w:rsid w:val="00AD6C78"/>
    <w:rsid w:val="00AE2EAB"/>
    <w:rsid w:val="00AE4ACC"/>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0E1F"/>
    <w:rsid w:val="00B3109A"/>
    <w:rsid w:val="00B3342C"/>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6DDB"/>
    <w:rsid w:val="00BE7EB9"/>
    <w:rsid w:val="00BF5010"/>
    <w:rsid w:val="00C0378D"/>
    <w:rsid w:val="00C03D5F"/>
    <w:rsid w:val="00C13791"/>
    <w:rsid w:val="00C31BB3"/>
    <w:rsid w:val="00C324CD"/>
    <w:rsid w:val="00C36977"/>
    <w:rsid w:val="00C467DA"/>
    <w:rsid w:val="00C477D9"/>
    <w:rsid w:val="00C51077"/>
    <w:rsid w:val="00C54D12"/>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A7C44"/>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40568"/>
    <w:rsid w:val="00D60B16"/>
    <w:rsid w:val="00D60F02"/>
    <w:rsid w:val="00D6285F"/>
    <w:rsid w:val="00D66E49"/>
    <w:rsid w:val="00D70D71"/>
    <w:rsid w:val="00D72F74"/>
    <w:rsid w:val="00D80A05"/>
    <w:rsid w:val="00D81563"/>
    <w:rsid w:val="00D85907"/>
    <w:rsid w:val="00D9073E"/>
    <w:rsid w:val="00D9221D"/>
    <w:rsid w:val="00D958DF"/>
    <w:rsid w:val="00D96DA1"/>
    <w:rsid w:val="00D96F46"/>
    <w:rsid w:val="00DA51E7"/>
    <w:rsid w:val="00DB0260"/>
    <w:rsid w:val="00DB1C78"/>
    <w:rsid w:val="00DB2950"/>
    <w:rsid w:val="00DB7D96"/>
    <w:rsid w:val="00DC23FE"/>
    <w:rsid w:val="00DC59E6"/>
    <w:rsid w:val="00DC7D3E"/>
    <w:rsid w:val="00DD150B"/>
    <w:rsid w:val="00DD5025"/>
    <w:rsid w:val="00DF1510"/>
    <w:rsid w:val="00E02F1F"/>
    <w:rsid w:val="00E06484"/>
    <w:rsid w:val="00E20A7D"/>
    <w:rsid w:val="00E275D8"/>
    <w:rsid w:val="00E30F6A"/>
    <w:rsid w:val="00E3117C"/>
    <w:rsid w:val="00E375CA"/>
    <w:rsid w:val="00E4726D"/>
    <w:rsid w:val="00E5364F"/>
    <w:rsid w:val="00E567E8"/>
    <w:rsid w:val="00E64679"/>
    <w:rsid w:val="00E65EBC"/>
    <w:rsid w:val="00E677FE"/>
    <w:rsid w:val="00E67CD1"/>
    <w:rsid w:val="00E73432"/>
    <w:rsid w:val="00E769E4"/>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E5FD5"/>
    <w:rsid w:val="00EF264C"/>
    <w:rsid w:val="00EF3FEE"/>
    <w:rsid w:val="00F04B59"/>
    <w:rsid w:val="00F11237"/>
    <w:rsid w:val="00F11741"/>
    <w:rsid w:val="00F12B1C"/>
    <w:rsid w:val="00F13CF8"/>
    <w:rsid w:val="00F15855"/>
    <w:rsid w:val="00F200B2"/>
    <w:rsid w:val="00F227DC"/>
    <w:rsid w:val="00F32978"/>
    <w:rsid w:val="00F45CB2"/>
    <w:rsid w:val="00F4632E"/>
    <w:rsid w:val="00F544C0"/>
    <w:rsid w:val="00F55332"/>
    <w:rsid w:val="00F6504A"/>
    <w:rsid w:val="00F65519"/>
    <w:rsid w:val="00F713C0"/>
    <w:rsid w:val="00F75DDC"/>
    <w:rsid w:val="00F7792F"/>
    <w:rsid w:val="00F842AA"/>
    <w:rsid w:val="00F8476F"/>
    <w:rsid w:val="00F853E1"/>
    <w:rsid w:val="00F85604"/>
    <w:rsid w:val="00F94B7A"/>
    <w:rsid w:val="00FA0919"/>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docId w15:val="{17CA19BA-FC1E-4738-9841-D180043F8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3B17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C9F80-7440-4C53-B017-AEF13638F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10</Pages>
  <Words>1633</Words>
  <Characters>9929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Holly Forrest</dc:creator>
  <cp:lastModifiedBy>Andrea Mick</cp:lastModifiedBy>
  <cp:revision>2</cp:revision>
  <cp:lastPrinted>2021-11-16T17:47:00Z</cp:lastPrinted>
  <dcterms:created xsi:type="dcterms:W3CDTF">2021-11-23T14:37:00Z</dcterms:created>
  <dcterms:modified xsi:type="dcterms:W3CDTF">2021-11-23T14:37:00Z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20210064-EI</vt:lpwstr>
  </property>
  <property fmtid="{D5CDD505-2E9C-101B-9397-08002B2CF9AE}" pid="3" name="MasterDocument">
    <vt:bool>false</vt:bool>
  </property>
</Properties>
</file>