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74A16" w:rsidP="00C74A16">
      <w:pPr>
        <w:pStyle w:val="OrderHeading"/>
      </w:pPr>
      <w:r>
        <w:t>BEFORE THE FLORIDA PUBLIC SERVICE COMMISSION</w:t>
      </w:r>
    </w:p>
    <w:p w:rsidR="00C74A16" w:rsidRDefault="00C74A16" w:rsidP="00C74A16">
      <w:pPr>
        <w:pStyle w:val="OrderBody"/>
      </w:pPr>
    </w:p>
    <w:p w:rsidR="00C74A16" w:rsidRDefault="00C74A16" w:rsidP="00C74A1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74A16" w:rsidRPr="00C63FCF" w:rsidTr="00C63FCF">
        <w:trPr>
          <w:trHeight w:val="828"/>
        </w:trPr>
        <w:tc>
          <w:tcPr>
            <w:tcW w:w="4788" w:type="dxa"/>
            <w:tcBorders>
              <w:bottom w:val="single" w:sz="8" w:space="0" w:color="auto"/>
              <w:right w:val="double" w:sz="6" w:space="0" w:color="auto"/>
            </w:tcBorders>
            <w:shd w:val="clear" w:color="auto" w:fill="auto"/>
          </w:tcPr>
          <w:p w:rsidR="00C74A16" w:rsidRDefault="00C74A16" w:rsidP="00C63FCF">
            <w:pPr>
              <w:pStyle w:val="OrderBody"/>
              <w:tabs>
                <w:tab w:val="center" w:pos="4320"/>
                <w:tab w:val="right" w:pos="8640"/>
              </w:tabs>
              <w:jc w:val="left"/>
            </w:pPr>
            <w:r>
              <w:t xml:space="preserve">In re: </w:t>
            </w:r>
            <w:bookmarkStart w:id="0" w:name="SSInRe"/>
            <w:bookmarkEnd w:id="0"/>
            <w:r>
              <w:t>Joint motion requesting Commission approval of settlement agreement by the Office of Public Counsel and Black Bear Waterworks, Inc.</w:t>
            </w:r>
          </w:p>
        </w:tc>
        <w:tc>
          <w:tcPr>
            <w:tcW w:w="4788" w:type="dxa"/>
            <w:tcBorders>
              <w:left w:val="double" w:sz="6" w:space="0" w:color="auto"/>
            </w:tcBorders>
            <w:shd w:val="clear" w:color="auto" w:fill="auto"/>
          </w:tcPr>
          <w:p w:rsidR="00C74A16" w:rsidRDefault="00C74A16" w:rsidP="00C74A16">
            <w:pPr>
              <w:pStyle w:val="OrderBody"/>
            </w:pPr>
            <w:r>
              <w:t xml:space="preserve">DOCKET NO. </w:t>
            </w:r>
            <w:bookmarkStart w:id="1" w:name="SSDocketNo"/>
            <w:bookmarkEnd w:id="1"/>
            <w:r>
              <w:t>20210174-WU</w:t>
            </w:r>
          </w:p>
          <w:p w:rsidR="00C74A16" w:rsidRDefault="00C74A16" w:rsidP="00C63FCF">
            <w:pPr>
              <w:pStyle w:val="OrderBody"/>
              <w:tabs>
                <w:tab w:val="center" w:pos="4320"/>
                <w:tab w:val="right" w:pos="8640"/>
              </w:tabs>
              <w:jc w:val="left"/>
            </w:pPr>
            <w:r>
              <w:t xml:space="preserve">ORDER NO. </w:t>
            </w:r>
            <w:bookmarkStart w:id="2" w:name="OrderNo0461"/>
            <w:r w:rsidR="006D6774">
              <w:t>PSC-2021-0461-PAA-WU</w:t>
            </w:r>
            <w:bookmarkEnd w:id="2"/>
          </w:p>
          <w:p w:rsidR="00C74A16" w:rsidRDefault="00C74A16" w:rsidP="00C63FCF">
            <w:pPr>
              <w:pStyle w:val="OrderBody"/>
              <w:tabs>
                <w:tab w:val="center" w:pos="4320"/>
                <w:tab w:val="right" w:pos="8640"/>
              </w:tabs>
              <w:jc w:val="left"/>
            </w:pPr>
            <w:r>
              <w:t xml:space="preserve">ISSUED: </w:t>
            </w:r>
            <w:r w:rsidR="006D6774">
              <w:t>December 15, 2021</w:t>
            </w:r>
          </w:p>
        </w:tc>
      </w:tr>
    </w:tbl>
    <w:p w:rsidR="00C74A16" w:rsidRDefault="00C74A16" w:rsidP="00C74A16"/>
    <w:p w:rsidR="00C74A16" w:rsidRDefault="00C74A16" w:rsidP="00C74A16"/>
    <w:p w:rsidR="00C74A16" w:rsidRDefault="00C74A16" w:rsidP="00B67A43">
      <w:pPr>
        <w:ind w:firstLine="720"/>
        <w:jc w:val="both"/>
      </w:pPr>
      <w:bookmarkStart w:id="3" w:name="Commissioners"/>
      <w:bookmarkEnd w:id="3"/>
      <w:r>
        <w:t>The following Commissioners participated in the disposition of this matter:</w:t>
      </w:r>
    </w:p>
    <w:p w:rsidR="00C74A16" w:rsidRDefault="00C74A16" w:rsidP="00B67A43"/>
    <w:p w:rsidR="00C74A16" w:rsidRDefault="00C74A16" w:rsidP="00B67A43">
      <w:pPr>
        <w:jc w:val="center"/>
      </w:pPr>
      <w:r>
        <w:t>GARY F. CLARK, Chairman</w:t>
      </w:r>
    </w:p>
    <w:p w:rsidR="00C74A16" w:rsidRDefault="00C74A16" w:rsidP="00B67A43">
      <w:pPr>
        <w:jc w:val="center"/>
      </w:pPr>
      <w:r>
        <w:t>ART GRAHAM</w:t>
      </w:r>
    </w:p>
    <w:p w:rsidR="00C74A16" w:rsidRDefault="00C74A16" w:rsidP="00B67A43">
      <w:pPr>
        <w:jc w:val="center"/>
      </w:pPr>
      <w:r>
        <w:t>ANDREW GILES FAY</w:t>
      </w:r>
    </w:p>
    <w:p w:rsidR="00C74A16" w:rsidRDefault="00C74A16" w:rsidP="00B67A43">
      <w:pPr>
        <w:jc w:val="center"/>
      </w:pPr>
      <w:r>
        <w:t>MIKE LA ROSA</w:t>
      </w:r>
    </w:p>
    <w:p w:rsidR="00C74A16" w:rsidRPr="005F2751" w:rsidRDefault="00C74A16" w:rsidP="00B67A43">
      <w:pPr>
        <w:jc w:val="center"/>
      </w:pPr>
      <w:r w:rsidRPr="005F2751">
        <w:rPr>
          <w:lang w:val="en"/>
        </w:rPr>
        <w:t>GABRIELLA PASSIDOMO</w:t>
      </w:r>
    </w:p>
    <w:p w:rsidR="00CB5276" w:rsidRDefault="00CB5276">
      <w:pPr>
        <w:pStyle w:val="OrderBody"/>
      </w:pPr>
    </w:p>
    <w:p w:rsidR="00C74A16" w:rsidRDefault="00C74A16" w:rsidP="00C74A16">
      <w:pPr>
        <w:pStyle w:val="OrderBody"/>
      </w:pPr>
    </w:p>
    <w:bookmarkStart w:id="4" w:name="OrderText"/>
    <w:bookmarkEnd w:id="4"/>
    <w:p w:rsidR="00C74A16" w:rsidRPr="003E4B2D" w:rsidRDefault="00C74A16">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C74A16" w:rsidRPr="003E4B2D" w:rsidRDefault="00C74A16">
      <w:pPr>
        <w:pStyle w:val="OrderBody"/>
        <w:jc w:val="center"/>
        <w:rPr>
          <w:u w:val="single"/>
        </w:rPr>
      </w:pPr>
      <w:r w:rsidRPr="003E4B2D">
        <w:rPr>
          <w:u w:val="single"/>
        </w:rPr>
        <w:t>ORDER</w:t>
      </w:r>
      <w:bookmarkStart w:id="5" w:name="OrderTitle"/>
      <w:r w:rsidR="004E40A1">
        <w:rPr>
          <w:u w:val="single"/>
        </w:rPr>
        <w:t xml:space="preserve"> APPROVING SETTLEMENT ADDRESSING POTENTIAL OVEREARNINGS</w:t>
      </w:r>
      <w:r>
        <w:rPr>
          <w:u w:val="single"/>
        </w:rPr>
        <w:t xml:space="preserve"> </w:t>
      </w:r>
      <w:bookmarkEnd w:id="5"/>
    </w:p>
    <w:p w:rsidR="00C74A16" w:rsidRPr="003E4B2D" w:rsidRDefault="00C74A16">
      <w:pPr>
        <w:pStyle w:val="OrderBody"/>
      </w:pPr>
    </w:p>
    <w:p w:rsidR="00C74A16" w:rsidRPr="003E4B2D" w:rsidRDefault="00C74A16">
      <w:pPr>
        <w:pStyle w:val="OrderBody"/>
      </w:pPr>
    </w:p>
    <w:p w:rsidR="00C74A16" w:rsidRPr="003E4B2D" w:rsidRDefault="00C74A16">
      <w:pPr>
        <w:pStyle w:val="OrderBody"/>
      </w:pPr>
      <w:r w:rsidRPr="003E4B2D">
        <w:t>BY THE COMMISSION:</w:t>
      </w:r>
    </w:p>
    <w:p w:rsidR="00C74A16" w:rsidRPr="003E4B2D" w:rsidRDefault="00C74A16">
      <w:pPr>
        <w:pStyle w:val="OrderBody"/>
      </w:pPr>
    </w:p>
    <w:p w:rsidR="00C74A16" w:rsidRDefault="00C74A16">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C74A16"/>
    <w:p w:rsidR="0082449E" w:rsidRPr="004E40A1" w:rsidRDefault="0082449E" w:rsidP="0082449E">
      <w:pPr>
        <w:pStyle w:val="RecommendationMajorSectionHeading"/>
        <w:rPr>
          <w:rFonts w:ascii="Times New Roman" w:hAnsi="Times New Roman" w:cs="Times New Roman"/>
          <w:b w:val="0"/>
          <w:u w:val="single"/>
        </w:rPr>
      </w:pPr>
      <w:r w:rsidRPr="004E40A1">
        <w:rPr>
          <w:rFonts w:ascii="Times New Roman" w:hAnsi="Times New Roman" w:cs="Times New Roman"/>
          <w:b w:val="0"/>
          <w:u w:val="single"/>
        </w:rPr>
        <w:t>Background</w:t>
      </w:r>
    </w:p>
    <w:p w:rsidR="0082449E" w:rsidRDefault="0082449E" w:rsidP="009A7FD7">
      <w:pPr>
        <w:pStyle w:val="BodyText"/>
        <w:ind w:firstLine="720"/>
        <w:jc w:val="both"/>
      </w:pPr>
      <w:r>
        <w:t>Black Bear Waterworks, Inc. (Black Bear or Utility) is a Class C utility serving approximately 331 water customers in Lake County. Black Bear was previously identified as potentially overearning in 2017, and agreed to refund 10.44 percent of water revenues billed for 2017, as a result of a Commission-approved Settlement Agreement in that case.</w:t>
      </w:r>
      <w:r>
        <w:rPr>
          <w:rStyle w:val="FootnoteReference"/>
        </w:rPr>
        <w:footnoteReference w:id="1"/>
      </w:r>
      <w:r>
        <w:t xml:space="preserve"> Based on </w:t>
      </w:r>
      <w:r w:rsidR="004E40A1">
        <w:t>its</w:t>
      </w:r>
      <w:r>
        <w:t xml:space="preserve"> review of Black Bear’s 2020 Annual Report, </w:t>
      </w:r>
      <w:r w:rsidR="004E40A1">
        <w:t xml:space="preserve">Commission staff </w:t>
      </w:r>
      <w:r>
        <w:t xml:space="preserve">identified potential 2021 overearnings. By letter dated August 5, 2021, Black Bear acknowledged </w:t>
      </w:r>
      <w:r w:rsidR="004E40A1">
        <w:t>our</w:t>
      </w:r>
      <w:r>
        <w:t xml:space="preserve"> jurisdiction over revenues in excess of the maximum of the allowed Return on Equity (ROE) for 2021. On October 15, 2021 and October 27, 2021, informal meetings were held between Black Bear and the Office of Public Counsel (OPC) (collectively referred to as Parties) to discuss the disposition of potential 2021 overearnings. On November 5, 2021, Black Bear and OPC filed a Joint Motion requesting </w:t>
      </w:r>
      <w:r w:rsidR="004E40A1">
        <w:t>our</w:t>
      </w:r>
      <w:r>
        <w:t xml:space="preserve"> approval of a Settlement Agreement to resolve potential 2021 overearnings.</w:t>
      </w:r>
    </w:p>
    <w:p w:rsidR="0082449E" w:rsidRDefault="0082449E" w:rsidP="004E40A1">
      <w:pPr>
        <w:pStyle w:val="BodyText"/>
        <w:ind w:firstLine="720"/>
        <w:jc w:val="both"/>
      </w:pPr>
      <w:r>
        <w:lastRenderedPageBreak/>
        <w:t xml:space="preserve">The Joint Motion and Settlement Agreement have been attached as Attachment A to this </w:t>
      </w:r>
      <w:r w:rsidR="004E40A1">
        <w:t>order</w:t>
      </w:r>
      <w:r>
        <w:t xml:space="preserve">. </w:t>
      </w:r>
      <w:r w:rsidR="004E40A1">
        <w:t>We have</w:t>
      </w:r>
      <w:r>
        <w:t xml:space="preserve"> jurisdiction pursuant to Sections 367.081, 367.082, and 367.121, Florida Statutes.</w:t>
      </w:r>
    </w:p>
    <w:p w:rsidR="0082449E" w:rsidRPr="004E40A1" w:rsidRDefault="0082449E" w:rsidP="0082449E">
      <w:pPr>
        <w:pStyle w:val="RecommendationMajorSectionHeading"/>
        <w:rPr>
          <w:rFonts w:ascii="Times New Roman" w:hAnsi="Times New Roman" w:cs="Times New Roman"/>
          <w:b w:val="0"/>
          <w:u w:val="single"/>
        </w:rPr>
      </w:pPr>
      <w:bookmarkStart w:id="6" w:name="DiscussionOfIssues"/>
      <w:r w:rsidRPr="004E40A1">
        <w:rPr>
          <w:rFonts w:ascii="Times New Roman" w:hAnsi="Times New Roman" w:cs="Times New Roman"/>
          <w:b w:val="0"/>
          <w:u w:val="single"/>
        </w:rPr>
        <w:t>D</w:t>
      </w:r>
      <w:r w:rsidR="004E40A1" w:rsidRPr="004E40A1">
        <w:rPr>
          <w:rFonts w:ascii="Times New Roman" w:hAnsi="Times New Roman" w:cs="Times New Roman"/>
          <w:b w:val="0"/>
          <w:u w:val="single"/>
        </w:rPr>
        <w:t>ecision</w:t>
      </w:r>
    </w:p>
    <w:bookmarkEnd w:id="6"/>
    <w:p w:rsidR="0082449E" w:rsidRPr="00AE285E" w:rsidRDefault="0082449E" w:rsidP="004E40A1">
      <w:pPr>
        <w:pStyle w:val="BodyText"/>
        <w:ind w:firstLine="720"/>
        <w:jc w:val="both"/>
      </w:pPr>
      <w:r w:rsidRPr="00AE285E">
        <w:t xml:space="preserve">As stated in the </w:t>
      </w:r>
      <w:r w:rsidR="004E40A1">
        <w:t>b</w:t>
      </w:r>
      <w:r w:rsidRPr="00AE285E">
        <w:t>ackground, as part of its ongoing surveillance activities,</w:t>
      </w:r>
      <w:r w:rsidR="004E40A1">
        <w:t xml:space="preserve"> Commission</w:t>
      </w:r>
      <w:r w:rsidRPr="00AE285E">
        <w:t xml:space="preserve"> staff identified possible overearnings based upon </w:t>
      </w:r>
      <w:r w:rsidR="004E40A1">
        <w:t>its</w:t>
      </w:r>
      <w:r w:rsidRPr="00AE285E">
        <w:t xml:space="preserve"> review of Black Bear’s 2020 Annual Report. On November 5, 2021, the Parties filed a Joint Motion requesting </w:t>
      </w:r>
      <w:r w:rsidR="004E40A1">
        <w:t xml:space="preserve">our </w:t>
      </w:r>
      <w:r w:rsidRPr="00AE285E">
        <w:t xml:space="preserve">approval of </w:t>
      </w:r>
      <w:r w:rsidR="004E40A1">
        <w:t xml:space="preserve">a </w:t>
      </w:r>
      <w:r w:rsidRPr="00AE285E">
        <w:t>Settlement Agreement to resolve the disposition of 2021 over</w:t>
      </w:r>
      <w:r w:rsidR="00F32EE2">
        <w:t>e</w:t>
      </w:r>
      <w:r w:rsidRPr="00AE285E">
        <w:t xml:space="preserve">arnings, and address possible overearnings for 2022. </w:t>
      </w:r>
      <w:r w:rsidR="004E40A1">
        <w:t>W</w:t>
      </w:r>
      <w:r w:rsidRPr="00AE285E">
        <w:t xml:space="preserve">ith respect to 2021 overearnings, </w:t>
      </w:r>
      <w:r w:rsidR="004E40A1">
        <w:t xml:space="preserve">the Settlement Agreement provides that </w:t>
      </w:r>
      <w:r w:rsidRPr="00AE285E">
        <w:t xml:space="preserve">Black Bear should refund, via bill credits, 16.57 percent of water revenues billed for the calendar year 2021. The bill credits are anticipated to total approximately $32,500, and are expected to be issued during the first quarter of 2022. The refunds </w:t>
      </w:r>
      <w:r w:rsidR="004E40A1">
        <w:t>will</w:t>
      </w:r>
      <w:r w:rsidRPr="00AE285E">
        <w:t xml:space="preserve"> be made in accordance with Rule 25-30.360, F.A.C.</w:t>
      </w:r>
    </w:p>
    <w:p w:rsidR="0082449E" w:rsidRPr="00AE285E" w:rsidRDefault="0082449E" w:rsidP="009A7FD7">
      <w:pPr>
        <w:pStyle w:val="BodyText"/>
        <w:ind w:firstLine="720"/>
        <w:jc w:val="both"/>
      </w:pPr>
      <w:r w:rsidRPr="00AE285E">
        <w:t>In its letter dated August 5, 2021, the Utility indicated that it intends to consolidate Black Bear, as well as nine other subsidiary systems that are located within the same geographic vicinity, into a new corporation. This merger is intended to recognize efficiencies and resolve the historical difficulties in earnings for these systems. Many of the systems included in the planned consolidation have habitually earned below the bottom of their authorized rate of return on equity, while others have occasionally overearned while having relatively low rates.</w:t>
      </w:r>
    </w:p>
    <w:p w:rsidR="0082449E" w:rsidRPr="00AE285E" w:rsidRDefault="0082449E" w:rsidP="009A7FD7">
      <w:pPr>
        <w:pStyle w:val="BodyText"/>
        <w:ind w:firstLine="720"/>
        <w:jc w:val="both"/>
      </w:pPr>
      <w:r w:rsidRPr="00AE285E">
        <w:t>The Settlement Agreement also provides protections for customers for possible overearnings of Black Bear in 2022. Black Bear has agreed to hold subject to refund all revenues received during calendar year 2022 that are above its authorized ROE range until a final review of its 2022 Annual Report</w:t>
      </w:r>
      <w:r w:rsidR="004E40A1">
        <w:t xml:space="preserve"> is made</w:t>
      </w:r>
      <w:r w:rsidRPr="00AE285E">
        <w:t>.</w:t>
      </w:r>
    </w:p>
    <w:p w:rsidR="0082449E" w:rsidRDefault="0082449E" w:rsidP="009A7FD7">
      <w:pPr>
        <w:pStyle w:val="BodyText"/>
        <w:ind w:firstLine="720"/>
        <w:jc w:val="both"/>
      </w:pPr>
      <w:r w:rsidRPr="00AE285E">
        <w:t xml:space="preserve">In keeping with </w:t>
      </w:r>
      <w:r w:rsidR="004E40A1">
        <w:t xml:space="preserve">our </w:t>
      </w:r>
      <w:r w:rsidRPr="00AE285E">
        <w:t xml:space="preserve">long-standing policy and practice of encouraging parties to settle issues whenever possible, </w:t>
      </w:r>
      <w:r w:rsidR="004E40A1">
        <w:t xml:space="preserve">we hereby </w:t>
      </w:r>
      <w:r w:rsidRPr="00AE285E">
        <w:t xml:space="preserve">approve the Joint Motion and Settlement Agreement by the Parties. The proposed Settlement Agreement adequately addresses the potential overearnings </w:t>
      </w:r>
      <w:r w:rsidR="004E40A1">
        <w:t xml:space="preserve">Commission </w:t>
      </w:r>
      <w:r w:rsidRPr="00AE285E">
        <w:t>staff identified during its ongoing earnings surveillance activities</w:t>
      </w:r>
      <w:r w:rsidR="004E40A1">
        <w:t>,</w:t>
      </w:r>
      <w:r w:rsidRPr="00AE285E">
        <w:t xml:space="preserve"> and provides protections for Black Bear’s customer for possible overearnings in 2022.</w:t>
      </w:r>
    </w:p>
    <w:p w:rsidR="0082449E" w:rsidRDefault="0082449E" w:rsidP="0082449E">
      <w:pPr>
        <w:pStyle w:val="OrderBody"/>
      </w:pPr>
      <w:r>
        <w:tab/>
        <w:t>Based on the foregoing, it is</w:t>
      </w:r>
    </w:p>
    <w:p w:rsidR="0082449E" w:rsidRDefault="0082449E" w:rsidP="0082449E">
      <w:pPr>
        <w:pStyle w:val="OrderBody"/>
      </w:pPr>
    </w:p>
    <w:p w:rsidR="009C4529" w:rsidRDefault="0082449E" w:rsidP="003B6F5C">
      <w:pPr>
        <w:jc w:val="both"/>
      </w:pPr>
      <w:r>
        <w:tab/>
        <w:t>ORDERED by the Florida Public Service</w:t>
      </w:r>
      <w:r w:rsidRPr="003B6F5C">
        <w:t xml:space="preserve"> Commission </w:t>
      </w:r>
      <w:r w:rsidR="003B6F5C">
        <w:t xml:space="preserve">that </w:t>
      </w:r>
      <w:r w:rsidR="009C4529" w:rsidRPr="003B6F5C">
        <w:t>t</w:t>
      </w:r>
      <w:r w:rsidR="004E40A1" w:rsidRPr="003B6F5C">
        <w:t>he</w:t>
      </w:r>
      <w:r w:rsidR="003B6F5C">
        <w:t xml:space="preserve"> proposed </w:t>
      </w:r>
      <w:r w:rsidR="009C4529" w:rsidRPr="003B6F5C">
        <w:t xml:space="preserve">Settlement </w:t>
      </w:r>
      <w:r w:rsidR="009C4529">
        <w:t xml:space="preserve">Agreement, attached hereto, is approved. </w:t>
      </w:r>
      <w:r w:rsidR="004E40A1" w:rsidRPr="00AE285E">
        <w:t>As outlined in the Settlement Agreement, Black Bear sh</w:t>
      </w:r>
      <w:r w:rsidR="009C4529">
        <w:t>all</w:t>
      </w:r>
      <w:r w:rsidR="004E40A1" w:rsidRPr="00AE285E">
        <w:t xml:space="preserve"> refund 16.57 percent of water revenues billed for the calendar year 2021.</w:t>
      </w:r>
      <w:r w:rsidR="009C4529">
        <w:t xml:space="preserve"> It is further</w:t>
      </w:r>
    </w:p>
    <w:p w:rsidR="009C4529" w:rsidRDefault="009C4529" w:rsidP="009C4529">
      <w:pPr>
        <w:pStyle w:val="OrderBody"/>
      </w:pPr>
    </w:p>
    <w:p w:rsidR="009C4529" w:rsidRDefault="009C4529" w:rsidP="009C4529">
      <w:pPr>
        <w:pStyle w:val="OrderBody"/>
        <w:ind w:firstLine="720"/>
      </w:pPr>
      <w:r>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9C4529" w:rsidRDefault="009C4529" w:rsidP="009C4529">
      <w:pPr>
        <w:pStyle w:val="OrderBody"/>
      </w:pPr>
    </w:p>
    <w:p w:rsidR="009C4529" w:rsidRDefault="009C4529" w:rsidP="004E40A1">
      <w:pPr>
        <w:pStyle w:val="BodyText"/>
        <w:jc w:val="both"/>
      </w:pPr>
    </w:p>
    <w:p w:rsidR="004E40A1" w:rsidRPr="00AE285E" w:rsidRDefault="009C4529" w:rsidP="009C4529">
      <w:pPr>
        <w:pStyle w:val="BodyText"/>
        <w:ind w:firstLine="720"/>
        <w:jc w:val="both"/>
      </w:pPr>
      <w:r>
        <w:lastRenderedPageBreak/>
        <w:t xml:space="preserve">ORDERED that </w:t>
      </w:r>
      <w:r w:rsidR="004E40A1" w:rsidRPr="00AE285E">
        <w:t>this docket sh</w:t>
      </w:r>
      <w:r>
        <w:t>all</w:t>
      </w:r>
      <w:r w:rsidR="004E40A1" w:rsidRPr="00AE285E">
        <w:t xml:space="preserve"> remain open to allow </w:t>
      </w:r>
      <w:r>
        <w:t xml:space="preserve">Commission </w:t>
      </w:r>
      <w:r w:rsidR="004E40A1" w:rsidRPr="00AE285E">
        <w:t xml:space="preserve">staff to verify completion of the refunds </w:t>
      </w:r>
      <w:r>
        <w:t>approved herein.</w:t>
      </w:r>
      <w:r w:rsidR="004E40A1" w:rsidRPr="00AE285E">
        <w:t xml:space="preserve"> Once staff has verified that the refunds have been made in accordance with Rule 25-30.360, F.A.C., the docket sh</w:t>
      </w:r>
      <w:r>
        <w:t>all</w:t>
      </w:r>
      <w:r w:rsidR="004E40A1" w:rsidRPr="00AE285E">
        <w:t xml:space="preserve"> be closed administratively.</w:t>
      </w:r>
    </w:p>
    <w:p w:rsidR="009A7FD7" w:rsidRDefault="0082449E" w:rsidP="0082449E">
      <w:pPr>
        <w:pStyle w:val="OrderBody"/>
        <w:keepNext/>
        <w:keepLines/>
      </w:pPr>
      <w:r>
        <w:tab/>
      </w:r>
    </w:p>
    <w:p w:rsidR="0082449E" w:rsidRDefault="0082449E" w:rsidP="009823F5">
      <w:pPr>
        <w:pStyle w:val="OrderBody"/>
        <w:keepNext/>
        <w:keepLines/>
        <w:ind w:firstLine="720"/>
      </w:pPr>
      <w:r>
        <w:t xml:space="preserve">By ORDER of the Florida Public Service Commission this </w:t>
      </w:r>
      <w:bookmarkStart w:id="7" w:name="replaceDate"/>
      <w:bookmarkEnd w:id="7"/>
      <w:r w:rsidR="009823F5">
        <w:rPr>
          <w:u w:val="single"/>
        </w:rPr>
        <w:t>15th</w:t>
      </w:r>
      <w:r w:rsidR="009823F5">
        <w:t xml:space="preserve"> day of </w:t>
      </w:r>
      <w:r w:rsidR="009823F5">
        <w:rPr>
          <w:u w:val="single"/>
        </w:rPr>
        <w:t>December</w:t>
      </w:r>
      <w:r w:rsidR="009823F5">
        <w:t xml:space="preserve">, </w:t>
      </w:r>
      <w:r w:rsidR="009823F5">
        <w:rPr>
          <w:u w:val="single"/>
        </w:rPr>
        <w:t>2021</w:t>
      </w:r>
      <w:r w:rsidR="009823F5">
        <w:t>.</w:t>
      </w:r>
    </w:p>
    <w:p w:rsidR="009823F5" w:rsidRPr="009823F5" w:rsidRDefault="009823F5" w:rsidP="009823F5">
      <w:pPr>
        <w:pStyle w:val="OrderBody"/>
        <w:keepNext/>
        <w:keepLines/>
        <w:ind w:firstLine="720"/>
      </w:pPr>
    </w:p>
    <w:p w:rsidR="0082449E" w:rsidRDefault="0082449E" w:rsidP="0082449E">
      <w:pPr>
        <w:pStyle w:val="OrderBody"/>
        <w:keepNext/>
        <w:keepLines/>
      </w:pPr>
    </w:p>
    <w:p w:rsidR="0082449E" w:rsidRDefault="0082449E" w:rsidP="0082449E">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82449E" w:rsidTr="0082449E">
        <w:tc>
          <w:tcPr>
            <w:tcW w:w="720" w:type="dxa"/>
            <w:shd w:val="clear" w:color="auto" w:fill="auto"/>
          </w:tcPr>
          <w:p w:rsidR="0082449E" w:rsidRDefault="0082449E" w:rsidP="0082449E">
            <w:pPr>
              <w:pStyle w:val="OrderBody"/>
              <w:keepNext/>
              <w:keepLines/>
            </w:pPr>
            <w:bookmarkStart w:id="8" w:name="bkmrkSignature" w:colFirst="0" w:colLast="0"/>
          </w:p>
        </w:tc>
        <w:tc>
          <w:tcPr>
            <w:tcW w:w="4320" w:type="dxa"/>
            <w:tcBorders>
              <w:bottom w:val="single" w:sz="4" w:space="0" w:color="auto"/>
            </w:tcBorders>
            <w:shd w:val="clear" w:color="auto" w:fill="auto"/>
          </w:tcPr>
          <w:p w:rsidR="0082449E" w:rsidRDefault="009823F5" w:rsidP="0082449E">
            <w:pPr>
              <w:pStyle w:val="OrderBody"/>
              <w:keepNext/>
              <w:keepLines/>
            </w:pPr>
            <w:r>
              <w:t>/s/ Adam J. Teitzman</w:t>
            </w:r>
            <w:bookmarkStart w:id="9" w:name="_GoBack"/>
            <w:bookmarkEnd w:id="9"/>
          </w:p>
        </w:tc>
      </w:tr>
      <w:bookmarkEnd w:id="8"/>
      <w:tr w:rsidR="0082449E" w:rsidTr="0082449E">
        <w:tc>
          <w:tcPr>
            <w:tcW w:w="720" w:type="dxa"/>
            <w:shd w:val="clear" w:color="auto" w:fill="auto"/>
          </w:tcPr>
          <w:p w:rsidR="0082449E" w:rsidRDefault="0082449E" w:rsidP="0082449E">
            <w:pPr>
              <w:pStyle w:val="OrderBody"/>
              <w:keepNext/>
              <w:keepLines/>
            </w:pPr>
          </w:p>
        </w:tc>
        <w:tc>
          <w:tcPr>
            <w:tcW w:w="4320" w:type="dxa"/>
            <w:tcBorders>
              <w:top w:val="single" w:sz="4" w:space="0" w:color="auto"/>
            </w:tcBorders>
            <w:shd w:val="clear" w:color="auto" w:fill="auto"/>
          </w:tcPr>
          <w:p w:rsidR="0082449E" w:rsidRDefault="0082449E" w:rsidP="0082449E">
            <w:pPr>
              <w:pStyle w:val="OrderBody"/>
              <w:keepNext/>
              <w:keepLines/>
            </w:pPr>
            <w:r>
              <w:t>ADAM J. TEITZMAN</w:t>
            </w:r>
          </w:p>
          <w:p w:rsidR="0082449E" w:rsidRDefault="0082449E" w:rsidP="0082449E">
            <w:pPr>
              <w:pStyle w:val="OrderBody"/>
              <w:keepNext/>
              <w:keepLines/>
            </w:pPr>
            <w:r>
              <w:t>Commission Clerk</w:t>
            </w:r>
          </w:p>
        </w:tc>
      </w:tr>
    </w:tbl>
    <w:p w:rsidR="0082449E" w:rsidRDefault="0082449E" w:rsidP="0082449E">
      <w:pPr>
        <w:pStyle w:val="OrderSigInfo"/>
        <w:keepNext/>
        <w:keepLines/>
      </w:pPr>
      <w:r>
        <w:t>Florida Public Service Commission</w:t>
      </w:r>
    </w:p>
    <w:p w:rsidR="0082449E" w:rsidRDefault="0082449E" w:rsidP="0082449E">
      <w:pPr>
        <w:pStyle w:val="OrderSigInfo"/>
        <w:keepNext/>
        <w:keepLines/>
      </w:pPr>
      <w:r>
        <w:t>2540 Shumard Oak Boulevard</w:t>
      </w:r>
    </w:p>
    <w:p w:rsidR="0082449E" w:rsidRDefault="0082449E" w:rsidP="0082449E">
      <w:pPr>
        <w:pStyle w:val="OrderSigInfo"/>
        <w:keepNext/>
        <w:keepLines/>
      </w:pPr>
      <w:r>
        <w:t>Tallahassee, Florida 32399</w:t>
      </w:r>
    </w:p>
    <w:p w:rsidR="0082449E" w:rsidRDefault="0082449E" w:rsidP="0082449E">
      <w:pPr>
        <w:pStyle w:val="OrderSigInfo"/>
        <w:keepNext/>
        <w:keepLines/>
      </w:pPr>
      <w:r>
        <w:t>(850) 413</w:t>
      </w:r>
      <w:r>
        <w:noBreakHyphen/>
        <w:t>6770</w:t>
      </w:r>
    </w:p>
    <w:p w:rsidR="0082449E" w:rsidRDefault="0082449E" w:rsidP="0082449E">
      <w:pPr>
        <w:pStyle w:val="OrderSigInfo"/>
        <w:keepNext/>
        <w:keepLines/>
      </w:pPr>
      <w:r>
        <w:t>www.floridapsc.com</w:t>
      </w:r>
    </w:p>
    <w:p w:rsidR="0082449E" w:rsidRDefault="0082449E" w:rsidP="0082449E">
      <w:pPr>
        <w:pStyle w:val="OrderSigInfo"/>
        <w:keepNext/>
        <w:keepLines/>
      </w:pPr>
    </w:p>
    <w:p w:rsidR="0082449E" w:rsidRDefault="0082449E" w:rsidP="0082449E">
      <w:pPr>
        <w:pStyle w:val="OrderSigInfo"/>
        <w:keepNext/>
        <w:keepLines/>
      </w:pPr>
      <w:r>
        <w:t>Copies furnished:  A copy of this document is provided to the parties of record at the time of issuance and, if applicable, interested persons.</w:t>
      </w:r>
    </w:p>
    <w:p w:rsidR="0082449E" w:rsidRDefault="0082449E" w:rsidP="0082449E">
      <w:pPr>
        <w:pStyle w:val="OrderBody"/>
        <w:keepNext/>
        <w:keepLines/>
      </w:pPr>
    </w:p>
    <w:p w:rsidR="0082449E" w:rsidRDefault="0082449E" w:rsidP="0082449E">
      <w:pPr>
        <w:pStyle w:val="OrderBody"/>
        <w:keepNext/>
        <w:keepLines/>
      </w:pPr>
    </w:p>
    <w:p w:rsidR="0082449E" w:rsidRDefault="0082449E" w:rsidP="0082449E">
      <w:pPr>
        <w:pStyle w:val="OrderBody"/>
        <w:keepNext/>
        <w:keepLines/>
      </w:pPr>
      <w:r>
        <w:t>JSC</w:t>
      </w:r>
    </w:p>
    <w:p w:rsidR="0082449E" w:rsidRDefault="0082449E" w:rsidP="0082449E">
      <w:pPr>
        <w:pStyle w:val="OrderBody"/>
      </w:pPr>
    </w:p>
    <w:p w:rsidR="00C71617" w:rsidRDefault="00C71617">
      <w:pPr>
        <w:rPr>
          <w:u w:val="single"/>
        </w:rPr>
      </w:pPr>
    </w:p>
    <w:p w:rsidR="00332E38" w:rsidRDefault="00332E38">
      <w:pPr>
        <w:rPr>
          <w:u w:val="single"/>
        </w:rPr>
      </w:pPr>
      <w:r>
        <w:br w:type="page"/>
      </w:r>
    </w:p>
    <w:p w:rsidR="00AE285E" w:rsidRDefault="00AE285E" w:rsidP="00AE285E">
      <w:pPr>
        <w:pStyle w:val="CenterUnderline"/>
      </w:pPr>
      <w:r>
        <w:lastRenderedPageBreak/>
        <w:t>NOTICE OF FURTHER PROCEEDINGS OR JUDICIAL REVIEW</w:t>
      </w:r>
    </w:p>
    <w:p w:rsidR="0082449E" w:rsidRDefault="0082449E" w:rsidP="00AE285E">
      <w:pPr>
        <w:pStyle w:val="CenterUnderline"/>
        <w:rPr>
          <w:u w:val="none"/>
        </w:rPr>
      </w:pPr>
    </w:p>
    <w:p w:rsidR="00AE285E" w:rsidRDefault="00AE285E" w:rsidP="00AE285E">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AE285E" w:rsidRDefault="00AE285E" w:rsidP="00AE285E">
      <w:pPr>
        <w:pStyle w:val="OrderBody"/>
      </w:pPr>
    </w:p>
    <w:p w:rsidR="00AE285E" w:rsidRDefault="00AE285E" w:rsidP="00AE285E">
      <w:pPr>
        <w:pStyle w:val="OrderBody"/>
      </w:pPr>
      <w:r>
        <w:tab/>
        <w:t>Mediation may be available on a case-by-case basis.  If mediation is conducted, it does not affect a substantially interested person's right to a hearing.</w:t>
      </w:r>
    </w:p>
    <w:p w:rsidR="00AE285E" w:rsidRDefault="00AE285E" w:rsidP="00AE285E">
      <w:pPr>
        <w:pStyle w:val="OrderBody"/>
      </w:pPr>
    </w:p>
    <w:p w:rsidR="00AE285E" w:rsidRDefault="00AE285E" w:rsidP="00AE285E">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6D6774">
        <w:rPr>
          <w:u w:val="single"/>
        </w:rPr>
        <w:t>January 5, 2022</w:t>
      </w:r>
      <w:r>
        <w:t>.</w:t>
      </w:r>
    </w:p>
    <w:p w:rsidR="00AE285E" w:rsidRDefault="00AE285E" w:rsidP="00AE285E">
      <w:pPr>
        <w:pStyle w:val="OrderBody"/>
      </w:pPr>
    </w:p>
    <w:p w:rsidR="00AE285E" w:rsidRDefault="00AE285E" w:rsidP="00AE285E">
      <w:pPr>
        <w:pStyle w:val="OrderBody"/>
      </w:pPr>
      <w:r>
        <w:tab/>
        <w:t>In the absence of such a petition, this order shall become final and effective upon the issuance of a Consummating Order.</w:t>
      </w:r>
    </w:p>
    <w:p w:rsidR="00AE285E" w:rsidRDefault="00AE285E" w:rsidP="00AE285E">
      <w:pPr>
        <w:pStyle w:val="OrderBody"/>
      </w:pPr>
    </w:p>
    <w:p w:rsidR="00830D2E" w:rsidRDefault="00AE285E" w:rsidP="00AE285E">
      <w:pPr>
        <w:pStyle w:val="OrderBody"/>
      </w:pPr>
      <w:r>
        <w:tab/>
        <w:t>Any objection or protest filed in this/these docket(s) before the issuance date of this order is considered abandoned unless it satisfies the foregoing conditions and is renewed within the specified protest period.</w:t>
      </w:r>
      <w:r w:rsidR="006734D0">
        <w:t xml:space="preserve"> </w:t>
      </w:r>
    </w:p>
    <w:p w:rsidR="006734D0" w:rsidRDefault="006734D0" w:rsidP="00AE285E">
      <w:pPr>
        <w:pStyle w:val="OrderBody"/>
      </w:pPr>
    </w:p>
    <w:p w:rsidR="006734D0" w:rsidRDefault="006734D0" w:rsidP="00AE285E">
      <w:pPr>
        <w:pStyle w:val="OrderBody"/>
      </w:pPr>
    </w:p>
    <w:p w:rsidR="006734D0" w:rsidRDefault="006734D0" w:rsidP="00AE285E">
      <w:pPr>
        <w:pStyle w:val="OrderBody"/>
      </w:pPr>
    </w:p>
    <w:p w:rsidR="006734D0" w:rsidRDefault="006734D0" w:rsidP="00AE285E">
      <w:pPr>
        <w:pStyle w:val="OrderBody"/>
      </w:pPr>
    </w:p>
    <w:p w:rsidR="006734D0" w:rsidRDefault="006734D0" w:rsidP="00AE285E">
      <w:pPr>
        <w:pStyle w:val="OrderBody"/>
      </w:pPr>
    </w:p>
    <w:p w:rsidR="00577CFB" w:rsidRDefault="00577CFB" w:rsidP="00AE285E">
      <w:pPr>
        <w:pStyle w:val="OrderBody"/>
        <w:sectPr w:rsidR="00577CFB">
          <w:headerReference w:type="default" r:id="rId6"/>
          <w:footerReference w:type="first" r:id="rId7"/>
          <w:pgSz w:w="12240" w:h="15840" w:code="1"/>
          <w:pgMar w:top="1440" w:right="1440" w:bottom="1440" w:left="1440" w:header="720" w:footer="720" w:gutter="0"/>
          <w:cols w:space="720"/>
          <w:titlePg/>
          <w:docGrid w:linePitch="360"/>
        </w:sectPr>
      </w:pPr>
    </w:p>
    <w:p w:rsidR="006734D0" w:rsidRDefault="00577CFB" w:rsidP="00AE285E">
      <w:pPr>
        <w:pStyle w:val="OrderBody"/>
      </w:pPr>
      <w:r>
        <w:rPr>
          <w:noProof/>
        </w:rPr>
        <w:lastRenderedPageBreak/>
        <w:drawing>
          <wp:inline distT="0" distB="0" distL="0" distR="0">
            <wp:extent cx="5943600" cy="7691755"/>
            <wp:effectExtent l="0" t="0" r="0" b="444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12563-2021_Page_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rsidR="00577CFB" w:rsidRDefault="00577CFB" w:rsidP="00AE285E">
      <w:pPr>
        <w:pStyle w:val="OrderBody"/>
        <w:sectPr w:rsidR="00577CFB">
          <w:headerReference w:type="first" r:id="rId9"/>
          <w:pgSz w:w="12240" w:h="15840" w:code="1"/>
          <w:pgMar w:top="1440" w:right="1440" w:bottom="1440" w:left="1440" w:header="720" w:footer="720" w:gutter="0"/>
          <w:cols w:space="720"/>
          <w:titlePg/>
          <w:docGrid w:linePitch="360"/>
        </w:sectPr>
      </w:pPr>
    </w:p>
    <w:p w:rsidR="00C52A1B" w:rsidRDefault="00C52A1B" w:rsidP="00AE285E">
      <w:pPr>
        <w:pStyle w:val="OrderBody"/>
        <w:rPr>
          <w:noProof/>
        </w:rPr>
      </w:pPr>
    </w:p>
    <w:p w:rsidR="00C52A1B" w:rsidRDefault="00C52A1B" w:rsidP="00AE285E">
      <w:pPr>
        <w:pStyle w:val="OrderBody"/>
        <w:sectPr w:rsidR="00C52A1B">
          <w:headerReference w:type="first" r:id="rId10"/>
          <w:pgSz w:w="12240" w:h="15840" w:code="1"/>
          <w:pgMar w:top="1440" w:right="1440" w:bottom="1440" w:left="1440" w:header="720" w:footer="720" w:gutter="0"/>
          <w:cols w:space="720"/>
          <w:titlePg/>
          <w:docGrid w:linePitch="360"/>
        </w:sectPr>
      </w:pPr>
      <w:r>
        <w:rPr>
          <w:noProof/>
        </w:rPr>
        <w:drawing>
          <wp:inline distT="0" distB="0" distL="0" distR="0">
            <wp:extent cx="5943600" cy="7687945"/>
            <wp:effectExtent l="0" t="0" r="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12563-2021_Page_2.jpg"/>
                    <pic:cNvPicPr/>
                  </pic:nvPicPr>
                  <pic:blipFill>
                    <a:blip r:embed="rId11">
                      <a:extLst>
                        <a:ext uri="{28A0092B-C50C-407E-A947-70E740481C1C}">
                          <a14:useLocalDpi xmlns:a14="http://schemas.microsoft.com/office/drawing/2010/main" val="0"/>
                        </a:ext>
                      </a:extLst>
                    </a:blip>
                    <a:stretch>
                      <a:fillRect/>
                    </a:stretch>
                  </pic:blipFill>
                  <pic:spPr>
                    <a:xfrm>
                      <a:off x="0" y="0"/>
                      <a:ext cx="5943600" cy="7687945"/>
                    </a:xfrm>
                    <a:prstGeom prst="rect">
                      <a:avLst/>
                    </a:prstGeom>
                  </pic:spPr>
                </pic:pic>
              </a:graphicData>
            </a:graphic>
          </wp:inline>
        </w:drawing>
      </w:r>
    </w:p>
    <w:p w:rsidR="00C52A1B" w:rsidRDefault="00C52A1B" w:rsidP="00AE285E">
      <w:pPr>
        <w:pStyle w:val="OrderBody"/>
      </w:pPr>
      <w:r>
        <w:rPr>
          <w:noProof/>
        </w:rPr>
        <w:lastRenderedPageBreak/>
        <w:drawing>
          <wp:inline distT="0" distB="0" distL="0" distR="0">
            <wp:extent cx="5943600" cy="7687945"/>
            <wp:effectExtent l="0" t="0" r="0"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12563-2021_Page_3.jpg"/>
                    <pic:cNvPicPr/>
                  </pic:nvPicPr>
                  <pic:blipFill>
                    <a:blip r:embed="rId12">
                      <a:extLst>
                        <a:ext uri="{28A0092B-C50C-407E-A947-70E740481C1C}">
                          <a14:useLocalDpi xmlns:a14="http://schemas.microsoft.com/office/drawing/2010/main" val="0"/>
                        </a:ext>
                      </a:extLst>
                    </a:blip>
                    <a:stretch>
                      <a:fillRect/>
                    </a:stretch>
                  </pic:blipFill>
                  <pic:spPr>
                    <a:xfrm>
                      <a:off x="0" y="0"/>
                      <a:ext cx="5943600" cy="7687945"/>
                    </a:xfrm>
                    <a:prstGeom prst="rect">
                      <a:avLst/>
                    </a:prstGeom>
                  </pic:spPr>
                </pic:pic>
              </a:graphicData>
            </a:graphic>
          </wp:inline>
        </w:drawing>
      </w:r>
    </w:p>
    <w:p w:rsidR="00C52A1B" w:rsidRDefault="00C52A1B" w:rsidP="00AE285E">
      <w:pPr>
        <w:pStyle w:val="OrderBody"/>
        <w:sectPr w:rsidR="00C52A1B">
          <w:headerReference w:type="first" r:id="rId13"/>
          <w:pgSz w:w="12240" w:h="15840" w:code="1"/>
          <w:pgMar w:top="1440" w:right="1440" w:bottom="1440" w:left="1440" w:header="720" w:footer="720" w:gutter="0"/>
          <w:cols w:space="720"/>
          <w:titlePg/>
          <w:docGrid w:linePitch="360"/>
        </w:sectPr>
      </w:pPr>
    </w:p>
    <w:p w:rsidR="00C52A1B" w:rsidRDefault="00C52A1B" w:rsidP="00AE285E">
      <w:pPr>
        <w:pStyle w:val="OrderBody"/>
      </w:pPr>
      <w:r>
        <w:rPr>
          <w:noProof/>
        </w:rPr>
        <w:lastRenderedPageBreak/>
        <w:drawing>
          <wp:inline distT="0" distB="0" distL="0" distR="0">
            <wp:extent cx="5943600" cy="7687945"/>
            <wp:effectExtent l="0" t="0" r="0" b="82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12563-2021_Page_4.jpg"/>
                    <pic:cNvPicPr/>
                  </pic:nvPicPr>
                  <pic:blipFill>
                    <a:blip r:embed="rId14">
                      <a:extLst>
                        <a:ext uri="{28A0092B-C50C-407E-A947-70E740481C1C}">
                          <a14:useLocalDpi xmlns:a14="http://schemas.microsoft.com/office/drawing/2010/main" val="0"/>
                        </a:ext>
                      </a:extLst>
                    </a:blip>
                    <a:stretch>
                      <a:fillRect/>
                    </a:stretch>
                  </pic:blipFill>
                  <pic:spPr>
                    <a:xfrm>
                      <a:off x="0" y="0"/>
                      <a:ext cx="5943600" cy="7687945"/>
                    </a:xfrm>
                    <a:prstGeom prst="rect">
                      <a:avLst/>
                    </a:prstGeom>
                  </pic:spPr>
                </pic:pic>
              </a:graphicData>
            </a:graphic>
          </wp:inline>
        </w:drawing>
      </w:r>
    </w:p>
    <w:p w:rsidR="00C52A1B" w:rsidRDefault="00C52A1B" w:rsidP="00AE285E">
      <w:pPr>
        <w:pStyle w:val="OrderBody"/>
        <w:sectPr w:rsidR="00C52A1B">
          <w:headerReference w:type="first" r:id="rId15"/>
          <w:pgSz w:w="12240" w:h="15840" w:code="1"/>
          <w:pgMar w:top="1440" w:right="1440" w:bottom="1440" w:left="1440" w:header="720" w:footer="720" w:gutter="0"/>
          <w:cols w:space="720"/>
          <w:titlePg/>
          <w:docGrid w:linePitch="360"/>
        </w:sectPr>
      </w:pPr>
    </w:p>
    <w:p w:rsidR="00C52A1B" w:rsidRDefault="00C52A1B" w:rsidP="00AE285E">
      <w:pPr>
        <w:pStyle w:val="OrderBody"/>
        <w:rPr>
          <w:noProof/>
        </w:rPr>
      </w:pPr>
    </w:p>
    <w:p w:rsidR="00D44FE6" w:rsidRDefault="00C52A1B" w:rsidP="00AE285E">
      <w:pPr>
        <w:pStyle w:val="OrderBody"/>
        <w:sectPr w:rsidR="00D44FE6">
          <w:headerReference w:type="first" r:id="rId16"/>
          <w:pgSz w:w="12240" w:h="15840" w:code="1"/>
          <w:pgMar w:top="1440" w:right="1440" w:bottom="1440" w:left="1440" w:header="720" w:footer="720" w:gutter="0"/>
          <w:cols w:space="720"/>
          <w:titlePg/>
          <w:docGrid w:linePitch="360"/>
        </w:sectPr>
      </w:pPr>
      <w:r>
        <w:rPr>
          <w:noProof/>
        </w:rPr>
        <w:drawing>
          <wp:inline distT="0" distB="0" distL="0" distR="0">
            <wp:extent cx="5943600" cy="7687945"/>
            <wp:effectExtent l="0" t="0" r="0"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12563-2021_Page_5.jpg"/>
                    <pic:cNvPicPr/>
                  </pic:nvPicPr>
                  <pic:blipFill>
                    <a:blip r:embed="rId17">
                      <a:extLst>
                        <a:ext uri="{28A0092B-C50C-407E-A947-70E740481C1C}">
                          <a14:useLocalDpi xmlns:a14="http://schemas.microsoft.com/office/drawing/2010/main" val="0"/>
                        </a:ext>
                      </a:extLst>
                    </a:blip>
                    <a:stretch>
                      <a:fillRect/>
                    </a:stretch>
                  </pic:blipFill>
                  <pic:spPr>
                    <a:xfrm>
                      <a:off x="0" y="0"/>
                      <a:ext cx="5943600" cy="7687945"/>
                    </a:xfrm>
                    <a:prstGeom prst="rect">
                      <a:avLst/>
                    </a:prstGeom>
                  </pic:spPr>
                </pic:pic>
              </a:graphicData>
            </a:graphic>
          </wp:inline>
        </w:drawing>
      </w:r>
    </w:p>
    <w:p w:rsidR="00C52A1B" w:rsidRPr="00AE285E" w:rsidRDefault="00D44FE6" w:rsidP="00AE285E">
      <w:pPr>
        <w:pStyle w:val="OrderBody"/>
      </w:pPr>
      <w:r>
        <w:rPr>
          <w:noProof/>
        </w:rPr>
        <w:lastRenderedPageBreak/>
        <w:drawing>
          <wp:inline distT="0" distB="0" distL="0" distR="0">
            <wp:extent cx="5943600" cy="7687945"/>
            <wp:effectExtent l="0" t="0" r="0" b="825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12563-2021_Page_6.jpg"/>
                    <pic:cNvPicPr/>
                  </pic:nvPicPr>
                  <pic:blipFill>
                    <a:blip r:embed="rId18">
                      <a:extLst>
                        <a:ext uri="{28A0092B-C50C-407E-A947-70E740481C1C}">
                          <a14:useLocalDpi xmlns:a14="http://schemas.microsoft.com/office/drawing/2010/main" val="0"/>
                        </a:ext>
                      </a:extLst>
                    </a:blip>
                    <a:stretch>
                      <a:fillRect/>
                    </a:stretch>
                  </pic:blipFill>
                  <pic:spPr>
                    <a:xfrm>
                      <a:off x="0" y="0"/>
                      <a:ext cx="5943600" cy="7687945"/>
                    </a:xfrm>
                    <a:prstGeom prst="rect">
                      <a:avLst/>
                    </a:prstGeom>
                  </pic:spPr>
                </pic:pic>
              </a:graphicData>
            </a:graphic>
          </wp:inline>
        </w:drawing>
      </w:r>
    </w:p>
    <w:sectPr w:rsidR="00C52A1B" w:rsidRPr="00AE285E">
      <w:headerReference w:type="first" r:id="rId1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A16" w:rsidRDefault="00C74A16">
      <w:r>
        <w:separator/>
      </w:r>
    </w:p>
  </w:endnote>
  <w:endnote w:type="continuationSeparator" w:id="0">
    <w:p w:rsidR="00C74A16" w:rsidRDefault="00C74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A16" w:rsidRDefault="00C74A16">
      <w:r>
        <w:separator/>
      </w:r>
    </w:p>
  </w:footnote>
  <w:footnote w:type="continuationSeparator" w:id="0">
    <w:p w:rsidR="00C74A16" w:rsidRDefault="00C74A16">
      <w:r>
        <w:continuationSeparator/>
      </w:r>
    </w:p>
  </w:footnote>
  <w:footnote w:id="1">
    <w:p w:rsidR="0082449E" w:rsidRDefault="0082449E" w:rsidP="0082449E">
      <w:pPr>
        <w:pStyle w:val="FootnoteText"/>
      </w:pPr>
      <w:r>
        <w:rPr>
          <w:rStyle w:val="FootnoteReference"/>
        </w:rPr>
        <w:footnoteRef/>
      </w:r>
      <w:r>
        <w:t xml:space="preserve"> Order No. PSC-2017-0481-PAA-WU, issued December 21, 2017, in Docket 20170247-WU,</w:t>
      </w:r>
      <w:r w:rsidRPr="008948AA">
        <w:t xml:space="preserve"> </w:t>
      </w:r>
      <w:r w:rsidRPr="008948AA">
        <w:rPr>
          <w:i/>
        </w:rPr>
        <w:t>In re: Joint Motion requesting Commission approval of settlement agreement by the Office of Public Counsel, Black Bear Waterworks, Inc., Brendenwood Waterworks, Inc., Brevard Waterworks, Inc., Country Walk Utilities, Inc., Harbor Waterworks, Inc., Lake Idlewild Utility Company, Raintree Waterworks, Inc., and Sunny Hills Utility Company</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461 ">
      <w:r w:rsidR="009823F5">
        <w:t>PSC-2021-0461-PAA-WU</w:t>
      </w:r>
    </w:fldSimple>
  </w:p>
  <w:p w:rsidR="00FA6EFD" w:rsidRDefault="00C74A16">
    <w:pPr>
      <w:pStyle w:val="OrderHeader"/>
    </w:pPr>
    <w:bookmarkStart w:id="10" w:name="HeaderDocketNo"/>
    <w:bookmarkEnd w:id="10"/>
    <w:r>
      <w:t>DOCKET NO. 20210174-WU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823F5">
      <w:rPr>
        <w:rStyle w:val="PageNumber"/>
        <w:noProof/>
      </w:rPr>
      <w:t>3</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CFB" w:rsidRDefault="00577CFB" w:rsidP="00577CFB">
    <w:pPr>
      <w:pStyle w:val="OrderHeader"/>
    </w:pPr>
    <w:r>
      <w:t xml:space="preserve">ORDER NO. </w:t>
    </w:r>
    <w:r w:rsidR="006D6774">
      <w:fldChar w:fldCharType="begin"/>
    </w:r>
    <w:r w:rsidR="006D6774">
      <w:instrText xml:space="preserve"> REF OrderNo0461 </w:instrText>
    </w:r>
    <w:r w:rsidR="006D6774">
      <w:fldChar w:fldCharType="separate"/>
    </w:r>
    <w:r w:rsidR="009823F5">
      <w:t>PSC-2021-0461-PAA-WU</w:t>
    </w:r>
    <w:r w:rsidR="006D6774">
      <w:fldChar w:fldCharType="end"/>
    </w:r>
    <w:r w:rsidR="00CA0120">
      <w:tab/>
    </w:r>
    <w:r w:rsidR="00CA0120">
      <w:tab/>
      <w:t>Attachment A</w:t>
    </w:r>
  </w:p>
  <w:p w:rsidR="00577CFB" w:rsidRDefault="00577CFB" w:rsidP="00577CFB">
    <w:pPr>
      <w:pStyle w:val="OrderHeader"/>
    </w:pPr>
    <w:r>
      <w:t>DOCKET NO. 20210174-WU</w:t>
    </w:r>
    <w:r w:rsidR="00CA0120">
      <w:tab/>
    </w:r>
    <w:r w:rsidR="00CA0120">
      <w:tab/>
      <w:t>Page 1 of 6</w:t>
    </w:r>
  </w:p>
  <w:p w:rsidR="00577CFB" w:rsidRDefault="00577CFB" w:rsidP="00577CF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823F5">
      <w:rPr>
        <w:rStyle w:val="PageNumber"/>
        <w:noProof/>
      </w:rPr>
      <w:t>5</w:t>
    </w:r>
    <w:r>
      <w:rPr>
        <w:rStyle w:val="PageNumber"/>
      </w:rPr>
      <w:fldChar w:fldCharType="end"/>
    </w:r>
  </w:p>
  <w:p w:rsidR="00577CFB" w:rsidRDefault="00577C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CFB" w:rsidRDefault="00577CFB" w:rsidP="00577CFB">
    <w:pPr>
      <w:pStyle w:val="OrderHeader"/>
    </w:pPr>
    <w:r>
      <w:t xml:space="preserve">ORDER NO. </w:t>
    </w:r>
    <w:r w:rsidR="006D6774">
      <w:fldChar w:fldCharType="begin"/>
    </w:r>
    <w:r w:rsidR="006D6774">
      <w:instrText xml:space="preserve"> REF OrderNo0461 </w:instrText>
    </w:r>
    <w:r w:rsidR="006D6774">
      <w:fldChar w:fldCharType="separate"/>
    </w:r>
    <w:r w:rsidR="009823F5">
      <w:t>PSC-2021-0461-PAA-WU</w:t>
    </w:r>
    <w:r w:rsidR="006D6774">
      <w:fldChar w:fldCharType="end"/>
    </w:r>
    <w:r w:rsidR="00CA0120">
      <w:tab/>
    </w:r>
    <w:r w:rsidR="00CA0120">
      <w:tab/>
      <w:t>Attachment A</w:t>
    </w:r>
  </w:p>
  <w:p w:rsidR="00577CFB" w:rsidRDefault="00577CFB" w:rsidP="00577CFB">
    <w:pPr>
      <w:pStyle w:val="OrderHeader"/>
    </w:pPr>
    <w:r>
      <w:t>DOCKET NO. 20210174-WU</w:t>
    </w:r>
    <w:r w:rsidR="007D03C1">
      <w:tab/>
    </w:r>
    <w:r w:rsidR="007D03C1">
      <w:tab/>
      <w:t>Page 2 of 6</w:t>
    </w:r>
  </w:p>
  <w:p w:rsidR="00577CFB" w:rsidRDefault="00577CFB" w:rsidP="00577CF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823F5">
      <w:rPr>
        <w:rStyle w:val="PageNumber"/>
        <w:noProof/>
      </w:rPr>
      <w:t>6</w:t>
    </w:r>
    <w:r>
      <w:rPr>
        <w:rStyle w:val="PageNumber"/>
      </w:rPr>
      <w:fldChar w:fldCharType="end"/>
    </w:r>
  </w:p>
  <w:p w:rsidR="00577CFB" w:rsidRDefault="00577CF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A1B" w:rsidRDefault="00C52A1B" w:rsidP="00577CFB">
    <w:pPr>
      <w:pStyle w:val="OrderHeader"/>
    </w:pPr>
    <w:r>
      <w:t xml:space="preserve">ORDER NO. </w:t>
    </w:r>
    <w:r w:rsidR="006D6774">
      <w:fldChar w:fldCharType="begin"/>
    </w:r>
    <w:r w:rsidR="006D6774">
      <w:instrText xml:space="preserve"> REF OrderNo0461 </w:instrText>
    </w:r>
    <w:r w:rsidR="006D6774">
      <w:fldChar w:fldCharType="separate"/>
    </w:r>
    <w:r w:rsidR="009823F5">
      <w:t>PSC-2021-0461-PAA-WU</w:t>
    </w:r>
    <w:r w:rsidR="006D6774">
      <w:fldChar w:fldCharType="end"/>
    </w:r>
    <w:r w:rsidR="00CA0120">
      <w:tab/>
    </w:r>
    <w:r w:rsidR="00CA0120">
      <w:tab/>
      <w:t>Attachment A</w:t>
    </w:r>
  </w:p>
  <w:p w:rsidR="00C52A1B" w:rsidRDefault="00C52A1B" w:rsidP="00577CFB">
    <w:pPr>
      <w:pStyle w:val="OrderHeader"/>
    </w:pPr>
    <w:r>
      <w:t>DOCKET NO. 20210174-WU</w:t>
    </w:r>
    <w:r w:rsidR="007D03C1">
      <w:tab/>
    </w:r>
    <w:r w:rsidR="007D03C1">
      <w:tab/>
      <w:t>Page 3 of 6</w:t>
    </w:r>
  </w:p>
  <w:p w:rsidR="00C52A1B" w:rsidRDefault="00C52A1B" w:rsidP="00577CF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823F5">
      <w:rPr>
        <w:rStyle w:val="PageNumber"/>
        <w:noProof/>
      </w:rPr>
      <w:t>7</w:t>
    </w:r>
    <w:r>
      <w:rPr>
        <w:rStyle w:val="PageNumber"/>
      </w:rPr>
      <w:fldChar w:fldCharType="end"/>
    </w:r>
  </w:p>
  <w:p w:rsidR="00C52A1B" w:rsidRDefault="00C52A1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A1B" w:rsidRDefault="00C52A1B" w:rsidP="00577CFB">
    <w:pPr>
      <w:pStyle w:val="OrderHeader"/>
    </w:pPr>
    <w:r>
      <w:t xml:space="preserve">ORDER NO. </w:t>
    </w:r>
    <w:r w:rsidR="006D6774">
      <w:fldChar w:fldCharType="begin"/>
    </w:r>
    <w:r w:rsidR="006D6774">
      <w:instrText xml:space="preserve"> REF OrderNo0461 </w:instrText>
    </w:r>
    <w:r w:rsidR="006D6774">
      <w:fldChar w:fldCharType="separate"/>
    </w:r>
    <w:r w:rsidR="009823F5">
      <w:t>PSC-2021-0461-PAA-WU</w:t>
    </w:r>
    <w:r w:rsidR="006D6774">
      <w:fldChar w:fldCharType="end"/>
    </w:r>
    <w:r w:rsidR="00CA0120">
      <w:tab/>
    </w:r>
    <w:r w:rsidR="00CA0120">
      <w:tab/>
      <w:t>Attachment A</w:t>
    </w:r>
  </w:p>
  <w:p w:rsidR="00C52A1B" w:rsidRDefault="00C52A1B" w:rsidP="00577CFB">
    <w:pPr>
      <w:pStyle w:val="OrderHeader"/>
    </w:pPr>
    <w:r>
      <w:t>DOCKET NO. 20210174-WU</w:t>
    </w:r>
    <w:r w:rsidR="007D03C1">
      <w:tab/>
    </w:r>
    <w:r w:rsidR="007D03C1">
      <w:tab/>
      <w:t>Page 4 of 6</w:t>
    </w:r>
  </w:p>
  <w:p w:rsidR="00C52A1B" w:rsidRDefault="00C52A1B" w:rsidP="00577CF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823F5">
      <w:rPr>
        <w:rStyle w:val="PageNumber"/>
        <w:noProof/>
      </w:rPr>
      <w:t>8</w:t>
    </w:r>
    <w:r>
      <w:rPr>
        <w:rStyle w:val="PageNumber"/>
      </w:rPr>
      <w:fldChar w:fldCharType="end"/>
    </w:r>
  </w:p>
  <w:p w:rsidR="00C52A1B" w:rsidRDefault="00C52A1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A1B" w:rsidRDefault="00C52A1B" w:rsidP="00577CFB">
    <w:pPr>
      <w:pStyle w:val="OrderHeader"/>
    </w:pPr>
    <w:r>
      <w:t xml:space="preserve">ORDER NO. </w:t>
    </w:r>
    <w:r w:rsidR="006D6774">
      <w:fldChar w:fldCharType="begin"/>
    </w:r>
    <w:r w:rsidR="006D6774">
      <w:instrText xml:space="preserve"> REF OrderNo0461 </w:instrText>
    </w:r>
    <w:r w:rsidR="006D6774">
      <w:fldChar w:fldCharType="separate"/>
    </w:r>
    <w:r w:rsidR="009823F5">
      <w:t>PSC-2021-0461-PAA-WU</w:t>
    </w:r>
    <w:r w:rsidR="006D6774">
      <w:fldChar w:fldCharType="end"/>
    </w:r>
    <w:r w:rsidR="00CA0120">
      <w:tab/>
    </w:r>
    <w:r w:rsidR="00CA0120">
      <w:tab/>
      <w:t>Attachment A</w:t>
    </w:r>
  </w:p>
  <w:p w:rsidR="00C52A1B" w:rsidRDefault="00C52A1B" w:rsidP="00577CFB">
    <w:pPr>
      <w:pStyle w:val="OrderHeader"/>
    </w:pPr>
    <w:r>
      <w:t>DOCKET NO. 20210174-WU</w:t>
    </w:r>
    <w:r w:rsidR="007D03C1">
      <w:tab/>
    </w:r>
    <w:r w:rsidR="007D03C1">
      <w:tab/>
      <w:t>Page 5 of 6</w:t>
    </w:r>
  </w:p>
  <w:p w:rsidR="00C52A1B" w:rsidRDefault="00C52A1B" w:rsidP="00577CF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823F5">
      <w:rPr>
        <w:rStyle w:val="PageNumber"/>
        <w:noProof/>
      </w:rPr>
      <w:t>9</w:t>
    </w:r>
    <w:r>
      <w:rPr>
        <w:rStyle w:val="PageNumber"/>
      </w:rPr>
      <w:fldChar w:fldCharType="end"/>
    </w:r>
  </w:p>
  <w:p w:rsidR="00C52A1B" w:rsidRDefault="00C52A1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FE6" w:rsidRDefault="00D44FE6" w:rsidP="00577CFB">
    <w:pPr>
      <w:pStyle w:val="OrderHeader"/>
    </w:pPr>
    <w:r>
      <w:t xml:space="preserve">ORDER NO. </w:t>
    </w:r>
    <w:r w:rsidR="006D6774">
      <w:fldChar w:fldCharType="begin"/>
    </w:r>
    <w:r w:rsidR="006D6774">
      <w:instrText xml:space="preserve"> REF OrderNo0461 </w:instrText>
    </w:r>
    <w:r w:rsidR="006D6774">
      <w:fldChar w:fldCharType="separate"/>
    </w:r>
    <w:r w:rsidR="009823F5">
      <w:t>PSC-2021-0461-PAA-WU</w:t>
    </w:r>
    <w:r w:rsidR="006D6774">
      <w:fldChar w:fldCharType="end"/>
    </w:r>
    <w:r w:rsidR="00CA0120">
      <w:tab/>
    </w:r>
    <w:r w:rsidR="00CA0120">
      <w:tab/>
      <w:t>Attachment A</w:t>
    </w:r>
  </w:p>
  <w:p w:rsidR="00D44FE6" w:rsidRDefault="00D44FE6" w:rsidP="00577CFB">
    <w:pPr>
      <w:pStyle w:val="OrderHeader"/>
    </w:pPr>
    <w:r>
      <w:t>DOCKET NO. 20210174-WU</w:t>
    </w:r>
    <w:r w:rsidR="007D03C1">
      <w:tab/>
    </w:r>
    <w:r w:rsidR="007D03C1">
      <w:tab/>
      <w:t>Page 6</w:t>
    </w:r>
    <w:r w:rsidR="00CA0120">
      <w:t xml:space="preserve"> of 6</w:t>
    </w:r>
  </w:p>
  <w:p w:rsidR="00D44FE6" w:rsidRDefault="00D44FE6" w:rsidP="00577CF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823F5">
      <w:rPr>
        <w:rStyle w:val="PageNumber"/>
        <w:noProof/>
      </w:rPr>
      <w:t>10</w:t>
    </w:r>
    <w:r>
      <w:rPr>
        <w:rStyle w:val="PageNumber"/>
      </w:rPr>
      <w:fldChar w:fldCharType="end"/>
    </w:r>
  </w:p>
  <w:p w:rsidR="00D44FE6" w:rsidRDefault="00D44F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74-WU"/>
  </w:docVars>
  <w:rsids>
    <w:rsidRoot w:val="00C74A16"/>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2E38"/>
    <w:rsid w:val="00333A41"/>
    <w:rsid w:val="00345434"/>
    <w:rsid w:val="0035495B"/>
    <w:rsid w:val="00355A93"/>
    <w:rsid w:val="00361522"/>
    <w:rsid w:val="0037196E"/>
    <w:rsid w:val="00373734"/>
    <w:rsid w:val="003744F5"/>
    <w:rsid w:val="003875A9"/>
    <w:rsid w:val="00387BDE"/>
    <w:rsid w:val="00390DD8"/>
    <w:rsid w:val="00394DC6"/>
    <w:rsid w:val="00397C3E"/>
    <w:rsid w:val="003B1A09"/>
    <w:rsid w:val="003B6F5C"/>
    <w:rsid w:val="003C0431"/>
    <w:rsid w:val="003D3989"/>
    <w:rsid w:val="003D4CCA"/>
    <w:rsid w:val="003D52A6"/>
    <w:rsid w:val="003D6416"/>
    <w:rsid w:val="003E1D48"/>
    <w:rsid w:val="003E2449"/>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0A1"/>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77CFB"/>
    <w:rsid w:val="0058264B"/>
    <w:rsid w:val="00586368"/>
    <w:rsid w:val="005868AA"/>
    <w:rsid w:val="00590845"/>
    <w:rsid w:val="005963C2"/>
    <w:rsid w:val="005A0D69"/>
    <w:rsid w:val="005A31F4"/>
    <w:rsid w:val="005A533D"/>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34D0"/>
    <w:rsid w:val="00677F18"/>
    <w:rsid w:val="00693483"/>
    <w:rsid w:val="006A0BF3"/>
    <w:rsid w:val="006B0036"/>
    <w:rsid w:val="006B0DA6"/>
    <w:rsid w:val="006C547E"/>
    <w:rsid w:val="006D2B51"/>
    <w:rsid w:val="006D5575"/>
    <w:rsid w:val="006D6774"/>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03C1"/>
    <w:rsid w:val="007D3D20"/>
    <w:rsid w:val="007D44F9"/>
    <w:rsid w:val="007D742E"/>
    <w:rsid w:val="007E3AFD"/>
    <w:rsid w:val="00801DAD"/>
    <w:rsid w:val="00803189"/>
    <w:rsid w:val="00804E7A"/>
    <w:rsid w:val="00805FBB"/>
    <w:rsid w:val="00814292"/>
    <w:rsid w:val="008169A4"/>
    <w:rsid w:val="0082449E"/>
    <w:rsid w:val="008278FE"/>
    <w:rsid w:val="00830D2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23F5"/>
    <w:rsid w:val="009924CF"/>
    <w:rsid w:val="00994100"/>
    <w:rsid w:val="009A6B17"/>
    <w:rsid w:val="009A7FD7"/>
    <w:rsid w:val="009B052E"/>
    <w:rsid w:val="009C4529"/>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AE285E"/>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2A1B"/>
    <w:rsid w:val="00C55A33"/>
    <w:rsid w:val="00C66692"/>
    <w:rsid w:val="00C673B5"/>
    <w:rsid w:val="00C7063D"/>
    <w:rsid w:val="00C71617"/>
    <w:rsid w:val="00C74A16"/>
    <w:rsid w:val="00C830BC"/>
    <w:rsid w:val="00C8524D"/>
    <w:rsid w:val="00C90904"/>
    <w:rsid w:val="00C91123"/>
    <w:rsid w:val="00CA0120"/>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4FE6"/>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2EE2"/>
    <w:rsid w:val="00F37E07"/>
    <w:rsid w:val="00F4182A"/>
    <w:rsid w:val="00F54380"/>
    <w:rsid w:val="00F54B47"/>
    <w:rsid w:val="00F60B9D"/>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3110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82449E"/>
    <w:pPr>
      <w:jc w:val="center"/>
    </w:pPr>
    <w:rPr>
      <w:rFonts w:ascii="Arial" w:hAnsi="Arial"/>
      <w:b/>
    </w:rPr>
  </w:style>
  <w:style w:type="paragraph" w:customStyle="1" w:styleId="IssueHeading">
    <w:name w:val="Issue Heading"/>
    <w:basedOn w:val="Heading1"/>
    <w:next w:val="BodyText"/>
    <w:link w:val="IssueHeadingChar"/>
    <w:qFormat/>
    <w:rsid w:val="0082449E"/>
    <w:pPr>
      <w:keepNext w:val="0"/>
    </w:pPr>
    <w:rPr>
      <w:rFonts w:ascii="Arial" w:hAnsi="Arial"/>
      <w:b/>
      <w:i/>
    </w:rPr>
  </w:style>
  <w:style w:type="character" w:customStyle="1" w:styleId="IssueHeadingChar">
    <w:name w:val="Issue Heading Char"/>
    <w:link w:val="IssueHeading"/>
    <w:rsid w:val="0082449E"/>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82449E"/>
    <w:pPr>
      <w:keepNext w:val="0"/>
    </w:pPr>
    <w:rPr>
      <w:rFonts w:ascii="Arial" w:hAnsi="Arial"/>
      <w:b/>
      <w:i/>
    </w:rPr>
  </w:style>
  <w:style w:type="character" w:customStyle="1" w:styleId="IssueSubsectionHeadingChar">
    <w:name w:val="Issue Subsection Heading Char"/>
    <w:link w:val="IssueSubsectionHeading"/>
    <w:rsid w:val="0082449E"/>
    <w:rPr>
      <w:rFonts w:ascii="Arial" w:hAnsi="Arial" w:cs="Arial"/>
      <w:b/>
      <w:bCs/>
      <w:i/>
      <w:iCs/>
      <w:sz w:val="24"/>
      <w:szCs w:val="28"/>
    </w:rPr>
  </w:style>
  <w:style w:type="character" w:styleId="LineNumber">
    <w:name w:val="line number"/>
    <w:basedOn w:val="DefaultParagraphFont"/>
    <w:semiHidden/>
    <w:unhideWhenUsed/>
    <w:rsid w:val="00577CFB"/>
  </w:style>
  <w:style w:type="paragraph" w:styleId="BalloonText">
    <w:name w:val="Balloon Text"/>
    <w:basedOn w:val="Normal"/>
    <w:link w:val="BalloonTextChar"/>
    <w:semiHidden/>
    <w:unhideWhenUsed/>
    <w:rsid w:val="009823F5"/>
    <w:rPr>
      <w:rFonts w:ascii="Segoe UI" w:hAnsi="Segoe UI" w:cs="Segoe UI"/>
      <w:sz w:val="18"/>
      <w:szCs w:val="18"/>
    </w:rPr>
  </w:style>
  <w:style w:type="character" w:customStyle="1" w:styleId="BalloonTextChar">
    <w:name w:val="Balloon Text Char"/>
    <w:basedOn w:val="DefaultParagraphFont"/>
    <w:link w:val="BalloonText"/>
    <w:semiHidden/>
    <w:rsid w:val="009823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4.xml"/><Relationship Id="rId18" Type="http://schemas.openxmlformats.org/officeDocument/2006/relationships/image" Target="media/image6.jp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image" Target="media/image3.jpg"/><Relationship Id="rId17" Type="http://schemas.openxmlformats.org/officeDocument/2006/relationships/image" Target="media/image5.jpg"/><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2.jpg"/><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19" Type="http://schemas.openxmlformats.org/officeDocument/2006/relationships/header" Target="header7.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10</Pages>
  <Words>1045</Words>
  <Characters>5961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2021-12-15T18:34:00Z</dcterms:created>
  <dcterms:modified xsi:type="dcterms:W3CDTF">2021-12-15T21:09:00Z</dcterms:modified>
</cp:coreProperties>
</file>