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FD392D">
            <w:pPr>
              <w:pStyle w:val="MastHeadState"/>
              <w:jc w:val="both"/>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C1127E">
            <w:pPr>
              <w:pStyle w:val="MemoHeading"/>
            </w:pPr>
            <w:bookmarkStart w:id="1" w:name="FilingDate"/>
            <w:r>
              <w:t>March 24</w:t>
            </w:r>
            <w:r w:rsidR="00703144">
              <w:t>, 2022</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03144" w:rsidRDefault="00703144">
            <w:pPr>
              <w:pStyle w:val="MemoHeading"/>
            </w:pPr>
            <w:bookmarkStart w:id="2" w:name="From"/>
            <w:r>
              <w:t>Division of Economics (Forrest)</w:t>
            </w:r>
          </w:p>
          <w:p w:rsidR="007C0528" w:rsidRDefault="00703144">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703144">
            <w:pPr>
              <w:pStyle w:val="MemoHeadingRe"/>
            </w:pPr>
            <w:bookmarkStart w:id="3" w:name="Re"/>
            <w:r>
              <w:t>Docket No. 20220011-EI – Petition to modify tariff to close existing lighting tariff to new business and introduce new LED lighting tariff by Florida Public Utilities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703144">
            <w:pPr>
              <w:pStyle w:val="MemoHeading"/>
            </w:pPr>
            <w:bookmarkStart w:id="4" w:name="AgendaDate"/>
            <w:r>
              <w:t>04/05/22</w:t>
            </w:r>
            <w:bookmarkEnd w:id="4"/>
            <w:r w:rsidR="007C0528">
              <w:t xml:space="preserve"> – </w:t>
            </w:r>
            <w:bookmarkStart w:id="5" w:name="PermittedStatus"/>
            <w:r>
              <w:t>Regular Agenda –</w:t>
            </w:r>
            <w:r w:rsidR="00C1127E">
              <w:t xml:space="preserve">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703144">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703144">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C1127E" w:rsidP="00C1127E">
            <w:pPr>
              <w:pStyle w:val="MemoHeading"/>
            </w:pPr>
            <w:r>
              <w:t>08/03/2022 –</w:t>
            </w:r>
            <w:r w:rsidR="007B3ECF">
              <w:t xml:space="preserve"> </w:t>
            </w:r>
            <w:r w:rsidR="001D1614">
              <w:t>8 Month Effective Date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703144">
            <w:pPr>
              <w:pStyle w:val="MemoHeading"/>
            </w:pPr>
            <w:bookmarkStart w:id="9" w:name="SpecialInstructions"/>
            <w:r>
              <w:t>None</w:t>
            </w:r>
            <w:bookmarkEnd w:id="9"/>
          </w:p>
        </w:tc>
      </w:tr>
    </w:tbl>
    <w:p w:rsidR="007C0528" w:rsidRDefault="007C0528">
      <w:pPr>
        <w:pStyle w:val="BodyText"/>
      </w:pPr>
    </w:p>
    <w:p w:rsidR="00AF576A" w:rsidRDefault="00AF576A">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613105" w:rsidRDefault="00703144">
      <w:pPr>
        <w:pStyle w:val="BodyText"/>
      </w:pPr>
      <w:r w:rsidRPr="00703144">
        <w:t xml:space="preserve">On January 3, 2022, Florida Public Utilities Company (FPUC or utility) filed a petition requesting Commission approval to </w:t>
      </w:r>
      <w:r w:rsidR="00F94B6A">
        <w:t xml:space="preserve">modify its Lighting Service </w:t>
      </w:r>
      <w:r w:rsidR="00613105">
        <w:t>tariff</w:t>
      </w:r>
      <w:r w:rsidR="00F94B6A">
        <w:t xml:space="preserve"> (Rate Schedule LS). </w:t>
      </w:r>
      <w:r w:rsidR="00AF576A">
        <w:t xml:space="preserve"> Currently, R</w:t>
      </w:r>
      <w:r w:rsidR="00AF576A" w:rsidRPr="00703144">
        <w:t xml:space="preserve">ate </w:t>
      </w:r>
      <w:r w:rsidR="00AF576A">
        <w:t>S</w:t>
      </w:r>
      <w:r w:rsidR="00AF576A" w:rsidRPr="00703144">
        <w:t xml:space="preserve">chedule LS </w:t>
      </w:r>
      <w:r w:rsidR="00AF576A">
        <w:t>offers</w:t>
      </w:r>
      <w:r w:rsidR="00AF576A" w:rsidRPr="00703144">
        <w:t xml:space="preserve"> customers </w:t>
      </w:r>
      <w:r w:rsidR="00AF576A">
        <w:t>various</w:t>
      </w:r>
      <w:r w:rsidR="00AF576A" w:rsidRPr="00AF576A">
        <w:t xml:space="preserve"> </w:t>
      </w:r>
      <w:r w:rsidR="00AF576A" w:rsidRPr="00703144">
        <w:t>High Pressure Sodium (HPS) and Metal Halide (MH) outdoor light</w:t>
      </w:r>
      <w:r w:rsidR="00AF576A">
        <w:t>ing options</w:t>
      </w:r>
      <w:r w:rsidR="00AF576A" w:rsidRPr="00703144">
        <w:t>.</w:t>
      </w:r>
      <w:r w:rsidR="00AF576A">
        <w:t xml:space="preserve"> In its petition, </w:t>
      </w:r>
      <w:r w:rsidR="00046DA1">
        <w:t>FPUC proposed</w:t>
      </w:r>
      <w:r w:rsidR="00F94B6A">
        <w:t xml:space="preserve"> to </w:t>
      </w:r>
      <w:r w:rsidRPr="00703144">
        <w:t>close</w:t>
      </w:r>
      <w:r w:rsidR="00F94B6A">
        <w:t xml:space="preserve"> the</w:t>
      </w:r>
      <w:r w:rsidRPr="00703144">
        <w:t xml:space="preserve"> existing</w:t>
      </w:r>
      <w:r w:rsidR="00AF576A">
        <w:t xml:space="preserve"> HPS</w:t>
      </w:r>
      <w:r w:rsidRPr="00703144">
        <w:t xml:space="preserve"> and MH </w:t>
      </w:r>
      <w:r w:rsidR="00046DA1">
        <w:t>fixture options</w:t>
      </w:r>
      <w:r w:rsidRPr="00703144">
        <w:t xml:space="preserve"> to new customers and offer new Lig</w:t>
      </w:r>
      <w:r w:rsidR="00FC5A0C">
        <w:t xml:space="preserve">ht Emitting Diode (LED) </w:t>
      </w:r>
      <w:r w:rsidR="00046DA1">
        <w:t>f</w:t>
      </w:r>
      <w:r w:rsidR="007A685D">
        <w:t>ixture options</w:t>
      </w:r>
      <w:r w:rsidRPr="00703144">
        <w:t xml:space="preserve">. </w:t>
      </w:r>
    </w:p>
    <w:p w:rsidR="0068481F" w:rsidRDefault="00703144">
      <w:pPr>
        <w:pStyle w:val="BodyText"/>
      </w:pPr>
      <w:r w:rsidRPr="00703144">
        <w:t xml:space="preserve">Staff </w:t>
      </w:r>
      <w:r w:rsidR="00E432AA">
        <w:t>issued a</w:t>
      </w:r>
      <w:r w:rsidRPr="00703144">
        <w:t xml:space="preserve"> data request on January 26, 2022</w:t>
      </w:r>
      <w:r w:rsidR="00613105">
        <w:t>,</w:t>
      </w:r>
      <w:r w:rsidRPr="00703144">
        <w:t xml:space="preserve"> with responses filed by the utility on February 9, 2022. </w:t>
      </w:r>
      <w:r w:rsidR="00613105">
        <w:t xml:space="preserve">In its response, </w:t>
      </w:r>
      <w:r w:rsidRPr="00703144">
        <w:t xml:space="preserve">FPUC submitted revised </w:t>
      </w:r>
      <w:r w:rsidR="00613105">
        <w:t>t</w:t>
      </w:r>
      <w:r w:rsidR="00613105" w:rsidRPr="00703144">
        <w:t xml:space="preserve">ariff </w:t>
      </w:r>
      <w:r w:rsidRPr="00703144">
        <w:t xml:space="preserve">sheets Nos. 56, 57, and 58 to reflect </w:t>
      </w:r>
      <w:r w:rsidR="00046DA1">
        <w:t>corrections made to the cost support</w:t>
      </w:r>
      <w:r w:rsidR="009F3393">
        <w:t xml:space="preserve"> for the LED fixtures</w:t>
      </w:r>
      <w:r>
        <w:t xml:space="preserve">. </w:t>
      </w:r>
      <w:r w:rsidRPr="00703144">
        <w:t xml:space="preserve">The </w:t>
      </w:r>
      <w:r w:rsidR="00613105">
        <w:t>revised</w:t>
      </w:r>
      <w:r w:rsidR="00613105" w:rsidRPr="00703144">
        <w:t xml:space="preserve"> </w:t>
      </w:r>
      <w:r w:rsidRPr="00703144">
        <w:t xml:space="preserve">tariffs are included as </w:t>
      </w:r>
      <w:r w:rsidRPr="00703144">
        <w:lastRenderedPageBreak/>
        <w:t xml:space="preserve">Attachment A to this recommendation. </w:t>
      </w:r>
      <w:r w:rsidR="00C1127E">
        <w:t>On January 12, 2022</w:t>
      </w:r>
      <w:r w:rsidR="002079D1">
        <w:t>,</w:t>
      </w:r>
      <w:r w:rsidR="00C1127E">
        <w:t xml:space="preserve"> FPUC</w:t>
      </w:r>
      <w:r w:rsidR="002079D1">
        <w:t xml:space="preserve"> filed a letter in this docket</w:t>
      </w:r>
      <w:r w:rsidR="00C1127E">
        <w:t xml:space="preserve"> </w:t>
      </w:r>
      <w:r w:rsidR="002079D1">
        <w:t xml:space="preserve">waiving </w:t>
      </w:r>
      <w:r w:rsidR="00C1127E">
        <w:t>the 60-day file and suspend provision of Section 366.06(3)</w:t>
      </w:r>
      <w:r w:rsidR="00046DA1">
        <w:t>,</w:t>
      </w:r>
      <w:r w:rsidR="00C1127E">
        <w:t xml:space="preserve"> Florida Statutes (F.S.). </w:t>
      </w:r>
      <w:r w:rsidRPr="00703144">
        <w:t xml:space="preserve">The Commission has </w:t>
      </w:r>
      <w:r w:rsidR="00046DA1">
        <w:t>j</w:t>
      </w:r>
      <w:r w:rsidRPr="00703144">
        <w:t>urisdiction over this matter pursuant to Section</w:t>
      </w:r>
      <w:r w:rsidR="00046DA1">
        <w:t>s</w:t>
      </w:r>
      <w:r w:rsidRPr="00703144">
        <w:t xml:space="preserve"> 366.</w:t>
      </w:r>
      <w:r w:rsidR="00AF5D59">
        <w:t>04, 366.05, and 366.</w:t>
      </w:r>
      <w:r w:rsidRPr="00703144">
        <w:t xml:space="preserve">06 </w:t>
      </w:r>
      <w:r w:rsidR="00C1127E">
        <w:t>F.S</w:t>
      </w:r>
      <w:r w:rsidRPr="00703144">
        <w:t>.</w:t>
      </w:r>
    </w:p>
    <w:p w:rsidR="007C0528" w:rsidRDefault="007C0528" w:rsidP="0068481F"/>
    <w:bookmarkEnd w:id="11"/>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703144" w:rsidRDefault="00703144" w:rsidP="00613105">
      <w:pPr>
        <w:pStyle w:val="IssueHeading"/>
        <w:rPr>
          <w:vanish/>
          <w:specVanish/>
        </w:rPr>
      </w:pPr>
      <w:r w:rsidRPr="004C3641">
        <w:t xml:space="preserve">Issue </w:t>
      </w:r>
      <w:r w:rsidR="007E1E46">
        <w:fldChar w:fldCharType="begin"/>
      </w:r>
      <w:r w:rsidR="007E1E46">
        <w:instrText xml:space="preserve"> SEQ Issue \* MERGEFORMAT </w:instrText>
      </w:r>
      <w:r w:rsidR="007E1E46">
        <w:fldChar w:fldCharType="separate"/>
      </w:r>
      <w:r w:rsidR="00C1127E">
        <w:rPr>
          <w:noProof/>
        </w:rPr>
        <w:t>1</w:t>
      </w:r>
      <w:r w:rsidR="007E1E4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1127E">
        <w:rPr>
          <w:noProof/>
        </w:rPr>
        <w:instrText>1</w:instrText>
      </w:r>
      <w:r>
        <w:fldChar w:fldCharType="end"/>
      </w:r>
      <w:r>
        <w:tab/>
        <w:instrText xml:space="preserve">" \l 1 </w:instrText>
      </w:r>
      <w:r>
        <w:fldChar w:fldCharType="end"/>
      </w:r>
      <w:r>
        <w:t> </w:t>
      </w:r>
    </w:p>
    <w:p w:rsidR="00703144" w:rsidRDefault="00703144">
      <w:pPr>
        <w:pStyle w:val="BodyText"/>
      </w:pPr>
      <w:r>
        <w:t> </w:t>
      </w:r>
      <w:r w:rsidRPr="00703144">
        <w:t xml:space="preserve">Should the Commission approve </w:t>
      </w:r>
      <w:r w:rsidR="00046DA1">
        <w:t>FPUC’s</w:t>
      </w:r>
      <w:r w:rsidRPr="00703144">
        <w:t xml:space="preserve"> proposed modifications to the Rate Schedule LS lighting tariff?</w:t>
      </w:r>
    </w:p>
    <w:p w:rsidR="00703144" w:rsidRPr="004C3641" w:rsidRDefault="00703144">
      <w:pPr>
        <w:pStyle w:val="IssueSubsectionHeading"/>
        <w:rPr>
          <w:vanish/>
          <w:specVanish/>
        </w:rPr>
      </w:pPr>
      <w:r w:rsidRPr="004C3641">
        <w:t>Recommendation: </w:t>
      </w:r>
    </w:p>
    <w:p w:rsidR="00703144" w:rsidRDefault="00703144">
      <w:pPr>
        <w:pStyle w:val="BodyText"/>
      </w:pPr>
      <w:r>
        <w:t> </w:t>
      </w:r>
      <w:r w:rsidRPr="00703144">
        <w:t>Yes. T</w:t>
      </w:r>
      <w:r w:rsidR="00FD31D8">
        <w:t>he Commission should approve FPUC’s</w:t>
      </w:r>
      <w:r w:rsidRPr="00703144">
        <w:t xml:space="preserve"> proposed modifications to the Rate Schedule LS lighting tariff</w:t>
      </w:r>
      <w:r w:rsidR="00FD31D8">
        <w:t xml:space="preserve"> as shown in Attachment A to the recommendation. The proposed new LED fixture options are cost based and expand the fixture options available to customers</w:t>
      </w:r>
      <w:r w:rsidR="0066672F">
        <w:t>.</w:t>
      </w:r>
      <w:r w:rsidR="00FD31D8">
        <w:t xml:space="preserve"> Closing the current HPS and MH options for new </w:t>
      </w:r>
      <w:r w:rsidR="009F3393">
        <w:t>lighting customers</w:t>
      </w:r>
      <w:r w:rsidR="00FD31D8">
        <w:t xml:space="preserve"> allows FPUC to recognize energy efficiencies and technological improvements in the lighting industry. The revised tariffs should be effective </w:t>
      </w:r>
      <w:r w:rsidR="00035E70">
        <w:t>upon the issuance of a consummating order</w:t>
      </w:r>
      <w:r w:rsidR="00FD31D8">
        <w:t>.</w:t>
      </w:r>
      <w:r>
        <w:t xml:space="preserve"> </w:t>
      </w:r>
      <w:r w:rsidR="005D2060">
        <w:t>(Forrest)</w:t>
      </w:r>
    </w:p>
    <w:p w:rsidR="00703144" w:rsidRPr="004C3641" w:rsidRDefault="00703144">
      <w:pPr>
        <w:pStyle w:val="IssueSubsectionHeading"/>
        <w:rPr>
          <w:vanish/>
          <w:specVanish/>
        </w:rPr>
      </w:pPr>
      <w:r w:rsidRPr="004C3641">
        <w:t>Staff Analysis: </w:t>
      </w:r>
    </w:p>
    <w:p w:rsidR="00703144" w:rsidRDefault="00703144" w:rsidP="00006411">
      <w:pPr>
        <w:jc w:val="both"/>
      </w:pPr>
      <w:r>
        <w:t> </w:t>
      </w:r>
    </w:p>
    <w:p w:rsidR="00E432AA" w:rsidRDefault="00594049" w:rsidP="007B3ECF">
      <w:pPr>
        <w:jc w:val="both"/>
      </w:pPr>
      <w:r>
        <w:t>FPUC, under Rate S</w:t>
      </w:r>
      <w:r w:rsidR="009F309A">
        <w:t xml:space="preserve">chedule LS, currently </w:t>
      </w:r>
      <w:r w:rsidR="009F3393">
        <w:t>provides</w:t>
      </w:r>
      <w:r w:rsidR="009F309A">
        <w:t xml:space="preserve"> outdoor lighting service</w:t>
      </w:r>
      <w:r w:rsidR="009F3393">
        <w:t xml:space="preserve"> offering</w:t>
      </w:r>
      <w:r w:rsidR="009F309A">
        <w:t xml:space="preserve"> HPS and MH </w:t>
      </w:r>
      <w:r w:rsidR="007A685D">
        <w:t>fixtures</w:t>
      </w:r>
      <w:r w:rsidR="009F309A">
        <w:t xml:space="preserve">. </w:t>
      </w:r>
      <w:r w:rsidR="00AF576A">
        <w:t>The utility</w:t>
      </w:r>
      <w:r w:rsidR="00703144">
        <w:t xml:space="preserve"> requested approval to </w:t>
      </w:r>
      <w:r w:rsidR="00613105">
        <w:t xml:space="preserve">modify its Rate Schedule LS to </w:t>
      </w:r>
      <w:r w:rsidR="00703144">
        <w:t xml:space="preserve">close the existing HPS and MH fixture </w:t>
      </w:r>
      <w:r w:rsidR="007A685D">
        <w:t>options</w:t>
      </w:r>
      <w:r w:rsidR="002079D1">
        <w:t xml:space="preserve"> to new customers</w:t>
      </w:r>
      <w:r w:rsidR="00F43DE7">
        <w:t xml:space="preserve"> </w:t>
      </w:r>
      <w:r w:rsidR="00613105">
        <w:t>and</w:t>
      </w:r>
      <w:r w:rsidR="00703144">
        <w:t xml:space="preserve"> to </w:t>
      </w:r>
      <w:r w:rsidR="00613105">
        <w:t xml:space="preserve">offer </w:t>
      </w:r>
      <w:r>
        <w:t>new customers fifteen</w:t>
      </w:r>
      <w:r w:rsidR="00703144">
        <w:t xml:space="preserve"> LED fixture</w:t>
      </w:r>
      <w:r w:rsidR="00F43DE7">
        <w:t xml:space="preserve"> </w:t>
      </w:r>
      <w:r w:rsidR="007A685D">
        <w:t>options</w:t>
      </w:r>
      <w:r w:rsidR="00703144">
        <w:t>.</w:t>
      </w:r>
      <w:r w:rsidR="00E432AA">
        <w:t xml:space="preserve"> </w:t>
      </w:r>
      <w:r w:rsidR="002079D1">
        <w:t>C</w:t>
      </w:r>
      <w:r w:rsidR="00E432AA">
        <w:t xml:space="preserve">urrent customers served under Rate Schedule LS would </w:t>
      </w:r>
      <w:r w:rsidR="00C5232B">
        <w:t>remain on</w:t>
      </w:r>
      <w:r w:rsidR="00E432AA">
        <w:t xml:space="preserve"> th</w:t>
      </w:r>
      <w:r w:rsidR="00F43DE7">
        <w:t>e HPS and MH</w:t>
      </w:r>
      <w:r w:rsidR="00E432AA">
        <w:t xml:space="preserve"> </w:t>
      </w:r>
      <w:r w:rsidR="009F3393">
        <w:t xml:space="preserve">fixture </w:t>
      </w:r>
      <w:r w:rsidR="00E432AA">
        <w:t xml:space="preserve">rates and would not see a change in their lighting bill. If a customer served under Rate Schedule LS </w:t>
      </w:r>
      <w:r w:rsidR="006D5D0E">
        <w:t xml:space="preserve">needs </w:t>
      </w:r>
      <w:r w:rsidR="00E432AA">
        <w:t>to replace a light</w:t>
      </w:r>
      <w:r w:rsidR="004123AF">
        <w:t xml:space="preserve"> fixture</w:t>
      </w:r>
      <w:r w:rsidR="00E432AA">
        <w:t>, it would be replaced with a</w:t>
      </w:r>
      <w:r w:rsidR="004123AF">
        <w:t>n</w:t>
      </w:r>
      <w:r w:rsidR="00E432AA">
        <w:t xml:space="preserve"> LED </w:t>
      </w:r>
      <w:r w:rsidR="004123AF">
        <w:t>fixture</w:t>
      </w:r>
      <w:r w:rsidR="00E432AA">
        <w:t xml:space="preserve"> and billed under the new LED </w:t>
      </w:r>
      <w:r w:rsidR="002079D1">
        <w:t xml:space="preserve">fixture </w:t>
      </w:r>
      <w:r w:rsidR="00E432AA">
        <w:t>rates. A</w:t>
      </w:r>
      <w:r w:rsidR="002079D1">
        <w:t>ll</w:t>
      </w:r>
      <w:r w:rsidR="00E432AA">
        <w:t xml:space="preserve"> new lighting customer</w:t>
      </w:r>
      <w:r w:rsidR="002079D1">
        <w:t>s</w:t>
      </w:r>
      <w:r w:rsidR="00E432AA">
        <w:t xml:space="preserve"> would be served under the </w:t>
      </w:r>
      <w:r w:rsidR="00E056CC">
        <w:t xml:space="preserve">proposed </w:t>
      </w:r>
      <w:r w:rsidR="00E432AA">
        <w:t xml:space="preserve">new LED lighting rates. </w:t>
      </w:r>
    </w:p>
    <w:p w:rsidR="00703144" w:rsidRDefault="00703144" w:rsidP="00006411">
      <w:pPr>
        <w:jc w:val="both"/>
      </w:pPr>
    </w:p>
    <w:p w:rsidR="00703144" w:rsidRDefault="00703144" w:rsidP="00613105">
      <w:pPr>
        <w:pStyle w:val="First-LevelSubheading"/>
      </w:pPr>
      <w:r>
        <w:t xml:space="preserve">Closure of HPS and MH </w:t>
      </w:r>
      <w:r w:rsidR="00046DA1">
        <w:t>F</w:t>
      </w:r>
      <w:r>
        <w:t>ixtures</w:t>
      </w:r>
    </w:p>
    <w:p w:rsidR="00703144" w:rsidRDefault="00932FF8" w:rsidP="007B3ECF">
      <w:pPr>
        <w:jc w:val="both"/>
      </w:pPr>
      <w:r>
        <w:t>To support its petition, FPUC explained that a</w:t>
      </w:r>
      <w:r w:rsidR="00703144">
        <w:t>s technology advances</w:t>
      </w:r>
      <w:r w:rsidR="002079D1">
        <w:t xml:space="preserve"> i</w:t>
      </w:r>
      <w:r w:rsidR="00703144">
        <w:t>n the lighting market</w:t>
      </w:r>
      <w:r w:rsidR="00FC5A0C">
        <w:t>,</w:t>
      </w:r>
      <w:r w:rsidR="00703144">
        <w:t xml:space="preserve"> the demand for HPS and MH </w:t>
      </w:r>
      <w:r w:rsidR="009F3393">
        <w:t>fixtures</w:t>
      </w:r>
      <w:r w:rsidR="00703144">
        <w:t xml:space="preserve"> has decreased, while the demand for LED lighting has increased. LED is a type of solid-state light that uses a semiconductor to convert electric current to visible light. LED lighting is a more energy efficient lighting source compared to its predecessors HPS and MH lights. Along with demand decreasing for HPS and MH lights, </w:t>
      </w:r>
      <w:r w:rsidR="002079D1">
        <w:t>m</w:t>
      </w:r>
      <w:r w:rsidR="00A24726">
        <w:t>anufacturers have begu</w:t>
      </w:r>
      <w:r w:rsidR="00703144">
        <w:t>n to phase out traditional product lines for HPS and MH lighting sou</w:t>
      </w:r>
      <w:r w:rsidR="00A24726">
        <w:t>rces and replace</w:t>
      </w:r>
      <w:r w:rsidR="00703144">
        <w:t xml:space="preserve"> them with the more energy efficient LED production. </w:t>
      </w:r>
    </w:p>
    <w:p w:rsidR="00D43572" w:rsidRDefault="00D43572" w:rsidP="00006411">
      <w:pPr>
        <w:jc w:val="both"/>
      </w:pPr>
    </w:p>
    <w:p w:rsidR="00E06484" w:rsidRDefault="00703144" w:rsidP="00613105">
      <w:pPr>
        <w:pStyle w:val="First-LevelSubheading"/>
      </w:pPr>
      <w:r>
        <w:t xml:space="preserve">New LED </w:t>
      </w:r>
      <w:r w:rsidR="00046DA1">
        <w:t>F</w:t>
      </w:r>
      <w:r>
        <w:t>ixtures</w:t>
      </w:r>
    </w:p>
    <w:p w:rsidR="007B3ECF" w:rsidRDefault="007B3ECF" w:rsidP="007B3ECF">
      <w:pPr>
        <w:jc w:val="both"/>
      </w:pPr>
      <w:r>
        <w:t>FPUC</w:t>
      </w:r>
      <w:r w:rsidR="00256526">
        <w:t xml:space="preserve"> proposed to add fifteen new LED fixture</w:t>
      </w:r>
      <w:r w:rsidR="002079D1">
        <w:t xml:space="preserve"> rate</w:t>
      </w:r>
      <w:r w:rsidR="00C5232B">
        <w:t xml:space="preserve"> options</w:t>
      </w:r>
      <w:r w:rsidR="00256526">
        <w:t>: five cobra heads, four decorative, four flood lights, and two shoe box</w:t>
      </w:r>
      <w:r w:rsidR="009F3393">
        <w:t xml:space="preserve"> with varying lamp lumens and watt sizes</w:t>
      </w:r>
      <w:r w:rsidR="00256526">
        <w:t xml:space="preserve">. </w:t>
      </w:r>
      <w:r w:rsidR="00BB383D">
        <w:t>The charges for the new LED lighting fixtures are comprised of three components:</w:t>
      </w:r>
      <w:r w:rsidR="00D43572">
        <w:t xml:space="preserve"> the fixture, maintenance, and energy charges. The fixture charge includes the estimated total cost to install an LED fixture and any carrying costs and taxes. The maintenance charge is the cost associated with maintaining the LED fixture for its </w:t>
      </w:r>
      <w:r w:rsidR="00A24726">
        <w:t xml:space="preserve">expected </w:t>
      </w:r>
      <w:r w:rsidR="00D43572">
        <w:t xml:space="preserve">service life. The energy charge is calculated by multiplying the estimated energy usage of the fixture by the </w:t>
      </w:r>
      <w:r w:rsidR="004123AF">
        <w:t xml:space="preserve">lighting </w:t>
      </w:r>
      <w:r w:rsidR="00D43572">
        <w:t xml:space="preserve">non-fuel energy charge. </w:t>
      </w:r>
      <w:r>
        <w:t>The n</w:t>
      </w:r>
      <w:r w:rsidR="00D43572">
        <w:t>ew LED fixtures and associated charges can be seen on tariff</w:t>
      </w:r>
      <w:r>
        <w:t xml:space="preserve"> sheet </w:t>
      </w:r>
      <w:r w:rsidR="009F3393">
        <w:t>No.</w:t>
      </w:r>
      <w:r>
        <w:t xml:space="preserve"> 57.</w:t>
      </w:r>
      <w:r w:rsidR="00D43572">
        <w:t xml:space="preserve"> </w:t>
      </w:r>
    </w:p>
    <w:p w:rsidR="007B3ECF" w:rsidRDefault="007B3ECF" w:rsidP="007B3ECF">
      <w:pPr>
        <w:jc w:val="both"/>
      </w:pPr>
    </w:p>
    <w:p w:rsidR="0054713D" w:rsidRDefault="00D43572" w:rsidP="007B3ECF">
      <w:pPr>
        <w:jc w:val="both"/>
      </w:pPr>
      <w:r>
        <w:t>In conjunction with its petition</w:t>
      </w:r>
      <w:r w:rsidR="00523396">
        <w:t>,</w:t>
      </w:r>
      <w:r>
        <w:t xml:space="preserve"> the utility submitted supporting cost information </w:t>
      </w:r>
      <w:r w:rsidR="009F3393">
        <w:t>for the</w:t>
      </w:r>
      <w:r>
        <w:t xml:space="preserve"> </w:t>
      </w:r>
      <w:r w:rsidR="009F3393">
        <w:t>proposed LED fixture, maintenance, and energy</w:t>
      </w:r>
      <w:r>
        <w:t xml:space="preserve"> charges. </w:t>
      </w:r>
      <w:r w:rsidR="00093A09">
        <w:t>In its response to staff’s data request,</w:t>
      </w:r>
      <w:r w:rsidR="000E0907">
        <w:t xml:space="preserve"> </w:t>
      </w:r>
      <w:r w:rsidR="00093A09">
        <w:t>the utility made</w:t>
      </w:r>
      <w:r w:rsidR="000E0907">
        <w:t xml:space="preserve"> two</w:t>
      </w:r>
      <w:r w:rsidR="00C5232B">
        <w:t xml:space="preserve"> </w:t>
      </w:r>
      <w:r w:rsidR="001B13DB">
        <w:t>corrections</w:t>
      </w:r>
      <w:r w:rsidR="00C5232B">
        <w:t xml:space="preserve"> to its</w:t>
      </w:r>
      <w:r w:rsidR="0054713D">
        <w:t xml:space="preserve"> originally-submitted</w:t>
      </w:r>
      <w:r w:rsidR="000E0907">
        <w:t xml:space="preserve"> </w:t>
      </w:r>
      <w:r w:rsidR="00C5232B">
        <w:t>calculation</w:t>
      </w:r>
      <w:r w:rsidR="001B13DB">
        <w:t>s</w:t>
      </w:r>
      <w:r w:rsidR="00093A09">
        <w:t xml:space="preserve">. </w:t>
      </w:r>
      <w:r w:rsidR="000B0764">
        <w:t>W</w:t>
      </w:r>
      <w:r w:rsidR="00FB31B3">
        <w:t xml:space="preserve">ith </w:t>
      </w:r>
      <w:r w:rsidR="000B0764">
        <w:t xml:space="preserve">previous </w:t>
      </w:r>
      <w:r w:rsidR="00FB31B3">
        <w:t xml:space="preserve">lighting </w:t>
      </w:r>
      <w:r w:rsidR="0054713D">
        <w:t xml:space="preserve">options, </w:t>
      </w:r>
      <w:r w:rsidR="00FB31B3">
        <w:t>there was a need to factor power loss</w:t>
      </w:r>
      <w:r w:rsidR="0054713D">
        <w:t xml:space="preserve"> into the calculation</w:t>
      </w:r>
      <w:r w:rsidR="00FB31B3">
        <w:t xml:space="preserve">. However, </w:t>
      </w:r>
      <w:r w:rsidR="001B13DB">
        <w:t>with</w:t>
      </w:r>
      <w:r w:rsidR="00FB31B3">
        <w:t xml:space="preserve"> </w:t>
      </w:r>
      <w:r w:rsidR="0054713D">
        <w:t>LED</w:t>
      </w:r>
      <w:r w:rsidR="00FB31B3">
        <w:t xml:space="preserve"> technology, there is no</w:t>
      </w:r>
      <w:r w:rsidR="000B0764">
        <w:t xml:space="preserve"> longer a</w:t>
      </w:r>
      <w:r w:rsidR="00FB31B3">
        <w:t xml:space="preserve"> need to factor in a power loss adjustment. Thus</w:t>
      </w:r>
      <w:r w:rsidR="00C5232B">
        <w:t>,</w:t>
      </w:r>
      <w:r w:rsidR="00FB31B3">
        <w:t xml:space="preserve"> the utility </w:t>
      </w:r>
      <w:r w:rsidR="00FB31B3">
        <w:lastRenderedPageBreak/>
        <w:t xml:space="preserve">removed the eighteen percent power loss calculation that was originally submitted with the petition. </w:t>
      </w:r>
    </w:p>
    <w:p w:rsidR="0054713D" w:rsidRDefault="0054713D" w:rsidP="007B3ECF">
      <w:pPr>
        <w:jc w:val="both"/>
      </w:pPr>
    </w:p>
    <w:p w:rsidR="001B13DB" w:rsidRDefault="00FB31B3" w:rsidP="001B13DB">
      <w:pPr>
        <w:pStyle w:val="BodyText"/>
      </w:pPr>
      <w:r>
        <w:t>Along with tha</w:t>
      </w:r>
      <w:r w:rsidR="00A24726">
        <w:t>t change, the utility stated that</w:t>
      </w:r>
      <w:r>
        <w:t xml:space="preserve"> </w:t>
      </w:r>
      <w:r w:rsidR="0054713D">
        <w:t xml:space="preserve">an </w:t>
      </w:r>
      <w:r w:rsidR="000B0764">
        <w:t>adjustment</w:t>
      </w:r>
      <w:r w:rsidR="0054713D">
        <w:t xml:space="preserve"> was needed in its </w:t>
      </w:r>
      <w:r w:rsidR="000B0764">
        <w:t xml:space="preserve">original </w:t>
      </w:r>
      <w:r w:rsidR="0054713D">
        <w:t xml:space="preserve">overhead </w:t>
      </w:r>
      <w:r w:rsidR="000B0764">
        <w:t>calculation</w:t>
      </w:r>
      <w:r w:rsidR="0054713D">
        <w:t>. FPUC determined the</w:t>
      </w:r>
      <w:r w:rsidR="000B0764">
        <w:t xml:space="preserve"> </w:t>
      </w:r>
      <w:r>
        <w:t xml:space="preserve">correct percentage </w:t>
      </w:r>
      <w:r w:rsidR="00932FF8">
        <w:t>for the</w:t>
      </w:r>
      <w:r>
        <w:t xml:space="preserve"> overhead calculation</w:t>
      </w:r>
      <w:r w:rsidR="0054713D">
        <w:t xml:space="preserve"> should</w:t>
      </w:r>
      <w:r>
        <w:t xml:space="preserve"> </w:t>
      </w:r>
      <w:r w:rsidR="00A24726">
        <w:t xml:space="preserve">be </w:t>
      </w:r>
      <w:r>
        <w:t xml:space="preserve">decreased from </w:t>
      </w:r>
      <w:r w:rsidR="001B13DB">
        <w:t>35</w:t>
      </w:r>
      <w:r>
        <w:t xml:space="preserve"> percent to </w:t>
      </w:r>
      <w:r w:rsidR="001B13DB">
        <w:t>34</w:t>
      </w:r>
      <w:r>
        <w:t xml:space="preserve"> percent.</w:t>
      </w:r>
      <w:r w:rsidR="00932FF8">
        <w:t xml:space="preserve"> These</w:t>
      </w:r>
      <w:r w:rsidR="0054713D">
        <w:t xml:space="preserve"> two</w:t>
      </w:r>
      <w:r w:rsidR="00932FF8">
        <w:t xml:space="preserve"> cost calculation adjustment</w:t>
      </w:r>
      <w:r w:rsidR="00594049">
        <w:t>s</w:t>
      </w:r>
      <w:r w:rsidR="00932FF8">
        <w:t xml:space="preserve"> </w:t>
      </w:r>
      <w:r w:rsidR="0054713D">
        <w:t xml:space="preserve">resulted in a decrease to </w:t>
      </w:r>
      <w:r w:rsidR="00932FF8">
        <w:t>the</w:t>
      </w:r>
      <w:r w:rsidR="000B0764">
        <w:t xml:space="preserve"> proposed</w:t>
      </w:r>
      <w:r w:rsidR="00932FF8">
        <w:t xml:space="preserve"> LED </w:t>
      </w:r>
      <w:r w:rsidR="000B0764">
        <w:t xml:space="preserve">fixture </w:t>
      </w:r>
      <w:r w:rsidR="00932FF8">
        <w:t xml:space="preserve">rates submitted with the original petition. </w:t>
      </w:r>
      <w:r>
        <w:t>The revised tariff sheets</w:t>
      </w:r>
      <w:r w:rsidR="0054713D">
        <w:t xml:space="preserve">, which include these </w:t>
      </w:r>
      <w:r w:rsidR="001B13DB">
        <w:t>corrections</w:t>
      </w:r>
      <w:r w:rsidR="0054713D">
        <w:t>, were</w:t>
      </w:r>
      <w:r>
        <w:t xml:space="preserve"> submitted with the </w:t>
      </w:r>
      <w:r w:rsidR="0054713D">
        <w:t xml:space="preserve">utility’s </w:t>
      </w:r>
      <w:r>
        <w:t xml:space="preserve">data request </w:t>
      </w:r>
      <w:r w:rsidR="000B0764">
        <w:t>responses and</w:t>
      </w:r>
      <w:r>
        <w:t xml:space="preserve"> are attached as Attachment A to the recommendation. Staff has reviewed these changes and </w:t>
      </w:r>
      <w:r w:rsidR="004E58A0">
        <w:t xml:space="preserve">believes </w:t>
      </w:r>
      <w:r>
        <w:t>them</w:t>
      </w:r>
      <w:r w:rsidR="004E58A0">
        <w:t xml:space="preserve"> to be</w:t>
      </w:r>
      <w:r>
        <w:t xml:space="preserve"> appropriate and reasonable. </w:t>
      </w:r>
    </w:p>
    <w:p w:rsidR="001B13DB" w:rsidRDefault="001B13DB" w:rsidP="001B13DB">
      <w:pPr>
        <w:pStyle w:val="BodyText"/>
      </w:pPr>
      <w:r w:rsidRPr="00D43572">
        <w:t xml:space="preserve">FPUC has provided staff with </w:t>
      </w:r>
      <w:r>
        <w:t>documentation</w:t>
      </w:r>
      <w:r w:rsidRPr="00D43572">
        <w:t xml:space="preserve"> that supports closing the HPS and MH lighting rates to new customers and </w:t>
      </w:r>
      <w:r>
        <w:t xml:space="preserve">to </w:t>
      </w:r>
      <w:r w:rsidRPr="00D43572">
        <w:t xml:space="preserve">offer LED lighting rates in its place. </w:t>
      </w:r>
      <w:r>
        <w:t>As noted by FPUC, t</w:t>
      </w:r>
      <w:r w:rsidRPr="00D43572">
        <w:t xml:space="preserve">his </w:t>
      </w:r>
      <w:r>
        <w:t>should</w:t>
      </w:r>
      <w:r w:rsidRPr="00D43572">
        <w:t xml:space="preserve"> not only decrease energy used by FPUC</w:t>
      </w:r>
      <w:r>
        <w:t xml:space="preserve"> subscribers</w:t>
      </w:r>
      <w:r w:rsidRPr="00D43572">
        <w:t xml:space="preserve">, but </w:t>
      </w:r>
      <w:r>
        <w:t>should</w:t>
      </w:r>
      <w:r w:rsidRPr="00D43572">
        <w:t xml:space="preserve"> also lower operating and maintenance costs for the utility.</w:t>
      </w:r>
      <w:r>
        <w:t xml:space="preserve"> The Commission has approved similar petitions to close existing HPS and MH fixture options to new customers and offer LED fixture options.</w:t>
      </w:r>
      <w:r>
        <w:rPr>
          <w:rStyle w:val="FootnoteReference"/>
        </w:rPr>
        <w:footnoteReference w:id="1"/>
      </w:r>
      <w:r>
        <w:t xml:space="preserve"> Staff has reviewed all pertinent information in the docket and analyzed the cost support submitted to the Commission.</w:t>
      </w:r>
    </w:p>
    <w:p w:rsidR="00D43572" w:rsidRDefault="00D43572" w:rsidP="00613105">
      <w:pPr>
        <w:pStyle w:val="First-LevelSubheading"/>
      </w:pPr>
      <w:r>
        <w:t xml:space="preserve">Conclusion </w:t>
      </w:r>
    </w:p>
    <w:p w:rsidR="00746961" w:rsidRPr="00746961" w:rsidRDefault="00746961" w:rsidP="00746961">
      <w:pPr>
        <w:pStyle w:val="BodyText"/>
      </w:pPr>
      <w:r w:rsidRPr="00703144">
        <w:t>T</w:t>
      </w:r>
      <w:r>
        <w:t>he Commission should approve FPUC’s</w:t>
      </w:r>
      <w:r w:rsidRPr="00703144">
        <w:t xml:space="preserve"> proposed modifications to the Rate Schedule LS lighting tariff</w:t>
      </w:r>
      <w:r>
        <w:t xml:space="preserve"> as shown in Attachment A to the recommendation. The proposed new LED fixture options are cost based and expand the fixture options available to customers. Closing the current HPS and MH options for new installations allows FPUC to recognize energy efficiencies and technological improvements in the lighting industry. The revised tariffs should be effective </w:t>
      </w:r>
      <w:r w:rsidR="00035E70">
        <w:t>upon the issuance of a consummating order</w:t>
      </w:r>
      <w:r>
        <w:t xml:space="preserve">. </w:t>
      </w:r>
    </w:p>
    <w:p w:rsidR="00D43572" w:rsidRDefault="00D43572" w:rsidP="007B3ECF">
      <w:pPr>
        <w:jc w:val="both"/>
      </w:pPr>
    </w:p>
    <w:p w:rsidR="00470DF8" w:rsidRPr="00D43572" w:rsidRDefault="00470DF8" w:rsidP="00006411">
      <w:pPr>
        <w:jc w:val="both"/>
      </w:pPr>
    </w:p>
    <w:p w:rsidR="00470DF8" w:rsidRDefault="00470DF8" w:rsidP="00613105">
      <w:pPr>
        <w:pStyle w:val="IssueHeading"/>
        <w:rPr>
          <w:vanish/>
          <w:specVanish/>
        </w:rPr>
      </w:pPr>
      <w:r w:rsidRPr="004C3641">
        <w:rPr>
          <w:b w:val="0"/>
          <w:i w:val="0"/>
        </w:rPr>
        <w:br w:type="page"/>
      </w:r>
      <w:r w:rsidRPr="004C3641">
        <w:lastRenderedPageBreak/>
        <w:t xml:space="preserve">Issue </w:t>
      </w:r>
      <w:r w:rsidR="007E1E46">
        <w:fldChar w:fldCharType="begin"/>
      </w:r>
      <w:r w:rsidR="007E1E46">
        <w:instrText xml:space="preserve"> SEQ Issue \* MERGEFORMAT </w:instrText>
      </w:r>
      <w:r w:rsidR="007E1E46">
        <w:fldChar w:fldCharType="separate"/>
      </w:r>
      <w:r w:rsidR="00C1127E">
        <w:rPr>
          <w:noProof/>
        </w:rPr>
        <w:t>2</w:t>
      </w:r>
      <w:r w:rsidR="007E1E4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1127E">
        <w:rPr>
          <w:noProof/>
        </w:rPr>
        <w:instrText>2</w:instrText>
      </w:r>
      <w:r>
        <w:fldChar w:fldCharType="end"/>
      </w:r>
      <w:r>
        <w:tab/>
        <w:instrText xml:space="preserve">" \l 1 </w:instrText>
      </w:r>
      <w:r>
        <w:fldChar w:fldCharType="end"/>
      </w:r>
      <w:r>
        <w:t> </w:t>
      </w:r>
    </w:p>
    <w:p w:rsidR="00470DF8" w:rsidRDefault="00470DF8">
      <w:pPr>
        <w:pStyle w:val="BodyText"/>
      </w:pPr>
      <w:r>
        <w:t> Should this docket be closed?</w:t>
      </w:r>
    </w:p>
    <w:p w:rsidR="00470DF8" w:rsidRPr="004C3641" w:rsidRDefault="00470DF8" w:rsidP="00FD392D">
      <w:pPr>
        <w:pStyle w:val="IssueSubsectionHeading"/>
        <w:rPr>
          <w:vanish/>
          <w:specVanish/>
        </w:rPr>
      </w:pPr>
      <w:r w:rsidRPr="004C3641">
        <w:t>Recommendation: </w:t>
      </w:r>
    </w:p>
    <w:p w:rsidR="00470DF8" w:rsidRDefault="00470DF8" w:rsidP="00FD392D">
      <w:pPr>
        <w:jc w:val="both"/>
      </w:pPr>
      <w:r>
        <w:t> </w:t>
      </w:r>
      <w:r w:rsidR="005D2060" w:rsidRPr="005D2060">
        <w:t>If a protest is filed within 21 days of the issuance of the order approving the proposed tariffs, the current tariffs should remain in effect pendi</w:t>
      </w:r>
      <w:r w:rsidR="004F1F83">
        <w:t xml:space="preserve">ng resolution of the protest. </w:t>
      </w:r>
      <w:r w:rsidR="005D2060" w:rsidRPr="005D2060">
        <w:t>If no timely protest is filed, the approved tariffs should go into effect, and the docket be closed, upon the issuance of a consummating order.</w:t>
      </w:r>
      <w:r w:rsidR="005D2060">
        <w:t xml:space="preserve"> </w:t>
      </w:r>
      <w:r w:rsidR="00613105">
        <w:t>(Brownless)</w:t>
      </w:r>
    </w:p>
    <w:p w:rsidR="005D2060" w:rsidRDefault="005D2060" w:rsidP="00FD392D">
      <w:pPr>
        <w:jc w:val="both"/>
      </w:pPr>
    </w:p>
    <w:p w:rsidR="00470DF8" w:rsidRPr="004C3641" w:rsidRDefault="00470DF8" w:rsidP="00FD392D">
      <w:pPr>
        <w:pStyle w:val="IssueSubsectionHeading"/>
        <w:rPr>
          <w:vanish/>
          <w:specVanish/>
        </w:rPr>
      </w:pPr>
      <w:r w:rsidRPr="004C3641">
        <w:t>Staff Analysis: </w:t>
      </w:r>
    </w:p>
    <w:p w:rsidR="00470DF8" w:rsidRDefault="00470DF8" w:rsidP="00FD392D">
      <w:pPr>
        <w:pStyle w:val="BodyText"/>
      </w:pPr>
      <w:r>
        <w:t> </w:t>
      </w:r>
      <w:r w:rsidR="005D2060" w:rsidRPr="005D2060">
        <w:t>If a protest is filed within 21 days of the issuance of the order approving the proposed tariffs, the current tariffs should remain in effect pendi</w:t>
      </w:r>
      <w:r w:rsidR="004F1F83">
        <w:t xml:space="preserve">ng resolution of the protest. </w:t>
      </w:r>
      <w:r w:rsidR="005D2060" w:rsidRPr="005D2060">
        <w:t>If no timely protest is filed, the approved tariffs should go into effect, and the docket be closed, upon the issuance of a consummating order.</w:t>
      </w:r>
      <w:r w:rsidR="005D2060">
        <w:t xml:space="preserve"> </w:t>
      </w:r>
      <w:r>
        <w:t xml:space="preserve"> </w:t>
      </w:r>
    </w:p>
    <w:p w:rsidR="004D786D" w:rsidRDefault="004D786D" w:rsidP="00E275D8">
      <w:pPr>
        <w:pStyle w:val="BodyText"/>
        <w:sectPr w:rsidR="004D786D"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057F26" w:rsidRDefault="00057F26" w:rsidP="00E275D8">
      <w:pPr>
        <w:pStyle w:val="BodyText"/>
        <w:sectPr w:rsidR="00057F26" w:rsidSect="0068481F">
          <w:headerReference w:type="default" r:id="rId14"/>
          <w:pgSz w:w="12240" w:h="15840" w:code="1"/>
          <w:pgMar w:top="1584" w:right="1440" w:bottom="1440" w:left="1440" w:header="720" w:footer="720" w:gutter="0"/>
          <w:cols w:space="720"/>
          <w:formProt w:val="0"/>
          <w:docGrid w:linePitch="360"/>
        </w:sectPr>
      </w:pPr>
      <w:r w:rsidRPr="00057F26">
        <w:rPr>
          <w:noProof/>
        </w:rPr>
        <w:lastRenderedPageBreak/>
        <w:drawing>
          <wp:inline distT="0" distB="0" distL="0" distR="0">
            <wp:extent cx="7829457" cy="6050036"/>
            <wp:effectExtent l="0" t="5715" r="0" b="0"/>
            <wp:docPr id="2" name="Picture 2" descr="G:\Tariff Sheet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riff Sheet 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838582" cy="6057087"/>
                    </a:xfrm>
                    <a:prstGeom prst="rect">
                      <a:avLst/>
                    </a:prstGeom>
                    <a:noFill/>
                    <a:ln>
                      <a:noFill/>
                    </a:ln>
                  </pic:spPr>
                </pic:pic>
              </a:graphicData>
            </a:graphic>
          </wp:inline>
        </w:drawing>
      </w:r>
    </w:p>
    <w:p w:rsidR="00FE3AD7" w:rsidRDefault="00FE3AD7" w:rsidP="00E275D8">
      <w:pPr>
        <w:pStyle w:val="BodyText"/>
        <w:sectPr w:rsidR="00FE3AD7" w:rsidSect="0068481F">
          <w:headerReference w:type="default" r:id="rId16"/>
          <w:pgSz w:w="12240" w:h="15840" w:code="1"/>
          <w:pgMar w:top="1584" w:right="1440" w:bottom="1440" w:left="1440" w:header="720" w:footer="720" w:gutter="0"/>
          <w:cols w:space="720"/>
          <w:formProt w:val="0"/>
          <w:docGrid w:linePitch="360"/>
        </w:sectPr>
      </w:pPr>
      <w:r w:rsidRPr="00FE3AD7">
        <w:rPr>
          <w:noProof/>
        </w:rPr>
        <w:lastRenderedPageBreak/>
        <w:drawing>
          <wp:inline distT="0" distB="0" distL="0" distR="0">
            <wp:extent cx="7926523" cy="6125042"/>
            <wp:effectExtent l="5397" t="0" r="4128" b="4127"/>
            <wp:docPr id="3" name="Picture 3" descr="G:\Tariff Sheet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riff Sheet 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943524" cy="6138179"/>
                    </a:xfrm>
                    <a:prstGeom prst="rect">
                      <a:avLst/>
                    </a:prstGeom>
                    <a:noFill/>
                    <a:ln>
                      <a:noFill/>
                    </a:ln>
                  </pic:spPr>
                </pic:pic>
              </a:graphicData>
            </a:graphic>
          </wp:inline>
        </w:drawing>
      </w:r>
    </w:p>
    <w:p w:rsidR="00057F26" w:rsidRDefault="00FE3AD7" w:rsidP="00FE3AD7">
      <w:pPr>
        <w:pStyle w:val="BodyText"/>
      </w:pPr>
      <w:r w:rsidRPr="00FE3AD7">
        <w:rPr>
          <w:noProof/>
        </w:rPr>
        <w:lastRenderedPageBreak/>
        <w:drawing>
          <wp:inline distT="0" distB="0" distL="0" distR="0">
            <wp:extent cx="8092440" cy="6254496"/>
            <wp:effectExtent l="4762" t="0" r="8573" b="8572"/>
            <wp:docPr id="4" name="Picture 4" descr="G:\Tariff Sheet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ariff Sheet 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092440" cy="6254496"/>
                    </a:xfrm>
                    <a:prstGeom prst="rect">
                      <a:avLst/>
                    </a:prstGeom>
                    <a:noFill/>
                    <a:ln>
                      <a:noFill/>
                    </a:ln>
                  </pic:spPr>
                </pic:pic>
              </a:graphicData>
            </a:graphic>
          </wp:inline>
        </w:drawing>
      </w:r>
    </w:p>
    <w:sectPr w:rsidR="00057F26" w:rsidSect="0068481F">
      <w:headerReference w:type="default" r:id="rId1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8AD" w:rsidRDefault="00A078AD">
      <w:r>
        <w:separator/>
      </w:r>
    </w:p>
  </w:endnote>
  <w:endnote w:type="continuationSeparator" w:id="0">
    <w:p w:rsidR="00A078AD" w:rsidRDefault="00A07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272D1">
      <w:rPr>
        <w:rStyle w:val="PageNumber"/>
        <w:noProof/>
      </w:rPr>
      <w:t>8</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8AD" w:rsidRDefault="00A078AD">
      <w:r>
        <w:separator/>
      </w:r>
    </w:p>
  </w:footnote>
  <w:footnote w:type="continuationSeparator" w:id="0">
    <w:p w:rsidR="00A078AD" w:rsidRDefault="00A078AD">
      <w:r>
        <w:continuationSeparator/>
      </w:r>
    </w:p>
  </w:footnote>
  <w:footnote w:id="1">
    <w:p w:rsidR="001B13DB" w:rsidRPr="004A6531" w:rsidRDefault="001B13DB" w:rsidP="001B13DB">
      <w:pPr>
        <w:pStyle w:val="OrderBody"/>
        <w:tabs>
          <w:tab w:val="center" w:pos="4320"/>
          <w:tab w:val="right" w:pos="8640"/>
        </w:tabs>
        <w:rPr>
          <w:i/>
          <w:sz w:val="20"/>
          <w:szCs w:val="20"/>
        </w:rPr>
      </w:pPr>
      <w:r w:rsidRPr="004A6531">
        <w:rPr>
          <w:rStyle w:val="FootnoteReference"/>
          <w:sz w:val="20"/>
          <w:szCs w:val="20"/>
        </w:rPr>
        <w:footnoteRef/>
      </w:r>
      <w:r w:rsidRPr="004A6531">
        <w:rPr>
          <w:sz w:val="20"/>
          <w:szCs w:val="20"/>
        </w:rPr>
        <w:t xml:space="preserve">Order No. PSC-2019-0100-TRF-EI, </w:t>
      </w:r>
      <w:r>
        <w:rPr>
          <w:sz w:val="20"/>
          <w:szCs w:val="20"/>
        </w:rPr>
        <w:t>i</w:t>
      </w:r>
      <w:r w:rsidRPr="004A6531">
        <w:rPr>
          <w:sz w:val="20"/>
          <w:szCs w:val="20"/>
        </w:rPr>
        <w:t xml:space="preserve">ssued March 13, 2019, in Docket No. 20190023-EI, in re: </w:t>
      </w:r>
      <w:r w:rsidRPr="004A6531">
        <w:rPr>
          <w:i/>
          <w:sz w:val="20"/>
          <w:szCs w:val="20"/>
        </w:rPr>
        <w:t xml:space="preserve">Petition for approval of modifications to rate schedule LS-1, lighting service, by Duke Energy Florida, </w:t>
      </w:r>
      <w:proofErr w:type="gramStart"/>
      <w:r w:rsidRPr="004A6531">
        <w:rPr>
          <w:i/>
          <w:sz w:val="20"/>
          <w:szCs w:val="20"/>
        </w:rPr>
        <w:t>LLC</w:t>
      </w:r>
      <w:r w:rsidRPr="004A6531">
        <w:rPr>
          <w:sz w:val="20"/>
          <w:szCs w:val="20"/>
        </w:rPr>
        <w:t>.</w:t>
      </w:r>
      <w:r>
        <w:rPr>
          <w:sz w:val="20"/>
          <w:szCs w:val="20"/>
        </w:rPr>
        <w:t>,</w:t>
      </w:r>
      <w:proofErr w:type="gramEnd"/>
      <w:r>
        <w:rPr>
          <w:sz w:val="20"/>
          <w:szCs w:val="20"/>
        </w:rPr>
        <w:t xml:space="preserve"> a</w:t>
      </w:r>
      <w:r w:rsidRPr="004A6531">
        <w:rPr>
          <w:sz w:val="20"/>
          <w:szCs w:val="20"/>
        </w:rPr>
        <w:t>nd</w:t>
      </w:r>
      <w:r>
        <w:rPr>
          <w:sz w:val="20"/>
          <w:szCs w:val="20"/>
        </w:rPr>
        <w:t xml:space="preserve"> </w:t>
      </w:r>
      <w:r w:rsidRPr="004A6531">
        <w:rPr>
          <w:sz w:val="20"/>
          <w:szCs w:val="20"/>
        </w:rPr>
        <w:t xml:space="preserve">Order No. PSC-15-0094-TRF-EI, </w:t>
      </w:r>
      <w:r>
        <w:rPr>
          <w:sz w:val="20"/>
          <w:szCs w:val="20"/>
        </w:rPr>
        <w:t>i</w:t>
      </w:r>
      <w:r w:rsidRPr="004A6531">
        <w:rPr>
          <w:sz w:val="20"/>
          <w:szCs w:val="20"/>
        </w:rPr>
        <w:t xml:space="preserve">ssued February 5, 2015, in Docket No. 20140232-EI, </w:t>
      </w:r>
      <w:r w:rsidRPr="004A6531">
        <w:rPr>
          <w:i/>
          <w:sz w:val="20"/>
          <w:szCs w:val="20"/>
        </w:rPr>
        <w:t>In re: Petition for approval of revised lighting tariff by Tampa Electric Company.</w:t>
      </w:r>
    </w:p>
    <w:p w:rsidR="001B13DB" w:rsidRDefault="001B13DB" w:rsidP="001B13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703144"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20220011-EI</w:t>
    </w:r>
    <w:bookmarkEnd w:id="14"/>
  </w:p>
  <w:p w:rsidR="00BC402E" w:rsidRDefault="00BC402E">
    <w:pPr>
      <w:pStyle w:val="Header"/>
    </w:pPr>
    <w:r>
      <w:t xml:space="preserve">Date: </w:t>
    </w:r>
    <w:fldSimple w:instr=" REF FilingDate ">
      <w:r w:rsidR="00C1127E">
        <w:t>March 24, 2022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C1127E">
      <w:t>Docket No.</w:t>
    </w:r>
    <w:r>
      <w:fldChar w:fldCharType="end"/>
    </w:r>
    <w:r>
      <w:t xml:space="preserve"> </w:t>
    </w:r>
    <w:r>
      <w:fldChar w:fldCharType="begin"/>
    </w:r>
    <w:r>
      <w:instrText xml:space="preserve"> REF DocketList</w:instrText>
    </w:r>
    <w:r>
      <w:fldChar w:fldCharType="separate"/>
    </w:r>
    <w:r w:rsidR="00C1127E">
      <w:t>20220011-EI</w:t>
    </w:r>
    <w:r>
      <w:fldChar w:fldCharType="end"/>
    </w:r>
    <w:r>
      <w:tab/>
      <w:t xml:space="preserve">Issue </w:t>
    </w:r>
    <w:fldSimple w:instr=" Seq Issue \c \* Arabic ">
      <w:r w:rsidR="003272D1">
        <w:rPr>
          <w:noProof/>
        </w:rPr>
        <w:t>2</w:t>
      </w:r>
    </w:fldSimple>
  </w:p>
  <w:p w:rsidR="00BC402E" w:rsidRDefault="00BC402E">
    <w:pPr>
      <w:pStyle w:val="Header"/>
    </w:pPr>
    <w:r>
      <w:t xml:space="preserve">Date: </w:t>
    </w:r>
    <w:fldSimple w:instr=" REF FilingDate ">
      <w:r w:rsidR="00C1127E">
        <w:t>March 2</w:t>
      </w:r>
      <w:r w:rsidR="00046DA1">
        <w:t>4</w:t>
      </w:r>
      <w:r w:rsidR="00C1127E">
        <w:t>,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F26" w:rsidRDefault="00057F26" w:rsidP="00220732">
    <w:pPr>
      <w:pStyle w:val="Header"/>
      <w:tabs>
        <w:tab w:val="clear" w:pos="4320"/>
        <w:tab w:val="clear" w:pos="8640"/>
        <w:tab w:val="right" w:pos="9360"/>
      </w:tabs>
    </w:pPr>
    <w:r>
      <w:fldChar w:fldCharType="begin"/>
    </w:r>
    <w:r>
      <w:instrText xml:space="preserve"> REF DocketLabel</w:instrText>
    </w:r>
    <w:r>
      <w:fldChar w:fldCharType="separate"/>
    </w:r>
    <w:r w:rsidR="00C1127E">
      <w:t>Docket No.</w:t>
    </w:r>
    <w:r>
      <w:fldChar w:fldCharType="end"/>
    </w:r>
    <w:r>
      <w:t xml:space="preserve"> </w:t>
    </w:r>
    <w:r>
      <w:fldChar w:fldCharType="begin"/>
    </w:r>
    <w:r>
      <w:instrText xml:space="preserve"> REF DocketList</w:instrText>
    </w:r>
    <w:r>
      <w:fldChar w:fldCharType="separate"/>
    </w:r>
    <w:r w:rsidR="00C1127E">
      <w:t>20220011-EI</w:t>
    </w:r>
    <w:r>
      <w:fldChar w:fldCharType="end"/>
    </w:r>
    <w:r>
      <w:tab/>
      <w:t>Attachment A</w:t>
    </w:r>
  </w:p>
  <w:p w:rsidR="00057F26" w:rsidRDefault="00057F26">
    <w:pPr>
      <w:pStyle w:val="Header"/>
    </w:pPr>
    <w:r>
      <w:t xml:space="preserve">Date: </w:t>
    </w:r>
    <w:r w:rsidR="007E1E46">
      <w:fldChar w:fldCharType="begin"/>
    </w:r>
    <w:r w:rsidR="007E1E46">
      <w:instrText xml:space="preserve"> REF FilingDate </w:instrText>
    </w:r>
    <w:r w:rsidR="007E1E46">
      <w:fldChar w:fldCharType="separate"/>
    </w:r>
    <w:r w:rsidR="004E58A0">
      <w:t>March 24</w:t>
    </w:r>
    <w:r w:rsidR="00C1127E">
      <w:t>, 2022</w:t>
    </w:r>
    <w:r w:rsidR="007E1E46">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F26" w:rsidRDefault="00057F26" w:rsidP="00220732">
    <w:pPr>
      <w:pStyle w:val="Header"/>
      <w:tabs>
        <w:tab w:val="clear" w:pos="4320"/>
        <w:tab w:val="clear" w:pos="8640"/>
        <w:tab w:val="right" w:pos="9360"/>
      </w:tabs>
    </w:pPr>
    <w:r>
      <w:fldChar w:fldCharType="begin"/>
    </w:r>
    <w:r>
      <w:instrText xml:space="preserve"> REF DocketLabel</w:instrText>
    </w:r>
    <w:r>
      <w:fldChar w:fldCharType="separate"/>
    </w:r>
    <w:r w:rsidR="00C1127E">
      <w:t>Docket No.</w:t>
    </w:r>
    <w:r>
      <w:fldChar w:fldCharType="end"/>
    </w:r>
    <w:r>
      <w:t xml:space="preserve"> </w:t>
    </w:r>
    <w:r>
      <w:fldChar w:fldCharType="begin"/>
    </w:r>
    <w:r>
      <w:instrText xml:space="preserve"> REF DocketList</w:instrText>
    </w:r>
    <w:r>
      <w:fldChar w:fldCharType="separate"/>
    </w:r>
    <w:r w:rsidR="00C1127E">
      <w:t>20220011-EI</w:t>
    </w:r>
    <w:r>
      <w:fldChar w:fldCharType="end"/>
    </w:r>
    <w:r w:rsidR="00947F92">
      <w:tab/>
      <w:t>Attachment A</w:t>
    </w:r>
  </w:p>
  <w:p w:rsidR="00057F26" w:rsidRDefault="00057F26">
    <w:pPr>
      <w:pStyle w:val="Header"/>
    </w:pPr>
    <w:r>
      <w:t xml:space="preserve">Date: </w:t>
    </w:r>
    <w:r w:rsidR="007E1E46">
      <w:fldChar w:fldCharType="begin"/>
    </w:r>
    <w:r w:rsidR="007E1E46">
      <w:instrText xml:space="preserve"> REF FilingDate </w:instrText>
    </w:r>
    <w:r w:rsidR="007E1E46">
      <w:fldChar w:fldCharType="separate"/>
    </w:r>
    <w:r w:rsidR="004E58A0">
      <w:t>March 24</w:t>
    </w:r>
    <w:r w:rsidR="00C1127E">
      <w:t>, 2022</w:t>
    </w:r>
    <w:r w:rsidR="007E1E46">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AD7" w:rsidRDefault="00FE3AD7" w:rsidP="00220732">
    <w:pPr>
      <w:pStyle w:val="Header"/>
      <w:tabs>
        <w:tab w:val="clear" w:pos="4320"/>
        <w:tab w:val="clear" w:pos="8640"/>
        <w:tab w:val="right" w:pos="9360"/>
      </w:tabs>
    </w:pPr>
    <w:r>
      <w:fldChar w:fldCharType="begin"/>
    </w:r>
    <w:r>
      <w:instrText xml:space="preserve"> REF DocketLabel</w:instrText>
    </w:r>
    <w:r>
      <w:fldChar w:fldCharType="separate"/>
    </w:r>
    <w:r w:rsidR="00C1127E">
      <w:t>Docket No.</w:t>
    </w:r>
    <w:r>
      <w:fldChar w:fldCharType="end"/>
    </w:r>
    <w:r>
      <w:t xml:space="preserve"> </w:t>
    </w:r>
    <w:r>
      <w:fldChar w:fldCharType="begin"/>
    </w:r>
    <w:r>
      <w:instrText xml:space="preserve"> REF DocketList</w:instrText>
    </w:r>
    <w:r>
      <w:fldChar w:fldCharType="separate"/>
    </w:r>
    <w:r w:rsidR="00C1127E">
      <w:t>20220011-EI</w:t>
    </w:r>
    <w:r>
      <w:fldChar w:fldCharType="end"/>
    </w:r>
    <w:r w:rsidR="00947F92">
      <w:tab/>
      <w:t>Attachment A</w:t>
    </w:r>
  </w:p>
  <w:p w:rsidR="00FE3AD7" w:rsidRDefault="00FE3AD7">
    <w:pPr>
      <w:pStyle w:val="Header"/>
    </w:pPr>
    <w:r>
      <w:t xml:space="preserve">Date: </w:t>
    </w:r>
    <w:fldSimple w:instr=" REF FilingDate ">
      <w:r w:rsidR="004E58A0">
        <w:t>March 24</w:t>
      </w:r>
      <w:r w:rsidR="00C1127E">
        <w:t>, 2022</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072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703144"/>
    <w:rsid w:val="000043D5"/>
    <w:rsid w:val="00006170"/>
    <w:rsid w:val="00006411"/>
    <w:rsid w:val="00010E37"/>
    <w:rsid w:val="000172DA"/>
    <w:rsid w:val="000247C5"/>
    <w:rsid w:val="000277C2"/>
    <w:rsid w:val="00035B48"/>
    <w:rsid w:val="00035E70"/>
    <w:rsid w:val="00036CE2"/>
    <w:rsid w:val="000437FE"/>
    <w:rsid w:val="00046DA1"/>
    <w:rsid w:val="000513BE"/>
    <w:rsid w:val="00057F26"/>
    <w:rsid w:val="00065A06"/>
    <w:rsid w:val="000666F3"/>
    <w:rsid w:val="000702CF"/>
    <w:rsid w:val="00070DCB"/>
    <w:rsid w:val="00072CCA"/>
    <w:rsid w:val="00073120"/>
    <w:rsid w:val="000764D0"/>
    <w:rsid w:val="000828D3"/>
    <w:rsid w:val="00093A09"/>
    <w:rsid w:val="000A2B57"/>
    <w:rsid w:val="000A418B"/>
    <w:rsid w:val="000B0764"/>
    <w:rsid w:val="000C4431"/>
    <w:rsid w:val="000C50F9"/>
    <w:rsid w:val="000D1C06"/>
    <w:rsid w:val="000D4319"/>
    <w:rsid w:val="000E0907"/>
    <w:rsid w:val="000F374A"/>
    <w:rsid w:val="001076AF"/>
    <w:rsid w:val="00117C8C"/>
    <w:rsid w:val="00124C38"/>
    <w:rsid w:val="00124E2E"/>
    <w:rsid w:val="00125ED4"/>
    <w:rsid w:val="001305E9"/>
    <w:rsid w:val="001307AF"/>
    <w:rsid w:val="00135687"/>
    <w:rsid w:val="00141617"/>
    <w:rsid w:val="00142AA0"/>
    <w:rsid w:val="0015506E"/>
    <w:rsid w:val="00163031"/>
    <w:rsid w:val="00171A90"/>
    <w:rsid w:val="00180254"/>
    <w:rsid w:val="00191E1F"/>
    <w:rsid w:val="00192943"/>
    <w:rsid w:val="00192CDA"/>
    <w:rsid w:val="001A7406"/>
    <w:rsid w:val="001B13DB"/>
    <w:rsid w:val="001B4FEE"/>
    <w:rsid w:val="001B51C5"/>
    <w:rsid w:val="001B6F3F"/>
    <w:rsid w:val="001C52B5"/>
    <w:rsid w:val="001D0D3E"/>
    <w:rsid w:val="001D1614"/>
    <w:rsid w:val="001F2245"/>
    <w:rsid w:val="001F2C63"/>
    <w:rsid w:val="001F48C7"/>
    <w:rsid w:val="001F6DA1"/>
    <w:rsid w:val="002044E6"/>
    <w:rsid w:val="00205C82"/>
    <w:rsid w:val="00205DC2"/>
    <w:rsid w:val="002079D1"/>
    <w:rsid w:val="00212B17"/>
    <w:rsid w:val="002163B6"/>
    <w:rsid w:val="00220732"/>
    <w:rsid w:val="00221D32"/>
    <w:rsid w:val="00225C3F"/>
    <w:rsid w:val="00256526"/>
    <w:rsid w:val="00261E26"/>
    <w:rsid w:val="00263D44"/>
    <w:rsid w:val="002702AD"/>
    <w:rsid w:val="00292D82"/>
    <w:rsid w:val="002963CB"/>
    <w:rsid w:val="002B4A01"/>
    <w:rsid w:val="002D226D"/>
    <w:rsid w:val="002F6030"/>
    <w:rsid w:val="003037E1"/>
    <w:rsid w:val="00307E51"/>
    <w:rsid w:val="003103EC"/>
    <w:rsid w:val="003144EF"/>
    <w:rsid w:val="00322F74"/>
    <w:rsid w:val="003272D1"/>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3AF"/>
    <w:rsid w:val="00412DAE"/>
    <w:rsid w:val="004242E6"/>
    <w:rsid w:val="004265EA"/>
    <w:rsid w:val="00431598"/>
    <w:rsid w:val="004319AD"/>
    <w:rsid w:val="004426B8"/>
    <w:rsid w:val="00444432"/>
    <w:rsid w:val="00470DF8"/>
    <w:rsid w:val="00471860"/>
    <w:rsid w:val="00477026"/>
    <w:rsid w:val="00486229"/>
    <w:rsid w:val="004A744D"/>
    <w:rsid w:val="004B60BD"/>
    <w:rsid w:val="004C3150"/>
    <w:rsid w:val="004C3641"/>
    <w:rsid w:val="004C4390"/>
    <w:rsid w:val="004C4AF7"/>
    <w:rsid w:val="004D2881"/>
    <w:rsid w:val="004D385F"/>
    <w:rsid w:val="004D5B39"/>
    <w:rsid w:val="004D786D"/>
    <w:rsid w:val="004E330D"/>
    <w:rsid w:val="004E5147"/>
    <w:rsid w:val="004E58A0"/>
    <w:rsid w:val="004E69B5"/>
    <w:rsid w:val="004F1F83"/>
    <w:rsid w:val="004F5C43"/>
    <w:rsid w:val="0050652D"/>
    <w:rsid w:val="00506C03"/>
    <w:rsid w:val="00511A11"/>
    <w:rsid w:val="00516496"/>
    <w:rsid w:val="00523396"/>
    <w:rsid w:val="00523B11"/>
    <w:rsid w:val="0052572A"/>
    <w:rsid w:val="00532DFB"/>
    <w:rsid w:val="00543CB3"/>
    <w:rsid w:val="005442E4"/>
    <w:rsid w:val="0054713D"/>
    <w:rsid w:val="00554C82"/>
    <w:rsid w:val="0055529B"/>
    <w:rsid w:val="00560FF0"/>
    <w:rsid w:val="005614BD"/>
    <w:rsid w:val="0057154F"/>
    <w:rsid w:val="00580F69"/>
    <w:rsid w:val="00581CA3"/>
    <w:rsid w:val="00587A44"/>
    <w:rsid w:val="00594049"/>
    <w:rsid w:val="00597730"/>
    <w:rsid w:val="005977EC"/>
    <w:rsid w:val="00597DE7"/>
    <w:rsid w:val="005A4AA2"/>
    <w:rsid w:val="005B34B6"/>
    <w:rsid w:val="005B6C8F"/>
    <w:rsid w:val="005B6EC3"/>
    <w:rsid w:val="005C13C2"/>
    <w:rsid w:val="005D0F74"/>
    <w:rsid w:val="005D2060"/>
    <w:rsid w:val="005D2E7D"/>
    <w:rsid w:val="005D4A8F"/>
    <w:rsid w:val="005D561B"/>
    <w:rsid w:val="005D5ECF"/>
    <w:rsid w:val="005F468D"/>
    <w:rsid w:val="005F69A3"/>
    <w:rsid w:val="00604CC7"/>
    <w:rsid w:val="00613105"/>
    <w:rsid w:val="00615423"/>
    <w:rsid w:val="006165B2"/>
    <w:rsid w:val="00617276"/>
    <w:rsid w:val="0062527B"/>
    <w:rsid w:val="00625D97"/>
    <w:rsid w:val="00625F1C"/>
    <w:rsid w:val="006279E1"/>
    <w:rsid w:val="00630CEB"/>
    <w:rsid w:val="00632264"/>
    <w:rsid w:val="006470BC"/>
    <w:rsid w:val="006554D3"/>
    <w:rsid w:val="0066672F"/>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D5D0E"/>
    <w:rsid w:val="006E08CB"/>
    <w:rsid w:val="006E598D"/>
    <w:rsid w:val="00703144"/>
    <w:rsid w:val="0070437D"/>
    <w:rsid w:val="00704CF1"/>
    <w:rsid w:val="00705B04"/>
    <w:rsid w:val="0072128F"/>
    <w:rsid w:val="00724992"/>
    <w:rsid w:val="00734820"/>
    <w:rsid w:val="007349DC"/>
    <w:rsid w:val="0074365E"/>
    <w:rsid w:val="00744B55"/>
    <w:rsid w:val="00746961"/>
    <w:rsid w:val="007515FD"/>
    <w:rsid w:val="00753BD1"/>
    <w:rsid w:val="00760D80"/>
    <w:rsid w:val="0076132C"/>
    <w:rsid w:val="00780C09"/>
    <w:rsid w:val="00780DDF"/>
    <w:rsid w:val="007834E9"/>
    <w:rsid w:val="00787DBC"/>
    <w:rsid w:val="0079019A"/>
    <w:rsid w:val="00792935"/>
    <w:rsid w:val="007A04A1"/>
    <w:rsid w:val="007A1840"/>
    <w:rsid w:val="007A685D"/>
    <w:rsid w:val="007B3ECF"/>
    <w:rsid w:val="007C0528"/>
    <w:rsid w:val="007C3D38"/>
    <w:rsid w:val="007D0F35"/>
    <w:rsid w:val="007D4FEB"/>
    <w:rsid w:val="007D6146"/>
    <w:rsid w:val="007E0CE7"/>
    <w:rsid w:val="007F1193"/>
    <w:rsid w:val="007F417F"/>
    <w:rsid w:val="007F7644"/>
    <w:rsid w:val="0080318E"/>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935FA"/>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2FF8"/>
    <w:rsid w:val="0093658B"/>
    <w:rsid w:val="009429FF"/>
    <w:rsid w:val="00945BD6"/>
    <w:rsid w:val="009479FB"/>
    <w:rsid w:val="00947F92"/>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09A"/>
    <w:rsid w:val="009F3393"/>
    <w:rsid w:val="009F3B36"/>
    <w:rsid w:val="00A019B9"/>
    <w:rsid w:val="00A078AD"/>
    <w:rsid w:val="00A12508"/>
    <w:rsid w:val="00A1282B"/>
    <w:rsid w:val="00A13A27"/>
    <w:rsid w:val="00A175B6"/>
    <w:rsid w:val="00A21835"/>
    <w:rsid w:val="00A2374B"/>
    <w:rsid w:val="00A24726"/>
    <w:rsid w:val="00A27D6E"/>
    <w:rsid w:val="00A328EC"/>
    <w:rsid w:val="00A33A51"/>
    <w:rsid w:val="00A41CA6"/>
    <w:rsid w:val="00A47927"/>
    <w:rsid w:val="00A47FFC"/>
    <w:rsid w:val="00A5442F"/>
    <w:rsid w:val="00A54FF9"/>
    <w:rsid w:val="00A5507B"/>
    <w:rsid w:val="00A56765"/>
    <w:rsid w:val="00A675AC"/>
    <w:rsid w:val="00A7581F"/>
    <w:rsid w:val="00A92FB1"/>
    <w:rsid w:val="00A95A0C"/>
    <w:rsid w:val="00AA2765"/>
    <w:rsid w:val="00AA77B5"/>
    <w:rsid w:val="00AB6C5D"/>
    <w:rsid w:val="00AC1B56"/>
    <w:rsid w:val="00AC3401"/>
    <w:rsid w:val="00AC51A7"/>
    <w:rsid w:val="00AD444B"/>
    <w:rsid w:val="00AD5614"/>
    <w:rsid w:val="00AD6C78"/>
    <w:rsid w:val="00AE2EAB"/>
    <w:rsid w:val="00AF576A"/>
    <w:rsid w:val="00AF5D59"/>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1972"/>
    <w:rsid w:val="00B57A6A"/>
    <w:rsid w:val="00B760F1"/>
    <w:rsid w:val="00B7669E"/>
    <w:rsid w:val="00B77DA1"/>
    <w:rsid w:val="00B822A0"/>
    <w:rsid w:val="00B858AE"/>
    <w:rsid w:val="00B85964"/>
    <w:rsid w:val="00B96250"/>
    <w:rsid w:val="00BA0D55"/>
    <w:rsid w:val="00BA37B3"/>
    <w:rsid w:val="00BA4CC6"/>
    <w:rsid w:val="00BA7579"/>
    <w:rsid w:val="00BB3493"/>
    <w:rsid w:val="00BB383D"/>
    <w:rsid w:val="00BB7468"/>
    <w:rsid w:val="00BC188A"/>
    <w:rsid w:val="00BC402E"/>
    <w:rsid w:val="00BD0F48"/>
    <w:rsid w:val="00BD2B9D"/>
    <w:rsid w:val="00BE6DDB"/>
    <w:rsid w:val="00BF5010"/>
    <w:rsid w:val="00BF70AE"/>
    <w:rsid w:val="00C03D5F"/>
    <w:rsid w:val="00C1127E"/>
    <w:rsid w:val="00C13791"/>
    <w:rsid w:val="00C230D8"/>
    <w:rsid w:val="00C31BB3"/>
    <w:rsid w:val="00C36977"/>
    <w:rsid w:val="00C467DA"/>
    <w:rsid w:val="00C477D9"/>
    <w:rsid w:val="00C5232B"/>
    <w:rsid w:val="00C56E96"/>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43572"/>
    <w:rsid w:val="00D60B16"/>
    <w:rsid w:val="00D60F02"/>
    <w:rsid w:val="00D6251E"/>
    <w:rsid w:val="00D66E49"/>
    <w:rsid w:val="00D70D71"/>
    <w:rsid w:val="00D72F74"/>
    <w:rsid w:val="00D81563"/>
    <w:rsid w:val="00D85907"/>
    <w:rsid w:val="00D9073E"/>
    <w:rsid w:val="00D9221D"/>
    <w:rsid w:val="00D958DF"/>
    <w:rsid w:val="00D96DA1"/>
    <w:rsid w:val="00DA50E1"/>
    <w:rsid w:val="00DA51E7"/>
    <w:rsid w:val="00DB0260"/>
    <w:rsid w:val="00DB1C78"/>
    <w:rsid w:val="00DB7D96"/>
    <w:rsid w:val="00DC23FE"/>
    <w:rsid w:val="00DC59E6"/>
    <w:rsid w:val="00DD150B"/>
    <w:rsid w:val="00DD5025"/>
    <w:rsid w:val="00DF1510"/>
    <w:rsid w:val="00E02F1F"/>
    <w:rsid w:val="00E056CC"/>
    <w:rsid w:val="00E06484"/>
    <w:rsid w:val="00E20A7D"/>
    <w:rsid w:val="00E275D8"/>
    <w:rsid w:val="00E30F6A"/>
    <w:rsid w:val="00E3117C"/>
    <w:rsid w:val="00E375CA"/>
    <w:rsid w:val="00E432AA"/>
    <w:rsid w:val="00E5364F"/>
    <w:rsid w:val="00E567E8"/>
    <w:rsid w:val="00E64679"/>
    <w:rsid w:val="00E65EBC"/>
    <w:rsid w:val="00E677FE"/>
    <w:rsid w:val="00E73432"/>
    <w:rsid w:val="00E77B0C"/>
    <w:rsid w:val="00E77FB8"/>
    <w:rsid w:val="00E838B0"/>
    <w:rsid w:val="00E86A7C"/>
    <w:rsid w:val="00E878E1"/>
    <w:rsid w:val="00E87F2C"/>
    <w:rsid w:val="00E95278"/>
    <w:rsid w:val="00E9760A"/>
    <w:rsid w:val="00EA2273"/>
    <w:rsid w:val="00EA5899"/>
    <w:rsid w:val="00EA7C3C"/>
    <w:rsid w:val="00EB2DB3"/>
    <w:rsid w:val="00EC3FBB"/>
    <w:rsid w:val="00EC6B7A"/>
    <w:rsid w:val="00ED3A87"/>
    <w:rsid w:val="00ED4ABD"/>
    <w:rsid w:val="00ED5B67"/>
    <w:rsid w:val="00EF264C"/>
    <w:rsid w:val="00EF3FEE"/>
    <w:rsid w:val="00F030A9"/>
    <w:rsid w:val="00F04B59"/>
    <w:rsid w:val="00F11741"/>
    <w:rsid w:val="00F12B1C"/>
    <w:rsid w:val="00F13CF8"/>
    <w:rsid w:val="00F15855"/>
    <w:rsid w:val="00F200B2"/>
    <w:rsid w:val="00F227DC"/>
    <w:rsid w:val="00F32978"/>
    <w:rsid w:val="00F43DE7"/>
    <w:rsid w:val="00F45CB2"/>
    <w:rsid w:val="00F544C0"/>
    <w:rsid w:val="00F55332"/>
    <w:rsid w:val="00F57E59"/>
    <w:rsid w:val="00F6504A"/>
    <w:rsid w:val="00F65519"/>
    <w:rsid w:val="00F713C0"/>
    <w:rsid w:val="00F75DDC"/>
    <w:rsid w:val="00F7792F"/>
    <w:rsid w:val="00F842AA"/>
    <w:rsid w:val="00F8476F"/>
    <w:rsid w:val="00F853E1"/>
    <w:rsid w:val="00F85604"/>
    <w:rsid w:val="00F94B6A"/>
    <w:rsid w:val="00F94B7A"/>
    <w:rsid w:val="00FA17AC"/>
    <w:rsid w:val="00FA32DE"/>
    <w:rsid w:val="00FA3382"/>
    <w:rsid w:val="00FA59CD"/>
    <w:rsid w:val="00FB1740"/>
    <w:rsid w:val="00FB31B3"/>
    <w:rsid w:val="00FC5469"/>
    <w:rsid w:val="00FC5A0C"/>
    <w:rsid w:val="00FC6D7D"/>
    <w:rsid w:val="00FD16B0"/>
    <w:rsid w:val="00FD31D8"/>
    <w:rsid w:val="00FD392D"/>
    <w:rsid w:val="00FD4FED"/>
    <w:rsid w:val="00FD7493"/>
    <w:rsid w:val="00FE0577"/>
    <w:rsid w:val="00FE3AD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D2274CD2-B8FE-4D19-860D-813AC2E56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594049"/>
    <w:rPr>
      <w:vertAlign w:val="superscript"/>
    </w:rPr>
  </w:style>
  <w:style w:type="paragraph" w:customStyle="1" w:styleId="OrderBody">
    <w:name w:val="Order Body"/>
    <w:basedOn w:val="Normal"/>
    <w:link w:val="OrderBodyChar"/>
    <w:rsid w:val="00EA5899"/>
    <w:pPr>
      <w:jc w:val="both"/>
    </w:pPr>
  </w:style>
  <w:style w:type="character" w:customStyle="1" w:styleId="OrderBodyChar">
    <w:name w:val="Order Body Char"/>
    <w:link w:val="OrderBody"/>
    <w:rsid w:val="00EA58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68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27BEE-3044-4E47-8231-BA00CCB7A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8</Pages>
  <Words>1171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subject/>
  <dc:creator>Holly Forrest</dc:creator>
  <cp:keywords/>
  <dc:description/>
  <cp:lastModifiedBy>Andrea Mick</cp:lastModifiedBy>
  <cp:revision>2</cp:revision>
  <cp:lastPrinted>2022-03-14T13:58:00Z</cp:lastPrinted>
  <dcterms:created xsi:type="dcterms:W3CDTF">2022-03-24T12:52:00Z</dcterms:created>
  <dcterms:modified xsi:type="dcterms:W3CDTF">2022-03-24T12:52:00Z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20220011-EI</vt:lpwstr>
  </property>
  <property fmtid="{D5CDD505-2E9C-101B-9397-08002B2CF9AE}" pid="3" name="MasterDocument">
    <vt:bool>false</vt:bool>
  </property>
</Properties>
</file>