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9CAA53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5C78BA4" w14:textId="77777777" w:rsidR="007C0528" w:rsidRDefault="007C0528" w:rsidP="00532DFB">
            <w:pPr>
              <w:pStyle w:val="MastHeadState"/>
            </w:pPr>
            <w:bookmarkStart w:id="0" w:name="_GoBack"/>
            <w:bookmarkEnd w:id="0"/>
            <w:r>
              <w:t>State of Florida</w:t>
            </w:r>
          </w:p>
          <w:p w14:paraId="5344B92A" w14:textId="77777777" w:rsidR="007C0528" w:rsidRDefault="00072CCA">
            <w:pPr>
              <w:jc w:val="center"/>
            </w:pPr>
            <w:r>
              <w:rPr>
                <w:noProof/>
              </w:rPr>
              <w:drawing>
                <wp:inline distT="0" distB="0" distL="0" distR="0" wp14:anchorId="2DE64051" wp14:editId="753E364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E806F01"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702F3EAB" w14:textId="77777777" w:rsidR="007C0528" w:rsidRDefault="007C0528">
            <w:pPr>
              <w:pStyle w:val="MastHeadPSC"/>
            </w:pPr>
            <w:r>
              <w:t>Public Service Commission</w:t>
            </w:r>
          </w:p>
          <w:p w14:paraId="5F8426FF" w14:textId="77777777" w:rsidR="007C0528" w:rsidRDefault="007C0528">
            <w:pPr>
              <w:pStyle w:val="MastHeadAddress"/>
            </w:pPr>
            <w:r>
              <w:t>Capital Circle Office Center ● 2540 Shumard Oak Boulevard</w:t>
            </w:r>
            <w:r>
              <w:br/>
              <w:t>Tallahassee, Florida 32399-0850</w:t>
            </w:r>
          </w:p>
          <w:p w14:paraId="6BD8EEA8" w14:textId="77777777" w:rsidR="007C0528" w:rsidRDefault="007C0528">
            <w:pPr>
              <w:pStyle w:val="MastHeadMemorandum"/>
            </w:pPr>
            <w:r>
              <w:t>-M-E-M-O-R-A-N-D-U-M-</w:t>
            </w:r>
          </w:p>
          <w:p w14:paraId="7C48A40E" w14:textId="77777777" w:rsidR="007C0528" w:rsidRDefault="007C0528">
            <w:pPr>
              <w:pStyle w:val="MemoHeading"/>
            </w:pPr>
          </w:p>
        </w:tc>
      </w:tr>
      <w:tr w:rsidR="007C0528" w14:paraId="3497020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E304F99"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E6A71A7" w14:textId="77777777" w:rsidR="007C0528" w:rsidRDefault="00DA18AB" w:rsidP="00DA18AB">
            <w:pPr>
              <w:pStyle w:val="MemoHeading"/>
            </w:pPr>
            <w:bookmarkStart w:id="1" w:name="FilingDate"/>
            <w:r>
              <w:t>M</w:t>
            </w:r>
            <w:r w:rsidR="00C10012">
              <w:t>a</w:t>
            </w:r>
            <w:r>
              <w:t>rch</w:t>
            </w:r>
            <w:r w:rsidR="00C10012">
              <w:t xml:space="preserve"> </w:t>
            </w:r>
            <w:r>
              <w:t>24</w:t>
            </w:r>
            <w:r w:rsidR="00C10012">
              <w:t>, 2022</w:t>
            </w:r>
            <w:bookmarkEnd w:id="1"/>
          </w:p>
        </w:tc>
      </w:tr>
      <w:tr w:rsidR="007C0528" w14:paraId="288146B3" w14:textId="77777777">
        <w:tc>
          <w:tcPr>
            <w:tcW w:w="1254" w:type="dxa"/>
            <w:tcBorders>
              <w:top w:val="nil"/>
              <w:left w:val="nil"/>
              <w:bottom w:val="nil"/>
              <w:right w:val="nil"/>
            </w:tcBorders>
            <w:shd w:val="clear" w:color="auto" w:fill="auto"/>
            <w:tcMar>
              <w:top w:w="288" w:type="dxa"/>
              <w:bottom w:w="0" w:type="dxa"/>
              <w:right w:w="0" w:type="dxa"/>
            </w:tcMar>
          </w:tcPr>
          <w:p w14:paraId="20360277"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530957FC" w14:textId="77777777" w:rsidR="007C0528" w:rsidRDefault="007C0528" w:rsidP="0093658B">
            <w:pPr>
              <w:pStyle w:val="MemoHeading"/>
            </w:pPr>
            <w:r>
              <w:t>Office of Commission Clerk (</w:t>
            </w:r>
            <w:r w:rsidR="004E69B5">
              <w:t>Teitzman</w:t>
            </w:r>
            <w:r>
              <w:t>)</w:t>
            </w:r>
          </w:p>
        </w:tc>
      </w:tr>
      <w:tr w:rsidR="007C0528" w14:paraId="406E4016" w14:textId="77777777">
        <w:tc>
          <w:tcPr>
            <w:tcW w:w="1254" w:type="dxa"/>
            <w:tcBorders>
              <w:top w:val="nil"/>
              <w:left w:val="nil"/>
              <w:bottom w:val="nil"/>
              <w:right w:val="nil"/>
            </w:tcBorders>
            <w:shd w:val="clear" w:color="auto" w:fill="auto"/>
            <w:tcMar>
              <w:top w:w="288" w:type="dxa"/>
              <w:right w:w="0" w:type="dxa"/>
            </w:tcMar>
          </w:tcPr>
          <w:p w14:paraId="028206F1"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5150EAB8" w14:textId="77777777" w:rsidR="00C10012" w:rsidRDefault="00C10012">
            <w:pPr>
              <w:pStyle w:val="MemoHeading"/>
            </w:pPr>
            <w:bookmarkStart w:id="2" w:name="From"/>
            <w:r>
              <w:t>Division of Economics (Smith II)</w:t>
            </w:r>
          </w:p>
          <w:p w14:paraId="28498444" w14:textId="77777777" w:rsidR="00C10012" w:rsidRDefault="00C10012">
            <w:pPr>
              <w:pStyle w:val="MemoHeading"/>
            </w:pPr>
            <w:r>
              <w:t>Division of Accounting and Finance (</w:t>
            </w:r>
            <w:r w:rsidR="000C2D51">
              <w:t xml:space="preserve">D. </w:t>
            </w:r>
            <w:r>
              <w:t>Buys, Osorio)</w:t>
            </w:r>
          </w:p>
          <w:p w14:paraId="2763F301" w14:textId="77777777" w:rsidR="007C0528" w:rsidRDefault="00C10012">
            <w:pPr>
              <w:pStyle w:val="MemoHeading"/>
            </w:pPr>
            <w:r>
              <w:t>Office of the General Counsel (Sandy, Crawford)</w:t>
            </w:r>
            <w:bookmarkEnd w:id="2"/>
          </w:p>
        </w:tc>
      </w:tr>
      <w:tr w:rsidR="007C0528" w14:paraId="267F7C5B" w14:textId="77777777">
        <w:tc>
          <w:tcPr>
            <w:tcW w:w="1254" w:type="dxa"/>
            <w:tcBorders>
              <w:top w:val="nil"/>
              <w:left w:val="nil"/>
              <w:bottom w:val="nil"/>
              <w:right w:val="nil"/>
            </w:tcBorders>
            <w:shd w:val="clear" w:color="auto" w:fill="auto"/>
            <w:tcMar>
              <w:top w:w="288" w:type="dxa"/>
              <w:right w:w="0" w:type="dxa"/>
            </w:tcMar>
          </w:tcPr>
          <w:p w14:paraId="609D53D9"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0EA68D18" w14:textId="77777777" w:rsidR="007C0528" w:rsidRDefault="00C10012" w:rsidP="00D70B55">
            <w:pPr>
              <w:pStyle w:val="MemoHeadingRe"/>
            </w:pPr>
            <w:bookmarkStart w:id="3" w:name="Re"/>
            <w:r>
              <w:t>Docket No. 20210183-GU – Petition for approval of 2021 depreciation study by Sebring Gas System, Inc.</w:t>
            </w:r>
            <w:bookmarkEnd w:id="3"/>
          </w:p>
        </w:tc>
      </w:tr>
      <w:tr w:rsidR="007C0528" w14:paraId="51C2EDA6" w14:textId="77777777">
        <w:tc>
          <w:tcPr>
            <w:tcW w:w="1254" w:type="dxa"/>
            <w:tcBorders>
              <w:top w:val="nil"/>
              <w:left w:val="nil"/>
              <w:bottom w:val="nil"/>
              <w:right w:val="nil"/>
            </w:tcBorders>
            <w:shd w:val="clear" w:color="auto" w:fill="auto"/>
            <w:tcMar>
              <w:top w:w="288" w:type="dxa"/>
              <w:bottom w:w="0" w:type="dxa"/>
              <w:right w:w="0" w:type="dxa"/>
            </w:tcMar>
          </w:tcPr>
          <w:p w14:paraId="03D2701A"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B233C09" w14:textId="77777777" w:rsidR="007C0528" w:rsidRDefault="00C10012" w:rsidP="00AB1E1B">
            <w:pPr>
              <w:pStyle w:val="MemoHeading"/>
            </w:pPr>
            <w:bookmarkStart w:id="4" w:name="AgendaDate"/>
            <w:r>
              <w:t>0</w:t>
            </w:r>
            <w:r w:rsidR="00AB1E1B">
              <w:t>4</w:t>
            </w:r>
            <w:r>
              <w:t>/0</w:t>
            </w:r>
            <w:r w:rsidR="00AB1E1B">
              <w:t>5</w:t>
            </w:r>
            <w:r>
              <w:t>/22</w:t>
            </w:r>
            <w:bookmarkEnd w:id="4"/>
            <w:r w:rsidR="007C0528">
              <w:t xml:space="preserve"> – </w:t>
            </w:r>
            <w:bookmarkStart w:id="5" w:name="PermittedStatus"/>
            <w:r>
              <w:t xml:space="preserve">Regular Agenda – </w:t>
            </w:r>
            <w:r w:rsidR="004E5721">
              <w:t xml:space="preserve">Proposed Agency Action - </w:t>
            </w:r>
            <w:r>
              <w:t>Interested Persons May Participate</w:t>
            </w:r>
            <w:bookmarkEnd w:id="5"/>
          </w:p>
        </w:tc>
      </w:tr>
      <w:tr w:rsidR="007C0528" w14:paraId="59E917E7" w14:textId="77777777">
        <w:tc>
          <w:tcPr>
            <w:tcW w:w="3690" w:type="dxa"/>
            <w:gridSpan w:val="3"/>
            <w:tcBorders>
              <w:top w:val="nil"/>
              <w:left w:val="nil"/>
              <w:bottom w:val="nil"/>
              <w:right w:val="nil"/>
            </w:tcBorders>
            <w:shd w:val="clear" w:color="auto" w:fill="auto"/>
            <w:tcMar>
              <w:top w:w="288" w:type="dxa"/>
              <w:bottom w:w="0" w:type="dxa"/>
              <w:right w:w="0" w:type="dxa"/>
            </w:tcMar>
          </w:tcPr>
          <w:p w14:paraId="3E23E4FA"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2142556" w14:textId="77777777" w:rsidR="007C0528" w:rsidRDefault="00C10012">
            <w:pPr>
              <w:pStyle w:val="MemoHeading"/>
            </w:pPr>
            <w:bookmarkStart w:id="6" w:name="CommissionersAssigned"/>
            <w:r>
              <w:t>All Commissioners</w:t>
            </w:r>
            <w:bookmarkEnd w:id="6"/>
          </w:p>
        </w:tc>
      </w:tr>
      <w:tr w:rsidR="007C0528" w14:paraId="6E404649" w14:textId="77777777">
        <w:tc>
          <w:tcPr>
            <w:tcW w:w="3690" w:type="dxa"/>
            <w:gridSpan w:val="3"/>
            <w:tcBorders>
              <w:top w:val="nil"/>
              <w:left w:val="nil"/>
              <w:bottom w:val="nil"/>
              <w:right w:val="nil"/>
            </w:tcBorders>
            <w:shd w:val="clear" w:color="auto" w:fill="auto"/>
            <w:tcMar>
              <w:top w:w="288" w:type="dxa"/>
              <w:bottom w:w="0" w:type="dxa"/>
              <w:right w:w="0" w:type="dxa"/>
            </w:tcMar>
          </w:tcPr>
          <w:p w14:paraId="5E46D395"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E2FE3BA" w14:textId="77777777" w:rsidR="007C0528" w:rsidRDefault="00C10012">
            <w:pPr>
              <w:pStyle w:val="MemoHeading"/>
            </w:pPr>
            <w:bookmarkStart w:id="7" w:name="PrehearingOfficer"/>
            <w:r>
              <w:t>La Rosa</w:t>
            </w:r>
            <w:bookmarkEnd w:id="7"/>
          </w:p>
        </w:tc>
      </w:tr>
      <w:tr w:rsidR="007C0528" w14:paraId="38DC709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32D5580E"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3D9FDC8A" w14:textId="77777777" w:rsidR="007C0528" w:rsidRDefault="00C10012">
            <w:pPr>
              <w:pStyle w:val="MemoHeading"/>
            </w:pPr>
            <w:bookmarkStart w:id="9" w:name="CriticalDates"/>
            <w:r>
              <w:t>None</w:t>
            </w:r>
            <w:bookmarkEnd w:id="9"/>
          </w:p>
        </w:tc>
      </w:tr>
      <w:tr w:rsidR="007C0528" w14:paraId="5AE6EE56"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BD88EF2"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DF0D34C" w14:textId="77777777" w:rsidR="007C0528" w:rsidRDefault="00C10012">
            <w:pPr>
              <w:pStyle w:val="MemoHeading"/>
            </w:pPr>
            <w:bookmarkStart w:id="10" w:name="SpecialInstructions"/>
            <w:r>
              <w:t>None</w:t>
            </w:r>
            <w:bookmarkEnd w:id="10"/>
          </w:p>
        </w:tc>
      </w:tr>
    </w:tbl>
    <w:p w14:paraId="68525060" w14:textId="77777777" w:rsidR="007C0528" w:rsidRDefault="007C0528">
      <w:pPr>
        <w:pStyle w:val="BodyText"/>
      </w:pPr>
    </w:p>
    <w:p w14:paraId="38E26BBC"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614BE49C" w14:textId="77777777" w:rsidR="008B455B" w:rsidRDefault="00C10012" w:rsidP="00C10012">
      <w:pPr>
        <w:pStyle w:val="BodyText"/>
      </w:pPr>
      <w:r w:rsidRPr="007E013B">
        <w:t xml:space="preserve">Rule 25-7.045, Florida Administrative Code (F.A.C.), requires natural gas public utilities to file a comprehensive depreciation study </w:t>
      </w:r>
      <w:r>
        <w:t>with the</w:t>
      </w:r>
      <w:r w:rsidRPr="007E013B">
        <w:t xml:space="preserve"> Florida Public Service Commission (Commission) </w:t>
      </w:r>
      <w:r>
        <w:t xml:space="preserve">for </w:t>
      </w:r>
      <w:r w:rsidRPr="007E013B">
        <w:t>review at least once every five years from the submission date of the previous study</w:t>
      </w:r>
      <w:r w:rsidR="0028676B">
        <w:t xml:space="preserve"> or pursuant to Commission order</w:t>
      </w:r>
      <w:r w:rsidRPr="007E013B">
        <w:t xml:space="preserve">. </w:t>
      </w:r>
      <w:r w:rsidR="00C16AFB">
        <w:t xml:space="preserve">Sebring </w:t>
      </w:r>
      <w:r w:rsidR="005D770D" w:rsidRPr="007E013B">
        <w:t>Gas System, Inc.</w:t>
      </w:r>
      <w:r w:rsidR="001C7E76">
        <w:t>’s</w:t>
      </w:r>
      <w:r w:rsidR="005D770D" w:rsidRPr="007E013B">
        <w:t xml:space="preserve"> </w:t>
      </w:r>
      <w:r w:rsidR="00C16AFB" w:rsidRPr="007E013B">
        <w:t xml:space="preserve">(Sebring or </w:t>
      </w:r>
      <w:r w:rsidR="001C7E76">
        <w:t>the C</w:t>
      </w:r>
      <w:r w:rsidR="00C16AFB" w:rsidRPr="007E013B">
        <w:t>ompany)</w:t>
      </w:r>
      <w:r w:rsidR="001C7E76" w:rsidRPr="007E013B">
        <w:t xml:space="preserve"> last depreciation study</w:t>
      </w:r>
      <w:r w:rsidR="001C7E76">
        <w:t xml:space="preserve"> was filed on July 20, 2016</w:t>
      </w:r>
      <w:r w:rsidR="001C7E76" w:rsidRPr="007E013B">
        <w:t>.</w:t>
      </w:r>
      <w:r w:rsidR="005D0729">
        <w:t xml:space="preserve"> </w:t>
      </w:r>
      <w:r w:rsidR="001C7E76">
        <w:t>The Company’s</w:t>
      </w:r>
      <w:r w:rsidR="00C16AFB">
        <w:t xml:space="preserve"> 2021 depreciation study </w:t>
      </w:r>
      <w:r w:rsidR="001C7E76">
        <w:t xml:space="preserve">was due to be filed </w:t>
      </w:r>
      <w:r w:rsidR="00C16AFB">
        <w:t>on or before July 20, 20</w:t>
      </w:r>
      <w:r w:rsidR="001E1BFD">
        <w:t>2</w:t>
      </w:r>
      <w:r w:rsidR="00C16AFB">
        <w:t xml:space="preserve">1. </w:t>
      </w:r>
      <w:r w:rsidR="008B455B" w:rsidRPr="007E013B">
        <w:t xml:space="preserve">Sebring </w:t>
      </w:r>
      <w:r w:rsidR="008B455B">
        <w:t>file</w:t>
      </w:r>
      <w:r w:rsidR="001C7E76">
        <w:t>d</w:t>
      </w:r>
      <w:r w:rsidR="008B455B">
        <w:t xml:space="preserve"> </w:t>
      </w:r>
      <w:r w:rsidR="008B455B" w:rsidRPr="007E013B">
        <w:t>its 20</w:t>
      </w:r>
      <w:r w:rsidR="008B455B">
        <w:t>2</w:t>
      </w:r>
      <w:r w:rsidR="008B455B" w:rsidRPr="007E013B">
        <w:t xml:space="preserve">1 depreciation study </w:t>
      </w:r>
      <w:r w:rsidR="001C7E76">
        <w:t>on</w:t>
      </w:r>
      <w:r w:rsidR="00BC5420" w:rsidRPr="007E013B">
        <w:t xml:space="preserve"> </w:t>
      </w:r>
      <w:r w:rsidR="00BC5420">
        <w:t>November 18</w:t>
      </w:r>
      <w:r w:rsidR="00BC5420" w:rsidRPr="007E013B">
        <w:t>, 20</w:t>
      </w:r>
      <w:r w:rsidR="00BC5420">
        <w:t>2</w:t>
      </w:r>
      <w:r w:rsidR="008B455B">
        <w:t>1</w:t>
      </w:r>
      <w:r w:rsidR="00BC5420">
        <w:t>.</w:t>
      </w:r>
      <w:r w:rsidR="008B455B">
        <w:t xml:space="preserve"> Staff would note that </w:t>
      </w:r>
      <w:r w:rsidR="00BC5420">
        <w:t xml:space="preserve">no parties were materially impacted as a </w:t>
      </w:r>
      <w:r w:rsidR="00DE080A">
        <w:t xml:space="preserve">consequence of the late </w:t>
      </w:r>
      <w:r w:rsidR="005D770D">
        <w:t>filing</w:t>
      </w:r>
      <w:r w:rsidR="008B455B">
        <w:t>.</w:t>
      </w:r>
    </w:p>
    <w:p w14:paraId="378E224B" w14:textId="77777777" w:rsidR="00C10012" w:rsidRPr="004A3457" w:rsidRDefault="002B20EB" w:rsidP="00C10012">
      <w:pPr>
        <w:pStyle w:val="BodyText"/>
        <w:rPr>
          <w:highlight w:val="yellow"/>
        </w:rPr>
      </w:pPr>
      <w:r>
        <w:lastRenderedPageBreak/>
        <w:t xml:space="preserve">Sebring </w:t>
      </w:r>
      <w:r w:rsidR="001C7E76">
        <w:t xml:space="preserve">serves approximately </w:t>
      </w:r>
      <w:r w:rsidR="006E6F0C">
        <w:t>711 customers, and reported</w:t>
      </w:r>
      <w:r>
        <w:t xml:space="preserve"> 2020</w:t>
      </w:r>
      <w:r w:rsidR="00C10012" w:rsidRPr="007E013B">
        <w:t xml:space="preserve"> operating </w:t>
      </w:r>
      <w:r w:rsidR="00C10012" w:rsidRPr="002C7A9D">
        <w:t xml:space="preserve">revenues of </w:t>
      </w:r>
      <w:r w:rsidR="00C10012" w:rsidRPr="00FF04EC">
        <w:t>approximately $</w:t>
      </w:r>
      <w:r w:rsidRPr="00FF04EC">
        <w:t>1,242,000</w:t>
      </w:r>
      <w:r w:rsidR="00B5755E">
        <w:t>.</w:t>
      </w:r>
      <w:r w:rsidR="00C10012" w:rsidRPr="00EF00C0">
        <w:rPr>
          <w:rStyle w:val="FootnoteReference"/>
        </w:rPr>
        <w:footnoteReference w:id="1"/>
      </w:r>
      <w:r w:rsidR="00C10012" w:rsidRPr="00EF00C0">
        <w:t xml:space="preserve"> Staff has completed its review of Sebring’s</w:t>
      </w:r>
      <w:r w:rsidR="00C10012">
        <w:t xml:space="preserve"> 20</w:t>
      </w:r>
      <w:r w:rsidR="00BF0D8C">
        <w:t>2</w:t>
      </w:r>
      <w:r w:rsidR="00C10012">
        <w:t>1 Depreciation S</w:t>
      </w:r>
      <w:r w:rsidR="00C10012" w:rsidRPr="00EF00C0">
        <w:t xml:space="preserve">tudy and presents its recommendations </w:t>
      </w:r>
      <w:r w:rsidR="00C10012">
        <w:t xml:space="preserve">to the Commission </w:t>
      </w:r>
      <w:r w:rsidR="00C10012" w:rsidRPr="00EF00C0">
        <w:t>herein.</w:t>
      </w:r>
    </w:p>
    <w:p w14:paraId="62C6671E" w14:textId="77777777" w:rsidR="00C10012" w:rsidRDefault="00C10012" w:rsidP="00C10012">
      <w:pPr>
        <w:pStyle w:val="BodyText"/>
      </w:pPr>
      <w:r w:rsidRPr="00115681">
        <w:t>The Commission is vested with jurisdiction over these matte</w:t>
      </w:r>
      <w:r>
        <w:t xml:space="preserve">rs through several provisions of the </w:t>
      </w:r>
      <w:r w:rsidRPr="00115681">
        <w:t>Florida Statutes</w:t>
      </w:r>
      <w:r w:rsidR="00B5755E">
        <w:t xml:space="preserve"> (F.S.)</w:t>
      </w:r>
      <w:r w:rsidRPr="00115681">
        <w:t>, includi</w:t>
      </w:r>
      <w:r>
        <w:t>ng S</w:t>
      </w:r>
      <w:r w:rsidRPr="00115681">
        <w:t xml:space="preserve">ections </w:t>
      </w:r>
      <w:r w:rsidRPr="007E013B">
        <w:t>350.11</w:t>
      </w:r>
      <w:r>
        <w:t xml:space="preserve">5, </w:t>
      </w:r>
      <w:r w:rsidRPr="00115681">
        <w:t xml:space="preserve">366.05, </w:t>
      </w:r>
      <w:r>
        <w:t>and 366.06, F.S.</w:t>
      </w:r>
    </w:p>
    <w:p w14:paraId="706EDBDD" w14:textId="77777777" w:rsidR="0068481F" w:rsidRDefault="0068481F">
      <w:pPr>
        <w:pStyle w:val="BodyText"/>
      </w:pPr>
    </w:p>
    <w:p w14:paraId="67F591B0" w14:textId="77777777" w:rsidR="007C0528" w:rsidRDefault="007C0528" w:rsidP="0068481F"/>
    <w:bookmarkEnd w:id="12"/>
    <w:p w14:paraId="52E2F610"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68069795" w14:textId="77777777" w:rsidR="007C0528" w:rsidRDefault="007C0528">
      <w:pPr>
        <w:pStyle w:val="RecommendationMajorSectionHeading"/>
      </w:pPr>
      <w:bookmarkStart w:id="16" w:name="DiscussionOfIssues"/>
      <w:r>
        <w:t>Discussion of Issues</w:t>
      </w:r>
    </w:p>
    <w:bookmarkEnd w:id="16"/>
    <w:p w14:paraId="5FF20BD0" w14:textId="108809C6" w:rsidR="00C10012" w:rsidRDefault="00C10012">
      <w:pPr>
        <w:pStyle w:val="IssueHeading"/>
        <w:rPr>
          <w:vanish/>
          <w:specVanish/>
        </w:rPr>
      </w:pPr>
      <w:r w:rsidRPr="004C3641">
        <w:t xml:space="preserve">Issue </w:t>
      </w:r>
      <w:r w:rsidR="00AC1B92">
        <w:fldChar w:fldCharType="begin"/>
      </w:r>
      <w:r w:rsidR="00AC1B92">
        <w:instrText xml:space="preserve"> SEQ Issue \* MERGEFORMAT </w:instrText>
      </w:r>
      <w:r w:rsidR="00AC1B92">
        <w:fldChar w:fldCharType="separate"/>
      </w:r>
      <w:r w:rsidR="00C80551">
        <w:rPr>
          <w:noProof/>
        </w:rPr>
        <w:t>1</w:t>
      </w:r>
      <w:r w:rsidR="00AC1B9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80551">
        <w:rPr>
          <w:noProof/>
        </w:rPr>
        <w:instrText>1</w:instrText>
      </w:r>
      <w:r>
        <w:fldChar w:fldCharType="end"/>
      </w:r>
      <w:r>
        <w:tab/>
        <w:instrText xml:space="preserve">(Smith )" \l 1 </w:instrText>
      </w:r>
      <w:r>
        <w:fldChar w:fldCharType="end"/>
      </w:r>
      <w:r>
        <w:t> </w:t>
      </w:r>
    </w:p>
    <w:p w14:paraId="63BC1ED9" w14:textId="77777777" w:rsidR="00C10012" w:rsidRDefault="00C10012">
      <w:pPr>
        <w:pStyle w:val="BodyText"/>
      </w:pPr>
      <w:r>
        <w:t> Should currently prescribed depreciation rates for Sebring Gas System be revised?</w:t>
      </w:r>
    </w:p>
    <w:p w14:paraId="42F86770" w14:textId="77777777" w:rsidR="00C10012" w:rsidRPr="004C3641" w:rsidRDefault="00C10012">
      <w:pPr>
        <w:pStyle w:val="IssueSubsectionHeading"/>
        <w:rPr>
          <w:vanish/>
          <w:specVanish/>
        </w:rPr>
      </w:pPr>
      <w:r w:rsidRPr="004C3641">
        <w:t>Recommendation: </w:t>
      </w:r>
    </w:p>
    <w:p w14:paraId="4EA51026" w14:textId="77777777" w:rsidR="00C10012" w:rsidRDefault="00C10012">
      <w:pPr>
        <w:pStyle w:val="BodyText"/>
      </w:pPr>
      <w:r>
        <w:t xml:space="preserve"> Yes. The review of </w:t>
      </w:r>
      <w:r w:rsidRPr="003E59B0">
        <w:t>Sebring’s</w:t>
      </w:r>
      <w:r>
        <w:t xml:space="preserve"> plant depreciation information indicates a need for revising</w:t>
      </w:r>
      <w:r w:rsidRPr="003E59B0">
        <w:t xml:space="preserve"> </w:t>
      </w:r>
      <w:r w:rsidR="001463A5">
        <w:t>the C</w:t>
      </w:r>
      <w:r>
        <w:t>ompany</w:t>
      </w:r>
      <w:r w:rsidRPr="003E59B0">
        <w:t>’s</w:t>
      </w:r>
      <w:r>
        <w:t xml:space="preserve"> currently prescribed depreciation rates. (Smith)</w:t>
      </w:r>
    </w:p>
    <w:p w14:paraId="2D696131" w14:textId="77777777" w:rsidR="00C10012" w:rsidRPr="004C3641" w:rsidRDefault="00C10012">
      <w:pPr>
        <w:pStyle w:val="IssueSubsectionHeading"/>
        <w:rPr>
          <w:vanish/>
          <w:specVanish/>
        </w:rPr>
      </w:pPr>
      <w:r w:rsidRPr="004C3641">
        <w:t>Staff Analysis: </w:t>
      </w:r>
    </w:p>
    <w:p w14:paraId="3EC2510B" w14:textId="77777777" w:rsidR="00C10012" w:rsidRDefault="00C10012" w:rsidP="00C10012">
      <w:pPr>
        <w:pStyle w:val="BodyText"/>
      </w:pPr>
      <w:r>
        <w:t> </w:t>
      </w:r>
      <w:r w:rsidRPr="00BF0D8C">
        <w:t xml:space="preserve">Sebring’s last depreciation </w:t>
      </w:r>
      <w:r w:rsidR="006E6F0C">
        <w:t>study</w:t>
      </w:r>
      <w:r w:rsidRPr="00BF0D8C">
        <w:t xml:space="preserve"> was </w:t>
      </w:r>
      <w:r w:rsidR="006E6F0C">
        <w:t>filed</w:t>
      </w:r>
      <w:r w:rsidRPr="00BF0D8C">
        <w:t xml:space="preserve"> on July 2</w:t>
      </w:r>
      <w:r w:rsidR="00BF0D8C" w:rsidRPr="00BF0D8C">
        <w:t>0</w:t>
      </w:r>
      <w:r w:rsidRPr="00BF0D8C">
        <w:t>, 20</w:t>
      </w:r>
      <w:r w:rsidR="00BF0D8C" w:rsidRPr="00BF0D8C">
        <w:t>16</w:t>
      </w:r>
      <w:r w:rsidRPr="00BF0D8C">
        <w:t>. By Order No. PSC-1</w:t>
      </w:r>
      <w:r w:rsidR="00BF0D8C" w:rsidRPr="00BF0D8C">
        <w:t>6</w:t>
      </w:r>
      <w:r w:rsidRPr="00BF0D8C">
        <w:t>-0</w:t>
      </w:r>
      <w:r w:rsidR="00BF0D8C" w:rsidRPr="00BF0D8C">
        <w:t>57</w:t>
      </w:r>
      <w:r w:rsidRPr="00BF0D8C">
        <w:t xml:space="preserve">4-PAA-GU, the Commission approved revised depreciation rates that </w:t>
      </w:r>
      <w:r w:rsidR="00BF0D8C" w:rsidRPr="00BF0D8C">
        <w:t>became effective January 1, 2017</w:t>
      </w:r>
      <w:r w:rsidRPr="00BF0D8C">
        <w:t>.</w:t>
      </w:r>
      <w:r w:rsidRPr="00BF0D8C">
        <w:rPr>
          <w:rStyle w:val="FootnoteReference"/>
        </w:rPr>
        <w:footnoteReference w:id="2"/>
      </w:r>
      <w:r>
        <w:t xml:space="preserve">  </w:t>
      </w:r>
    </w:p>
    <w:p w14:paraId="3FABEE56" w14:textId="77777777" w:rsidR="00C10012" w:rsidRDefault="00C10012" w:rsidP="00C10012">
      <w:pPr>
        <w:pStyle w:val="BodyText"/>
      </w:pPr>
      <w:r w:rsidRPr="00CE7092">
        <w:t>Rule 25-7.045, F.A.C.</w:t>
      </w:r>
      <w:r w:rsidR="00B5755E">
        <w:t>,</w:t>
      </w:r>
      <w:r w:rsidRPr="00CE7092">
        <w:t xml:space="preserve"> requires natural gas companies to file a comprehensive depreciation study at least once every five years from the submission date of the previousl</w:t>
      </w:r>
      <w:r w:rsidR="001463A5">
        <w:t>y filed study</w:t>
      </w:r>
      <w:r w:rsidR="0028676B">
        <w:t xml:space="preserve"> or pursuant to Commission order</w:t>
      </w:r>
      <w:r w:rsidR="001463A5">
        <w:t>. A review of the C</w:t>
      </w:r>
      <w:r w:rsidRPr="00CE7092">
        <w:t>ompany’s plant activity and data indicates the need for revising depreciation rates. Staff’s</w:t>
      </w:r>
      <w:r>
        <w:t xml:space="preserve"> recommended depreciation components and rates are discussed in Issue 3 and sho</w:t>
      </w:r>
      <w:r w:rsidRPr="006015A8">
        <w:t>wn on Attachments A</w:t>
      </w:r>
      <w:r w:rsidR="00BF0D8C">
        <w:t>, B, and C</w:t>
      </w:r>
      <w:r>
        <w:t>.</w:t>
      </w:r>
    </w:p>
    <w:p w14:paraId="41E31CD4" w14:textId="137CCD45" w:rsidR="00C10012" w:rsidRDefault="00C10012">
      <w:pPr>
        <w:pStyle w:val="IssueHeading"/>
        <w:rPr>
          <w:vanish/>
          <w:specVanish/>
        </w:rPr>
      </w:pPr>
      <w:r w:rsidRPr="004C3641">
        <w:rPr>
          <w:b w:val="0"/>
          <w:i w:val="0"/>
        </w:rPr>
        <w:br w:type="page"/>
      </w:r>
      <w:r w:rsidRPr="004C3641">
        <w:t xml:space="preserve">Issue </w:t>
      </w:r>
      <w:r w:rsidR="00AC1B92">
        <w:fldChar w:fldCharType="begin"/>
      </w:r>
      <w:r w:rsidR="00AC1B92">
        <w:instrText xml:space="preserve"> SEQ Issue \* MERGEFORMAT </w:instrText>
      </w:r>
      <w:r w:rsidR="00AC1B92">
        <w:fldChar w:fldCharType="separate"/>
      </w:r>
      <w:r w:rsidR="00C80551">
        <w:rPr>
          <w:noProof/>
        </w:rPr>
        <w:t>2</w:t>
      </w:r>
      <w:r w:rsidR="00AC1B9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80551">
        <w:rPr>
          <w:noProof/>
        </w:rPr>
        <w:instrText>2</w:instrText>
      </w:r>
      <w:r>
        <w:fldChar w:fldCharType="end"/>
      </w:r>
      <w:r>
        <w:tab/>
        <w:instrText xml:space="preserve">(Smith)" \l 1 </w:instrText>
      </w:r>
      <w:r>
        <w:fldChar w:fldCharType="end"/>
      </w:r>
      <w:r>
        <w:t> </w:t>
      </w:r>
    </w:p>
    <w:p w14:paraId="40D5C4B6" w14:textId="77777777" w:rsidR="00C10012" w:rsidRDefault="00C10012">
      <w:pPr>
        <w:pStyle w:val="BodyText"/>
      </w:pPr>
      <w:r>
        <w:t> What should be the implementation date for newly proposed depreciation rates?</w:t>
      </w:r>
    </w:p>
    <w:p w14:paraId="63E84FD5" w14:textId="77777777" w:rsidR="00C10012" w:rsidRPr="004C3641" w:rsidRDefault="00C10012">
      <w:pPr>
        <w:pStyle w:val="IssueSubsectionHeading"/>
        <w:rPr>
          <w:vanish/>
          <w:specVanish/>
        </w:rPr>
      </w:pPr>
      <w:r w:rsidRPr="004C3641">
        <w:t>Recommendation: </w:t>
      </w:r>
    </w:p>
    <w:p w14:paraId="624B96C9" w14:textId="77777777" w:rsidR="00C10012" w:rsidRDefault="00C10012">
      <w:pPr>
        <w:pStyle w:val="BodyText"/>
      </w:pPr>
      <w:r>
        <w:t> Staff recommends January 1, 202</w:t>
      </w:r>
      <w:r w:rsidR="00A14CF7">
        <w:t>2</w:t>
      </w:r>
      <w:r>
        <w:t xml:space="preserve">, for implementing </w:t>
      </w:r>
      <w:r w:rsidRPr="004D0807">
        <w:t>newly proposed depreciation rates</w:t>
      </w:r>
      <w:r>
        <w:t xml:space="preserve"> as shown on Attachments A</w:t>
      </w:r>
      <w:r w:rsidR="00A14CF7">
        <w:t>, B,</w:t>
      </w:r>
      <w:r>
        <w:t xml:space="preserve"> and </w:t>
      </w:r>
      <w:r w:rsidR="00A14CF7">
        <w:t>C</w:t>
      </w:r>
      <w:r>
        <w:t xml:space="preserve"> to this recommendation. (Smith)</w:t>
      </w:r>
    </w:p>
    <w:p w14:paraId="08E49941" w14:textId="77777777" w:rsidR="00C10012" w:rsidRPr="004C3641" w:rsidRDefault="00C10012">
      <w:pPr>
        <w:pStyle w:val="IssueSubsectionHeading"/>
        <w:rPr>
          <w:vanish/>
          <w:specVanish/>
        </w:rPr>
      </w:pPr>
      <w:r w:rsidRPr="004C3641">
        <w:t>Staff Analysis: </w:t>
      </w:r>
    </w:p>
    <w:p w14:paraId="44D80C3C" w14:textId="77777777" w:rsidR="00C10012" w:rsidRDefault="00C10012">
      <w:pPr>
        <w:pStyle w:val="BodyText"/>
      </w:pPr>
      <w:r>
        <w:t> Rule 25-7.045, F.A.C., requires that the data submitted in a depreciation study, including plant and reserve balances</w:t>
      </w:r>
      <w:r w:rsidR="001463A5">
        <w:t xml:space="preserve"> or C</w:t>
      </w:r>
      <w:r>
        <w:t>ompany estimates, “shall be brought to the effective date of the proposed rates.” The supporting data and calculations provided by Sebring match an implem</w:t>
      </w:r>
      <w:r w:rsidR="00911D64">
        <w:t>entation date of January 1, 202</w:t>
      </w:r>
      <w:r w:rsidR="00A14CF7">
        <w:t>2</w:t>
      </w:r>
      <w:r>
        <w:t>.</w:t>
      </w:r>
    </w:p>
    <w:p w14:paraId="2F5A276D" w14:textId="68425ED3" w:rsidR="00C344E0" w:rsidRDefault="00C344E0">
      <w:pPr>
        <w:pStyle w:val="IssueHeading"/>
        <w:rPr>
          <w:vanish/>
          <w:specVanish/>
        </w:rPr>
      </w:pPr>
      <w:r w:rsidRPr="004C3641">
        <w:rPr>
          <w:b w:val="0"/>
          <w:i w:val="0"/>
        </w:rPr>
        <w:br w:type="page"/>
      </w:r>
      <w:r w:rsidRPr="004C3641">
        <w:t xml:space="preserve">Issue </w:t>
      </w:r>
      <w:r w:rsidR="00AC1B92">
        <w:fldChar w:fldCharType="begin"/>
      </w:r>
      <w:r w:rsidR="00AC1B92">
        <w:instrText xml:space="preserve"> SEQ Issue \* MERGEFORMAT </w:instrText>
      </w:r>
      <w:r w:rsidR="00AC1B92">
        <w:fldChar w:fldCharType="separate"/>
      </w:r>
      <w:r w:rsidR="00C80551">
        <w:rPr>
          <w:noProof/>
        </w:rPr>
        <w:t>3</w:t>
      </w:r>
      <w:r w:rsidR="00AC1B9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80551">
        <w:rPr>
          <w:noProof/>
        </w:rPr>
        <w:instrText>3</w:instrText>
      </w:r>
      <w:r>
        <w:fldChar w:fldCharType="end"/>
      </w:r>
      <w:r>
        <w:tab/>
        <w:instrText xml:space="preserve">(Smith)" \l 1 </w:instrText>
      </w:r>
      <w:r>
        <w:fldChar w:fldCharType="end"/>
      </w:r>
      <w:r>
        <w:t> </w:t>
      </w:r>
    </w:p>
    <w:p w14:paraId="30A73AF8" w14:textId="77777777" w:rsidR="00C344E0" w:rsidRDefault="00C344E0">
      <w:pPr>
        <w:pStyle w:val="BodyText"/>
      </w:pPr>
      <w:r>
        <w:t> What are the appropriate depreciation parameters and resulting rates?</w:t>
      </w:r>
    </w:p>
    <w:p w14:paraId="1A8E02AE" w14:textId="77777777" w:rsidR="00C344E0" w:rsidRPr="00A14CF7" w:rsidRDefault="00C344E0">
      <w:pPr>
        <w:pStyle w:val="IssueSubsectionHeading"/>
        <w:rPr>
          <w:vanish/>
          <w:specVanish/>
        </w:rPr>
      </w:pPr>
      <w:r w:rsidRPr="004C3641">
        <w:t>Recommendation</w:t>
      </w:r>
      <w:r w:rsidRPr="00A14CF7">
        <w:t>: </w:t>
      </w:r>
    </w:p>
    <w:p w14:paraId="550984BB" w14:textId="34D542FF" w:rsidR="00C344E0" w:rsidRPr="00A14CF7" w:rsidRDefault="00C344E0">
      <w:pPr>
        <w:pStyle w:val="BodyText"/>
      </w:pPr>
      <w:r w:rsidRPr="00A14CF7">
        <w:t> Staff recommends the Commission approve the lives, reserve percentages, net salvage percentages, and resulting remaining life depreciation rates for Sebring that are shown on Attachment</w:t>
      </w:r>
      <w:r w:rsidR="00A14CF7" w:rsidRPr="00A14CF7">
        <w:t>s</w:t>
      </w:r>
      <w:r w:rsidRPr="00A14CF7">
        <w:t xml:space="preserve"> A</w:t>
      </w:r>
      <w:r w:rsidR="00A14CF7" w:rsidRPr="00A14CF7">
        <w:t xml:space="preserve"> and C</w:t>
      </w:r>
      <w:r w:rsidRPr="00A14CF7">
        <w:t xml:space="preserve">. As shown on Attachment B, the corresponding </w:t>
      </w:r>
      <w:r w:rsidRPr="00FF04EC">
        <w:t>depreciation expense effect of staf</w:t>
      </w:r>
      <w:r w:rsidR="001C04D5">
        <w:t>f’s rate recommendations is a</w:t>
      </w:r>
      <w:r w:rsidR="00D818AF">
        <w:t>n</w:t>
      </w:r>
      <w:r w:rsidR="001C04D5">
        <w:t xml:space="preserve"> in</w:t>
      </w:r>
      <w:r w:rsidRPr="00FF04EC">
        <w:t>crease of $</w:t>
      </w:r>
      <w:r w:rsidR="00FF04EC" w:rsidRPr="00FF04EC">
        <w:t>4</w:t>
      </w:r>
      <w:r w:rsidRPr="00FF04EC">
        <w:t>,</w:t>
      </w:r>
      <w:r w:rsidR="00FF04EC" w:rsidRPr="00FF04EC">
        <w:t>342</w:t>
      </w:r>
      <w:r w:rsidRPr="00FF04EC">
        <w:t xml:space="preserve"> annually, or </w:t>
      </w:r>
      <w:r w:rsidR="00FF04EC" w:rsidRPr="00FF04EC">
        <w:t>1</w:t>
      </w:r>
      <w:r w:rsidR="00A14CF7" w:rsidRPr="00FF04EC">
        <w:t>.</w:t>
      </w:r>
      <w:r w:rsidR="00FF04EC" w:rsidRPr="00FF04EC">
        <w:t>8</w:t>
      </w:r>
      <w:r w:rsidRPr="00FF04EC">
        <w:t xml:space="preserve"> percent, based</w:t>
      </w:r>
      <w:r w:rsidRPr="00A14CF7">
        <w:t xml:space="preserve"> on December 31, 20</w:t>
      </w:r>
      <w:r w:rsidR="00A14CF7" w:rsidRPr="00A14CF7">
        <w:t>2</w:t>
      </w:r>
      <w:r w:rsidRPr="00A14CF7">
        <w:t>1 investments. (Smith)</w:t>
      </w:r>
    </w:p>
    <w:p w14:paraId="6935EAA0" w14:textId="77777777" w:rsidR="00C344E0" w:rsidRPr="00A14CF7" w:rsidRDefault="00C344E0">
      <w:pPr>
        <w:pStyle w:val="IssueSubsectionHeading"/>
        <w:rPr>
          <w:vanish/>
          <w:specVanish/>
        </w:rPr>
      </w:pPr>
      <w:r w:rsidRPr="00A14CF7">
        <w:t>Staff Analysis: </w:t>
      </w:r>
    </w:p>
    <w:p w14:paraId="5476DD28" w14:textId="77777777" w:rsidR="00C344E0" w:rsidRPr="00C344E0" w:rsidRDefault="00C344E0" w:rsidP="00C344E0">
      <w:pPr>
        <w:pStyle w:val="BodyText"/>
        <w:rPr>
          <w:highlight w:val="yellow"/>
        </w:rPr>
      </w:pPr>
      <w:r w:rsidRPr="00A14CF7">
        <w:t> Staff’s recommendations are the result of a comprehensive review of Sebring’s plant depreciation data filed in this docket. Attachment</w:t>
      </w:r>
      <w:r w:rsidR="008E159A">
        <w:t>s</w:t>
      </w:r>
      <w:r w:rsidRPr="00A14CF7">
        <w:t xml:space="preserve"> A </w:t>
      </w:r>
      <w:r w:rsidR="00A14CF7" w:rsidRPr="00A14CF7">
        <w:t xml:space="preserve">and C </w:t>
      </w:r>
      <w:r w:rsidRPr="00A14CF7">
        <w:t>to this recommendation show a comparison of certain currently-approved depreciation parameters and rates to those staff is recommending become effective January 1, 20</w:t>
      </w:r>
      <w:r w:rsidR="00A14CF7" w:rsidRPr="00A14CF7">
        <w:t>22</w:t>
      </w:r>
      <w:r w:rsidRPr="00A14CF7">
        <w:t xml:space="preserve"> (Issue 2</w:t>
      </w:r>
      <w:r w:rsidR="001463A5">
        <w:t>). Staff and the C</w:t>
      </w:r>
      <w:r w:rsidRPr="00FF04EC">
        <w:t>ompany are in agreement on all proposed depreciation parameters and resulting rates.</w:t>
      </w:r>
      <w:r w:rsidRPr="00FF04EC">
        <w:rPr>
          <w:rStyle w:val="FootnoteReference"/>
        </w:rPr>
        <w:footnoteReference w:id="3"/>
      </w:r>
      <w:r w:rsidRPr="00FF04EC">
        <w:t xml:space="preserve"> Displayed on Attachment B is a comparison of depreciation expenses between currently-</w:t>
      </w:r>
      <w:r w:rsidRPr="00A14CF7">
        <w:t>approved and proposed rates based on December 31, 20</w:t>
      </w:r>
      <w:r w:rsidR="00A14CF7" w:rsidRPr="00A14CF7">
        <w:t>2</w:t>
      </w:r>
      <w:r w:rsidRPr="00A14CF7">
        <w:t>1 investments.</w:t>
      </w:r>
      <w:r w:rsidRPr="00A14CF7">
        <w:tab/>
      </w:r>
    </w:p>
    <w:p w14:paraId="6F0F29FC" w14:textId="77777777" w:rsidR="00C344E0" w:rsidRPr="00FF04EC" w:rsidRDefault="00C344E0" w:rsidP="00C344E0">
      <w:pPr>
        <w:pStyle w:val="BodyText"/>
      </w:pPr>
      <w:r w:rsidRPr="00FF04EC">
        <w:t xml:space="preserve">The </w:t>
      </w:r>
      <w:r w:rsidR="006E6F0C">
        <w:t>C</w:t>
      </w:r>
      <w:r w:rsidRPr="00FF04EC">
        <w:t>ompany provided plant addition and retirement data spanning 201</w:t>
      </w:r>
      <w:r w:rsidR="00A14CF7" w:rsidRPr="00FF04EC">
        <w:t>7</w:t>
      </w:r>
      <w:r w:rsidRPr="00FF04EC">
        <w:t>-20</w:t>
      </w:r>
      <w:r w:rsidR="00A14CF7" w:rsidRPr="00FF04EC">
        <w:t>2</w:t>
      </w:r>
      <w:r w:rsidRPr="00FF04EC">
        <w:t>1 (20</w:t>
      </w:r>
      <w:r w:rsidR="00A14CF7" w:rsidRPr="00FF04EC">
        <w:t>2</w:t>
      </w:r>
      <w:r w:rsidRPr="00FF04EC">
        <w:t>1 projected), proposed net salvage values, proposed average service lives, and proposed Iowa-type survivor curves.</w:t>
      </w:r>
      <w:r w:rsidRPr="00FF04EC">
        <w:rPr>
          <w:rStyle w:val="FootnoteReference"/>
        </w:rPr>
        <w:footnoteReference w:id="4"/>
      </w:r>
      <w:r w:rsidRPr="00FF04EC">
        <w:t xml:space="preserve"> With this information, staff determined the average age of investments on an account-by-account basis, then applied </w:t>
      </w:r>
      <w:r w:rsidR="00E84EA2" w:rsidRPr="00FF04EC">
        <w:t>the results</w:t>
      </w:r>
      <w:r w:rsidRPr="00FF04EC">
        <w:t xml:space="preserve"> to Sebring’s proposed curve/life combinations for determining account-specific average remaining lives. Sebring’s proposed account-specific average service lives are unchanged from its prior study</w:t>
      </w:r>
      <w:r w:rsidR="008D425F">
        <w:t>.</w:t>
      </w:r>
    </w:p>
    <w:p w14:paraId="33CA9C50" w14:textId="77777777" w:rsidR="00C344E0" w:rsidRPr="00C242A5" w:rsidRDefault="00C344E0" w:rsidP="00C344E0">
      <w:pPr>
        <w:pStyle w:val="BodyText"/>
        <w:ind w:firstLine="720"/>
        <w:rPr>
          <w:rFonts w:ascii="Arial" w:hAnsi="Arial" w:cs="Arial"/>
          <w:b/>
          <w:i/>
        </w:rPr>
      </w:pPr>
      <w:r w:rsidRPr="00C242A5">
        <w:rPr>
          <w:rFonts w:ascii="Arial" w:hAnsi="Arial" w:cs="Arial"/>
          <w:b/>
          <w:i/>
        </w:rPr>
        <w:t>Plant Additions</w:t>
      </w:r>
    </w:p>
    <w:p w14:paraId="7EDB74F6" w14:textId="77777777" w:rsidR="00C344E0" w:rsidRPr="0037618D" w:rsidRDefault="00C344E0" w:rsidP="00C344E0">
      <w:pPr>
        <w:pStyle w:val="BodyText"/>
      </w:pPr>
      <w:r w:rsidRPr="00923031">
        <w:t xml:space="preserve">Sebring’s total plant investment </w:t>
      </w:r>
      <w:r w:rsidR="00112015" w:rsidRPr="00923031">
        <w:t xml:space="preserve">experienced moderate </w:t>
      </w:r>
      <w:r w:rsidRPr="00923031">
        <w:t>grow</w:t>
      </w:r>
      <w:r w:rsidR="00112015" w:rsidRPr="00923031">
        <w:t>th</w:t>
      </w:r>
      <w:r w:rsidRPr="00923031">
        <w:t xml:space="preserve"> over the </w:t>
      </w:r>
      <w:r w:rsidR="006465AC">
        <w:t xml:space="preserve">current </w:t>
      </w:r>
      <w:r w:rsidRPr="00923031">
        <w:t xml:space="preserve">study period. </w:t>
      </w:r>
      <w:r w:rsidR="006465AC">
        <w:t xml:space="preserve">In its last depreciation study filing, the Company experienced substantial </w:t>
      </w:r>
      <w:r w:rsidR="00684DE2">
        <w:t xml:space="preserve">growth (almost 89 percent) mainly due to initiating gas service to two state correctional institutes </w:t>
      </w:r>
      <w:r w:rsidR="005D0729">
        <w:t xml:space="preserve">in Hardee and Desoto Counties. </w:t>
      </w:r>
      <w:r w:rsidR="00684DE2">
        <w:t>The Company stated in 2016 that it did not foresee similar levels of investment growth and believed that its system would revert to more typical growth patterns for this study period.</w:t>
      </w:r>
      <w:r w:rsidR="00684DE2">
        <w:rPr>
          <w:rStyle w:val="FootnoteReference"/>
        </w:rPr>
        <w:footnoteReference w:id="5"/>
      </w:r>
      <w:r w:rsidR="00684DE2">
        <w:t xml:space="preserve"> In keeping with the Company’s expectation, d</w:t>
      </w:r>
      <w:r w:rsidRPr="00923031">
        <w:t xml:space="preserve">uring </w:t>
      </w:r>
      <w:r w:rsidR="00E84EA2" w:rsidRPr="00923031">
        <w:t>the 2017</w:t>
      </w:r>
      <w:r w:rsidRPr="00923031">
        <w:t>-20</w:t>
      </w:r>
      <w:r w:rsidR="00112015" w:rsidRPr="00923031">
        <w:t>2</w:t>
      </w:r>
      <w:r w:rsidRPr="00923031">
        <w:t>1 period (20</w:t>
      </w:r>
      <w:r w:rsidR="00112015" w:rsidRPr="00923031">
        <w:t>2</w:t>
      </w:r>
      <w:r w:rsidR="001463A5">
        <w:t>1 projected), the C</w:t>
      </w:r>
      <w:r w:rsidRPr="00923031">
        <w:t xml:space="preserve">ompany’s system grew by approximately </w:t>
      </w:r>
      <w:r w:rsidR="00C242A5">
        <w:t>22</w:t>
      </w:r>
      <w:r w:rsidR="00112015" w:rsidRPr="00923031">
        <w:t xml:space="preserve"> </w:t>
      </w:r>
      <w:r w:rsidRPr="00923031">
        <w:t>percent, or from approximately $</w:t>
      </w:r>
      <w:r w:rsidR="00923031" w:rsidRPr="00923031">
        <w:t>5</w:t>
      </w:r>
      <w:r w:rsidR="00112015" w:rsidRPr="00923031">
        <w:t>.</w:t>
      </w:r>
      <w:r w:rsidR="00C242A5">
        <w:t>8</w:t>
      </w:r>
      <w:r w:rsidR="00923031" w:rsidRPr="00923031">
        <w:t xml:space="preserve"> million to approximately $7</w:t>
      </w:r>
      <w:r w:rsidRPr="00923031">
        <w:t>.</w:t>
      </w:r>
      <w:r w:rsidR="00923031" w:rsidRPr="00923031">
        <w:t>1</w:t>
      </w:r>
      <w:r w:rsidRPr="00923031">
        <w:t xml:space="preserve"> million. </w:t>
      </w:r>
      <w:r w:rsidR="00C242A5">
        <w:t>Over h</w:t>
      </w:r>
      <w:r w:rsidR="00923031" w:rsidRPr="0037618D">
        <w:t xml:space="preserve">alf </w:t>
      </w:r>
      <w:r w:rsidRPr="0037618D">
        <w:t xml:space="preserve">of this system growth is attributable to </w:t>
      </w:r>
      <w:r w:rsidR="00923031" w:rsidRPr="0037618D">
        <w:t xml:space="preserve">the additions within </w:t>
      </w:r>
      <w:r w:rsidRPr="0037618D">
        <w:t>Account 37</w:t>
      </w:r>
      <w:r w:rsidR="0037618D" w:rsidRPr="0037618D">
        <w:t>6</w:t>
      </w:r>
      <w:r w:rsidRPr="0037618D">
        <w:t>.</w:t>
      </w:r>
      <w:r w:rsidR="0037618D" w:rsidRPr="0037618D">
        <w:t>2 – Mains</w:t>
      </w:r>
      <w:r w:rsidR="00E84EA2">
        <w:t xml:space="preserve"> – </w:t>
      </w:r>
      <w:r w:rsidR="0037618D" w:rsidRPr="0037618D">
        <w:t xml:space="preserve">Plastic and Account 380.2 – </w:t>
      </w:r>
      <w:r w:rsidR="00E84EA2">
        <w:t>Services – P</w:t>
      </w:r>
      <w:r w:rsidR="0037618D" w:rsidRPr="0037618D">
        <w:t>lastic</w:t>
      </w:r>
      <w:r w:rsidRPr="0037618D">
        <w:t xml:space="preserve">. </w:t>
      </w:r>
    </w:p>
    <w:p w14:paraId="442301A5" w14:textId="77777777" w:rsidR="00C344E0" w:rsidRPr="00C242A5" w:rsidRDefault="00C344E0" w:rsidP="00C344E0">
      <w:pPr>
        <w:pStyle w:val="BodyText"/>
        <w:ind w:firstLine="720"/>
        <w:rPr>
          <w:rFonts w:ascii="Arial" w:hAnsi="Arial" w:cs="Arial"/>
          <w:b/>
          <w:i/>
        </w:rPr>
      </w:pPr>
      <w:r w:rsidRPr="00C242A5">
        <w:rPr>
          <w:rFonts w:ascii="Arial" w:hAnsi="Arial" w:cs="Arial"/>
          <w:b/>
          <w:i/>
        </w:rPr>
        <w:t>Plant Retirements</w:t>
      </w:r>
    </w:p>
    <w:p w14:paraId="0E02EF96" w14:textId="77777777" w:rsidR="008E159A" w:rsidRDefault="00C344E0" w:rsidP="00C344E0">
      <w:pPr>
        <w:pStyle w:val="BodyText"/>
        <w:rPr>
          <w:highlight w:val="yellow"/>
        </w:rPr>
      </w:pPr>
      <w:r w:rsidRPr="008E159A">
        <w:t xml:space="preserve">The </w:t>
      </w:r>
      <w:r w:rsidR="001463A5">
        <w:t>C</w:t>
      </w:r>
      <w:r w:rsidRPr="008E159A">
        <w:t>ompany’s plant has experienced minimal retirement activity over the study period. Expressed as a percentage of study period additions</w:t>
      </w:r>
      <w:r w:rsidR="008E159A" w:rsidRPr="008E159A">
        <w:t>, plant retirements total approximately three</w:t>
      </w:r>
      <w:r w:rsidRPr="008E159A">
        <w:t xml:space="preserve"> percent from 201</w:t>
      </w:r>
      <w:r w:rsidR="00D710C1" w:rsidRPr="008E159A">
        <w:t>7</w:t>
      </w:r>
      <w:r w:rsidRPr="008E159A">
        <w:t>-20</w:t>
      </w:r>
      <w:r w:rsidR="00D710C1" w:rsidRPr="008E159A">
        <w:t>2</w:t>
      </w:r>
      <w:r w:rsidR="008E159A" w:rsidRPr="008E159A">
        <w:t>1.</w:t>
      </w:r>
      <w:r w:rsidR="008D425F">
        <w:rPr>
          <w:rStyle w:val="FootnoteReference"/>
        </w:rPr>
        <w:footnoteReference w:id="6"/>
      </w:r>
      <w:r w:rsidR="008E159A" w:rsidRPr="008E159A">
        <w:t xml:space="preserve"> </w:t>
      </w:r>
    </w:p>
    <w:p w14:paraId="21ADFC66" w14:textId="77777777" w:rsidR="00C344E0" w:rsidRPr="008E159A" w:rsidRDefault="00C344E0" w:rsidP="00C344E0">
      <w:pPr>
        <w:pStyle w:val="BodyText"/>
        <w:ind w:firstLine="720"/>
        <w:rPr>
          <w:rFonts w:ascii="Arial" w:hAnsi="Arial" w:cs="Arial"/>
          <w:b/>
          <w:i/>
        </w:rPr>
      </w:pPr>
      <w:r w:rsidRPr="008E159A">
        <w:rPr>
          <w:rFonts w:ascii="Arial" w:hAnsi="Arial" w:cs="Arial"/>
          <w:b/>
          <w:i/>
        </w:rPr>
        <w:t>Average Service and Remaining Lives</w:t>
      </w:r>
    </w:p>
    <w:p w14:paraId="2AB8A3A8" w14:textId="4BF15E84" w:rsidR="00C344E0" w:rsidRPr="008E159A" w:rsidRDefault="00C344E0" w:rsidP="00C344E0">
      <w:pPr>
        <w:pStyle w:val="BodyText"/>
      </w:pPr>
      <w:r w:rsidRPr="008E159A">
        <w:t xml:space="preserve">Neither </w:t>
      </w:r>
      <w:r w:rsidR="002A0E89">
        <w:t>Sebring</w:t>
      </w:r>
      <w:r w:rsidRPr="008E159A">
        <w:t xml:space="preserve">, nor staff, propose any changes to </w:t>
      </w:r>
      <w:r w:rsidR="002A0E89">
        <w:t>the Company</w:t>
      </w:r>
      <w:r w:rsidRPr="008E159A">
        <w:t xml:space="preserve">’s currently-authorized, account-specific, average service lives. </w:t>
      </w:r>
      <w:r w:rsidR="002A0E89">
        <w:t xml:space="preserve">Consistent with </w:t>
      </w:r>
      <w:r w:rsidR="00E47287">
        <w:t>its</w:t>
      </w:r>
      <w:r w:rsidR="002A0E89">
        <w:t xml:space="preserve"> review of the Company’s prior depreciation study, and as mentioned above, </w:t>
      </w:r>
      <w:r w:rsidR="002A0E89" w:rsidRPr="008E159A">
        <w:t xml:space="preserve">staff computed account-specific average </w:t>
      </w:r>
      <w:r w:rsidR="002A0E89" w:rsidRPr="00C242A5">
        <w:t>remaining lives (shown on Attachment A)</w:t>
      </w:r>
      <w:r w:rsidR="002A0E89" w:rsidRPr="008E159A">
        <w:t xml:space="preserve"> by first aging Sebring’s projected plant investments at December 31, 20</w:t>
      </w:r>
      <w:r w:rsidR="002A0E89">
        <w:t>2</w:t>
      </w:r>
      <w:r w:rsidR="002A0E89" w:rsidRPr="008E159A">
        <w:t xml:space="preserve">1, then applying the results to the </w:t>
      </w:r>
      <w:r w:rsidR="001463A5">
        <w:t>C</w:t>
      </w:r>
      <w:r w:rsidR="002A0E89" w:rsidRPr="008E159A">
        <w:t>ompany’s Iowa Curve and service life selections on an account-by-account basis.</w:t>
      </w:r>
      <w:r w:rsidR="00206896">
        <w:t xml:space="preserve"> From this review, staff determined that no changes were necessar</w:t>
      </w:r>
      <w:r w:rsidR="005D0729">
        <w:t xml:space="preserve">y to the average service lives. </w:t>
      </w:r>
      <w:r w:rsidR="002A0E89">
        <w:t>However, s</w:t>
      </w:r>
      <w:r w:rsidRPr="008E159A">
        <w:t xml:space="preserve">taff does recommend the </w:t>
      </w:r>
      <w:r w:rsidR="002A0E89">
        <w:t>C</w:t>
      </w:r>
      <w:r w:rsidRPr="008E159A">
        <w:t xml:space="preserve">ompany closely monitor the life characteristics of all its investments for evaluating if any average service life adjustments are warranted as part of future depreciation studies. </w:t>
      </w:r>
    </w:p>
    <w:p w14:paraId="086B2C44" w14:textId="77777777" w:rsidR="00C344E0" w:rsidRPr="00C242A5" w:rsidRDefault="00C344E0" w:rsidP="00C344E0">
      <w:pPr>
        <w:pStyle w:val="BodyText"/>
        <w:ind w:firstLine="720"/>
        <w:rPr>
          <w:rFonts w:ascii="Arial" w:hAnsi="Arial" w:cs="Arial"/>
          <w:b/>
          <w:i/>
        </w:rPr>
      </w:pPr>
      <w:r w:rsidRPr="00C242A5">
        <w:rPr>
          <w:rFonts w:ascii="Arial" w:hAnsi="Arial" w:cs="Arial"/>
          <w:b/>
          <w:i/>
        </w:rPr>
        <w:t>Net Salvage</w:t>
      </w:r>
    </w:p>
    <w:p w14:paraId="128DE414" w14:textId="44798D2A" w:rsidR="00D65886" w:rsidRPr="00C344E0" w:rsidRDefault="00D65886" w:rsidP="00D65886">
      <w:pPr>
        <w:pStyle w:val="BodyText"/>
        <w:rPr>
          <w:highlight w:val="yellow"/>
        </w:rPr>
      </w:pPr>
      <w:r w:rsidRPr="00F76750">
        <w:t xml:space="preserve">Without experiencing meaningful levels of retirement over a period of time, </w:t>
      </w:r>
      <w:r w:rsidR="001463A5">
        <w:t>C</w:t>
      </w:r>
      <w:r w:rsidRPr="00F76750">
        <w:t>ompany</w:t>
      </w:r>
      <w:r w:rsidR="00E47287">
        <w:t>-</w:t>
      </w:r>
      <w:r w:rsidRPr="00F76750">
        <w:t>specific net salvage investigations</w:t>
      </w:r>
      <w:r w:rsidRPr="00B45D32">
        <w:t xml:space="preserve"> may prove inconclu</w:t>
      </w:r>
      <w:r w:rsidR="001463A5">
        <w:t>sive. Thus, staff compared the C</w:t>
      </w:r>
      <w:r w:rsidRPr="00B45D32">
        <w:t xml:space="preserve">ompany’s currently-authorized/proposed-for-continued-use net salvage levels to those experienced by other natural gas distribution companies. </w:t>
      </w:r>
      <w:r>
        <w:t>With the exception of Account 3</w:t>
      </w:r>
      <w:r w:rsidR="00206896">
        <w:t>9</w:t>
      </w:r>
      <w:r>
        <w:t>2.1 – Transportation</w:t>
      </w:r>
      <w:r w:rsidR="00C242A5">
        <w:t xml:space="preserve"> – Trucks</w:t>
      </w:r>
      <w:r>
        <w:t>, s</w:t>
      </w:r>
      <w:r w:rsidRPr="00B45D32">
        <w:t>taff believes Sebring’s currently-authorized/proposed net salvage values remain in</w:t>
      </w:r>
      <w:r w:rsidR="00206896">
        <w:t xml:space="preserve"> </w:t>
      </w:r>
      <w:r w:rsidRPr="00B45D32">
        <w:t xml:space="preserve">line </w:t>
      </w:r>
      <w:r w:rsidR="00206896">
        <w:t>with</w:t>
      </w:r>
      <w:r w:rsidRPr="00B45D32">
        <w:t xml:space="preserve"> those </w:t>
      </w:r>
      <w:r w:rsidR="00206896">
        <w:t xml:space="preserve">net salvage values </w:t>
      </w:r>
      <w:r w:rsidRPr="00B45D32">
        <w:t xml:space="preserve">currently being estimated by its industry peers and should continue to be used for applicable ratemaking purposes. </w:t>
      </w:r>
    </w:p>
    <w:p w14:paraId="68738FA8" w14:textId="77777777" w:rsidR="00206896" w:rsidRDefault="00983CC6" w:rsidP="00CE101D">
      <w:pPr>
        <w:pStyle w:val="BodyText"/>
      </w:pPr>
      <w:r w:rsidRPr="00983CC6">
        <w:t xml:space="preserve">In its </w:t>
      </w:r>
      <w:r w:rsidR="008E159A" w:rsidRPr="00983CC6">
        <w:t xml:space="preserve">filing, the </w:t>
      </w:r>
      <w:r w:rsidR="00206896">
        <w:t>C</w:t>
      </w:r>
      <w:r w:rsidR="008E159A" w:rsidRPr="00983CC6">
        <w:t>ompany did</w:t>
      </w:r>
      <w:r w:rsidR="00C344E0" w:rsidRPr="00983CC6">
        <w:t xml:space="preserve"> not request any changes to its currently authorized net salvage levels.</w:t>
      </w:r>
      <w:r w:rsidR="00C344E0" w:rsidRPr="00983CC6">
        <w:rPr>
          <w:rStyle w:val="FootnoteReference"/>
        </w:rPr>
        <w:footnoteReference w:id="7"/>
      </w:r>
      <w:r w:rsidR="00C344E0" w:rsidRPr="00983CC6">
        <w:t xml:space="preserve"> </w:t>
      </w:r>
      <w:r w:rsidR="00F76750">
        <w:t>However, in response to the Staff Report</w:t>
      </w:r>
      <w:r w:rsidR="00E47287">
        <w:rPr>
          <w:rStyle w:val="FootnoteReference"/>
        </w:rPr>
        <w:footnoteReference w:id="8"/>
      </w:r>
      <w:r w:rsidR="00F76750">
        <w:t xml:space="preserve"> and discussions </w:t>
      </w:r>
      <w:r w:rsidR="00206896">
        <w:t>between staff and</w:t>
      </w:r>
      <w:r w:rsidR="00F76750">
        <w:t xml:space="preserve"> </w:t>
      </w:r>
      <w:r w:rsidR="00206896">
        <w:t>Sebring’s</w:t>
      </w:r>
      <w:r w:rsidR="00F76750">
        <w:t xml:space="preserve"> accountant, </w:t>
      </w:r>
      <w:r w:rsidR="00206896">
        <w:t>the Company</w:t>
      </w:r>
      <w:r w:rsidR="00F76750">
        <w:t xml:space="preserve"> provided staff with information that </w:t>
      </w:r>
      <w:r w:rsidR="00206896">
        <w:t>substantiates the need for</w:t>
      </w:r>
      <w:r w:rsidR="00F76750">
        <w:t xml:space="preserve"> a lower net salvage percentage </w:t>
      </w:r>
      <w:r w:rsidR="00F76750" w:rsidRPr="00F76750">
        <w:t>for Account 392.1 – Transportation – Trucks.</w:t>
      </w:r>
      <w:r w:rsidR="00206896">
        <w:t xml:space="preserve"> </w:t>
      </w:r>
      <w:r w:rsidR="000841DB">
        <w:t xml:space="preserve">Sebring stated that </w:t>
      </w:r>
      <w:r w:rsidR="002B7795">
        <w:t xml:space="preserve">over the last five years, net salvage related to this account was between five and ten percent. The </w:t>
      </w:r>
      <w:r w:rsidR="00206896">
        <w:t>C</w:t>
      </w:r>
      <w:r w:rsidR="002B7795">
        <w:t xml:space="preserve">ompany also explained that at the time of retirement, </w:t>
      </w:r>
      <w:r w:rsidR="00767BC7">
        <w:t>these trucks had</w:t>
      </w:r>
      <w:r w:rsidR="00DF07BC">
        <w:t xml:space="preserve"> very high mileage, which lower</w:t>
      </w:r>
      <w:r w:rsidR="00206896">
        <w:t>ed</w:t>
      </w:r>
      <w:r w:rsidR="00767BC7">
        <w:t xml:space="preserve"> the </w:t>
      </w:r>
      <w:r w:rsidR="00DF07BC">
        <w:t>res</w:t>
      </w:r>
      <w:r w:rsidR="00206896">
        <w:t>ale</w:t>
      </w:r>
      <w:r w:rsidR="00DF07BC">
        <w:t xml:space="preserve"> </w:t>
      </w:r>
      <w:r w:rsidR="00767BC7">
        <w:t>value.</w:t>
      </w:r>
    </w:p>
    <w:p w14:paraId="345B094E" w14:textId="77777777" w:rsidR="00CE101D" w:rsidRPr="00D5227E" w:rsidRDefault="00D65886" w:rsidP="00CE101D">
      <w:pPr>
        <w:pStyle w:val="BodyText"/>
      </w:pPr>
      <w:r>
        <w:t xml:space="preserve">Staff compared Sebring’s net salvage level for this account to the approved net salvage levels of </w:t>
      </w:r>
      <w:r w:rsidR="00AE46EA">
        <w:t xml:space="preserve">three </w:t>
      </w:r>
      <w:r>
        <w:t>other natural gas companies</w:t>
      </w:r>
      <w:r w:rsidR="00AE46EA">
        <w:t xml:space="preserve"> in Florida</w:t>
      </w:r>
      <w:r>
        <w:t>. The average net salvage level for those three companies is eleven percent.</w:t>
      </w:r>
      <w:r w:rsidR="00DF07BC">
        <w:t xml:space="preserve"> Based on the above, staff recommends a ten percent net salvage value for Account 392.1 – Transportation – Trucks.</w:t>
      </w:r>
    </w:p>
    <w:p w14:paraId="2380D70B" w14:textId="77777777" w:rsidR="00CE101D" w:rsidRPr="00CE101D" w:rsidRDefault="00CE101D" w:rsidP="00CE101D">
      <w:pPr>
        <w:pStyle w:val="BodyText"/>
        <w:ind w:firstLine="720"/>
        <w:rPr>
          <w:rFonts w:ascii="Arial" w:hAnsi="Arial" w:cs="Arial"/>
          <w:b/>
          <w:i/>
        </w:rPr>
      </w:pPr>
      <w:r w:rsidRPr="00CE101D">
        <w:rPr>
          <w:rFonts w:ascii="Arial" w:hAnsi="Arial" w:cs="Arial"/>
          <w:b/>
          <w:i/>
        </w:rPr>
        <w:t>Iowa Curves</w:t>
      </w:r>
    </w:p>
    <w:p w14:paraId="20C69571" w14:textId="77777777" w:rsidR="002B7795" w:rsidRDefault="000408AC" w:rsidP="00CE101D">
      <w:pPr>
        <w:pStyle w:val="BodyText"/>
      </w:pPr>
      <w:r>
        <w:t xml:space="preserve">Sebring did not request any changes to its currently-approved </w:t>
      </w:r>
      <w:r w:rsidR="00EF24E1">
        <w:t xml:space="preserve">application of </w:t>
      </w:r>
      <w:r>
        <w:t>Iowa curves</w:t>
      </w:r>
      <w:r w:rsidR="00EF24E1">
        <w:t xml:space="preserve"> to its plant accounts</w:t>
      </w:r>
      <w:r>
        <w:t xml:space="preserve">. </w:t>
      </w:r>
      <w:r w:rsidR="00AE46EA">
        <w:t>As part of our review, s</w:t>
      </w:r>
      <w:r>
        <w:t xml:space="preserve">taff evaluated each account’s </w:t>
      </w:r>
      <w:r w:rsidR="00244AE7">
        <w:t xml:space="preserve">projected </w:t>
      </w:r>
      <w:r>
        <w:t xml:space="preserve">net book value </w:t>
      </w:r>
      <w:r w:rsidR="00244AE7">
        <w:t>five years into the future. This timeframe matches the timing of the filing of Sebring’s next depreciation study, when staff would next have a chance to adjust Sebring’s depreciation rates. Two accounts</w:t>
      </w:r>
      <w:r w:rsidR="00E12DAF">
        <w:t xml:space="preserve">, Accounts 380.1 – Services – Steel and 386 – Property on Customer’s Premises, </w:t>
      </w:r>
      <w:r w:rsidR="00AE46EA">
        <w:t>indicated</w:t>
      </w:r>
      <w:r w:rsidR="00244AE7">
        <w:t xml:space="preserve"> a negative net book value </w:t>
      </w:r>
      <w:r w:rsidR="00AE46EA">
        <w:t xml:space="preserve">by the end of 2026 </w:t>
      </w:r>
      <w:r w:rsidR="009D1545">
        <w:t>if no further investments were made in these accounts</w:t>
      </w:r>
      <w:r w:rsidR="00244AE7">
        <w:t xml:space="preserve">. </w:t>
      </w:r>
      <w:r w:rsidR="00D066EB">
        <w:t>Staff</w:t>
      </w:r>
      <w:r w:rsidR="004D7DD6">
        <w:t xml:space="preserve">’s analysis shows </w:t>
      </w:r>
      <w:r w:rsidR="005F673B">
        <w:t>that</w:t>
      </w:r>
      <w:r w:rsidR="00D066EB">
        <w:t xml:space="preserve"> applying </w:t>
      </w:r>
      <w:r w:rsidR="00AE46EA">
        <w:t>the</w:t>
      </w:r>
      <w:r w:rsidR="005F673B">
        <w:t xml:space="preserve"> </w:t>
      </w:r>
      <w:r w:rsidR="00D066EB">
        <w:t xml:space="preserve">S1 </w:t>
      </w:r>
      <w:r w:rsidR="005F673B">
        <w:t>curve to both accounts</w:t>
      </w:r>
      <w:r w:rsidR="00D066EB">
        <w:t xml:space="preserve"> </w:t>
      </w:r>
      <w:r w:rsidR="005F673B">
        <w:t>more appropriately match</w:t>
      </w:r>
      <w:r w:rsidR="009D1545">
        <w:t>es</w:t>
      </w:r>
      <w:r w:rsidR="005F673B">
        <w:t xml:space="preserve"> </w:t>
      </w:r>
      <w:r w:rsidR="009D1545">
        <w:t>each</w:t>
      </w:r>
      <w:r w:rsidR="005F673B">
        <w:t xml:space="preserve"> account’s life characteristics and </w:t>
      </w:r>
      <w:r w:rsidR="00D066EB">
        <w:t xml:space="preserve">would prevent the </w:t>
      </w:r>
      <w:r w:rsidR="00AE46EA">
        <w:t xml:space="preserve">probable </w:t>
      </w:r>
      <w:r w:rsidR="00D066EB">
        <w:t xml:space="preserve">over-depreciation issue found with </w:t>
      </w:r>
      <w:r w:rsidR="00AE46EA">
        <w:t xml:space="preserve">maintaining </w:t>
      </w:r>
      <w:r w:rsidR="00D066EB">
        <w:t xml:space="preserve">the </w:t>
      </w:r>
      <w:r w:rsidR="004D7DD6">
        <w:t xml:space="preserve">currently-approved </w:t>
      </w:r>
      <w:r w:rsidR="00D066EB">
        <w:t>S</w:t>
      </w:r>
      <w:r w:rsidR="005F673B">
        <w:t>2 curve.</w:t>
      </w:r>
      <w:r>
        <w:t xml:space="preserve"> </w:t>
      </w:r>
      <w:r w:rsidR="00AE46EA">
        <w:t>Therefore, staff is recommending the application of the S1 curve to both accounts as shown on Attachment C.</w:t>
      </w:r>
      <w:r>
        <w:t xml:space="preserve"> </w:t>
      </w:r>
    </w:p>
    <w:p w14:paraId="7D5FDEB9" w14:textId="77777777" w:rsidR="00C344E0" w:rsidRPr="00B45D32" w:rsidRDefault="00C344E0" w:rsidP="00C344E0">
      <w:pPr>
        <w:pStyle w:val="BodyText"/>
        <w:ind w:firstLine="720"/>
        <w:rPr>
          <w:rFonts w:ascii="Arial" w:hAnsi="Arial" w:cs="Arial"/>
          <w:b/>
          <w:i/>
        </w:rPr>
      </w:pPr>
      <w:r w:rsidRPr="00B45D32">
        <w:rPr>
          <w:rFonts w:ascii="Arial" w:hAnsi="Arial" w:cs="Arial"/>
          <w:b/>
          <w:i/>
        </w:rPr>
        <w:t>Reserve Transfers</w:t>
      </w:r>
    </w:p>
    <w:p w14:paraId="61F054C5" w14:textId="77777777" w:rsidR="00C344E0" w:rsidRPr="00B45D32" w:rsidRDefault="00C344E0" w:rsidP="00C344E0">
      <w:pPr>
        <w:pStyle w:val="BodyText"/>
      </w:pPr>
      <w:r w:rsidRPr="00B45D32">
        <w:t>As part of reviewing Sebring’s 20</w:t>
      </w:r>
      <w:r w:rsidR="00B45D32" w:rsidRPr="00B45D32">
        <w:t>2</w:t>
      </w:r>
      <w:r w:rsidRPr="00B45D32">
        <w:t xml:space="preserve">1 Depreciation Study, staff calculated the book reserve </w:t>
      </w:r>
      <w:r w:rsidR="00AE46EA">
        <w:t>balance</w:t>
      </w:r>
      <w:r w:rsidRPr="00B45D32">
        <w:t xml:space="preserve"> of each plant account. Staff also calculated the associated theoretical reserve </w:t>
      </w:r>
      <w:r w:rsidR="00AE46EA">
        <w:t>balance</w:t>
      </w:r>
      <w:r w:rsidRPr="00B45D32">
        <w:t xml:space="preserve"> of each plant account, </w:t>
      </w:r>
      <w:r w:rsidR="00AE46EA">
        <w:t>using</w:t>
      </w:r>
      <w:r w:rsidRPr="00B45D32">
        <w:t xml:space="preserve"> the current recommended life and net salvage inputs. The difference between an account’s book and theoretical reserve amounts may be described as an imbalance, either positive or negative, or as a surplus or deficiency. When imbalances are present, corrective transfers among accounts should be </w:t>
      </w:r>
      <w:r w:rsidR="007F142B">
        <w:t>considered</w:t>
      </w:r>
      <w:r w:rsidRPr="00B45D32">
        <w:t xml:space="preserve">, and if warranted, </w:t>
      </w:r>
      <w:r w:rsidR="007F142B">
        <w:t xml:space="preserve">should </w:t>
      </w:r>
      <w:r w:rsidRPr="00B45D32">
        <w:t xml:space="preserve">be performed. </w:t>
      </w:r>
    </w:p>
    <w:p w14:paraId="5BF0E341" w14:textId="77777777" w:rsidR="00C344E0" w:rsidRDefault="00C344E0" w:rsidP="00C344E0">
      <w:pPr>
        <w:pStyle w:val="BodyText"/>
        <w:rPr>
          <w:highlight w:val="yellow"/>
        </w:rPr>
      </w:pPr>
      <w:r w:rsidRPr="00B45D32">
        <w:t>The specific depreciation reserve transfer proposals are presented in Table 3-1</w:t>
      </w:r>
      <w:r w:rsidR="007F142B">
        <w:t>, and explained further below:</w:t>
      </w:r>
    </w:p>
    <w:p w14:paraId="434B1EB6" w14:textId="77777777" w:rsidR="00B45D32" w:rsidRPr="00B45D32" w:rsidRDefault="00B45D32" w:rsidP="00B45D32">
      <w:pPr>
        <w:pStyle w:val="BodyText"/>
        <w:contextualSpacing/>
        <w:jc w:val="center"/>
        <w:rPr>
          <w:rFonts w:ascii="Arial" w:hAnsi="Arial" w:cs="Arial"/>
          <w:b/>
        </w:rPr>
      </w:pPr>
      <w:r w:rsidRPr="00B45D32">
        <w:rPr>
          <w:rFonts w:ascii="Arial" w:hAnsi="Arial" w:cs="Arial"/>
          <w:b/>
        </w:rPr>
        <w:t>Table 3-1</w:t>
      </w:r>
    </w:p>
    <w:p w14:paraId="33E60DC0" w14:textId="77777777" w:rsidR="00B45D32" w:rsidRPr="00C344E0" w:rsidRDefault="00B45D32" w:rsidP="00B45D32">
      <w:pPr>
        <w:pStyle w:val="BodyText"/>
        <w:jc w:val="center"/>
        <w:rPr>
          <w:highlight w:val="yellow"/>
        </w:rPr>
      </w:pPr>
      <w:r w:rsidRPr="00B45D32">
        <w:rPr>
          <w:rFonts w:ascii="Arial" w:hAnsi="Arial" w:cs="Arial"/>
          <w:b/>
        </w:rPr>
        <w:t>Accumulated Depreciation Transfers</w:t>
      </w:r>
    </w:p>
    <w:tbl>
      <w:tblPr>
        <w:tblW w:w="6020" w:type="dxa"/>
        <w:jc w:val="center"/>
        <w:tblLook w:val="04A0" w:firstRow="1" w:lastRow="0" w:firstColumn="1" w:lastColumn="0" w:noHBand="0" w:noVBand="1"/>
      </w:tblPr>
      <w:tblGrid>
        <w:gridCol w:w="820"/>
        <w:gridCol w:w="3760"/>
        <w:gridCol w:w="1440"/>
      </w:tblGrid>
      <w:tr w:rsidR="00B45D32" w14:paraId="6DFC3D17" w14:textId="77777777" w:rsidTr="00B45D32">
        <w:trPr>
          <w:trHeight w:val="300"/>
          <w:jc w:val="center"/>
        </w:trPr>
        <w:tc>
          <w:tcPr>
            <w:tcW w:w="820" w:type="dxa"/>
            <w:tcBorders>
              <w:top w:val="single" w:sz="4" w:space="0" w:color="auto"/>
              <w:left w:val="single" w:sz="4" w:space="0" w:color="auto"/>
              <w:bottom w:val="nil"/>
              <w:right w:val="single" w:sz="4" w:space="0" w:color="auto"/>
            </w:tcBorders>
            <w:shd w:val="clear" w:color="auto" w:fill="auto"/>
            <w:noWrap/>
            <w:vAlign w:val="bottom"/>
            <w:hideMark/>
          </w:tcPr>
          <w:p w14:paraId="1BAA4C3A" w14:textId="77777777" w:rsidR="00B45D32" w:rsidRDefault="00B45D32">
            <w:pPr>
              <w:jc w:val="center"/>
              <w:rPr>
                <w:color w:val="000000"/>
                <w:sz w:val="22"/>
                <w:szCs w:val="22"/>
              </w:rPr>
            </w:pPr>
            <w:r>
              <w:rPr>
                <w:color w:val="000000"/>
                <w:sz w:val="22"/>
                <w:szCs w:val="22"/>
              </w:rPr>
              <w:t xml:space="preserve">Acct. </w:t>
            </w:r>
          </w:p>
        </w:tc>
        <w:tc>
          <w:tcPr>
            <w:tcW w:w="3760" w:type="dxa"/>
            <w:vMerge w:val="restart"/>
            <w:tcBorders>
              <w:top w:val="single" w:sz="4" w:space="0" w:color="auto"/>
              <w:left w:val="nil"/>
              <w:bottom w:val="single" w:sz="4" w:space="0" w:color="000000"/>
              <w:right w:val="nil"/>
            </w:tcBorders>
            <w:shd w:val="clear" w:color="auto" w:fill="auto"/>
            <w:noWrap/>
            <w:vAlign w:val="center"/>
            <w:hideMark/>
          </w:tcPr>
          <w:p w14:paraId="6F3B1FDD" w14:textId="77777777" w:rsidR="00B45D32" w:rsidRDefault="00B45D32">
            <w:pPr>
              <w:jc w:val="center"/>
              <w:rPr>
                <w:color w:val="000000"/>
                <w:sz w:val="22"/>
                <w:szCs w:val="22"/>
              </w:rPr>
            </w:pPr>
            <w:r>
              <w:rPr>
                <w:color w:val="000000"/>
                <w:sz w:val="22"/>
                <w:szCs w:val="22"/>
              </w:rPr>
              <w:t>Account Title</w:t>
            </w:r>
          </w:p>
        </w:tc>
        <w:tc>
          <w:tcPr>
            <w:tcW w:w="1440" w:type="dxa"/>
            <w:tcBorders>
              <w:top w:val="single" w:sz="4" w:space="0" w:color="auto"/>
              <w:left w:val="single" w:sz="4" w:space="0" w:color="auto"/>
              <w:bottom w:val="nil"/>
              <w:right w:val="single" w:sz="4" w:space="0" w:color="auto"/>
            </w:tcBorders>
            <w:shd w:val="clear" w:color="auto" w:fill="auto"/>
            <w:noWrap/>
            <w:vAlign w:val="bottom"/>
            <w:hideMark/>
          </w:tcPr>
          <w:p w14:paraId="4A425679" w14:textId="77777777" w:rsidR="00B45D32" w:rsidRDefault="00B45D32">
            <w:pPr>
              <w:jc w:val="center"/>
              <w:rPr>
                <w:color w:val="000000"/>
                <w:sz w:val="22"/>
                <w:szCs w:val="22"/>
              </w:rPr>
            </w:pPr>
            <w:r>
              <w:rPr>
                <w:color w:val="000000"/>
                <w:sz w:val="22"/>
                <w:szCs w:val="22"/>
              </w:rPr>
              <w:t>Transfer</w:t>
            </w:r>
          </w:p>
        </w:tc>
      </w:tr>
      <w:tr w:rsidR="00B45D32" w14:paraId="263275CD" w14:textId="77777777" w:rsidTr="00B45D3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0C09318" w14:textId="77777777" w:rsidR="00B45D32" w:rsidRDefault="00B45D32">
            <w:pPr>
              <w:jc w:val="center"/>
              <w:rPr>
                <w:color w:val="000000"/>
                <w:sz w:val="22"/>
                <w:szCs w:val="22"/>
              </w:rPr>
            </w:pPr>
            <w:r>
              <w:rPr>
                <w:color w:val="000000"/>
                <w:sz w:val="22"/>
                <w:szCs w:val="22"/>
              </w:rPr>
              <w:t>No.</w:t>
            </w:r>
          </w:p>
        </w:tc>
        <w:tc>
          <w:tcPr>
            <w:tcW w:w="3760" w:type="dxa"/>
            <w:vMerge/>
            <w:tcBorders>
              <w:top w:val="single" w:sz="4" w:space="0" w:color="auto"/>
              <w:left w:val="nil"/>
              <w:bottom w:val="single" w:sz="4" w:space="0" w:color="000000"/>
              <w:right w:val="nil"/>
            </w:tcBorders>
            <w:vAlign w:val="center"/>
            <w:hideMark/>
          </w:tcPr>
          <w:p w14:paraId="76D7BD62" w14:textId="77777777" w:rsidR="00B45D32" w:rsidRDefault="00B45D32">
            <w:pPr>
              <w:rPr>
                <w:color w:val="000000"/>
                <w:sz w:val="22"/>
                <w:szCs w:val="22"/>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D894540" w14:textId="77777777" w:rsidR="00B45D32" w:rsidRDefault="00B45D32">
            <w:pPr>
              <w:jc w:val="center"/>
              <w:rPr>
                <w:color w:val="000000"/>
                <w:sz w:val="22"/>
                <w:szCs w:val="22"/>
              </w:rPr>
            </w:pPr>
            <w:r>
              <w:rPr>
                <w:color w:val="000000"/>
                <w:sz w:val="22"/>
                <w:szCs w:val="22"/>
              </w:rPr>
              <w:t>Amount</w:t>
            </w:r>
          </w:p>
        </w:tc>
      </w:tr>
      <w:tr w:rsidR="00B45D32" w14:paraId="5940ABE7" w14:textId="77777777" w:rsidTr="00B45D3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8DE133C" w14:textId="77777777" w:rsidR="00B45D32" w:rsidRDefault="00B45D32">
            <w:pPr>
              <w:rPr>
                <w:color w:val="000000"/>
                <w:sz w:val="22"/>
                <w:szCs w:val="22"/>
              </w:rPr>
            </w:pPr>
            <w:r>
              <w:rPr>
                <w:color w:val="000000"/>
                <w:sz w:val="22"/>
                <w:szCs w:val="22"/>
              </w:rPr>
              <w:t>380.1</w:t>
            </w:r>
          </w:p>
        </w:tc>
        <w:tc>
          <w:tcPr>
            <w:tcW w:w="3760" w:type="dxa"/>
            <w:tcBorders>
              <w:top w:val="nil"/>
              <w:left w:val="nil"/>
              <w:bottom w:val="single" w:sz="4" w:space="0" w:color="auto"/>
              <w:right w:val="single" w:sz="4" w:space="0" w:color="auto"/>
            </w:tcBorders>
            <w:shd w:val="clear" w:color="auto" w:fill="auto"/>
            <w:noWrap/>
            <w:vAlign w:val="bottom"/>
            <w:hideMark/>
          </w:tcPr>
          <w:p w14:paraId="7A94D5DC" w14:textId="77777777" w:rsidR="00B45D32" w:rsidRDefault="00B45D32">
            <w:pPr>
              <w:rPr>
                <w:color w:val="000000"/>
                <w:sz w:val="22"/>
                <w:szCs w:val="22"/>
              </w:rPr>
            </w:pPr>
            <w:r>
              <w:rPr>
                <w:color w:val="000000"/>
                <w:sz w:val="22"/>
                <w:szCs w:val="22"/>
              </w:rPr>
              <w:t>Service - Steel</w:t>
            </w:r>
          </w:p>
        </w:tc>
        <w:tc>
          <w:tcPr>
            <w:tcW w:w="1440" w:type="dxa"/>
            <w:tcBorders>
              <w:top w:val="nil"/>
              <w:left w:val="nil"/>
              <w:bottom w:val="single" w:sz="4" w:space="0" w:color="auto"/>
              <w:right w:val="single" w:sz="4" w:space="0" w:color="auto"/>
            </w:tcBorders>
            <w:shd w:val="clear" w:color="auto" w:fill="auto"/>
            <w:noWrap/>
            <w:vAlign w:val="bottom"/>
            <w:hideMark/>
          </w:tcPr>
          <w:p w14:paraId="3ADD5CDF" w14:textId="77777777" w:rsidR="00B45D32" w:rsidRDefault="00B45D32">
            <w:pPr>
              <w:jc w:val="right"/>
              <w:rPr>
                <w:color w:val="000000"/>
                <w:sz w:val="22"/>
                <w:szCs w:val="22"/>
              </w:rPr>
            </w:pPr>
            <w:r>
              <w:rPr>
                <w:color w:val="000000"/>
                <w:sz w:val="22"/>
                <w:szCs w:val="22"/>
              </w:rPr>
              <w:t>(100,184)</w:t>
            </w:r>
          </w:p>
        </w:tc>
      </w:tr>
      <w:tr w:rsidR="00B45D32" w14:paraId="4814E078" w14:textId="77777777" w:rsidTr="00B45D3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10FB568" w14:textId="77777777" w:rsidR="00B45D32" w:rsidRDefault="00B45D32">
            <w:pPr>
              <w:rPr>
                <w:color w:val="000000"/>
                <w:sz w:val="22"/>
                <w:szCs w:val="22"/>
              </w:rPr>
            </w:pPr>
            <w:r>
              <w:rPr>
                <w:color w:val="000000"/>
                <w:sz w:val="22"/>
                <w:szCs w:val="22"/>
              </w:rPr>
              <w:t>380.2</w:t>
            </w:r>
          </w:p>
        </w:tc>
        <w:tc>
          <w:tcPr>
            <w:tcW w:w="3760" w:type="dxa"/>
            <w:tcBorders>
              <w:top w:val="nil"/>
              <w:left w:val="nil"/>
              <w:bottom w:val="single" w:sz="4" w:space="0" w:color="auto"/>
              <w:right w:val="single" w:sz="4" w:space="0" w:color="auto"/>
            </w:tcBorders>
            <w:shd w:val="clear" w:color="auto" w:fill="auto"/>
            <w:noWrap/>
            <w:vAlign w:val="bottom"/>
            <w:hideMark/>
          </w:tcPr>
          <w:p w14:paraId="72AF0D40" w14:textId="77777777" w:rsidR="00B45D32" w:rsidRDefault="00B45D32">
            <w:pPr>
              <w:rPr>
                <w:color w:val="000000"/>
                <w:sz w:val="22"/>
                <w:szCs w:val="22"/>
              </w:rPr>
            </w:pPr>
            <w:r>
              <w:rPr>
                <w:color w:val="000000"/>
                <w:sz w:val="22"/>
                <w:szCs w:val="22"/>
              </w:rPr>
              <w:t>Service - Plastic</w:t>
            </w:r>
          </w:p>
        </w:tc>
        <w:tc>
          <w:tcPr>
            <w:tcW w:w="1440" w:type="dxa"/>
            <w:tcBorders>
              <w:top w:val="nil"/>
              <w:left w:val="nil"/>
              <w:bottom w:val="single" w:sz="4" w:space="0" w:color="auto"/>
              <w:right w:val="single" w:sz="4" w:space="0" w:color="auto"/>
            </w:tcBorders>
            <w:shd w:val="clear" w:color="auto" w:fill="auto"/>
            <w:noWrap/>
            <w:vAlign w:val="bottom"/>
            <w:hideMark/>
          </w:tcPr>
          <w:p w14:paraId="409C527A" w14:textId="77777777" w:rsidR="00B45D32" w:rsidRDefault="00B45D32">
            <w:pPr>
              <w:jc w:val="right"/>
              <w:rPr>
                <w:color w:val="000000"/>
                <w:sz w:val="22"/>
                <w:szCs w:val="22"/>
              </w:rPr>
            </w:pPr>
            <w:r>
              <w:rPr>
                <w:color w:val="000000"/>
                <w:sz w:val="22"/>
                <w:szCs w:val="22"/>
              </w:rPr>
              <w:t xml:space="preserve">108,283 </w:t>
            </w:r>
          </w:p>
        </w:tc>
      </w:tr>
      <w:tr w:rsidR="00B45D32" w14:paraId="4C0A5D9B" w14:textId="77777777" w:rsidTr="00B45D3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3F446BD" w14:textId="77777777" w:rsidR="00B45D32" w:rsidRDefault="00B45D32">
            <w:pPr>
              <w:rPr>
                <w:color w:val="000000"/>
                <w:sz w:val="22"/>
                <w:szCs w:val="22"/>
              </w:rPr>
            </w:pPr>
            <w:r>
              <w:rPr>
                <w:color w:val="000000"/>
                <w:sz w:val="22"/>
                <w:szCs w:val="22"/>
              </w:rPr>
              <w:t>386</w:t>
            </w:r>
          </w:p>
        </w:tc>
        <w:tc>
          <w:tcPr>
            <w:tcW w:w="3760" w:type="dxa"/>
            <w:tcBorders>
              <w:top w:val="nil"/>
              <w:left w:val="nil"/>
              <w:bottom w:val="single" w:sz="4" w:space="0" w:color="auto"/>
              <w:right w:val="single" w:sz="4" w:space="0" w:color="auto"/>
            </w:tcBorders>
            <w:shd w:val="clear" w:color="auto" w:fill="auto"/>
            <w:noWrap/>
            <w:vAlign w:val="bottom"/>
            <w:hideMark/>
          </w:tcPr>
          <w:p w14:paraId="2D4AB720" w14:textId="2503AC19" w:rsidR="00B45D32" w:rsidRDefault="00B45D32" w:rsidP="008A6E81">
            <w:pPr>
              <w:rPr>
                <w:color w:val="000000"/>
                <w:sz w:val="22"/>
                <w:szCs w:val="22"/>
              </w:rPr>
            </w:pPr>
            <w:r>
              <w:rPr>
                <w:color w:val="000000"/>
                <w:sz w:val="22"/>
                <w:szCs w:val="22"/>
              </w:rPr>
              <w:t>Property on Customers</w:t>
            </w:r>
            <w:r w:rsidR="008A6E81">
              <w:rPr>
                <w:color w:val="000000"/>
                <w:sz w:val="22"/>
                <w:szCs w:val="22"/>
              </w:rPr>
              <w:t>’</w:t>
            </w:r>
            <w:r>
              <w:rPr>
                <w:color w:val="000000"/>
                <w:sz w:val="22"/>
                <w:szCs w:val="22"/>
              </w:rPr>
              <w:t xml:space="preserve"> Premises</w:t>
            </w:r>
          </w:p>
        </w:tc>
        <w:tc>
          <w:tcPr>
            <w:tcW w:w="1440" w:type="dxa"/>
            <w:tcBorders>
              <w:top w:val="nil"/>
              <w:left w:val="nil"/>
              <w:bottom w:val="single" w:sz="4" w:space="0" w:color="auto"/>
              <w:right w:val="single" w:sz="4" w:space="0" w:color="auto"/>
            </w:tcBorders>
            <w:shd w:val="clear" w:color="auto" w:fill="auto"/>
            <w:noWrap/>
            <w:vAlign w:val="bottom"/>
            <w:hideMark/>
          </w:tcPr>
          <w:p w14:paraId="266000C5" w14:textId="77777777" w:rsidR="00B45D32" w:rsidRDefault="00B45D32">
            <w:pPr>
              <w:jc w:val="right"/>
              <w:rPr>
                <w:color w:val="000000"/>
                <w:sz w:val="22"/>
                <w:szCs w:val="22"/>
              </w:rPr>
            </w:pPr>
            <w:r>
              <w:rPr>
                <w:color w:val="000000"/>
                <w:sz w:val="22"/>
                <w:szCs w:val="22"/>
              </w:rPr>
              <w:t>(8,099)</w:t>
            </w:r>
          </w:p>
        </w:tc>
      </w:tr>
    </w:tbl>
    <w:p w14:paraId="44B5ED8F" w14:textId="77777777" w:rsidR="00C344E0" w:rsidRPr="00C344E0" w:rsidRDefault="00C344E0" w:rsidP="00C344E0">
      <w:pPr>
        <w:pStyle w:val="BodyText"/>
        <w:rPr>
          <w:highlight w:val="yellow"/>
        </w:rPr>
      </w:pPr>
    </w:p>
    <w:p w14:paraId="12675028" w14:textId="77777777" w:rsidR="00D5227E" w:rsidRPr="00D5227E" w:rsidRDefault="00476F32" w:rsidP="00C344E0">
      <w:pPr>
        <w:pStyle w:val="BodyText"/>
      </w:pPr>
      <w:r>
        <w:t>Staff</w:t>
      </w:r>
      <w:r w:rsidR="00C344E0" w:rsidRPr="00D5227E">
        <w:t xml:space="preserve"> </w:t>
      </w:r>
      <w:r w:rsidR="009F0EDD" w:rsidRPr="00D5227E">
        <w:t xml:space="preserve">evaluated </w:t>
      </w:r>
      <w:r w:rsidR="00D5227E" w:rsidRPr="00D5227E">
        <w:t xml:space="preserve">each account’s reserve imbalance </w:t>
      </w:r>
      <w:r w:rsidR="00D5227E">
        <w:t xml:space="preserve">as </w:t>
      </w:r>
      <w:r w:rsidR="00D643E2">
        <w:t xml:space="preserve">a </w:t>
      </w:r>
      <w:r w:rsidR="00D5227E">
        <w:t>percent</w:t>
      </w:r>
      <w:r w:rsidR="002006DF">
        <w:t>age of its book reserve</w:t>
      </w:r>
      <w:r w:rsidR="00D5227E">
        <w:t xml:space="preserve">. </w:t>
      </w:r>
      <w:r w:rsidR="002006DF">
        <w:t xml:space="preserve">Accounts 380.1 and 386 </w:t>
      </w:r>
      <w:r w:rsidR="00DA4C90">
        <w:t>had the largest imbalance</w:t>
      </w:r>
      <w:r w:rsidR="00D643E2">
        <w:t xml:space="preserve"> on a percentage basis</w:t>
      </w:r>
      <w:r w:rsidR="00DA4C90">
        <w:t xml:space="preserve">. Therefore, staff made transfers to </w:t>
      </w:r>
      <w:r w:rsidR="009D1545">
        <w:t>reduce</w:t>
      </w:r>
      <w:r w:rsidR="00DA4C90">
        <w:t xml:space="preserve"> those accounts to their theoretically co</w:t>
      </w:r>
      <w:r w:rsidR="009D1545">
        <w:t>rrect levels. Staff then used</w:t>
      </w:r>
      <w:r w:rsidR="00DA4C90">
        <w:t xml:space="preserve"> the total </w:t>
      </w:r>
      <w:r w:rsidR="00D643E2">
        <w:t xml:space="preserve">from those two transfers </w:t>
      </w:r>
      <w:r w:rsidR="0043381E">
        <w:t xml:space="preserve">to increase the reserve of Account 380.2 – Service – </w:t>
      </w:r>
      <w:r w:rsidR="0043381E" w:rsidRPr="00CE101D">
        <w:t>Plastic</w:t>
      </w:r>
      <w:r w:rsidR="00D643E2" w:rsidRPr="00CE101D">
        <w:t>.</w:t>
      </w:r>
      <w:r w:rsidR="0043381E" w:rsidRPr="00CE101D">
        <w:t xml:space="preserve"> </w:t>
      </w:r>
      <w:r w:rsidR="00CE101D" w:rsidRPr="00CE101D">
        <w:t>Staff notes that its current rate recommendations incorporate all proposed reserve transfers discussed in this section.</w:t>
      </w:r>
    </w:p>
    <w:p w14:paraId="207AD3C4" w14:textId="77777777" w:rsidR="00C344E0" w:rsidRPr="00876F04" w:rsidRDefault="00C344E0" w:rsidP="00C344E0">
      <w:pPr>
        <w:pStyle w:val="BodyText"/>
      </w:pPr>
      <w:r w:rsidRPr="00876F04">
        <w:rPr>
          <w:rFonts w:ascii="Arial" w:hAnsi="Arial" w:cs="Arial"/>
          <w:b/>
        </w:rPr>
        <w:t>Conclusion</w:t>
      </w:r>
    </w:p>
    <w:p w14:paraId="231AD9C0" w14:textId="77777777" w:rsidR="00C344E0" w:rsidRDefault="00C344E0" w:rsidP="00C344E0">
      <w:pPr>
        <w:pStyle w:val="BodyText"/>
      </w:pPr>
      <w:r w:rsidRPr="00476F32">
        <w:t>Staff recommends the Commission approve the lives, net salvages, reserves, and result</w:t>
      </w:r>
      <w:r w:rsidR="007F142B">
        <w:t>ing</w:t>
      </w:r>
      <w:r w:rsidRPr="00476F32">
        <w:t xml:space="preserve"> depreciation rates for Sebring that are shown on Attachment</w:t>
      </w:r>
      <w:r w:rsidR="009D1545">
        <w:t>s</w:t>
      </w:r>
      <w:r w:rsidRPr="00476F32">
        <w:t xml:space="preserve"> A</w:t>
      </w:r>
      <w:r w:rsidR="009D1545">
        <w:t xml:space="preserve"> and C</w:t>
      </w:r>
      <w:r w:rsidRPr="00476F32">
        <w:t>. The expense effect of staff’s plant depreciation rate recommendations, which i</w:t>
      </w:r>
      <w:r w:rsidR="001C04D5">
        <w:t>s shown on Attachment B, is a</w:t>
      </w:r>
      <w:r w:rsidR="0028676B">
        <w:t>n</w:t>
      </w:r>
      <w:r w:rsidR="001C04D5">
        <w:t xml:space="preserve"> in</w:t>
      </w:r>
      <w:r w:rsidRPr="00476F32">
        <w:t xml:space="preserve">crease </w:t>
      </w:r>
      <w:r w:rsidRPr="00FF04EC">
        <w:t>of $</w:t>
      </w:r>
      <w:r w:rsidR="00FF04EC" w:rsidRPr="00FF04EC">
        <w:t>4</w:t>
      </w:r>
      <w:r w:rsidRPr="00FF04EC">
        <w:t>,</w:t>
      </w:r>
      <w:r w:rsidR="00FF04EC" w:rsidRPr="00FF04EC">
        <w:t>342</w:t>
      </w:r>
      <w:r w:rsidRPr="00FF04EC">
        <w:t xml:space="preserve"> annually, or </w:t>
      </w:r>
      <w:r w:rsidR="00FF04EC" w:rsidRPr="00FF04EC">
        <w:t>1</w:t>
      </w:r>
      <w:r w:rsidRPr="00FF04EC">
        <w:t>.8 percent</w:t>
      </w:r>
      <w:r w:rsidRPr="00476F32">
        <w:t>, based on December 31, 20</w:t>
      </w:r>
      <w:r w:rsidR="00D710C1" w:rsidRPr="00476F32">
        <w:t>2</w:t>
      </w:r>
      <w:r w:rsidRPr="00476F32">
        <w:t>1 investments.</w:t>
      </w:r>
    </w:p>
    <w:p w14:paraId="58206288" w14:textId="29143F45" w:rsidR="00C344E0" w:rsidRDefault="00C344E0">
      <w:pPr>
        <w:pStyle w:val="IssueHeading"/>
        <w:rPr>
          <w:vanish/>
          <w:specVanish/>
        </w:rPr>
      </w:pPr>
      <w:r w:rsidRPr="004C3641">
        <w:rPr>
          <w:b w:val="0"/>
          <w:i w:val="0"/>
        </w:rPr>
        <w:br w:type="page"/>
      </w:r>
      <w:r w:rsidRPr="004C3641">
        <w:t xml:space="preserve">Issue </w:t>
      </w:r>
      <w:r w:rsidR="00AC1B92">
        <w:fldChar w:fldCharType="begin"/>
      </w:r>
      <w:r w:rsidR="00AC1B92">
        <w:instrText xml:space="preserve"> SEQ Issue \* MERGEFORMAT </w:instrText>
      </w:r>
      <w:r w:rsidR="00AC1B92">
        <w:fldChar w:fldCharType="separate"/>
      </w:r>
      <w:r w:rsidR="00C80551">
        <w:rPr>
          <w:noProof/>
        </w:rPr>
        <w:t>4</w:t>
      </w:r>
      <w:r w:rsidR="00AC1B9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80551">
        <w:rPr>
          <w:noProof/>
        </w:rPr>
        <w:instrText>4</w:instrText>
      </w:r>
      <w:r>
        <w:fldChar w:fldCharType="end"/>
      </w:r>
      <w:r>
        <w:tab/>
        <w:instrText xml:space="preserve">(Buys)" \l 1 </w:instrText>
      </w:r>
      <w:r>
        <w:fldChar w:fldCharType="end"/>
      </w:r>
      <w:r>
        <w:t> </w:t>
      </w:r>
    </w:p>
    <w:p w14:paraId="6D70D5B1" w14:textId="77777777" w:rsidR="00C344E0" w:rsidRDefault="00C344E0">
      <w:pPr>
        <w:pStyle w:val="BodyText"/>
      </w:pPr>
      <w:r>
        <w:t> Should the current amortization of investment tax credits (ITCs) and flow back of excess deferred income taxes (EDITs) be revised to reflect the approved depreciation rates and amortization schedules?</w:t>
      </w:r>
    </w:p>
    <w:p w14:paraId="1CC2E2C9" w14:textId="77777777" w:rsidR="00C344E0" w:rsidRPr="004C3641" w:rsidRDefault="00C344E0">
      <w:pPr>
        <w:pStyle w:val="IssueSubsectionHeading"/>
        <w:rPr>
          <w:vanish/>
          <w:specVanish/>
        </w:rPr>
      </w:pPr>
      <w:r w:rsidRPr="004C3641">
        <w:t>Recommendation: </w:t>
      </w:r>
    </w:p>
    <w:p w14:paraId="7B82F9AE" w14:textId="6BA74E26" w:rsidR="00C344E0" w:rsidRDefault="00C344E0">
      <w:pPr>
        <w:pStyle w:val="BodyText"/>
      </w:pPr>
      <w:r>
        <w:t> </w:t>
      </w:r>
      <w:r w:rsidR="007F722E" w:rsidRPr="00C606F5">
        <w:t>Yes. The current amortization of ITCs should be revised to match the actual recovery periods</w:t>
      </w:r>
      <w:r w:rsidR="001463A5">
        <w:t xml:space="preserve"> for the related property. The C</w:t>
      </w:r>
      <w:r w:rsidR="007F722E" w:rsidRPr="00C606F5">
        <w:t>ompany should file detailed calculations of the revised ITC amortization at the same time it files its earnings surveillance report covering</w:t>
      </w:r>
      <w:r w:rsidR="00F57CC2">
        <w:t xml:space="preserve"> the period ended</w:t>
      </w:r>
      <w:r w:rsidR="007F722E">
        <w:t xml:space="preserve"> December 31, 2021</w:t>
      </w:r>
      <w:r w:rsidR="00BD3441">
        <w:t>, as specified in R</w:t>
      </w:r>
      <w:r w:rsidR="007F722E" w:rsidRPr="00C606F5">
        <w:t>ule 27-7.1352, F.A.C</w:t>
      </w:r>
      <w:r w:rsidR="007F722E">
        <w:t>.</w:t>
      </w:r>
      <w:r>
        <w:t xml:space="preserve"> (</w:t>
      </w:r>
      <w:r w:rsidR="007F722E">
        <w:t xml:space="preserve">Osorio, </w:t>
      </w:r>
      <w:r w:rsidR="000C2D51">
        <w:t xml:space="preserve">D. </w:t>
      </w:r>
      <w:r>
        <w:t>Buys)</w:t>
      </w:r>
    </w:p>
    <w:p w14:paraId="6AB17F0C" w14:textId="77777777" w:rsidR="00C344E0" w:rsidRPr="004C3641" w:rsidRDefault="00C344E0">
      <w:pPr>
        <w:pStyle w:val="IssueSubsectionHeading"/>
        <w:rPr>
          <w:vanish/>
          <w:specVanish/>
        </w:rPr>
      </w:pPr>
      <w:r w:rsidRPr="004C3641">
        <w:t>Staff Analysis: </w:t>
      </w:r>
    </w:p>
    <w:p w14:paraId="3663CC7F" w14:textId="29D2836C" w:rsidR="007F722E" w:rsidRDefault="00C344E0" w:rsidP="007F722E">
      <w:pPr>
        <w:jc w:val="both"/>
      </w:pPr>
      <w:r>
        <w:t> </w:t>
      </w:r>
      <w:r w:rsidR="00C500F0">
        <w:t>In Issue 3</w:t>
      </w:r>
      <w:r w:rsidR="007F722E" w:rsidRPr="000332B6">
        <w:t>, staff has recommended approval of revi</w:t>
      </w:r>
      <w:r w:rsidR="001463A5">
        <w:t>sed depreciation rates for the C</w:t>
      </w:r>
      <w:r w:rsidR="007F722E" w:rsidRPr="000332B6">
        <w:t>ompan</w:t>
      </w:r>
      <w:r w:rsidR="00F57CC2">
        <w:t>y,</w:t>
      </w:r>
      <w:r w:rsidR="007F722E" w:rsidRPr="000332B6">
        <w:t xml:space="preserve"> which reflect changes to most accounts’ remaining lives to be effective January 1, 20</w:t>
      </w:r>
      <w:r w:rsidR="007F722E">
        <w:t>2</w:t>
      </w:r>
      <w:r w:rsidR="0087167C">
        <w:t>2</w:t>
      </w:r>
      <w:r w:rsidR="008A6E81">
        <w:t>. Revising a utility’</w:t>
      </w:r>
      <w:r w:rsidR="007F722E" w:rsidRPr="000332B6">
        <w:t>s book depreciation lives generally results in a change in its rate of ITC amo</w:t>
      </w:r>
      <w:r w:rsidR="007F722E" w:rsidRPr="00E94BC0">
        <w:t>rtization in order to comply with the normalization requirements of the Internal</w:t>
      </w:r>
      <w:r w:rsidR="007F722E">
        <w:t xml:space="preserve"> Revenue Code (IRC or Code) set forth </w:t>
      </w:r>
      <w:r w:rsidR="007F722E" w:rsidRPr="00B4658D">
        <w:t xml:space="preserve">in </w:t>
      </w:r>
      <w:r w:rsidR="00B4658D" w:rsidRPr="00B4658D">
        <w:t>Federal Tax Regulations under the Code sections,</w:t>
      </w:r>
      <w:r w:rsidR="00B4658D" w:rsidRPr="00B4658D">
        <w:rPr>
          <w:rStyle w:val="FootnoteReference"/>
        </w:rPr>
        <w:footnoteReference w:id="9"/>
      </w:r>
      <w:r w:rsidR="00C500F0">
        <w:t xml:space="preserve"> S</w:t>
      </w:r>
      <w:r w:rsidR="00B4658D" w:rsidRPr="00B4658D">
        <w:t>ections 168(f)(2) and (i)(9),</w:t>
      </w:r>
      <w:r w:rsidR="00B4658D" w:rsidRPr="00B4658D">
        <w:rPr>
          <w:vertAlign w:val="superscript"/>
        </w:rPr>
        <w:footnoteReference w:id="10"/>
      </w:r>
      <w:r w:rsidR="00C500F0">
        <w:t xml:space="preserve"> former IRC S</w:t>
      </w:r>
      <w:r w:rsidR="00B4658D" w:rsidRPr="00B4658D">
        <w:t>ections 167(l), and 46(f),</w:t>
      </w:r>
      <w:r w:rsidR="00B4658D" w:rsidRPr="00B4658D">
        <w:rPr>
          <w:rStyle w:val="FootnoteReference"/>
        </w:rPr>
        <w:footnoteReference w:id="11"/>
      </w:r>
      <w:r w:rsidR="00C500F0">
        <w:t xml:space="preserve"> and S</w:t>
      </w:r>
      <w:r w:rsidR="00B4658D" w:rsidRPr="00B4658D">
        <w:t>ection 203(e) of the Tax Reform Act of 1986 (the Act).</w:t>
      </w:r>
      <w:r w:rsidR="00B4658D" w:rsidRPr="00B4658D">
        <w:rPr>
          <w:rStyle w:val="FootnoteReference"/>
        </w:rPr>
        <w:footnoteReference w:id="12"/>
      </w:r>
    </w:p>
    <w:p w14:paraId="2DA8F583" w14:textId="77777777" w:rsidR="007F722E" w:rsidRDefault="007F722E" w:rsidP="007F722E">
      <w:pPr>
        <w:jc w:val="both"/>
      </w:pPr>
    </w:p>
    <w:p w14:paraId="45DF601B" w14:textId="5A199E11" w:rsidR="007F722E" w:rsidRDefault="007F722E" w:rsidP="007F722E">
      <w:pPr>
        <w:jc w:val="both"/>
      </w:pPr>
      <w:r>
        <w:t>Staff, the Internal Revenue Service (IRS), and independ</w:t>
      </w:r>
      <w:r w:rsidR="00C500F0">
        <w:t>ent outside auditors look at a c</w:t>
      </w:r>
      <w:r>
        <w:t>ompany's books and records, and the orders and rules of the jurisdictional regulatory authorities to determine if the books and records are maintained in the appropriate manner. The books are also reviewed to determine if they are in compliance with the regulatory guidelines in regard to normalization.</w:t>
      </w:r>
    </w:p>
    <w:p w14:paraId="2576CA85" w14:textId="77777777" w:rsidR="007F722E" w:rsidRDefault="007F722E" w:rsidP="007F722E">
      <w:pPr>
        <w:jc w:val="both"/>
      </w:pPr>
    </w:p>
    <w:p w14:paraId="59441A92" w14:textId="67AF3058" w:rsidR="00C344E0" w:rsidRDefault="007F722E" w:rsidP="007F722E">
      <w:pPr>
        <w:pStyle w:val="BodyText"/>
      </w:pPr>
      <w:r>
        <w:t>Former IRC Section 46(f)(6)</w:t>
      </w:r>
      <w:r>
        <w:rPr>
          <w:bCs/>
        </w:rPr>
        <w:t xml:space="preserve"> of the Code</w:t>
      </w:r>
      <w:r>
        <w:rPr>
          <w:b/>
          <w:bCs/>
        </w:rPr>
        <w:t xml:space="preserve"> </w:t>
      </w:r>
      <w:r>
        <w:t>indicated that the amortization of ITC should be determined by the period of time actually used in computing depreciation expense for ratemaking purposes and on the regulated books of the utility.</w:t>
      </w:r>
      <w:r>
        <w:rPr>
          <w:rStyle w:val="FootnoteReference"/>
        </w:rPr>
        <w:footnoteReference w:id="13"/>
      </w:r>
      <w:r w:rsidR="00C500F0">
        <w:t xml:space="preserve"> While</w:t>
      </w:r>
      <w:r>
        <w:t xml:space="preserve"> Section 46(f)(6) was repealed, under IRC Section 50(d)(2), the terms of former IRC Section 46(f)(6) remain applicable to public utility property for which a regulated utility previously claimed ITCs. Since staff </w:t>
      </w:r>
      <w:r w:rsidR="001463A5">
        <w:t>is recommending changes to the C</w:t>
      </w:r>
      <w:r>
        <w:t>ompany’s remaining lives, it is also important to change the amortization of ITCs to avoid viol</w:t>
      </w:r>
      <w:r w:rsidR="00C500F0">
        <w:t>ation of the provisions of IRC S</w:t>
      </w:r>
      <w:r>
        <w:t>ection 50(d)(2),</w:t>
      </w:r>
      <w:r w:rsidRPr="0025771A">
        <w:t xml:space="preserve"> </w:t>
      </w:r>
      <w:r>
        <w:t xml:space="preserve">and its underlying Treasury Regulations. The consequence of an ITC normalization violation is a repayment of unamortized ITC balances to the IRS. </w:t>
      </w:r>
      <w:r w:rsidRPr="00AF5B64">
        <w:t>Therefore, staff recommends the current amortization of ITCs should be revised to match the actual recovery periods for the related pr</w:t>
      </w:r>
      <w:r w:rsidR="001463A5">
        <w:t>operty. The C</w:t>
      </w:r>
      <w:r w:rsidRPr="00AF5B64">
        <w:t>ompany should file detailed calculations of the revised ITC amortization at the same time it files its earnings surveillance report co</w:t>
      </w:r>
      <w:r w:rsidR="00F57CC2">
        <w:t>vering the period ended</w:t>
      </w:r>
      <w:r w:rsidRPr="00AF5B64">
        <w:t xml:space="preserve"> December 31, 2</w:t>
      </w:r>
      <w:r>
        <w:t>021, as specified in Rule 25-7.1352, F.A.C.</w:t>
      </w:r>
    </w:p>
    <w:p w14:paraId="24BC2D1B" w14:textId="562449B8" w:rsidR="0028064A" w:rsidRDefault="0028064A">
      <w:pPr>
        <w:pStyle w:val="IssueHeading"/>
        <w:rPr>
          <w:vanish/>
          <w:specVanish/>
        </w:rPr>
      </w:pPr>
      <w:r w:rsidRPr="004C3641">
        <w:rPr>
          <w:b w:val="0"/>
          <w:i w:val="0"/>
        </w:rPr>
        <w:br w:type="page"/>
      </w:r>
      <w:r w:rsidRPr="004C3641">
        <w:t xml:space="preserve">Issue </w:t>
      </w:r>
      <w:r w:rsidR="00AC1B92">
        <w:fldChar w:fldCharType="begin"/>
      </w:r>
      <w:r w:rsidR="00AC1B92">
        <w:instrText xml:space="preserve"> SEQ Issue \* MERGEFORMAT </w:instrText>
      </w:r>
      <w:r w:rsidR="00AC1B92">
        <w:fldChar w:fldCharType="separate"/>
      </w:r>
      <w:r w:rsidR="00C80551">
        <w:rPr>
          <w:noProof/>
        </w:rPr>
        <w:t>5</w:t>
      </w:r>
      <w:r w:rsidR="00AC1B9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80551">
        <w:rPr>
          <w:noProof/>
        </w:rPr>
        <w:instrText>5</w:instrText>
      </w:r>
      <w:r>
        <w:fldChar w:fldCharType="end"/>
      </w:r>
      <w:r>
        <w:tab/>
        <w:instrText xml:space="preserve">(Sandy)" \l 1 </w:instrText>
      </w:r>
      <w:r>
        <w:fldChar w:fldCharType="end"/>
      </w:r>
      <w:r>
        <w:t> </w:t>
      </w:r>
    </w:p>
    <w:p w14:paraId="621B2505" w14:textId="77777777" w:rsidR="0028064A" w:rsidRDefault="0028064A">
      <w:pPr>
        <w:pStyle w:val="BodyText"/>
      </w:pPr>
      <w:r>
        <w:t> Should this docket be closed?</w:t>
      </w:r>
    </w:p>
    <w:p w14:paraId="46682435" w14:textId="77777777" w:rsidR="0028064A" w:rsidRPr="004C3641" w:rsidRDefault="0028064A">
      <w:pPr>
        <w:pStyle w:val="IssueSubsectionHeading"/>
        <w:rPr>
          <w:vanish/>
          <w:specVanish/>
        </w:rPr>
      </w:pPr>
      <w:r w:rsidRPr="004C3641">
        <w:t>Recommendation: </w:t>
      </w:r>
    </w:p>
    <w:p w14:paraId="2441D49B" w14:textId="77777777" w:rsidR="0028064A" w:rsidRDefault="0028064A">
      <w:pPr>
        <w:pStyle w:val="BodyText"/>
      </w:pPr>
      <w:r>
        <w:t> </w:t>
      </w:r>
      <w:r w:rsidR="00F0623A">
        <w:t>Yes. If no protest is filed by a person whose substantial interests are affected within 21 days of the issuance of the Order, this docket should be closed upon the issuance of a Consummating Order.</w:t>
      </w:r>
      <w:r>
        <w:t xml:space="preserve"> (Sandy)</w:t>
      </w:r>
    </w:p>
    <w:p w14:paraId="0C85FF80" w14:textId="77777777" w:rsidR="0028064A" w:rsidRPr="004C3641" w:rsidRDefault="0028064A">
      <w:pPr>
        <w:pStyle w:val="IssueSubsectionHeading"/>
        <w:rPr>
          <w:vanish/>
          <w:specVanish/>
        </w:rPr>
      </w:pPr>
      <w:r w:rsidRPr="004C3641">
        <w:t>Staff Analysis: </w:t>
      </w:r>
    </w:p>
    <w:p w14:paraId="54F26C7A" w14:textId="431CEF06" w:rsidR="00A26F28" w:rsidRDefault="0028064A" w:rsidP="00B33F0D">
      <w:pPr>
        <w:pStyle w:val="BodyText"/>
        <w:sectPr w:rsidR="00A26F2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00F0623A">
        <w:t>If no protest is filed by a person whose substantial interests are affected within 21 days of the issuance of the Order, this docket should be closed upon the i</w:t>
      </w:r>
      <w:r w:rsidR="00B33F0D">
        <w:t>ssuance of a Consummating Order</w:t>
      </w:r>
      <w:r w:rsidR="00D87CA3">
        <w:t>.</w:t>
      </w:r>
    </w:p>
    <w:p w14:paraId="70908752" w14:textId="3DEFC645" w:rsidR="00E06484" w:rsidRDefault="00E06484" w:rsidP="00B33F0D">
      <w:pPr>
        <w:pStyle w:val="BodyText"/>
      </w:pPr>
    </w:p>
    <w:p w14:paraId="73A43BF6" w14:textId="77777777" w:rsidR="009F40F8" w:rsidRDefault="00B63C55" w:rsidP="009F40F8">
      <w:pPr>
        <w:pStyle w:val="BodyText"/>
        <w:jc w:val="center"/>
      </w:pPr>
      <w:r w:rsidRPr="00B63C55">
        <w:rPr>
          <w:noProof/>
        </w:rPr>
        <w:drawing>
          <wp:inline distT="0" distB="0" distL="0" distR="0" wp14:anchorId="6EB5D766" wp14:editId="51156382">
            <wp:extent cx="5943600" cy="4629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629363"/>
                    </a:xfrm>
                    <a:prstGeom prst="rect">
                      <a:avLst/>
                    </a:prstGeom>
                    <a:noFill/>
                    <a:ln>
                      <a:noFill/>
                    </a:ln>
                  </pic:spPr>
                </pic:pic>
              </a:graphicData>
            </a:graphic>
          </wp:inline>
        </w:drawing>
      </w:r>
    </w:p>
    <w:p w14:paraId="5B2A68B8" w14:textId="77777777" w:rsidR="00BF4AE7" w:rsidRDefault="00BF4AE7">
      <w:pPr>
        <w:sectPr w:rsidR="00BF4AE7" w:rsidSect="0068481F">
          <w:headerReference w:type="default" r:id="rId15"/>
          <w:pgSz w:w="12240" w:h="15840" w:code="1"/>
          <w:pgMar w:top="1584" w:right="1440" w:bottom="1440" w:left="1440" w:header="720" w:footer="720" w:gutter="0"/>
          <w:cols w:space="720"/>
          <w:formProt w:val="0"/>
          <w:docGrid w:linePitch="360"/>
        </w:sectPr>
      </w:pPr>
    </w:p>
    <w:p w14:paraId="10DBFAAD" w14:textId="30684D58" w:rsidR="009F40F8" w:rsidRDefault="009F40F8" w:rsidP="00E275D8">
      <w:pPr>
        <w:pStyle w:val="BodyText"/>
      </w:pPr>
    </w:p>
    <w:p w14:paraId="622C80DC" w14:textId="77777777" w:rsidR="009F40F8" w:rsidRDefault="008D425F" w:rsidP="009F40F8">
      <w:pPr>
        <w:pStyle w:val="BodyText"/>
        <w:jc w:val="center"/>
      </w:pPr>
      <w:r w:rsidRPr="008D425F">
        <w:rPr>
          <w:noProof/>
        </w:rPr>
        <w:drawing>
          <wp:inline distT="0" distB="0" distL="0" distR="0" wp14:anchorId="3C974B04" wp14:editId="1325BBA9">
            <wp:extent cx="5943600" cy="472344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723440"/>
                    </a:xfrm>
                    <a:prstGeom prst="rect">
                      <a:avLst/>
                    </a:prstGeom>
                    <a:noFill/>
                    <a:ln>
                      <a:noFill/>
                    </a:ln>
                  </pic:spPr>
                </pic:pic>
              </a:graphicData>
            </a:graphic>
          </wp:inline>
        </w:drawing>
      </w:r>
    </w:p>
    <w:p w14:paraId="605852BC" w14:textId="77777777" w:rsidR="009F40F8" w:rsidRDefault="009F40F8" w:rsidP="00E275D8">
      <w:pPr>
        <w:pStyle w:val="BodyText"/>
      </w:pPr>
    </w:p>
    <w:p w14:paraId="75DD3639" w14:textId="77777777" w:rsidR="00BF4AE7" w:rsidRDefault="00BF4AE7">
      <w:pPr>
        <w:sectPr w:rsidR="00BF4AE7" w:rsidSect="0068481F">
          <w:headerReference w:type="default" r:id="rId17"/>
          <w:pgSz w:w="12240" w:h="15840" w:code="1"/>
          <w:pgMar w:top="1584" w:right="1440" w:bottom="1440" w:left="1440" w:header="720" w:footer="720" w:gutter="0"/>
          <w:cols w:space="720"/>
          <w:formProt w:val="0"/>
          <w:docGrid w:linePitch="360"/>
        </w:sectPr>
      </w:pPr>
    </w:p>
    <w:p w14:paraId="376AD5D5" w14:textId="7BC5FF39" w:rsidR="009F40F8" w:rsidRDefault="009F40F8" w:rsidP="00C5401A">
      <w:pPr>
        <w:spacing w:after="240"/>
      </w:pPr>
    </w:p>
    <w:p w14:paraId="095F73B3" w14:textId="77777777" w:rsidR="009F40F8" w:rsidRDefault="008D425F" w:rsidP="009F40F8">
      <w:pPr>
        <w:pStyle w:val="BodyText"/>
        <w:jc w:val="center"/>
      </w:pPr>
      <w:r w:rsidRPr="008D425F">
        <w:rPr>
          <w:noProof/>
        </w:rPr>
        <w:drawing>
          <wp:inline distT="0" distB="0" distL="0" distR="0" wp14:anchorId="299D08C1" wp14:editId="08659D19">
            <wp:extent cx="5943600" cy="435384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353847"/>
                    </a:xfrm>
                    <a:prstGeom prst="rect">
                      <a:avLst/>
                    </a:prstGeom>
                    <a:noFill/>
                    <a:ln>
                      <a:noFill/>
                    </a:ln>
                  </pic:spPr>
                </pic:pic>
              </a:graphicData>
            </a:graphic>
          </wp:inline>
        </w:drawing>
      </w:r>
    </w:p>
    <w:sectPr w:rsidR="009F40F8"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A6DD9" w14:textId="77777777" w:rsidR="00472818" w:rsidRDefault="00472818">
      <w:r>
        <w:separator/>
      </w:r>
    </w:p>
  </w:endnote>
  <w:endnote w:type="continuationSeparator" w:id="0">
    <w:p w14:paraId="764A0266" w14:textId="77777777" w:rsidR="00472818" w:rsidRDefault="0047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92AE" w14:textId="6A982B03"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27822">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9C18"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461F2" w14:textId="77777777" w:rsidR="00472818" w:rsidRDefault="00472818">
      <w:r>
        <w:separator/>
      </w:r>
    </w:p>
  </w:footnote>
  <w:footnote w:type="continuationSeparator" w:id="0">
    <w:p w14:paraId="002EC2BA" w14:textId="77777777" w:rsidR="00472818" w:rsidRDefault="00472818">
      <w:r>
        <w:continuationSeparator/>
      </w:r>
    </w:p>
  </w:footnote>
  <w:footnote w:id="1">
    <w:p w14:paraId="48F3B69F" w14:textId="77777777" w:rsidR="00C10012" w:rsidRDefault="00C10012" w:rsidP="00C10012">
      <w:pPr>
        <w:pStyle w:val="FootnoteText"/>
      </w:pPr>
      <w:r>
        <w:rPr>
          <w:rStyle w:val="FootnoteReference"/>
        </w:rPr>
        <w:footnoteRef/>
      </w:r>
      <w:r>
        <w:t xml:space="preserve"> Sebring Gas System’s</w:t>
      </w:r>
      <w:r w:rsidRPr="00532322">
        <w:t xml:space="preserve"> Annual Report of Natural Gas Utilities Form PSC/AFA 20</w:t>
      </w:r>
      <w:r>
        <w:t>,</w:t>
      </w:r>
      <w:r w:rsidRPr="00532322">
        <w:t xml:space="preserve"> at December 31, 20</w:t>
      </w:r>
      <w:r w:rsidR="002B20EB">
        <w:t>20</w:t>
      </w:r>
      <w:r w:rsidRPr="00532322">
        <w:t>, filed with the Florida P</w:t>
      </w:r>
      <w:r w:rsidR="002B20EB">
        <w:t>ublic Service Commission on May</w:t>
      </w:r>
      <w:r w:rsidR="00BF0D8C">
        <w:t xml:space="preserve"> </w:t>
      </w:r>
      <w:r w:rsidR="002B20EB">
        <w:t>21</w:t>
      </w:r>
      <w:r w:rsidRPr="00532322">
        <w:t>, 20</w:t>
      </w:r>
      <w:r w:rsidR="002B20EB">
        <w:t>2</w:t>
      </w:r>
      <w:r w:rsidRPr="00532322">
        <w:t>1.</w:t>
      </w:r>
    </w:p>
  </w:footnote>
  <w:footnote w:id="2">
    <w:p w14:paraId="48B1DCE9" w14:textId="77777777" w:rsidR="00C10012" w:rsidRDefault="00C10012" w:rsidP="00C10012">
      <w:pPr>
        <w:pStyle w:val="FootnoteText"/>
      </w:pPr>
      <w:r>
        <w:rPr>
          <w:rStyle w:val="FootnoteReference"/>
        </w:rPr>
        <w:footnoteRef/>
      </w:r>
      <w:r>
        <w:t xml:space="preserve"> </w:t>
      </w:r>
      <w:r w:rsidRPr="001554E7">
        <w:t>Order No. PSC-1</w:t>
      </w:r>
      <w:r w:rsidR="00BF0D8C">
        <w:t>6</w:t>
      </w:r>
      <w:r w:rsidRPr="001554E7">
        <w:t>-0</w:t>
      </w:r>
      <w:r w:rsidR="00BF0D8C">
        <w:t>57</w:t>
      </w:r>
      <w:r w:rsidRPr="001554E7">
        <w:t xml:space="preserve">4-PAA-GU, issued </w:t>
      </w:r>
      <w:r w:rsidR="00BF0D8C">
        <w:t>December</w:t>
      </w:r>
      <w:r w:rsidRPr="001554E7">
        <w:t xml:space="preserve"> </w:t>
      </w:r>
      <w:r w:rsidR="00BF0D8C">
        <w:t>19</w:t>
      </w:r>
      <w:r w:rsidRPr="001554E7">
        <w:t>, 201</w:t>
      </w:r>
      <w:r w:rsidR="00BF0D8C">
        <w:t>6</w:t>
      </w:r>
      <w:r w:rsidRPr="001554E7">
        <w:t xml:space="preserve">, in Docket No. </w:t>
      </w:r>
      <w:r w:rsidR="00BF0D8C">
        <w:t>20</w:t>
      </w:r>
      <w:r w:rsidRPr="001554E7">
        <w:t>1</w:t>
      </w:r>
      <w:r w:rsidR="00BF0D8C">
        <w:t>6</w:t>
      </w:r>
      <w:r w:rsidRPr="001554E7">
        <w:t>0</w:t>
      </w:r>
      <w:r w:rsidR="00BF0D8C">
        <w:t>174</w:t>
      </w:r>
      <w:r w:rsidRPr="001554E7">
        <w:t xml:space="preserve">-GU, </w:t>
      </w:r>
      <w:r w:rsidRPr="00BF0D8C">
        <w:rPr>
          <w:i/>
        </w:rPr>
        <w:t xml:space="preserve">In re: </w:t>
      </w:r>
      <w:r w:rsidR="00BF0D8C" w:rsidRPr="00BF0D8C">
        <w:rPr>
          <w:i/>
        </w:rPr>
        <w:t>Request</w:t>
      </w:r>
      <w:r w:rsidRPr="00BF0D8C">
        <w:rPr>
          <w:i/>
        </w:rPr>
        <w:t xml:space="preserve"> for approval of 201</w:t>
      </w:r>
      <w:r w:rsidR="00BF0D8C" w:rsidRPr="00BF0D8C">
        <w:rPr>
          <w:i/>
        </w:rPr>
        <w:t>6</w:t>
      </w:r>
      <w:r w:rsidRPr="00BF0D8C">
        <w:rPr>
          <w:i/>
        </w:rPr>
        <w:t xml:space="preserve"> </w:t>
      </w:r>
      <w:r w:rsidR="00BF0D8C" w:rsidRPr="00BF0D8C">
        <w:rPr>
          <w:i/>
        </w:rPr>
        <w:t>d</w:t>
      </w:r>
      <w:r w:rsidRPr="00BF0D8C">
        <w:rPr>
          <w:i/>
        </w:rPr>
        <w:t xml:space="preserve">epreciation </w:t>
      </w:r>
      <w:r w:rsidR="00BF0D8C" w:rsidRPr="00BF0D8C">
        <w:rPr>
          <w:i/>
        </w:rPr>
        <w:t>s</w:t>
      </w:r>
      <w:r w:rsidRPr="00BF0D8C">
        <w:rPr>
          <w:i/>
        </w:rPr>
        <w:t>tudy by Sebring Gas Systems, Inc.</w:t>
      </w:r>
    </w:p>
  </w:footnote>
  <w:footnote w:id="3">
    <w:p w14:paraId="6A74A6BE" w14:textId="77777777" w:rsidR="00C344E0" w:rsidRDefault="00C344E0" w:rsidP="00C344E0">
      <w:pPr>
        <w:pStyle w:val="FootnoteText"/>
      </w:pPr>
      <w:r>
        <w:rPr>
          <w:rStyle w:val="FootnoteReference"/>
        </w:rPr>
        <w:footnoteRef/>
      </w:r>
      <w:r>
        <w:t xml:space="preserve"> Sebring’s Response to 20</w:t>
      </w:r>
      <w:r w:rsidR="00F24E5B">
        <w:t>2</w:t>
      </w:r>
      <w:r>
        <w:t xml:space="preserve">1 Depreciation Study Staff Report, No. </w:t>
      </w:r>
      <w:r w:rsidR="00F24E5B">
        <w:t>2</w:t>
      </w:r>
      <w:r w:rsidR="00E547D3">
        <w:t xml:space="preserve"> </w:t>
      </w:r>
      <w:r w:rsidR="00E547D3" w:rsidRPr="007B1734">
        <w:t>and “</w:t>
      </w:r>
      <w:r w:rsidR="007B1734" w:rsidRPr="007B1734">
        <w:t>Sebring March 7, 2022 Correspondence – Response to Staff Account 382.1 Depreciation Parameters”</w:t>
      </w:r>
      <w:r w:rsidR="00E547D3" w:rsidRPr="007B1734">
        <w:t xml:space="preserve"> DN-</w:t>
      </w:r>
      <w:r w:rsidR="007B1734" w:rsidRPr="007B1734">
        <w:t>01657-2022</w:t>
      </w:r>
      <w:r w:rsidR="00E547D3" w:rsidRPr="007B1734">
        <w:t>.</w:t>
      </w:r>
    </w:p>
  </w:footnote>
  <w:footnote w:id="4">
    <w:p w14:paraId="182DA789" w14:textId="77777777" w:rsidR="00C344E0" w:rsidRDefault="00C344E0" w:rsidP="00C344E0">
      <w:pPr>
        <w:pStyle w:val="FootnoteText"/>
      </w:pPr>
      <w:r>
        <w:rPr>
          <w:rStyle w:val="FootnoteReference"/>
        </w:rPr>
        <w:footnoteRef/>
      </w:r>
      <w:r>
        <w:t xml:space="preserve"> “Iowa-type Curves” are a widely-</w:t>
      </w:r>
      <w:r w:rsidRPr="00D80B56">
        <w:t>used group of generalized s</w:t>
      </w:r>
      <w:r>
        <w:t>urvivor curves that contain the</w:t>
      </w:r>
      <w:r w:rsidRPr="00D80B56">
        <w:t xml:space="preserve"> range of survivor characteristic</w:t>
      </w:r>
      <w:r>
        <w:t>s usually experienced by public utilities, as well as</w:t>
      </w:r>
      <w:r w:rsidRPr="00D80B56">
        <w:t xml:space="preserve"> companies</w:t>
      </w:r>
      <w:r>
        <w:t xml:space="preserve"> in other industries</w:t>
      </w:r>
      <w:r w:rsidRPr="00D80B56">
        <w:t>.</w:t>
      </w:r>
    </w:p>
  </w:footnote>
  <w:footnote w:id="5">
    <w:p w14:paraId="2A80E473" w14:textId="77777777" w:rsidR="00684DE2" w:rsidRDefault="00684DE2">
      <w:pPr>
        <w:pStyle w:val="FootnoteText"/>
      </w:pPr>
      <w:r>
        <w:rPr>
          <w:rStyle w:val="FootnoteReference"/>
        </w:rPr>
        <w:footnoteRef/>
      </w:r>
      <w:r>
        <w:t xml:space="preserve"> Docket No. 20160174-GU, Sebring’s Responses to Staff’s First Data </w:t>
      </w:r>
      <w:r w:rsidRPr="007B1734">
        <w:t>Request, No. 7, DN</w:t>
      </w:r>
      <w:r w:rsidR="007B1734" w:rsidRPr="007B1734">
        <w:t xml:space="preserve"> 08031-2016</w:t>
      </w:r>
      <w:r w:rsidR="007B1734">
        <w:t>.</w:t>
      </w:r>
    </w:p>
  </w:footnote>
  <w:footnote w:id="6">
    <w:p w14:paraId="2DC8D3AA" w14:textId="77777777" w:rsidR="008D425F" w:rsidRDefault="008D425F">
      <w:pPr>
        <w:pStyle w:val="FootnoteText"/>
      </w:pPr>
      <w:r>
        <w:rPr>
          <w:rStyle w:val="FootnoteReference"/>
        </w:rPr>
        <w:footnoteRef/>
      </w:r>
      <w:r>
        <w:t xml:space="preserve"> Formula is </w:t>
      </w:r>
      <w:r w:rsidR="00D70B55">
        <w:t xml:space="preserve">Study Period </w:t>
      </w:r>
      <w:r>
        <w:t xml:space="preserve">Retirements </w:t>
      </w:r>
      <w:r w:rsidR="00BE48AF">
        <w:t>÷</w:t>
      </w:r>
      <w:r>
        <w:t xml:space="preserve"> </w:t>
      </w:r>
      <w:r w:rsidR="00D70B55">
        <w:t xml:space="preserve">Study Period </w:t>
      </w:r>
      <w:r>
        <w:t xml:space="preserve">Additions or $41,051 </w:t>
      </w:r>
      <w:r w:rsidR="00BE48AF">
        <w:t>÷</w:t>
      </w:r>
      <w:r>
        <w:t xml:space="preserve"> $1,</w:t>
      </w:r>
      <w:r w:rsidR="00713667">
        <w:t>3</w:t>
      </w:r>
      <w:r>
        <w:t>2</w:t>
      </w:r>
      <w:r w:rsidR="00713667">
        <w:t>1</w:t>
      </w:r>
      <w:r>
        <w:t>,6</w:t>
      </w:r>
      <w:r w:rsidR="00713667">
        <w:t>9</w:t>
      </w:r>
      <w:r>
        <w:t xml:space="preserve">4 = </w:t>
      </w:r>
      <w:r w:rsidR="00EF24E1">
        <w:t>3.11%</w:t>
      </w:r>
    </w:p>
  </w:footnote>
  <w:footnote w:id="7">
    <w:p w14:paraId="0C6CE9F7" w14:textId="77777777" w:rsidR="00C344E0" w:rsidRDefault="00C344E0" w:rsidP="00C344E0">
      <w:pPr>
        <w:pStyle w:val="FootnoteText"/>
      </w:pPr>
      <w:r>
        <w:rPr>
          <w:rStyle w:val="FootnoteReference"/>
        </w:rPr>
        <w:footnoteRef/>
      </w:r>
      <w:r>
        <w:t xml:space="preserve"> </w:t>
      </w:r>
      <w:r w:rsidR="004D7DD6">
        <w:t>Sebring’s Petition for approval of 2021 depreciation study, filed November 18, 2021.</w:t>
      </w:r>
    </w:p>
  </w:footnote>
  <w:footnote w:id="8">
    <w:p w14:paraId="49586DF7" w14:textId="77777777" w:rsidR="00E47287" w:rsidRDefault="00E47287">
      <w:pPr>
        <w:pStyle w:val="FootnoteText"/>
      </w:pPr>
      <w:r>
        <w:rPr>
          <w:rStyle w:val="FootnoteReference"/>
        </w:rPr>
        <w:footnoteRef/>
      </w:r>
      <w:r>
        <w:t xml:space="preserve"> </w:t>
      </w:r>
      <w:r w:rsidRPr="00E47287">
        <w:t xml:space="preserve">DN </w:t>
      </w:r>
      <w:r w:rsidRPr="00D20295">
        <w:rPr>
          <w:color w:val="333333"/>
        </w:rPr>
        <w:t>01519-2022</w:t>
      </w:r>
      <w:r>
        <w:rPr>
          <w:color w:val="333333"/>
        </w:rPr>
        <w:t>.</w:t>
      </w:r>
    </w:p>
  </w:footnote>
  <w:footnote w:id="9">
    <w:p w14:paraId="0D12057F" w14:textId="77777777" w:rsidR="00B4658D" w:rsidRDefault="00B4658D" w:rsidP="00B4658D">
      <w:pPr>
        <w:pStyle w:val="FootnoteText"/>
      </w:pPr>
      <w:r>
        <w:rPr>
          <w:rStyle w:val="FootnoteReference"/>
        </w:rPr>
        <w:footnoteRef/>
      </w:r>
      <w:r>
        <w:t xml:space="preserve"> Treas. Reg. §1.168; Treas. Reg. §1.167; Treas. Reg. §1.46.</w:t>
      </w:r>
    </w:p>
  </w:footnote>
  <w:footnote w:id="10">
    <w:p w14:paraId="07697FCE" w14:textId="77777777" w:rsidR="00B4658D" w:rsidRDefault="00B4658D" w:rsidP="00B4658D">
      <w:pPr>
        <w:pStyle w:val="FootnoteText"/>
      </w:pPr>
      <w:r>
        <w:rPr>
          <w:rStyle w:val="FootnoteReference"/>
        </w:rPr>
        <w:footnoteRef/>
      </w:r>
      <w:r>
        <w:t xml:space="preserve"> 26 US Code §§168(f)(2) and (i)(9).</w:t>
      </w:r>
    </w:p>
  </w:footnote>
  <w:footnote w:id="11">
    <w:p w14:paraId="7558AAD2" w14:textId="77777777" w:rsidR="00B4658D" w:rsidRDefault="00B4658D" w:rsidP="00B4658D">
      <w:pPr>
        <w:pStyle w:val="FootnoteText"/>
      </w:pPr>
      <w:r w:rsidRPr="00B4658D">
        <w:rPr>
          <w:rStyle w:val="FootnoteReference"/>
        </w:rPr>
        <w:footnoteRef/>
      </w:r>
      <w:r w:rsidRPr="00B4658D">
        <w:t xml:space="preserve"> Under IRC Section 50(d)(2), the terms of former 26 US Codes §167(l) and §46(f), which were repealed by the Revenue Reconciliation Act of 1990 (Pub. L. No. 101-508, §11812(a)(1-2)(1990)), remain applicable to public utility property for which a regulated utility previously claimed ITCs, which is the case here. (I.R.S. Priv. Ltr. Rul. 200933023, 1n.1 (May 7, 2009)).</w:t>
      </w:r>
    </w:p>
  </w:footnote>
  <w:footnote w:id="12">
    <w:p w14:paraId="659E21D7" w14:textId="77777777" w:rsidR="00B4658D" w:rsidRDefault="00B4658D" w:rsidP="00B4658D">
      <w:pPr>
        <w:pStyle w:val="FootnoteText"/>
      </w:pPr>
      <w:r>
        <w:rPr>
          <w:rStyle w:val="FootnoteReference"/>
        </w:rPr>
        <w:footnoteRef/>
      </w:r>
      <w:r>
        <w:t xml:space="preserve"> Tax Reform Act of 1986, Pub. L. No. 99-514 (100 Stat. 2085, 2146)(1986).</w:t>
      </w:r>
    </w:p>
  </w:footnote>
  <w:footnote w:id="13">
    <w:p w14:paraId="23D737D8" w14:textId="77777777" w:rsidR="007F722E" w:rsidRDefault="007F722E" w:rsidP="007F722E">
      <w:pPr>
        <w:pStyle w:val="FootnoteText"/>
      </w:pPr>
      <w:r>
        <w:rPr>
          <w:rStyle w:val="FootnoteReference"/>
        </w:rPr>
        <w:footnoteRef/>
      </w:r>
      <w:r>
        <w:t xml:space="preserve"> Former 26 USC §46(f)(6) (establishing proper determination of ratable portion).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8E8E" w14:textId="77777777" w:rsidR="00BC402E" w:rsidRDefault="00C1001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20210183-GU</w:t>
    </w:r>
    <w:bookmarkEnd w:id="15"/>
  </w:p>
  <w:p w14:paraId="4C9B9FF9" w14:textId="727D12CC" w:rsidR="00BC402E" w:rsidRDefault="00BC402E">
    <w:pPr>
      <w:pStyle w:val="Header"/>
    </w:pPr>
    <w:r>
      <w:t xml:space="preserve">Date: </w:t>
    </w:r>
    <w:r w:rsidR="00AC1B92">
      <w:fldChar w:fldCharType="begin"/>
    </w:r>
    <w:r w:rsidR="00AC1B92">
      <w:instrText xml:space="preserve"> REF FilingDate </w:instrText>
    </w:r>
    <w:r w:rsidR="00AC1B92">
      <w:fldChar w:fldCharType="separate"/>
    </w:r>
    <w:r w:rsidR="00C80551">
      <w:t>March 24, 2022</w:t>
    </w:r>
    <w:r w:rsidR="00AC1B9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9732" w14:textId="73DE2155"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80551">
      <w:t>Docket No.</w:t>
    </w:r>
    <w:r>
      <w:fldChar w:fldCharType="end"/>
    </w:r>
    <w:r>
      <w:t xml:space="preserve"> </w:t>
    </w:r>
    <w:r>
      <w:fldChar w:fldCharType="begin"/>
    </w:r>
    <w:r>
      <w:instrText xml:space="preserve"> REF DocketList</w:instrText>
    </w:r>
    <w:r>
      <w:fldChar w:fldCharType="separate"/>
    </w:r>
    <w:r w:rsidR="00C80551">
      <w:t>20210183-GU</w:t>
    </w:r>
    <w:r>
      <w:fldChar w:fldCharType="end"/>
    </w:r>
    <w:r>
      <w:tab/>
      <w:t xml:space="preserve">Issue </w:t>
    </w:r>
    <w:r w:rsidR="00AC1B92">
      <w:fldChar w:fldCharType="begin"/>
    </w:r>
    <w:r w:rsidR="00AC1B92">
      <w:instrText xml:space="preserve"> Seq Issue \c \* Arabic </w:instrText>
    </w:r>
    <w:r w:rsidR="00AC1B92">
      <w:fldChar w:fldCharType="separate"/>
    </w:r>
    <w:r w:rsidR="00E27822">
      <w:rPr>
        <w:noProof/>
      </w:rPr>
      <w:t>5</w:t>
    </w:r>
    <w:r w:rsidR="00AC1B92">
      <w:rPr>
        <w:noProof/>
      </w:rPr>
      <w:fldChar w:fldCharType="end"/>
    </w:r>
  </w:p>
  <w:p w14:paraId="78470332" w14:textId="3210D4F2" w:rsidR="00BC402E" w:rsidRDefault="00BC402E">
    <w:pPr>
      <w:pStyle w:val="Header"/>
    </w:pPr>
    <w:r>
      <w:t xml:space="preserve">Date: </w:t>
    </w:r>
    <w:r w:rsidR="00AC1B92">
      <w:fldChar w:fldCharType="begin"/>
    </w:r>
    <w:r w:rsidR="00AC1B92">
      <w:instrText xml:space="preserve"> R</w:instrText>
    </w:r>
    <w:r w:rsidR="00AC1B92">
      <w:instrText xml:space="preserve">EF FilingDate </w:instrText>
    </w:r>
    <w:r w:rsidR="00AC1B92">
      <w:fldChar w:fldCharType="separate"/>
    </w:r>
    <w:r w:rsidR="00C80551">
      <w:t>March 24, 2022</w:t>
    </w:r>
    <w:r w:rsidR="00AC1B9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66F6B"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B0934" w14:textId="4F12D9E3" w:rsidR="00BF4AE7" w:rsidRDefault="00BF4AE7" w:rsidP="00220732">
    <w:pPr>
      <w:pStyle w:val="Header"/>
      <w:tabs>
        <w:tab w:val="clear" w:pos="4320"/>
        <w:tab w:val="clear" w:pos="8640"/>
        <w:tab w:val="right" w:pos="9360"/>
      </w:tabs>
    </w:pPr>
    <w:r>
      <w:fldChar w:fldCharType="begin"/>
    </w:r>
    <w:r>
      <w:instrText xml:space="preserve"> REF DocketLabel</w:instrText>
    </w:r>
    <w:r>
      <w:fldChar w:fldCharType="separate"/>
    </w:r>
    <w:r w:rsidR="00C80551">
      <w:t>Docket No.</w:t>
    </w:r>
    <w:r>
      <w:fldChar w:fldCharType="end"/>
    </w:r>
    <w:r>
      <w:t xml:space="preserve"> </w:t>
    </w:r>
    <w:r>
      <w:fldChar w:fldCharType="begin"/>
    </w:r>
    <w:r>
      <w:instrText xml:space="preserve"> REF DocketList</w:instrText>
    </w:r>
    <w:r>
      <w:fldChar w:fldCharType="separate"/>
    </w:r>
    <w:r w:rsidR="00C80551">
      <w:t>20210183-GU</w:t>
    </w:r>
    <w:r>
      <w:fldChar w:fldCharType="end"/>
    </w:r>
    <w:r>
      <w:tab/>
      <w:t>Attachment A</w:t>
    </w:r>
  </w:p>
  <w:p w14:paraId="323CD1AE" w14:textId="3FE47D32" w:rsidR="00BF4AE7" w:rsidRDefault="00BF4AE7">
    <w:pPr>
      <w:pStyle w:val="Header"/>
    </w:pPr>
    <w:r>
      <w:t xml:space="preserve">Date: </w:t>
    </w:r>
    <w:r w:rsidR="00AC1B92">
      <w:fldChar w:fldCharType="begin"/>
    </w:r>
    <w:r w:rsidR="00AC1B92">
      <w:instrText xml:space="preserve"> REF FilingDate </w:instrText>
    </w:r>
    <w:r w:rsidR="00AC1B92">
      <w:fldChar w:fldCharType="separate"/>
    </w:r>
    <w:r w:rsidR="00C80551">
      <w:t>March 24, 2022</w:t>
    </w:r>
    <w:r w:rsidR="00AC1B92">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7285" w14:textId="102F067B" w:rsidR="00BF4AE7" w:rsidRDefault="00BF4AE7" w:rsidP="00220732">
    <w:pPr>
      <w:pStyle w:val="Header"/>
      <w:tabs>
        <w:tab w:val="clear" w:pos="4320"/>
        <w:tab w:val="clear" w:pos="8640"/>
        <w:tab w:val="right" w:pos="9360"/>
      </w:tabs>
    </w:pPr>
    <w:r>
      <w:fldChar w:fldCharType="begin"/>
    </w:r>
    <w:r>
      <w:instrText xml:space="preserve"> REF DocketLabel</w:instrText>
    </w:r>
    <w:r>
      <w:fldChar w:fldCharType="separate"/>
    </w:r>
    <w:r w:rsidR="00C80551">
      <w:t>Docket No.</w:t>
    </w:r>
    <w:r>
      <w:fldChar w:fldCharType="end"/>
    </w:r>
    <w:r>
      <w:t xml:space="preserve"> </w:t>
    </w:r>
    <w:r>
      <w:fldChar w:fldCharType="begin"/>
    </w:r>
    <w:r>
      <w:instrText xml:space="preserve"> REF DocketList</w:instrText>
    </w:r>
    <w:r>
      <w:fldChar w:fldCharType="separate"/>
    </w:r>
    <w:r w:rsidR="00C80551">
      <w:t>20210183-GU</w:t>
    </w:r>
    <w:r>
      <w:fldChar w:fldCharType="end"/>
    </w:r>
    <w:r>
      <w:tab/>
      <w:t>Attachment B</w:t>
    </w:r>
  </w:p>
  <w:p w14:paraId="62E00546" w14:textId="0ED34A44" w:rsidR="00BF4AE7" w:rsidRDefault="00BF4AE7">
    <w:pPr>
      <w:pStyle w:val="Header"/>
    </w:pPr>
    <w:r>
      <w:t xml:space="preserve">Date: </w:t>
    </w:r>
    <w:r w:rsidR="00AC1B92">
      <w:fldChar w:fldCharType="begin"/>
    </w:r>
    <w:r w:rsidR="00AC1B92">
      <w:instrText xml:space="preserve"> REF FilingDate </w:instrText>
    </w:r>
    <w:r w:rsidR="00AC1B92">
      <w:fldChar w:fldCharType="separate"/>
    </w:r>
    <w:r w:rsidR="00C80551">
      <w:t>March 24, 2022</w:t>
    </w:r>
    <w:r w:rsidR="00AC1B92">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7DD0" w14:textId="5CD8D3B1" w:rsidR="00BF4AE7" w:rsidRDefault="00BF4AE7" w:rsidP="00220732">
    <w:pPr>
      <w:pStyle w:val="Header"/>
      <w:tabs>
        <w:tab w:val="clear" w:pos="4320"/>
        <w:tab w:val="clear" w:pos="8640"/>
        <w:tab w:val="right" w:pos="9360"/>
      </w:tabs>
    </w:pPr>
    <w:r>
      <w:fldChar w:fldCharType="begin"/>
    </w:r>
    <w:r>
      <w:instrText xml:space="preserve"> REF DocketLabel</w:instrText>
    </w:r>
    <w:r>
      <w:fldChar w:fldCharType="separate"/>
    </w:r>
    <w:r w:rsidR="00C80551">
      <w:t>Docket No.</w:t>
    </w:r>
    <w:r>
      <w:fldChar w:fldCharType="end"/>
    </w:r>
    <w:r>
      <w:t xml:space="preserve"> </w:t>
    </w:r>
    <w:r>
      <w:fldChar w:fldCharType="begin"/>
    </w:r>
    <w:r>
      <w:instrText xml:space="preserve"> REF DocketList</w:instrText>
    </w:r>
    <w:r>
      <w:fldChar w:fldCharType="separate"/>
    </w:r>
    <w:r w:rsidR="00C80551">
      <w:t>20210183-GU</w:t>
    </w:r>
    <w:r>
      <w:fldChar w:fldCharType="end"/>
    </w:r>
    <w:r>
      <w:tab/>
      <w:t>Attachment C</w:t>
    </w:r>
  </w:p>
  <w:p w14:paraId="00A5536E" w14:textId="123A905B" w:rsidR="00BF4AE7" w:rsidRDefault="00BF4AE7">
    <w:pPr>
      <w:pStyle w:val="Header"/>
    </w:pPr>
    <w:r>
      <w:t xml:space="preserve">Date: </w:t>
    </w:r>
    <w:r w:rsidR="00AC1B92">
      <w:fldChar w:fldCharType="begin"/>
    </w:r>
    <w:r w:rsidR="00AC1B92">
      <w:instrText xml:space="preserve"> REF FilingDate </w:instrText>
    </w:r>
    <w:r w:rsidR="00AC1B92">
      <w:fldChar w:fldCharType="separate"/>
    </w:r>
    <w:r w:rsidR="00C80551">
      <w:t>March 24, 2022</w:t>
    </w:r>
    <w:r w:rsidR="00AC1B9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10012"/>
    <w:rsid w:val="000043D5"/>
    <w:rsid w:val="00006170"/>
    <w:rsid w:val="00010E37"/>
    <w:rsid w:val="000172DA"/>
    <w:rsid w:val="000247C5"/>
    <w:rsid w:val="000277C2"/>
    <w:rsid w:val="00035B48"/>
    <w:rsid w:val="00036CE2"/>
    <w:rsid w:val="000408AC"/>
    <w:rsid w:val="000437FE"/>
    <w:rsid w:val="000513BE"/>
    <w:rsid w:val="00065A06"/>
    <w:rsid w:val="000666F3"/>
    <w:rsid w:val="00070DCB"/>
    <w:rsid w:val="00072CCA"/>
    <w:rsid w:val="00073120"/>
    <w:rsid w:val="000764D0"/>
    <w:rsid w:val="000828D3"/>
    <w:rsid w:val="000841DB"/>
    <w:rsid w:val="000A2B57"/>
    <w:rsid w:val="000A418B"/>
    <w:rsid w:val="000C2D51"/>
    <w:rsid w:val="000C4431"/>
    <w:rsid w:val="000D1C06"/>
    <w:rsid w:val="000D4319"/>
    <w:rsid w:val="000F374A"/>
    <w:rsid w:val="001076AF"/>
    <w:rsid w:val="00112015"/>
    <w:rsid w:val="00113A2B"/>
    <w:rsid w:val="00117C8C"/>
    <w:rsid w:val="00124C38"/>
    <w:rsid w:val="00124E2E"/>
    <w:rsid w:val="00125ED4"/>
    <w:rsid w:val="001305E9"/>
    <w:rsid w:val="001307AF"/>
    <w:rsid w:val="00135687"/>
    <w:rsid w:val="001463A5"/>
    <w:rsid w:val="0015506E"/>
    <w:rsid w:val="00163031"/>
    <w:rsid w:val="00171A90"/>
    <w:rsid w:val="00175ECC"/>
    <w:rsid w:val="00180254"/>
    <w:rsid w:val="00191E1F"/>
    <w:rsid w:val="00192943"/>
    <w:rsid w:val="001A7406"/>
    <w:rsid w:val="001B4FEE"/>
    <w:rsid w:val="001B51C5"/>
    <w:rsid w:val="001B6F3F"/>
    <w:rsid w:val="001C04D5"/>
    <w:rsid w:val="001C52B5"/>
    <w:rsid w:val="001C7E76"/>
    <w:rsid w:val="001D0D3E"/>
    <w:rsid w:val="001E1BFD"/>
    <w:rsid w:val="001F2245"/>
    <w:rsid w:val="001F2C63"/>
    <w:rsid w:val="001F47AA"/>
    <w:rsid w:val="001F48C7"/>
    <w:rsid w:val="001F6DA1"/>
    <w:rsid w:val="001F7FEC"/>
    <w:rsid w:val="002006DF"/>
    <w:rsid w:val="002044E6"/>
    <w:rsid w:val="00205C82"/>
    <w:rsid w:val="00205DC2"/>
    <w:rsid w:val="00206896"/>
    <w:rsid w:val="00212B17"/>
    <w:rsid w:val="002163B6"/>
    <w:rsid w:val="00220732"/>
    <w:rsid w:val="00221D32"/>
    <w:rsid w:val="00225C3F"/>
    <w:rsid w:val="00244AE7"/>
    <w:rsid w:val="00263D44"/>
    <w:rsid w:val="002702AD"/>
    <w:rsid w:val="0028064A"/>
    <w:rsid w:val="0028676B"/>
    <w:rsid w:val="00292D82"/>
    <w:rsid w:val="002963CB"/>
    <w:rsid w:val="002A0E89"/>
    <w:rsid w:val="002B20EB"/>
    <w:rsid w:val="002B4A01"/>
    <w:rsid w:val="002B7795"/>
    <w:rsid w:val="002D226D"/>
    <w:rsid w:val="002D6038"/>
    <w:rsid w:val="002F6030"/>
    <w:rsid w:val="003037E1"/>
    <w:rsid w:val="00307E51"/>
    <w:rsid w:val="003103EC"/>
    <w:rsid w:val="003144EF"/>
    <w:rsid w:val="00322F74"/>
    <w:rsid w:val="00340073"/>
    <w:rsid w:val="003632FD"/>
    <w:rsid w:val="00372805"/>
    <w:rsid w:val="00373180"/>
    <w:rsid w:val="00375AB9"/>
    <w:rsid w:val="0037618D"/>
    <w:rsid w:val="003821A0"/>
    <w:rsid w:val="00385B04"/>
    <w:rsid w:val="003864CF"/>
    <w:rsid w:val="003948AE"/>
    <w:rsid w:val="003A22A6"/>
    <w:rsid w:val="003A5494"/>
    <w:rsid w:val="003B2510"/>
    <w:rsid w:val="003C2CC4"/>
    <w:rsid w:val="003C3710"/>
    <w:rsid w:val="003D67AF"/>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3381E"/>
    <w:rsid w:val="004426B8"/>
    <w:rsid w:val="00444432"/>
    <w:rsid w:val="00471860"/>
    <w:rsid w:val="00472818"/>
    <w:rsid w:val="00476F32"/>
    <w:rsid w:val="00477026"/>
    <w:rsid w:val="004A744D"/>
    <w:rsid w:val="004B60BD"/>
    <w:rsid w:val="004C3150"/>
    <w:rsid w:val="004C3641"/>
    <w:rsid w:val="004C4390"/>
    <w:rsid w:val="004C4AF7"/>
    <w:rsid w:val="004D2881"/>
    <w:rsid w:val="004D385F"/>
    <w:rsid w:val="004D5B39"/>
    <w:rsid w:val="004D7DD6"/>
    <w:rsid w:val="004E330D"/>
    <w:rsid w:val="004E5147"/>
    <w:rsid w:val="004E5721"/>
    <w:rsid w:val="004E69B5"/>
    <w:rsid w:val="004F5C43"/>
    <w:rsid w:val="0050652D"/>
    <w:rsid w:val="00506C03"/>
    <w:rsid w:val="00511A11"/>
    <w:rsid w:val="005163F3"/>
    <w:rsid w:val="00516496"/>
    <w:rsid w:val="005169BE"/>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729"/>
    <w:rsid w:val="005D0F74"/>
    <w:rsid w:val="005D2E7D"/>
    <w:rsid w:val="005D4A8F"/>
    <w:rsid w:val="005D561B"/>
    <w:rsid w:val="005D5ECF"/>
    <w:rsid w:val="005D770D"/>
    <w:rsid w:val="005F468D"/>
    <w:rsid w:val="005F673B"/>
    <w:rsid w:val="005F69A3"/>
    <w:rsid w:val="00604CC7"/>
    <w:rsid w:val="00615423"/>
    <w:rsid w:val="006165B2"/>
    <w:rsid w:val="00617276"/>
    <w:rsid w:val="0062527B"/>
    <w:rsid w:val="00625D97"/>
    <w:rsid w:val="00625F1C"/>
    <w:rsid w:val="006279E1"/>
    <w:rsid w:val="00630CEB"/>
    <w:rsid w:val="00632264"/>
    <w:rsid w:val="00634E7F"/>
    <w:rsid w:val="006465AC"/>
    <w:rsid w:val="006470BC"/>
    <w:rsid w:val="006554D3"/>
    <w:rsid w:val="00663F35"/>
    <w:rsid w:val="00667036"/>
    <w:rsid w:val="00673BDB"/>
    <w:rsid w:val="00674341"/>
    <w:rsid w:val="006771B8"/>
    <w:rsid w:val="006843B6"/>
    <w:rsid w:val="0068481F"/>
    <w:rsid w:val="00684DE2"/>
    <w:rsid w:val="00696F5D"/>
    <w:rsid w:val="00697249"/>
    <w:rsid w:val="006B3947"/>
    <w:rsid w:val="006B4293"/>
    <w:rsid w:val="006B624F"/>
    <w:rsid w:val="006C0C95"/>
    <w:rsid w:val="006C31E3"/>
    <w:rsid w:val="006D18D3"/>
    <w:rsid w:val="006E08CB"/>
    <w:rsid w:val="006E598D"/>
    <w:rsid w:val="006E6F0C"/>
    <w:rsid w:val="0070437D"/>
    <w:rsid w:val="00704CF1"/>
    <w:rsid w:val="00705B04"/>
    <w:rsid w:val="00713667"/>
    <w:rsid w:val="00724992"/>
    <w:rsid w:val="00725AB3"/>
    <w:rsid w:val="00734820"/>
    <w:rsid w:val="007349DC"/>
    <w:rsid w:val="0074365E"/>
    <w:rsid w:val="00744B55"/>
    <w:rsid w:val="007515FD"/>
    <w:rsid w:val="00760D80"/>
    <w:rsid w:val="00767BC7"/>
    <w:rsid w:val="00780C09"/>
    <w:rsid w:val="00780DDF"/>
    <w:rsid w:val="007834E9"/>
    <w:rsid w:val="00787DBC"/>
    <w:rsid w:val="0079019A"/>
    <w:rsid w:val="00792935"/>
    <w:rsid w:val="007A04A1"/>
    <w:rsid w:val="007A1840"/>
    <w:rsid w:val="007B1734"/>
    <w:rsid w:val="007C0528"/>
    <w:rsid w:val="007C3D38"/>
    <w:rsid w:val="007D0F35"/>
    <w:rsid w:val="007D4FEB"/>
    <w:rsid w:val="007D6146"/>
    <w:rsid w:val="007E0CE7"/>
    <w:rsid w:val="007F1193"/>
    <w:rsid w:val="007F142B"/>
    <w:rsid w:val="007F417F"/>
    <w:rsid w:val="007F722E"/>
    <w:rsid w:val="007F7644"/>
    <w:rsid w:val="008042BD"/>
    <w:rsid w:val="00816624"/>
    <w:rsid w:val="00822427"/>
    <w:rsid w:val="00822562"/>
    <w:rsid w:val="00823663"/>
    <w:rsid w:val="00832DDC"/>
    <w:rsid w:val="00840F7D"/>
    <w:rsid w:val="00850BAC"/>
    <w:rsid w:val="00854A3E"/>
    <w:rsid w:val="00855D08"/>
    <w:rsid w:val="0087167C"/>
    <w:rsid w:val="00874344"/>
    <w:rsid w:val="00876F04"/>
    <w:rsid w:val="00882155"/>
    <w:rsid w:val="0088233B"/>
    <w:rsid w:val="0088599E"/>
    <w:rsid w:val="00886C37"/>
    <w:rsid w:val="00892D99"/>
    <w:rsid w:val="00893315"/>
    <w:rsid w:val="008A6E81"/>
    <w:rsid w:val="008B455B"/>
    <w:rsid w:val="008B62AE"/>
    <w:rsid w:val="008C04B5"/>
    <w:rsid w:val="008C14FA"/>
    <w:rsid w:val="008C7B0B"/>
    <w:rsid w:val="008D4057"/>
    <w:rsid w:val="008D425F"/>
    <w:rsid w:val="008E159A"/>
    <w:rsid w:val="008E1F19"/>
    <w:rsid w:val="008F2262"/>
    <w:rsid w:val="008F4D2B"/>
    <w:rsid w:val="008F7736"/>
    <w:rsid w:val="0090019E"/>
    <w:rsid w:val="00901086"/>
    <w:rsid w:val="00901C8A"/>
    <w:rsid w:val="00905886"/>
    <w:rsid w:val="009070D6"/>
    <w:rsid w:val="009076C6"/>
    <w:rsid w:val="0091019E"/>
    <w:rsid w:val="009106F1"/>
    <w:rsid w:val="00911D64"/>
    <w:rsid w:val="00912404"/>
    <w:rsid w:val="009140F0"/>
    <w:rsid w:val="009145D6"/>
    <w:rsid w:val="00920E64"/>
    <w:rsid w:val="00922002"/>
    <w:rsid w:val="00923031"/>
    <w:rsid w:val="00924020"/>
    <w:rsid w:val="009271A7"/>
    <w:rsid w:val="0093658B"/>
    <w:rsid w:val="009429FF"/>
    <w:rsid w:val="00945BD6"/>
    <w:rsid w:val="009479FB"/>
    <w:rsid w:val="00951C45"/>
    <w:rsid w:val="009656F2"/>
    <w:rsid w:val="00966A08"/>
    <w:rsid w:val="00971207"/>
    <w:rsid w:val="00975CB4"/>
    <w:rsid w:val="00983CC6"/>
    <w:rsid w:val="009863B0"/>
    <w:rsid w:val="00987DE1"/>
    <w:rsid w:val="00990571"/>
    <w:rsid w:val="0099673A"/>
    <w:rsid w:val="009A3330"/>
    <w:rsid w:val="009A7C96"/>
    <w:rsid w:val="009C3DB9"/>
    <w:rsid w:val="009D1545"/>
    <w:rsid w:val="009D46E5"/>
    <w:rsid w:val="009D568A"/>
    <w:rsid w:val="009F04EC"/>
    <w:rsid w:val="009F0EDD"/>
    <w:rsid w:val="009F2A7C"/>
    <w:rsid w:val="009F3B36"/>
    <w:rsid w:val="009F40F8"/>
    <w:rsid w:val="00A019B9"/>
    <w:rsid w:val="00A12508"/>
    <w:rsid w:val="00A1282B"/>
    <w:rsid w:val="00A13A27"/>
    <w:rsid w:val="00A14CF7"/>
    <w:rsid w:val="00A175B6"/>
    <w:rsid w:val="00A21835"/>
    <w:rsid w:val="00A2374B"/>
    <w:rsid w:val="00A26F28"/>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1E1B"/>
    <w:rsid w:val="00AB6C5D"/>
    <w:rsid w:val="00AC3401"/>
    <w:rsid w:val="00AC51A7"/>
    <w:rsid w:val="00AD2C6E"/>
    <w:rsid w:val="00AD444B"/>
    <w:rsid w:val="00AD5614"/>
    <w:rsid w:val="00AD6C78"/>
    <w:rsid w:val="00AE2EAB"/>
    <w:rsid w:val="00AE46EA"/>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3F0D"/>
    <w:rsid w:val="00B44DFF"/>
    <w:rsid w:val="00B45D32"/>
    <w:rsid w:val="00B4658D"/>
    <w:rsid w:val="00B516ED"/>
    <w:rsid w:val="00B53EF8"/>
    <w:rsid w:val="00B5755E"/>
    <w:rsid w:val="00B57A6A"/>
    <w:rsid w:val="00B63C55"/>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C5420"/>
    <w:rsid w:val="00BD0F48"/>
    <w:rsid w:val="00BD3441"/>
    <w:rsid w:val="00BE48AF"/>
    <w:rsid w:val="00BE6DDB"/>
    <w:rsid w:val="00BF0D8C"/>
    <w:rsid w:val="00BF4AE7"/>
    <w:rsid w:val="00BF5010"/>
    <w:rsid w:val="00C02D9E"/>
    <w:rsid w:val="00C03D5F"/>
    <w:rsid w:val="00C10012"/>
    <w:rsid w:val="00C13791"/>
    <w:rsid w:val="00C16AFB"/>
    <w:rsid w:val="00C242A5"/>
    <w:rsid w:val="00C31BB3"/>
    <w:rsid w:val="00C344E0"/>
    <w:rsid w:val="00C36977"/>
    <w:rsid w:val="00C467DA"/>
    <w:rsid w:val="00C477D9"/>
    <w:rsid w:val="00C500F0"/>
    <w:rsid w:val="00C5401A"/>
    <w:rsid w:val="00C60BA3"/>
    <w:rsid w:val="00C623F7"/>
    <w:rsid w:val="00C62A81"/>
    <w:rsid w:val="00C75BC5"/>
    <w:rsid w:val="00C80551"/>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78F6"/>
    <w:rsid w:val="00CC10A9"/>
    <w:rsid w:val="00CE101D"/>
    <w:rsid w:val="00CE2BF8"/>
    <w:rsid w:val="00CE484E"/>
    <w:rsid w:val="00CE656F"/>
    <w:rsid w:val="00CE7092"/>
    <w:rsid w:val="00CF0DA8"/>
    <w:rsid w:val="00CF2E25"/>
    <w:rsid w:val="00CF4453"/>
    <w:rsid w:val="00CF5D94"/>
    <w:rsid w:val="00CF7E0F"/>
    <w:rsid w:val="00D034D7"/>
    <w:rsid w:val="00D04BE4"/>
    <w:rsid w:val="00D05E97"/>
    <w:rsid w:val="00D066EB"/>
    <w:rsid w:val="00D06FC7"/>
    <w:rsid w:val="00D12565"/>
    <w:rsid w:val="00D14127"/>
    <w:rsid w:val="00D20295"/>
    <w:rsid w:val="00D5227E"/>
    <w:rsid w:val="00D60B16"/>
    <w:rsid w:val="00D60F02"/>
    <w:rsid w:val="00D643E2"/>
    <w:rsid w:val="00D65886"/>
    <w:rsid w:val="00D66E49"/>
    <w:rsid w:val="00D70B55"/>
    <w:rsid w:val="00D70D71"/>
    <w:rsid w:val="00D710C1"/>
    <w:rsid w:val="00D72F74"/>
    <w:rsid w:val="00D81563"/>
    <w:rsid w:val="00D818AF"/>
    <w:rsid w:val="00D85907"/>
    <w:rsid w:val="00D87CA3"/>
    <w:rsid w:val="00D9073E"/>
    <w:rsid w:val="00D9221D"/>
    <w:rsid w:val="00D958DF"/>
    <w:rsid w:val="00D96DA1"/>
    <w:rsid w:val="00DA18AB"/>
    <w:rsid w:val="00DA4C90"/>
    <w:rsid w:val="00DA51E7"/>
    <w:rsid w:val="00DB0260"/>
    <w:rsid w:val="00DB04F6"/>
    <w:rsid w:val="00DB1C78"/>
    <w:rsid w:val="00DB7D96"/>
    <w:rsid w:val="00DC23FE"/>
    <w:rsid w:val="00DC59E6"/>
    <w:rsid w:val="00DD150B"/>
    <w:rsid w:val="00DD2DEA"/>
    <w:rsid w:val="00DD5025"/>
    <w:rsid w:val="00DE080A"/>
    <w:rsid w:val="00DE45FD"/>
    <w:rsid w:val="00DF07BC"/>
    <w:rsid w:val="00DF1510"/>
    <w:rsid w:val="00E009FE"/>
    <w:rsid w:val="00E02F1F"/>
    <w:rsid w:val="00E06484"/>
    <w:rsid w:val="00E12DAF"/>
    <w:rsid w:val="00E20A7D"/>
    <w:rsid w:val="00E275D8"/>
    <w:rsid w:val="00E27822"/>
    <w:rsid w:val="00E30F6A"/>
    <w:rsid w:val="00E3117C"/>
    <w:rsid w:val="00E375CA"/>
    <w:rsid w:val="00E47287"/>
    <w:rsid w:val="00E5364F"/>
    <w:rsid w:val="00E547D3"/>
    <w:rsid w:val="00E567E8"/>
    <w:rsid w:val="00E64679"/>
    <w:rsid w:val="00E65EBC"/>
    <w:rsid w:val="00E677FE"/>
    <w:rsid w:val="00E73432"/>
    <w:rsid w:val="00E77B0C"/>
    <w:rsid w:val="00E77FB8"/>
    <w:rsid w:val="00E838B0"/>
    <w:rsid w:val="00E84EA2"/>
    <w:rsid w:val="00E86A7C"/>
    <w:rsid w:val="00E878E1"/>
    <w:rsid w:val="00E87F2C"/>
    <w:rsid w:val="00E95278"/>
    <w:rsid w:val="00EA2273"/>
    <w:rsid w:val="00EA7C3C"/>
    <w:rsid w:val="00EB2DB3"/>
    <w:rsid w:val="00EC3FBB"/>
    <w:rsid w:val="00EC6B7A"/>
    <w:rsid w:val="00ED3A87"/>
    <w:rsid w:val="00ED5B67"/>
    <w:rsid w:val="00EE6817"/>
    <w:rsid w:val="00EF24E1"/>
    <w:rsid w:val="00EF264C"/>
    <w:rsid w:val="00EF3FEE"/>
    <w:rsid w:val="00F04B59"/>
    <w:rsid w:val="00F0623A"/>
    <w:rsid w:val="00F11741"/>
    <w:rsid w:val="00F12B1C"/>
    <w:rsid w:val="00F13CF8"/>
    <w:rsid w:val="00F15855"/>
    <w:rsid w:val="00F200B2"/>
    <w:rsid w:val="00F227DC"/>
    <w:rsid w:val="00F24E5B"/>
    <w:rsid w:val="00F32978"/>
    <w:rsid w:val="00F45CB2"/>
    <w:rsid w:val="00F544C0"/>
    <w:rsid w:val="00F55332"/>
    <w:rsid w:val="00F57CC2"/>
    <w:rsid w:val="00F6504A"/>
    <w:rsid w:val="00F65519"/>
    <w:rsid w:val="00F713C0"/>
    <w:rsid w:val="00F75DDC"/>
    <w:rsid w:val="00F76750"/>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A2D022"/>
  <w15:docId w15:val="{D177D0C2-5F8D-46C0-808D-FD2FDEC8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10012"/>
    <w:rPr>
      <w:vertAlign w:val="superscript"/>
    </w:rPr>
  </w:style>
  <w:style w:type="character" w:customStyle="1" w:styleId="FootnoteTextChar">
    <w:name w:val="Footnote Text Char"/>
    <w:basedOn w:val="DefaultParagraphFont"/>
    <w:link w:val="FootnoteText"/>
    <w:rsid w:val="00C10012"/>
  </w:style>
  <w:style w:type="paragraph" w:styleId="ListParagraph">
    <w:name w:val="List Paragraph"/>
    <w:basedOn w:val="Normal"/>
    <w:uiPriority w:val="34"/>
    <w:qFormat/>
    <w:rsid w:val="00C344E0"/>
    <w:pPr>
      <w:ind w:left="720"/>
      <w:contextualSpacing/>
      <w:jc w:val="both"/>
    </w:pPr>
    <w:rPr>
      <w:szCs w:val="20"/>
    </w:rPr>
  </w:style>
  <w:style w:type="character" w:styleId="CommentReference">
    <w:name w:val="annotation reference"/>
    <w:basedOn w:val="DefaultParagraphFont"/>
    <w:semiHidden/>
    <w:unhideWhenUsed/>
    <w:rsid w:val="008716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6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7E61-68C3-461B-B055-3717E1A5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12</Pages>
  <Words>2084</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Lee Smith</cp:lastModifiedBy>
  <cp:revision>2</cp:revision>
  <cp:lastPrinted>2022-03-11T18:55:00Z</cp:lastPrinted>
  <dcterms:created xsi:type="dcterms:W3CDTF">2022-03-24T15:52:00Z</dcterms:created>
  <dcterms:modified xsi:type="dcterms:W3CDTF">2022-03-24T15:52:00Z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20210183-GU</vt:lpwstr>
  </property>
  <property fmtid="{D5CDD505-2E9C-101B-9397-08002B2CF9AE}" pid="3" name="MasterDocument">
    <vt:bool>false</vt:bool>
  </property>
</Properties>
</file>