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8A3ECAA"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B2708F4" w14:textId="77777777" w:rsidR="007C0528" w:rsidRDefault="007C0528" w:rsidP="00532DFB">
            <w:pPr>
              <w:pStyle w:val="MastHeadState"/>
            </w:pPr>
            <w:r>
              <w:t>State of Florida</w:t>
            </w:r>
          </w:p>
          <w:p w14:paraId="538F624A" w14:textId="77777777" w:rsidR="007C0528" w:rsidRDefault="00072CCA">
            <w:pPr>
              <w:jc w:val="center"/>
            </w:pPr>
            <w:r>
              <w:rPr>
                <w:noProof/>
              </w:rPr>
              <w:drawing>
                <wp:inline distT="0" distB="0" distL="0" distR="0" wp14:anchorId="129DC80B" wp14:editId="4A0FFDC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EBA8F38"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615251F" w14:textId="77777777" w:rsidR="007C0528" w:rsidRDefault="007C0528">
            <w:pPr>
              <w:pStyle w:val="MastHeadPSC"/>
            </w:pPr>
            <w:r>
              <w:t>Public Service Commission</w:t>
            </w:r>
          </w:p>
          <w:p w14:paraId="443DDE91" w14:textId="77777777" w:rsidR="007C0528" w:rsidRDefault="007C0528">
            <w:pPr>
              <w:pStyle w:val="MastHeadAddress"/>
            </w:pPr>
            <w:r>
              <w:t>Capital Circle Office Center ● 2540 Shumard Oak Boulevard</w:t>
            </w:r>
            <w:r>
              <w:br/>
              <w:t>Tallahassee, Florida 32399-0850</w:t>
            </w:r>
          </w:p>
          <w:p w14:paraId="14904562" w14:textId="77777777" w:rsidR="007C0528" w:rsidRDefault="007C0528">
            <w:pPr>
              <w:pStyle w:val="MastHeadMemorandum"/>
            </w:pPr>
            <w:r>
              <w:t>-M-E-M-O-R-A-N-D-U-M-</w:t>
            </w:r>
          </w:p>
          <w:p w14:paraId="7DC278DF" w14:textId="77777777" w:rsidR="007C0528" w:rsidRDefault="007C0528">
            <w:pPr>
              <w:pStyle w:val="MemoHeading"/>
            </w:pPr>
          </w:p>
        </w:tc>
        <w:bookmarkStart w:id="0" w:name="_GoBack"/>
        <w:bookmarkEnd w:id="0"/>
      </w:tr>
      <w:tr w:rsidR="007C0528" w14:paraId="7A0BCA6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3BAEDBB"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53EECB6" w14:textId="77777777" w:rsidR="007C0528" w:rsidRDefault="00AE795A">
            <w:pPr>
              <w:pStyle w:val="MemoHeading"/>
            </w:pPr>
            <w:bookmarkStart w:id="1" w:name="FilingDate"/>
            <w:r>
              <w:t>March 24, 2022</w:t>
            </w:r>
            <w:bookmarkEnd w:id="1"/>
          </w:p>
        </w:tc>
      </w:tr>
      <w:tr w:rsidR="007C0528" w14:paraId="3F6D9FF0" w14:textId="77777777">
        <w:tc>
          <w:tcPr>
            <w:tcW w:w="1254" w:type="dxa"/>
            <w:tcBorders>
              <w:top w:val="nil"/>
              <w:left w:val="nil"/>
              <w:bottom w:val="nil"/>
              <w:right w:val="nil"/>
            </w:tcBorders>
            <w:shd w:val="clear" w:color="auto" w:fill="auto"/>
            <w:tcMar>
              <w:top w:w="288" w:type="dxa"/>
              <w:bottom w:w="0" w:type="dxa"/>
              <w:right w:w="0" w:type="dxa"/>
            </w:tcMar>
          </w:tcPr>
          <w:p w14:paraId="316175F0"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2F656D3" w14:textId="77777777" w:rsidR="007C0528" w:rsidRDefault="007C0528" w:rsidP="0093658B">
            <w:pPr>
              <w:pStyle w:val="MemoHeading"/>
            </w:pPr>
            <w:r>
              <w:t>Office of Commission Clerk (</w:t>
            </w:r>
            <w:r w:rsidR="004E69B5">
              <w:t>Teitzman</w:t>
            </w:r>
            <w:r>
              <w:t>)</w:t>
            </w:r>
          </w:p>
        </w:tc>
      </w:tr>
      <w:tr w:rsidR="007C0528" w14:paraId="6E15C988" w14:textId="77777777">
        <w:tc>
          <w:tcPr>
            <w:tcW w:w="1254" w:type="dxa"/>
            <w:tcBorders>
              <w:top w:val="nil"/>
              <w:left w:val="nil"/>
              <w:bottom w:val="nil"/>
              <w:right w:val="nil"/>
            </w:tcBorders>
            <w:shd w:val="clear" w:color="auto" w:fill="auto"/>
            <w:tcMar>
              <w:top w:w="288" w:type="dxa"/>
              <w:right w:w="0" w:type="dxa"/>
            </w:tcMar>
          </w:tcPr>
          <w:p w14:paraId="6B9D985F"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7EB71B8" w14:textId="77777777" w:rsidR="00AE795A" w:rsidRDefault="00AE795A">
            <w:pPr>
              <w:pStyle w:val="MemoHeading"/>
            </w:pPr>
            <w:bookmarkStart w:id="2" w:name="From"/>
            <w:r>
              <w:t>Division of Engineering (Wooten, Ellis)</w:t>
            </w:r>
          </w:p>
          <w:p w14:paraId="3E766767" w14:textId="1918E9E4" w:rsidR="00AE795A" w:rsidRDefault="00AE795A">
            <w:pPr>
              <w:pStyle w:val="MemoHeading"/>
            </w:pPr>
            <w:r>
              <w:t>Division of Accounting and Finance (</w:t>
            </w:r>
            <w:r w:rsidR="00192601">
              <w:t>Cicchetti</w:t>
            </w:r>
            <w:r>
              <w:t>)</w:t>
            </w:r>
          </w:p>
          <w:p w14:paraId="72245CF4" w14:textId="77777777" w:rsidR="00AE795A" w:rsidRDefault="00AE795A">
            <w:pPr>
              <w:pStyle w:val="MemoHeading"/>
            </w:pPr>
            <w:r>
              <w:t>Office of the General Counsel (Trierweiler, Weisenfeld)</w:t>
            </w:r>
          </w:p>
          <w:bookmarkEnd w:id="2"/>
          <w:p w14:paraId="780EE28A" w14:textId="77777777" w:rsidR="007C0528" w:rsidRDefault="007C0528">
            <w:pPr>
              <w:pStyle w:val="MemoHeading"/>
            </w:pPr>
          </w:p>
        </w:tc>
      </w:tr>
      <w:tr w:rsidR="007C0528" w14:paraId="4B0DA249" w14:textId="77777777">
        <w:tc>
          <w:tcPr>
            <w:tcW w:w="1254" w:type="dxa"/>
            <w:tcBorders>
              <w:top w:val="nil"/>
              <w:left w:val="nil"/>
              <w:bottom w:val="nil"/>
              <w:right w:val="nil"/>
            </w:tcBorders>
            <w:shd w:val="clear" w:color="auto" w:fill="auto"/>
            <w:tcMar>
              <w:top w:w="288" w:type="dxa"/>
              <w:right w:w="0" w:type="dxa"/>
            </w:tcMar>
          </w:tcPr>
          <w:p w14:paraId="54E15AEB"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469D497" w14:textId="77777777" w:rsidR="007C0528" w:rsidRDefault="00AE795A">
            <w:pPr>
              <w:pStyle w:val="MemoHeadingRe"/>
            </w:pPr>
            <w:bookmarkStart w:id="3" w:name="Re"/>
            <w:r>
              <w:t>Docket No. 20210016-EI – Petition for limited proceeding to approve 2021 settlement agreement, including general base rate increases, by Duke Energy Florida, LLC.</w:t>
            </w:r>
            <w:bookmarkEnd w:id="3"/>
          </w:p>
        </w:tc>
      </w:tr>
      <w:tr w:rsidR="007C0528" w14:paraId="3BBA9564" w14:textId="77777777">
        <w:tc>
          <w:tcPr>
            <w:tcW w:w="1254" w:type="dxa"/>
            <w:tcBorders>
              <w:top w:val="nil"/>
              <w:left w:val="nil"/>
              <w:bottom w:val="nil"/>
              <w:right w:val="nil"/>
            </w:tcBorders>
            <w:shd w:val="clear" w:color="auto" w:fill="auto"/>
            <w:tcMar>
              <w:top w:w="288" w:type="dxa"/>
              <w:bottom w:w="0" w:type="dxa"/>
              <w:right w:w="0" w:type="dxa"/>
            </w:tcMar>
          </w:tcPr>
          <w:p w14:paraId="6517A6E7"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76AEAB2" w14:textId="59F897A4" w:rsidR="007C0528" w:rsidRDefault="00AE795A">
            <w:pPr>
              <w:pStyle w:val="MemoHeading"/>
            </w:pPr>
            <w:bookmarkStart w:id="4" w:name="AgendaDate"/>
            <w:r>
              <w:t>04/05/22</w:t>
            </w:r>
            <w:bookmarkEnd w:id="4"/>
            <w:r w:rsidR="007C0528">
              <w:t xml:space="preserve"> – </w:t>
            </w:r>
            <w:bookmarkStart w:id="5" w:name="PermittedStatus"/>
            <w:r>
              <w:t xml:space="preserve">Regular Agenda – </w:t>
            </w:r>
            <w:r w:rsidR="009E227C">
              <w:t xml:space="preserve">Proposed Agency Action - </w:t>
            </w:r>
            <w:r>
              <w:t>Interested Persons May Participate</w:t>
            </w:r>
            <w:bookmarkEnd w:id="5"/>
          </w:p>
        </w:tc>
      </w:tr>
      <w:tr w:rsidR="007C0528" w14:paraId="010F9100" w14:textId="77777777">
        <w:tc>
          <w:tcPr>
            <w:tcW w:w="3690" w:type="dxa"/>
            <w:gridSpan w:val="3"/>
            <w:tcBorders>
              <w:top w:val="nil"/>
              <w:left w:val="nil"/>
              <w:bottom w:val="nil"/>
              <w:right w:val="nil"/>
            </w:tcBorders>
            <w:shd w:val="clear" w:color="auto" w:fill="auto"/>
            <w:tcMar>
              <w:top w:w="288" w:type="dxa"/>
              <w:bottom w:w="0" w:type="dxa"/>
              <w:right w:w="0" w:type="dxa"/>
            </w:tcMar>
          </w:tcPr>
          <w:p w14:paraId="0001F84C"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69F1C5A" w14:textId="77777777" w:rsidR="007C0528" w:rsidRDefault="00AE795A">
            <w:pPr>
              <w:pStyle w:val="MemoHeading"/>
            </w:pPr>
            <w:bookmarkStart w:id="6" w:name="CommissionersAssigned"/>
            <w:r>
              <w:t>All Commissioners</w:t>
            </w:r>
            <w:bookmarkEnd w:id="6"/>
          </w:p>
        </w:tc>
      </w:tr>
      <w:tr w:rsidR="007C0528" w14:paraId="29CBD8A6" w14:textId="77777777">
        <w:tc>
          <w:tcPr>
            <w:tcW w:w="3690" w:type="dxa"/>
            <w:gridSpan w:val="3"/>
            <w:tcBorders>
              <w:top w:val="nil"/>
              <w:left w:val="nil"/>
              <w:bottom w:val="nil"/>
              <w:right w:val="nil"/>
            </w:tcBorders>
            <w:shd w:val="clear" w:color="auto" w:fill="auto"/>
            <w:tcMar>
              <w:top w:w="288" w:type="dxa"/>
              <w:bottom w:w="0" w:type="dxa"/>
              <w:right w:w="0" w:type="dxa"/>
            </w:tcMar>
          </w:tcPr>
          <w:p w14:paraId="4D3A685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4C1CC6A" w14:textId="77777777" w:rsidR="007C0528" w:rsidRDefault="00AE795A">
            <w:pPr>
              <w:pStyle w:val="MemoHeading"/>
            </w:pPr>
            <w:bookmarkStart w:id="7" w:name="PrehearingOfficer"/>
            <w:r>
              <w:t>La Rosa</w:t>
            </w:r>
            <w:bookmarkEnd w:id="7"/>
          </w:p>
        </w:tc>
      </w:tr>
      <w:tr w:rsidR="007C0528" w14:paraId="72BA3E2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C431F7D"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61BC752" w14:textId="77777777" w:rsidR="007C0528" w:rsidRDefault="00AE795A">
            <w:pPr>
              <w:pStyle w:val="MemoHeading"/>
            </w:pPr>
            <w:bookmarkStart w:id="9" w:name="CriticalDates"/>
            <w:r>
              <w:t>None</w:t>
            </w:r>
            <w:bookmarkEnd w:id="9"/>
          </w:p>
        </w:tc>
      </w:tr>
      <w:tr w:rsidR="007C0528" w14:paraId="1F165981"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DEF1BD5"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90BA71B" w14:textId="77777777" w:rsidR="007C0528" w:rsidRDefault="00AE795A">
            <w:pPr>
              <w:pStyle w:val="MemoHeading"/>
            </w:pPr>
            <w:bookmarkStart w:id="10" w:name="SpecialInstructions"/>
            <w:r>
              <w:t>None</w:t>
            </w:r>
            <w:bookmarkEnd w:id="10"/>
          </w:p>
        </w:tc>
      </w:tr>
    </w:tbl>
    <w:p w14:paraId="37746129" w14:textId="77777777" w:rsidR="007C0528" w:rsidRDefault="007C0528">
      <w:pPr>
        <w:pStyle w:val="BodyText"/>
      </w:pPr>
    </w:p>
    <w:p w14:paraId="06C03DAF"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180B299C" w14:textId="59CFEE49" w:rsidR="0068481F" w:rsidRDefault="00C552D0">
      <w:pPr>
        <w:pStyle w:val="BodyText"/>
      </w:pPr>
      <w:r>
        <w:t>On September 14, 2021, t</w:t>
      </w:r>
      <w:r w:rsidR="00C2498B">
        <w:t>he Florida Department of Revenue issued a Tax Information Publication (TIP) that stated the “Florida corporate income/franchise tax rate is reduced from 4.458% to 3.535% for taxable years beginning on or after January 1, 2021, but before January 1, 2022. The tax rate returns to 5.5% for taxable years beginning on or after January 1, 2022.”</w:t>
      </w:r>
    </w:p>
    <w:p w14:paraId="7F4800A3" w14:textId="5041C775" w:rsidR="007E4194" w:rsidRDefault="007E4194">
      <w:pPr>
        <w:pStyle w:val="BodyText"/>
      </w:pPr>
      <w:r>
        <w:t>Paragraph 18 of Duke</w:t>
      </w:r>
      <w:r w:rsidR="00DD3583">
        <w:t xml:space="preserve"> Energy Florida’s (DEF)</w:t>
      </w:r>
      <w:r>
        <w:t xml:space="preserve"> 2021 Settlement Agreement describes the methodology for calculating tax impacts and flow back associated with tax reform, including </w:t>
      </w:r>
      <w:r>
        <w:lastRenderedPageBreak/>
        <w:t>changes such as those provided for in the TIP.</w:t>
      </w:r>
      <w:r w:rsidR="00B805F8">
        <w:rPr>
          <w:rStyle w:val="FootnoteReference"/>
        </w:rPr>
        <w:footnoteReference w:id="1"/>
      </w:r>
      <w:r w:rsidR="00B805F8">
        <w:t xml:space="preserve"> </w:t>
      </w:r>
      <w:r w:rsidR="002970C0">
        <w:t xml:space="preserve">On </w:t>
      </w:r>
      <w:r w:rsidR="00FF039B">
        <w:t>December 9, 2021,</w:t>
      </w:r>
      <w:r w:rsidR="00B805F8">
        <w:t xml:space="preserve"> DEF </w:t>
      </w:r>
      <w:r w:rsidR="002970C0">
        <w:t xml:space="preserve">filed a motion </w:t>
      </w:r>
      <w:r w:rsidR="00B805F8">
        <w:t>request</w:t>
      </w:r>
      <w:r w:rsidR="002970C0">
        <w:t xml:space="preserve">ing that </w:t>
      </w:r>
      <w:r w:rsidR="00B805F8">
        <w:t>t</w:t>
      </w:r>
      <w:r w:rsidR="00393EED">
        <w:t>he C</w:t>
      </w:r>
      <w:r w:rsidR="00B805F8">
        <w:t>ommission approve its calculation of tax impacts resulting from the change in the Florida corporate income tax rate.</w:t>
      </w:r>
      <w:r w:rsidR="00EC4895">
        <w:rPr>
          <w:rStyle w:val="FootnoteReference"/>
        </w:rPr>
        <w:footnoteReference w:id="2"/>
      </w:r>
    </w:p>
    <w:p w14:paraId="084D6B8C" w14:textId="19F5FB6D" w:rsidR="003A35B0" w:rsidRDefault="00B805F8" w:rsidP="005203AE">
      <w:pPr>
        <w:pStyle w:val="OrderBody"/>
      </w:pPr>
      <w:r w:rsidRPr="006562E3">
        <w:t xml:space="preserve">The Commission has jurisdiction over this matter pursuant to </w:t>
      </w:r>
      <w:r w:rsidR="00222FFC">
        <w:t xml:space="preserve">Sections </w:t>
      </w:r>
      <w:r w:rsidR="003018F6">
        <w:t>366</w:t>
      </w:r>
      <w:r w:rsidR="00222FFC">
        <w:t>.04 and 366.06</w:t>
      </w:r>
      <w:r w:rsidR="003018F6">
        <w:t>, Florida Statutes</w:t>
      </w:r>
      <w:r w:rsidR="000B4718">
        <w:t xml:space="preserve">. </w:t>
      </w:r>
    </w:p>
    <w:bookmarkEnd w:id="12"/>
    <w:p w14:paraId="1D2396EE" w14:textId="77777777" w:rsidR="00EA2273" w:rsidRDefault="00EA2273" w:rsidP="005203AE">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7961DD5B" w14:textId="77777777" w:rsidR="00DE2C76" w:rsidRDefault="007C0528" w:rsidP="00301195">
      <w:pPr>
        <w:pStyle w:val="RecommendationMajorSectionHeading"/>
      </w:pPr>
      <w:bookmarkStart w:id="16" w:name="DiscussionOfIssues"/>
      <w:r>
        <w:t>Discussion of Issues</w:t>
      </w:r>
      <w:bookmarkEnd w:id="16"/>
    </w:p>
    <w:p w14:paraId="3A75F567" w14:textId="77777777" w:rsidR="00301195" w:rsidRDefault="00301195">
      <w:pPr>
        <w:pStyle w:val="IssueHeading"/>
        <w:rPr>
          <w:vanish/>
          <w:specVanish/>
        </w:rPr>
      </w:pPr>
      <w:r w:rsidRPr="004C3641">
        <w:t xml:space="preserve">Issue </w:t>
      </w:r>
      <w:r w:rsidR="00C94723">
        <w:fldChar w:fldCharType="begin"/>
      </w:r>
      <w:r w:rsidR="00C94723">
        <w:instrText xml:space="preserve"> SEQ Issue \* MERGEFORMAT </w:instrText>
      </w:r>
      <w:r w:rsidR="00C94723">
        <w:fldChar w:fldCharType="separate"/>
      </w:r>
      <w:r w:rsidR="003A35B0">
        <w:rPr>
          <w:noProof/>
        </w:rPr>
        <w:t>1</w:t>
      </w:r>
      <w:r w:rsidR="00C9472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A35B0">
        <w:rPr>
          <w:noProof/>
        </w:rPr>
        <w:instrText>1</w:instrText>
      </w:r>
      <w:r>
        <w:fldChar w:fldCharType="end"/>
      </w:r>
      <w:r>
        <w:tab/>
        <w:instrText xml:space="preserve">(Cicchetti)" \l 1 </w:instrText>
      </w:r>
      <w:r>
        <w:fldChar w:fldCharType="end"/>
      </w:r>
      <w:r>
        <w:t> </w:t>
      </w:r>
    </w:p>
    <w:p w14:paraId="5A54484F" w14:textId="77777777" w:rsidR="00301195" w:rsidRDefault="00301195">
      <w:pPr>
        <w:pStyle w:val="BodyText"/>
      </w:pPr>
      <w:r>
        <w:t> Should the Commission approve DEF’s calculation of the tax reform impacts and acknowledge that DEF has agreed to forego collection of the associated deficiency?</w:t>
      </w:r>
    </w:p>
    <w:p w14:paraId="6E66DB02" w14:textId="77777777" w:rsidR="00301195" w:rsidRPr="004C3641" w:rsidRDefault="00301195">
      <w:pPr>
        <w:pStyle w:val="IssueSubsectionHeading"/>
        <w:rPr>
          <w:vanish/>
          <w:specVanish/>
        </w:rPr>
      </w:pPr>
      <w:r w:rsidRPr="004C3641">
        <w:t>Recommendation: </w:t>
      </w:r>
    </w:p>
    <w:p w14:paraId="7AECD389" w14:textId="77777777" w:rsidR="00301195" w:rsidRDefault="00301195">
      <w:pPr>
        <w:pStyle w:val="BodyText"/>
      </w:pPr>
      <w:r>
        <w:t> Yes. Staff recommends the Commission approve DEF’s calculation of the tax reform impacts and acknowledge that DEF has agreed to forego collection of the associated deficiency of $98,969. (Cicchetti)</w:t>
      </w:r>
    </w:p>
    <w:p w14:paraId="6A7C19B1" w14:textId="77777777" w:rsidR="00301195" w:rsidRPr="004C3641" w:rsidRDefault="00301195">
      <w:pPr>
        <w:pStyle w:val="IssueSubsectionHeading"/>
        <w:rPr>
          <w:vanish/>
          <w:specVanish/>
        </w:rPr>
      </w:pPr>
      <w:r w:rsidRPr="004C3641">
        <w:t>Staff Analysis: </w:t>
      </w:r>
    </w:p>
    <w:p w14:paraId="35F27CEF" w14:textId="6AFAD74D" w:rsidR="00301195" w:rsidRDefault="00301195" w:rsidP="00301195">
      <w:pPr>
        <w:pStyle w:val="BodyText"/>
      </w:pPr>
      <w:r>
        <w:t> </w:t>
      </w:r>
      <w:r w:rsidRPr="00DD3583">
        <w:t xml:space="preserve">DEF’s 2021 Settlement Agreement </w:t>
      </w:r>
      <w:r>
        <w:t xml:space="preserve">contained provisions for </w:t>
      </w:r>
      <w:r w:rsidR="001A2999">
        <w:t>addressing</w:t>
      </w:r>
      <w:r>
        <w:t xml:space="preserve"> tax changes including changes to tax rates, changes to deductibility of certain costs, and changes to the timing of the deductibility of certain costs. T</w:t>
      </w:r>
      <w:r w:rsidRPr="00DD3583">
        <w:t>he Florida Department of Revenue issued a Tax Information Publication (TIP) on September 14, 2021</w:t>
      </w:r>
      <w:r w:rsidR="00FF039B">
        <w:t>,</w:t>
      </w:r>
      <w:r w:rsidRPr="00DD3583">
        <w:t xml:space="preserve"> that stated the “Florida corporate income/franchise tax rate is reduced from 4.458% to 3.535% for taxable years beginning on or after January 1, 2021, but before January 1, 2022. The tax rate returns to 5.5% for taxable years beginning on or after January 1, 2022.”</w:t>
      </w:r>
    </w:p>
    <w:p w14:paraId="32AFAA4D" w14:textId="69811683" w:rsidR="00301195" w:rsidRDefault="00301195" w:rsidP="00301195">
      <w:pPr>
        <w:pStyle w:val="BodyText"/>
      </w:pPr>
      <w:r>
        <w:t xml:space="preserve">DEF used the 2021 Forecasted Earnings Surveillance Report to calculate </w:t>
      </w:r>
      <w:r w:rsidR="004612C0">
        <w:t xml:space="preserve">the </w:t>
      </w:r>
      <w:r>
        <w:t>impact of the Florida corporate income tax rate changing from 4.458 percent to 3.535 percent for 2021. The change in the Florida corporate income tax rate resulted in a revenue requirement increase of $98,969. Although the lowered Florida corporate income tax rate results in tax savings on a system</w:t>
      </w:r>
      <w:r w:rsidR="00EE69D3">
        <w:t>-</w:t>
      </w:r>
      <w:r>
        <w:t>wide basis, the benefit is more than offset by the tax impact associated with Florida Public Service Commission (</w:t>
      </w:r>
      <w:r w:rsidR="00FF039B">
        <w:t>Commission</w:t>
      </w:r>
      <w:r>
        <w:t xml:space="preserve">) adjustments at the retail level. </w:t>
      </w:r>
      <w:r w:rsidR="00FF039B">
        <w:t xml:space="preserve">Commission </w:t>
      </w:r>
      <w:r>
        <w:t xml:space="preserve">adjustments that reduce revenues also reduce taxes. When the tax rate is lowered the tax benefit associated with reduced revenues is also lowered. In the instant case, as shown on Attachment 1, DEF’s retail tax savings of $356,484 were offset by the tax impacts of $431,905 associated with </w:t>
      </w:r>
      <w:r w:rsidR="00FF039B">
        <w:t xml:space="preserve">Commission </w:t>
      </w:r>
      <w:r>
        <w:t xml:space="preserve">adjustments at the base rates retail level resulting in a revenue requirement increase of $75,421 which increases to $98,969 after grossing-up for taxes. DEF has agreed to forego collection of the $98,969 deficiency.     </w:t>
      </w:r>
    </w:p>
    <w:p w14:paraId="18251EC5" w14:textId="77777777" w:rsidR="00301195" w:rsidRDefault="00301195" w:rsidP="00301195">
      <w:pPr>
        <w:pStyle w:val="BodyText"/>
      </w:pPr>
      <w:r w:rsidRPr="00B805F8">
        <w:t xml:space="preserve">Staff reviewed DEF’s calculation of the tax reform impacts and found no errors. As indicated in </w:t>
      </w:r>
      <w:r>
        <w:t>its</w:t>
      </w:r>
      <w:r w:rsidRPr="00B805F8">
        <w:t xml:space="preserve"> </w:t>
      </w:r>
      <w:r w:rsidR="000551C2">
        <w:t>m</w:t>
      </w:r>
      <w:r w:rsidRPr="00B805F8">
        <w:t xml:space="preserve">otion, DEF has conferred with the signatories to the 2021 Settlement and Nucor Steel Florida, Inc., PCS Phosphate d/b/a White Springs and the Office of Public Counsel concur with DEF’s calculation. </w:t>
      </w:r>
      <w:r>
        <w:t>DEF represents that t</w:t>
      </w:r>
      <w:r w:rsidRPr="00B805F8">
        <w:t>he Florida Industrial Power Users Group takes no position.</w:t>
      </w:r>
    </w:p>
    <w:p w14:paraId="631A3A64" w14:textId="77777777" w:rsidR="00301195" w:rsidRDefault="00301195" w:rsidP="00301195">
      <w:pPr>
        <w:pStyle w:val="BodyText"/>
      </w:pPr>
      <w:r>
        <w:t>For the reasons discussed above, s</w:t>
      </w:r>
      <w:r w:rsidRPr="00B805F8">
        <w:t>taff recommends the Commission approve DEF’s calculation of the tax reform impacts and acknowledge that DEF has agreed to forego collection of the associated deficiency of $98,969.</w:t>
      </w:r>
    </w:p>
    <w:p w14:paraId="003EEB78" w14:textId="77777777" w:rsidR="00301195" w:rsidRDefault="00301195">
      <w:pPr>
        <w:pStyle w:val="BodyText"/>
      </w:pPr>
    </w:p>
    <w:p w14:paraId="08DC059B" w14:textId="77777777" w:rsidR="004776FB" w:rsidRDefault="004776FB">
      <w:pPr>
        <w:pStyle w:val="IssueHeading"/>
        <w:rPr>
          <w:b w:val="0"/>
          <w:i w:val="0"/>
        </w:rPr>
        <w:sectPr w:rsidR="004776FB"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7BCFC8D3" w14:textId="77777777" w:rsidR="00301195" w:rsidRDefault="00301195">
      <w:pPr>
        <w:pStyle w:val="IssueHeading"/>
        <w:rPr>
          <w:vanish/>
          <w:specVanish/>
        </w:rPr>
      </w:pPr>
      <w:r w:rsidRPr="004C3641">
        <w:t xml:space="preserve">Issue </w:t>
      </w:r>
      <w:r w:rsidR="000354B7">
        <w:fldChar w:fldCharType="begin"/>
      </w:r>
      <w:r w:rsidR="00393EED">
        <w:instrText>seq issue \r 2</w:instrText>
      </w:r>
      <w:r w:rsidR="000354B7">
        <w:fldChar w:fldCharType="separate"/>
      </w:r>
      <w:r w:rsidR="003A35B0">
        <w:rPr>
          <w:noProof/>
        </w:rPr>
        <w:t>2</w:t>
      </w:r>
      <w:r w:rsidR="000354B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A35B0">
        <w:rPr>
          <w:noProof/>
        </w:rPr>
        <w:instrText>2</w:instrText>
      </w:r>
      <w:r>
        <w:fldChar w:fldCharType="end"/>
      </w:r>
      <w:r>
        <w:tab/>
        <w:instrText xml:space="preserve">(Trierweiler)" \l 1 </w:instrText>
      </w:r>
      <w:r>
        <w:fldChar w:fldCharType="end"/>
      </w:r>
      <w:r>
        <w:t> </w:t>
      </w:r>
    </w:p>
    <w:p w14:paraId="6D5833BC" w14:textId="77777777" w:rsidR="00301195" w:rsidRDefault="00301195">
      <w:pPr>
        <w:pStyle w:val="BodyText"/>
      </w:pPr>
      <w:r>
        <w:t> Should this docket be closed?</w:t>
      </w:r>
    </w:p>
    <w:p w14:paraId="6BC5B658" w14:textId="77777777" w:rsidR="00301195" w:rsidRPr="00DA0784" w:rsidRDefault="00301195">
      <w:pPr>
        <w:pStyle w:val="IssueSubsectionHeading"/>
        <w:rPr>
          <w:rFonts w:ascii="Times New Roman" w:hAnsi="Times New Roman" w:cs="Times New Roman"/>
          <w:b w:val="0"/>
          <w:i w:val="0"/>
          <w:vanish/>
          <w:specVanish/>
        </w:rPr>
      </w:pPr>
      <w:r w:rsidRPr="004C3641">
        <w:t>Recommendation: </w:t>
      </w:r>
      <w:r w:rsidR="00DA0784" w:rsidRPr="00DA0784">
        <w:rPr>
          <w:rFonts w:ascii="Times New Roman" w:hAnsi="Times New Roman" w:cs="Times New Roman"/>
          <w:b w:val="0"/>
          <w:i w:val="0"/>
        </w:rPr>
        <w:t>Yes</w:t>
      </w:r>
      <w:r w:rsidR="00DA0784">
        <w:rPr>
          <w:rFonts w:ascii="Times New Roman" w:hAnsi="Times New Roman" w:cs="Times New Roman"/>
          <w:b w:val="0"/>
          <w:i w:val="0"/>
        </w:rPr>
        <w:t>.</w:t>
      </w:r>
    </w:p>
    <w:p w14:paraId="1AF14256" w14:textId="72D62681" w:rsidR="00301195" w:rsidRDefault="00301195">
      <w:pPr>
        <w:pStyle w:val="BodyText"/>
      </w:pPr>
      <w:r w:rsidRPr="00DA0784">
        <w:t> </w:t>
      </w:r>
      <w:r w:rsidR="00222FFC">
        <w:t>If no person whose substantial interests are affected by the proposed agency action files a protest within 21 days of the issuance of the order, this docket should be closed upon the issuance of a consummating order.</w:t>
      </w:r>
      <w:r>
        <w:t xml:space="preserve"> (Trierweiler</w:t>
      </w:r>
      <w:r w:rsidR="00FF039B">
        <w:t>, Weisenfeld</w:t>
      </w:r>
      <w:r>
        <w:t>)</w:t>
      </w:r>
    </w:p>
    <w:p w14:paraId="348A942A" w14:textId="77777777" w:rsidR="00301195" w:rsidRPr="004C3641" w:rsidRDefault="00301195">
      <w:pPr>
        <w:pStyle w:val="IssueSubsectionHeading"/>
        <w:rPr>
          <w:vanish/>
          <w:specVanish/>
        </w:rPr>
      </w:pPr>
      <w:r w:rsidRPr="004C3641">
        <w:t>Staff Analysis: </w:t>
      </w:r>
    </w:p>
    <w:p w14:paraId="4362EE91" w14:textId="566A8570" w:rsidR="00301195" w:rsidRDefault="00301195">
      <w:pPr>
        <w:pStyle w:val="BodyText"/>
      </w:pPr>
      <w:r>
        <w:t> </w:t>
      </w:r>
      <w:r w:rsidR="00222FFC">
        <w:t>At the conclusion of the protest period, if no protest is filed this docket should be closed upon the issuance of a consummating order.</w:t>
      </w:r>
    </w:p>
    <w:p w14:paraId="45670C50" w14:textId="77777777" w:rsidR="00DE2C76" w:rsidRDefault="00DE2C76" w:rsidP="00E275D8">
      <w:pPr>
        <w:pStyle w:val="BodyText"/>
      </w:pPr>
    </w:p>
    <w:p w14:paraId="1D503886" w14:textId="77777777" w:rsidR="00582804" w:rsidRDefault="00582804" w:rsidP="00E275D8">
      <w:pPr>
        <w:pStyle w:val="BodyText"/>
      </w:pPr>
    </w:p>
    <w:p w14:paraId="29952FE4" w14:textId="77777777" w:rsidR="00582804" w:rsidRDefault="00582804" w:rsidP="00E275D8">
      <w:pPr>
        <w:pStyle w:val="BodyText"/>
      </w:pPr>
    </w:p>
    <w:p w14:paraId="5B5B150B" w14:textId="77777777" w:rsidR="00582804" w:rsidRDefault="00582804" w:rsidP="00E275D8">
      <w:pPr>
        <w:pStyle w:val="BodyText"/>
      </w:pPr>
    </w:p>
    <w:p w14:paraId="50433152" w14:textId="77777777" w:rsidR="00582804" w:rsidRDefault="00582804" w:rsidP="00E275D8">
      <w:pPr>
        <w:pStyle w:val="BodyText"/>
      </w:pPr>
    </w:p>
    <w:p w14:paraId="3CC7E6F6" w14:textId="77777777" w:rsidR="00582804" w:rsidRDefault="00582804" w:rsidP="00E275D8">
      <w:pPr>
        <w:pStyle w:val="BodyText"/>
      </w:pPr>
    </w:p>
    <w:p w14:paraId="5BF452D7" w14:textId="77777777" w:rsidR="00582804" w:rsidRDefault="00582804" w:rsidP="00E275D8">
      <w:pPr>
        <w:pStyle w:val="BodyText"/>
      </w:pPr>
    </w:p>
    <w:p w14:paraId="471AFC63" w14:textId="77777777" w:rsidR="00582804" w:rsidRDefault="00582804" w:rsidP="00E275D8">
      <w:pPr>
        <w:pStyle w:val="BodyText"/>
      </w:pPr>
    </w:p>
    <w:p w14:paraId="71514C96" w14:textId="77777777" w:rsidR="00582804" w:rsidRDefault="00582804" w:rsidP="00E275D8">
      <w:pPr>
        <w:pStyle w:val="BodyText"/>
      </w:pPr>
    </w:p>
    <w:p w14:paraId="56F4028A" w14:textId="77777777" w:rsidR="00582804" w:rsidRDefault="00582804" w:rsidP="00E275D8">
      <w:pPr>
        <w:pStyle w:val="BodyText"/>
      </w:pPr>
    </w:p>
    <w:p w14:paraId="6A123F46" w14:textId="77777777" w:rsidR="00582804" w:rsidRDefault="00582804" w:rsidP="00E275D8">
      <w:pPr>
        <w:pStyle w:val="BodyText"/>
      </w:pPr>
    </w:p>
    <w:p w14:paraId="591243C9" w14:textId="77777777" w:rsidR="00582804" w:rsidRDefault="00582804" w:rsidP="00E275D8">
      <w:pPr>
        <w:pStyle w:val="BodyText"/>
      </w:pPr>
    </w:p>
    <w:p w14:paraId="2CBF4A51" w14:textId="77777777" w:rsidR="00582804" w:rsidRDefault="00582804" w:rsidP="00E275D8">
      <w:pPr>
        <w:pStyle w:val="BodyText"/>
      </w:pPr>
    </w:p>
    <w:p w14:paraId="4192C62A" w14:textId="77777777" w:rsidR="00582804" w:rsidRDefault="00582804" w:rsidP="00E275D8">
      <w:pPr>
        <w:pStyle w:val="BodyText"/>
      </w:pPr>
    </w:p>
    <w:p w14:paraId="36C910B3" w14:textId="77777777" w:rsidR="00582804" w:rsidRDefault="00582804" w:rsidP="00E275D8">
      <w:pPr>
        <w:pStyle w:val="BodyText"/>
      </w:pPr>
    </w:p>
    <w:p w14:paraId="5A927BE4" w14:textId="77777777" w:rsidR="00582804" w:rsidRDefault="00582804" w:rsidP="00E275D8">
      <w:pPr>
        <w:pStyle w:val="BodyText"/>
      </w:pPr>
    </w:p>
    <w:p w14:paraId="40A7C400" w14:textId="77777777" w:rsidR="00582804" w:rsidRDefault="00582804" w:rsidP="00E275D8">
      <w:pPr>
        <w:pStyle w:val="BodyText"/>
      </w:pPr>
    </w:p>
    <w:p w14:paraId="7F171C99" w14:textId="77777777" w:rsidR="00582804" w:rsidRDefault="00582804" w:rsidP="00E275D8">
      <w:pPr>
        <w:pStyle w:val="BodyText"/>
      </w:pPr>
    </w:p>
    <w:p w14:paraId="34B1094D" w14:textId="77777777" w:rsidR="00582804" w:rsidRDefault="00582804" w:rsidP="00E275D8">
      <w:pPr>
        <w:pStyle w:val="BodyText"/>
      </w:pPr>
    </w:p>
    <w:p w14:paraId="06BEA239" w14:textId="77777777" w:rsidR="00582804" w:rsidRDefault="00582804" w:rsidP="00E275D8">
      <w:pPr>
        <w:pStyle w:val="BodyText"/>
      </w:pPr>
    </w:p>
    <w:p w14:paraId="5A62109D" w14:textId="77777777" w:rsidR="00582804" w:rsidRDefault="00582804" w:rsidP="00E275D8">
      <w:pPr>
        <w:pStyle w:val="BodyText"/>
        <w:sectPr w:rsidR="00582804" w:rsidSect="0068481F">
          <w:headerReference w:type="default" r:id="rId14"/>
          <w:pgSz w:w="12240" w:h="15840" w:code="1"/>
          <w:pgMar w:top="1584" w:right="1440" w:bottom="1440" w:left="1440" w:header="720" w:footer="720" w:gutter="0"/>
          <w:cols w:space="720"/>
          <w:formProt w:val="0"/>
          <w:docGrid w:linePitch="360"/>
        </w:sectPr>
      </w:pPr>
    </w:p>
    <w:p w14:paraId="7F2441CE" w14:textId="77777777" w:rsidR="00582804" w:rsidRDefault="00582804" w:rsidP="00E275D8">
      <w:pPr>
        <w:pStyle w:val="BodyText"/>
      </w:pPr>
      <w:r>
        <w:rPr>
          <w:noProof/>
        </w:rPr>
        <w:drawing>
          <wp:inline distT="0" distB="0" distL="0" distR="0" wp14:anchorId="628876F7" wp14:editId="2848C53D">
            <wp:extent cx="5943600" cy="459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005-202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2CFD75D2" w14:textId="77777777" w:rsidR="00582804" w:rsidRPr="00DE2C76" w:rsidRDefault="00582804" w:rsidP="00E275D8">
      <w:pPr>
        <w:pStyle w:val="BodyText"/>
      </w:pPr>
    </w:p>
    <w:sectPr w:rsidR="00582804" w:rsidRPr="00DE2C76"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F65D2" w14:textId="77777777" w:rsidR="00965E1F" w:rsidRDefault="00965E1F">
      <w:r>
        <w:separator/>
      </w:r>
    </w:p>
  </w:endnote>
  <w:endnote w:type="continuationSeparator" w:id="0">
    <w:p w14:paraId="13D7806D" w14:textId="77777777" w:rsidR="00965E1F" w:rsidRDefault="0096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60355" w14:textId="539AE104"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33151">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9ACF"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60726" w14:textId="77777777" w:rsidR="00965E1F" w:rsidRDefault="00965E1F">
      <w:r>
        <w:separator/>
      </w:r>
    </w:p>
  </w:footnote>
  <w:footnote w:type="continuationSeparator" w:id="0">
    <w:p w14:paraId="4875D32F" w14:textId="77777777" w:rsidR="00965E1F" w:rsidRDefault="00965E1F">
      <w:r>
        <w:continuationSeparator/>
      </w:r>
    </w:p>
  </w:footnote>
  <w:footnote w:id="1">
    <w:p w14:paraId="0BB690BF" w14:textId="6C1C943C" w:rsidR="00B805F8" w:rsidRDefault="00B805F8">
      <w:pPr>
        <w:pStyle w:val="FootnoteText"/>
      </w:pPr>
      <w:r>
        <w:rPr>
          <w:rStyle w:val="FootnoteReference"/>
        </w:rPr>
        <w:footnoteRef/>
      </w:r>
      <w:r>
        <w:t xml:space="preserve">Order No. PSC-2021-0202-AS-EI, issued June 4, 2021, in Docket No. 20210016-EI, </w:t>
      </w:r>
      <w:r>
        <w:rPr>
          <w:i/>
        </w:rPr>
        <w:t>In re: Petition for limited proceeding to approve 2021 settlement agreement, including general base rate increases, by Duke Energy Florida, LLC</w:t>
      </w:r>
      <w:r w:rsidR="003A35B0">
        <w:t xml:space="preserve">, as amended by </w:t>
      </w:r>
      <w:r w:rsidR="009A04DE">
        <w:t>Order No. PSC-20210020A-AS-EI, issued June</w:t>
      </w:r>
      <w:r w:rsidR="00C552D0">
        <w:t xml:space="preserve"> </w:t>
      </w:r>
      <w:r w:rsidR="009A04DE">
        <w:t>28,</w:t>
      </w:r>
      <w:r w:rsidR="00C552D0">
        <w:t xml:space="preserve"> </w:t>
      </w:r>
      <w:r w:rsidR="009A04DE">
        <w:t>2021.</w:t>
      </w:r>
      <w:r>
        <w:t xml:space="preserve"> </w:t>
      </w:r>
    </w:p>
  </w:footnote>
  <w:footnote w:id="2">
    <w:p w14:paraId="068DB73D" w14:textId="10634E07" w:rsidR="00EC4895" w:rsidRDefault="00EC4895">
      <w:pPr>
        <w:pStyle w:val="FootnoteText"/>
      </w:pPr>
      <w:r>
        <w:rPr>
          <w:rStyle w:val="FootnoteReference"/>
        </w:rPr>
        <w:footnoteRef/>
      </w:r>
      <w:r>
        <w:t xml:space="preserve"> Document No. 13005-2021.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F72" w14:textId="77777777" w:rsidR="00BC402E" w:rsidRDefault="00AE795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20210016-EI</w:t>
    </w:r>
    <w:bookmarkEnd w:id="15"/>
  </w:p>
  <w:p w14:paraId="0C182EC6" w14:textId="77777777" w:rsidR="00BC402E" w:rsidRDefault="00BC402E">
    <w:pPr>
      <w:pStyle w:val="Header"/>
    </w:pPr>
    <w:r>
      <w:t xml:space="preserve">Date: </w:t>
    </w:r>
    <w:r w:rsidR="00C94723">
      <w:fldChar w:fldCharType="begin"/>
    </w:r>
    <w:r w:rsidR="00C94723">
      <w:instrText xml:space="preserve"> REF FilingDate </w:instrText>
    </w:r>
    <w:r w:rsidR="00C94723">
      <w:fldChar w:fldCharType="separate"/>
    </w:r>
    <w:r w:rsidR="003A35B0">
      <w:t>March 24, 2022</w:t>
    </w:r>
    <w:r w:rsidR="00C9472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FD0D4" w14:textId="77777777" w:rsidR="00BC402E" w:rsidRPr="00393EED" w:rsidRDefault="00BC402E" w:rsidP="00393EED">
    <w:pPr>
      <w:pStyle w:val="Header"/>
    </w:pPr>
    <w:r>
      <w:fldChar w:fldCharType="begin"/>
    </w:r>
    <w:r>
      <w:instrText xml:space="preserve"> REF DocketLabel</w:instrText>
    </w:r>
    <w:r>
      <w:fldChar w:fldCharType="separate"/>
    </w:r>
    <w:r w:rsidR="003A35B0">
      <w:t>Docket No.</w:t>
    </w:r>
    <w:r>
      <w:fldChar w:fldCharType="end"/>
    </w:r>
    <w:r>
      <w:t xml:space="preserve"> </w:t>
    </w:r>
    <w:r>
      <w:fldChar w:fldCharType="begin"/>
    </w:r>
    <w:r>
      <w:instrText xml:space="preserve"> REF DocketList</w:instrText>
    </w:r>
    <w:r>
      <w:fldChar w:fldCharType="separate"/>
    </w:r>
    <w:r w:rsidR="003A35B0">
      <w:t>20210016-EI</w:t>
    </w:r>
    <w:r>
      <w:fldChar w:fldCharType="end"/>
    </w:r>
    <w:r>
      <w:tab/>
    </w:r>
    <w:r w:rsidR="00393EED">
      <w:tab/>
    </w:r>
    <w:r>
      <w:t xml:space="preserve">Issue </w:t>
    </w:r>
    <w:r w:rsidR="00393EED">
      <w:t>1</w:t>
    </w:r>
  </w:p>
  <w:p w14:paraId="61CB1381" w14:textId="77777777" w:rsidR="00BC402E" w:rsidRDefault="00BC402E">
    <w:pPr>
      <w:pStyle w:val="Header"/>
    </w:pPr>
    <w:r>
      <w:t xml:space="preserve">Date: </w:t>
    </w:r>
    <w:r w:rsidR="00C94723">
      <w:fldChar w:fldCharType="begin"/>
    </w:r>
    <w:r w:rsidR="00C94723">
      <w:instrText xml:space="preserve"> REF FilingDate </w:instrText>
    </w:r>
    <w:r w:rsidR="00C94723">
      <w:fldChar w:fldCharType="separate"/>
    </w:r>
    <w:r w:rsidR="003A35B0">
      <w:t>March 24, 2022</w:t>
    </w:r>
    <w:r w:rsidR="00C9472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40BBC"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9342" w14:textId="77777777" w:rsidR="004776FB" w:rsidRPr="00393EED" w:rsidRDefault="004776FB" w:rsidP="00393EED">
    <w:pPr>
      <w:pStyle w:val="Header"/>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20210016-EI</w:t>
    </w:r>
    <w:r>
      <w:fldChar w:fldCharType="end"/>
    </w:r>
    <w:r>
      <w:tab/>
    </w:r>
    <w:r>
      <w:tab/>
      <w:t>Issue 2</w:t>
    </w:r>
  </w:p>
  <w:p w14:paraId="0E370D71" w14:textId="77777777" w:rsidR="004776FB" w:rsidRDefault="004776FB">
    <w:pPr>
      <w:pStyle w:val="Header"/>
    </w:pPr>
    <w:r>
      <w:t xml:space="preserve">Date: </w:t>
    </w:r>
    <w:r w:rsidR="00C94723">
      <w:fldChar w:fldCharType="begin"/>
    </w:r>
    <w:r w:rsidR="00C94723">
      <w:instrText xml:space="preserve"> REF FilingDate </w:instrText>
    </w:r>
    <w:r w:rsidR="00C94723">
      <w:fldChar w:fldCharType="separate"/>
    </w:r>
    <w:r>
      <w:t>March 24, 2022</w:t>
    </w:r>
    <w:r w:rsidR="00C9472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B415" w14:textId="77777777" w:rsidR="00582804" w:rsidRPr="00393EED" w:rsidRDefault="00582804" w:rsidP="00393EED">
    <w:pPr>
      <w:pStyle w:val="Header"/>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20210016-EI</w:t>
    </w:r>
    <w:r>
      <w:fldChar w:fldCharType="end"/>
    </w:r>
    <w:r>
      <w:tab/>
    </w:r>
    <w:r>
      <w:tab/>
      <w:t>Attachment 1</w:t>
    </w:r>
  </w:p>
  <w:p w14:paraId="51457C7E" w14:textId="77777777" w:rsidR="00582804" w:rsidRDefault="00582804">
    <w:pPr>
      <w:pStyle w:val="Header"/>
    </w:pPr>
    <w:r>
      <w:t xml:space="preserve">Date: </w:t>
    </w:r>
    <w:r w:rsidR="00C94723">
      <w:fldChar w:fldCharType="begin"/>
    </w:r>
    <w:r w:rsidR="00C94723">
      <w:instrText xml:space="preserve"> REF FilingDate </w:instrText>
    </w:r>
    <w:r w:rsidR="00C94723">
      <w:fldChar w:fldCharType="separate"/>
    </w:r>
    <w:r>
      <w:t>March 24, 2022</w:t>
    </w:r>
    <w:r w:rsidR="00C9472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E795A"/>
    <w:rsid w:val="000043D5"/>
    <w:rsid w:val="00006170"/>
    <w:rsid w:val="00010E37"/>
    <w:rsid w:val="000172DA"/>
    <w:rsid w:val="000247C5"/>
    <w:rsid w:val="000277C2"/>
    <w:rsid w:val="000354B7"/>
    <w:rsid w:val="00035B48"/>
    <w:rsid w:val="00036CE2"/>
    <w:rsid w:val="000437FE"/>
    <w:rsid w:val="000513BE"/>
    <w:rsid w:val="000551C2"/>
    <w:rsid w:val="00065A06"/>
    <w:rsid w:val="000666F3"/>
    <w:rsid w:val="00070DCB"/>
    <w:rsid w:val="00072CCA"/>
    <w:rsid w:val="00073120"/>
    <w:rsid w:val="000764D0"/>
    <w:rsid w:val="000828D3"/>
    <w:rsid w:val="000A2B57"/>
    <w:rsid w:val="000A418B"/>
    <w:rsid w:val="000B4718"/>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84963"/>
    <w:rsid w:val="00191E1F"/>
    <w:rsid w:val="00192601"/>
    <w:rsid w:val="00192943"/>
    <w:rsid w:val="001A2999"/>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2FFC"/>
    <w:rsid w:val="00225C3F"/>
    <w:rsid w:val="00262D56"/>
    <w:rsid w:val="00263D44"/>
    <w:rsid w:val="002666B6"/>
    <w:rsid w:val="002702AD"/>
    <w:rsid w:val="00292D82"/>
    <w:rsid w:val="002963CB"/>
    <w:rsid w:val="002970C0"/>
    <w:rsid w:val="002B4A01"/>
    <w:rsid w:val="002D226D"/>
    <w:rsid w:val="002F6030"/>
    <w:rsid w:val="00300DE9"/>
    <w:rsid w:val="00301195"/>
    <w:rsid w:val="003018F6"/>
    <w:rsid w:val="003037E1"/>
    <w:rsid w:val="00307E51"/>
    <w:rsid w:val="003103EC"/>
    <w:rsid w:val="003144EF"/>
    <w:rsid w:val="00322F74"/>
    <w:rsid w:val="00340073"/>
    <w:rsid w:val="003632FD"/>
    <w:rsid w:val="00364512"/>
    <w:rsid w:val="00372805"/>
    <w:rsid w:val="00373180"/>
    <w:rsid w:val="00375AB9"/>
    <w:rsid w:val="003821A0"/>
    <w:rsid w:val="00385B04"/>
    <w:rsid w:val="003864CF"/>
    <w:rsid w:val="00390CCB"/>
    <w:rsid w:val="00393EED"/>
    <w:rsid w:val="003948AE"/>
    <w:rsid w:val="003A22A6"/>
    <w:rsid w:val="003A35B0"/>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33CB"/>
    <w:rsid w:val="004242E6"/>
    <w:rsid w:val="00431598"/>
    <w:rsid w:val="004319AD"/>
    <w:rsid w:val="004426B8"/>
    <w:rsid w:val="00444432"/>
    <w:rsid w:val="004608A7"/>
    <w:rsid w:val="004612C0"/>
    <w:rsid w:val="00471860"/>
    <w:rsid w:val="00477026"/>
    <w:rsid w:val="004776FB"/>
    <w:rsid w:val="004A744D"/>
    <w:rsid w:val="004B60BD"/>
    <w:rsid w:val="004C3150"/>
    <w:rsid w:val="004C3641"/>
    <w:rsid w:val="004C4390"/>
    <w:rsid w:val="004C4AF7"/>
    <w:rsid w:val="004D2881"/>
    <w:rsid w:val="004D385F"/>
    <w:rsid w:val="004D5B39"/>
    <w:rsid w:val="004D5D82"/>
    <w:rsid w:val="004E330D"/>
    <w:rsid w:val="004E5147"/>
    <w:rsid w:val="004E69B5"/>
    <w:rsid w:val="004F5C43"/>
    <w:rsid w:val="0050077F"/>
    <w:rsid w:val="0050652D"/>
    <w:rsid w:val="00506C03"/>
    <w:rsid w:val="00511A11"/>
    <w:rsid w:val="00516496"/>
    <w:rsid w:val="00520150"/>
    <w:rsid w:val="005203AE"/>
    <w:rsid w:val="00523B11"/>
    <w:rsid w:val="0052572A"/>
    <w:rsid w:val="00532DFB"/>
    <w:rsid w:val="00533A16"/>
    <w:rsid w:val="00543CB3"/>
    <w:rsid w:val="005442E4"/>
    <w:rsid w:val="0055529B"/>
    <w:rsid w:val="00560FF0"/>
    <w:rsid w:val="005614BD"/>
    <w:rsid w:val="0057154F"/>
    <w:rsid w:val="00580F69"/>
    <w:rsid w:val="00581CA3"/>
    <w:rsid w:val="00582804"/>
    <w:rsid w:val="00587A44"/>
    <w:rsid w:val="00592FFB"/>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47EE2"/>
    <w:rsid w:val="006554D3"/>
    <w:rsid w:val="006562E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E4194"/>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499D"/>
    <w:rsid w:val="008B62AE"/>
    <w:rsid w:val="008C04B5"/>
    <w:rsid w:val="008C14FA"/>
    <w:rsid w:val="008C7B0B"/>
    <w:rsid w:val="008D4057"/>
    <w:rsid w:val="008E1F19"/>
    <w:rsid w:val="008F2262"/>
    <w:rsid w:val="008F4D2B"/>
    <w:rsid w:val="008F59A1"/>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3C4C"/>
    <w:rsid w:val="0093658B"/>
    <w:rsid w:val="009429FF"/>
    <w:rsid w:val="00945BD6"/>
    <w:rsid w:val="009479FB"/>
    <w:rsid w:val="00951C45"/>
    <w:rsid w:val="009656F2"/>
    <w:rsid w:val="00965E1F"/>
    <w:rsid w:val="00966A08"/>
    <w:rsid w:val="00971207"/>
    <w:rsid w:val="00975CB4"/>
    <w:rsid w:val="009863B0"/>
    <w:rsid w:val="00987DE1"/>
    <w:rsid w:val="00990571"/>
    <w:rsid w:val="0099673A"/>
    <w:rsid w:val="009A04DE"/>
    <w:rsid w:val="009A3330"/>
    <w:rsid w:val="009A5D79"/>
    <w:rsid w:val="009A7C96"/>
    <w:rsid w:val="009C3DB9"/>
    <w:rsid w:val="009D46E5"/>
    <w:rsid w:val="009D568A"/>
    <w:rsid w:val="009E227C"/>
    <w:rsid w:val="009E6DA6"/>
    <w:rsid w:val="009F04EC"/>
    <w:rsid w:val="009F2A7C"/>
    <w:rsid w:val="009F3B36"/>
    <w:rsid w:val="00A019B9"/>
    <w:rsid w:val="00A06CB8"/>
    <w:rsid w:val="00A12508"/>
    <w:rsid w:val="00A1282B"/>
    <w:rsid w:val="00A13A27"/>
    <w:rsid w:val="00A175B6"/>
    <w:rsid w:val="00A17E39"/>
    <w:rsid w:val="00A21835"/>
    <w:rsid w:val="00A2374B"/>
    <w:rsid w:val="00A27D6E"/>
    <w:rsid w:val="00A328EC"/>
    <w:rsid w:val="00A33151"/>
    <w:rsid w:val="00A33A51"/>
    <w:rsid w:val="00A41CA6"/>
    <w:rsid w:val="00A47927"/>
    <w:rsid w:val="00A47FFC"/>
    <w:rsid w:val="00A5442F"/>
    <w:rsid w:val="00A54FF9"/>
    <w:rsid w:val="00A56765"/>
    <w:rsid w:val="00A675AC"/>
    <w:rsid w:val="00A730F5"/>
    <w:rsid w:val="00A7581F"/>
    <w:rsid w:val="00A92FB1"/>
    <w:rsid w:val="00A95A0C"/>
    <w:rsid w:val="00AA2765"/>
    <w:rsid w:val="00AA77B5"/>
    <w:rsid w:val="00AB6C5D"/>
    <w:rsid w:val="00AC3401"/>
    <w:rsid w:val="00AC51A7"/>
    <w:rsid w:val="00AD444B"/>
    <w:rsid w:val="00AD5614"/>
    <w:rsid w:val="00AD6C78"/>
    <w:rsid w:val="00AE2EAB"/>
    <w:rsid w:val="00AE795A"/>
    <w:rsid w:val="00AF5F89"/>
    <w:rsid w:val="00AF73CB"/>
    <w:rsid w:val="00B002D6"/>
    <w:rsid w:val="00B01E23"/>
    <w:rsid w:val="00B03379"/>
    <w:rsid w:val="00B05B51"/>
    <w:rsid w:val="00B14E5A"/>
    <w:rsid w:val="00B15370"/>
    <w:rsid w:val="00B16DA4"/>
    <w:rsid w:val="00B17BEB"/>
    <w:rsid w:val="00B21A3C"/>
    <w:rsid w:val="00B223C0"/>
    <w:rsid w:val="00B234ED"/>
    <w:rsid w:val="00B249B2"/>
    <w:rsid w:val="00B25CA3"/>
    <w:rsid w:val="00B2765A"/>
    <w:rsid w:val="00B3109A"/>
    <w:rsid w:val="00B3234C"/>
    <w:rsid w:val="00B516ED"/>
    <w:rsid w:val="00B57A6A"/>
    <w:rsid w:val="00B760F1"/>
    <w:rsid w:val="00B7669E"/>
    <w:rsid w:val="00B77DA1"/>
    <w:rsid w:val="00B805F8"/>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498B"/>
    <w:rsid w:val="00C31BB3"/>
    <w:rsid w:val="00C36977"/>
    <w:rsid w:val="00C467DA"/>
    <w:rsid w:val="00C477D9"/>
    <w:rsid w:val="00C552D0"/>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075"/>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0784"/>
    <w:rsid w:val="00DA51E7"/>
    <w:rsid w:val="00DB0260"/>
    <w:rsid w:val="00DB1C78"/>
    <w:rsid w:val="00DB2A84"/>
    <w:rsid w:val="00DB7D96"/>
    <w:rsid w:val="00DC23FE"/>
    <w:rsid w:val="00DC59E6"/>
    <w:rsid w:val="00DD150B"/>
    <w:rsid w:val="00DD3583"/>
    <w:rsid w:val="00DD5025"/>
    <w:rsid w:val="00DE2C76"/>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5CB1"/>
    <w:rsid w:val="00EA7C3C"/>
    <w:rsid w:val="00EB2DB3"/>
    <w:rsid w:val="00EC3FBB"/>
    <w:rsid w:val="00EC4895"/>
    <w:rsid w:val="00EC6B7A"/>
    <w:rsid w:val="00ED3A87"/>
    <w:rsid w:val="00ED5B67"/>
    <w:rsid w:val="00EE69D3"/>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34102B"/>
  <w15:docId w15:val="{6F9996D9-E300-42B9-A754-26A55993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805F8"/>
    <w:rPr>
      <w:vertAlign w:val="superscript"/>
    </w:rPr>
  </w:style>
  <w:style w:type="paragraph" w:customStyle="1" w:styleId="OrderBody">
    <w:name w:val="Order Body"/>
    <w:basedOn w:val="Normal"/>
    <w:link w:val="OrderBodyChar"/>
    <w:rsid w:val="003A35B0"/>
    <w:pPr>
      <w:jc w:val="both"/>
    </w:pPr>
  </w:style>
  <w:style w:type="character" w:customStyle="1" w:styleId="OrderBodyChar">
    <w:name w:val="Order Body Char"/>
    <w:link w:val="OrderBody"/>
    <w:rsid w:val="003A35B0"/>
    <w:rPr>
      <w:sz w:val="24"/>
      <w:szCs w:val="24"/>
    </w:rPr>
  </w:style>
  <w:style w:type="character" w:styleId="CommentReference">
    <w:name w:val="annotation reference"/>
    <w:basedOn w:val="DefaultParagraphFont"/>
    <w:semiHidden/>
    <w:unhideWhenUsed/>
    <w:rsid w:val="006562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A9CF-70E2-426B-B0EE-EFCDB588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722</Words>
  <Characters>4265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Mark Cicchetti</dc:creator>
  <cp:lastModifiedBy>Hanna Black</cp:lastModifiedBy>
  <cp:revision>2</cp:revision>
  <cp:lastPrinted>2022-03-11T15:23:00Z</cp:lastPrinted>
  <dcterms:created xsi:type="dcterms:W3CDTF">2022-03-24T13:17:00Z</dcterms:created>
  <dcterms:modified xsi:type="dcterms:W3CDTF">2022-03-24T13:17:00Z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20210016-EI</vt:lpwstr>
  </property>
  <property fmtid="{D5CDD505-2E9C-101B-9397-08002B2CF9AE}" pid="3" name="MasterDocument">
    <vt:bool>false</vt:bool>
  </property>
</Properties>
</file>