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886FC1">
            <w:pPr>
              <w:pStyle w:val="MemoHeading"/>
            </w:pPr>
            <w:bookmarkStart w:id="1" w:name="FilingDate"/>
            <w:r>
              <w:t>June 24, 2022</w:t>
            </w:r>
            <w:bookmarkEnd w:id="1"/>
          </w:p>
        </w:tc>
      </w:tr>
      <w:tr w:rsidR="007C0528" w:rsidTr="0076107E">
        <w:trPr>
          <w:trHeight w:val="378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886FC1" w:rsidRDefault="00886FC1">
            <w:pPr>
              <w:pStyle w:val="MemoHeading"/>
            </w:pPr>
            <w:bookmarkStart w:id="2" w:name="From"/>
            <w:r>
              <w:t xml:space="preserve">Division of Engineering (Knoblauch, </w:t>
            </w:r>
            <w:r w:rsidR="00585414">
              <w:t>Ramos</w:t>
            </w:r>
            <w:r>
              <w:t>)</w:t>
            </w:r>
          </w:p>
          <w:p w:rsidR="00886FC1" w:rsidRDefault="00886FC1">
            <w:pPr>
              <w:pStyle w:val="MemoHeading"/>
            </w:pPr>
            <w:r>
              <w:t>Division of Economics (</w:t>
            </w:r>
            <w:r w:rsidR="00585414">
              <w:t>Hampson</w:t>
            </w:r>
            <w:r w:rsidR="0076107E">
              <w:t>, Coston</w:t>
            </w:r>
            <w:r>
              <w:t>)</w:t>
            </w:r>
          </w:p>
          <w:p w:rsidR="007C0528" w:rsidRDefault="00886FC1">
            <w:pPr>
              <w:pStyle w:val="MemoHeading"/>
            </w:pPr>
            <w:r>
              <w:t>Office of the General Counsel (Trierweiler, Jones)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886FC1">
            <w:pPr>
              <w:pStyle w:val="MemoHeadingRe"/>
            </w:pPr>
            <w:bookmarkStart w:id="3" w:name="Re"/>
            <w:r>
              <w:t>Docket No. 20220069-GU – Petition for rate increase by Florida City Gas.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886FC1">
            <w:pPr>
              <w:pStyle w:val="MemoHeading"/>
            </w:pPr>
            <w:bookmarkStart w:id="4" w:name="AgendaDate"/>
            <w:r>
              <w:t>07/07/22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27724A">
              <w:t>Tariff Suspension – Participation is at the Commission’s discretion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86FC1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86FC1">
            <w:pPr>
              <w:pStyle w:val="MemoHeading"/>
            </w:pPr>
            <w:bookmarkStart w:id="7" w:name="PrehearingOfficer"/>
            <w:r>
              <w:t>Clark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27724A">
            <w:pPr>
              <w:pStyle w:val="MemoHeading"/>
            </w:pPr>
            <w:r>
              <w:t>7/30/2022 (60-Day Suspension Date)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886FC1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E415D5" w:rsidRDefault="00E415D5" w:rsidP="00E415D5">
      <w:pPr>
        <w:pStyle w:val="BodyText"/>
      </w:pPr>
      <w:r>
        <w:t xml:space="preserve">On May 31, 2022, Florida City Gas (FCG or Company) filed a petition seeking the Florida Public Service Commission’s (Commission) approval of a rate increase and </w:t>
      </w:r>
      <w:r w:rsidRPr="00C43B00">
        <w:t>associated depreciation rates</w:t>
      </w:r>
      <w:r>
        <w:t>.</w:t>
      </w:r>
      <w:r w:rsidRPr="00C43B00">
        <w:t xml:space="preserve"> </w:t>
      </w:r>
      <w:r>
        <w:t xml:space="preserve">FCG is a natural gas local distribution company providing sales and transportation of natural gas, and is a public utility subject to this Commission’s regulatory jurisdiction under Section 366.02, Florida Statutes (F.S.). As a subsidiary of Florida Power &amp; Light Company, FCG currently serves approximately </w:t>
      </w:r>
      <w:r w:rsidRPr="00C43B00">
        <w:t>116,000</w:t>
      </w:r>
      <w:r>
        <w:t xml:space="preserve"> residential, commercial, and industrial natural gas customers in </w:t>
      </w:r>
      <w:r w:rsidRPr="00C43B00">
        <w:t>Miami-Dade, Broward, St. Lucie, Indian River, Brevard, Palm Beach, Hendry, and Martin</w:t>
      </w:r>
      <w:r>
        <w:t xml:space="preserve"> counties. </w:t>
      </w:r>
    </w:p>
    <w:p w:rsidR="00EA0958" w:rsidRDefault="00EA0958" w:rsidP="00E415D5">
      <w:pPr>
        <w:pStyle w:val="BodyText"/>
      </w:pPr>
    </w:p>
    <w:p w:rsidR="00EA0958" w:rsidRDefault="00EA0958" w:rsidP="00E415D5">
      <w:pPr>
        <w:pStyle w:val="BodyText"/>
      </w:pPr>
    </w:p>
    <w:p w:rsidR="00EA0958" w:rsidRDefault="00EA0958" w:rsidP="00E415D5">
      <w:pPr>
        <w:pStyle w:val="BodyText"/>
      </w:pPr>
      <w:r>
        <w:lastRenderedPageBreak/>
        <w:t>FCG requested an increase of $29.0 million in additional annual revenues.</w:t>
      </w:r>
      <w:r w:rsidRPr="004E3C6F">
        <w:t xml:space="preserve"> </w:t>
      </w:r>
      <w:r>
        <w:t>Of that amount, $5.7 million is associated with the reclassification of the Company’s Safety, Access, and Facility Enhancem</w:t>
      </w:r>
      <w:r w:rsidR="00281210">
        <w:t>ent program revenues from surcharge</w:t>
      </w:r>
      <w:r>
        <w:t xml:space="preserve"> to base rates and $3.8 million is related to the revenue requirements for the previously approved Liquefied Natural Gas Facility. Additionally, the remaining</w:t>
      </w:r>
      <w:r w:rsidRPr="00327816">
        <w:t xml:space="preserve"> </w:t>
      </w:r>
      <w:r>
        <w:t>$19.4 million is necessary,</w:t>
      </w:r>
      <w:r w:rsidRPr="00327816">
        <w:t xml:space="preserve"> </w:t>
      </w:r>
      <w:r>
        <w:t>according to FCG, for the Company to earn a fair return on its investment and to adopt the requested reserve surplus amortization mechanism.</w:t>
      </w:r>
      <w:r w:rsidRPr="002F1415">
        <w:t xml:space="preserve"> </w:t>
      </w:r>
      <w:r>
        <w:t>FCG based its request on a 13-month average rate base of $489 million for the projected test year ending December 31, 2023. The requested overall rate of return is 7.09 percent based on a mid-point of 10.75 percent return on equity.</w:t>
      </w:r>
    </w:p>
    <w:p w:rsidR="00EA0958" w:rsidRDefault="00E415D5" w:rsidP="00E415D5">
      <w:pPr>
        <w:pStyle w:val="BodyText"/>
      </w:pPr>
      <w:r>
        <w:t>This recommendation addresses the suspension of FCG’s proposed final rates and charges.</w:t>
      </w:r>
      <w:r w:rsidRPr="00F543CA">
        <w:t xml:space="preserve"> </w:t>
      </w:r>
      <w:r w:rsidR="00EA0958">
        <w:t>FCG did not request interim rate relief in this proceeding.</w:t>
      </w:r>
    </w:p>
    <w:p w:rsidR="00EA0958" w:rsidRDefault="00E415D5" w:rsidP="00E415D5">
      <w:pPr>
        <w:pStyle w:val="BodyText"/>
      </w:pPr>
      <w:r>
        <w:t>The Company’s last rate case was filed on October 23, 2017, and was resolved by the Commission’s approval of a settlement agreement in 2018.</w:t>
      </w:r>
      <w:r>
        <w:rPr>
          <w:rStyle w:val="FootnoteReference"/>
        </w:rPr>
        <w:footnoteReference w:id="1"/>
      </w:r>
      <w:r>
        <w:t xml:space="preserve"> </w:t>
      </w:r>
      <w:r w:rsidR="00EA0958">
        <w:t>The Commission-approved settlement agreement allowed FCG to generate an additional $11.5 million in revenues for the projected test year ended December 31, 2018. The settlement agreement also authorized a return on equity of 10.19 percent.</w:t>
      </w:r>
    </w:p>
    <w:p w:rsidR="00E415D5" w:rsidRDefault="00E415D5" w:rsidP="00E415D5">
      <w:pPr>
        <w:pStyle w:val="BodyText"/>
      </w:pPr>
      <w:r>
        <w:t>Pursu</w:t>
      </w:r>
      <w:r w:rsidR="004660BB">
        <w:t>ant to Sections 366.06(2) and (4</w:t>
      </w:r>
      <w:r>
        <w:t xml:space="preserve">), F.S., FCG requested to proceed this rate case using the Commission’s hearing process. Accordingly, in compliance with Section 366.06(2), F.S., an administrative hearing has been scheduled for December 12-16, 2022. </w:t>
      </w:r>
      <w:r w:rsidR="009F11E8">
        <w:t>The Commission has jurisdiction over this request under Section 366.06, F.S.</w:t>
      </w:r>
    </w:p>
    <w:bookmarkEnd w:id="11"/>
    <w:p w:rsidR="00EB2355" w:rsidRPr="00EB2355" w:rsidRDefault="00EB2355" w:rsidP="00EB2355"/>
    <w:p w:rsidR="00EB2355" w:rsidRPr="00EB2355" w:rsidRDefault="00EB2355" w:rsidP="00EB2355"/>
    <w:p w:rsidR="00EA2273" w:rsidRPr="00EB2355" w:rsidRDefault="00EB2355" w:rsidP="00EB2355">
      <w:pPr>
        <w:tabs>
          <w:tab w:val="left" w:pos="3480"/>
        </w:tabs>
        <w:sectPr w:rsidR="00EA2273" w:rsidRPr="00EB2355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  <w:r>
        <w:tab/>
      </w: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886FC1" w:rsidRDefault="00886FC1">
      <w:pPr>
        <w:pStyle w:val="IssueHeading"/>
        <w:rPr>
          <w:vanish/>
          <w:specVanish/>
        </w:rPr>
      </w:pPr>
      <w:r w:rsidRPr="004C3641">
        <w:t xml:space="preserve">Issue </w:t>
      </w:r>
      <w:r w:rsidR="008436E3">
        <w:fldChar w:fldCharType="begin"/>
      </w:r>
      <w:r w:rsidR="008436E3">
        <w:instrText xml:space="preserve"> SEQ Issue \* MERGEFORMAT </w:instrText>
      </w:r>
      <w:r w:rsidR="008436E3">
        <w:fldChar w:fldCharType="separate"/>
      </w:r>
      <w:r w:rsidR="006C1065">
        <w:rPr>
          <w:noProof/>
        </w:rPr>
        <w:t>1</w:t>
      </w:r>
      <w:r w:rsidR="008436E3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C1065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886FC1" w:rsidRDefault="00886FC1">
      <w:pPr>
        <w:pStyle w:val="BodyText"/>
      </w:pPr>
      <w:r>
        <w:t> </w:t>
      </w:r>
      <w:r w:rsidR="00F8516D">
        <w:t>Should the request for a permanent increase in rates and charges b</w:t>
      </w:r>
      <w:r w:rsidR="00062B9E">
        <w:t>e suspended for FCG</w:t>
      </w:r>
      <w:r w:rsidR="00F8516D">
        <w:t>?</w:t>
      </w:r>
    </w:p>
    <w:p w:rsidR="00886FC1" w:rsidRPr="004C3641" w:rsidRDefault="00886FC1">
      <w:pPr>
        <w:pStyle w:val="IssueSubsectionHeading"/>
        <w:rPr>
          <w:vanish/>
          <w:specVanish/>
        </w:rPr>
      </w:pPr>
      <w:r w:rsidRPr="004C3641">
        <w:t>Recommendation: </w:t>
      </w:r>
    </w:p>
    <w:p w:rsidR="00886FC1" w:rsidRDefault="00886FC1">
      <w:pPr>
        <w:pStyle w:val="BodyText"/>
      </w:pPr>
      <w:r>
        <w:t> </w:t>
      </w:r>
      <w:r w:rsidR="00F8516D">
        <w:t>Yes. Staff recommends that the requested permanent increase in rates and charges be suspended for FCG. (Hampson)</w:t>
      </w:r>
    </w:p>
    <w:p w:rsidR="00886FC1" w:rsidRPr="004C3641" w:rsidRDefault="00886FC1">
      <w:pPr>
        <w:pStyle w:val="IssueSubsectionHeading"/>
        <w:rPr>
          <w:vanish/>
          <w:specVanish/>
        </w:rPr>
      </w:pPr>
      <w:r w:rsidRPr="004C3641">
        <w:t>Staff Analysis: </w:t>
      </w:r>
    </w:p>
    <w:p w:rsidR="00886FC1" w:rsidRDefault="00886FC1">
      <w:pPr>
        <w:pStyle w:val="BodyText"/>
      </w:pPr>
      <w:r>
        <w:t> </w:t>
      </w:r>
      <w:r w:rsidR="00F8516D">
        <w:t xml:space="preserve">Staff recommends that the requested permanent increase in rates and charges be suspended for FCG to allow staff </w:t>
      </w:r>
      <w:r w:rsidR="00F161D1">
        <w:t xml:space="preserve">and the </w:t>
      </w:r>
      <w:proofErr w:type="gramStart"/>
      <w:r w:rsidR="00F161D1">
        <w:t>parties</w:t>
      </w:r>
      <w:proofErr w:type="gramEnd"/>
      <w:r w:rsidR="00F161D1">
        <w:t xml:space="preserve"> time to analyze the case and for the Commission to conduct the hearing</w:t>
      </w:r>
      <w:r w:rsidR="00F8516D">
        <w:t>.</w:t>
      </w:r>
    </w:p>
    <w:p w:rsidR="00F8516D" w:rsidRDefault="00F8516D">
      <w:pPr>
        <w:pStyle w:val="BodyText"/>
      </w:pPr>
      <w:r>
        <w:t>Pursuant to Section 366.06(3), F.S., the Commission may withhold consent to the operation of all or any portion of a new rate schedule, delivering to the utility requesting such a change, a reason, or written statement of a good cause for doing so with 60 days. Staff</w:t>
      </w:r>
      <w:r w:rsidR="009F11E8">
        <w:t xml:space="preserve"> believes that the reasons previously stated are </w:t>
      </w:r>
      <w:r>
        <w:t>good cause consistent with the requirement</w:t>
      </w:r>
      <w:r w:rsidR="009F11E8">
        <w:t>s</w:t>
      </w:r>
      <w:r>
        <w:t xml:space="preserve"> of Section 366.06(3), F.S.</w:t>
      </w:r>
    </w:p>
    <w:p w:rsidR="00886FC1" w:rsidRDefault="00886FC1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t xml:space="preserve">Issue </w:t>
      </w:r>
      <w:r w:rsidR="008436E3">
        <w:fldChar w:fldCharType="begin"/>
      </w:r>
      <w:r w:rsidR="008436E3">
        <w:instrText xml:space="preserve"> SEQ Issue \* MERGEFORMAT </w:instrText>
      </w:r>
      <w:r w:rsidR="008436E3">
        <w:fldChar w:fldCharType="separate"/>
      </w:r>
      <w:r w:rsidR="006C1065">
        <w:rPr>
          <w:noProof/>
        </w:rPr>
        <w:t>2</w:t>
      </w:r>
      <w:r w:rsidR="008436E3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C1065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886FC1" w:rsidRDefault="00886FC1">
      <w:pPr>
        <w:pStyle w:val="BodyText"/>
      </w:pPr>
      <w:r>
        <w:t> Should this docket be closed?</w:t>
      </w:r>
    </w:p>
    <w:p w:rsidR="00886FC1" w:rsidRPr="004C3641" w:rsidRDefault="00886FC1">
      <w:pPr>
        <w:pStyle w:val="IssueSubsectionHeading"/>
        <w:rPr>
          <w:vanish/>
          <w:specVanish/>
        </w:rPr>
      </w:pPr>
      <w:r w:rsidRPr="004C3641">
        <w:t>Recommendation: </w:t>
      </w:r>
    </w:p>
    <w:p w:rsidR="004226F9" w:rsidRDefault="00886FC1">
      <w:pPr>
        <w:pStyle w:val="BodyText"/>
      </w:pPr>
      <w:r>
        <w:t> </w:t>
      </w:r>
      <w:r w:rsidR="00675A64">
        <w:t xml:space="preserve">No. This docket should remain open </w:t>
      </w:r>
      <w:r w:rsidR="004226F9">
        <w:t xml:space="preserve">pending the Commission’s final resolution of the Company’s requested rate increase. </w:t>
      </w:r>
      <w:r w:rsidR="00DC3DC4">
        <w:t>(Trierweiler)</w:t>
      </w:r>
    </w:p>
    <w:p w:rsidR="00886FC1" w:rsidRPr="004C3641" w:rsidRDefault="00886FC1">
      <w:pPr>
        <w:pStyle w:val="IssueSubsectionHeading"/>
        <w:rPr>
          <w:vanish/>
          <w:specVanish/>
        </w:rPr>
      </w:pPr>
      <w:r w:rsidRPr="004C3641">
        <w:t>Staff Analysis: </w:t>
      </w:r>
    </w:p>
    <w:p w:rsidR="00886FC1" w:rsidRDefault="00886FC1">
      <w:pPr>
        <w:pStyle w:val="BodyText"/>
      </w:pPr>
      <w:r>
        <w:t> </w:t>
      </w:r>
      <w:r w:rsidR="00675A64">
        <w:t>This docket should remain open pending the Commission’s final resolution of the Company’s requested rate increase.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C1" w:rsidRDefault="00886FC1">
      <w:r>
        <w:separator/>
      </w:r>
    </w:p>
  </w:endnote>
  <w:endnote w:type="continuationSeparator" w:id="0">
    <w:p w:rsidR="00886FC1" w:rsidRDefault="0088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697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C1" w:rsidRDefault="00886FC1">
      <w:r>
        <w:separator/>
      </w:r>
    </w:p>
  </w:footnote>
  <w:footnote w:type="continuationSeparator" w:id="0">
    <w:p w:rsidR="00886FC1" w:rsidRDefault="00886FC1">
      <w:r>
        <w:continuationSeparator/>
      </w:r>
    </w:p>
  </w:footnote>
  <w:footnote w:id="1">
    <w:p w:rsidR="00E415D5" w:rsidRPr="00925AFD" w:rsidRDefault="00E415D5" w:rsidP="00E415D5">
      <w:pPr>
        <w:pStyle w:val="FootnoteText"/>
      </w:pPr>
      <w:r w:rsidRPr="00925AFD">
        <w:rPr>
          <w:rStyle w:val="FootnoteReference"/>
        </w:rPr>
        <w:footnoteRef/>
      </w:r>
      <w:r w:rsidRPr="00925AFD">
        <w:t>Order No. PSC-2018-0190-FOF-GU</w:t>
      </w:r>
      <w:r>
        <w:t xml:space="preserve">, issued </w:t>
      </w:r>
      <w:r w:rsidRPr="00925AFD">
        <w:t>April 20, 2018</w:t>
      </w:r>
      <w:r>
        <w:t xml:space="preserve">, in Docket No. 20170179-GU, </w:t>
      </w:r>
      <w:r w:rsidRPr="00925AFD">
        <w:rPr>
          <w:i/>
        </w:rPr>
        <w:t>In re: Petition for rate increase by Florida City Gas.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886FC1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20220069-GU</w:t>
    </w:r>
    <w:bookmarkEnd w:id="14"/>
  </w:p>
  <w:p w:rsidR="00BC402E" w:rsidRDefault="00BC402E">
    <w:pPr>
      <w:pStyle w:val="Header"/>
    </w:pPr>
    <w:r>
      <w:t xml:space="preserve">Date: </w:t>
    </w:r>
    <w:r w:rsidR="008436E3">
      <w:fldChar w:fldCharType="begin"/>
    </w:r>
    <w:r w:rsidR="008436E3">
      <w:instrText xml:space="preserve"> REF FilingDate </w:instrText>
    </w:r>
    <w:r w:rsidR="008436E3">
      <w:fldChar w:fldCharType="separate"/>
    </w:r>
    <w:r w:rsidR="006C1065">
      <w:t>June 24, 2022</w:t>
    </w:r>
    <w:r w:rsidR="008436E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6C1065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6C1065">
      <w:t>20220069-GU</w:t>
    </w:r>
    <w:r>
      <w:fldChar w:fldCharType="end"/>
    </w:r>
    <w:r>
      <w:tab/>
      <w:t xml:space="preserve">Issue </w:t>
    </w:r>
    <w:fldSimple w:instr=" Seq Issue \c \* Arabic ">
      <w:r w:rsidR="00D26976">
        <w:rPr>
          <w:noProof/>
        </w:rPr>
        <w:t>1</w:t>
      </w:r>
    </w:fldSimple>
  </w:p>
  <w:p w:rsidR="00BC402E" w:rsidRDefault="00BC402E">
    <w:pPr>
      <w:pStyle w:val="Header"/>
    </w:pPr>
    <w:r>
      <w:t xml:space="preserve">Date: </w:t>
    </w:r>
    <w:r w:rsidR="008436E3">
      <w:fldChar w:fldCharType="begin"/>
    </w:r>
    <w:r w:rsidR="008436E3">
      <w:instrText xml:space="preserve"> REF FilingDate </w:instrText>
    </w:r>
    <w:r w:rsidR="008436E3">
      <w:fldChar w:fldCharType="separate"/>
    </w:r>
    <w:r w:rsidR="006C1065">
      <w:t>June 24, 2022</w:t>
    </w:r>
    <w:r w:rsidR="008436E3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886FC1"/>
    <w:rsid w:val="000043D5"/>
    <w:rsid w:val="00006170"/>
    <w:rsid w:val="00010E37"/>
    <w:rsid w:val="000172DA"/>
    <w:rsid w:val="000247C5"/>
    <w:rsid w:val="000277C2"/>
    <w:rsid w:val="00035B48"/>
    <w:rsid w:val="00036CE2"/>
    <w:rsid w:val="000417EA"/>
    <w:rsid w:val="000437FE"/>
    <w:rsid w:val="000513BE"/>
    <w:rsid w:val="00062B9E"/>
    <w:rsid w:val="00065A06"/>
    <w:rsid w:val="000666F3"/>
    <w:rsid w:val="00070DCB"/>
    <w:rsid w:val="00072CCA"/>
    <w:rsid w:val="00073120"/>
    <w:rsid w:val="000764D0"/>
    <w:rsid w:val="000828D3"/>
    <w:rsid w:val="000A2B57"/>
    <w:rsid w:val="000A418B"/>
    <w:rsid w:val="000C4431"/>
    <w:rsid w:val="000D1C06"/>
    <w:rsid w:val="000D4319"/>
    <w:rsid w:val="000F374A"/>
    <w:rsid w:val="001076AF"/>
    <w:rsid w:val="00117C8C"/>
    <w:rsid w:val="00124C38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84940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63D44"/>
    <w:rsid w:val="002702AD"/>
    <w:rsid w:val="0027724A"/>
    <w:rsid w:val="00281210"/>
    <w:rsid w:val="00292D82"/>
    <w:rsid w:val="002963CB"/>
    <w:rsid w:val="002B4A01"/>
    <w:rsid w:val="002D226D"/>
    <w:rsid w:val="002F6030"/>
    <w:rsid w:val="003037E1"/>
    <w:rsid w:val="00307E51"/>
    <w:rsid w:val="003103EC"/>
    <w:rsid w:val="003144EF"/>
    <w:rsid w:val="00322F74"/>
    <w:rsid w:val="00340073"/>
    <w:rsid w:val="003632FD"/>
    <w:rsid w:val="0036640F"/>
    <w:rsid w:val="00372805"/>
    <w:rsid w:val="00373180"/>
    <w:rsid w:val="00375AB9"/>
    <w:rsid w:val="003821A0"/>
    <w:rsid w:val="00385B04"/>
    <w:rsid w:val="003864CF"/>
    <w:rsid w:val="003948AE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26F9"/>
    <w:rsid w:val="004242E6"/>
    <w:rsid w:val="00431598"/>
    <w:rsid w:val="004319AD"/>
    <w:rsid w:val="004426B8"/>
    <w:rsid w:val="00444432"/>
    <w:rsid w:val="004660BB"/>
    <w:rsid w:val="00471860"/>
    <w:rsid w:val="00477026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32DFB"/>
    <w:rsid w:val="00543CB3"/>
    <w:rsid w:val="005442E4"/>
    <w:rsid w:val="0055529B"/>
    <w:rsid w:val="00560FF0"/>
    <w:rsid w:val="005614BD"/>
    <w:rsid w:val="0057154F"/>
    <w:rsid w:val="00580F69"/>
    <w:rsid w:val="00581CA3"/>
    <w:rsid w:val="00585414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2270"/>
    <w:rsid w:val="006554D3"/>
    <w:rsid w:val="00667036"/>
    <w:rsid w:val="00673BDB"/>
    <w:rsid w:val="00674341"/>
    <w:rsid w:val="00675A64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1065"/>
    <w:rsid w:val="006C31E3"/>
    <w:rsid w:val="006D18D3"/>
    <w:rsid w:val="006E08CB"/>
    <w:rsid w:val="006E598D"/>
    <w:rsid w:val="0070437D"/>
    <w:rsid w:val="00704CF1"/>
    <w:rsid w:val="00705B04"/>
    <w:rsid w:val="00724992"/>
    <w:rsid w:val="00734820"/>
    <w:rsid w:val="007349DC"/>
    <w:rsid w:val="0074365E"/>
    <w:rsid w:val="00744B55"/>
    <w:rsid w:val="007515FD"/>
    <w:rsid w:val="00760D80"/>
    <w:rsid w:val="0076107E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3691A"/>
    <w:rsid w:val="00850BAC"/>
    <w:rsid w:val="00854A3E"/>
    <w:rsid w:val="00855D08"/>
    <w:rsid w:val="00874344"/>
    <w:rsid w:val="00882155"/>
    <w:rsid w:val="0088233B"/>
    <w:rsid w:val="0088599E"/>
    <w:rsid w:val="00886C37"/>
    <w:rsid w:val="00886FC1"/>
    <w:rsid w:val="00892D99"/>
    <w:rsid w:val="00893315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B4BBE"/>
    <w:rsid w:val="009C3DB9"/>
    <w:rsid w:val="009D46E5"/>
    <w:rsid w:val="009D568A"/>
    <w:rsid w:val="009F04EC"/>
    <w:rsid w:val="009F11E8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D462F"/>
    <w:rsid w:val="00BE6DDB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62A81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26976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3DC4"/>
    <w:rsid w:val="00DC59E6"/>
    <w:rsid w:val="00DD150B"/>
    <w:rsid w:val="00DD5025"/>
    <w:rsid w:val="00DF1510"/>
    <w:rsid w:val="00E02F1F"/>
    <w:rsid w:val="00E06484"/>
    <w:rsid w:val="00E20A7D"/>
    <w:rsid w:val="00E275D8"/>
    <w:rsid w:val="00E30574"/>
    <w:rsid w:val="00E30F6A"/>
    <w:rsid w:val="00E3117C"/>
    <w:rsid w:val="00E375CA"/>
    <w:rsid w:val="00E415D5"/>
    <w:rsid w:val="00E5364F"/>
    <w:rsid w:val="00E567E8"/>
    <w:rsid w:val="00E62B2B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0958"/>
    <w:rsid w:val="00EA2273"/>
    <w:rsid w:val="00EA7C3C"/>
    <w:rsid w:val="00EB2355"/>
    <w:rsid w:val="00EB2DB3"/>
    <w:rsid w:val="00EC12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161D1"/>
    <w:rsid w:val="00F200B2"/>
    <w:rsid w:val="00F227DC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16D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9DDF1BA6-9B4F-4DF6-B1A0-68128381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415D5"/>
  </w:style>
  <w:style w:type="character" w:styleId="FootnoteReference">
    <w:name w:val="footnote reference"/>
    <w:basedOn w:val="DefaultParagraphFont"/>
    <w:uiPriority w:val="99"/>
    <w:semiHidden/>
    <w:unhideWhenUsed/>
    <w:rsid w:val="00E41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7206-975B-479D-9C41-8A837F03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619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Joann Parsons</dc:creator>
  <cp:lastModifiedBy>Joann Parsons</cp:lastModifiedBy>
  <cp:revision>2</cp:revision>
  <cp:lastPrinted>2022-06-14T15:48:00Z</cp:lastPrinted>
  <dcterms:created xsi:type="dcterms:W3CDTF">2022-06-24T12:44:00Z</dcterms:created>
  <dcterms:modified xsi:type="dcterms:W3CDTF">2022-06-24T12:44:00Z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20220069-GU</vt:lpwstr>
  </property>
  <property fmtid="{D5CDD505-2E9C-101B-9397-08002B2CF9AE}" pid="3" name="MasterDocument">
    <vt:bool>false</vt:bool>
  </property>
</Properties>
</file>