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291116">
            <w:pPr>
              <w:pStyle w:val="MemoHeading"/>
            </w:pPr>
            <w:bookmarkStart w:id="1" w:name="FilingDate"/>
            <w:r>
              <w:t>June 24, 2022</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291116" w:rsidRDefault="00291116">
            <w:pPr>
              <w:pStyle w:val="MemoHeading"/>
            </w:pPr>
            <w:bookmarkStart w:id="2" w:name="From"/>
            <w:r>
              <w:t>Division of Accounting and Finance (Higgins)</w:t>
            </w:r>
          </w:p>
          <w:p w:rsidR="00291116" w:rsidRDefault="006C1E0B">
            <w:pPr>
              <w:pStyle w:val="MemoHeading"/>
            </w:pPr>
            <w:r>
              <w:t>Division of Economics (Coston</w:t>
            </w:r>
            <w:r w:rsidR="00291116">
              <w:t>)</w:t>
            </w:r>
          </w:p>
          <w:p w:rsidR="007C0528" w:rsidRDefault="00291116">
            <w:pPr>
              <w:pStyle w:val="MemoHeading"/>
            </w:pPr>
            <w:r>
              <w:t>Office of the General Counsel (Brownless, Sandy)</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291116">
            <w:pPr>
              <w:pStyle w:val="MemoHeadingRe"/>
            </w:pPr>
            <w:bookmarkStart w:id="3" w:name="Re"/>
            <w:r>
              <w:t>Docket No. 20220001-EI – Fuel and purchased power cost recovery clause with generating performance incentive factor.</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291116">
            <w:pPr>
              <w:pStyle w:val="MemoHeading"/>
            </w:pPr>
            <w:bookmarkStart w:id="4" w:name="AgendaDate"/>
            <w:r>
              <w:t>07/07/22</w:t>
            </w:r>
            <w:bookmarkEnd w:id="4"/>
            <w:r w:rsidR="007C0528">
              <w:t xml:space="preserve"> – </w:t>
            </w:r>
            <w:bookmarkStart w:id="5" w:name="PermittedStatus"/>
            <w:r>
              <w:t>Regular Agenda –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291116">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291116">
            <w:pPr>
              <w:pStyle w:val="MemoHeading"/>
            </w:pPr>
            <w:bookmarkStart w:id="7" w:name="PrehearingOfficer"/>
            <w:r>
              <w:t>La Rosa</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291116">
            <w:pPr>
              <w:pStyle w:val="MemoHeading"/>
            </w:pPr>
            <w:bookmarkStart w:id="9" w:name="CriticalDates"/>
            <w:r>
              <w:t>None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291116">
            <w:pPr>
              <w:pStyle w:val="MemoHeading"/>
            </w:pPr>
            <w:bookmarkStart w:id="10" w:name="SpecialInstructions"/>
            <w:r>
              <w:t>None</w:t>
            </w:r>
            <w:bookmarkEnd w:id="10"/>
          </w:p>
        </w:tc>
      </w:tr>
    </w:tbl>
    <w:p w:rsidR="007C0528" w:rsidRDefault="007C0528">
      <w:pPr>
        <w:pStyle w:val="BodyText"/>
      </w:pPr>
    </w:p>
    <w:p w:rsidR="007C0528" w:rsidRPr="00C62E2D" w:rsidRDefault="007C0528">
      <w:pPr>
        <w:pStyle w:val="RecommendationMajorSectionHeading"/>
      </w:pPr>
      <w:bookmarkStart w:id="11" w:name="RecToC"/>
      <w:bookmarkEnd w:id="11"/>
      <w:r>
        <w:t xml:space="preserve"> </w:t>
      </w:r>
      <w:bookmarkStart w:id="12" w:name="CaseBackground"/>
      <w:r w:rsidRPr="00C62E2D">
        <w:t>Case Background</w:t>
      </w:r>
      <w:r w:rsidRPr="00C62E2D">
        <w:fldChar w:fldCharType="begin"/>
      </w:r>
      <w:r w:rsidRPr="00C62E2D">
        <w:instrText xml:space="preserve"> TC  "</w:instrText>
      </w:r>
      <w:r w:rsidRPr="00C62E2D">
        <w:tab/>
      </w:r>
      <w:bookmarkStart w:id="13" w:name="_Toc94516455"/>
      <w:r w:rsidRPr="00C62E2D">
        <w:instrText>Case Background</w:instrText>
      </w:r>
      <w:bookmarkEnd w:id="13"/>
      <w:r w:rsidRPr="00C62E2D">
        <w:instrText xml:space="preserve">" \l 1 </w:instrText>
      </w:r>
      <w:r w:rsidRPr="00C62E2D">
        <w:fldChar w:fldCharType="end"/>
      </w:r>
    </w:p>
    <w:p w:rsidR="00105F5C" w:rsidRPr="00445388" w:rsidRDefault="00105F5C" w:rsidP="00105F5C">
      <w:pPr>
        <w:pStyle w:val="BodyText"/>
      </w:pPr>
      <w:r w:rsidRPr="00445388">
        <w:t xml:space="preserve">On June </w:t>
      </w:r>
      <w:r w:rsidR="00C62E2D" w:rsidRPr="00445388">
        <w:t>14</w:t>
      </w:r>
      <w:r w:rsidRPr="00445388">
        <w:t xml:space="preserve">, 2022, Florida Public Utilities Company (FPUC or Company), filed for a mid-course correction (MCC Petition) of </w:t>
      </w:r>
      <w:r w:rsidR="00A54B81" w:rsidRPr="00445388">
        <w:t>its 2022 purchase</w:t>
      </w:r>
      <w:r w:rsidR="00016816" w:rsidRPr="00445388">
        <w:t>d</w:t>
      </w:r>
      <w:r w:rsidR="00A54B81" w:rsidRPr="00445388">
        <w:t xml:space="preserve"> power agreement</w:t>
      </w:r>
      <w:r w:rsidRPr="00445388">
        <w:t xml:space="preserve"> </w:t>
      </w:r>
      <w:r w:rsidR="00A54B81" w:rsidRPr="00445388">
        <w:t xml:space="preserve">(PPA) </w:t>
      </w:r>
      <w:r w:rsidRPr="00445388">
        <w:t>cost recovery factors.</w:t>
      </w:r>
      <w:r w:rsidR="00C62E2D" w:rsidRPr="00445388">
        <w:rPr>
          <w:rStyle w:val="FootnoteReference"/>
        </w:rPr>
        <w:footnoteReference w:id="1"/>
      </w:r>
      <w:r w:rsidR="00A54B81" w:rsidRPr="00445388">
        <w:t xml:space="preserve"> </w:t>
      </w:r>
      <w:r w:rsidRPr="00445388">
        <w:t xml:space="preserve">FPUC’s currently-effective 2022 </w:t>
      </w:r>
      <w:r w:rsidR="00A54B81" w:rsidRPr="00445388">
        <w:t>PPA</w:t>
      </w:r>
      <w:r w:rsidRPr="00445388">
        <w:t xml:space="preserve"> cost recovery factors were approved at the November 2, 2021 final hearing.</w:t>
      </w:r>
      <w:r w:rsidRPr="00445388">
        <w:rPr>
          <w:vertAlign w:val="superscript"/>
        </w:rPr>
        <w:footnoteReference w:id="2"/>
      </w:r>
      <w:r w:rsidR="00B42EAB" w:rsidRPr="00445388">
        <w:t xml:space="preserve"> </w:t>
      </w:r>
      <w:r w:rsidR="00D35DFC" w:rsidRPr="00445388">
        <w:t>FPUC is a non-gen</w:t>
      </w:r>
      <w:r w:rsidR="00B42EAB" w:rsidRPr="00445388">
        <w:t>erating electric utility</w:t>
      </w:r>
      <w:r w:rsidR="00344442" w:rsidRPr="00445388">
        <w:t xml:space="preserve"> that relies solely on PPAs for its energy requirements. Further, by</w:t>
      </w:r>
      <w:r w:rsidR="001D3239" w:rsidRPr="00445388">
        <w:t xml:space="preserve"> contract</w:t>
      </w:r>
      <w:r w:rsidR="001C6FCD" w:rsidRPr="00445388">
        <w:t>ual terms</w:t>
      </w:r>
      <w:r w:rsidR="001D3239" w:rsidRPr="00445388">
        <w:t>,</w:t>
      </w:r>
      <w:r w:rsidR="000131C8" w:rsidRPr="00445388">
        <w:t xml:space="preserve"> </w:t>
      </w:r>
      <w:r w:rsidR="00B42EAB" w:rsidRPr="00445388">
        <w:t>ma</w:t>
      </w:r>
      <w:r w:rsidR="001D3239" w:rsidRPr="00445388">
        <w:t>rket fuel prices are</w:t>
      </w:r>
      <w:r w:rsidR="00B42EAB" w:rsidRPr="00445388">
        <w:t xml:space="preserve"> </w:t>
      </w:r>
      <w:r w:rsidR="00ED3AED" w:rsidRPr="00445388">
        <w:t>essentially</w:t>
      </w:r>
      <w:r w:rsidR="000131C8" w:rsidRPr="00445388">
        <w:t xml:space="preserve"> variable</w:t>
      </w:r>
      <w:r w:rsidR="00146D4D" w:rsidRPr="00445388">
        <w:t xml:space="preserve"> pass-</w:t>
      </w:r>
      <w:r w:rsidR="00ED3AED" w:rsidRPr="00445388">
        <w:t xml:space="preserve">through expenses that </w:t>
      </w:r>
      <w:r w:rsidR="000131C8" w:rsidRPr="00445388">
        <w:t>equate to</w:t>
      </w:r>
      <w:r w:rsidR="00ED3AED" w:rsidRPr="00445388">
        <w:t xml:space="preserve"> change</w:t>
      </w:r>
      <w:r w:rsidR="000131C8" w:rsidRPr="00445388">
        <w:t>s in</w:t>
      </w:r>
      <w:r w:rsidR="00ED3AED" w:rsidRPr="00445388">
        <w:t xml:space="preserve"> </w:t>
      </w:r>
      <w:r w:rsidR="00CB4B38" w:rsidRPr="00445388">
        <w:t>total</w:t>
      </w:r>
      <w:r w:rsidR="00B42EAB" w:rsidRPr="00445388">
        <w:t xml:space="preserve"> PPA cost</w:t>
      </w:r>
      <w:r w:rsidR="00ED3AED" w:rsidRPr="00445388">
        <w:t>s</w:t>
      </w:r>
      <w:r w:rsidR="000131C8" w:rsidRPr="00445388">
        <w:t xml:space="preserve"> to the Company</w:t>
      </w:r>
      <w:r w:rsidR="00B42EAB" w:rsidRPr="00445388">
        <w:t>.</w:t>
      </w:r>
      <w:r w:rsidR="00952F4C" w:rsidRPr="00445388">
        <w:t xml:space="preserve"> The PPAs include demand and non-demand related costs that are recovered through the PPA cost recovery factors on customers’ bills. FPUC is only requesting to adjust the non-demand related portion of the PPA cost recovery factors.</w:t>
      </w:r>
    </w:p>
    <w:p w:rsidR="00105F5C" w:rsidRDefault="00105F5C" w:rsidP="00105F5C">
      <w:pPr>
        <w:pStyle w:val="BodyText"/>
      </w:pPr>
      <w:r w:rsidRPr="00C62E2D">
        <w:lastRenderedPageBreak/>
        <w:t xml:space="preserve">Underlying the approval of FPUC’s 2022 factors was the Florida Public Service Commission’s (Commission) review of the Company’s projected 2022 </w:t>
      </w:r>
      <w:r w:rsidR="00A54B81" w:rsidRPr="00C62E2D">
        <w:t>PPA-r</w:t>
      </w:r>
      <w:r w:rsidRPr="00C62E2D">
        <w:t xml:space="preserve">elated costs. </w:t>
      </w:r>
      <w:r w:rsidRPr="00105F5C">
        <w:t xml:space="preserve">These </w:t>
      </w:r>
      <w:r w:rsidR="0007785D">
        <w:t xml:space="preserve">PPA </w:t>
      </w:r>
      <w:r w:rsidRPr="00105F5C">
        <w:t>costs are recovered through the fuel</w:t>
      </w:r>
      <w:r w:rsidR="00A54B81">
        <w:t xml:space="preserve"> and purchase</w:t>
      </w:r>
      <w:r w:rsidR="00016816">
        <w:t>d</w:t>
      </w:r>
      <w:r w:rsidR="00A54B81">
        <w:t xml:space="preserve"> power</w:t>
      </w:r>
      <w:r w:rsidRPr="00105F5C">
        <w:t xml:space="preserve"> cost recovery factors that are set/reset annually in </w:t>
      </w:r>
      <w:r w:rsidR="00E75AF2">
        <w:t>this docket. These factors</w:t>
      </w:r>
      <w:r w:rsidRPr="00105F5C">
        <w:t xml:space="preserve"> are usually effective for a period of 12 months. However, by Rule 25-6.0424, Florida Administrative Code (F.A.C.), the Commission requires that if an investor-owned electric utility’s fuel </w:t>
      </w:r>
      <w:r w:rsidR="00D66F34">
        <w:t>(including PPA</w:t>
      </w:r>
      <w:r w:rsidR="00C62E2D">
        <w:t xml:space="preserve"> costs</w:t>
      </w:r>
      <w:r w:rsidR="00D66F34">
        <w:t xml:space="preserve">) </w:t>
      </w:r>
      <w:r w:rsidRPr="00105F5C">
        <w:t>or capacity cost recovery position is projected to exceed a specified range within the standard 12-month timeframe, then the utility shall promptly notify the Commission.</w:t>
      </w:r>
    </w:p>
    <w:p w:rsidR="00105F5C" w:rsidRPr="00D83D33" w:rsidRDefault="00105F5C" w:rsidP="00105F5C">
      <w:pPr>
        <w:pStyle w:val="BodyText"/>
        <w:spacing w:after="0"/>
        <w:rPr>
          <w:rFonts w:ascii="Arial" w:hAnsi="Arial" w:cs="Arial"/>
          <w:b/>
          <w:i/>
        </w:rPr>
      </w:pPr>
      <w:r w:rsidRPr="00D83D33">
        <w:rPr>
          <w:rFonts w:ascii="Arial" w:hAnsi="Arial" w:cs="Arial"/>
          <w:b/>
          <w:i/>
        </w:rPr>
        <w:t>Mid-Course Correction</w:t>
      </w:r>
      <w:r>
        <w:rPr>
          <w:rFonts w:ascii="Arial" w:hAnsi="Arial" w:cs="Arial"/>
          <w:b/>
          <w:i/>
        </w:rPr>
        <w:t>s</w:t>
      </w:r>
    </w:p>
    <w:p w:rsidR="00105F5C" w:rsidRDefault="00105F5C" w:rsidP="00105F5C">
      <w:pPr>
        <w:pStyle w:val="BodyText"/>
      </w:pPr>
      <w:r>
        <w:t>Mid-course corrections are used by the Commission between annual clause hearings whenever costs deviate from revenue by a significant margin. Under Rule 25-6.0424, F.A.C., which is commonly referred to as the “mid-course correction rule,” a utility must notify the Commission whenever it expects to experience an under- or over-recovery of certain service costs greater than 10 percent.</w:t>
      </w:r>
      <w:r w:rsidRPr="00D83D33">
        <w:t xml:space="preserve"> </w:t>
      </w:r>
      <w:r>
        <w:t>The notification of a 10 percent cost-to-revenue variance shall include a petition for mid-course correction to the fuel cost recovery or capacity cost recovery factors, or shall include an explanation of why a mid-course correction is not practical. The mid-course correction rule and its codified procedures are further discussed throughout this recommendation.</w:t>
      </w:r>
    </w:p>
    <w:p w:rsidR="00105F5C" w:rsidRPr="00105F5C" w:rsidRDefault="00105F5C" w:rsidP="00105F5C">
      <w:pPr>
        <w:pStyle w:val="BodyText"/>
        <w:spacing w:after="0"/>
        <w:rPr>
          <w:rFonts w:ascii="Arial" w:hAnsi="Arial" w:cs="Arial"/>
          <w:b/>
          <w:i/>
        </w:rPr>
      </w:pPr>
      <w:r w:rsidRPr="00105F5C">
        <w:rPr>
          <w:rFonts w:ascii="Arial" w:hAnsi="Arial" w:cs="Arial"/>
          <w:b/>
          <w:i/>
        </w:rPr>
        <w:t>FPUC’s Petition for Mid-Course Correction</w:t>
      </w:r>
    </w:p>
    <w:p w:rsidR="00105F5C" w:rsidRPr="00105F5C" w:rsidRDefault="00105F5C" w:rsidP="00105F5C">
      <w:pPr>
        <w:pStyle w:val="BodyText"/>
        <w:spacing w:after="0"/>
        <w:rPr>
          <w:highlight w:val="yellow"/>
        </w:rPr>
      </w:pPr>
      <w:r w:rsidRPr="00105F5C">
        <w:t>Through its MCC Petition, FPUC is proposing a mid-co</w:t>
      </w:r>
      <w:r w:rsidR="00723578">
        <w:t>urse correcti</w:t>
      </w:r>
      <w:r w:rsidR="0073562F">
        <w:t>on of its currently-approved</w:t>
      </w:r>
      <w:r w:rsidR="00FB53A0">
        <w:t xml:space="preserve"> PPA</w:t>
      </w:r>
      <w:r w:rsidR="0007785D">
        <w:t xml:space="preserve"> charge</w:t>
      </w:r>
      <w:r w:rsidRPr="00105F5C">
        <w:t>s. Specifically, the Commission is being asked to ap</w:t>
      </w:r>
      <w:r w:rsidR="0007785D">
        <w:t>prove a moderated</w:t>
      </w:r>
      <w:r w:rsidR="00C62E2D">
        <w:t xml:space="preserve"> increase to FPUC’s PPA</w:t>
      </w:r>
      <w:r w:rsidRPr="00105F5C">
        <w:t xml:space="preserve"> cost recovery factor</w:t>
      </w:r>
      <w:r w:rsidR="00C62E2D">
        <w:t>s due to</w:t>
      </w:r>
      <w:r w:rsidR="0073562F">
        <w:t xml:space="preserve"> the Company </w:t>
      </w:r>
      <w:r w:rsidR="00FB53A0">
        <w:t>experiencing a significant</w:t>
      </w:r>
      <w:r w:rsidR="00723578">
        <w:t xml:space="preserve"> under-recovery of PPA</w:t>
      </w:r>
      <w:r w:rsidRPr="00105F5C">
        <w:t xml:space="preserve"> costs</w:t>
      </w:r>
      <w:r w:rsidRPr="00332006">
        <w:t xml:space="preserve">. The proposed increase to </w:t>
      </w:r>
      <w:r w:rsidR="00332006" w:rsidRPr="00332006">
        <w:t>FPUC</w:t>
      </w:r>
      <w:r w:rsidRPr="00332006">
        <w:t>’s currently-a</w:t>
      </w:r>
      <w:r w:rsidR="0073562F">
        <w:t>pprov</w:t>
      </w:r>
      <w:r w:rsidR="00703129">
        <w:t>ed PPA</w:t>
      </w:r>
      <w:r w:rsidRPr="00332006">
        <w:t xml:space="preserve"> char</w:t>
      </w:r>
      <w:r w:rsidR="009C7E97">
        <w:t>ges is</w:t>
      </w:r>
      <w:r w:rsidR="00C62E2D">
        <w:t xml:space="preserve"> a result of 2021 PPA costs</w:t>
      </w:r>
      <w:r w:rsidRPr="00332006">
        <w:t xml:space="preserve"> being greater than originally estimated. This topic is discussed further in Issue 1.</w:t>
      </w:r>
      <w:r w:rsidRPr="00105F5C">
        <w:rPr>
          <w:highlight w:val="yellow"/>
        </w:rPr>
        <w:t xml:space="preserve"> </w:t>
      </w:r>
    </w:p>
    <w:p w:rsidR="00105F5C" w:rsidRPr="00332006" w:rsidRDefault="00105F5C" w:rsidP="00105F5C">
      <w:pPr>
        <w:pStyle w:val="BodyText"/>
        <w:spacing w:after="0"/>
      </w:pPr>
    </w:p>
    <w:p w:rsidR="00105F5C" w:rsidRPr="00332006" w:rsidRDefault="00105F5C" w:rsidP="00105F5C">
      <w:pPr>
        <w:pStyle w:val="BodyText"/>
        <w:spacing w:after="0"/>
      </w:pPr>
      <w:r w:rsidRPr="00332006">
        <w:t>The Company is reques</w:t>
      </w:r>
      <w:r w:rsidR="00C62E2D">
        <w:t>ting that the proposed revised PPA</w:t>
      </w:r>
      <w:r w:rsidR="00332006" w:rsidRPr="00332006">
        <w:t xml:space="preserve"> cost recovery</w:t>
      </w:r>
      <w:r w:rsidRPr="00332006">
        <w:t xml:space="preserve"> factors and associated tariff</w:t>
      </w:r>
      <w:r w:rsidR="0007785D">
        <w:t>s</w:t>
      </w:r>
      <w:r w:rsidRPr="00332006">
        <w:t xml:space="preserve"> become effective beginning</w:t>
      </w:r>
      <w:r w:rsidR="0007785D">
        <w:t xml:space="preserve"> with the</w:t>
      </w:r>
      <w:r w:rsidR="00E533D9">
        <w:t xml:space="preserve"> first billing cycle of</w:t>
      </w:r>
      <w:r w:rsidRPr="00332006">
        <w:t xml:space="preserve"> </w:t>
      </w:r>
      <w:r w:rsidR="00C62E2D" w:rsidRPr="00C62E2D">
        <w:t>August</w:t>
      </w:r>
      <w:r w:rsidRPr="00C62E2D">
        <w:t xml:space="preserve"> 2022.</w:t>
      </w:r>
      <w:r w:rsidRPr="00332006">
        <w:t xml:space="preserve"> The </w:t>
      </w:r>
      <w:r w:rsidR="00703129">
        <w:t xml:space="preserve">proposed </w:t>
      </w:r>
      <w:r w:rsidRPr="00332006">
        <w:t xml:space="preserve">effective date is further discussed in both Issues 1 and 2. </w:t>
      </w:r>
    </w:p>
    <w:p w:rsidR="00105F5C" w:rsidRPr="00105F5C" w:rsidRDefault="00105F5C" w:rsidP="00105F5C">
      <w:pPr>
        <w:pStyle w:val="BodyText"/>
        <w:spacing w:after="0"/>
        <w:rPr>
          <w:highlight w:val="yellow"/>
        </w:rPr>
      </w:pPr>
    </w:p>
    <w:p w:rsidR="0068481F" w:rsidRDefault="00105F5C">
      <w:pPr>
        <w:pStyle w:val="BodyText"/>
      </w:pPr>
      <w:r w:rsidRPr="00105F5C">
        <w:t>The Commission is vested with jurisdiction over the subject matter of this proceeding by the provisions of Chapter 366, Florida Statutes (F.S.), including Sections 366.04, 366.05, and 366.06, F.S.</w:t>
      </w:r>
    </w:p>
    <w:p w:rsidR="007C0528" w:rsidRDefault="007C0528" w:rsidP="0068481F"/>
    <w:bookmarkEnd w:id="12"/>
    <w:p w:rsidR="00EA2273" w:rsidRDefault="00EA2273">
      <w:pPr>
        <w:pStyle w:val="RecommendationMajorSectionHeading"/>
        <w:sectPr w:rsidR="00EA2273">
          <w:headerReference w:type="default" r:id="rId9"/>
          <w:footerReference w:type="default" r:id="rId10"/>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332006" w:rsidRDefault="00332006">
      <w:pPr>
        <w:pStyle w:val="IssueHeading"/>
        <w:rPr>
          <w:vanish/>
          <w:specVanish/>
        </w:rPr>
      </w:pPr>
      <w:r w:rsidRPr="004C3641">
        <w:t xml:space="preserve">Issue </w:t>
      </w:r>
      <w:fldSimple w:instr=" SEQ Issue \* MERGEFORMAT ">
        <w:r w:rsidR="00445388">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sidR="00445388">
        <w:rPr>
          <w:noProof/>
        </w:rPr>
        <w:instrText>1</w:instrText>
      </w:r>
      <w:r>
        <w:fldChar w:fldCharType="end"/>
      </w:r>
      <w:r>
        <w:tab/>
        <w:instrText xml:space="preserve">(Higgins)" \l 1 </w:instrText>
      </w:r>
      <w:r>
        <w:fldChar w:fldCharType="end"/>
      </w:r>
      <w:r>
        <w:t> </w:t>
      </w:r>
    </w:p>
    <w:p w:rsidR="00332006" w:rsidRDefault="00332006">
      <w:pPr>
        <w:pStyle w:val="BodyText"/>
      </w:pPr>
      <w:r>
        <w:t> Should the Commission modif</w:t>
      </w:r>
      <w:r w:rsidR="00A44BB8">
        <w:t xml:space="preserve">y FPUC’s currently-approved PPA cost recovery </w:t>
      </w:r>
      <w:r>
        <w:t>fac</w:t>
      </w:r>
      <w:r w:rsidR="006C1E0B">
        <w:t>tors for purpose</w:t>
      </w:r>
      <w:r w:rsidR="00016816">
        <w:t>s</w:t>
      </w:r>
      <w:r w:rsidR="006C1E0B">
        <w:t xml:space="preserve"> of addressing </w:t>
      </w:r>
      <w:r w:rsidR="00A44BB8">
        <w:t>the</w:t>
      </w:r>
      <w:r>
        <w:t xml:space="preserve"> </w:t>
      </w:r>
      <w:r w:rsidR="006C1E0B">
        <w:t>period-ending 202</w:t>
      </w:r>
      <w:r w:rsidR="00A44BB8">
        <w:t>1</w:t>
      </w:r>
      <w:r w:rsidR="006C1E0B">
        <w:t xml:space="preserve"> </w:t>
      </w:r>
      <w:r w:rsidR="00831AA3">
        <w:t>under-recovery of PPA</w:t>
      </w:r>
      <w:r>
        <w:t xml:space="preserve"> costs?</w:t>
      </w:r>
    </w:p>
    <w:p w:rsidR="00332006" w:rsidRPr="004C3641" w:rsidRDefault="00332006">
      <w:pPr>
        <w:pStyle w:val="IssueSubsectionHeading"/>
        <w:rPr>
          <w:vanish/>
          <w:specVanish/>
        </w:rPr>
      </w:pPr>
      <w:r w:rsidRPr="004C3641">
        <w:t>Recommendation: </w:t>
      </w:r>
    </w:p>
    <w:p w:rsidR="00332006" w:rsidRDefault="00332006">
      <w:pPr>
        <w:pStyle w:val="BodyText"/>
      </w:pPr>
      <w:r>
        <w:t> </w:t>
      </w:r>
      <w:r w:rsidR="00B64DC2" w:rsidRPr="004F6AB5">
        <w:t xml:space="preserve">Yes. Staff recommends the Commission approve adjustments to </w:t>
      </w:r>
      <w:r w:rsidR="00B64DC2">
        <w:t>FPUC</w:t>
      </w:r>
      <w:r w:rsidR="00830D2E">
        <w:t>’s currently-approved PPA</w:t>
      </w:r>
      <w:r w:rsidR="00B64DC2" w:rsidRPr="004F6AB5">
        <w:t xml:space="preserve"> cost rec</w:t>
      </w:r>
      <w:r w:rsidR="00B64DC2">
        <w:t>overy factors to</w:t>
      </w:r>
      <w:r w:rsidR="00B64DC2" w:rsidRPr="004F6AB5">
        <w:t xml:space="preserve"> incorporat</w:t>
      </w:r>
      <w:r w:rsidR="00B64DC2">
        <w:t>e</w:t>
      </w:r>
      <w:r w:rsidR="00B64DC2" w:rsidRPr="004F6AB5">
        <w:t xml:space="preserve"> </w:t>
      </w:r>
      <w:r w:rsidR="00A44BB8">
        <w:t>the</w:t>
      </w:r>
      <w:r w:rsidR="00830D2E">
        <w:t xml:space="preserve"> Company’s</w:t>
      </w:r>
      <w:r w:rsidR="00A44BB8">
        <w:t xml:space="preserve"> period-ending 2021 under-recovery of PPA costs</w:t>
      </w:r>
      <w:r w:rsidR="008058FB">
        <w:t xml:space="preserve"> in the amount</w:t>
      </w:r>
      <w:r w:rsidR="00A44BB8">
        <w:t xml:space="preserve"> </w:t>
      </w:r>
      <w:r w:rsidR="00B64DC2">
        <w:t xml:space="preserve">of </w:t>
      </w:r>
      <w:r w:rsidR="00B64DC2" w:rsidRPr="00A44BB8">
        <w:t>$</w:t>
      </w:r>
      <w:r w:rsidR="00A44BB8" w:rsidRPr="00A44BB8">
        <w:t>3,790,314</w:t>
      </w:r>
      <w:r w:rsidR="00B64DC2" w:rsidRPr="00A44BB8">
        <w:t>.</w:t>
      </w:r>
      <w:r>
        <w:t xml:space="preserve"> (Higgins)</w:t>
      </w:r>
    </w:p>
    <w:p w:rsidR="00332006" w:rsidRPr="004C3641" w:rsidRDefault="00332006">
      <w:pPr>
        <w:pStyle w:val="IssueSubsectionHeading"/>
        <w:rPr>
          <w:vanish/>
          <w:specVanish/>
        </w:rPr>
      </w:pPr>
      <w:r w:rsidRPr="004C3641">
        <w:t>Staff Analysis: </w:t>
      </w:r>
    </w:p>
    <w:p w:rsidR="00B0437E" w:rsidRPr="00B0437E" w:rsidRDefault="00332006" w:rsidP="00B0437E">
      <w:pPr>
        <w:pStyle w:val="BodyText"/>
      </w:pPr>
      <w:r>
        <w:t> </w:t>
      </w:r>
      <w:r w:rsidR="00B0437E" w:rsidRPr="00B0437E">
        <w:t xml:space="preserve">FPUC participated in the Commission’s most-recent fuel </w:t>
      </w:r>
      <w:r w:rsidR="00A44BB8">
        <w:t xml:space="preserve">cost </w:t>
      </w:r>
      <w:r w:rsidR="00B0437E" w:rsidRPr="00B0437E">
        <w:t>hearing which took place on November 2, 2021. The Fuel Order issued with respect to F</w:t>
      </w:r>
      <w:r w:rsidR="00A44BB8">
        <w:t>PUC set forth the Company’s PPA</w:t>
      </w:r>
      <w:r w:rsidR="00B0437E" w:rsidRPr="00B0437E">
        <w:t xml:space="preserve"> cost recovery factors effective with the first billing cycle of January 2022.</w:t>
      </w:r>
      <w:r w:rsidR="00B0437E" w:rsidRPr="00B0437E">
        <w:rPr>
          <w:rStyle w:val="FootnoteReference"/>
        </w:rPr>
        <w:footnoteReference w:id="3"/>
      </w:r>
      <w:r w:rsidR="00B0437E" w:rsidRPr="00B0437E">
        <w:t xml:space="preserve"> However, as discussed belo</w:t>
      </w:r>
      <w:r w:rsidR="00F73557">
        <w:t>w, FPUC’s</w:t>
      </w:r>
      <w:r w:rsidR="00811569">
        <w:t xml:space="preserve"> currently-authorized PPA</w:t>
      </w:r>
      <w:r w:rsidR="0007785D">
        <w:t xml:space="preserve"> cost recovery factors have and continue to be</w:t>
      </w:r>
      <w:r w:rsidR="00B0437E" w:rsidRPr="00B0437E">
        <w:t xml:space="preserve"> </w:t>
      </w:r>
      <w:r w:rsidR="00016816">
        <w:t>insufficient to</w:t>
      </w:r>
      <w:r w:rsidR="0007785D">
        <w:t xml:space="preserve"> recover its PPA-related revenue requirement by a significant margin</w:t>
      </w:r>
      <w:r w:rsidR="00B0437E" w:rsidRPr="00B0437E">
        <w:t>.</w:t>
      </w:r>
    </w:p>
    <w:p w:rsidR="00B0437E" w:rsidRPr="00A44BB8" w:rsidRDefault="00B0437E" w:rsidP="00B0437E">
      <w:pPr>
        <w:pStyle w:val="BodyText"/>
        <w:spacing w:after="0"/>
        <w:rPr>
          <w:rFonts w:ascii="Arial" w:hAnsi="Arial" w:cs="Arial"/>
          <w:b/>
          <w:bCs/>
          <w:i/>
          <w:iCs/>
        </w:rPr>
      </w:pPr>
      <w:r w:rsidRPr="00A44BB8">
        <w:rPr>
          <w:rFonts w:ascii="Arial" w:hAnsi="Arial" w:cs="Arial"/>
          <w:b/>
          <w:bCs/>
          <w:i/>
          <w:iCs/>
        </w:rPr>
        <w:t>Mid-Course Corre</w:t>
      </w:r>
      <w:r w:rsidR="000171F0" w:rsidRPr="00A44BB8">
        <w:rPr>
          <w:rFonts w:ascii="Arial" w:hAnsi="Arial" w:cs="Arial"/>
          <w:b/>
          <w:bCs/>
          <w:i/>
          <w:iCs/>
        </w:rPr>
        <w:t>ction</w:t>
      </w:r>
    </w:p>
    <w:p w:rsidR="00B0437E" w:rsidRPr="00B0437E" w:rsidRDefault="00B0437E" w:rsidP="00B0437E">
      <w:pPr>
        <w:pStyle w:val="BodyText"/>
        <w:spacing w:after="0"/>
      </w:pPr>
      <w:r w:rsidRPr="00B0437E">
        <w:t>FPUC filed for a m</w:t>
      </w:r>
      <w:r w:rsidR="00753CBB">
        <w:t>id-course correction of its PPA-related</w:t>
      </w:r>
      <w:r w:rsidRPr="00B0437E">
        <w:t xml:space="preserve"> charges on </w:t>
      </w:r>
      <w:r w:rsidR="00A44BB8" w:rsidRPr="00811569">
        <w:t>June</w:t>
      </w:r>
      <w:r w:rsidRPr="00811569">
        <w:t xml:space="preserve"> </w:t>
      </w:r>
      <w:r w:rsidR="00A44BB8" w:rsidRPr="00811569">
        <w:t>14</w:t>
      </w:r>
      <w:r w:rsidRPr="00811569">
        <w:t>, 2022.</w:t>
      </w:r>
      <w:r w:rsidRPr="00811569">
        <w:rPr>
          <w:rStyle w:val="FootnoteReference"/>
        </w:rPr>
        <w:footnoteReference w:id="4"/>
      </w:r>
      <w:r w:rsidRPr="00811569">
        <w:t xml:space="preserve"> </w:t>
      </w:r>
      <w:r w:rsidR="0058756D">
        <w:t xml:space="preserve">Due </w:t>
      </w:r>
      <w:r w:rsidR="008B206B">
        <w:t xml:space="preserve">to the fact the Company is </w:t>
      </w:r>
      <w:r w:rsidR="0058756D">
        <w:t>requesting to</w:t>
      </w:r>
      <w:r w:rsidR="00706FF4">
        <w:t xml:space="preserve"> </w:t>
      </w:r>
      <w:r w:rsidR="0058756D">
        <w:t>recover</w:t>
      </w:r>
      <w:r w:rsidR="00706FF4">
        <w:t xml:space="preserve"> only</w:t>
      </w:r>
      <w:r w:rsidR="0058756D">
        <w:t xml:space="preserve"> its actual 2021 true</w:t>
      </w:r>
      <w:r w:rsidR="004224BD">
        <w:t>-</w:t>
      </w:r>
      <w:r w:rsidR="0058756D">
        <w:t>up through th</w:t>
      </w:r>
      <w:r w:rsidR="008B206B">
        <w:t>is</w:t>
      </w:r>
      <w:r w:rsidR="00F73557">
        <w:t xml:space="preserve"> MCC review</w:t>
      </w:r>
      <w:r w:rsidR="0058756D">
        <w:t xml:space="preserve">, </w:t>
      </w:r>
      <w:r w:rsidR="0058756D" w:rsidRPr="00D43DDB">
        <w:t>it</w:t>
      </w:r>
      <w:r w:rsidRPr="00D43DDB">
        <w:t>s petition satisfies the filing requirements of Rule 25-6.0424(1)(b), F.A.C.</w:t>
      </w:r>
      <w:r w:rsidRPr="00B0437E">
        <w:t xml:space="preserve"> </w:t>
      </w:r>
    </w:p>
    <w:p w:rsidR="00B0437E" w:rsidRDefault="00B0437E" w:rsidP="00B0437E">
      <w:pPr>
        <w:pStyle w:val="BodyText"/>
        <w:spacing w:after="0"/>
        <w:rPr>
          <w:highlight w:val="yellow"/>
        </w:rPr>
      </w:pPr>
    </w:p>
    <w:p w:rsidR="00734BEC" w:rsidRPr="00E05866" w:rsidRDefault="00734BEC" w:rsidP="00734BEC">
      <w:pPr>
        <w:pStyle w:val="BodyText"/>
        <w:rPr>
          <w:highlight w:val="yellow"/>
        </w:rPr>
      </w:pPr>
      <w:r w:rsidRPr="00B0437E">
        <w:t>Preceding the filing of its instant MCC Petition and in accordance with the noticing requirement of</w:t>
      </w:r>
      <w:r>
        <w:t xml:space="preserve"> Rule 25-6.0424(2), F.A.C., FPUC</w:t>
      </w:r>
      <w:r w:rsidRPr="00B0437E">
        <w:t xml:space="preserve"> filed a letter on May 18, 2022, informing the Commission that it was projecting an under-recovery position </w:t>
      </w:r>
      <w:r w:rsidRPr="00E05866">
        <w:t>of greater than 10 percent for the 2022 recovery period.</w:t>
      </w:r>
      <w:r w:rsidRPr="00E05866">
        <w:rPr>
          <w:rStyle w:val="FootnoteReference"/>
        </w:rPr>
        <w:footnoteReference w:id="5"/>
      </w:r>
      <w:r w:rsidRPr="00E05866">
        <w:t xml:space="preserve"> In its letter, FPUC stated it would likely be filing a petition for m</w:t>
      </w:r>
      <w:r>
        <w:t>id-course correction of its PPA</w:t>
      </w:r>
      <w:r w:rsidRPr="00E05866">
        <w:t xml:space="preserve"> charges in short order, as the Company did not anticipate future conditions </w:t>
      </w:r>
      <w:r>
        <w:t>will mitigate the projected PPA</w:t>
      </w:r>
      <w:r w:rsidRPr="00E05866">
        <w:t xml:space="preserve"> under-recovery for the period.</w:t>
      </w:r>
    </w:p>
    <w:p w:rsidR="00811569" w:rsidRDefault="00811569" w:rsidP="00B0437E">
      <w:pPr>
        <w:pStyle w:val="BodyText"/>
        <w:spacing w:after="0"/>
        <w:rPr>
          <w:highlight w:val="yellow"/>
        </w:rPr>
      </w:pPr>
      <w:r w:rsidRPr="00653157">
        <w:t xml:space="preserve">FPUC </w:t>
      </w:r>
      <w:r w:rsidR="00653157" w:rsidRPr="00653157">
        <w:t xml:space="preserve">states the market price for natural gas </w:t>
      </w:r>
      <w:r w:rsidR="00653157">
        <w:t>has</w:t>
      </w:r>
      <w:r w:rsidR="000F1A6F">
        <w:t xml:space="preserve"> significantly</w:t>
      </w:r>
      <w:r w:rsidR="00653157" w:rsidRPr="00653157">
        <w:t xml:space="preserve"> trend</w:t>
      </w:r>
      <w:r w:rsidR="00653157">
        <w:t>ed</w:t>
      </w:r>
      <w:r w:rsidR="00653157" w:rsidRPr="00653157">
        <w:t xml:space="preserve"> upward</w:t>
      </w:r>
      <w:r w:rsidR="00706FF4">
        <w:t xml:space="preserve"> since</w:t>
      </w:r>
      <w:r w:rsidR="009E63E2">
        <w:t xml:space="preserve"> its last</w:t>
      </w:r>
      <w:r w:rsidR="00A954B6">
        <w:t xml:space="preserve"> rate adjustment</w:t>
      </w:r>
      <w:r w:rsidR="00653157">
        <w:t>, which in turn increased its</w:t>
      </w:r>
      <w:r w:rsidR="00653157" w:rsidRPr="00653157">
        <w:t xml:space="preserve"> purchase</w:t>
      </w:r>
      <w:r w:rsidR="004224BD">
        <w:t>d</w:t>
      </w:r>
      <w:r w:rsidR="00653157" w:rsidRPr="00653157">
        <w:t xml:space="preserve"> power costs.</w:t>
      </w:r>
      <w:r w:rsidR="00653157">
        <w:t xml:space="preserve"> This is the case for both </w:t>
      </w:r>
      <w:r w:rsidR="005C1B7F">
        <w:t xml:space="preserve">the </w:t>
      </w:r>
      <w:r w:rsidR="00653157">
        <w:t>2021 and 2022</w:t>
      </w:r>
      <w:r w:rsidR="00F76EE4">
        <w:t xml:space="preserve"> recovery</w:t>
      </w:r>
      <w:r w:rsidR="005C1B7F">
        <w:t xml:space="preserve"> periods</w:t>
      </w:r>
      <w:r w:rsidR="00653157">
        <w:t xml:space="preserve">. However, </w:t>
      </w:r>
      <w:r w:rsidR="00D83497">
        <w:t>at this time</w:t>
      </w:r>
      <w:r w:rsidR="00F76EE4">
        <w:t>,</w:t>
      </w:r>
      <w:r w:rsidR="00D83497">
        <w:t xml:space="preserve"> </w:t>
      </w:r>
      <w:r w:rsidR="00653157">
        <w:t xml:space="preserve">the Company is </w:t>
      </w:r>
      <w:r w:rsidR="0048601E">
        <w:t xml:space="preserve">only </w:t>
      </w:r>
      <w:r w:rsidR="00653157">
        <w:t xml:space="preserve">proposing to adjust its </w:t>
      </w:r>
      <w:r w:rsidR="00D83497">
        <w:t xml:space="preserve">PPA </w:t>
      </w:r>
      <w:r w:rsidR="00F76EE4">
        <w:t xml:space="preserve">cost </w:t>
      </w:r>
      <w:r w:rsidR="00653157">
        <w:t xml:space="preserve">recovery factors to incorporate </w:t>
      </w:r>
      <w:r w:rsidR="005C1B7F">
        <w:t>its unrecovered actual</w:t>
      </w:r>
      <w:r w:rsidR="00D83497">
        <w:t xml:space="preserve"> </w:t>
      </w:r>
      <w:r w:rsidR="00653157">
        <w:t>202</w:t>
      </w:r>
      <w:r w:rsidR="00653157" w:rsidRPr="00D43DDB">
        <w:t>1 costs.</w:t>
      </w:r>
      <w:r w:rsidR="00AC2611" w:rsidRPr="00D43DDB">
        <w:t xml:space="preserve"> The C</w:t>
      </w:r>
      <w:r w:rsidR="00471510" w:rsidRPr="00D43DDB">
        <w:t>ompany believes requesting</w:t>
      </w:r>
      <w:r w:rsidR="00AC2611" w:rsidRPr="00D43DDB">
        <w:t xml:space="preserve"> to</w:t>
      </w:r>
      <w:r w:rsidR="00471510" w:rsidRPr="00D43DDB">
        <w:t xml:space="preserve"> only</w:t>
      </w:r>
      <w:r w:rsidR="00D83497" w:rsidRPr="00D43DDB">
        <w:t xml:space="preserve"> recover its </w:t>
      </w:r>
      <w:r w:rsidR="00405CFB" w:rsidRPr="00D43DDB">
        <w:t>remaining</w:t>
      </w:r>
      <w:r w:rsidR="00F76EE4">
        <w:t xml:space="preserve"> unrecovered</w:t>
      </w:r>
      <w:r w:rsidR="00405CFB" w:rsidRPr="00D43DDB">
        <w:t xml:space="preserve"> 2021 </w:t>
      </w:r>
      <w:r w:rsidR="00AC2611" w:rsidRPr="00D43DDB">
        <w:t>costs through the instant proceeding is appropriate due to the current volatility of the natural gas market</w:t>
      </w:r>
      <w:r w:rsidR="00D35DFC" w:rsidRPr="00D43DDB">
        <w:t>. Further, given</w:t>
      </w:r>
      <w:r w:rsidR="00AC2611" w:rsidRPr="00D43DDB">
        <w:t xml:space="preserve"> the</w:t>
      </w:r>
      <w:r w:rsidR="00734BEC" w:rsidRPr="00D43DDB">
        <w:t xml:space="preserve"> magnitude</w:t>
      </w:r>
      <w:r w:rsidR="00AC2611" w:rsidRPr="00D43DDB">
        <w:t xml:space="preserve"> of the current</w:t>
      </w:r>
      <w:r w:rsidR="0058756D" w:rsidRPr="00D43DDB">
        <w:t>ly-projected</w:t>
      </w:r>
      <w:r w:rsidR="00D50C74" w:rsidRPr="00D43DDB">
        <w:t xml:space="preserve"> under-</w:t>
      </w:r>
      <w:r w:rsidR="00AC2611" w:rsidRPr="00D43DDB">
        <w:t>recovery</w:t>
      </w:r>
      <w:r w:rsidR="00D35DFC" w:rsidRPr="00D43DDB">
        <w:t xml:space="preserve"> through July 2022, or</w:t>
      </w:r>
      <w:r w:rsidR="00AC2611" w:rsidRPr="00D43DDB">
        <w:t xml:space="preserve"> </w:t>
      </w:r>
      <w:r w:rsidR="00405CFB" w:rsidRPr="00D43DDB">
        <w:t>(</w:t>
      </w:r>
      <w:r w:rsidR="00146D4D">
        <w:t>$9,330,463</w:t>
      </w:r>
      <w:r w:rsidR="00405CFB" w:rsidRPr="00D43DDB">
        <w:t>)</w:t>
      </w:r>
      <w:r w:rsidR="00AC2611" w:rsidRPr="00D43DDB">
        <w:t>, the Company believes mitigating the</w:t>
      </w:r>
      <w:r w:rsidR="00D35DFC" w:rsidRPr="00D43DDB">
        <w:t xml:space="preserve"> overall</w:t>
      </w:r>
      <w:r w:rsidR="00405CFB" w:rsidRPr="00D43DDB">
        <w:t xml:space="preserve"> bill</w:t>
      </w:r>
      <w:r w:rsidR="00AC2611" w:rsidRPr="00D43DDB">
        <w:t xml:space="preserve"> impact to its customers is</w:t>
      </w:r>
      <w:r w:rsidR="00775801">
        <w:t xml:space="preserve"> also</w:t>
      </w:r>
      <w:r w:rsidR="00F1041A">
        <w:t xml:space="preserve"> </w:t>
      </w:r>
      <w:r w:rsidR="00AC2611" w:rsidRPr="00D43DDB">
        <w:t>appropriate.</w:t>
      </w:r>
      <w:r w:rsidR="008F1A03" w:rsidRPr="00D43DDB">
        <w:rPr>
          <w:rStyle w:val="FootnoteReference"/>
        </w:rPr>
        <w:footnoteReference w:id="6"/>
      </w:r>
      <w:r w:rsidR="00AC2611">
        <w:t xml:space="preserve">   </w:t>
      </w:r>
      <w:r w:rsidR="00653157">
        <w:t xml:space="preserve">    </w:t>
      </w:r>
      <w:r w:rsidR="00653157" w:rsidRPr="00653157">
        <w:t xml:space="preserve"> </w:t>
      </w:r>
      <w:r w:rsidR="00653157">
        <w:rPr>
          <w:highlight w:val="yellow"/>
        </w:rPr>
        <w:t xml:space="preserve"> </w:t>
      </w:r>
    </w:p>
    <w:p w:rsidR="00B0437E" w:rsidRPr="00B0437E" w:rsidRDefault="00B0437E" w:rsidP="00B0437E">
      <w:pPr>
        <w:pStyle w:val="BodyText"/>
        <w:spacing w:after="0"/>
        <w:rPr>
          <w:highlight w:val="yellow"/>
        </w:rPr>
      </w:pPr>
    </w:p>
    <w:p w:rsidR="00B0437E" w:rsidRPr="00CA7F09" w:rsidRDefault="00B0437E" w:rsidP="00B0437E">
      <w:pPr>
        <w:pStyle w:val="BodyText"/>
        <w:spacing w:after="0"/>
        <w:rPr>
          <w:rFonts w:ascii="Arial" w:hAnsi="Arial" w:cs="Arial"/>
          <w:b/>
          <w:i/>
        </w:rPr>
      </w:pPr>
      <w:r w:rsidRPr="00811569">
        <w:rPr>
          <w:rFonts w:ascii="Arial" w:hAnsi="Arial" w:cs="Arial"/>
          <w:b/>
          <w:i/>
        </w:rPr>
        <w:t>Perio</w:t>
      </w:r>
      <w:r w:rsidR="00CF4649" w:rsidRPr="00811569">
        <w:rPr>
          <w:rFonts w:ascii="Arial" w:hAnsi="Arial" w:cs="Arial"/>
          <w:b/>
          <w:i/>
        </w:rPr>
        <w:t>d-Ending 2021 Recovery Position</w:t>
      </w:r>
    </w:p>
    <w:p w:rsidR="007E1198" w:rsidRDefault="00C66E4D" w:rsidP="007E1198">
      <w:pPr>
        <w:pStyle w:val="BodyText"/>
      </w:pPr>
      <w:r>
        <w:t>T</w:t>
      </w:r>
      <w:r w:rsidR="00B0437E" w:rsidRPr="00CA7F09">
        <w:t xml:space="preserve">hrough its </w:t>
      </w:r>
      <w:r w:rsidR="00B640B5" w:rsidRPr="00B640B5">
        <w:rPr>
          <w:i/>
        </w:rPr>
        <w:t>Petition for Approval of Actual/Estimated True-Up Amount</w:t>
      </w:r>
      <w:r w:rsidR="00B640B5" w:rsidRPr="00B640B5">
        <w:t xml:space="preserve"> </w:t>
      </w:r>
      <w:r w:rsidR="00B640B5">
        <w:t>(</w:t>
      </w:r>
      <w:r w:rsidR="00795E97">
        <w:t>A</w:t>
      </w:r>
      <w:r w:rsidR="00B0437E" w:rsidRPr="00CA7F09">
        <w:t>ctual/</w:t>
      </w:r>
      <w:r w:rsidR="00795E97">
        <w:t>Estimated Petition</w:t>
      </w:r>
      <w:r w:rsidR="00B640B5">
        <w:t xml:space="preserve">), </w:t>
      </w:r>
      <w:r>
        <w:t xml:space="preserve">FPUC </w:t>
      </w:r>
      <w:r w:rsidR="00B640B5">
        <w:t>projected</w:t>
      </w:r>
      <w:r w:rsidR="00BA1E47">
        <w:t xml:space="preserve"> a PPA</w:t>
      </w:r>
      <w:r w:rsidR="00CA7F09" w:rsidRPr="00CA7F09">
        <w:t xml:space="preserve"> cost over-recovery of $2,257,470</w:t>
      </w:r>
      <w:r w:rsidR="00D83497" w:rsidRPr="00D83497">
        <w:t xml:space="preserve"> </w:t>
      </w:r>
      <w:r>
        <w:t>f</w:t>
      </w:r>
      <w:r w:rsidR="00D83497" w:rsidRPr="00CA7F09">
        <w:t>or</w:t>
      </w:r>
      <w:r w:rsidR="00D83497">
        <w:t xml:space="preserve"> period-ending 2021,</w:t>
      </w:r>
      <w:r w:rsidR="00B0437E" w:rsidRPr="00CA7F09">
        <w:t xml:space="preserve"> which is the amount recognized in </w:t>
      </w:r>
      <w:r>
        <w:t>i</w:t>
      </w:r>
      <w:r w:rsidR="00B0437E" w:rsidRPr="00CA7F09">
        <w:t>t</w:t>
      </w:r>
      <w:r>
        <w:t>s</w:t>
      </w:r>
      <w:r w:rsidR="00B0437E" w:rsidRPr="00CA7F09">
        <w:t xml:space="preserve"> currently-authorized 2022 </w:t>
      </w:r>
      <w:r w:rsidR="00BA1E47">
        <w:t>PPA</w:t>
      </w:r>
      <w:r w:rsidR="00B0437E" w:rsidRPr="00CA7F09">
        <w:t xml:space="preserve"> factors.</w:t>
      </w:r>
      <w:r w:rsidR="00B0437E" w:rsidRPr="00CA7F09">
        <w:rPr>
          <w:rStyle w:val="FootnoteReference"/>
        </w:rPr>
        <w:footnoteReference w:id="7"/>
      </w:r>
      <w:r w:rsidR="00B0437E" w:rsidRPr="004E4C8B">
        <w:t xml:space="preserve"> </w:t>
      </w:r>
      <w:r w:rsidR="00BE0000">
        <w:t xml:space="preserve">Staff notes that </w:t>
      </w:r>
      <w:r w:rsidR="0048601E">
        <w:t xml:space="preserve">also </w:t>
      </w:r>
      <w:r w:rsidR="00BE0000">
        <w:t>r</w:t>
      </w:r>
      <w:r w:rsidR="00B0437E" w:rsidRPr="00CA7F09">
        <w:t xml:space="preserve">ecognized in the derivation of </w:t>
      </w:r>
      <w:r w:rsidR="00B06DC2">
        <w:t>this amount</w:t>
      </w:r>
      <w:r w:rsidR="004E4C8B">
        <w:t xml:space="preserve"> </w:t>
      </w:r>
      <w:r w:rsidR="00AD3CA8">
        <w:t>were</w:t>
      </w:r>
      <w:r w:rsidR="00B0437E" w:rsidRPr="00CA7F09">
        <w:t xml:space="preserve"> dollars</w:t>
      </w:r>
      <w:r w:rsidR="004E4C8B" w:rsidRPr="004E4C8B">
        <w:t xml:space="preserve"> </w:t>
      </w:r>
      <w:r w:rsidR="0048601E">
        <w:t>associated with a</w:t>
      </w:r>
      <w:r w:rsidR="00216507">
        <w:t xml:space="preserve"> refund related to</w:t>
      </w:r>
      <w:r w:rsidR="004E4C8B">
        <w:t xml:space="preserve"> </w:t>
      </w:r>
      <w:r w:rsidR="0048601E">
        <w:t xml:space="preserve">the 2021 </w:t>
      </w:r>
      <w:r w:rsidR="004E4C8B">
        <w:t>state corporate income tax sa</w:t>
      </w:r>
      <w:r w:rsidR="00E82BB5">
        <w:t>vings</w:t>
      </w:r>
      <w:r w:rsidR="00216507">
        <w:t xml:space="preserve"> (i.e., tax rate reduction)</w:t>
      </w:r>
      <w:r w:rsidR="00E82BB5">
        <w:t xml:space="preserve"> contemplated by a prior-approved</w:t>
      </w:r>
      <w:r w:rsidR="004E4C8B">
        <w:t xml:space="preserve"> settlemen</w:t>
      </w:r>
      <w:r w:rsidR="00D60D2B">
        <w:t>t agreement</w:t>
      </w:r>
      <w:r w:rsidR="0048601E">
        <w:t xml:space="preserve"> in the amount of </w:t>
      </w:r>
      <w:r w:rsidR="004E4C8B">
        <w:t>$75,358.</w:t>
      </w:r>
      <w:r w:rsidR="004E4C8B">
        <w:rPr>
          <w:rStyle w:val="FootnoteReference"/>
        </w:rPr>
        <w:footnoteReference w:id="8"/>
      </w:r>
      <w:r w:rsidR="00AD3CA8">
        <w:t xml:space="preserve"> </w:t>
      </w:r>
      <w:r w:rsidR="00B06DC2">
        <w:t>However, t</w:t>
      </w:r>
      <w:r w:rsidR="00AD3CA8">
        <w:t>he actual amount of tax savings for calendar 2021 was $112,605</w:t>
      </w:r>
      <w:r w:rsidR="00B06DC2">
        <w:t>,</w:t>
      </w:r>
      <w:r w:rsidR="00AD3CA8">
        <w:t xml:space="preserve"> </w:t>
      </w:r>
      <w:r w:rsidR="00B06DC2">
        <w:t>which</w:t>
      </w:r>
      <w:r w:rsidR="00AD3CA8">
        <w:t xml:space="preserve"> is the </w:t>
      </w:r>
      <w:r w:rsidR="0015126A">
        <w:t>amount reflected in FPUC’s actual</w:t>
      </w:r>
      <w:r w:rsidR="00AD3CA8">
        <w:t xml:space="preserve"> 2021 true-up.</w:t>
      </w:r>
      <w:r w:rsidR="00AD3CA8">
        <w:rPr>
          <w:rStyle w:val="FootnoteReference"/>
        </w:rPr>
        <w:footnoteReference w:id="9"/>
      </w:r>
      <w:r w:rsidR="00B06DC2">
        <w:t xml:space="preserve"> </w:t>
      </w:r>
      <w:r w:rsidR="0015126A">
        <w:t>The Company’s actual 2021 true-up is a</w:t>
      </w:r>
      <w:r w:rsidR="00016816">
        <w:t>n</w:t>
      </w:r>
      <w:r w:rsidR="0015126A">
        <w:t xml:space="preserve"> un</w:t>
      </w:r>
      <w:r w:rsidR="00244133">
        <w:t>der-recovery of ($3,790,314) which</w:t>
      </w:r>
      <w:r w:rsidR="0015126A">
        <w:t xml:space="preserve"> is the amount being proposed for recovery though this proceeding.</w:t>
      </w:r>
      <w:r w:rsidR="00BE0000">
        <w:t xml:space="preserve"> </w:t>
      </w:r>
      <w:r w:rsidR="0001181F">
        <w:t>FPUC</w:t>
      </w:r>
      <w:r w:rsidR="00BE0000">
        <w:t>’s actual 2021 true-up has been audited by Commission</w:t>
      </w:r>
      <w:r w:rsidR="00F91B33">
        <w:t xml:space="preserve"> </w:t>
      </w:r>
      <w:r w:rsidR="00244133">
        <w:t>a</w:t>
      </w:r>
      <w:r w:rsidR="00F91B33">
        <w:t>udit</w:t>
      </w:r>
      <w:r w:rsidR="00BE0000">
        <w:t xml:space="preserve"> </w:t>
      </w:r>
      <w:r w:rsidR="00244133">
        <w:t>s</w:t>
      </w:r>
      <w:r w:rsidR="00BE0000">
        <w:t>taff.</w:t>
      </w:r>
      <w:r w:rsidR="00BE0000">
        <w:rPr>
          <w:rStyle w:val="FootnoteReference"/>
        </w:rPr>
        <w:footnoteReference w:id="10"/>
      </w:r>
    </w:p>
    <w:p w:rsidR="001D2CE4" w:rsidRDefault="0001181F" w:rsidP="007E1198">
      <w:pPr>
        <w:pStyle w:val="BodyText"/>
      </w:pPr>
      <w:r>
        <w:t xml:space="preserve">Concerning the </w:t>
      </w:r>
      <w:r w:rsidR="006140A1">
        <w:t>variance</w:t>
      </w:r>
      <w:r w:rsidR="0041213B">
        <w:t xml:space="preserve"> be</w:t>
      </w:r>
      <w:r w:rsidR="00BA1E47">
        <w:t xml:space="preserve">tween </w:t>
      </w:r>
      <w:r w:rsidR="0041213B">
        <w:t xml:space="preserve">projected </w:t>
      </w:r>
      <w:r w:rsidR="00BA1E47">
        <w:t xml:space="preserve">and actual </w:t>
      </w:r>
      <w:r w:rsidR="0041213B">
        <w:t>2021</w:t>
      </w:r>
      <w:r w:rsidR="006140A1">
        <w:t xml:space="preserve"> </w:t>
      </w:r>
      <w:r w:rsidR="0041213B">
        <w:t xml:space="preserve">PPA costs, FPUC experienced the same </w:t>
      </w:r>
      <w:r w:rsidR="006140A1">
        <w:t>patterns as all other</w:t>
      </w:r>
      <w:r w:rsidR="00244133">
        <w:t xml:space="preserve"> electric</w:t>
      </w:r>
      <w:r w:rsidR="0041213B">
        <w:t xml:space="preserve"> investor-owned </w:t>
      </w:r>
      <w:r w:rsidR="00244133">
        <w:t>public utilities in Florida</w:t>
      </w:r>
      <w:r w:rsidR="0041213B">
        <w:t>. Duke Energy Florida,</w:t>
      </w:r>
      <w:r w:rsidR="00FD27CC">
        <w:t xml:space="preserve"> LLC,</w:t>
      </w:r>
      <w:r w:rsidR="0041213B">
        <w:t xml:space="preserve"> Florida Power &amp; Light Company (to include the former Gulf Power Company), and Tampa Electric Company have</w:t>
      </w:r>
      <w:r w:rsidR="006140A1">
        <w:t xml:space="preserve"> all</w:t>
      </w:r>
      <w:r w:rsidR="0041213B">
        <w:t xml:space="preserve"> required mid-course corrections of their then-current fuel cost recovery rates</w:t>
      </w:r>
      <w:r w:rsidR="00E4430F">
        <w:t>.</w:t>
      </w:r>
      <w:r w:rsidR="0064562E">
        <w:rPr>
          <w:rStyle w:val="FootnoteReference"/>
        </w:rPr>
        <w:footnoteReference w:id="11"/>
      </w:r>
      <w:r w:rsidR="00E4430F">
        <w:t xml:space="preserve"> These mid-course corrections were</w:t>
      </w:r>
      <w:r w:rsidR="00216507">
        <w:t xml:space="preserve"> primarily due</w:t>
      </w:r>
      <w:r w:rsidR="0041213B">
        <w:t xml:space="preserve"> to significant increases in the market price fo</w:t>
      </w:r>
      <w:r w:rsidR="00C21807">
        <w:t xml:space="preserve">r natural gas during the second </w:t>
      </w:r>
      <w:r w:rsidR="0041213B">
        <w:t>half of 2021.</w:t>
      </w:r>
      <w:r w:rsidR="006140A1">
        <w:t xml:space="preserve"> </w:t>
      </w:r>
      <w:r w:rsidR="00274BF0">
        <w:t xml:space="preserve">Staff further discusses 2021 natural gas prices below. </w:t>
      </w:r>
      <w:r w:rsidR="00E4430F">
        <w:t>For that period, or f</w:t>
      </w:r>
      <w:r w:rsidR="00B640B5">
        <w:t>ro</w:t>
      </w:r>
      <w:r w:rsidR="006140A1">
        <w:t>m July through December 2021, FPUC under-recovered $5,631,414.</w:t>
      </w:r>
      <w:r w:rsidR="00B640B5">
        <w:rPr>
          <w:rStyle w:val="FootnoteReference"/>
        </w:rPr>
        <w:footnoteReference w:id="12"/>
      </w:r>
      <w:r w:rsidR="00B640B5">
        <w:t xml:space="preserve"> The Company had last estimated an over-recovery of</w:t>
      </w:r>
      <w:r w:rsidR="006140A1">
        <w:t xml:space="preserve"> </w:t>
      </w:r>
      <w:r w:rsidR="00B640B5">
        <w:t>$453,042 for those same months</w:t>
      </w:r>
      <w:r w:rsidR="005C1B7F">
        <w:t xml:space="preserve"> as reported</w:t>
      </w:r>
      <w:r w:rsidR="00795E97">
        <w:t xml:space="preserve"> through its 2021 Actual/E</w:t>
      </w:r>
      <w:r w:rsidR="00B640B5">
        <w:t xml:space="preserve">stimated </w:t>
      </w:r>
      <w:r w:rsidR="00795E97">
        <w:t>P</w:t>
      </w:r>
      <w:r w:rsidR="000B433C">
        <w:t>etition</w:t>
      </w:r>
      <w:r w:rsidR="00B640B5">
        <w:t>.</w:t>
      </w:r>
      <w:r w:rsidR="00B640B5">
        <w:rPr>
          <w:rStyle w:val="FootnoteReference"/>
        </w:rPr>
        <w:footnoteReference w:id="13"/>
      </w:r>
    </w:p>
    <w:p w:rsidR="00057B32" w:rsidRPr="005E2EC3" w:rsidRDefault="005E2EC3" w:rsidP="007E1198">
      <w:pPr>
        <w:pStyle w:val="BodyText"/>
      </w:pPr>
      <w:r>
        <w:t>The</w:t>
      </w:r>
      <w:r w:rsidR="001D2CE4">
        <w:t xml:space="preserve"> </w:t>
      </w:r>
      <w:r>
        <w:t xml:space="preserve">market price for natural gas </w:t>
      </w:r>
      <w:r w:rsidR="00795E97">
        <w:t>increased</w:t>
      </w:r>
      <w:r w:rsidR="00B605CF">
        <w:t xml:space="preserve"> sharply during the latter</w:t>
      </w:r>
      <w:r w:rsidR="009752ED">
        <w:t xml:space="preserve"> half of last year. Specifically, the price of natural gas </w:t>
      </w:r>
      <w:r>
        <w:t xml:space="preserve">(Henry Hub) averaged $3.25 per Million British thermal unit (MMBtu) for the months of January through June, 2021, and $4.57 per MMBtu for the months of </w:t>
      </w:r>
      <w:r w:rsidR="00512924">
        <w:t>July through December, 2021.</w:t>
      </w:r>
      <w:r w:rsidRPr="001D2CE4">
        <w:t xml:space="preserve"> </w:t>
      </w:r>
      <w:r w:rsidR="00512924">
        <w:t>T</w:t>
      </w:r>
      <w:r w:rsidRPr="001D2CE4">
        <w:t>h</w:t>
      </w:r>
      <w:r w:rsidR="00512924">
        <w:t>is</w:t>
      </w:r>
      <w:r w:rsidRPr="001D2CE4">
        <w:t xml:space="preserve"> represents an increase of 40.4 percent.</w:t>
      </w:r>
      <w:r w:rsidRPr="001D2CE4">
        <w:rPr>
          <w:rStyle w:val="FootnoteReference"/>
        </w:rPr>
        <w:footnoteReference w:id="14"/>
      </w:r>
      <w:r w:rsidRPr="001D2CE4">
        <w:t xml:space="preserve"> S</w:t>
      </w:r>
      <w:r w:rsidR="00DA6CAE">
        <w:t>taff notes some</w:t>
      </w:r>
      <w:r w:rsidR="00057B32" w:rsidRPr="001D2CE4">
        <w:t xml:space="preserve"> factors driving the increase in natural gas prices </w:t>
      </w:r>
      <w:r w:rsidR="001D2CE4" w:rsidRPr="001D2CE4">
        <w:t xml:space="preserve">at that time were lower than average storage levels and </w:t>
      </w:r>
      <w:r w:rsidR="00057B32" w:rsidRPr="001D2CE4">
        <w:t xml:space="preserve">uncertainty regarding </w:t>
      </w:r>
      <w:r w:rsidR="00512924">
        <w:t>(then)</w:t>
      </w:r>
      <w:r w:rsidR="00DA6CAE">
        <w:t xml:space="preserve"> </w:t>
      </w:r>
      <w:r w:rsidR="00057B32" w:rsidRPr="001D2CE4">
        <w:t>near</w:t>
      </w:r>
      <w:r w:rsidRPr="001D2CE4">
        <w:t>-term production levels.</w:t>
      </w:r>
      <w:r w:rsidR="001D2CE4">
        <w:t xml:space="preserve"> </w:t>
      </w:r>
      <w:r w:rsidR="009364E5">
        <w:t>T</w:t>
      </w:r>
      <w:r w:rsidR="001D2CE4">
        <w:t xml:space="preserve">he </w:t>
      </w:r>
      <w:r w:rsidR="0093550F">
        <w:t>price movement of</w:t>
      </w:r>
      <w:r w:rsidR="00B658DD">
        <w:t xml:space="preserve"> </w:t>
      </w:r>
      <w:r w:rsidR="00C21807">
        <w:t xml:space="preserve">natural gas during second </w:t>
      </w:r>
      <w:r w:rsidR="001D2CE4">
        <w:t>half of 2021 is the primary or direct</w:t>
      </w:r>
      <w:r w:rsidR="00512924">
        <w:t xml:space="preserve"> underlying</w:t>
      </w:r>
      <w:r w:rsidR="001D2CE4">
        <w:t xml:space="preserve"> cause of the Company’s under-recovery of PPA costs </w:t>
      </w:r>
      <w:r w:rsidR="009364E5">
        <w:t>for the year</w:t>
      </w:r>
      <w:r w:rsidR="001D2CE4">
        <w:t>.</w:t>
      </w:r>
    </w:p>
    <w:p w:rsidR="00A873C9" w:rsidRDefault="00B0437E" w:rsidP="00B0437E">
      <w:pPr>
        <w:pStyle w:val="BodyText"/>
        <w:spacing w:after="0"/>
      </w:pPr>
      <w:r w:rsidRPr="00A873C9">
        <w:t>Tabl</w:t>
      </w:r>
      <w:r w:rsidR="00FD27CC">
        <w:t>e 1-1</w:t>
      </w:r>
      <w:r w:rsidR="002F33DD">
        <w:t xml:space="preserve"> shows the accounting</w:t>
      </w:r>
      <w:r w:rsidR="00A873C9" w:rsidRPr="00A873C9">
        <w:t xml:space="preserve"> associated with FPUC’s</w:t>
      </w:r>
      <w:r w:rsidRPr="00A873C9">
        <w:t xml:space="preserve"> </w:t>
      </w:r>
      <w:r w:rsidR="00A873C9" w:rsidRPr="00A873C9">
        <w:t>actual</w:t>
      </w:r>
      <w:r w:rsidRPr="00A873C9">
        <w:t xml:space="preserve"> 202</w:t>
      </w:r>
      <w:r w:rsidR="00A873C9" w:rsidRPr="00A873C9">
        <w:t>1</w:t>
      </w:r>
      <w:r w:rsidR="002F33DD">
        <w:t xml:space="preserve"> PPA cost</w:t>
      </w:r>
      <w:r w:rsidR="00A873C9" w:rsidRPr="00A873C9">
        <w:t xml:space="preserve"> true-up.</w:t>
      </w:r>
    </w:p>
    <w:p w:rsidR="00035BE0" w:rsidRDefault="00035BE0" w:rsidP="00B0437E">
      <w:pPr>
        <w:pStyle w:val="BodyText"/>
        <w:spacing w:after="0"/>
      </w:pPr>
    </w:p>
    <w:p w:rsidR="00035BE0" w:rsidRPr="00A873C9" w:rsidRDefault="00035BE0" w:rsidP="00B0437E">
      <w:pPr>
        <w:pStyle w:val="BodyText"/>
        <w:spacing w:after="0"/>
      </w:pPr>
    </w:p>
    <w:p w:rsidR="00A873C9" w:rsidRDefault="00A873C9" w:rsidP="00B0437E">
      <w:pPr>
        <w:pStyle w:val="BodyText"/>
        <w:spacing w:after="0"/>
        <w:rPr>
          <w:highlight w:val="yellow"/>
        </w:rPr>
      </w:pPr>
    </w:p>
    <w:p w:rsidR="00B0437E" w:rsidRPr="00B0437E" w:rsidRDefault="00B0437E" w:rsidP="00B0437E">
      <w:pPr>
        <w:pStyle w:val="BodyText"/>
        <w:spacing w:after="0"/>
        <w:rPr>
          <w:highlight w:val="yellow"/>
        </w:rPr>
      </w:pPr>
      <w:r w:rsidRPr="00B0437E">
        <w:rPr>
          <w:highlight w:val="yellow"/>
        </w:rPr>
        <w:t xml:space="preserve"> </w:t>
      </w:r>
    </w:p>
    <w:tbl>
      <w:tblPr>
        <w:tblStyle w:val="TableGrid"/>
        <w:tblW w:w="5000" w:type="pct"/>
        <w:tblLook w:val="04A0" w:firstRow="1" w:lastRow="0" w:firstColumn="1" w:lastColumn="0" w:noHBand="0" w:noVBand="1"/>
      </w:tblPr>
      <w:tblGrid>
        <w:gridCol w:w="4788"/>
        <w:gridCol w:w="4788"/>
      </w:tblGrid>
      <w:tr w:rsidR="00D108E1" w:rsidRPr="00B0437E" w:rsidTr="00057B32">
        <w:tc>
          <w:tcPr>
            <w:tcW w:w="5000" w:type="pct"/>
            <w:gridSpan w:val="2"/>
            <w:tcBorders>
              <w:top w:val="nil"/>
              <w:left w:val="nil"/>
              <w:bottom w:val="nil"/>
              <w:right w:val="nil"/>
            </w:tcBorders>
            <w:vAlign w:val="center"/>
          </w:tcPr>
          <w:p w:rsidR="00D108E1" w:rsidRPr="00057B32" w:rsidRDefault="00057B32" w:rsidP="00B06DC2">
            <w:pPr>
              <w:jc w:val="center"/>
              <w:rPr>
                <w:rFonts w:ascii="Arial" w:hAnsi="Arial" w:cs="Arial"/>
                <w:b/>
              </w:rPr>
            </w:pPr>
            <w:r w:rsidRPr="00057B32">
              <w:rPr>
                <w:rFonts w:ascii="Arial" w:hAnsi="Arial" w:cs="Arial"/>
                <w:b/>
              </w:rPr>
              <w:t>Table 1-1</w:t>
            </w:r>
          </w:p>
        </w:tc>
      </w:tr>
      <w:tr w:rsidR="00D108E1" w:rsidRPr="00B0437E" w:rsidTr="00057B32">
        <w:tc>
          <w:tcPr>
            <w:tcW w:w="5000" w:type="pct"/>
            <w:gridSpan w:val="2"/>
            <w:tcBorders>
              <w:top w:val="nil"/>
              <w:left w:val="nil"/>
              <w:right w:val="nil"/>
            </w:tcBorders>
            <w:vAlign w:val="center"/>
          </w:tcPr>
          <w:p w:rsidR="00D108E1" w:rsidRPr="00057B32" w:rsidRDefault="00057B32" w:rsidP="009E0FBC">
            <w:pPr>
              <w:jc w:val="center"/>
              <w:rPr>
                <w:rFonts w:ascii="Arial" w:hAnsi="Arial" w:cs="Arial"/>
                <w:b/>
              </w:rPr>
            </w:pPr>
            <w:r w:rsidRPr="00057B32">
              <w:rPr>
                <w:rFonts w:ascii="Arial" w:hAnsi="Arial" w:cs="Arial"/>
                <w:b/>
              </w:rPr>
              <w:t>2021 Actual True</w:t>
            </w:r>
            <w:r w:rsidR="007E1198">
              <w:rPr>
                <w:rFonts w:ascii="Arial" w:hAnsi="Arial" w:cs="Arial"/>
                <w:b/>
              </w:rPr>
              <w:t>-</w:t>
            </w:r>
            <w:r w:rsidRPr="00057B32">
              <w:rPr>
                <w:rFonts w:ascii="Arial" w:hAnsi="Arial" w:cs="Arial"/>
                <w:b/>
              </w:rPr>
              <w:t>Up</w:t>
            </w:r>
            <w:r w:rsidR="006C313D">
              <w:rPr>
                <w:rFonts w:ascii="Arial" w:hAnsi="Arial" w:cs="Arial"/>
                <w:b/>
              </w:rPr>
              <w:t xml:space="preserve"> Derivation</w:t>
            </w:r>
          </w:p>
        </w:tc>
      </w:tr>
      <w:tr w:rsidR="00D108E1" w:rsidRPr="00B0437E" w:rsidTr="00D108E1">
        <w:tc>
          <w:tcPr>
            <w:tcW w:w="2500" w:type="pct"/>
            <w:tcBorders>
              <w:top w:val="single" w:sz="4" w:space="0" w:color="auto"/>
            </w:tcBorders>
            <w:vAlign w:val="center"/>
          </w:tcPr>
          <w:p w:rsidR="00D108E1" w:rsidRPr="00D108E1" w:rsidRDefault="002770B6" w:rsidP="00B06DC2">
            <w:pPr>
              <w:jc w:val="center"/>
              <w:rPr>
                <w:b/>
                <w:sz w:val="22"/>
                <w:szCs w:val="22"/>
              </w:rPr>
            </w:pPr>
            <w:r>
              <w:rPr>
                <w:b/>
                <w:sz w:val="22"/>
                <w:szCs w:val="22"/>
              </w:rPr>
              <w:t>Description</w:t>
            </w:r>
          </w:p>
        </w:tc>
        <w:tc>
          <w:tcPr>
            <w:tcW w:w="2500" w:type="pct"/>
            <w:tcBorders>
              <w:top w:val="single" w:sz="4" w:space="0" w:color="auto"/>
            </w:tcBorders>
            <w:vAlign w:val="center"/>
          </w:tcPr>
          <w:p w:rsidR="00D108E1" w:rsidRPr="00D108E1" w:rsidRDefault="00577AEC" w:rsidP="00057B32">
            <w:pPr>
              <w:jc w:val="center"/>
              <w:rPr>
                <w:b/>
                <w:sz w:val="22"/>
                <w:szCs w:val="22"/>
              </w:rPr>
            </w:pPr>
            <w:r>
              <w:rPr>
                <w:b/>
                <w:sz w:val="22"/>
                <w:szCs w:val="22"/>
              </w:rPr>
              <w:t>Amount</w:t>
            </w:r>
          </w:p>
        </w:tc>
      </w:tr>
      <w:tr w:rsidR="00D108E1" w:rsidRPr="00B0437E" w:rsidTr="00CB76E3">
        <w:trPr>
          <w:trHeight w:val="422"/>
        </w:trPr>
        <w:tc>
          <w:tcPr>
            <w:tcW w:w="2500" w:type="pct"/>
            <w:vAlign w:val="bottom"/>
          </w:tcPr>
          <w:p w:rsidR="00D108E1" w:rsidRPr="00D108E1" w:rsidRDefault="00D108E1" w:rsidP="00CB76E3">
            <w:pPr>
              <w:rPr>
                <w:color w:val="000000"/>
                <w:sz w:val="22"/>
                <w:szCs w:val="22"/>
              </w:rPr>
            </w:pPr>
            <w:r w:rsidRPr="00D108E1">
              <w:rPr>
                <w:color w:val="000000"/>
                <w:sz w:val="22"/>
                <w:szCs w:val="22"/>
              </w:rPr>
              <w:t>Total PPA</w:t>
            </w:r>
            <w:r w:rsidR="00FE7AF9">
              <w:rPr>
                <w:color w:val="000000"/>
                <w:sz w:val="22"/>
                <w:szCs w:val="22"/>
              </w:rPr>
              <w:t>-Related</w:t>
            </w:r>
            <w:r w:rsidRPr="00D108E1">
              <w:rPr>
                <w:color w:val="000000"/>
                <w:sz w:val="22"/>
                <w:szCs w:val="22"/>
              </w:rPr>
              <w:t xml:space="preserve"> Cost for 2021</w:t>
            </w:r>
          </w:p>
        </w:tc>
        <w:tc>
          <w:tcPr>
            <w:tcW w:w="2500" w:type="pct"/>
            <w:vAlign w:val="bottom"/>
          </w:tcPr>
          <w:p w:rsidR="00D108E1" w:rsidRPr="00D108E1" w:rsidRDefault="00D108E1" w:rsidP="00CB76E3">
            <w:pPr>
              <w:jc w:val="right"/>
              <w:rPr>
                <w:color w:val="000000"/>
                <w:sz w:val="22"/>
                <w:szCs w:val="22"/>
              </w:rPr>
            </w:pPr>
            <w:r w:rsidRPr="00D108E1">
              <w:rPr>
                <w:color w:val="000000"/>
                <w:sz w:val="22"/>
                <w:szCs w:val="22"/>
              </w:rPr>
              <w:t xml:space="preserve">$49,477,917 </w:t>
            </w:r>
          </w:p>
        </w:tc>
      </w:tr>
      <w:tr w:rsidR="00D108E1" w:rsidRPr="00B0437E" w:rsidTr="00CB76E3">
        <w:trPr>
          <w:trHeight w:val="377"/>
        </w:trPr>
        <w:tc>
          <w:tcPr>
            <w:tcW w:w="2500" w:type="pct"/>
            <w:vAlign w:val="bottom"/>
          </w:tcPr>
          <w:p w:rsidR="00D108E1" w:rsidRPr="00D108E1" w:rsidRDefault="00A873C9" w:rsidP="00CB76E3">
            <w:pPr>
              <w:rPr>
                <w:color w:val="000000"/>
                <w:sz w:val="22"/>
                <w:szCs w:val="22"/>
              </w:rPr>
            </w:pPr>
            <w:r>
              <w:rPr>
                <w:color w:val="000000"/>
                <w:sz w:val="22"/>
                <w:szCs w:val="22"/>
              </w:rPr>
              <w:t>Period PPA</w:t>
            </w:r>
            <w:r w:rsidR="00FE7AF9">
              <w:rPr>
                <w:color w:val="000000"/>
                <w:sz w:val="22"/>
                <w:szCs w:val="22"/>
              </w:rPr>
              <w:t>-Related</w:t>
            </w:r>
            <w:r w:rsidR="00D108E1" w:rsidRPr="00D108E1">
              <w:rPr>
                <w:color w:val="000000"/>
                <w:sz w:val="22"/>
                <w:szCs w:val="22"/>
              </w:rPr>
              <w:t xml:space="preserve"> </w:t>
            </w:r>
            <w:r w:rsidR="007E1198">
              <w:rPr>
                <w:color w:val="000000"/>
                <w:sz w:val="22"/>
                <w:szCs w:val="22"/>
              </w:rPr>
              <w:t>R</w:t>
            </w:r>
            <w:r w:rsidR="00D108E1" w:rsidRPr="00D108E1">
              <w:rPr>
                <w:color w:val="000000"/>
                <w:sz w:val="22"/>
                <w:szCs w:val="22"/>
              </w:rPr>
              <w:t>evenue for 2021</w:t>
            </w:r>
            <w:r w:rsidR="002770B6">
              <w:rPr>
                <w:rStyle w:val="FootnoteReference"/>
                <w:color w:val="000000"/>
                <w:sz w:val="22"/>
                <w:szCs w:val="22"/>
              </w:rPr>
              <w:footnoteReference w:id="15"/>
            </w:r>
          </w:p>
        </w:tc>
        <w:tc>
          <w:tcPr>
            <w:tcW w:w="2500" w:type="pct"/>
            <w:vAlign w:val="bottom"/>
          </w:tcPr>
          <w:p w:rsidR="00D108E1" w:rsidRPr="00D108E1" w:rsidRDefault="00D108E1" w:rsidP="00CB76E3">
            <w:pPr>
              <w:jc w:val="right"/>
              <w:rPr>
                <w:color w:val="000000"/>
                <w:sz w:val="22"/>
                <w:szCs w:val="22"/>
              </w:rPr>
            </w:pPr>
            <w:r>
              <w:rPr>
                <w:color w:val="000000"/>
                <w:sz w:val="22"/>
                <w:szCs w:val="22"/>
              </w:rPr>
              <w:t>$</w:t>
            </w:r>
            <w:r w:rsidRPr="00D108E1">
              <w:rPr>
                <w:color w:val="000000"/>
                <w:sz w:val="22"/>
                <w:szCs w:val="22"/>
              </w:rPr>
              <w:t>42,339,324</w:t>
            </w:r>
          </w:p>
        </w:tc>
      </w:tr>
      <w:tr w:rsidR="00D108E1" w:rsidRPr="00B0437E" w:rsidTr="00CB76E3">
        <w:trPr>
          <w:trHeight w:val="377"/>
        </w:trPr>
        <w:tc>
          <w:tcPr>
            <w:tcW w:w="2500" w:type="pct"/>
            <w:vAlign w:val="bottom"/>
          </w:tcPr>
          <w:p w:rsidR="00D108E1" w:rsidRPr="00D108E1" w:rsidRDefault="00D108E1" w:rsidP="00CB76E3">
            <w:pPr>
              <w:rPr>
                <w:color w:val="000000"/>
                <w:sz w:val="22"/>
                <w:szCs w:val="22"/>
              </w:rPr>
            </w:pPr>
            <w:r w:rsidRPr="00D108E1">
              <w:rPr>
                <w:color w:val="000000"/>
                <w:sz w:val="22"/>
                <w:szCs w:val="22"/>
              </w:rPr>
              <w:t>Difference</w:t>
            </w:r>
          </w:p>
        </w:tc>
        <w:tc>
          <w:tcPr>
            <w:tcW w:w="2500" w:type="pct"/>
            <w:vAlign w:val="bottom"/>
          </w:tcPr>
          <w:p w:rsidR="00D108E1" w:rsidRPr="00D108E1" w:rsidRDefault="00D108E1" w:rsidP="00CB76E3">
            <w:pPr>
              <w:jc w:val="right"/>
              <w:rPr>
                <w:color w:val="000000"/>
                <w:sz w:val="22"/>
                <w:szCs w:val="22"/>
              </w:rPr>
            </w:pPr>
            <w:r w:rsidRPr="00D108E1">
              <w:rPr>
                <w:color w:val="FF0000"/>
                <w:sz w:val="22"/>
                <w:szCs w:val="22"/>
              </w:rPr>
              <w:t>($7,138,593)</w:t>
            </w:r>
          </w:p>
        </w:tc>
      </w:tr>
      <w:tr w:rsidR="00D108E1" w:rsidRPr="00B0437E" w:rsidTr="00CB76E3">
        <w:trPr>
          <w:trHeight w:val="377"/>
        </w:trPr>
        <w:tc>
          <w:tcPr>
            <w:tcW w:w="2500" w:type="pct"/>
            <w:vAlign w:val="bottom"/>
          </w:tcPr>
          <w:p w:rsidR="00D108E1" w:rsidRPr="00D108E1" w:rsidRDefault="00D108E1" w:rsidP="00AC7374">
            <w:pPr>
              <w:rPr>
                <w:color w:val="000000"/>
                <w:sz w:val="22"/>
                <w:szCs w:val="22"/>
              </w:rPr>
            </w:pPr>
            <w:r w:rsidRPr="00D108E1">
              <w:rPr>
                <w:color w:val="000000"/>
                <w:sz w:val="22"/>
                <w:szCs w:val="22"/>
              </w:rPr>
              <w:t>Beginning True-Up</w:t>
            </w:r>
            <w:r w:rsidR="00AC7374">
              <w:rPr>
                <w:color w:val="000000"/>
                <w:sz w:val="22"/>
                <w:szCs w:val="22"/>
              </w:rPr>
              <w:t xml:space="preserve"> in 2021</w:t>
            </w:r>
          </w:p>
        </w:tc>
        <w:tc>
          <w:tcPr>
            <w:tcW w:w="2500" w:type="pct"/>
            <w:vAlign w:val="bottom"/>
          </w:tcPr>
          <w:p w:rsidR="00D108E1" w:rsidRPr="00D108E1" w:rsidRDefault="00D108E1" w:rsidP="00CB76E3">
            <w:pPr>
              <w:jc w:val="right"/>
              <w:rPr>
                <w:color w:val="000000"/>
                <w:sz w:val="22"/>
                <w:szCs w:val="22"/>
              </w:rPr>
            </w:pPr>
            <w:r w:rsidRPr="00D108E1">
              <w:rPr>
                <w:color w:val="000000"/>
                <w:sz w:val="22"/>
                <w:szCs w:val="22"/>
              </w:rPr>
              <w:t xml:space="preserve">$3,235,074 </w:t>
            </w:r>
          </w:p>
        </w:tc>
      </w:tr>
      <w:tr w:rsidR="00D108E1" w:rsidRPr="00B0437E" w:rsidTr="00CB76E3">
        <w:trPr>
          <w:trHeight w:val="377"/>
        </w:trPr>
        <w:tc>
          <w:tcPr>
            <w:tcW w:w="2500" w:type="pct"/>
            <w:vAlign w:val="bottom"/>
          </w:tcPr>
          <w:p w:rsidR="00D108E1" w:rsidRPr="00D108E1" w:rsidRDefault="00D108E1" w:rsidP="00CB76E3">
            <w:pPr>
              <w:rPr>
                <w:color w:val="000000"/>
                <w:sz w:val="22"/>
                <w:szCs w:val="22"/>
              </w:rPr>
            </w:pPr>
            <w:r w:rsidRPr="00D108E1">
              <w:rPr>
                <w:color w:val="000000"/>
                <w:sz w:val="22"/>
                <w:szCs w:val="22"/>
              </w:rPr>
              <w:t>Interest Provision</w:t>
            </w:r>
          </w:p>
        </w:tc>
        <w:tc>
          <w:tcPr>
            <w:tcW w:w="2500" w:type="pct"/>
            <w:vAlign w:val="bottom"/>
          </w:tcPr>
          <w:p w:rsidR="00D108E1" w:rsidRPr="00D108E1" w:rsidRDefault="00D108E1" w:rsidP="00CB76E3">
            <w:pPr>
              <w:jc w:val="right"/>
              <w:rPr>
                <w:color w:val="000000"/>
                <w:sz w:val="22"/>
                <w:szCs w:val="22"/>
              </w:rPr>
            </w:pPr>
            <w:r w:rsidRPr="00D108E1">
              <w:rPr>
                <w:color w:val="000000"/>
                <w:sz w:val="22"/>
                <w:szCs w:val="22"/>
              </w:rPr>
              <w:t xml:space="preserve">$600 </w:t>
            </w:r>
          </w:p>
        </w:tc>
      </w:tr>
      <w:tr w:rsidR="00D108E1" w:rsidRPr="00B0437E" w:rsidTr="00CB76E3">
        <w:trPr>
          <w:trHeight w:val="341"/>
        </w:trPr>
        <w:tc>
          <w:tcPr>
            <w:tcW w:w="2500" w:type="pct"/>
            <w:vAlign w:val="bottom"/>
          </w:tcPr>
          <w:p w:rsidR="00D108E1" w:rsidRPr="00D108E1" w:rsidRDefault="006A04BF" w:rsidP="00CB76E3">
            <w:pPr>
              <w:rPr>
                <w:color w:val="000000"/>
                <w:sz w:val="22"/>
                <w:szCs w:val="22"/>
              </w:rPr>
            </w:pPr>
            <w:r>
              <w:rPr>
                <w:color w:val="000000"/>
                <w:sz w:val="22"/>
                <w:szCs w:val="22"/>
              </w:rPr>
              <w:t xml:space="preserve">State </w:t>
            </w:r>
            <w:r w:rsidR="00D108E1" w:rsidRPr="00D108E1">
              <w:rPr>
                <w:color w:val="000000"/>
                <w:sz w:val="22"/>
                <w:szCs w:val="22"/>
              </w:rPr>
              <w:t xml:space="preserve">Income </w:t>
            </w:r>
            <w:r w:rsidR="007E1198">
              <w:rPr>
                <w:color w:val="000000"/>
                <w:sz w:val="22"/>
                <w:szCs w:val="22"/>
              </w:rPr>
              <w:t>T</w:t>
            </w:r>
            <w:r w:rsidR="00D108E1" w:rsidRPr="00D108E1">
              <w:rPr>
                <w:color w:val="000000"/>
                <w:sz w:val="22"/>
                <w:szCs w:val="22"/>
              </w:rPr>
              <w:t>ax Refund</w:t>
            </w:r>
            <w:r w:rsidR="00DA552D">
              <w:rPr>
                <w:color w:val="000000"/>
                <w:sz w:val="22"/>
                <w:szCs w:val="22"/>
              </w:rPr>
              <w:t xml:space="preserve"> for 2021</w:t>
            </w:r>
          </w:p>
        </w:tc>
        <w:tc>
          <w:tcPr>
            <w:tcW w:w="2500" w:type="pct"/>
            <w:vAlign w:val="bottom"/>
          </w:tcPr>
          <w:p w:rsidR="00D108E1" w:rsidRPr="00D108E1" w:rsidRDefault="00D108E1" w:rsidP="00CB76E3">
            <w:pPr>
              <w:jc w:val="right"/>
              <w:rPr>
                <w:color w:val="000000"/>
                <w:sz w:val="22"/>
                <w:szCs w:val="22"/>
              </w:rPr>
            </w:pPr>
            <w:r w:rsidRPr="00D108E1">
              <w:rPr>
                <w:color w:val="000000"/>
                <w:sz w:val="22"/>
                <w:szCs w:val="22"/>
              </w:rPr>
              <w:t xml:space="preserve">$112,605 </w:t>
            </w:r>
          </w:p>
        </w:tc>
      </w:tr>
      <w:tr w:rsidR="00D108E1" w:rsidRPr="00B0437E" w:rsidTr="00CB76E3">
        <w:trPr>
          <w:trHeight w:val="341"/>
        </w:trPr>
        <w:tc>
          <w:tcPr>
            <w:tcW w:w="2500" w:type="pct"/>
            <w:vAlign w:val="bottom"/>
          </w:tcPr>
          <w:p w:rsidR="00D108E1" w:rsidRPr="00D108E1" w:rsidRDefault="00D108E1" w:rsidP="00CB76E3">
            <w:pPr>
              <w:rPr>
                <w:color w:val="000000"/>
                <w:sz w:val="22"/>
                <w:szCs w:val="22"/>
              </w:rPr>
            </w:pPr>
            <w:r w:rsidRPr="00D108E1">
              <w:rPr>
                <w:color w:val="000000"/>
                <w:sz w:val="22"/>
                <w:szCs w:val="22"/>
              </w:rPr>
              <w:t>Actual 2021 True-Up</w:t>
            </w:r>
            <w:r w:rsidR="004908E4">
              <w:rPr>
                <w:color w:val="000000"/>
                <w:sz w:val="22"/>
                <w:szCs w:val="22"/>
              </w:rPr>
              <w:t xml:space="preserve"> (</w:t>
            </w:r>
            <w:r w:rsidR="004908E4" w:rsidRPr="00DA552D">
              <w:rPr>
                <w:i/>
                <w:color w:val="000000"/>
                <w:sz w:val="22"/>
                <w:szCs w:val="22"/>
              </w:rPr>
              <w:t>requested MCC amount</w:t>
            </w:r>
            <w:r w:rsidR="004908E4">
              <w:rPr>
                <w:color w:val="000000"/>
                <w:sz w:val="22"/>
                <w:szCs w:val="22"/>
              </w:rPr>
              <w:t>)</w:t>
            </w:r>
          </w:p>
        </w:tc>
        <w:tc>
          <w:tcPr>
            <w:tcW w:w="2500" w:type="pct"/>
            <w:vAlign w:val="bottom"/>
          </w:tcPr>
          <w:p w:rsidR="00D108E1" w:rsidRPr="00D108E1" w:rsidRDefault="00D108E1" w:rsidP="00CB76E3">
            <w:pPr>
              <w:jc w:val="right"/>
              <w:rPr>
                <w:color w:val="000000"/>
                <w:sz w:val="22"/>
                <w:szCs w:val="22"/>
              </w:rPr>
            </w:pPr>
            <w:r w:rsidRPr="00D108E1">
              <w:rPr>
                <w:color w:val="FF0000"/>
                <w:sz w:val="22"/>
                <w:szCs w:val="22"/>
              </w:rPr>
              <w:t>($3,790,314)</w:t>
            </w:r>
          </w:p>
        </w:tc>
      </w:tr>
    </w:tbl>
    <w:p w:rsidR="00B0437E" w:rsidRPr="00845DF8" w:rsidRDefault="00B0437E" w:rsidP="00B0437E">
      <w:pPr>
        <w:pStyle w:val="FootnoteText"/>
      </w:pPr>
      <w:r w:rsidRPr="00845DF8">
        <w:t xml:space="preserve">Sources: </w:t>
      </w:r>
      <w:r w:rsidR="00845DF8" w:rsidRPr="00845DF8">
        <w:t>Document Nos. 10083-2021, 02208-2022, and 03889-2022.</w:t>
      </w:r>
    </w:p>
    <w:p w:rsidR="00B0437E" w:rsidRPr="00B0437E" w:rsidRDefault="00B0437E" w:rsidP="00B0437E">
      <w:pPr>
        <w:pStyle w:val="BodyText"/>
        <w:spacing w:after="0"/>
        <w:rPr>
          <w:highlight w:val="yellow"/>
        </w:rPr>
      </w:pPr>
    </w:p>
    <w:p w:rsidR="00B0437E" w:rsidRPr="00B0437E" w:rsidRDefault="00B0437E" w:rsidP="00B0437E">
      <w:pPr>
        <w:pStyle w:val="BodyText"/>
        <w:spacing w:after="0"/>
        <w:rPr>
          <w:highlight w:val="yellow"/>
        </w:rPr>
      </w:pPr>
    </w:p>
    <w:p w:rsidR="00B0437E" w:rsidRPr="00B0437E" w:rsidRDefault="00B0437E" w:rsidP="00B0437E">
      <w:pPr>
        <w:pStyle w:val="BodyText"/>
        <w:spacing w:after="0"/>
        <w:rPr>
          <w:highlight w:val="yellow"/>
        </w:rPr>
      </w:pPr>
      <w:r w:rsidRPr="000476E0">
        <w:t>Following the methodology prescribed in Rule 25-6.0424(1)(a), F.A.C., the mid-course percentage is equal to the estimated end-of-period total net true-up amount, including interest, divided by the current period’s total actual and estimated jurisdictional fuel revenue applicable to period</w:t>
      </w:r>
      <w:r w:rsidR="00FE6C44" w:rsidRPr="000476E0">
        <w:t>.</w:t>
      </w:r>
      <w:r w:rsidRPr="000476E0">
        <w:t xml:space="preserve"> </w:t>
      </w:r>
      <w:r w:rsidR="000476E0" w:rsidRPr="000476E0">
        <w:t>In this instance and</w:t>
      </w:r>
      <w:r w:rsidR="00FE6C44" w:rsidRPr="000476E0">
        <w:t xml:space="preserve"> using</w:t>
      </w:r>
      <w:r w:rsidR="000476E0" w:rsidRPr="000476E0">
        <w:t xml:space="preserve"> actual 2021 data,</w:t>
      </w:r>
      <w:r w:rsidR="00E40CF8">
        <w:t xml:space="preserve"> the calculation </w:t>
      </w:r>
      <w:r w:rsidR="00E40CF8" w:rsidRPr="009752ED">
        <w:t>is as follows: ($3,790,</w:t>
      </w:r>
      <w:r w:rsidRPr="009752ED">
        <w:t>3</w:t>
      </w:r>
      <w:r w:rsidR="00E40CF8" w:rsidRPr="009752ED">
        <w:t>14</w:t>
      </w:r>
      <w:r w:rsidRPr="009752ED">
        <w:t>) / $</w:t>
      </w:r>
      <w:r w:rsidR="00E40CF8" w:rsidRPr="009752ED">
        <w:t>42,636,492</w:t>
      </w:r>
      <w:r w:rsidRPr="009752ED">
        <w:t>.</w:t>
      </w:r>
      <w:r w:rsidR="00A873C9" w:rsidRPr="009752ED">
        <w:rPr>
          <w:rStyle w:val="FootnoteReference"/>
        </w:rPr>
        <w:footnoteReference w:id="16"/>
      </w:r>
      <w:r w:rsidRPr="009752ED">
        <w:t xml:space="preserve"> This calculation results in a </w:t>
      </w:r>
      <w:r w:rsidR="00A81D1B" w:rsidRPr="009752ED">
        <w:t>“</w:t>
      </w:r>
      <w:r w:rsidRPr="009752ED">
        <w:t>mid-</w:t>
      </w:r>
      <w:r w:rsidR="00E40CF8" w:rsidRPr="009752ED">
        <w:t>course correction level</w:t>
      </w:r>
      <w:r w:rsidR="00A94AEA">
        <w:t>”</w:t>
      </w:r>
      <w:r w:rsidR="00E40CF8" w:rsidRPr="009752ED">
        <w:t xml:space="preserve"> of (8.9</w:t>
      </w:r>
      <w:r w:rsidRPr="009752ED">
        <w:t>) percent.</w:t>
      </w:r>
      <w:r w:rsidR="009752ED">
        <w:t xml:space="preserve"> </w:t>
      </w:r>
      <w:r w:rsidR="00016816">
        <w:t>Although not requested by the Company in the instant petition, the currently-projected under-recovery for 2021 and 2022</w:t>
      </w:r>
      <w:r w:rsidR="00C26B5C">
        <w:t xml:space="preserve"> costs</w:t>
      </w:r>
      <w:r w:rsidR="00016816">
        <w:t xml:space="preserve"> through July is </w:t>
      </w:r>
      <w:r w:rsidR="00016816" w:rsidRPr="00D43DDB">
        <w:t>(</w:t>
      </w:r>
      <w:r w:rsidR="00016816">
        <w:t>$9,330,463</w:t>
      </w:r>
      <w:r w:rsidR="00016816" w:rsidRPr="00D43DDB">
        <w:t>)</w:t>
      </w:r>
      <w:r w:rsidR="00016816">
        <w:t>.</w:t>
      </w:r>
      <w:r w:rsidR="00016816">
        <w:rPr>
          <w:rStyle w:val="FootnoteReference"/>
        </w:rPr>
        <w:footnoteReference w:id="17"/>
      </w:r>
      <w:r w:rsidR="00AC7724">
        <w:t xml:space="preserve"> To mitigate the impact on customer rates, the Company is only requesting to recover the remaining amount of actual 2021 </w:t>
      </w:r>
      <w:r w:rsidR="00AD3CFB">
        <w:t xml:space="preserve">costs </w:t>
      </w:r>
      <w:r w:rsidR="00AC7724">
        <w:t>at this time.</w:t>
      </w:r>
    </w:p>
    <w:p w:rsidR="00B0437E" w:rsidRPr="00B0437E" w:rsidRDefault="00B0437E" w:rsidP="00B0437E">
      <w:pPr>
        <w:pStyle w:val="BodyText"/>
        <w:spacing w:after="0"/>
        <w:rPr>
          <w:highlight w:val="yellow"/>
        </w:rPr>
      </w:pPr>
    </w:p>
    <w:p w:rsidR="00B0437E" w:rsidRPr="00C84288" w:rsidRDefault="006C313D" w:rsidP="00B0437E">
      <w:pPr>
        <w:pStyle w:val="BodyText"/>
        <w:spacing w:after="0"/>
        <w:ind w:firstLine="720"/>
        <w:rPr>
          <w:rFonts w:ascii="Arial" w:hAnsi="Arial" w:cs="Arial"/>
          <w:b/>
          <w:i/>
        </w:rPr>
      </w:pPr>
      <w:r>
        <w:rPr>
          <w:rFonts w:ascii="Arial" w:hAnsi="Arial" w:cs="Arial"/>
          <w:b/>
          <w:i/>
        </w:rPr>
        <w:t>Fuel</w:t>
      </w:r>
      <w:r w:rsidR="00B0437E" w:rsidRPr="00C84288">
        <w:rPr>
          <w:rFonts w:ascii="Arial" w:hAnsi="Arial" w:cs="Arial"/>
          <w:b/>
          <w:i/>
        </w:rPr>
        <w:t xml:space="preserve"> Factor</w:t>
      </w:r>
    </w:p>
    <w:p w:rsidR="00B0437E" w:rsidRPr="00B0437E" w:rsidRDefault="00D61C07" w:rsidP="00B0437E">
      <w:pPr>
        <w:pStyle w:val="BodyText"/>
        <w:spacing w:after="0"/>
        <w:rPr>
          <w:highlight w:val="yellow"/>
        </w:rPr>
      </w:pPr>
      <w:r w:rsidRPr="00C84288">
        <w:t>FPUC</w:t>
      </w:r>
      <w:r w:rsidR="00B0437E" w:rsidRPr="00C84288">
        <w:t xml:space="preserve">’s currently-approved annual levelized </w:t>
      </w:r>
      <w:r w:rsidR="006C313D">
        <w:t>fuel</w:t>
      </w:r>
      <w:r w:rsidR="00C21807">
        <w:t>,</w:t>
      </w:r>
      <w:r w:rsidR="00A81D1B">
        <w:t xml:space="preserve"> (</w:t>
      </w:r>
      <w:r w:rsidR="00C21807">
        <w:t xml:space="preserve">i.e., </w:t>
      </w:r>
      <w:r w:rsidR="00B0437E" w:rsidRPr="00C84288">
        <w:t>fuel</w:t>
      </w:r>
      <w:r w:rsidR="00B77AF2">
        <w:t xml:space="preserve"> </w:t>
      </w:r>
      <w:r w:rsidR="00A81D1B">
        <w:t>portion</w:t>
      </w:r>
      <w:r w:rsidR="00B0437E" w:rsidRPr="00C84288">
        <w:t xml:space="preserve"> </w:t>
      </w:r>
      <w:r w:rsidR="006C313D">
        <w:t>of the PPA</w:t>
      </w:r>
      <w:r w:rsidR="00D43DDB">
        <w:t xml:space="preserve"> cost recovery factor</w:t>
      </w:r>
      <w:r w:rsidRPr="00C84288">
        <w:t xml:space="preserve">) </w:t>
      </w:r>
      <w:r w:rsidR="00B0437E" w:rsidRPr="00C84288">
        <w:t xml:space="preserve">factor beginning January 2022 is </w:t>
      </w:r>
      <w:r w:rsidRPr="00C84288">
        <w:t>4.</w:t>
      </w:r>
      <w:r w:rsidR="00B0437E" w:rsidRPr="00C84288">
        <w:t>5</w:t>
      </w:r>
      <w:r w:rsidRPr="00C84288">
        <w:t>80</w:t>
      </w:r>
      <w:r w:rsidR="00B0437E" w:rsidRPr="00C84288">
        <w:t xml:space="preserve"> cents per kilowatt-hour (kWh).</w:t>
      </w:r>
      <w:r w:rsidR="00B0437E" w:rsidRPr="00C84288">
        <w:rPr>
          <w:rStyle w:val="FootnoteReference"/>
        </w:rPr>
        <w:footnoteReference w:id="18"/>
      </w:r>
      <w:r w:rsidR="00B0437E" w:rsidRPr="00C84288">
        <w:t xml:space="preserve"> The Company is requesting to increase its currently-approved 2022 a</w:t>
      </w:r>
      <w:r w:rsidR="00FD27CC">
        <w:t>nnual levelized fuel</w:t>
      </w:r>
      <w:r w:rsidR="00C21807">
        <w:t>,</w:t>
      </w:r>
      <w:r w:rsidR="00C84288" w:rsidRPr="00C84288">
        <w:t xml:space="preserve"> (</w:t>
      </w:r>
      <w:r w:rsidR="00C21807">
        <w:t xml:space="preserve">i.e., </w:t>
      </w:r>
      <w:r w:rsidR="006C313D" w:rsidRPr="00C84288">
        <w:t>fuel</w:t>
      </w:r>
      <w:r w:rsidR="006C313D">
        <w:t xml:space="preserve"> portion</w:t>
      </w:r>
      <w:r w:rsidR="006C313D" w:rsidRPr="00C84288">
        <w:t xml:space="preserve"> </w:t>
      </w:r>
      <w:r w:rsidR="006C313D">
        <w:t xml:space="preserve">of the PPA </w:t>
      </w:r>
      <w:r w:rsidR="006C313D" w:rsidRPr="00445388">
        <w:t>cost recovery factor</w:t>
      </w:r>
      <w:r w:rsidR="00C84288" w:rsidRPr="00445388">
        <w:t>) factor to 6</w:t>
      </w:r>
      <w:r w:rsidR="00B0437E" w:rsidRPr="00445388">
        <w:t>.1</w:t>
      </w:r>
      <w:r w:rsidR="00C84288" w:rsidRPr="00445388">
        <w:t>64</w:t>
      </w:r>
      <w:r w:rsidR="00B0437E" w:rsidRPr="00445388">
        <w:t xml:space="preserve"> cents per kWh, or by 3</w:t>
      </w:r>
      <w:r w:rsidR="00C84288" w:rsidRPr="00445388">
        <w:t>4</w:t>
      </w:r>
      <w:r w:rsidR="00B0437E" w:rsidRPr="00445388">
        <w:t>.</w:t>
      </w:r>
      <w:r w:rsidR="00C84288" w:rsidRPr="00445388">
        <w:t>6</w:t>
      </w:r>
      <w:r w:rsidR="00B0437E" w:rsidRPr="00445388">
        <w:t xml:space="preserve"> percent.</w:t>
      </w:r>
      <w:r w:rsidR="00B0437E" w:rsidRPr="00445388">
        <w:rPr>
          <w:rStyle w:val="FootnoteReference"/>
        </w:rPr>
        <w:footnoteReference w:id="19"/>
      </w:r>
      <w:r w:rsidR="00FD27CC" w:rsidRPr="00445388">
        <w:t xml:space="preserve"> Staff notes that the PPA factors ultimately </w:t>
      </w:r>
      <w:r w:rsidR="00457991" w:rsidRPr="00445388">
        <w:t>billed to customers</w:t>
      </w:r>
      <w:r w:rsidR="00FD27CC" w:rsidRPr="00445388">
        <w:t xml:space="preserve"> </w:t>
      </w:r>
      <w:r w:rsidR="00E73527" w:rsidRPr="00445388">
        <w:t xml:space="preserve">also </w:t>
      </w:r>
      <w:r w:rsidR="00FD27CC" w:rsidRPr="00445388">
        <w:t xml:space="preserve">include </w:t>
      </w:r>
      <w:r w:rsidR="00E73527" w:rsidRPr="00445388">
        <w:t>the</w:t>
      </w:r>
      <w:r w:rsidR="00457991" w:rsidRPr="00445388">
        <w:t xml:space="preserve"> </w:t>
      </w:r>
      <w:r w:rsidR="00FD27CC" w:rsidRPr="00445388">
        <w:t xml:space="preserve">demand-related costs of FPUC’s </w:t>
      </w:r>
      <w:r w:rsidR="0098506D" w:rsidRPr="00445388">
        <w:t>PPA</w:t>
      </w:r>
      <w:r w:rsidR="00457991" w:rsidRPr="00445388">
        <w:t>s</w:t>
      </w:r>
      <w:r w:rsidR="0098506D" w:rsidRPr="00445388">
        <w:t>.</w:t>
      </w:r>
      <w:r w:rsidR="00457991" w:rsidRPr="00445388">
        <w:t xml:space="preserve"> </w:t>
      </w:r>
      <w:r w:rsidR="0098506D" w:rsidRPr="00445388">
        <w:t>Thus, the PPA cost recovery factors, as shown on Appendix A, are</w:t>
      </w:r>
      <w:r w:rsidR="00457991" w:rsidRPr="00445388">
        <w:t xml:space="preserve"> greater than the fuel-only values </w:t>
      </w:r>
      <w:r w:rsidR="0098506D" w:rsidRPr="00445388">
        <w:t>quoted in this paragraph</w:t>
      </w:r>
      <w:r w:rsidR="00FD27CC" w:rsidRPr="00445388">
        <w:t>.</w:t>
      </w:r>
    </w:p>
    <w:p w:rsidR="00B0437E" w:rsidRDefault="00B0437E" w:rsidP="00B0437E">
      <w:pPr>
        <w:pStyle w:val="BodyText"/>
        <w:spacing w:after="0"/>
        <w:rPr>
          <w:highlight w:val="yellow"/>
        </w:rPr>
      </w:pPr>
    </w:p>
    <w:p w:rsidR="007A7B54" w:rsidRDefault="007A7B54" w:rsidP="00B0437E">
      <w:pPr>
        <w:pStyle w:val="BodyText"/>
        <w:spacing w:after="0"/>
        <w:rPr>
          <w:highlight w:val="yellow"/>
        </w:rPr>
      </w:pPr>
    </w:p>
    <w:p w:rsidR="00AD3CFB" w:rsidRDefault="00AD3CFB" w:rsidP="00B0437E">
      <w:pPr>
        <w:pStyle w:val="BodyText"/>
        <w:spacing w:after="0"/>
        <w:rPr>
          <w:highlight w:val="yellow"/>
        </w:rPr>
      </w:pPr>
    </w:p>
    <w:p w:rsidR="00AD3CFB" w:rsidRDefault="00AD3CFB" w:rsidP="00B0437E">
      <w:pPr>
        <w:pStyle w:val="BodyText"/>
        <w:spacing w:after="0"/>
        <w:rPr>
          <w:highlight w:val="yellow"/>
        </w:rPr>
      </w:pPr>
    </w:p>
    <w:p w:rsidR="00B0437E" w:rsidRPr="00042825" w:rsidRDefault="00B0437E" w:rsidP="00B0437E">
      <w:pPr>
        <w:pStyle w:val="BodyText"/>
        <w:spacing w:after="0"/>
        <w:rPr>
          <w:rFonts w:ascii="Arial" w:hAnsi="Arial" w:cs="Arial"/>
          <w:b/>
          <w:bCs/>
          <w:i/>
          <w:iCs/>
        </w:rPr>
      </w:pPr>
      <w:r w:rsidRPr="00042825">
        <w:rPr>
          <w:rFonts w:ascii="Arial" w:hAnsi="Arial" w:cs="Arial"/>
          <w:b/>
          <w:bCs/>
          <w:i/>
          <w:iCs/>
        </w:rPr>
        <w:t>Bill Impacts</w:t>
      </w:r>
    </w:p>
    <w:p w:rsidR="00B0437E" w:rsidRPr="00B0437E" w:rsidRDefault="00B0437E" w:rsidP="00B0437E">
      <w:pPr>
        <w:pStyle w:val="BodyText"/>
        <w:spacing w:after="0"/>
        <w:rPr>
          <w:highlight w:val="yellow"/>
        </w:rPr>
      </w:pPr>
      <w:r w:rsidRPr="00042825">
        <w:t>Table 1-2 below shows the bill impact to a typical residential customer using 1,000 kWh of electricity</w:t>
      </w:r>
      <w:r w:rsidR="00042825" w:rsidRPr="00042825">
        <w:t xml:space="preserve"> a month associated with new PPA cost recovery</w:t>
      </w:r>
      <w:r w:rsidRPr="00042825">
        <w:t xml:space="preserve"> factors. In the discussion below Table </w:t>
      </w:r>
      <w:r w:rsidRPr="00344442">
        <w:t>1-2, staff addresses the impacts of the fuel MCC on non-residential customers:</w:t>
      </w:r>
    </w:p>
    <w:p w:rsidR="00B0437E" w:rsidRPr="00B0437E" w:rsidRDefault="00B0437E" w:rsidP="00B0437E">
      <w:pPr>
        <w:pStyle w:val="BodyText"/>
        <w:spacing w:after="0"/>
        <w:rPr>
          <w:highlight w:val="yellow"/>
        </w:rPr>
      </w:pPr>
    </w:p>
    <w:p w:rsidR="00B0437E" w:rsidRPr="00B0437E" w:rsidRDefault="00B0437E" w:rsidP="00B0437E">
      <w:pPr>
        <w:pStyle w:val="BodyText"/>
        <w:spacing w:after="0"/>
        <w:rPr>
          <w:highlight w:val="yellow"/>
        </w:rPr>
      </w:pPr>
    </w:p>
    <w:tbl>
      <w:tblPr>
        <w:tblW w:w="4887" w:type="pct"/>
        <w:tblInd w:w="108" w:type="dxa"/>
        <w:tblLook w:val="04A0" w:firstRow="1" w:lastRow="0" w:firstColumn="1" w:lastColumn="0" w:noHBand="0" w:noVBand="1"/>
      </w:tblPr>
      <w:tblGrid>
        <w:gridCol w:w="3482"/>
        <w:gridCol w:w="1558"/>
        <w:gridCol w:w="1531"/>
        <w:gridCol w:w="1398"/>
        <w:gridCol w:w="1391"/>
      </w:tblGrid>
      <w:tr w:rsidR="00B0437E" w:rsidRPr="00B0437E" w:rsidTr="00B06DC2">
        <w:trPr>
          <w:cantSplit/>
          <w:trHeight w:val="310"/>
          <w:tblHeader/>
        </w:trPr>
        <w:tc>
          <w:tcPr>
            <w:tcW w:w="5000" w:type="pct"/>
            <w:gridSpan w:val="5"/>
            <w:tcBorders>
              <w:top w:val="nil"/>
              <w:left w:val="nil"/>
              <w:bottom w:val="nil"/>
              <w:right w:val="nil"/>
            </w:tcBorders>
            <w:shd w:val="clear" w:color="auto" w:fill="auto"/>
            <w:vAlign w:val="center"/>
            <w:hideMark/>
          </w:tcPr>
          <w:p w:rsidR="00B0437E" w:rsidRPr="00042825" w:rsidRDefault="00B0437E" w:rsidP="00B06DC2">
            <w:pPr>
              <w:jc w:val="center"/>
              <w:rPr>
                <w:rFonts w:ascii="Arial" w:hAnsi="Arial" w:cs="Arial"/>
                <w:b/>
                <w:bCs/>
                <w:color w:val="000000"/>
              </w:rPr>
            </w:pPr>
            <w:r w:rsidRPr="00042825">
              <w:rPr>
                <w:rFonts w:ascii="Arial" w:hAnsi="Arial" w:cs="Arial"/>
                <w:b/>
                <w:bCs/>
                <w:color w:val="000000"/>
              </w:rPr>
              <w:t>Table 1-2</w:t>
            </w:r>
          </w:p>
        </w:tc>
      </w:tr>
      <w:tr w:rsidR="00B0437E" w:rsidRPr="00B0437E" w:rsidTr="00B06DC2">
        <w:trPr>
          <w:cantSplit/>
          <w:trHeight w:val="320"/>
          <w:tblHeader/>
        </w:trPr>
        <w:tc>
          <w:tcPr>
            <w:tcW w:w="5000" w:type="pct"/>
            <w:gridSpan w:val="5"/>
            <w:tcBorders>
              <w:top w:val="nil"/>
              <w:left w:val="nil"/>
              <w:bottom w:val="single" w:sz="4" w:space="0" w:color="auto"/>
              <w:right w:val="nil"/>
            </w:tcBorders>
            <w:shd w:val="clear" w:color="auto" w:fill="auto"/>
            <w:vAlign w:val="center"/>
            <w:hideMark/>
          </w:tcPr>
          <w:p w:rsidR="00B0437E" w:rsidRPr="00042825" w:rsidRDefault="00B0437E" w:rsidP="00B06DC2">
            <w:pPr>
              <w:jc w:val="center"/>
              <w:rPr>
                <w:rFonts w:ascii="Arial" w:hAnsi="Arial" w:cs="Arial"/>
                <w:b/>
                <w:bCs/>
                <w:color w:val="000000"/>
              </w:rPr>
            </w:pPr>
            <w:r w:rsidRPr="00042825">
              <w:rPr>
                <w:rFonts w:ascii="Arial" w:hAnsi="Arial" w:cs="Arial"/>
                <w:b/>
                <w:bCs/>
                <w:color w:val="000000"/>
              </w:rPr>
              <w:t>Monthly Residential Billing Detail for the First 1,000 kWh</w:t>
            </w:r>
          </w:p>
        </w:tc>
      </w:tr>
      <w:tr w:rsidR="00B0437E" w:rsidRPr="00B0437E" w:rsidTr="00B06DC2">
        <w:trPr>
          <w:cantSplit/>
          <w:trHeight w:val="1952"/>
          <w:tblHeader/>
        </w:trPr>
        <w:tc>
          <w:tcPr>
            <w:tcW w:w="18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0437E" w:rsidRPr="00A64CED" w:rsidRDefault="00B0437E" w:rsidP="00B06DC2">
            <w:pPr>
              <w:jc w:val="center"/>
              <w:rPr>
                <w:b/>
                <w:bCs/>
                <w:color w:val="000000"/>
                <w:sz w:val="22"/>
                <w:szCs w:val="22"/>
              </w:rPr>
            </w:pPr>
            <w:r w:rsidRPr="00A64CED">
              <w:rPr>
                <w:b/>
                <w:bCs/>
                <w:color w:val="000000"/>
                <w:sz w:val="22"/>
                <w:szCs w:val="22"/>
              </w:rPr>
              <w:t>Invoice Component</w:t>
            </w: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0437E" w:rsidRPr="00A64CED" w:rsidRDefault="00B0437E" w:rsidP="00B06DC2">
            <w:pPr>
              <w:jc w:val="center"/>
              <w:rPr>
                <w:b/>
                <w:bCs/>
                <w:color w:val="000000"/>
                <w:sz w:val="22"/>
                <w:szCs w:val="22"/>
              </w:rPr>
            </w:pPr>
            <w:r w:rsidRPr="00A64CED">
              <w:rPr>
                <w:b/>
                <w:bCs/>
                <w:color w:val="000000"/>
                <w:sz w:val="22"/>
                <w:szCs w:val="22"/>
              </w:rPr>
              <w:t>Currently-Approved Charges Beginning January 2022</w:t>
            </w:r>
            <w:r w:rsidR="003C5AAA">
              <w:rPr>
                <w:rStyle w:val="FootnoteReference"/>
                <w:b/>
                <w:bCs/>
                <w:color w:val="000000"/>
                <w:sz w:val="22"/>
                <w:szCs w:val="22"/>
              </w:rPr>
              <w:footnoteReference w:id="20"/>
            </w:r>
          </w:p>
          <w:p w:rsidR="00B0437E" w:rsidRPr="00A64CED" w:rsidRDefault="00B0437E" w:rsidP="00B06DC2">
            <w:pPr>
              <w:jc w:val="center"/>
              <w:rPr>
                <w:b/>
                <w:bCs/>
                <w:color w:val="000000"/>
                <w:sz w:val="22"/>
                <w:szCs w:val="22"/>
              </w:rPr>
            </w:pPr>
            <w:r w:rsidRPr="00A64CED">
              <w:rPr>
                <w:b/>
                <w:bCs/>
                <w:color w:val="000000"/>
                <w:sz w:val="22"/>
                <w:szCs w:val="22"/>
              </w:rPr>
              <w:t>($)</w:t>
            </w: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0437E" w:rsidRPr="00A64CED" w:rsidRDefault="00B0437E" w:rsidP="00B06DC2">
            <w:pPr>
              <w:jc w:val="center"/>
              <w:rPr>
                <w:b/>
                <w:bCs/>
                <w:color w:val="000000"/>
                <w:sz w:val="22"/>
                <w:szCs w:val="22"/>
              </w:rPr>
            </w:pPr>
            <w:r w:rsidRPr="00A64CED">
              <w:rPr>
                <w:b/>
                <w:bCs/>
                <w:color w:val="000000"/>
                <w:sz w:val="22"/>
                <w:szCs w:val="22"/>
              </w:rPr>
              <w:t xml:space="preserve">Proposed New Charges </w:t>
            </w:r>
          </w:p>
          <w:p w:rsidR="00B0437E" w:rsidRPr="00A64CED" w:rsidRDefault="00042825" w:rsidP="00B06DC2">
            <w:pPr>
              <w:jc w:val="center"/>
              <w:rPr>
                <w:b/>
                <w:bCs/>
                <w:color w:val="000000"/>
                <w:sz w:val="22"/>
                <w:szCs w:val="22"/>
              </w:rPr>
            </w:pPr>
            <w:r>
              <w:rPr>
                <w:b/>
                <w:bCs/>
                <w:color w:val="000000"/>
                <w:sz w:val="22"/>
                <w:szCs w:val="22"/>
              </w:rPr>
              <w:t>August</w:t>
            </w:r>
          </w:p>
          <w:p w:rsidR="00B0437E" w:rsidRPr="00A64CED" w:rsidRDefault="00B0437E" w:rsidP="00B06DC2">
            <w:pPr>
              <w:jc w:val="center"/>
              <w:rPr>
                <w:b/>
                <w:bCs/>
                <w:color w:val="000000"/>
                <w:sz w:val="22"/>
                <w:szCs w:val="22"/>
              </w:rPr>
            </w:pPr>
            <w:r w:rsidRPr="00A64CED">
              <w:rPr>
                <w:b/>
                <w:bCs/>
                <w:color w:val="000000"/>
                <w:sz w:val="22"/>
                <w:szCs w:val="22"/>
              </w:rPr>
              <w:t>Through December 2022</w:t>
            </w:r>
          </w:p>
          <w:p w:rsidR="00B0437E" w:rsidRPr="00A64CED" w:rsidRDefault="00B0437E" w:rsidP="00B06DC2">
            <w:pPr>
              <w:jc w:val="center"/>
              <w:rPr>
                <w:b/>
                <w:bCs/>
                <w:color w:val="000000"/>
                <w:sz w:val="22"/>
                <w:szCs w:val="22"/>
              </w:rPr>
            </w:pPr>
            <w:r w:rsidRPr="00A64CED">
              <w:rPr>
                <w:b/>
                <w:bCs/>
                <w:color w:val="000000"/>
                <w:sz w:val="22"/>
                <w:szCs w:val="22"/>
              </w:rPr>
              <w:t>($)</w:t>
            </w:r>
          </w:p>
        </w:tc>
        <w:tc>
          <w:tcPr>
            <w:tcW w:w="7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0437E" w:rsidRPr="00A64CED" w:rsidRDefault="00B0437E" w:rsidP="00B06DC2">
            <w:pPr>
              <w:jc w:val="center"/>
              <w:rPr>
                <w:b/>
                <w:bCs/>
                <w:color w:val="000000"/>
                <w:sz w:val="22"/>
                <w:szCs w:val="22"/>
              </w:rPr>
            </w:pPr>
            <w:r w:rsidRPr="00A64CED">
              <w:rPr>
                <w:b/>
                <w:bCs/>
                <w:color w:val="000000"/>
                <w:sz w:val="22"/>
                <w:szCs w:val="22"/>
              </w:rPr>
              <w:t>Approved to Proposed Difference</w:t>
            </w:r>
          </w:p>
          <w:p w:rsidR="00B0437E" w:rsidRPr="00A64CED" w:rsidRDefault="00B0437E" w:rsidP="00B06DC2">
            <w:pPr>
              <w:jc w:val="center"/>
              <w:rPr>
                <w:b/>
                <w:bCs/>
                <w:color w:val="000000"/>
                <w:sz w:val="22"/>
                <w:szCs w:val="22"/>
              </w:rPr>
            </w:pPr>
            <w:r w:rsidRPr="00A64CED">
              <w:rPr>
                <w:b/>
                <w:bCs/>
                <w:color w:val="000000"/>
                <w:sz w:val="22"/>
                <w:szCs w:val="22"/>
              </w:rPr>
              <w:t>($)</w:t>
            </w: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0437E" w:rsidRPr="00A64CED" w:rsidRDefault="00B0437E" w:rsidP="00B06DC2">
            <w:pPr>
              <w:jc w:val="center"/>
              <w:rPr>
                <w:b/>
                <w:bCs/>
                <w:color w:val="000000"/>
                <w:sz w:val="22"/>
                <w:szCs w:val="22"/>
              </w:rPr>
            </w:pPr>
            <w:r w:rsidRPr="00A64CED">
              <w:rPr>
                <w:b/>
                <w:bCs/>
                <w:color w:val="000000"/>
                <w:sz w:val="22"/>
                <w:szCs w:val="22"/>
              </w:rPr>
              <w:t>Approved to Proposed Difference</w:t>
            </w:r>
          </w:p>
          <w:p w:rsidR="00B0437E" w:rsidRPr="00A64CED" w:rsidRDefault="00B0437E" w:rsidP="00B06DC2">
            <w:pPr>
              <w:jc w:val="center"/>
              <w:rPr>
                <w:b/>
                <w:bCs/>
                <w:color w:val="000000"/>
                <w:sz w:val="22"/>
                <w:szCs w:val="22"/>
              </w:rPr>
            </w:pPr>
            <w:r w:rsidRPr="00A64CED">
              <w:rPr>
                <w:b/>
                <w:bCs/>
                <w:color w:val="000000"/>
                <w:sz w:val="22"/>
                <w:szCs w:val="22"/>
              </w:rPr>
              <w:t>(%)</w:t>
            </w:r>
          </w:p>
        </w:tc>
      </w:tr>
      <w:tr w:rsidR="00B0437E" w:rsidRPr="00B0437E" w:rsidTr="00B06DC2">
        <w:trPr>
          <w:trHeight w:val="300"/>
        </w:trPr>
        <w:tc>
          <w:tcPr>
            <w:tcW w:w="186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0437E" w:rsidRPr="00A64CED" w:rsidRDefault="00B0437E" w:rsidP="00B06DC2">
            <w:pPr>
              <w:rPr>
                <w:color w:val="000000"/>
                <w:sz w:val="22"/>
                <w:szCs w:val="22"/>
              </w:rPr>
            </w:pPr>
            <w:r w:rsidRPr="00A64CED">
              <w:rPr>
                <w:color w:val="000000"/>
                <w:sz w:val="22"/>
                <w:szCs w:val="22"/>
              </w:rPr>
              <w:t>Base Charge</w:t>
            </w: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rsidR="00B0437E" w:rsidRPr="00A64CED" w:rsidRDefault="00A64CED" w:rsidP="00B06DC2">
            <w:pPr>
              <w:jc w:val="right"/>
              <w:rPr>
                <w:color w:val="000000"/>
                <w:sz w:val="22"/>
                <w:szCs w:val="22"/>
              </w:rPr>
            </w:pPr>
            <w:r w:rsidRPr="00A64CED">
              <w:rPr>
                <w:color w:val="000000"/>
                <w:sz w:val="22"/>
                <w:szCs w:val="22"/>
              </w:rPr>
              <w:t>$</w:t>
            </w:r>
            <w:r w:rsidR="00471510" w:rsidRPr="00A64CED">
              <w:rPr>
                <w:color w:val="000000"/>
                <w:sz w:val="22"/>
                <w:szCs w:val="22"/>
              </w:rPr>
              <w:t>40.68</w:t>
            </w: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tcPr>
          <w:p w:rsidR="00B0437E" w:rsidRPr="00A64CED" w:rsidRDefault="00A64CED" w:rsidP="00B06DC2">
            <w:pPr>
              <w:jc w:val="right"/>
              <w:rPr>
                <w:color w:val="000000"/>
                <w:sz w:val="22"/>
                <w:szCs w:val="22"/>
              </w:rPr>
            </w:pPr>
            <w:r w:rsidRPr="00A64CED">
              <w:rPr>
                <w:color w:val="000000"/>
                <w:sz w:val="22"/>
                <w:szCs w:val="22"/>
              </w:rPr>
              <w:t>$</w:t>
            </w:r>
            <w:r w:rsidR="00471510" w:rsidRPr="00A64CED">
              <w:rPr>
                <w:color w:val="000000"/>
                <w:sz w:val="22"/>
                <w:szCs w:val="22"/>
              </w:rPr>
              <w:t>40.68</w:t>
            </w:r>
          </w:p>
        </w:tc>
        <w:tc>
          <w:tcPr>
            <w:tcW w:w="747" w:type="pct"/>
            <w:tcBorders>
              <w:top w:val="single" w:sz="4" w:space="0" w:color="auto"/>
              <w:left w:val="single" w:sz="4" w:space="0" w:color="auto"/>
              <w:bottom w:val="single" w:sz="4" w:space="0" w:color="auto"/>
              <w:right w:val="single" w:sz="4" w:space="0" w:color="auto"/>
            </w:tcBorders>
            <w:shd w:val="clear" w:color="auto" w:fill="auto"/>
            <w:vAlign w:val="center"/>
          </w:tcPr>
          <w:p w:rsidR="00B0437E" w:rsidRPr="00A64CED" w:rsidRDefault="00A64CED" w:rsidP="00B06DC2">
            <w:pPr>
              <w:jc w:val="right"/>
              <w:rPr>
                <w:color w:val="000000"/>
                <w:sz w:val="22"/>
                <w:szCs w:val="22"/>
              </w:rPr>
            </w:pPr>
            <w:r w:rsidRPr="00A64CED">
              <w:rPr>
                <w:color w:val="000000"/>
                <w:sz w:val="22"/>
                <w:szCs w:val="22"/>
              </w:rPr>
              <w:t>$0</w:t>
            </w: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tcPr>
          <w:p w:rsidR="00B0437E" w:rsidRPr="00A64CED" w:rsidRDefault="00A64CED" w:rsidP="00B06DC2">
            <w:pPr>
              <w:jc w:val="right"/>
              <w:rPr>
                <w:color w:val="000000"/>
                <w:sz w:val="22"/>
                <w:szCs w:val="22"/>
              </w:rPr>
            </w:pPr>
            <w:r w:rsidRPr="00A64CED">
              <w:rPr>
                <w:color w:val="000000"/>
                <w:sz w:val="22"/>
                <w:szCs w:val="22"/>
              </w:rPr>
              <w:t>-</w:t>
            </w:r>
          </w:p>
        </w:tc>
      </w:tr>
      <w:tr w:rsidR="00B0437E" w:rsidRPr="00B0437E" w:rsidTr="00B06DC2">
        <w:trPr>
          <w:trHeight w:val="300"/>
        </w:trPr>
        <w:tc>
          <w:tcPr>
            <w:tcW w:w="186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0437E" w:rsidRPr="00A64CED" w:rsidRDefault="00B0437E" w:rsidP="00B06DC2">
            <w:pPr>
              <w:rPr>
                <w:color w:val="000000"/>
                <w:sz w:val="22"/>
                <w:szCs w:val="22"/>
              </w:rPr>
            </w:pPr>
            <w:r w:rsidRPr="00A64CED">
              <w:rPr>
                <w:color w:val="000000"/>
                <w:sz w:val="22"/>
                <w:szCs w:val="22"/>
              </w:rPr>
              <w:t xml:space="preserve">Fuel </w:t>
            </w:r>
            <w:r w:rsidR="002B4EF9">
              <w:rPr>
                <w:color w:val="000000"/>
                <w:sz w:val="22"/>
                <w:szCs w:val="22"/>
              </w:rPr>
              <w:t xml:space="preserve">(PPA) </w:t>
            </w:r>
            <w:r w:rsidRPr="00A64CED">
              <w:rPr>
                <w:color w:val="000000"/>
                <w:sz w:val="22"/>
                <w:szCs w:val="22"/>
              </w:rPr>
              <w:t>Charge</w:t>
            </w: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rsidR="00B0437E" w:rsidRPr="00A64CED" w:rsidRDefault="00471510" w:rsidP="00471510">
            <w:pPr>
              <w:jc w:val="right"/>
              <w:rPr>
                <w:color w:val="000000"/>
                <w:sz w:val="22"/>
                <w:szCs w:val="22"/>
              </w:rPr>
            </w:pPr>
            <w:r w:rsidRPr="00A64CED">
              <w:rPr>
                <w:color w:val="000000"/>
                <w:sz w:val="22"/>
                <w:szCs w:val="22"/>
              </w:rPr>
              <w:t>69.89</w:t>
            </w: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tcPr>
          <w:p w:rsidR="00B0437E" w:rsidRPr="00A64CED" w:rsidRDefault="00471510" w:rsidP="00B06DC2">
            <w:pPr>
              <w:jc w:val="right"/>
              <w:rPr>
                <w:color w:val="000000"/>
                <w:sz w:val="22"/>
                <w:szCs w:val="22"/>
              </w:rPr>
            </w:pPr>
            <w:r w:rsidRPr="00A64CED">
              <w:rPr>
                <w:color w:val="000000"/>
                <w:sz w:val="22"/>
                <w:szCs w:val="22"/>
              </w:rPr>
              <w:t>84.41</w:t>
            </w:r>
          </w:p>
        </w:tc>
        <w:tc>
          <w:tcPr>
            <w:tcW w:w="747" w:type="pct"/>
            <w:tcBorders>
              <w:top w:val="single" w:sz="4" w:space="0" w:color="auto"/>
              <w:left w:val="single" w:sz="4" w:space="0" w:color="auto"/>
              <w:bottom w:val="single" w:sz="4" w:space="0" w:color="auto"/>
              <w:right w:val="single" w:sz="4" w:space="0" w:color="auto"/>
            </w:tcBorders>
            <w:shd w:val="clear" w:color="auto" w:fill="auto"/>
            <w:vAlign w:val="center"/>
          </w:tcPr>
          <w:p w:rsidR="00B0437E" w:rsidRPr="00A64CED" w:rsidRDefault="00A64CED" w:rsidP="00B06DC2">
            <w:pPr>
              <w:jc w:val="right"/>
              <w:rPr>
                <w:color w:val="000000"/>
                <w:sz w:val="22"/>
                <w:szCs w:val="22"/>
              </w:rPr>
            </w:pPr>
            <w:r w:rsidRPr="00A64CED">
              <w:rPr>
                <w:color w:val="000000"/>
                <w:sz w:val="22"/>
                <w:szCs w:val="22"/>
              </w:rPr>
              <w:t>14.52</w:t>
            </w: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tcPr>
          <w:p w:rsidR="00B0437E" w:rsidRPr="00A64CED" w:rsidRDefault="00A64CED" w:rsidP="00B06DC2">
            <w:pPr>
              <w:jc w:val="right"/>
              <w:rPr>
                <w:color w:val="000000"/>
                <w:sz w:val="22"/>
                <w:szCs w:val="22"/>
              </w:rPr>
            </w:pPr>
            <w:r w:rsidRPr="00A64CED">
              <w:rPr>
                <w:color w:val="000000"/>
                <w:sz w:val="22"/>
                <w:szCs w:val="22"/>
              </w:rPr>
              <w:t>20.8</w:t>
            </w:r>
            <w:r w:rsidR="00042825">
              <w:rPr>
                <w:color w:val="000000"/>
                <w:sz w:val="22"/>
                <w:szCs w:val="22"/>
              </w:rPr>
              <w:t>%</w:t>
            </w:r>
          </w:p>
        </w:tc>
      </w:tr>
      <w:tr w:rsidR="00B0437E" w:rsidRPr="00B0437E" w:rsidTr="00B06DC2">
        <w:trPr>
          <w:trHeight w:val="300"/>
        </w:trPr>
        <w:tc>
          <w:tcPr>
            <w:tcW w:w="186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0437E" w:rsidRPr="00A64CED" w:rsidRDefault="00B0437E" w:rsidP="00B06DC2">
            <w:pPr>
              <w:rPr>
                <w:color w:val="000000"/>
                <w:sz w:val="22"/>
                <w:szCs w:val="22"/>
              </w:rPr>
            </w:pPr>
            <w:r w:rsidRPr="00A64CED">
              <w:rPr>
                <w:color w:val="000000"/>
                <w:sz w:val="22"/>
                <w:szCs w:val="22"/>
              </w:rPr>
              <w:t>Conservation Charge</w:t>
            </w: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rsidR="00B0437E" w:rsidRPr="00A64CED" w:rsidRDefault="00471510" w:rsidP="00B06DC2">
            <w:pPr>
              <w:jc w:val="right"/>
              <w:rPr>
                <w:color w:val="000000"/>
                <w:sz w:val="22"/>
                <w:szCs w:val="22"/>
              </w:rPr>
            </w:pPr>
            <w:r w:rsidRPr="00A64CED">
              <w:rPr>
                <w:color w:val="000000"/>
                <w:sz w:val="22"/>
                <w:szCs w:val="22"/>
              </w:rPr>
              <w:t>1.34</w:t>
            </w: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tcPr>
          <w:p w:rsidR="00B0437E" w:rsidRPr="00A64CED" w:rsidRDefault="00471510" w:rsidP="00B06DC2">
            <w:pPr>
              <w:jc w:val="right"/>
              <w:rPr>
                <w:color w:val="000000"/>
                <w:sz w:val="22"/>
                <w:szCs w:val="22"/>
              </w:rPr>
            </w:pPr>
            <w:r w:rsidRPr="00A64CED">
              <w:rPr>
                <w:color w:val="000000"/>
                <w:sz w:val="22"/>
                <w:szCs w:val="22"/>
              </w:rPr>
              <w:t>1.34</w:t>
            </w:r>
          </w:p>
        </w:tc>
        <w:tc>
          <w:tcPr>
            <w:tcW w:w="747" w:type="pct"/>
            <w:tcBorders>
              <w:top w:val="single" w:sz="4" w:space="0" w:color="auto"/>
              <w:left w:val="single" w:sz="4" w:space="0" w:color="auto"/>
              <w:bottom w:val="single" w:sz="4" w:space="0" w:color="auto"/>
              <w:right w:val="single" w:sz="4" w:space="0" w:color="auto"/>
            </w:tcBorders>
            <w:shd w:val="clear" w:color="auto" w:fill="auto"/>
            <w:vAlign w:val="center"/>
          </w:tcPr>
          <w:p w:rsidR="00B0437E" w:rsidRPr="00A64CED" w:rsidRDefault="00A64CED" w:rsidP="00B06DC2">
            <w:pPr>
              <w:jc w:val="right"/>
              <w:rPr>
                <w:color w:val="000000"/>
                <w:sz w:val="22"/>
                <w:szCs w:val="22"/>
              </w:rPr>
            </w:pPr>
            <w:r w:rsidRPr="00A64CED">
              <w:rPr>
                <w:color w:val="000000"/>
                <w:sz w:val="22"/>
                <w:szCs w:val="22"/>
              </w:rPr>
              <w:t>0</w:t>
            </w: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tcPr>
          <w:p w:rsidR="00B0437E" w:rsidRPr="00A64CED" w:rsidRDefault="00A64CED" w:rsidP="00B06DC2">
            <w:pPr>
              <w:jc w:val="right"/>
              <w:rPr>
                <w:color w:val="000000"/>
                <w:sz w:val="22"/>
                <w:szCs w:val="22"/>
              </w:rPr>
            </w:pPr>
            <w:r w:rsidRPr="00A64CED">
              <w:rPr>
                <w:color w:val="000000"/>
                <w:sz w:val="22"/>
                <w:szCs w:val="22"/>
              </w:rPr>
              <w:t>-</w:t>
            </w:r>
          </w:p>
        </w:tc>
      </w:tr>
      <w:tr w:rsidR="00B0437E" w:rsidRPr="00B0437E" w:rsidTr="00B06DC2">
        <w:trPr>
          <w:trHeight w:val="300"/>
        </w:trPr>
        <w:tc>
          <w:tcPr>
            <w:tcW w:w="186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0437E" w:rsidRPr="00A64CED" w:rsidRDefault="00471510" w:rsidP="00471510">
            <w:pPr>
              <w:rPr>
                <w:color w:val="000000"/>
                <w:sz w:val="22"/>
                <w:szCs w:val="22"/>
              </w:rPr>
            </w:pPr>
            <w:r w:rsidRPr="00A64CED">
              <w:rPr>
                <w:color w:val="000000"/>
                <w:sz w:val="22"/>
                <w:szCs w:val="22"/>
              </w:rPr>
              <w:t>Storm Surcharge</w:t>
            </w:r>
            <w:r w:rsidR="00B0437E" w:rsidRPr="00A64CED">
              <w:rPr>
                <w:color w:val="000000"/>
                <w:sz w:val="22"/>
                <w:szCs w:val="22"/>
              </w:rPr>
              <w:t xml:space="preserve"> </w:t>
            </w:r>
            <w:r w:rsidR="008D79F0">
              <w:rPr>
                <w:color w:val="000000"/>
                <w:sz w:val="22"/>
                <w:szCs w:val="22"/>
              </w:rPr>
              <w:t>(Michael/Doria</w:t>
            </w:r>
            <w:r w:rsidRPr="00A64CED">
              <w:rPr>
                <w:color w:val="000000"/>
                <w:sz w:val="22"/>
                <w:szCs w:val="22"/>
              </w:rPr>
              <w:t>n)</w:t>
            </w: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rsidR="00B0437E" w:rsidRPr="00A64CED" w:rsidRDefault="00471510" w:rsidP="00B06DC2">
            <w:pPr>
              <w:jc w:val="right"/>
              <w:rPr>
                <w:color w:val="000000"/>
                <w:sz w:val="22"/>
                <w:szCs w:val="22"/>
              </w:rPr>
            </w:pPr>
            <w:r w:rsidRPr="00A64CED">
              <w:rPr>
                <w:color w:val="000000"/>
                <w:sz w:val="22"/>
                <w:szCs w:val="22"/>
              </w:rPr>
              <w:t>12.80</w:t>
            </w: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tcPr>
          <w:p w:rsidR="00B0437E" w:rsidRPr="00A64CED" w:rsidRDefault="00471510" w:rsidP="00B06DC2">
            <w:pPr>
              <w:jc w:val="right"/>
              <w:rPr>
                <w:color w:val="000000"/>
                <w:sz w:val="22"/>
                <w:szCs w:val="22"/>
              </w:rPr>
            </w:pPr>
            <w:r w:rsidRPr="00A64CED">
              <w:rPr>
                <w:color w:val="000000"/>
                <w:sz w:val="22"/>
                <w:szCs w:val="22"/>
              </w:rPr>
              <w:t>12.80</w:t>
            </w:r>
          </w:p>
        </w:tc>
        <w:tc>
          <w:tcPr>
            <w:tcW w:w="747" w:type="pct"/>
            <w:tcBorders>
              <w:top w:val="single" w:sz="4" w:space="0" w:color="auto"/>
              <w:left w:val="single" w:sz="4" w:space="0" w:color="auto"/>
              <w:bottom w:val="single" w:sz="4" w:space="0" w:color="auto"/>
              <w:right w:val="single" w:sz="4" w:space="0" w:color="auto"/>
            </w:tcBorders>
            <w:shd w:val="clear" w:color="auto" w:fill="auto"/>
            <w:vAlign w:val="center"/>
          </w:tcPr>
          <w:p w:rsidR="00B0437E" w:rsidRPr="00A64CED" w:rsidRDefault="00A64CED" w:rsidP="00B06DC2">
            <w:pPr>
              <w:jc w:val="right"/>
              <w:rPr>
                <w:color w:val="000000"/>
                <w:sz w:val="22"/>
                <w:szCs w:val="22"/>
              </w:rPr>
            </w:pPr>
            <w:r w:rsidRPr="00A64CED">
              <w:rPr>
                <w:color w:val="000000"/>
                <w:sz w:val="22"/>
                <w:szCs w:val="22"/>
              </w:rPr>
              <w:t>0</w:t>
            </w: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tcPr>
          <w:p w:rsidR="00B0437E" w:rsidRPr="00A64CED" w:rsidRDefault="00A64CED" w:rsidP="00B06DC2">
            <w:pPr>
              <w:jc w:val="right"/>
              <w:rPr>
                <w:color w:val="000000"/>
                <w:sz w:val="22"/>
                <w:szCs w:val="22"/>
              </w:rPr>
            </w:pPr>
            <w:r w:rsidRPr="00A64CED">
              <w:rPr>
                <w:color w:val="000000"/>
                <w:sz w:val="22"/>
                <w:szCs w:val="22"/>
              </w:rPr>
              <w:t>-</w:t>
            </w:r>
          </w:p>
        </w:tc>
      </w:tr>
      <w:tr w:rsidR="00B0437E" w:rsidRPr="00B0437E" w:rsidTr="00B06DC2">
        <w:trPr>
          <w:trHeight w:val="300"/>
        </w:trPr>
        <w:tc>
          <w:tcPr>
            <w:tcW w:w="186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0437E" w:rsidRPr="00A64CED" w:rsidRDefault="00B0437E" w:rsidP="00B06DC2">
            <w:pPr>
              <w:rPr>
                <w:color w:val="000000"/>
                <w:sz w:val="22"/>
                <w:szCs w:val="22"/>
              </w:rPr>
            </w:pPr>
            <w:r w:rsidRPr="00A64CED">
              <w:rPr>
                <w:color w:val="000000"/>
                <w:sz w:val="22"/>
                <w:szCs w:val="22"/>
              </w:rPr>
              <w:t>Gross Receipts Tax</w:t>
            </w: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rsidR="00B0437E" w:rsidRPr="00A64CED" w:rsidRDefault="00471510" w:rsidP="00B06DC2">
            <w:pPr>
              <w:jc w:val="right"/>
              <w:rPr>
                <w:color w:val="000000"/>
                <w:sz w:val="22"/>
                <w:szCs w:val="22"/>
                <w:u w:val="single"/>
              </w:rPr>
            </w:pPr>
            <w:r w:rsidRPr="00A64CED">
              <w:rPr>
                <w:color w:val="000000"/>
                <w:sz w:val="22"/>
                <w:szCs w:val="22"/>
                <w:u w:val="single"/>
              </w:rPr>
              <w:t>3.20</w:t>
            </w: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tcPr>
          <w:p w:rsidR="00B0437E" w:rsidRPr="00A64CED" w:rsidRDefault="00471510" w:rsidP="00B06DC2">
            <w:pPr>
              <w:jc w:val="right"/>
              <w:rPr>
                <w:color w:val="000000"/>
                <w:sz w:val="22"/>
                <w:szCs w:val="22"/>
                <w:u w:val="single"/>
              </w:rPr>
            </w:pPr>
            <w:r w:rsidRPr="00A64CED">
              <w:rPr>
                <w:color w:val="000000"/>
                <w:sz w:val="22"/>
                <w:szCs w:val="22"/>
                <w:u w:val="single"/>
              </w:rPr>
              <w:t>3.57</w:t>
            </w:r>
          </w:p>
        </w:tc>
        <w:tc>
          <w:tcPr>
            <w:tcW w:w="747" w:type="pct"/>
            <w:tcBorders>
              <w:top w:val="single" w:sz="4" w:space="0" w:color="auto"/>
              <w:left w:val="single" w:sz="4" w:space="0" w:color="auto"/>
              <w:bottom w:val="single" w:sz="4" w:space="0" w:color="auto"/>
              <w:right w:val="single" w:sz="4" w:space="0" w:color="auto"/>
            </w:tcBorders>
            <w:shd w:val="clear" w:color="auto" w:fill="auto"/>
            <w:vAlign w:val="center"/>
          </w:tcPr>
          <w:p w:rsidR="00B0437E" w:rsidRPr="00A64CED" w:rsidRDefault="00A64CED" w:rsidP="00B06DC2">
            <w:pPr>
              <w:jc w:val="right"/>
              <w:rPr>
                <w:color w:val="000000"/>
                <w:sz w:val="22"/>
                <w:szCs w:val="22"/>
              </w:rPr>
            </w:pPr>
            <w:r w:rsidRPr="00A64CED">
              <w:rPr>
                <w:color w:val="000000"/>
                <w:sz w:val="22"/>
                <w:szCs w:val="22"/>
              </w:rPr>
              <w:t>0.37</w:t>
            </w: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tcPr>
          <w:p w:rsidR="00B0437E" w:rsidRPr="00A64CED" w:rsidRDefault="00A64CED" w:rsidP="00B06DC2">
            <w:pPr>
              <w:jc w:val="right"/>
              <w:rPr>
                <w:color w:val="000000"/>
                <w:sz w:val="22"/>
                <w:szCs w:val="22"/>
              </w:rPr>
            </w:pPr>
            <w:r w:rsidRPr="00A64CED">
              <w:rPr>
                <w:color w:val="000000"/>
                <w:sz w:val="22"/>
                <w:szCs w:val="22"/>
              </w:rPr>
              <w:t>11.6</w:t>
            </w:r>
            <w:r w:rsidR="00042825">
              <w:rPr>
                <w:color w:val="000000"/>
                <w:sz w:val="22"/>
                <w:szCs w:val="22"/>
              </w:rPr>
              <w:t>%</w:t>
            </w:r>
          </w:p>
        </w:tc>
      </w:tr>
      <w:tr w:rsidR="00B0437E" w:rsidRPr="00B0437E" w:rsidTr="00B06DC2">
        <w:trPr>
          <w:trHeight w:val="300"/>
        </w:trPr>
        <w:tc>
          <w:tcPr>
            <w:tcW w:w="186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0437E" w:rsidRPr="00A64CED" w:rsidRDefault="00B0437E" w:rsidP="00B06DC2">
            <w:pPr>
              <w:rPr>
                <w:b/>
                <w:bCs/>
                <w:color w:val="000000"/>
                <w:sz w:val="22"/>
                <w:szCs w:val="22"/>
              </w:rPr>
            </w:pPr>
            <w:r w:rsidRPr="00A64CED">
              <w:rPr>
                <w:b/>
                <w:bCs/>
                <w:color w:val="000000"/>
                <w:sz w:val="22"/>
                <w:szCs w:val="22"/>
              </w:rPr>
              <w:t>Total</w:t>
            </w: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rsidR="00B0437E" w:rsidRPr="00A64CED" w:rsidRDefault="00A64CED" w:rsidP="00B06DC2">
            <w:pPr>
              <w:jc w:val="right"/>
              <w:rPr>
                <w:color w:val="000000"/>
                <w:sz w:val="22"/>
                <w:szCs w:val="22"/>
                <w:u w:val="double"/>
              </w:rPr>
            </w:pPr>
            <w:r w:rsidRPr="00A64CED">
              <w:rPr>
                <w:color w:val="000000"/>
                <w:sz w:val="22"/>
                <w:szCs w:val="22"/>
                <w:u w:val="double"/>
              </w:rPr>
              <w:t>$</w:t>
            </w:r>
            <w:r w:rsidR="00471510" w:rsidRPr="00A64CED">
              <w:rPr>
                <w:color w:val="000000"/>
                <w:sz w:val="22"/>
                <w:szCs w:val="22"/>
                <w:u w:val="double"/>
              </w:rPr>
              <w:t>127.91</w:t>
            </w: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tcPr>
          <w:p w:rsidR="00B0437E" w:rsidRPr="00A64CED" w:rsidRDefault="00A64CED" w:rsidP="00B06DC2">
            <w:pPr>
              <w:jc w:val="right"/>
              <w:rPr>
                <w:color w:val="000000"/>
                <w:sz w:val="22"/>
                <w:szCs w:val="22"/>
                <w:u w:val="double"/>
              </w:rPr>
            </w:pPr>
            <w:r w:rsidRPr="00A64CED">
              <w:rPr>
                <w:color w:val="000000"/>
                <w:sz w:val="22"/>
                <w:szCs w:val="22"/>
                <w:u w:val="double"/>
              </w:rPr>
              <w:t>$</w:t>
            </w:r>
            <w:r w:rsidR="00471510" w:rsidRPr="00A64CED">
              <w:rPr>
                <w:color w:val="000000"/>
                <w:sz w:val="22"/>
                <w:szCs w:val="22"/>
                <w:u w:val="double"/>
              </w:rPr>
              <w:t>142.80</w:t>
            </w:r>
          </w:p>
        </w:tc>
        <w:tc>
          <w:tcPr>
            <w:tcW w:w="747" w:type="pct"/>
            <w:tcBorders>
              <w:top w:val="single" w:sz="4" w:space="0" w:color="auto"/>
              <w:left w:val="single" w:sz="4" w:space="0" w:color="auto"/>
              <w:bottom w:val="single" w:sz="4" w:space="0" w:color="auto"/>
              <w:right w:val="single" w:sz="4" w:space="0" w:color="auto"/>
            </w:tcBorders>
            <w:shd w:val="clear" w:color="auto" w:fill="auto"/>
            <w:vAlign w:val="center"/>
          </w:tcPr>
          <w:p w:rsidR="00B0437E" w:rsidRPr="00A64CED" w:rsidRDefault="00A64CED" w:rsidP="00B06DC2">
            <w:pPr>
              <w:jc w:val="right"/>
              <w:rPr>
                <w:color w:val="000000"/>
                <w:sz w:val="22"/>
                <w:szCs w:val="22"/>
                <w:u w:val="double"/>
              </w:rPr>
            </w:pPr>
            <w:r w:rsidRPr="00A64CED">
              <w:rPr>
                <w:color w:val="000000"/>
                <w:sz w:val="22"/>
                <w:szCs w:val="22"/>
                <w:u w:val="double"/>
              </w:rPr>
              <w:t>$14.89</w:t>
            </w: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tcPr>
          <w:p w:rsidR="00B0437E" w:rsidRPr="00A64CED" w:rsidRDefault="00A64CED" w:rsidP="00B06DC2">
            <w:pPr>
              <w:jc w:val="right"/>
              <w:rPr>
                <w:color w:val="000000"/>
                <w:sz w:val="22"/>
                <w:szCs w:val="22"/>
              </w:rPr>
            </w:pPr>
            <w:r w:rsidRPr="00A64CED">
              <w:rPr>
                <w:color w:val="000000"/>
                <w:sz w:val="22"/>
                <w:szCs w:val="22"/>
              </w:rPr>
              <w:t>11.6%</w:t>
            </w:r>
          </w:p>
        </w:tc>
      </w:tr>
    </w:tbl>
    <w:p w:rsidR="00B0437E" w:rsidRPr="00B0437E" w:rsidRDefault="00B0437E" w:rsidP="00B0437E">
      <w:pPr>
        <w:pStyle w:val="FootnoteText"/>
        <w:rPr>
          <w:highlight w:val="yellow"/>
        </w:rPr>
      </w:pPr>
      <w:r w:rsidRPr="00A64CED">
        <w:t>Source</w:t>
      </w:r>
      <w:r w:rsidR="00A64CED" w:rsidRPr="00A64CED">
        <w:t>s</w:t>
      </w:r>
      <w:r w:rsidRPr="00A64CED">
        <w:t xml:space="preserve">: </w:t>
      </w:r>
      <w:r w:rsidR="00A64CED" w:rsidRPr="00A64CED">
        <w:t>Documen</w:t>
      </w:r>
      <w:r w:rsidR="001311B6">
        <w:t>t No. 10083-2021, Schedule E-10, and MCC Petition, Schedule E-10.</w:t>
      </w:r>
    </w:p>
    <w:p w:rsidR="00B0437E" w:rsidRPr="00B0437E" w:rsidRDefault="00B0437E" w:rsidP="00B0437E">
      <w:pPr>
        <w:pStyle w:val="BodyText"/>
        <w:spacing w:after="0"/>
        <w:rPr>
          <w:highlight w:val="yellow"/>
        </w:rPr>
      </w:pPr>
    </w:p>
    <w:p w:rsidR="00B0437E" w:rsidRPr="00B0437E" w:rsidRDefault="00B0437E" w:rsidP="00B0437E">
      <w:pPr>
        <w:pStyle w:val="BodyText"/>
        <w:spacing w:after="0"/>
        <w:rPr>
          <w:highlight w:val="yellow"/>
        </w:rPr>
      </w:pPr>
    </w:p>
    <w:p w:rsidR="00B0437E" w:rsidRPr="00D021FF" w:rsidRDefault="00753CBB" w:rsidP="00B0437E">
      <w:pPr>
        <w:pStyle w:val="BodyText"/>
        <w:spacing w:after="0"/>
      </w:pPr>
      <w:r w:rsidRPr="0093550F">
        <w:t>FPUC</w:t>
      </w:r>
      <w:r w:rsidR="00B0437E" w:rsidRPr="0093550F">
        <w:t>’s current total residential charge for the first 1,000 kWh of usage beginning January 2022 is</w:t>
      </w:r>
      <w:r w:rsidR="00A64CED" w:rsidRPr="0093550F">
        <w:t xml:space="preserve"> $127</w:t>
      </w:r>
      <w:r w:rsidR="000A5048" w:rsidRPr="0093550F">
        <w:t>.91. If FPUC</w:t>
      </w:r>
      <w:r w:rsidR="00B0437E" w:rsidRPr="0093550F">
        <w:t xml:space="preserve">’s mid-course correction proposal is approved, the current total residential charge for the first 1,000 kWh of usage, beginning </w:t>
      </w:r>
      <w:r w:rsidR="00F03B22" w:rsidRPr="0093550F">
        <w:t>August 2022, will be $142</w:t>
      </w:r>
      <w:r w:rsidR="00B0437E" w:rsidRPr="0093550F">
        <w:t>.8</w:t>
      </w:r>
      <w:r w:rsidR="00F03B22" w:rsidRPr="0093550F">
        <w:t>0</w:t>
      </w:r>
      <w:r w:rsidR="00B0437E" w:rsidRPr="0093550F">
        <w:t>. Th</w:t>
      </w:r>
      <w:r w:rsidR="00F03B22" w:rsidRPr="0093550F">
        <w:t>is represents an increase of 11.6</w:t>
      </w:r>
      <w:r w:rsidR="00B0437E" w:rsidRPr="0093550F">
        <w:t xml:space="preserve"> percent. For</w:t>
      </w:r>
      <w:r w:rsidR="000A5048" w:rsidRPr="0093550F">
        <w:t xml:space="preserve"> non-residential customers, FPUC</w:t>
      </w:r>
      <w:r w:rsidR="00B0437E" w:rsidRPr="0093550F">
        <w:t xml:space="preserve"> reported that based on average levels of usage and specific rate schedules, bill increases for small </w:t>
      </w:r>
      <w:r w:rsidR="0093550F" w:rsidRPr="0093550F">
        <w:t>general service</w:t>
      </w:r>
      <w:r w:rsidR="00B0437E" w:rsidRPr="0093550F">
        <w:t xml:space="preserve"> cust</w:t>
      </w:r>
      <w:r w:rsidR="0093550F" w:rsidRPr="0093550F">
        <w:t>omers would be approximately 10.8</w:t>
      </w:r>
      <w:r w:rsidR="00B0437E" w:rsidRPr="0093550F">
        <w:t xml:space="preserve"> percent, bill increases for medium-size </w:t>
      </w:r>
      <w:r w:rsidR="0093550F" w:rsidRPr="0093550F">
        <w:t>general service</w:t>
      </w:r>
      <w:r w:rsidR="00B0437E" w:rsidRPr="0093550F">
        <w:t xml:space="preserve"> cust</w:t>
      </w:r>
      <w:r w:rsidR="0093550F" w:rsidRPr="0093550F">
        <w:t>omers would be approximately 13.1 percent, and approximately 13</w:t>
      </w:r>
      <w:r w:rsidR="00B0437E" w:rsidRPr="0093550F">
        <w:t xml:space="preserve">.0 percent for </w:t>
      </w:r>
      <w:r w:rsidR="0093550F" w:rsidRPr="0093550F">
        <w:t xml:space="preserve">general service </w:t>
      </w:r>
      <w:r w:rsidR="00B0437E" w:rsidRPr="0093550F">
        <w:t xml:space="preserve">large </w:t>
      </w:r>
      <w:r w:rsidR="0093550F" w:rsidRPr="0093550F">
        <w:t>demand</w:t>
      </w:r>
      <w:r w:rsidR="00B0437E" w:rsidRPr="0093550F">
        <w:t xml:space="preserve"> customers.</w:t>
      </w:r>
      <w:r w:rsidR="00B0437E" w:rsidRPr="0093550F">
        <w:rPr>
          <w:rStyle w:val="FootnoteReference"/>
        </w:rPr>
        <w:footnoteReference w:id="21"/>
      </w:r>
      <w:r w:rsidR="00D021FF" w:rsidRPr="0093550F">
        <w:t xml:space="preserve"> FPUC</w:t>
      </w:r>
      <w:r w:rsidR="00B0437E" w:rsidRPr="0093550F">
        <w:t>’s proposed tariff</w:t>
      </w:r>
      <w:r w:rsidR="00D021FF" w:rsidRPr="0093550F">
        <w:t>s are</w:t>
      </w:r>
      <w:r w:rsidR="00B0437E" w:rsidRPr="0093550F">
        <w:t xml:space="preserve"> shown on Appendix A to this recommendation.</w:t>
      </w:r>
    </w:p>
    <w:p w:rsidR="00B0437E" w:rsidRPr="00B0437E" w:rsidRDefault="00B0437E" w:rsidP="00B0437E">
      <w:pPr>
        <w:pStyle w:val="BodyText"/>
        <w:spacing w:after="0"/>
        <w:rPr>
          <w:highlight w:val="yellow"/>
        </w:rPr>
      </w:pPr>
    </w:p>
    <w:p w:rsidR="00B0437E" w:rsidRPr="00830D2E" w:rsidRDefault="00B0437E" w:rsidP="00B0437E">
      <w:pPr>
        <w:pStyle w:val="BodyText"/>
        <w:spacing w:after="0"/>
        <w:rPr>
          <w:rFonts w:ascii="Arial" w:hAnsi="Arial" w:cs="Arial"/>
          <w:b/>
          <w:i/>
        </w:rPr>
      </w:pPr>
      <w:r w:rsidRPr="00830D2E">
        <w:rPr>
          <w:rFonts w:ascii="Arial" w:hAnsi="Arial" w:cs="Arial"/>
          <w:b/>
          <w:i/>
        </w:rPr>
        <w:t>Summary</w:t>
      </w:r>
    </w:p>
    <w:p w:rsidR="00B0437E" w:rsidRPr="00B0437E" w:rsidRDefault="000A5048" w:rsidP="00B0437E">
      <w:pPr>
        <w:pStyle w:val="BodyText"/>
        <w:spacing w:after="0"/>
        <w:rPr>
          <w:highlight w:val="yellow"/>
        </w:rPr>
      </w:pPr>
      <w:r w:rsidRPr="00830D2E">
        <w:t xml:space="preserve">Staff recommends </w:t>
      </w:r>
      <w:r w:rsidR="00830D2E" w:rsidRPr="00830D2E">
        <w:t>t</w:t>
      </w:r>
      <w:r w:rsidR="00830D2E" w:rsidRPr="004F6AB5">
        <w:t xml:space="preserve">he Commission approve adjustments to </w:t>
      </w:r>
      <w:r w:rsidR="00830D2E">
        <w:t>FPUC’s currently-approved PPA</w:t>
      </w:r>
      <w:r w:rsidR="00830D2E" w:rsidRPr="004F6AB5">
        <w:t xml:space="preserve"> cost rec</w:t>
      </w:r>
      <w:r w:rsidR="00830D2E">
        <w:t>overy factors to</w:t>
      </w:r>
      <w:r w:rsidR="00830D2E" w:rsidRPr="004F6AB5">
        <w:t xml:space="preserve"> incorporat</w:t>
      </w:r>
      <w:r w:rsidR="00830D2E">
        <w:t>e</w:t>
      </w:r>
      <w:r w:rsidR="00830D2E" w:rsidRPr="004F6AB5">
        <w:t xml:space="preserve"> </w:t>
      </w:r>
      <w:r w:rsidR="00830D2E">
        <w:t>the Company’s period-ending 2021</w:t>
      </w:r>
      <w:r w:rsidR="00A156EA">
        <w:t xml:space="preserve"> under-recovery of PPA costs</w:t>
      </w:r>
      <w:r w:rsidR="00830D2E" w:rsidRPr="00A44BB8">
        <w:t>.</w:t>
      </w:r>
      <w:r w:rsidR="00D021FF">
        <w:t xml:space="preserve"> </w:t>
      </w:r>
      <w:r w:rsidR="00A156EA">
        <w:t>Due to the potential bill impact, s</w:t>
      </w:r>
      <w:r w:rsidR="00A81D1B">
        <w:t xml:space="preserve">taff agrees with the Company’s effort to mitigate the overall impact of the total current under-recovery by only seeking to recover the 2021 actual true-up at this time. </w:t>
      </w:r>
      <w:r w:rsidR="00D021FF">
        <w:t>The revised PPA</w:t>
      </w:r>
      <w:r w:rsidR="001857B9">
        <w:t xml:space="preserve"> cost recovery</w:t>
      </w:r>
      <w:r w:rsidR="00B0437E" w:rsidRPr="000A5048">
        <w:t xml:space="preserve"> factors associa</w:t>
      </w:r>
      <w:r w:rsidR="00DD753E">
        <w:t>ted with staff’s recommendation</w:t>
      </w:r>
      <w:r w:rsidR="00B0437E" w:rsidRPr="000A5048">
        <w:t xml:space="preserve"> are shown on Appendix A.</w:t>
      </w:r>
    </w:p>
    <w:p w:rsidR="00332006" w:rsidRDefault="00332006">
      <w:pPr>
        <w:pStyle w:val="BodyText"/>
      </w:pPr>
    </w:p>
    <w:p w:rsidR="00A94AEA" w:rsidRPr="00A94AEA" w:rsidRDefault="00A94AEA" w:rsidP="00A94AEA">
      <w:pPr>
        <w:pStyle w:val="BodyText"/>
        <w:spacing w:after="0"/>
        <w:rPr>
          <w:rFonts w:ascii="Arial" w:hAnsi="Arial" w:cs="Arial"/>
          <w:b/>
        </w:rPr>
      </w:pPr>
      <w:r w:rsidRPr="00A94AEA">
        <w:rPr>
          <w:rFonts w:ascii="Arial" w:hAnsi="Arial" w:cs="Arial"/>
          <w:b/>
        </w:rPr>
        <w:t>Conclusion</w:t>
      </w:r>
    </w:p>
    <w:p w:rsidR="00A94AEA" w:rsidRPr="00B0437E" w:rsidRDefault="00A94AEA" w:rsidP="00A94AEA">
      <w:pPr>
        <w:pStyle w:val="BodyText"/>
        <w:spacing w:after="0"/>
        <w:rPr>
          <w:highlight w:val="yellow"/>
        </w:rPr>
      </w:pPr>
      <w:r w:rsidRPr="00830D2E">
        <w:t>Staff recommends t</w:t>
      </w:r>
      <w:r w:rsidRPr="004F6AB5">
        <w:t xml:space="preserve">he Commission approve adjustments to </w:t>
      </w:r>
      <w:r>
        <w:t>FPUC’s currently-approved PPA</w:t>
      </w:r>
      <w:r w:rsidRPr="004F6AB5">
        <w:t xml:space="preserve"> cost rec</w:t>
      </w:r>
      <w:r>
        <w:t>overy factors to</w:t>
      </w:r>
      <w:r w:rsidRPr="004F6AB5">
        <w:t xml:space="preserve"> incorporat</w:t>
      </w:r>
      <w:r>
        <w:t>e</w:t>
      </w:r>
      <w:r w:rsidRPr="004F6AB5">
        <w:t xml:space="preserve"> </w:t>
      </w:r>
      <w:r>
        <w:t xml:space="preserve">the Company’s period-ending 2021 under-recovery of PPA costs </w:t>
      </w:r>
      <w:r w:rsidR="008058FB">
        <w:t xml:space="preserve">in the amount </w:t>
      </w:r>
      <w:r>
        <w:t xml:space="preserve">of </w:t>
      </w:r>
      <w:r w:rsidRPr="00A44BB8">
        <w:t>$3,790,314.</w:t>
      </w:r>
    </w:p>
    <w:p w:rsidR="00A94AEA" w:rsidRDefault="00A94AEA">
      <w:pPr>
        <w:pStyle w:val="BodyText"/>
      </w:pPr>
    </w:p>
    <w:p w:rsidR="00A94AEA" w:rsidRDefault="00A94AEA">
      <w:pPr>
        <w:pStyle w:val="BodyText"/>
      </w:pPr>
    </w:p>
    <w:p w:rsidR="006C1E0B" w:rsidRDefault="006C1E0B">
      <w:pPr>
        <w:pStyle w:val="IssueHeading"/>
        <w:rPr>
          <w:vanish/>
          <w:specVanish/>
        </w:rPr>
      </w:pPr>
      <w:r w:rsidRPr="004C3641">
        <w:rPr>
          <w:b w:val="0"/>
          <w:i w:val="0"/>
        </w:rPr>
        <w:br w:type="page"/>
      </w:r>
      <w:r w:rsidRPr="004C3641">
        <w:t xml:space="preserve">Issue </w:t>
      </w:r>
      <w:fldSimple w:instr=" SEQ Issue \* MERGEFORMAT ">
        <w:r w:rsidR="00445388">
          <w:rPr>
            <w:noProof/>
          </w:rPr>
          <w:t>2</w:t>
        </w:r>
      </w:fldSimple>
      <w:r w:rsidRPr="004C3641">
        <w:t>:</w:t>
      </w:r>
      <w:r>
        <w:fldChar w:fldCharType="begin"/>
      </w:r>
      <w:r>
        <w:instrText xml:space="preserve"> TC "</w:instrText>
      </w:r>
      <w:r>
        <w:fldChar w:fldCharType="begin"/>
      </w:r>
      <w:r>
        <w:instrText xml:space="preserve"> SEQ issue \c </w:instrText>
      </w:r>
      <w:r>
        <w:fldChar w:fldCharType="separate"/>
      </w:r>
      <w:r w:rsidR="00445388">
        <w:rPr>
          <w:noProof/>
        </w:rPr>
        <w:instrText>2</w:instrText>
      </w:r>
      <w:r>
        <w:fldChar w:fldCharType="end"/>
      </w:r>
      <w:r>
        <w:tab/>
        <w:instrText xml:space="preserve">(Coston, Brownless)" \l 1 </w:instrText>
      </w:r>
      <w:r>
        <w:fldChar w:fldCharType="end"/>
      </w:r>
      <w:r>
        <w:t> </w:t>
      </w:r>
    </w:p>
    <w:p w:rsidR="006C1E0B" w:rsidRDefault="006C1E0B">
      <w:pPr>
        <w:pStyle w:val="BodyText"/>
      </w:pPr>
      <w:r>
        <w:t> If approved by the Commission, what is the appropriate effect</w:t>
      </w:r>
      <w:r w:rsidR="002B4EF9">
        <w:t>ive date for FPUC’s revised PPA</w:t>
      </w:r>
      <w:r>
        <w:t xml:space="preserve"> cost recovery factors?</w:t>
      </w:r>
    </w:p>
    <w:p w:rsidR="006C1E0B" w:rsidRPr="004C3641" w:rsidRDefault="006C1E0B">
      <w:pPr>
        <w:pStyle w:val="IssueSubsectionHeading"/>
        <w:rPr>
          <w:vanish/>
          <w:specVanish/>
        </w:rPr>
      </w:pPr>
      <w:r w:rsidRPr="004C3641">
        <w:t>Recommendation: </w:t>
      </w:r>
    </w:p>
    <w:p w:rsidR="006C1E0B" w:rsidRDefault="006C1E0B">
      <w:pPr>
        <w:pStyle w:val="BodyText"/>
      </w:pPr>
      <w:r>
        <w:t> </w:t>
      </w:r>
      <w:r w:rsidR="0002793D" w:rsidRPr="0002793D">
        <w:t>The PPA cost recovery factors, as shown on Appendix A, should become effective with the fir</w:t>
      </w:r>
      <w:r w:rsidR="0002793D">
        <w:t>st billing cycle of August 2022</w:t>
      </w:r>
      <w:r w:rsidR="00E029C6" w:rsidRPr="002B4EF9">
        <w:t>.</w:t>
      </w:r>
      <w:r>
        <w:t xml:space="preserve"> (Coston, Brownless)</w:t>
      </w:r>
    </w:p>
    <w:p w:rsidR="006C1E0B" w:rsidRPr="004C3641" w:rsidRDefault="006C1E0B">
      <w:pPr>
        <w:pStyle w:val="IssueSubsectionHeading"/>
        <w:rPr>
          <w:vanish/>
          <w:specVanish/>
        </w:rPr>
      </w:pPr>
      <w:r w:rsidRPr="004C3641">
        <w:t>Staff Analysis: </w:t>
      </w:r>
    </w:p>
    <w:p w:rsidR="00E029C6" w:rsidRPr="003634D8" w:rsidRDefault="006C1E0B" w:rsidP="00E029C6">
      <w:pPr>
        <w:pStyle w:val="BodyText"/>
        <w:spacing w:after="0"/>
      </w:pPr>
      <w:r>
        <w:t> </w:t>
      </w:r>
      <w:r w:rsidR="00E029C6">
        <w:t>In its petition, FPUC</w:t>
      </w:r>
      <w:r w:rsidR="00E029C6" w:rsidRPr="003634D8">
        <w:t xml:space="preserve"> has requested that the revised </w:t>
      </w:r>
      <w:r w:rsidR="002B4EF9">
        <w:t>PPA</w:t>
      </w:r>
      <w:r w:rsidR="00E029C6" w:rsidRPr="003634D8">
        <w:t xml:space="preserve"> cost recovery factors become effectiv</w:t>
      </w:r>
      <w:r w:rsidR="00656A99">
        <w:t xml:space="preserve">e with the </w:t>
      </w:r>
      <w:r w:rsidR="002B4EF9" w:rsidRPr="002B4EF9">
        <w:t>August</w:t>
      </w:r>
      <w:r w:rsidR="00E029C6" w:rsidRPr="002B4EF9">
        <w:t xml:space="preserve"> 2022</w:t>
      </w:r>
      <w:r w:rsidR="00656A99">
        <w:t xml:space="preserve"> billing cycle</w:t>
      </w:r>
      <w:r w:rsidR="00E029C6" w:rsidRPr="002B4EF9">
        <w:t>.</w:t>
      </w:r>
      <w:r w:rsidR="00E029C6" w:rsidRPr="003634D8">
        <w:t xml:space="preserve"> </w:t>
      </w:r>
    </w:p>
    <w:p w:rsidR="00E029C6" w:rsidRPr="004D562F" w:rsidRDefault="00E029C6" w:rsidP="00E029C6">
      <w:pPr>
        <w:pStyle w:val="BodyText"/>
        <w:spacing w:after="0"/>
        <w:rPr>
          <w:highlight w:val="yellow"/>
        </w:rPr>
      </w:pPr>
    </w:p>
    <w:p w:rsidR="00E029C6" w:rsidRPr="003634D8" w:rsidRDefault="00E029C6" w:rsidP="00E029C6">
      <w:pPr>
        <w:pStyle w:val="BodyText"/>
        <w:spacing w:after="0"/>
      </w:pPr>
      <w:r w:rsidRPr="003634D8">
        <w:t>Over the last 20 years in the Fuel Clause docket, the Commission has considered the effective date of rates and charges of revised fuel</w:t>
      </w:r>
      <w:r w:rsidR="00E533D9">
        <w:t xml:space="preserve"> (to include PPA)</w:t>
      </w:r>
      <w:r w:rsidRPr="003634D8">
        <w:t xml:space="preserve"> cost recovery factors on a case-by-case basis. The Commission has approved fuel cost recovery factor rate decreases effective sooner than the next full billing cycle after the date of the Commission’s vote with the range between the vote and the effective date being from 25 to 2 days. The rationale for that action being that it was in the customers’ best interests to implement the lower rate as soon as possible.</w:t>
      </w:r>
      <w:r w:rsidRPr="003634D8">
        <w:rPr>
          <w:vertAlign w:val="superscript"/>
        </w:rPr>
        <w:footnoteReference w:id="22"/>
      </w:r>
      <w:r w:rsidRPr="003634D8">
        <w:t xml:space="preserve"> With regard to fuel cost recovery factor rate increases, the Commission has approved an effective date of the revised factors ranging from 14 to 29 days after the vote.</w:t>
      </w:r>
      <w:r w:rsidRPr="003634D8">
        <w:rPr>
          <w:vertAlign w:val="superscript"/>
        </w:rPr>
        <w:footnoteReference w:id="23"/>
      </w:r>
      <w:r w:rsidRPr="003634D8">
        <w:t xml:space="preserve"> In </w:t>
      </w:r>
      <w:r w:rsidR="00C076B1">
        <w:t>six</w:t>
      </w:r>
      <w:r w:rsidRPr="003634D8">
        <w:t xml:space="preserve"> of these cases, the Commission noted that the utility had given its customers 30 days’ written notice before the date of the vote that a fuel cost recovery factor increase had been requested and provided the proposed effective date of the higher fuel factors.</w:t>
      </w:r>
      <w:r w:rsidRPr="003634D8">
        <w:rPr>
          <w:vertAlign w:val="superscript"/>
        </w:rPr>
        <w:footnoteReference w:id="24"/>
      </w:r>
    </w:p>
    <w:p w:rsidR="00E029C6" w:rsidRPr="003634D8" w:rsidRDefault="00E029C6" w:rsidP="00E029C6">
      <w:pPr>
        <w:pStyle w:val="BodyText"/>
        <w:spacing w:after="0"/>
      </w:pPr>
    </w:p>
    <w:p w:rsidR="00E029C6" w:rsidRPr="00071915" w:rsidRDefault="00E029C6" w:rsidP="00E029C6">
      <w:pPr>
        <w:pStyle w:val="BodyText"/>
        <w:spacing w:after="0"/>
        <w:rPr>
          <w:highlight w:val="yellow"/>
        </w:rPr>
      </w:pPr>
      <w:r w:rsidRPr="003634D8">
        <w:t>In its</w:t>
      </w:r>
      <w:r>
        <w:t xml:space="preserve"> MCC</w:t>
      </w:r>
      <w:r w:rsidRPr="003634D8">
        <w:t xml:space="preserve"> </w:t>
      </w:r>
      <w:r>
        <w:t>P</w:t>
      </w:r>
      <w:r w:rsidRPr="003634D8">
        <w:t xml:space="preserve">etition, </w:t>
      </w:r>
      <w:r>
        <w:t xml:space="preserve">FPUC </w:t>
      </w:r>
      <w:r w:rsidRPr="003634D8">
        <w:t>proposes to col</w:t>
      </w:r>
      <w:r>
        <w:t xml:space="preserve">lect </w:t>
      </w:r>
      <w:r w:rsidRPr="002B4EF9">
        <w:t xml:space="preserve">the </w:t>
      </w:r>
      <w:r w:rsidR="002B4EF9" w:rsidRPr="002B4EF9">
        <w:t>actual 2021</w:t>
      </w:r>
      <w:r>
        <w:t xml:space="preserve"> under-recovery</w:t>
      </w:r>
      <w:r w:rsidR="002B4EF9">
        <w:t xml:space="preserve"> o</w:t>
      </w:r>
      <w:r w:rsidR="002B4EF9" w:rsidRPr="002F1BC4">
        <w:t>f PPA</w:t>
      </w:r>
      <w:r w:rsidRPr="002F1BC4">
        <w:t xml:space="preserve"> costs ove</w:t>
      </w:r>
      <w:r w:rsidR="002B4EF9" w:rsidRPr="002F1BC4">
        <w:t>r five</w:t>
      </w:r>
      <w:r w:rsidRPr="002F1BC4">
        <w:t xml:space="preserve"> consecutive months, beginning with the first billing cycle of </w:t>
      </w:r>
      <w:r w:rsidR="002B4EF9" w:rsidRPr="002F1BC4">
        <w:t>August</w:t>
      </w:r>
      <w:r w:rsidRPr="002F1BC4">
        <w:t xml:space="preserve"> 2022,</w:t>
      </w:r>
      <w:r w:rsidRPr="003634D8">
        <w:t xml:space="preserve"> and </w:t>
      </w:r>
      <w:r w:rsidRPr="00B20397">
        <w:t>ending with the last billing cycle of December 2022</w:t>
      </w:r>
      <w:r w:rsidRPr="00105164">
        <w:t xml:space="preserve">. In the instant case, there </w:t>
      </w:r>
      <w:r w:rsidRPr="00A3795D">
        <w:t xml:space="preserve">are </w:t>
      </w:r>
      <w:r w:rsidR="00A3795D" w:rsidRPr="00A3795D">
        <w:t>28</w:t>
      </w:r>
      <w:r w:rsidRPr="00A3795D">
        <w:t xml:space="preserve"> days between</w:t>
      </w:r>
      <w:r w:rsidRPr="00105164">
        <w:t xml:space="preserve"> the</w:t>
      </w:r>
      <w:r>
        <w:t xml:space="preserve"> Commission’s vote on  </w:t>
      </w:r>
      <w:r w:rsidR="00173D29" w:rsidRPr="00173D29">
        <w:t>July</w:t>
      </w:r>
      <w:r w:rsidRPr="00173D29">
        <w:t xml:space="preserve"> </w:t>
      </w:r>
      <w:r w:rsidR="00173D29" w:rsidRPr="00173D29">
        <w:t>7</w:t>
      </w:r>
      <w:r w:rsidRPr="00173D29">
        <w:rPr>
          <w:vertAlign w:val="superscript"/>
        </w:rPr>
        <w:t>th</w:t>
      </w:r>
      <w:r w:rsidRPr="00173D29">
        <w:t xml:space="preserve"> a</w:t>
      </w:r>
      <w:r w:rsidRPr="00105164">
        <w:t xml:space="preserve">nd </w:t>
      </w:r>
      <w:r>
        <w:t xml:space="preserve">the beginning of FPUC’s </w:t>
      </w:r>
      <w:r w:rsidR="00173D29">
        <w:t xml:space="preserve">August </w:t>
      </w:r>
      <w:r w:rsidR="00173D29" w:rsidRPr="00A3795D">
        <w:t>billing cycle (</w:t>
      </w:r>
      <w:r w:rsidR="00A3795D" w:rsidRPr="00A3795D">
        <w:t>August 4</w:t>
      </w:r>
      <w:r w:rsidR="00A3795D" w:rsidRPr="00A3795D">
        <w:rPr>
          <w:vertAlign w:val="superscript"/>
        </w:rPr>
        <w:t>th</w:t>
      </w:r>
      <w:r w:rsidRPr="00A3795D">
        <w:t>).</w:t>
      </w:r>
      <w:r w:rsidRPr="00A3795D">
        <w:rPr>
          <w:rStyle w:val="FootnoteReference"/>
        </w:rPr>
        <w:footnoteReference w:id="25"/>
      </w:r>
    </w:p>
    <w:p w:rsidR="00E029C6" w:rsidRPr="00071915" w:rsidRDefault="00E029C6" w:rsidP="00E029C6">
      <w:pPr>
        <w:pStyle w:val="BodyText"/>
        <w:spacing w:after="0"/>
        <w:rPr>
          <w:highlight w:val="yellow"/>
        </w:rPr>
      </w:pPr>
    </w:p>
    <w:p w:rsidR="00E029C6" w:rsidRPr="0013685A" w:rsidRDefault="006C4097" w:rsidP="00E029C6">
      <w:pPr>
        <w:pStyle w:val="BodyText"/>
        <w:spacing w:after="0"/>
      </w:pPr>
      <w:r w:rsidRPr="006C4097">
        <w:t>Concerning</w:t>
      </w:r>
      <w:r w:rsidR="00E029C6" w:rsidRPr="006C4097">
        <w:t xml:space="preserve"> advisement of the instant request, </w:t>
      </w:r>
      <w:r w:rsidRPr="006C4097">
        <w:t>the Company plans to issue a press release before the end of June informing its customers of the MCC proposal. The press release will include a link to the Company’s website for further information regarding the MCC Petition. Further, FPUC will begin including a notice on customer bills starting with the first billing cycle of July (scheduled for July 7</w:t>
      </w:r>
      <w:r w:rsidRPr="005A71AA">
        <w:rPr>
          <w:vertAlign w:val="superscript"/>
        </w:rPr>
        <w:t>th</w:t>
      </w:r>
      <w:r w:rsidRPr="006C4097">
        <w:t>). The bill notice will inform FPUC’s customers of the proposed rate increase and include a link to the Company’s website for additional information. If the MCC Petition is ultimately approved, the website will be updated with a letter informing customers that new PPA-related charges have been approved along with a comparis</w:t>
      </w:r>
      <w:r>
        <w:t>on of the current and new rates</w:t>
      </w:r>
      <w:r w:rsidR="00E029C6" w:rsidRPr="006C4097">
        <w:t>.</w:t>
      </w:r>
      <w:r w:rsidR="00E029C6" w:rsidRPr="006C4097">
        <w:rPr>
          <w:rStyle w:val="FootnoteReference"/>
        </w:rPr>
        <w:footnoteReference w:id="26"/>
      </w:r>
    </w:p>
    <w:p w:rsidR="00E029C6" w:rsidRPr="004D562F" w:rsidRDefault="00E029C6" w:rsidP="00E029C6">
      <w:pPr>
        <w:pStyle w:val="BodyText"/>
        <w:spacing w:after="0"/>
        <w:rPr>
          <w:highlight w:val="yellow"/>
        </w:rPr>
      </w:pPr>
    </w:p>
    <w:p w:rsidR="00E029C6" w:rsidRPr="003634D8" w:rsidRDefault="00E029C6" w:rsidP="00E029C6">
      <w:pPr>
        <w:pStyle w:val="BodyText"/>
        <w:spacing w:after="0"/>
        <w:rPr>
          <w:rFonts w:ascii="Arial" w:hAnsi="Arial" w:cs="Arial"/>
          <w:b/>
        </w:rPr>
      </w:pPr>
      <w:r w:rsidRPr="003634D8">
        <w:rPr>
          <w:rFonts w:ascii="Arial" w:hAnsi="Arial" w:cs="Arial"/>
          <w:b/>
        </w:rPr>
        <w:t>Conclusion</w:t>
      </w:r>
    </w:p>
    <w:p w:rsidR="006C1E0B" w:rsidRDefault="00AD3CFB">
      <w:pPr>
        <w:pStyle w:val="BodyText"/>
      </w:pPr>
      <w:r w:rsidRPr="00AD3CFB">
        <w:t>Staff recommends that the PPA cost recovery factors</w:t>
      </w:r>
      <w:r>
        <w:t>,</w:t>
      </w:r>
      <w:r w:rsidRPr="00AD3CFB">
        <w:t xml:space="preserve"> as shown on Appendix A</w:t>
      </w:r>
      <w:r>
        <w:t>,</w:t>
      </w:r>
      <w:r w:rsidRPr="00AD3CFB">
        <w:t xml:space="preserve"> become effective with the first billing cycle of August 2022.</w:t>
      </w:r>
    </w:p>
    <w:p w:rsidR="001E2676" w:rsidRDefault="001E2676">
      <w:pPr>
        <w:pStyle w:val="IssueHeading"/>
        <w:rPr>
          <w:vanish/>
          <w:specVanish/>
        </w:rPr>
      </w:pPr>
      <w:r w:rsidRPr="004C3641">
        <w:rPr>
          <w:b w:val="0"/>
          <w:i w:val="0"/>
        </w:rPr>
        <w:br w:type="page"/>
      </w:r>
      <w:r w:rsidRPr="004C3641">
        <w:t xml:space="preserve">Issue </w:t>
      </w:r>
      <w:fldSimple w:instr=" SEQ Issue \* MERGEFORMAT ">
        <w:r w:rsidR="00445388">
          <w:rPr>
            <w:noProof/>
          </w:rPr>
          <w:t>3</w:t>
        </w:r>
      </w:fldSimple>
      <w:r w:rsidRPr="004C3641">
        <w:t>:</w:t>
      </w:r>
      <w:r>
        <w:fldChar w:fldCharType="begin"/>
      </w:r>
      <w:r>
        <w:instrText xml:space="preserve"> TC "</w:instrText>
      </w:r>
      <w:r>
        <w:fldChar w:fldCharType="begin"/>
      </w:r>
      <w:r>
        <w:instrText xml:space="preserve"> SEQ issue \c </w:instrText>
      </w:r>
      <w:r>
        <w:fldChar w:fldCharType="separate"/>
      </w:r>
      <w:r w:rsidR="00445388">
        <w:rPr>
          <w:noProof/>
        </w:rPr>
        <w:instrText>3</w:instrText>
      </w:r>
      <w:r>
        <w:fldChar w:fldCharType="end"/>
      </w:r>
      <w:r>
        <w:tab/>
        <w:instrText xml:space="preserve">(Brownless)" \l 1 </w:instrText>
      </w:r>
      <w:r>
        <w:fldChar w:fldCharType="end"/>
      </w:r>
      <w:r>
        <w:t> </w:t>
      </w:r>
    </w:p>
    <w:p w:rsidR="001E2676" w:rsidRDefault="001E2676">
      <w:pPr>
        <w:pStyle w:val="BodyText"/>
      </w:pPr>
      <w:r>
        <w:t> Should this docket be closed?</w:t>
      </w:r>
    </w:p>
    <w:p w:rsidR="001E2676" w:rsidRPr="004C3641" w:rsidRDefault="001E2676">
      <w:pPr>
        <w:pStyle w:val="IssueSubsectionHeading"/>
        <w:rPr>
          <w:vanish/>
          <w:specVanish/>
        </w:rPr>
      </w:pPr>
      <w:r w:rsidRPr="004C3641">
        <w:t>Recommendation: </w:t>
      </w:r>
    </w:p>
    <w:p w:rsidR="001E2676" w:rsidRDefault="001E2676">
      <w:pPr>
        <w:pStyle w:val="BodyText"/>
      </w:pPr>
      <w:r>
        <w:t> </w:t>
      </w:r>
      <w:r w:rsidRPr="001239A6">
        <w:t>No. The 202</w:t>
      </w:r>
      <w:r>
        <w:t>2</w:t>
      </w:r>
      <w:r w:rsidRPr="001239A6">
        <w:t>0001-EI docket is an on-going proceeding and should remain open.</w:t>
      </w:r>
      <w:r>
        <w:t xml:space="preserve"> (Brownless)</w:t>
      </w:r>
    </w:p>
    <w:p w:rsidR="001E2676" w:rsidRPr="004C3641" w:rsidRDefault="001E2676">
      <w:pPr>
        <w:pStyle w:val="IssueSubsectionHeading"/>
        <w:rPr>
          <w:vanish/>
          <w:specVanish/>
        </w:rPr>
      </w:pPr>
      <w:r w:rsidRPr="004C3641">
        <w:t>Staff Analysis: </w:t>
      </w:r>
    </w:p>
    <w:p w:rsidR="00173D29" w:rsidRDefault="001E2676">
      <w:pPr>
        <w:pStyle w:val="BodyText"/>
        <w:sectPr w:rsidR="00173D29" w:rsidSect="0068481F">
          <w:headerReference w:type="even" r:id="rId11"/>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pPr>
      <w:r>
        <w:t> </w:t>
      </w:r>
      <w:r w:rsidR="00173D29" w:rsidRPr="00BB1F4A">
        <w:t>The fuel docket is on-going and should remain open</w:t>
      </w:r>
      <w:r w:rsidR="00173D29">
        <w:t>.</w:t>
      </w:r>
    </w:p>
    <w:p w:rsidR="007E1D4B" w:rsidRDefault="007E1D4B" w:rsidP="00E275D8">
      <w:pPr>
        <w:pStyle w:val="BodyText"/>
        <w:rPr>
          <w:noProof/>
        </w:rPr>
      </w:pPr>
      <w:r w:rsidRPr="007E1D4B">
        <w:rPr>
          <w:noProof/>
        </w:rPr>
        <w:drawing>
          <wp:inline distT="0" distB="0" distL="0" distR="0">
            <wp:extent cx="5814060" cy="79629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14060" cy="7962900"/>
                    </a:xfrm>
                    <a:prstGeom prst="rect">
                      <a:avLst/>
                    </a:prstGeom>
                    <a:noFill/>
                    <a:ln>
                      <a:noFill/>
                    </a:ln>
                  </pic:spPr>
                </pic:pic>
              </a:graphicData>
            </a:graphic>
          </wp:inline>
        </w:drawing>
      </w:r>
      <w:r w:rsidRPr="007E1D4B">
        <w:rPr>
          <w:noProof/>
        </w:rPr>
        <w:drawing>
          <wp:inline distT="0" distB="0" distL="0" distR="0">
            <wp:extent cx="5829300" cy="8069580"/>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29300" cy="8069580"/>
                    </a:xfrm>
                    <a:prstGeom prst="rect">
                      <a:avLst/>
                    </a:prstGeom>
                    <a:noFill/>
                    <a:ln>
                      <a:noFill/>
                    </a:ln>
                  </pic:spPr>
                </pic:pic>
              </a:graphicData>
            </a:graphic>
          </wp:inline>
        </w:drawing>
      </w:r>
    </w:p>
    <w:sectPr w:rsidR="007E1D4B" w:rsidSect="0068481F">
      <w:headerReference w:type="even" r:id="rId17"/>
      <w:headerReference w:type="default" r:id="rId18"/>
      <w:headerReference w:type="first" r:id="rId19"/>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5ECB" w:rsidRDefault="00AA5ECB">
      <w:r>
        <w:separator/>
      </w:r>
    </w:p>
  </w:endnote>
  <w:endnote w:type="continuationSeparator" w:id="0">
    <w:p w:rsidR="00AA5ECB" w:rsidRDefault="00AA5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527" w:rsidRDefault="00E73527">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2332BF">
      <w:rPr>
        <w:rStyle w:val="PageNumber"/>
        <w:noProof/>
      </w:rPr>
      <w:t>12</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527" w:rsidRDefault="00E735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5ECB" w:rsidRDefault="00AA5ECB">
      <w:r>
        <w:separator/>
      </w:r>
    </w:p>
  </w:footnote>
  <w:footnote w:type="continuationSeparator" w:id="0">
    <w:p w:rsidR="00AA5ECB" w:rsidRDefault="00AA5ECB">
      <w:r>
        <w:continuationSeparator/>
      </w:r>
    </w:p>
  </w:footnote>
  <w:footnote w:id="1">
    <w:p w:rsidR="00E73527" w:rsidRDefault="00E73527">
      <w:pPr>
        <w:pStyle w:val="FootnoteText"/>
      </w:pPr>
      <w:r>
        <w:rPr>
          <w:rStyle w:val="FootnoteReference"/>
        </w:rPr>
        <w:footnoteRef/>
      </w:r>
      <w:r>
        <w:t>Document No. 03889-2022.</w:t>
      </w:r>
    </w:p>
  </w:footnote>
  <w:footnote w:id="2">
    <w:p w:rsidR="00E73527" w:rsidRDefault="00E73527" w:rsidP="00105F5C">
      <w:pPr>
        <w:pStyle w:val="FootnoteText"/>
      </w:pPr>
      <w:r>
        <w:rPr>
          <w:rStyle w:val="FootnoteReference"/>
        </w:rPr>
        <w:footnoteRef/>
      </w:r>
      <w:r w:rsidRPr="004D562F">
        <w:t xml:space="preserve">Order No. </w:t>
      </w:r>
      <w:r>
        <w:t>PSC-2021-0442-FOF-EI, issued November 30</w:t>
      </w:r>
      <w:r w:rsidRPr="004D562F">
        <w:t xml:space="preserve">, 2021, in Docket No. 20210001-EI, </w:t>
      </w:r>
      <w:r w:rsidRPr="00541633">
        <w:rPr>
          <w:i/>
        </w:rPr>
        <w:t>In re: Fuel and purchased power cost recovery clause with generating performance incentive factor</w:t>
      </w:r>
      <w:r w:rsidRPr="004D562F">
        <w:t>.</w:t>
      </w:r>
      <w:r w:rsidRPr="003176DE">
        <w:tab/>
      </w:r>
    </w:p>
  </w:footnote>
  <w:footnote w:id="3">
    <w:p w:rsidR="00E73527" w:rsidRPr="00B0437E" w:rsidRDefault="00E73527" w:rsidP="00B0437E">
      <w:pPr>
        <w:pStyle w:val="FootnoteText"/>
        <w:rPr>
          <w:highlight w:val="yellow"/>
        </w:rPr>
      </w:pPr>
      <w:r w:rsidRPr="00811569">
        <w:rPr>
          <w:rStyle w:val="FootnoteReference"/>
        </w:rPr>
        <w:footnoteRef/>
      </w:r>
      <w:r w:rsidRPr="00811569">
        <w:t>Order No. PSC-2021-0442-FOF-EI.</w:t>
      </w:r>
    </w:p>
  </w:footnote>
  <w:footnote w:id="4">
    <w:p w:rsidR="00E73527" w:rsidRPr="00B0437E" w:rsidRDefault="00E73527" w:rsidP="00B0437E">
      <w:pPr>
        <w:pStyle w:val="FootnoteText"/>
        <w:rPr>
          <w:highlight w:val="yellow"/>
        </w:rPr>
      </w:pPr>
      <w:r w:rsidRPr="00394D68">
        <w:rPr>
          <w:rStyle w:val="FootnoteReference"/>
        </w:rPr>
        <w:footnoteRef/>
      </w:r>
      <w:r w:rsidRPr="00394D68">
        <w:t>Document No. 03889-2022.</w:t>
      </w:r>
    </w:p>
  </w:footnote>
  <w:footnote w:id="5">
    <w:p w:rsidR="00E73527" w:rsidRPr="00B0437E" w:rsidRDefault="00E73527" w:rsidP="00734BEC">
      <w:pPr>
        <w:pStyle w:val="FootnoteText"/>
        <w:rPr>
          <w:highlight w:val="yellow"/>
        </w:rPr>
      </w:pPr>
      <w:r w:rsidRPr="00B0437E">
        <w:rPr>
          <w:rStyle w:val="FootnoteReference"/>
        </w:rPr>
        <w:footnoteRef/>
      </w:r>
      <w:r w:rsidRPr="00B0437E">
        <w:t>Document No. 03023-2022.</w:t>
      </w:r>
    </w:p>
  </w:footnote>
  <w:footnote w:id="6">
    <w:p w:rsidR="00E73527" w:rsidRDefault="00E73527">
      <w:pPr>
        <w:pStyle w:val="FootnoteText"/>
      </w:pPr>
      <w:r>
        <w:rPr>
          <w:rStyle w:val="FootnoteReference"/>
        </w:rPr>
        <w:footnoteRef/>
      </w:r>
      <w:r>
        <w:t>Please see Document No. 04179-2022, “Revised Exhibit A,” for the revised true-up figure.</w:t>
      </w:r>
    </w:p>
  </w:footnote>
  <w:footnote w:id="7">
    <w:p w:rsidR="00E73527" w:rsidRPr="00B0437E" w:rsidRDefault="00E73527" w:rsidP="00B0437E">
      <w:pPr>
        <w:pStyle w:val="FootnoteText"/>
        <w:rPr>
          <w:highlight w:val="yellow"/>
        </w:rPr>
      </w:pPr>
      <w:r w:rsidRPr="00CA7F09">
        <w:rPr>
          <w:rStyle w:val="FootnoteReference"/>
        </w:rPr>
        <w:footnoteRef/>
      </w:r>
      <w:r w:rsidRPr="00CA7F09">
        <w:t>Order No. PSC-2021-0442-FOF-EI.</w:t>
      </w:r>
    </w:p>
  </w:footnote>
  <w:footnote w:id="8">
    <w:p w:rsidR="00E73527" w:rsidRDefault="00E73527">
      <w:pPr>
        <w:pStyle w:val="FootnoteText"/>
      </w:pPr>
      <w:r>
        <w:rPr>
          <w:rStyle w:val="FootnoteReference"/>
        </w:rPr>
        <w:footnoteRef/>
      </w:r>
      <w:r>
        <w:t xml:space="preserve">Order No. PSC-2020-0083-PAA-EI, issued March 20, 2020, in Docket No. 20200033-EI, </w:t>
      </w:r>
      <w:r w:rsidRPr="004E4C8B">
        <w:rPr>
          <w:i/>
        </w:rPr>
        <w:t>In re: Joint motion for approval of Amendment No. 1 to stipulation and settlement, by Florida Public Utilities Company and Office of Public Counsel.</w:t>
      </w:r>
    </w:p>
  </w:footnote>
  <w:footnote w:id="9">
    <w:p w:rsidR="00E73527" w:rsidRDefault="00E73527" w:rsidP="00AD3CA8">
      <w:pPr>
        <w:pStyle w:val="FootnoteText"/>
        <w:tabs>
          <w:tab w:val="left" w:pos="2148"/>
        </w:tabs>
      </w:pPr>
      <w:r>
        <w:rPr>
          <w:rStyle w:val="FootnoteReference"/>
        </w:rPr>
        <w:footnoteRef/>
      </w:r>
      <w:r>
        <w:t>Document No. 02208-2022.</w:t>
      </w:r>
    </w:p>
  </w:footnote>
  <w:footnote w:id="10">
    <w:p w:rsidR="00E73527" w:rsidRDefault="00E73527">
      <w:pPr>
        <w:pStyle w:val="FootnoteText"/>
      </w:pPr>
      <w:r>
        <w:rPr>
          <w:rStyle w:val="FootnoteReference"/>
        </w:rPr>
        <w:footnoteRef/>
      </w:r>
      <w:r>
        <w:t xml:space="preserve">See Document No. 02854-2022 for the Commission’s Audit Report concerning FPUC’s accounting of calendar-year-applicable 2021 PPA-related revenues and expenses.   </w:t>
      </w:r>
    </w:p>
  </w:footnote>
  <w:footnote w:id="11">
    <w:p w:rsidR="0064562E" w:rsidRPr="006140A1" w:rsidRDefault="0064562E" w:rsidP="0064562E">
      <w:pPr>
        <w:pStyle w:val="FootnoteText"/>
      </w:pPr>
      <w:r>
        <w:rPr>
          <w:rStyle w:val="FootnoteReference"/>
        </w:rPr>
        <w:footnoteRef/>
      </w:r>
      <w:r w:rsidRPr="006140A1">
        <w:t xml:space="preserve">Order No. PSC-2022-0061-PCO-EI, issued February 17, 2022, in Docket No. 20220001-EI, </w:t>
      </w:r>
      <w:r w:rsidRPr="006140A1">
        <w:rPr>
          <w:i/>
        </w:rPr>
        <w:t>In re: Fuel and purchased power cost recovery clause with generating performance incentive factor</w:t>
      </w:r>
      <w:r w:rsidRPr="006140A1">
        <w:t xml:space="preserve">, Order No. PSC-2021-0460-PCO-EI, issued December 15, 2021, in Docket No. 20210001-EI, </w:t>
      </w:r>
      <w:r w:rsidRPr="006140A1">
        <w:rPr>
          <w:i/>
        </w:rPr>
        <w:t>In re: Fuel and purchased power cost recovery clause with generating performance incentive factor</w:t>
      </w:r>
      <w:r w:rsidRPr="006140A1">
        <w:t xml:space="preserve">, and Order No. PSC-2022-0122-PCO-EI, issued March 18, 2022, in Docket No. 20220001-EI, </w:t>
      </w:r>
      <w:r w:rsidRPr="006140A1">
        <w:rPr>
          <w:i/>
        </w:rPr>
        <w:t>In re: Fuel and purchased power cost recovery clause with generating performance incentive factor.</w:t>
      </w:r>
    </w:p>
  </w:footnote>
  <w:footnote w:id="12">
    <w:p w:rsidR="00E73527" w:rsidRDefault="00E73527">
      <w:pPr>
        <w:pStyle w:val="FootnoteText"/>
      </w:pPr>
      <w:r>
        <w:rPr>
          <w:rStyle w:val="FootnoteReference"/>
        </w:rPr>
        <w:footnoteRef/>
      </w:r>
      <w:r>
        <w:t>Document No. 02208-2022.</w:t>
      </w:r>
    </w:p>
  </w:footnote>
  <w:footnote w:id="13">
    <w:p w:rsidR="00E73527" w:rsidRDefault="00E73527">
      <w:pPr>
        <w:pStyle w:val="FootnoteText"/>
      </w:pPr>
      <w:r>
        <w:rPr>
          <w:rStyle w:val="FootnoteReference"/>
        </w:rPr>
        <w:footnoteRef/>
      </w:r>
      <w:r>
        <w:t>Document No. 08344-2021.</w:t>
      </w:r>
    </w:p>
  </w:footnote>
  <w:footnote w:id="14">
    <w:p w:rsidR="00E73527" w:rsidRDefault="00E73527">
      <w:pPr>
        <w:pStyle w:val="FootnoteText"/>
      </w:pPr>
      <w:r>
        <w:rPr>
          <w:rStyle w:val="FootnoteReference"/>
        </w:rPr>
        <w:footnoteRef/>
      </w:r>
      <w:r>
        <w:t xml:space="preserve">Historical prices of natural gas were sourced through the United States Energy </w:t>
      </w:r>
      <w:r w:rsidR="001B1108">
        <w:t xml:space="preserve">Information </w:t>
      </w:r>
      <w:r>
        <w:t xml:space="preserve">Administration. The relevant data can be found via the following link:  </w:t>
      </w:r>
      <w:hyperlink r:id="rId1" w:history="1">
        <w:r w:rsidRPr="00F407DE">
          <w:rPr>
            <w:rStyle w:val="Hyperlink"/>
          </w:rPr>
          <w:t>https://www.eia.gov/dnav/ng/hist/rngwhhdM.htm</w:t>
        </w:r>
      </w:hyperlink>
    </w:p>
  </w:footnote>
  <w:footnote w:id="15">
    <w:p w:rsidR="00E73527" w:rsidRDefault="00E73527">
      <w:pPr>
        <w:pStyle w:val="FootnoteText"/>
      </w:pPr>
      <w:r>
        <w:rPr>
          <w:rStyle w:val="FootnoteReference"/>
        </w:rPr>
        <w:footnoteRef/>
      </w:r>
      <w:r w:rsidRPr="002770B6">
        <w:t>A</w:t>
      </w:r>
      <w:r>
        <w:t xml:space="preserve">mount shown here does not include the 2020 total true-up, or “carry forward” over-recovery of $297,168. See </w:t>
      </w:r>
      <w:r w:rsidRPr="008A5B5E">
        <w:t xml:space="preserve">Order No. PSC-2020-0439-FOF-EI, issued November 16, 2020, in Docket No. 20200001-EI, </w:t>
      </w:r>
      <w:r w:rsidRPr="008A5B5E">
        <w:rPr>
          <w:i/>
        </w:rPr>
        <w:t>In re: Fuel and purchased power cost recovery clause with generating performance incentive Factor</w:t>
      </w:r>
      <w:r>
        <w:t xml:space="preserve"> for approval of this true-up amount.</w:t>
      </w:r>
    </w:p>
  </w:footnote>
  <w:footnote w:id="16">
    <w:p w:rsidR="00E73527" w:rsidRDefault="00E73527">
      <w:pPr>
        <w:pStyle w:val="FootnoteText"/>
      </w:pPr>
      <w:r>
        <w:rPr>
          <w:rStyle w:val="FootnoteReference"/>
        </w:rPr>
        <w:footnoteRef/>
      </w:r>
      <w:r>
        <w:t xml:space="preserve">The total period-applicable revenue figure (denominator) includes the 2020 total true-up over-recovery of $297,168. </w:t>
      </w:r>
    </w:p>
  </w:footnote>
  <w:footnote w:id="17">
    <w:p w:rsidR="00E73527" w:rsidRDefault="00E73527">
      <w:pPr>
        <w:pStyle w:val="FootnoteText"/>
      </w:pPr>
      <w:r>
        <w:rPr>
          <w:rStyle w:val="FootnoteReference"/>
        </w:rPr>
        <w:footnoteRef/>
      </w:r>
      <w:r>
        <w:t>Please see Document No. 04179-2022, “Revised Exhibit A,” for the revised true-up figure.</w:t>
      </w:r>
    </w:p>
  </w:footnote>
  <w:footnote w:id="18">
    <w:p w:rsidR="00E73527" w:rsidRPr="00B0437E" w:rsidRDefault="00E73527" w:rsidP="00B0437E">
      <w:pPr>
        <w:pStyle w:val="FootnoteText"/>
        <w:rPr>
          <w:highlight w:val="yellow"/>
        </w:rPr>
      </w:pPr>
      <w:r w:rsidRPr="00D61C07">
        <w:rPr>
          <w:rStyle w:val="FootnoteReference"/>
        </w:rPr>
        <w:footnoteRef/>
      </w:r>
      <w:r w:rsidRPr="00D61C07">
        <w:t>Order No. PSC-2021-0442-FOF-EI.</w:t>
      </w:r>
    </w:p>
  </w:footnote>
  <w:footnote w:id="19">
    <w:p w:rsidR="00E73527" w:rsidRPr="00B0437E" w:rsidRDefault="00E73527" w:rsidP="00B0437E">
      <w:pPr>
        <w:pStyle w:val="FootnoteText"/>
        <w:rPr>
          <w:highlight w:val="yellow"/>
        </w:rPr>
      </w:pPr>
      <w:r w:rsidRPr="00C84288">
        <w:rPr>
          <w:rStyle w:val="FootnoteReference"/>
        </w:rPr>
        <w:footnoteRef/>
      </w:r>
      <w:r w:rsidRPr="00C84288">
        <w:t>Document No. 03889-2022. Recovery factor shown on “Exhibit A,” page 2 of 9, Schedule E1, line 43.</w:t>
      </w:r>
      <w:r w:rsidRPr="00B0437E">
        <w:rPr>
          <w:highlight w:val="yellow"/>
        </w:rPr>
        <w:t xml:space="preserve">   </w:t>
      </w:r>
    </w:p>
  </w:footnote>
  <w:footnote w:id="20">
    <w:p w:rsidR="003C5AAA" w:rsidRDefault="003C5AAA">
      <w:pPr>
        <w:pStyle w:val="FootnoteText"/>
      </w:pPr>
      <w:r>
        <w:rPr>
          <w:rStyle w:val="FootnoteReference"/>
        </w:rPr>
        <w:footnoteRef/>
      </w:r>
      <w:r w:rsidRPr="004D562F">
        <w:t xml:space="preserve">Order No. </w:t>
      </w:r>
      <w:r>
        <w:t>PSC-2021-0442-FOF-EI.</w:t>
      </w:r>
    </w:p>
  </w:footnote>
  <w:footnote w:id="21">
    <w:p w:rsidR="00E73527" w:rsidRPr="00E71B77" w:rsidRDefault="00E73527" w:rsidP="00B0437E">
      <w:pPr>
        <w:pStyle w:val="FootnoteText"/>
        <w:rPr>
          <w:highlight w:val="yellow"/>
        </w:rPr>
      </w:pPr>
      <w:r w:rsidRPr="00224A79">
        <w:rPr>
          <w:rStyle w:val="FootnoteReference"/>
        </w:rPr>
        <w:footnoteRef/>
      </w:r>
      <w:r w:rsidRPr="0093550F">
        <w:t>Document No. 04179-2022.</w:t>
      </w:r>
    </w:p>
  </w:footnote>
  <w:footnote w:id="22">
    <w:p w:rsidR="00E73527" w:rsidRPr="00844F8C" w:rsidRDefault="00E73527" w:rsidP="00E029C6">
      <w:pPr>
        <w:pStyle w:val="FootnoteText"/>
      </w:pPr>
      <w:r>
        <w:rPr>
          <w:rStyle w:val="FootnoteReference"/>
        </w:rPr>
        <w:footnoteRef/>
      </w:r>
      <w:r>
        <w:t xml:space="preserve">Order No. PSC-08-0825-PCO-EI, issued December 22, 2008, in Docket No. 080001-EI, </w:t>
      </w:r>
      <w:r>
        <w:rPr>
          <w:i/>
        </w:rPr>
        <w:t>In re: Fuel and purchased power cost recovery clause with generating performance incentive factor</w:t>
      </w:r>
      <w:r>
        <w:t xml:space="preserve">; Order No. PSC-09-0254-PCO-EI, issued April 27, 2009, in Docket No. 090001-EI, </w:t>
      </w:r>
      <w:r>
        <w:rPr>
          <w:i/>
        </w:rPr>
        <w:t xml:space="preserve">In re: Fuel and purchased power cost recovery clause with generating performance incentive factor; </w:t>
      </w:r>
      <w:r w:rsidRPr="00C4628D">
        <w:t>Order No. PSC-11-0581-</w:t>
      </w:r>
      <w:r>
        <w:t xml:space="preserve">PCO-EI, issued on December 19, 2011, in Docket No. 110001-EI, </w:t>
      </w:r>
      <w:r>
        <w:rPr>
          <w:i/>
        </w:rPr>
        <w:t>In re: Fuel and purchased power cost recovery clause with generating performance incentive factor</w:t>
      </w:r>
      <w:r>
        <w:t xml:space="preserve">; Order No. PSC-12-0342-PCO-EI, issued July 2, 2012, in Docket No. 120001-EI, </w:t>
      </w:r>
      <w:r>
        <w:rPr>
          <w:i/>
        </w:rPr>
        <w:t>In re: Fuel and purchased power cost recovery clause with generating performance incentive factor</w:t>
      </w:r>
      <w:r>
        <w:t xml:space="preserve">; Order No. PSC-2012-0082-PCO-EI, issued February 24, 2012, in Docket No. 120001-EI, </w:t>
      </w:r>
      <w:r>
        <w:rPr>
          <w:i/>
        </w:rPr>
        <w:t>In re: Fuel and purchased power cost recovery clause with generating performance incentive factor</w:t>
      </w:r>
      <w:r>
        <w:t xml:space="preserve">; Order No. PSC-15-0161-PCO-EI, issued April 30, 2015, in Docket No. 150001-EI, </w:t>
      </w:r>
      <w:r>
        <w:rPr>
          <w:i/>
        </w:rPr>
        <w:t>In re: Fuel and purchased power cost recovery clause with generating performance incentive factor</w:t>
      </w:r>
      <w:r>
        <w:t xml:space="preserve">; Order No. PSC-2018-0313-PCO-EI, issued June 18, 2018, in Docket No. 20180001-EI, </w:t>
      </w:r>
      <w:r>
        <w:rPr>
          <w:i/>
        </w:rPr>
        <w:t>In re: Fuel and purchased power cost recovery clause with generating performance incentive factor</w:t>
      </w:r>
      <w:r>
        <w:t xml:space="preserve">; Order PSC-2020-0154-PCO-EI, issued May 14, 2020, in Docket No. 20200001-EI, </w:t>
      </w:r>
      <w:r>
        <w:rPr>
          <w:i/>
        </w:rPr>
        <w:t>In re: Fuel and purchased power cost recovery clause with generating performance incentive factor</w:t>
      </w:r>
      <w:r w:rsidRPr="00844F8C">
        <w:rPr>
          <w:i/>
        </w:rPr>
        <w:t>.</w:t>
      </w:r>
    </w:p>
  </w:footnote>
  <w:footnote w:id="23">
    <w:p w:rsidR="00E73527" w:rsidRDefault="00E73527" w:rsidP="00E029C6">
      <w:pPr>
        <w:pStyle w:val="FootnoteText"/>
      </w:pPr>
      <w:r>
        <w:rPr>
          <w:rStyle w:val="FootnoteReference"/>
        </w:rPr>
        <w:footnoteRef/>
      </w:r>
      <w:r>
        <w:t xml:space="preserve">Order No. PSC-03-0381-PCO-EI, issued March 19, 2003, in Docket No. 030001-EI, </w:t>
      </w:r>
      <w:r>
        <w:rPr>
          <w:i/>
        </w:rPr>
        <w:t>In re: Fuel and purchased power cost recovery clause with generating performance incentive factor</w:t>
      </w:r>
      <w:r>
        <w:t xml:space="preserve">; Order No. PSC-03-0382-PCO-EI, issued March 19, 2003, in Docket No. 030001-EI, </w:t>
      </w:r>
      <w:r>
        <w:rPr>
          <w:i/>
        </w:rPr>
        <w:t>In re: Fuel and purchased power cost recovery clause with generating performance incentive factor</w:t>
      </w:r>
      <w:r>
        <w:t xml:space="preserve">; Order No. PSC-03-0400, issued March 24, 2003, in Docket No. 030001-EI, </w:t>
      </w:r>
      <w:r>
        <w:rPr>
          <w:i/>
        </w:rPr>
        <w:t>In re: Fuel and purchased power cost recovery clause with generating performance incentive factor</w:t>
      </w:r>
      <w:r>
        <w:t xml:space="preserve">; Order No. PSC-03-0849-PCO-EI, issued July 22, 2003, in Docket No. 030001-EI, </w:t>
      </w:r>
      <w:r>
        <w:rPr>
          <w:i/>
        </w:rPr>
        <w:t>In re: Fuel and purchased power cost recovery clause with generating performance incentive factor</w:t>
      </w:r>
      <w:r>
        <w:t xml:space="preserve">; Order No. PSC-09-0213-PCO-EI, issued April 9, 2009, in Docket No. 090001-EI, </w:t>
      </w:r>
      <w:r>
        <w:rPr>
          <w:i/>
        </w:rPr>
        <w:t xml:space="preserve">In re: Fuel and purchased power cost recovery clause with generating performance incentive factor; </w:t>
      </w:r>
      <w:r>
        <w:t xml:space="preserve">Order No. PSC-2019-0109-PCO-EI, issued March 22, 2019, in Docket No. 20190001-EI, </w:t>
      </w:r>
      <w:r>
        <w:rPr>
          <w:i/>
        </w:rPr>
        <w:t>In re: Fuel and purchased power cost recovery clause with generating performance incentive factor.</w:t>
      </w:r>
      <w:r>
        <w:t xml:space="preserve">   </w:t>
      </w:r>
    </w:p>
  </w:footnote>
  <w:footnote w:id="24">
    <w:p w:rsidR="00E73527" w:rsidRDefault="00E73527" w:rsidP="00E029C6">
      <w:pPr>
        <w:pStyle w:val="FootnoteText"/>
      </w:pPr>
      <w:r>
        <w:rPr>
          <w:rStyle w:val="FootnoteReference"/>
        </w:rPr>
        <w:footnoteRef/>
      </w:r>
      <w:r>
        <w:t xml:space="preserve">Order No. PSC-09-0213-PCO-EI; Order No. PSC-2019-0109-PCO-EI. </w:t>
      </w:r>
    </w:p>
  </w:footnote>
  <w:footnote w:id="25">
    <w:p w:rsidR="00E73527" w:rsidRPr="00E029C6" w:rsidRDefault="00E73527" w:rsidP="00E029C6">
      <w:pPr>
        <w:pStyle w:val="FootnoteText"/>
        <w:rPr>
          <w:highlight w:val="yellow"/>
        </w:rPr>
      </w:pPr>
      <w:r w:rsidRPr="00A3795D">
        <w:rPr>
          <w:rStyle w:val="FootnoteReference"/>
        </w:rPr>
        <w:footnoteRef/>
      </w:r>
      <w:r w:rsidRPr="00A3795D">
        <w:t>Document No. 04179-2022.</w:t>
      </w:r>
    </w:p>
  </w:footnote>
  <w:footnote w:id="26">
    <w:p w:rsidR="00E73527" w:rsidRDefault="00E73527" w:rsidP="00E029C6">
      <w:pPr>
        <w:pStyle w:val="FootnoteText"/>
      </w:pPr>
      <w:r w:rsidRPr="006C4097">
        <w:rPr>
          <w:rStyle w:val="FootnoteReference"/>
        </w:rPr>
        <w:footnoteRef/>
      </w:r>
      <w:r w:rsidRPr="006C4097">
        <w:rPr>
          <w:i/>
        </w:rPr>
        <w:t>Id</w:t>
      </w:r>
      <w:r w:rsidRPr="006C4097">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527" w:rsidRDefault="00E73527" w:rsidP="00220732">
    <w:pPr>
      <w:pStyle w:val="Header"/>
      <w:tabs>
        <w:tab w:val="clear" w:pos="4320"/>
        <w:tab w:val="clear" w:pos="8640"/>
        <w:tab w:val="right" w:pos="9360"/>
      </w:tabs>
    </w:pPr>
    <w:bookmarkStart w:id="14" w:name="DocketLabel"/>
    <w:r>
      <w:t>Docket No.</w:t>
    </w:r>
    <w:bookmarkEnd w:id="14"/>
    <w:r>
      <w:t xml:space="preserve"> </w:t>
    </w:r>
    <w:bookmarkStart w:id="15" w:name="DocketList"/>
    <w:r>
      <w:t>20220001-EI</w:t>
    </w:r>
    <w:bookmarkEnd w:id="15"/>
  </w:p>
  <w:p w:rsidR="00E73527" w:rsidRDefault="00E73527">
    <w:pPr>
      <w:pStyle w:val="Header"/>
    </w:pPr>
    <w:r>
      <w:t xml:space="preserve">Date: </w:t>
    </w:r>
    <w:fldSimple w:instr=" REF FilingDate ">
      <w:r w:rsidR="00445388">
        <w:t>June 24, 2022</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527" w:rsidRDefault="00E735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527" w:rsidRDefault="00E73527" w:rsidP="00220732">
    <w:pPr>
      <w:pStyle w:val="Header"/>
      <w:tabs>
        <w:tab w:val="clear" w:pos="4320"/>
        <w:tab w:val="clear" w:pos="8640"/>
        <w:tab w:val="right" w:pos="9360"/>
      </w:tabs>
    </w:pPr>
    <w:r>
      <w:fldChar w:fldCharType="begin"/>
    </w:r>
    <w:r>
      <w:instrText xml:space="preserve"> REF DocketLabel</w:instrText>
    </w:r>
    <w:r>
      <w:fldChar w:fldCharType="separate"/>
    </w:r>
    <w:r w:rsidR="00445388">
      <w:t>Docket No.</w:t>
    </w:r>
    <w:r>
      <w:fldChar w:fldCharType="end"/>
    </w:r>
    <w:r>
      <w:t xml:space="preserve"> </w:t>
    </w:r>
    <w:r>
      <w:fldChar w:fldCharType="begin"/>
    </w:r>
    <w:r>
      <w:instrText xml:space="preserve"> REF DocketList</w:instrText>
    </w:r>
    <w:r>
      <w:fldChar w:fldCharType="separate"/>
    </w:r>
    <w:r w:rsidR="00445388">
      <w:t>20220001-EI</w:t>
    </w:r>
    <w:r>
      <w:fldChar w:fldCharType="end"/>
    </w:r>
    <w:r>
      <w:tab/>
      <w:t xml:space="preserve">Issue </w:t>
    </w:r>
    <w:fldSimple w:instr=" Seq Issue \c \* Arabic ">
      <w:r w:rsidR="002332BF">
        <w:rPr>
          <w:noProof/>
        </w:rPr>
        <w:t>3</w:t>
      </w:r>
    </w:fldSimple>
  </w:p>
  <w:p w:rsidR="00E73527" w:rsidRDefault="00E73527">
    <w:pPr>
      <w:pStyle w:val="Header"/>
    </w:pPr>
    <w:r>
      <w:t xml:space="preserve">Date: </w:t>
    </w:r>
    <w:fldSimple w:instr=" REF FilingDate ">
      <w:r w:rsidR="00445388">
        <w:t>June 24, 2022</w:t>
      </w:r>
    </w:fldSimple>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527" w:rsidRDefault="00E7352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527" w:rsidRDefault="00E7352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527" w:rsidRDefault="00E73527" w:rsidP="00220732">
    <w:pPr>
      <w:pStyle w:val="Header"/>
      <w:tabs>
        <w:tab w:val="clear" w:pos="4320"/>
        <w:tab w:val="clear" w:pos="8640"/>
        <w:tab w:val="right" w:pos="9360"/>
      </w:tabs>
    </w:pPr>
    <w:r>
      <w:fldChar w:fldCharType="begin"/>
    </w:r>
    <w:r>
      <w:instrText xml:space="preserve"> REF DocketLabel</w:instrText>
    </w:r>
    <w:r>
      <w:fldChar w:fldCharType="separate"/>
    </w:r>
    <w:r w:rsidR="00445388">
      <w:t>Docket No.</w:t>
    </w:r>
    <w:r>
      <w:fldChar w:fldCharType="end"/>
    </w:r>
    <w:r>
      <w:t xml:space="preserve"> </w:t>
    </w:r>
    <w:r>
      <w:fldChar w:fldCharType="begin"/>
    </w:r>
    <w:r>
      <w:instrText xml:space="preserve"> REF DocketList</w:instrText>
    </w:r>
    <w:r>
      <w:fldChar w:fldCharType="separate"/>
    </w:r>
    <w:r w:rsidR="00445388">
      <w:t>20220001-EI</w:t>
    </w:r>
    <w:r>
      <w:fldChar w:fldCharType="end"/>
    </w:r>
    <w:r>
      <w:tab/>
      <w:t>Appendix A</w:t>
    </w:r>
  </w:p>
  <w:p w:rsidR="00E73527" w:rsidRDefault="00E73527">
    <w:pPr>
      <w:pStyle w:val="Header"/>
    </w:pPr>
    <w:r>
      <w:t xml:space="preserve">Date: </w:t>
    </w:r>
    <w:fldSimple w:instr=" REF FilingDate ">
      <w:r w:rsidR="00445388">
        <w:t>June 24, 2022</w:t>
      </w:r>
    </w:fldSimple>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527" w:rsidRDefault="00E735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10241"/>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291116"/>
    <w:rsid w:val="000043D5"/>
    <w:rsid w:val="00006170"/>
    <w:rsid w:val="00010E37"/>
    <w:rsid w:val="0001181F"/>
    <w:rsid w:val="000131C8"/>
    <w:rsid w:val="00016816"/>
    <w:rsid w:val="000171BB"/>
    <w:rsid w:val="000171F0"/>
    <w:rsid w:val="000172DA"/>
    <w:rsid w:val="000247C5"/>
    <w:rsid w:val="000277C2"/>
    <w:rsid w:val="0002793D"/>
    <w:rsid w:val="00035B48"/>
    <w:rsid w:val="00035BE0"/>
    <w:rsid w:val="00036CE2"/>
    <w:rsid w:val="00042825"/>
    <w:rsid w:val="000437FE"/>
    <w:rsid w:val="000476E0"/>
    <w:rsid w:val="000513BE"/>
    <w:rsid w:val="00057B32"/>
    <w:rsid w:val="00065A06"/>
    <w:rsid w:val="000666F3"/>
    <w:rsid w:val="00070DCB"/>
    <w:rsid w:val="00072CCA"/>
    <w:rsid w:val="00073120"/>
    <w:rsid w:val="000764D0"/>
    <w:rsid w:val="0007785D"/>
    <w:rsid w:val="000828D3"/>
    <w:rsid w:val="0008584F"/>
    <w:rsid w:val="000A2B57"/>
    <w:rsid w:val="000A418B"/>
    <w:rsid w:val="000A5048"/>
    <w:rsid w:val="000B433C"/>
    <w:rsid w:val="000C150A"/>
    <w:rsid w:val="000C4431"/>
    <w:rsid w:val="000D1C06"/>
    <w:rsid w:val="000D4319"/>
    <w:rsid w:val="000F1A6F"/>
    <w:rsid w:val="000F374A"/>
    <w:rsid w:val="00104F03"/>
    <w:rsid w:val="00105F5C"/>
    <w:rsid w:val="001076AF"/>
    <w:rsid w:val="001129C7"/>
    <w:rsid w:val="001134BA"/>
    <w:rsid w:val="00117C8C"/>
    <w:rsid w:val="00124C38"/>
    <w:rsid w:val="00124E2E"/>
    <w:rsid w:val="00125ED4"/>
    <w:rsid w:val="001305E9"/>
    <w:rsid w:val="001307AF"/>
    <w:rsid w:val="001311B6"/>
    <w:rsid w:val="00135687"/>
    <w:rsid w:val="00146D4D"/>
    <w:rsid w:val="0015126A"/>
    <w:rsid w:val="00154F47"/>
    <w:rsid w:val="0015506E"/>
    <w:rsid w:val="00157609"/>
    <w:rsid w:val="00160AC8"/>
    <w:rsid w:val="00163031"/>
    <w:rsid w:val="00171A90"/>
    <w:rsid w:val="00173D29"/>
    <w:rsid w:val="00175C2E"/>
    <w:rsid w:val="00180254"/>
    <w:rsid w:val="001857B9"/>
    <w:rsid w:val="00191E1F"/>
    <w:rsid w:val="00192943"/>
    <w:rsid w:val="001A7406"/>
    <w:rsid w:val="001B1108"/>
    <w:rsid w:val="001B2FF2"/>
    <w:rsid w:val="001B4FEE"/>
    <w:rsid w:val="001B51C5"/>
    <w:rsid w:val="001B6F3F"/>
    <w:rsid w:val="001C52B5"/>
    <w:rsid w:val="001C6FCD"/>
    <w:rsid w:val="001D0D3E"/>
    <w:rsid w:val="001D2CE4"/>
    <w:rsid w:val="001D3239"/>
    <w:rsid w:val="001E2676"/>
    <w:rsid w:val="001F2245"/>
    <w:rsid w:val="001F2C63"/>
    <w:rsid w:val="001F48C7"/>
    <w:rsid w:val="001F6DA1"/>
    <w:rsid w:val="002044E6"/>
    <w:rsid w:val="00205C82"/>
    <w:rsid w:val="00205DC2"/>
    <w:rsid w:val="00212B17"/>
    <w:rsid w:val="002163B6"/>
    <w:rsid w:val="00216507"/>
    <w:rsid w:val="00220732"/>
    <w:rsid w:val="00221D32"/>
    <w:rsid w:val="00225C3F"/>
    <w:rsid w:val="00230D10"/>
    <w:rsid w:val="002332BF"/>
    <w:rsid w:val="00237D80"/>
    <w:rsid w:val="00244133"/>
    <w:rsid w:val="00263D44"/>
    <w:rsid w:val="002702AD"/>
    <w:rsid w:val="00274BF0"/>
    <w:rsid w:val="002770B6"/>
    <w:rsid w:val="002771F3"/>
    <w:rsid w:val="002814A7"/>
    <w:rsid w:val="00282762"/>
    <w:rsid w:val="00291116"/>
    <w:rsid w:val="00292D82"/>
    <w:rsid w:val="002963CB"/>
    <w:rsid w:val="002B4A01"/>
    <w:rsid w:val="002B4EF9"/>
    <w:rsid w:val="002B6CDA"/>
    <w:rsid w:val="002B732B"/>
    <w:rsid w:val="002D226D"/>
    <w:rsid w:val="002F1BC4"/>
    <w:rsid w:val="002F33DD"/>
    <w:rsid w:val="002F6030"/>
    <w:rsid w:val="003037E1"/>
    <w:rsid w:val="00307E51"/>
    <w:rsid w:val="003103EC"/>
    <w:rsid w:val="003144EF"/>
    <w:rsid w:val="00322F74"/>
    <w:rsid w:val="00332006"/>
    <w:rsid w:val="003363A6"/>
    <w:rsid w:val="00340073"/>
    <w:rsid w:val="00344442"/>
    <w:rsid w:val="003632FD"/>
    <w:rsid w:val="00372805"/>
    <w:rsid w:val="00373180"/>
    <w:rsid w:val="003750DB"/>
    <w:rsid w:val="00375AB9"/>
    <w:rsid w:val="003821A0"/>
    <w:rsid w:val="00385B04"/>
    <w:rsid w:val="003864CF"/>
    <w:rsid w:val="003948AE"/>
    <w:rsid w:val="00394D68"/>
    <w:rsid w:val="00395D4B"/>
    <w:rsid w:val="003A22A6"/>
    <w:rsid w:val="003A5494"/>
    <w:rsid w:val="003B2510"/>
    <w:rsid w:val="003B5FB5"/>
    <w:rsid w:val="003C2CC4"/>
    <w:rsid w:val="003C3710"/>
    <w:rsid w:val="003C5AAA"/>
    <w:rsid w:val="003E0EFC"/>
    <w:rsid w:val="003E4A2B"/>
    <w:rsid w:val="003E4C8B"/>
    <w:rsid w:val="003E76C2"/>
    <w:rsid w:val="003F1679"/>
    <w:rsid w:val="003F21EB"/>
    <w:rsid w:val="003F3289"/>
    <w:rsid w:val="003F4A35"/>
    <w:rsid w:val="003F7FDD"/>
    <w:rsid w:val="00402481"/>
    <w:rsid w:val="004042B4"/>
    <w:rsid w:val="00405CFB"/>
    <w:rsid w:val="00410DC4"/>
    <w:rsid w:val="0041213B"/>
    <w:rsid w:val="00412DAE"/>
    <w:rsid w:val="004224BD"/>
    <w:rsid w:val="004242E6"/>
    <w:rsid w:val="00431598"/>
    <w:rsid w:val="004319AD"/>
    <w:rsid w:val="004426B8"/>
    <w:rsid w:val="00444432"/>
    <w:rsid w:val="00445388"/>
    <w:rsid w:val="00457991"/>
    <w:rsid w:val="00471510"/>
    <w:rsid w:val="00471860"/>
    <w:rsid w:val="00477026"/>
    <w:rsid w:val="00482598"/>
    <w:rsid w:val="0048601E"/>
    <w:rsid w:val="004908E4"/>
    <w:rsid w:val="004A744D"/>
    <w:rsid w:val="004B60BD"/>
    <w:rsid w:val="004C3150"/>
    <w:rsid w:val="004C3641"/>
    <w:rsid w:val="004C4390"/>
    <w:rsid w:val="004C4AF7"/>
    <w:rsid w:val="004D2881"/>
    <w:rsid w:val="004D385F"/>
    <w:rsid w:val="004D5B39"/>
    <w:rsid w:val="004E330D"/>
    <w:rsid w:val="004E4C8B"/>
    <w:rsid w:val="004E5147"/>
    <w:rsid w:val="004E69B5"/>
    <w:rsid w:val="004F5C43"/>
    <w:rsid w:val="0050652D"/>
    <w:rsid w:val="00506C03"/>
    <w:rsid w:val="005107AE"/>
    <w:rsid w:val="00511A11"/>
    <w:rsid w:val="00512924"/>
    <w:rsid w:val="00516496"/>
    <w:rsid w:val="00523B11"/>
    <w:rsid w:val="0052572A"/>
    <w:rsid w:val="00532DFB"/>
    <w:rsid w:val="00532FFE"/>
    <w:rsid w:val="00537A80"/>
    <w:rsid w:val="0054365B"/>
    <w:rsid w:val="00543CB3"/>
    <w:rsid w:val="005442E4"/>
    <w:rsid w:val="0055529B"/>
    <w:rsid w:val="00560FF0"/>
    <w:rsid w:val="005614BD"/>
    <w:rsid w:val="0057154F"/>
    <w:rsid w:val="00577AEC"/>
    <w:rsid w:val="00580F69"/>
    <w:rsid w:val="00581CA3"/>
    <w:rsid w:val="0058756D"/>
    <w:rsid w:val="00587A44"/>
    <w:rsid w:val="00596523"/>
    <w:rsid w:val="00597730"/>
    <w:rsid w:val="005977EC"/>
    <w:rsid w:val="00597DE7"/>
    <w:rsid w:val="005A4AA2"/>
    <w:rsid w:val="005A71AA"/>
    <w:rsid w:val="005B34B6"/>
    <w:rsid w:val="005B6C8F"/>
    <w:rsid w:val="005B6EC3"/>
    <w:rsid w:val="005C1B7F"/>
    <w:rsid w:val="005C2438"/>
    <w:rsid w:val="005D0F74"/>
    <w:rsid w:val="005D2E7D"/>
    <w:rsid w:val="005D4A8F"/>
    <w:rsid w:val="005D561B"/>
    <w:rsid w:val="005D5ECF"/>
    <w:rsid w:val="005E2EC3"/>
    <w:rsid w:val="005F468D"/>
    <w:rsid w:val="005F69A3"/>
    <w:rsid w:val="00604CC7"/>
    <w:rsid w:val="006140A1"/>
    <w:rsid w:val="00615423"/>
    <w:rsid w:val="006165B2"/>
    <w:rsid w:val="00617276"/>
    <w:rsid w:val="0062527B"/>
    <w:rsid w:val="00625D97"/>
    <w:rsid w:val="00625F1C"/>
    <w:rsid w:val="006279E1"/>
    <w:rsid w:val="00630CEB"/>
    <w:rsid w:val="00632264"/>
    <w:rsid w:val="0064562E"/>
    <w:rsid w:val="006470BC"/>
    <w:rsid w:val="00653157"/>
    <w:rsid w:val="006554D3"/>
    <w:rsid w:val="00656A99"/>
    <w:rsid w:val="00667036"/>
    <w:rsid w:val="00673BDB"/>
    <w:rsid w:val="00674341"/>
    <w:rsid w:val="006771B8"/>
    <w:rsid w:val="006843B6"/>
    <w:rsid w:val="0068481F"/>
    <w:rsid w:val="00696F5D"/>
    <w:rsid w:val="00697249"/>
    <w:rsid w:val="006A04BF"/>
    <w:rsid w:val="006B2AD0"/>
    <w:rsid w:val="006B3947"/>
    <w:rsid w:val="006B4293"/>
    <w:rsid w:val="006B624F"/>
    <w:rsid w:val="006C0C95"/>
    <w:rsid w:val="006C1E0B"/>
    <w:rsid w:val="006C313D"/>
    <w:rsid w:val="006C31E3"/>
    <w:rsid w:val="006C4097"/>
    <w:rsid w:val="006D18D3"/>
    <w:rsid w:val="006D771E"/>
    <w:rsid w:val="006E08CB"/>
    <w:rsid w:val="006E598D"/>
    <w:rsid w:val="007007B9"/>
    <w:rsid w:val="00703129"/>
    <w:rsid w:val="0070437D"/>
    <w:rsid w:val="00704CF1"/>
    <w:rsid w:val="00705B04"/>
    <w:rsid w:val="00706FF4"/>
    <w:rsid w:val="00723578"/>
    <w:rsid w:val="00724992"/>
    <w:rsid w:val="00734820"/>
    <w:rsid w:val="007349DC"/>
    <w:rsid w:val="00734BEC"/>
    <w:rsid w:val="0073562F"/>
    <w:rsid w:val="0074365E"/>
    <w:rsid w:val="00744B55"/>
    <w:rsid w:val="007515FD"/>
    <w:rsid w:val="00753CBB"/>
    <w:rsid w:val="00760D80"/>
    <w:rsid w:val="00775801"/>
    <w:rsid w:val="00780C09"/>
    <w:rsid w:val="00780DDF"/>
    <w:rsid w:val="007834E9"/>
    <w:rsid w:val="00787DBC"/>
    <w:rsid w:val="0079019A"/>
    <w:rsid w:val="00792935"/>
    <w:rsid w:val="00795E97"/>
    <w:rsid w:val="007A0337"/>
    <w:rsid w:val="007A04A1"/>
    <w:rsid w:val="007A1840"/>
    <w:rsid w:val="007A7B54"/>
    <w:rsid w:val="007C0528"/>
    <w:rsid w:val="007C3D38"/>
    <w:rsid w:val="007D0F35"/>
    <w:rsid w:val="007D4FEB"/>
    <w:rsid w:val="007D6146"/>
    <w:rsid w:val="007E0CE7"/>
    <w:rsid w:val="007E1198"/>
    <w:rsid w:val="007E1D4B"/>
    <w:rsid w:val="007E631D"/>
    <w:rsid w:val="007F1193"/>
    <w:rsid w:val="007F417F"/>
    <w:rsid w:val="007F7644"/>
    <w:rsid w:val="008042BD"/>
    <w:rsid w:val="008058FB"/>
    <w:rsid w:val="00811569"/>
    <w:rsid w:val="008125DB"/>
    <w:rsid w:val="00816624"/>
    <w:rsid w:val="00822427"/>
    <w:rsid w:val="00822562"/>
    <w:rsid w:val="00823663"/>
    <w:rsid w:val="00830D2E"/>
    <w:rsid w:val="00831AA3"/>
    <w:rsid w:val="00832DDC"/>
    <w:rsid w:val="00844F8C"/>
    <w:rsid w:val="00845DF8"/>
    <w:rsid w:val="00850BAC"/>
    <w:rsid w:val="00854A3E"/>
    <w:rsid w:val="00855D08"/>
    <w:rsid w:val="00874344"/>
    <w:rsid w:val="00882155"/>
    <w:rsid w:val="0088233B"/>
    <w:rsid w:val="0088599E"/>
    <w:rsid w:val="00886C37"/>
    <w:rsid w:val="008918D8"/>
    <w:rsid w:val="00892D99"/>
    <w:rsid w:val="00893315"/>
    <w:rsid w:val="008A5B5E"/>
    <w:rsid w:val="008B206B"/>
    <w:rsid w:val="008B5855"/>
    <w:rsid w:val="008B62AE"/>
    <w:rsid w:val="008C04B5"/>
    <w:rsid w:val="008C14FA"/>
    <w:rsid w:val="008C7B0B"/>
    <w:rsid w:val="008D4057"/>
    <w:rsid w:val="008D79F0"/>
    <w:rsid w:val="008E1F19"/>
    <w:rsid w:val="008F1A03"/>
    <w:rsid w:val="008F2262"/>
    <w:rsid w:val="008F4D2B"/>
    <w:rsid w:val="008F7736"/>
    <w:rsid w:val="008F77D0"/>
    <w:rsid w:val="0090019E"/>
    <w:rsid w:val="00901086"/>
    <w:rsid w:val="00901C8A"/>
    <w:rsid w:val="00905886"/>
    <w:rsid w:val="009070D6"/>
    <w:rsid w:val="009076C6"/>
    <w:rsid w:val="0091019E"/>
    <w:rsid w:val="009106F1"/>
    <w:rsid w:val="00912404"/>
    <w:rsid w:val="009145D6"/>
    <w:rsid w:val="00920E64"/>
    <w:rsid w:val="00922002"/>
    <w:rsid w:val="00924020"/>
    <w:rsid w:val="009271A7"/>
    <w:rsid w:val="00927E52"/>
    <w:rsid w:val="0093550F"/>
    <w:rsid w:val="009364E5"/>
    <w:rsid w:val="0093658B"/>
    <w:rsid w:val="009429FF"/>
    <w:rsid w:val="00945BD6"/>
    <w:rsid w:val="009479FB"/>
    <w:rsid w:val="00951C45"/>
    <w:rsid w:val="00952F4C"/>
    <w:rsid w:val="00954C31"/>
    <w:rsid w:val="009656F2"/>
    <w:rsid w:val="00966A08"/>
    <w:rsid w:val="00971207"/>
    <w:rsid w:val="009752ED"/>
    <w:rsid w:val="00975CB4"/>
    <w:rsid w:val="0098506D"/>
    <w:rsid w:val="009863B0"/>
    <w:rsid w:val="00987DE1"/>
    <w:rsid w:val="00990571"/>
    <w:rsid w:val="0099673A"/>
    <w:rsid w:val="009A3330"/>
    <w:rsid w:val="009A7C96"/>
    <w:rsid w:val="009C3DB9"/>
    <w:rsid w:val="009C4972"/>
    <w:rsid w:val="009C7E97"/>
    <w:rsid w:val="009D46E5"/>
    <w:rsid w:val="009D568A"/>
    <w:rsid w:val="009E0FBC"/>
    <w:rsid w:val="009E3D67"/>
    <w:rsid w:val="009E63E2"/>
    <w:rsid w:val="009F0270"/>
    <w:rsid w:val="009F04EC"/>
    <w:rsid w:val="009F2A7C"/>
    <w:rsid w:val="009F3B36"/>
    <w:rsid w:val="00A019B9"/>
    <w:rsid w:val="00A06A13"/>
    <w:rsid w:val="00A12508"/>
    <w:rsid w:val="00A1282B"/>
    <w:rsid w:val="00A13A27"/>
    <w:rsid w:val="00A156EA"/>
    <w:rsid w:val="00A175B6"/>
    <w:rsid w:val="00A21835"/>
    <w:rsid w:val="00A2374B"/>
    <w:rsid w:val="00A2513A"/>
    <w:rsid w:val="00A27D6E"/>
    <w:rsid w:val="00A31FE2"/>
    <w:rsid w:val="00A328EC"/>
    <w:rsid w:val="00A33A51"/>
    <w:rsid w:val="00A3795D"/>
    <w:rsid w:val="00A41579"/>
    <w:rsid w:val="00A41CA6"/>
    <w:rsid w:val="00A44BB8"/>
    <w:rsid w:val="00A47927"/>
    <w:rsid w:val="00A47FFC"/>
    <w:rsid w:val="00A5442F"/>
    <w:rsid w:val="00A54B81"/>
    <w:rsid w:val="00A54FF9"/>
    <w:rsid w:val="00A56765"/>
    <w:rsid w:val="00A64CED"/>
    <w:rsid w:val="00A675AC"/>
    <w:rsid w:val="00A7342E"/>
    <w:rsid w:val="00A7581F"/>
    <w:rsid w:val="00A81D1B"/>
    <w:rsid w:val="00A873C9"/>
    <w:rsid w:val="00A92FB1"/>
    <w:rsid w:val="00A94AEA"/>
    <w:rsid w:val="00A954B6"/>
    <w:rsid w:val="00A95A0C"/>
    <w:rsid w:val="00AA1170"/>
    <w:rsid w:val="00AA2765"/>
    <w:rsid w:val="00AA5ECB"/>
    <w:rsid w:val="00AA77B5"/>
    <w:rsid w:val="00AB11E6"/>
    <w:rsid w:val="00AB6C5D"/>
    <w:rsid w:val="00AC2611"/>
    <w:rsid w:val="00AC3401"/>
    <w:rsid w:val="00AC51A7"/>
    <w:rsid w:val="00AC7374"/>
    <w:rsid w:val="00AC7724"/>
    <w:rsid w:val="00AD3CA8"/>
    <w:rsid w:val="00AD3CFB"/>
    <w:rsid w:val="00AD444B"/>
    <w:rsid w:val="00AD5614"/>
    <w:rsid w:val="00AD6C78"/>
    <w:rsid w:val="00AE2EAB"/>
    <w:rsid w:val="00AF321E"/>
    <w:rsid w:val="00AF5F89"/>
    <w:rsid w:val="00AF73CB"/>
    <w:rsid w:val="00B002D6"/>
    <w:rsid w:val="00B03379"/>
    <w:rsid w:val="00B0437E"/>
    <w:rsid w:val="00B04460"/>
    <w:rsid w:val="00B05B51"/>
    <w:rsid w:val="00B06DC2"/>
    <w:rsid w:val="00B14E5A"/>
    <w:rsid w:val="00B15370"/>
    <w:rsid w:val="00B16DA4"/>
    <w:rsid w:val="00B1701A"/>
    <w:rsid w:val="00B17BEB"/>
    <w:rsid w:val="00B21A3C"/>
    <w:rsid w:val="00B223C0"/>
    <w:rsid w:val="00B234ED"/>
    <w:rsid w:val="00B249B2"/>
    <w:rsid w:val="00B25CA3"/>
    <w:rsid w:val="00B2765A"/>
    <w:rsid w:val="00B3109A"/>
    <w:rsid w:val="00B42EAB"/>
    <w:rsid w:val="00B44B02"/>
    <w:rsid w:val="00B516ED"/>
    <w:rsid w:val="00B57A6A"/>
    <w:rsid w:val="00B605CF"/>
    <w:rsid w:val="00B640B5"/>
    <w:rsid w:val="00B64DC2"/>
    <w:rsid w:val="00B658DD"/>
    <w:rsid w:val="00B760F1"/>
    <w:rsid w:val="00B7669E"/>
    <w:rsid w:val="00B77AF2"/>
    <w:rsid w:val="00B77DA1"/>
    <w:rsid w:val="00B817A9"/>
    <w:rsid w:val="00B822A0"/>
    <w:rsid w:val="00B858AE"/>
    <w:rsid w:val="00B85964"/>
    <w:rsid w:val="00B92E79"/>
    <w:rsid w:val="00B93E3A"/>
    <w:rsid w:val="00B96250"/>
    <w:rsid w:val="00BA0D55"/>
    <w:rsid w:val="00BA1E47"/>
    <w:rsid w:val="00BA37B3"/>
    <w:rsid w:val="00BA4CC6"/>
    <w:rsid w:val="00BB3493"/>
    <w:rsid w:val="00BB7468"/>
    <w:rsid w:val="00BC188A"/>
    <w:rsid w:val="00BC402E"/>
    <w:rsid w:val="00BD0F48"/>
    <w:rsid w:val="00BE0000"/>
    <w:rsid w:val="00BE6DDB"/>
    <w:rsid w:val="00BF5010"/>
    <w:rsid w:val="00C03D5F"/>
    <w:rsid w:val="00C076B1"/>
    <w:rsid w:val="00C13791"/>
    <w:rsid w:val="00C21807"/>
    <w:rsid w:val="00C26B5C"/>
    <w:rsid w:val="00C31BB3"/>
    <w:rsid w:val="00C36977"/>
    <w:rsid w:val="00C467DA"/>
    <w:rsid w:val="00C477D9"/>
    <w:rsid w:val="00C60BA3"/>
    <w:rsid w:val="00C623F7"/>
    <w:rsid w:val="00C62A81"/>
    <w:rsid w:val="00C62E2D"/>
    <w:rsid w:val="00C66E4D"/>
    <w:rsid w:val="00C72954"/>
    <w:rsid w:val="00C75BC5"/>
    <w:rsid w:val="00C81670"/>
    <w:rsid w:val="00C81773"/>
    <w:rsid w:val="00C82861"/>
    <w:rsid w:val="00C84288"/>
    <w:rsid w:val="00C86896"/>
    <w:rsid w:val="00C907A8"/>
    <w:rsid w:val="00C93211"/>
    <w:rsid w:val="00C942EC"/>
    <w:rsid w:val="00C96047"/>
    <w:rsid w:val="00C979D0"/>
    <w:rsid w:val="00CA0818"/>
    <w:rsid w:val="00CA15C8"/>
    <w:rsid w:val="00CA2C8F"/>
    <w:rsid w:val="00CA30DA"/>
    <w:rsid w:val="00CA3A24"/>
    <w:rsid w:val="00CA7F09"/>
    <w:rsid w:val="00CB1777"/>
    <w:rsid w:val="00CB33E9"/>
    <w:rsid w:val="00CB4B38"/>
    <w:rsid w:val="00CB76E3"/>
    <w:rsid w:val="00CC10A9"/>
    <w:rsid w:val="00CE2BF8"/>
    <w:rsid w:val="00CE484E"/>
    <w:rsid w:val="00CE656F"/>
    <w:rsid w:val="00CF0DA8"/>
    <w:rsid w:val="00CF2E25"/>
    <w:rsid w:val="00CF4453"/>
    <w:rsid w:val="00CF4649"/>
    <w:rsid w:val="00CF5D94"/>
    <w:rsid w:val="00CF7E0F"/>
    <w:rsid w:val="00D021FF"/>
    <w:rsid w:val="00D02A52"/>
    <w:rsid w:val="00D034D7"/>
    <w:rsid w:val="00D04BE4"/>
    <w:rsid w:val="00D06FC7"/>
    <w:rsid w:val="00D10613"/>
    <w:rsid w:val="00D108E1"/>
    <w:rsid w:val="00D12565"/>
    <w:rsid w:val="00D14127"/>
    <w:rsid w:val="00D20B17"/>
    <w:rsid w:val="00D2782D"/>
    <w:rsid w:val="00D35DFC"/>
    <w:rsid w:val="00D375F1"/>
    <w:rsid w:val="00D43DDB"/>
    <w:rsid w:val="00D50C74"/>
    <w:rsid w:val="00D53D68"/>
    <w:rsid w:val="00D5695A"/>
    <w:rsid w:val="00D60B16"/>
    <w:rsid w:val="00D60D2B"/>
    <w:rsid w:val="00D60F02"/>
    <w:rsid w:val="00D61C07"/>
    <w:rsid w:val="00D66E49"/>
    <w:rsid w:val="00D66F34"/>
    <w:rsid w:val="00D70D71"/>
    <w:rsid w:val="00D72F74"/>
    <w:rsid w:val="00D81563"/>
    <w:rsid w:val="00D83497"/>
    <w:rsid w:val="00D84CB6"/>
    <w:rsid w:val="00D85907"/>
    <w:rsid w:val="00D9073E"/>
    <w:rsid w:val="00D9221D"/>
    <w:rsid w:val="00D958DF"/>
    <w:rsid w:val="00D96DA1"/>
    <w:rsid w:val="00DA51E7"/>
    <w:rsid w:val="00DA552D"/>
    <w:rsid w:val="00DA5D89"/>
    <w:rsid w:val="00DA6CAE"/>
    <w:rsid w:val="00DB0260"/>
    <w:rsid w:val="00DB1C78"/>
    <w:rsid w:val="00DB7D96"/>
    <w:rsid w:val="00DC23FE"/>
    <w:rsid w:val="00DC59E6"/>
    <w:rsid w:val="00DD150B"/>
    <w:rsid w:val="00DD5025"/>
    <w:rsid w:val="00DD753E"/>
    <w:rsid w:val="00DE2652"/>
    <w:rsid w:val="00DE7A81"/>
    <w:rsid w:val="00DF1510"/>
    <w:rsid w:val="00DF3D1D"/>
    <w:rsid w:val="00E01244"/>
    <w:rsid w:val="00E029C6"/>
    <w:rsid w:val="00E02F1F"/>
    <w:rsid w:val="00E05866"/>
    <w:rsid w:val="00E06484"/>
    <w:rsid w:val="00E16C1B"/>
    <w:rsid w:val="00E20A7D"/>
    <w:rsid w:val="00E2206D"/>
    <w:rsid w:val="00E275D8"/>
    <w:rsid w:val="00E30F6A"/>
    <w:rsid w:val="00E3117C"/>
    <w:rsid w:val="00E375CA"/>
    <w:rsid w:val="00E40CF8"/>
    <w:rsid w:val="00E4430F"/>
    <w:rsid w:val="00E533D9"/>
    <w:rsid w:val="00E5364F"/>
    <w:rsid w:val="00E567E8"/>
    <w:rsid w:val="00E64679"/>
    <w:rsid w:val="00E65EBC"/>
    <w:rsid w:val="00E677FE"/>
    <w:rsid w:val="00E73432"/>
    <w:rsid w:val="00E73527"/>
    <w:rsid w:val="00E75AF2"/>
    <w:rsid w:val="00E77B0C"/>
    <w:rsid w:val="00E77FB8"/>
    <w:rsid w:val="00E82BB5"/>
    <w:rsid w:val="00E838B0"/>
    <w:rsid w:val="00E86A7C"/>
    <w:rsid w:val="00E878E1"/>
    <w:rsid w:val="00E87F2C"/>
    <w:rsid w:val="00E95278"/>
    <w:rsid w:val="00EA2273"/>
    <w:rsid w:val="00EA7C3C"/>
    <w:rsid w:val="00EB2DB3"/>
    <w:rsid w:val="00EC3FBB"/>
    <w:rsid w:val="00EC6B7A"/>
    <w:rsid w:val="00ED3A87"/>
    <w:rsid w:val="00ED3AED"/>
    <w:rsid w:val="00ED5B67"/>
    <w:rsid w:val="00EF0D1D"/>
    <w:rsid w:val="00EF264C"/>
    <w:rsid w:val="00EF3FEE"/>
    <w:rsid w:val="00F03B22"/>
    <w:rsid w:val="00F04B59"/>
    <w:rsid w:val="00F1041A"/>
    <w:rsid w:val="00F11741"/>
    <w:rsid w:val="00F12B1C"/>
    <w:rsid w:val="00F13CF8"/>
    <w:rsid w:val="00F15855"/>
    <w:rsid w:val="00F200B2"/>
    <w:rsid w:val="00F220F3"/>
    <w:rsid w:val="00F227DC"/>
    <w:rsid w:val="00F32978"/>
    <w:rsid w:val="00F42FC9"/>
    <w:rsid w:val="00F45CB2"/>
    <w:rsid w:val="00F544C0"/>
    <w:rsid w:val="00F55332"/>
    <w:rsid w:val="00F6504A"/>
    <w:rsid w:val="00F65519"/>
    <w:rsid w:val="00F713C0"/>
    <w:rsid w:val="00F73557"/>
    <w:rsid w:val="00F746DD"/>
    <w:rsid w:val="00F75DDC"/>
    <w:rsid w:val="00F76EE4"/>
    <w:rsid w:val="00F7792F"/>
    <w:rsid w:val="00F842AA"/>
    <w:rsid w:val="00F8476F"/>
    <w:rsid w:val="00F853E1"/>
    <w:rsid w:val="00F85604"/>
    <w:rsid w:val="00F91B33"/>
    <w:rsid w:val="00F94A8A"/>
    <w:rsid w:val="00F94B7A"/>
    <w:rsid w:val="00FA0D6D"/>
    <w:rsid w:val="00FA17AC"/>
    <w:rsid w:val="00FA32DE"/>
    <w:rsid w:val="00FA3382"/>
    <w:rsid w:val="00FA59CD"/>
    <w:rsid w:val="00FB1740"/>
    <w:rsid w:val="00FB53A0"/>
    <w:rsid w:val="00FC5469"/>
    <w:rsid w:val="00FC6D7D"/>
    <w:rsid w:val="00FD16B0"/>
    <w:rsid w:val="00FD27CC"/>
    <w:rsid w:val="00FD4FED"/>
    <w:rsid w:val="00FE0577"/>
    <w:rsid w:val="00FE59EC"/>
    <w:rsid w:val="00FE5B67"/>
    <w:rsid w:val="00FE60D6"/>
    <w:rsid w:val="00FE6C44"/>
    <w:rsid w:val="00FE7A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4060C1A6-354A-4DBC-94A2-52ED52E57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uiPriority w:val="99"/>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uiPriority w:val="99"/>
    <w:unhideWhenUsed/>
    <w:rsid w:val="00105F5C"/>
    <w:rPr>
      <w:vertAlign w:val="superscript"/>
    </w:rPr>
  </w:style>
  <w:style w:type="character" w:customStyle="1" w:styleId="FootnoteTextChar">
    <w:name w:val="Footnote Text Char"/>
    <w:basedOn w:val="DefaultParagraphFont"/>
    <w:link w:val="FootnoteText"/>
    <w:uiPriority w:val="99"/>
    <w:rsid w:val="00105F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5313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eia.gov/dnav/ng/hist/rngwhhdM.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7E7C2E-02A2-42CA-9013-CF324E37B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Template>
  <TotalTime>0</TotalTime>
  <Pages>12</Pages>
  <Words>2391</Words>
  <Characters>13910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16269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Devlin Higgins</dc:creator>
  <cp:lastModifiedBy>Hanna Black</cp:lastModifiedBy>
  <cp:revision>2</cp:revision>
  <cp:lastPrinted>2022-06-23T17:49:00Z</cp:lastPrinted>
  <dcterms:created xsi:type="dcterms:W3CDTF">2022-06-24T13:38:00Z</dcterms:created>
  <dcterms:modified xsi:type="dcterms:W3CDTF">2022-06-24T13:38:00Z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20220001-EI</vt:lpwstr>
  </property>
  <property fmtid="{D5CDD505-2E9C-101B-9397-08002B2CF9AE}" pid="3" name="MasterDocument">
    <vt:bool>false</vt:bool>
  </property>
</Properties>
</file>