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97CD1" w:rsidP="00397CD1">
      <w:pPr>
        <w:pStyle w:val="OrderHeading"/>
      </w:pPr>
      <w:r>
        <w:t>BEFORE THE FLORIDA PUBLIC SERVICE COMMISSION</w:t>
      </w:r>
    </w:p>
    <w:p w:rsidR="00397CD1" w:rsidRDefault="00397CD1" w:rsidP="00397CD1">
      <w:pPr>
        <w:pStyle w:val="OrderBody"/>
      </w:pPr>
    </w:p>
    <w:p w:rsidR="00397CD1" w:rsidRDefault="00397CD1" w:rsidP="00397CD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97CD1" w:rsidRPr="00C63FCF" w:rsidTr="00C63FCF">
        <w:trPr>
          <w:trHeight w:val="828"/>
        </w:trPr>
        <w:tc>
          <w:tcPr>
            <w:tcW w:w="4788" w:type="dxa"/>
            <w:tcBorders>
              <w:bottom w:val="single" w:sz="8" w:space="0" w:color="auto"/>
              <w:right w:val="double" w:sz="6" w:space="0" w:color="auto"/>
            </w:tcBorders>
            <w:shd w:val="clear" w:color="auto" w:fill="auto"/>
          </w:tcPr>
          <w:p w:rsidR="00397CD1" w:rsidRDefault="00397CD1" w:rsidP="00C63FCF">
            <w:pPr>
              <w:pStyle w:val="OrderBody"/>
              <w:tabs>
                <w:tab w:val="center" w:pos="4320"/>
                <w:tab w:val="right" w:pos="8640"/>
              </w:tabs>
              <w:jc w:val="left"/>
            </w:pPr>
            <w:r>
              <w:t xml:space="preserve">In re: </w:t>
            </w:r>
            <w:bookmarkStart w:id="0" w:name="SSInRe"/>
            <w:bookmarkEnd w:id="0"/>
            <w:r>
              <w:t>Petition for rate increase by Florida Public Utilities Company, Florida Division of Chesapeake Utilities Corporation, Florida Public Utilities Company - Fort Meade, and Florida Public Utilities Company - Indiantown Division.</w:t>
            </w:r>
          </w:p>
        </w:tc>
        <w:tc>
          <w:tcPr>
            <w:tcW w:w="4788" w:type="dxa"/>
            <w:tcBorders>
              <w:left w:val="double" w:sz="6" w:space="0" w:color="auto"/>
            </w:tcBorders>
            <w:shd w:val="clear" w:color="auto" w:fill="auto"/>
          </w:tcPr>
          <w:p w:rsidR="00397CD1" w:rsidRDefault="00397CD1" w:rsidP="00397CD1">
            <w:pPr>
              <w:pStyle w:val="OrderBody"/>
            </w:pPr>
            <w:r>
              <w:t xml:space="preserve">DOCKET NO. </w:t>
            </w:r>
            <w:bookmarkStart w:id="1" w:name="SSDocketNo"/>
            <w:bookmarkEnd w:id="1"/>
            <w:r>
              <w:t>20220067-GU</w:t>
            </w:r>
          </w:p>
          <w:p w:rsidR="00397CD1" w:rsidRDefault="00397CD1" w:rsidP="00C63FCF">
            <w:pPr>
              <w:pStyle w:val="OrderBody"/>
              <w:tabs>
                <w:tab w:val="center" w:pos="4320"/>
                <w:tab w:val="right" w:pos="8640"/>
              </w:tabs>
              <w:jc w:val="left"/>
            </w:pPr>
            <w:r>
              <w:t xml:space="preserve">ORDER NO. </w:t>
            </w:r>
            <w:bookmarkStart w:id="2" w:name="OrderNo0270"/>
            <w:r w:rsidR="00D0387D">
              <w:t>PSC-2022-0270-PCO-GU</w:t>
            </w:r>
            <w:bookmarkEnd w:id="2"/>
          </w:p>
          <w:p w:rsidR="00397CD1" w:rsidRDefault="00397CD1" w:rsidP="00C63FCF">
            <w:pPr>
              <w:pStyle w:val="OrderBody"/>
              <w:tabs>
                <w:tab w:val="center" w:pos="4320"/>
                <w:tab w:val="right" w:pos="8640"/>
              </w:tabs>
              <w:jc w:val="left"/>
            </w:pPr>
            <w:r>
              <w:t xml:space="preserve">ISSUED: </w:t>
            </w:r>
            <w:r w:rsidR="00D0387D">
              <w:t>July 8, 2022</w:t>
            </w:r>
          </w:p>
        </w:tc>
      </w:tr>
    </w:tbl>
    <w:p w:rsidR="00397CD1" w:rsidRDefault="00397CD1" w:rsidP="00397CD1"/>
    <w:p w:rsidR="00397CD1" w:rsidRDefault="00397CD1" w:rsidP="00397CD1"/>
    <w:p w:rsidR="00250D69" w:rsidRDefault="00361E0C" w:rsidP="00397CD1">
      <w:pPr>
        <w:pStyle w:val="CenterUnderline"/>
      </w:pPr>
      <w:bookmarkStart w:id="3" w:name="Commissioners"/>
      <w:bookmarkEnd w:id="3"/>
      <w:r>
        <w:t xml:space="preserve">FIRST </w:t>
      </w:r>
      <w:r w:rsidR="00397CD1">
        <w:t>ORDER</w:t>
      </w:r>
      <w:bookmarkStart w:id="4" w:name="OrderTitle"/>
      <w:r w:rsidR="000C47B1">
        <w:t xml:space="preserve"> MODIFYING ORDER ESTABLISHING PROCEDURE</w:t>
      </w:r>
    </w:p>
    <w:p w:rsidR="009A02E7" w:rsidRDefault="00621C28" w:rsidP="00397CD1">
      <w:pPr>
        <w:pStyle w:val="CenterUnderline"/>
      </w:pPr>
      <w:r>
        <w:t>AND GRANTING IN PART</w:t>
      </w:r>
      <w:r w:rsidR="00397CD1">
        <w:t xml:space="preserve"> </w:t>
      </w:r>
      <w:bookmarkEnd w:id="4"/>
      <w:r w:rsidR="00250D69">
        <w:t xml:space="preserve">AND DENYING IN PART </w:t>
      </w:r>
    </w:p>
    <w:p w:rsidR="00397CD1" w:rsidRDefault="00621C28" w:rsidP="00397CD1">
      <w:pPr>
        <w:pStyle w:val="CenterUnderline"/>
      </w:pPr>
      <w:r>
        <w:t>MOTION</w:t>
      </w:r>
      <w:r w:rsidR="009A02E7">
        <w:t xml:space="preserve"> TO MODIFY KEY ACTIVITY DATES</w:t>
      </w:r>
    </w:p>
    <w:p w:rsidR="00397CD1" w:rsidRDefault="00397CD1" w:rsidP="00397CD1">
      <w:pPr>
        <w:pStyle w:val="CenterUnderline"/>
      </w:pPr>
    </w:p>
    <w:p w:rsidR="00DA06FE" w:rsidRDefault="000C47B1" w:rsidP="004D68FC">
      <w:pPr>
        <w:pStyle w:val="OrderBody"/>
      </w:pPr>
      <w:bookmarkStart w:id="5" w:name="OrderText"/>
      <w:bookmarkEnd w:id="5"/>
      <w:r>
        <w:tab/>
        <w:t>O</w:t>
      </w:r>
      <w:r w:rsidR="00BB75A1">
        <w:t>rder No. PSC-2022-0222-PCO-GU, Order Establishing Procedure (OEP</w:t>
      </w:r>
      <w:r>
        <w:t>)</w:t>
      </w:r>
      <w:r w:rsidR="00361E0C">
        <w:t>,</w:t>
      </w:r>
      <w:r>
        <w:t xml:space="preserve"> issued on June 17, 2022, established hearing procedures to govern this </w:t>
      </w:r>
      <w:r w:rsidR="00361E0C">
        <w:t>d</w:t>
      </w:r>
      <w:r>
        <w:t>ocket</w:t>
      </w:r>
      <w:r w:rsidR="00BB75A1">
        <w:t>, including controlling dates</w:t>
      </w:r>
      <w:r w:rsidR="00182041">
        <w:t xml:space="preserve"> for key activities prior to hearing</w:t>
      </w:r>
      <w:r w:rsidR="00BB75A1">
        <w:t xml:space="preserve">. On June 24, 2022, the Office of Public Counsel (OPC) filed a </w:t>
      </w:r>
      <w:r w:rsidR="00182041">
        <w:t>M</w:t>
      </w:r>
      <w:r w:rsidR="00BB75A1">
        <w:t xml:space="preserve">otion </w:t>
      </w:r>
      <w:r w:rsidR="00DA06FE">
        <w:t xml:space="preserve">to </w:t>
      </w:r>
      <w:r w:rsidR="00182041">
        <w:t>M</w:t>
      </w:r>
      <w:r w:rsidR="00DA06FE">
        <w:t>odify</w:t>
      </w:r>
      <w:r w:rsidR="00BB75A1">
        <w:t xml:space="preserve"> </w:t>
      </w:r>
      <w:r w:rsidR="00182041">
        <w:t>Key Activity Dates (Motion)</w:t>
      </w:r>
      <w:r w:rsidR="00BB75A1">
        <w:t xml:space="preserve">, pursuant to Rule 28-106.204(4), F.A.C. </w:t>
      </w:r>
    </w:p>
    <w:p w:rsidR="00DA06FE" w:rsidRDefault="00DA06FE" w:rsidP="004D68FC">
      <w:pPr>
        <w:pStyle w:val="OrderBody"/>
      </w:pPr>
    </w:p>
    <w:p w:rsidR="00DA06FE" w:rsidRDefault="00182041" w:rsidP="004D68FC">
      <w:pPr>
        <w:ind w:firstLine="720"/>
        <w:jc w:val="both"/>
      </w:pPr>
      <w:r>
        <w:t xml:space="preserve">In its Motion, </w:t>
      </w:r>
      <w:r w:rsidR="00DA06FE">
        <w:t xml:space="preserve">OPC requests additional time to prepare its testimony. Under the current schedule, Intervenor testimony and exhibits are due on August 12, 2022 – approximately two and </w:t>
      </w:r>
      <w:r w:rsidR="00BA61BF">
        <w:t xml:space="preserve">a </w:t>
      </w:r>
      <w:r w:rsidR="00DA06FE">
        <w:t xml:space="preserve">half months after Florida Public Utilities Company (Utility) </w:t>
      </w:r>
      <w:r w:rsidR="00361E0C">
        <w:t>pre</w:t>
      </w:r>
      <w:r w:rsidR="00DA06FE">
        <w:t xml:space="preserve">filed its </w:t>
      </w:r>
      <w:r w:rsidR="00361E0C">
        <w:t xml:space="preserve">direct </w:t>
      </w:r>
      <w:r w:rsidR="00DA06FE">
        <w:t>testimon</w:t>
      </w:r>
      <w:r w:rsidR="00361E0C">
        <w:t>y</w:t>
      </w:r>
      <w:r w:rsidR="00DA06FE">
        <w:t xml:space="preserve"> </w:t>
      </w:r>
      <w:r w:rsidR="00361E0C">
        <w:t>and</w:t>
      </w:r>
      <w:r w:rsidR="00DA06FE">
        <w:t xml:space="preserve"> exhibits, depreciation study, and </w:t>
      </w:r>
      <w:r w:rsidR="008E1633">
        <w:t>minimum filing requirements</w:t>
      </w:r>
      <w:r w:rsidR="00F53EA3">
        <w:t>,</w:t>
      </w:r>
      <w:r w:rsidR="00DA06FE">
        <w:t xml:space="preserve"> including a request for consolidation</w:t>
      </w:r>
      <w:r w:rsidR="00F53EA3">
        <w:t xml:space="preserve"> of rates and rate structure</w:t>
      </w:r>
      <w:r w:rsidR="00DA06FE">
        <w:t xml:space="preserve">. OPC contends that due to the complexity of </w:t>
      </w:r>
      <w:r w:rsidR="00F53EA3">
        <w:t>this</w:t>
      </w:r>
      <w:r w:rsidR="00DA06FE">
        <w:t xml:space="preserve"> base rate case, two and half month</w:t>
      </w:r>
      <w:r w:rsidR="00F53EA3">
        <w:t>s</w:t>
      </w:r>
      <w:r w:rsidR="00DA06FE">
        <w:t xml:space="preserve"> is insufficient time for OPC to adequately </w:t>
      </w:r>
      <w:r w:rsidR="005539C2">
        <w:t>prepare</w:t>
      </w:r>
      <w:r w:rsidR="00DA06FE">
        <w:t xml:space="preserve"> its case in chief. Therefore, OPC argues that it requires additional time </w:t>
      </w:r>
      <w:r w:rsidR="00361E0C">
        <w:t xml:space="preserve">for a number of prehearing </w:t>
      </w:r>
      <w:r w:rsidR="008E1633">
        <w:t>activities</w:t>
      </w:r>
      <w:r w:rsidR="00361E0C">
        <w:t xml:space="preserve"> </w:t>
      </w:r>
      <w:r w:rsidR="00DA06FE">
        <w:t>to conduct reasonable discovery and ensure its due process rights are protected.</w:t>
      </w:r>
    </w:p>
    <w:p w:rsidR="00DA06FE" w:rsidRDefault="00DA06FE" w:rsidP="004D68FC">
      <w:pPr>
        <w:pStyle w:val="OrderBody"/>
      </w:pPr>
    </w:p>
    <w:p w:rsidR="00DA06FE" w:rsidRDefault="00DA06FE" w:rsidP="004D68FC">
      <w:pPr>
        <w:pStyle w:val="OrderBody"/>
      </w:pPr>
      <w:r>
        <w:tab/>
        <w:t xml:space="preserve">In </w:t>
      </w:r>
      <w:r w:rsidR="00C24B62">
        <w:t xml:space="preserve">paragraph seven of </w:t>
      </w:r>
      <w:r>
        <w:t xml:space="preserve">its </w:t>
      </w:r>
      <w:r w:rsidR="00182041">
        <w:t>M</w:t>
      </w:r>
      <w:r>
        <w:t xml:space="preserve">otion, OPC acknowledges that if its </w:t>
      </w:r>
      <w:r w:rsidR="00182041">
        <w:t>M</w:t>
      </w:r>
      <w:r>
        <w:t xml:space="preserve">otion request </w:t>
      </w:r>
      <w:r w:rsidR="005539C2">
        <w:t>is</w:t>
      </w:r>
      <w:r>
        <w:t xml:space="preserve"> granted, a 20-day turn around for discovery prior to rebuttal, as currently set forth in the OEP, would be burdensome to the Utility</w:t>
      </w:r>
      <w:r w:rsidR="008E1633">
        <w:t>,</w:t>
      </w:r>
      <w:r>
        <w:t xml:space="preserve"> given the complexity of this rate case. Therefore, OPC </w:t>
      </w:r>
      <w:r w:rsidR="00C24B62">
        <w:t>also requests</w:t>
      </w:r>
      <w:r w:rsidR="005539C2">
        <w:t xml:space="preserve"> 25 days to answer discovery requests prior to when </w:t>
      </w:r>
      <w:r w:rsidR="00FC49A3">
        <w:t>Intervenor</w:t>
      </w:r>
      <w:r w:rsidR="00C24B62">
        <w:t>’s testimony and exhibits are due and</w:t>
      </w:r>
      <w:r w:rsidR="005539C2">
        <w:t xml:space="preserve"> </w:t>
      </w:r>
      <w:r w:rsidR="00FC49A3">
        <w:t>20</w:t>
      </w:r>
      <w:r w:rsidR="005539C2">
        <w:t xml:space="preserve"> days to answer</w:t>
      </w:r>
      <w:r w:rsidR="00C24B62">
        <w:t xml:space="preserve"> discovery </w:t>
      </w:r>
      <w:r w:rsidR="005539C2">
        <w:t xml:space="preserve">requests </w:t>
      </w:r>
      <w:r w:rsidR="00C24B62">
        <w:t>thereafter</w:t>
      </w:r>
      <w:r w:rsidR="008E1633">
        <w:t xml:space="preserve">, with the 10-day discovery response time on </w:t>
      </w:r>
      <w:r w:rsidR="00182041">
        <w:t xml:space="preserve">matters addressing </w:t>
      </w:r>
      <w:r w:rsidR="008E1633">
        <w:t>rebuttal remaining unchanged.</w:t>
      </w:r>
      <w:r w:rsidR="00361E0C">
        <w:t xml:space="preserve"> In its motion, OPC represents that FPUC is in agreement with OPC’s request.</w:t>
      </w:r>
    </w:p>
    <w:p w:rsidR="00C24B62" w:rsidRDefault="00C24B62" w:rsidP="004D68FC">
      <w:pPr>
        <w:pStyle w:val="OrderBody"/>
      </w:pPr>
    </w:p>
    <w:p w:rsidR="000C47B1" w:rsidRPr="00A57071" w:rsidRDefault="00A57071" w:rsidP="00A57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Courier New"/>
        </w:rPr>
      </w:pPr>
      <w:r>
        <w:tab/>
        <w:t xml:space="preserve">In drafting controlling dates for this docket, significant thought and consideration </w:t>
      </w:r>
      <w:r w:rsidR="003E718E">
        <w:t xml:space="preserve">has been put </w:t>
      </w:r>
      <w:r>
        <w:t xml:space="preserve">into the needs of not only </w:t>
      </w:r>
      <w:r w:rsidR="006467B9">
        <w:t xml:space="preserve">the Commission and </w:t>
      </w:r>
      <w:r>
        <w:t>Commission staff, bu</w:t>
      </w:r>
      <w:r w:rsidR="002E6705">
        <w:t xml:space="preserve">t also </w:t>
      </w:r>
      <w:r w:rsidR="00182041">
        <w:t xml:space="preserve">those of </w:t>
      </w:r>
      <w:r w:rsidR="002E6705">
        <w:t>the parties.</w:t>
      </w:r>
      <w:r w:rsidR="006467B9">
        <w:t xml:space="preserve"> </w:t>
      </w:r>
      <w:r w:rsidR="00182041">
        <w:t>Howev</w:t>
      </w:r>
      <w:r w:rsidR="006467B9">
        <w:t xml:space="preserve">er, it appears that part, but not all, of OPC’s request may be granted without unduly disadvantaging the parties or staff. Accordingly, </w:t>
      </w:r>
      <w:r w:rsidR="000C47B1">
        <w:t xml:space="preserve">Section IX of the </w:t>
      </w:r>
      <w:r>
        <w:t>OEP</w:t>
      </w:r>
      <w:r w:rsidR="000C47B1">
        <w:t xml:space="preserve"> shall be modified and the following due dates are hereby established to govern the key activities of this case:</w:t>
      </w:r>
    </w:p>
    <w:p w:rsidR="00182041" w:rsidRDefault="00182041">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2893"/>
      </w:tblGrid>
      <w:tr w:rsidR="00DD696E" w:rsidTr="00360AC3">
        <w:trPr>
          <w:jc w:val="center"/>
        </w:trPr>
        <w:tc>
          <w:tcPr>
            <w:tcW w:w="3210" w:type="dxa"/>
            <w:shd w:val="clear" w:color="auto" w:fill="auto"/>
          </w:tcPr>
          <w:p w:rsidR="00DD696E" w:rsidRPr="002E6705" w:rsidRDefault="00DD696E" w:rsidP="008532B8">
            <w:pPr>
              <w:pStyle w:val="OrderBody"/>
              <w:spacing w:after="240"/>
              <w:jc w:val="center"/>
              <w:rPr>
                <w:b/>
                <w:u w:val="single"/>
              </w:rPr>
            </w:pPr>
            <w:r w:rsidRPr="002E6705">
              <w:rPr>
                <w:b/>
                <w:u w:val="single"/>
              </w:rPr>
              <w:lastRenderedPageBreak/>
              <w:t>Key Activities</w:t>
            </w:r>
          </w:p>
        </w:tc>
        <w:tc>
          <w:tcPr>
            <w:tcW w:w="2893" w:type="dxa"/>
            <w:shd w:val="clear" w:color="auto" w:fill="auto"/>
          </w:tcPr>
          <w:p w:rsidR="00DD696E" w:rsidRPr="002E6705" w:rsidRDefault="00DD696E" w:rsidP="008532B8">
            <w:pPr>
              <w:pStyle w:val="OrderBody"/>
              <w:spacing w:after="240"/>
              <w:jc w:val="center"/>
              <w:rPr>
                <w:b/>
                <w:u w:val="single"/>
              </w:rPr>
            </w:pPr>
            <w:r>
              <w:rPr>
                <w:b/>
                <w:u w:val="single"/>
              </w:rPr>
              <w:t xml:space="preserve">New </w:t>
            </w:r>
            <w:r w:rsidRPr="002E6705">
              <w:rPr>
                <w:b/>
                <w:u w:val="single"/>
              </w:rPr>
              <w:t>Controlling Dates</w:t>
            </w:r>
          </w:p>
        </w:tc>
      </w:tr>
      <w:tr w:rsidR="00DD696E" w:rsidTr="00360AC3">
        <w:trPr>
          <w:jc w:val="center"/>
        </w:trPr>
        <w:tc>
          <w:tcPr>
            <w:tcW w:w="3210" w:type="dxa"/>
            <w:shd w:val="clear" w:color="auto" w:fill="auto"/>
          </w:tcPr>
          <w:p w:rsidR="00DD696E" w:rsidRDefault="00DD696E" w:rsidP="00780178">
            <w:pPr>
              <w:numPr>
                <w:ilvl w:val="12"/>
                <w:numId w:val="0"/>
              </w:numPr>
              <w:tabs>
                <w:tab w:val="left" w:pos="0"/>
                <w:tab w:val="left" w:pos="720"/>
                <w:tab w:val="left" w:pos="1440"/>
                <w:tab w:val="left" w:pos="2160"/>
                <w:tab w:val="left" w:pos="2880"/>
                <w:tab w:val="left" w:pos="3600"/>
                <w:tab w:val="left" w:pos="4320"/>
                <w:tab w:val="left" w:pos="5040"/>
              </w:tabs>
              <w:spacing w:before="120" w:after="57"/>
            </w:pPr>
            <w:r>
              <w:t>Intervenors’ testimony and exhibits</w:t>
            </w:r>
          </w:p>
        </w:tc>
        <w:tc>
          <w:tcPr>
            <w:tcW w:w="2893" w:type="dxa"/>
            <w:shd w:val="clear" w:color="auto" w:fill="auto"/>
          </w:tcPr>
          <w:p w:rsidR="00DD696E" w:rsidRDefault="00DD696E" w:rsidP="00621C28">
            <w:pPr>
              <w:numPr>
                <w:ilvl w:val="12"/>
                <w:numId w:val="0"/>
              </w:numPr>
              <w:tabs>
                <w:tab w:val="left" w:pos="0"/>
                <w:tab w:val="left" w:pos="720"/>
                <w:tab w:val="left" w:pos="1440"/>
                <w:tab w:val="left" w:pos="2160"/>
                <w:tab w:val="left" w:pos="2880"/>
              </w:tabs>
              <w:spacing w:before="120" w:after="57"/>
              <w:jc w:val="both"/>
            </w:pPr>
            <w:r>
              <w:t>August 24, 2022</w:t>
            </w:r>
          </w:p>
        </w:tc>
      </w:tr>
      <w:tr w:rsidR="00DD696E" w:rsidTr="00360AC3">
        <w:trPr>
          <w:jc w:val="center"/>
        </w:trPr>
        <w:tc>
          <w:tcPr>
            <w:tcW w:w="3210" w:type="dxa"/>
            <w:shd w:val="clear" w:color="auto" w:fill="auto"/>
          </w:tcPr>
          <w:p w:rsidR="00DD696E" w:rsidRDefault="00DD696E" w:rsidP="00780178">
            <w:pPr>
              <w:numPr>
                <w:ilvl w:val="12"/>
                <w:numId w:val="0"/>
              </w:numPr>
              <w:tabs>
                <w:tab w:val="left" w:pos="0"/>
                <w:tab w:val="left" w:pos="720"/>
                <w:tab w:val="left" w:pos="1440"/>
                <w:tab w:val="left" w:pos="2160"/>
                <w:tab w:val="left" w:pos="2880"/>
                <w:tab w:val="left" w:pos="3600"/>
                <w:tab w:val="left" w:pos="4320"/>
                <w:tab w:val="left" w:pos="5040"/>
              </w:tabs>
              <w:spacing w:before="120" w:after="57"/>
            </w:pPr>
            <w:r>
              <w:t>Staff’s testimony and exhibits, if any</w:t>
            </w:r>
          </w:p>
        </w:tc>
        <w:tc>
          <w:tcPr>
            <w:tcW w:w="2893" w:type="dxa"/>
            <w:shd w:val="clear" w:color="auto" w:fill="auto"/>
          </w:tcPr>
          <w:p w:rsidR="00DD696E" w:rsidRDefault="00DD696E" w:rsidP="00621C28">
            <w:pPr>
              <w:numPr>
                <w:ilvl w:val="12"/>
                <w:numId w:val="0"/>
              </w:numPr>
              <w:tabs>
                <w:tab w:val="left" w:pos="0"/>
                <w:tab w:val="left" w:pos="720"/>
                <w:tab w:val="left" w:pos="1440"/>
                <w:tab w:val="left" w:pos="2160"/>
                <w:tab w:val="left" w:pos="2880"/>
              </w:tabs>
              <w:spacing w:before="120" w:after="57"/>
              <w:jc w:val="both"/>
            </w:pPr>
            <w:r>
              <w:t>August 24, 2022</w:t>
            </w:r>
          </w:p>
        </w:tc>
      </w:tr>
      <w:tr w:rsidR="00DD696E" w:rsidTr="00360AC3">
        <w:trPr>
          <w:jc w:val="center"/>
        </w:trPr>
        <w:tc>
          <w:tcPr>
            <w:tcW w:w="3210" w:type="dxa"/>
            <w:shd w:val="clear" w:color="auto" w:fill="auto"/>
          </w:tcPr>
          <w:p w:rsidR="00DD696E" w:rsidRDefault="00DD696E" w:rsidP="00780178">
            <w:pPr>
              <w:numPr>
                <w:ilvl w:val="12"/>
                <w:numId w:val="0"/>
              </w:numPr>
              <w:tabs>
                <w:tab w:val="left" w:pos="0"/>
                <w:tab w:val="left" w:pos="720"/>
                <w:tab w:val="left" w:pos="1440"/>
                <w:tab w:val="left" w:pos="2160"/>
                <w:tab w:val="left" w:pos="2880"/>
                <w:tab w:val="left" w:pos="3600"/>
                <w:tab w:val="left" w:pos="4320"/>
                <w:tab w:val="left" w:pos="5040"/>
              </w:tabs>
              <w:spacing w:before="120" w:after="57"/>
            </w:pPr>
            <w:r>
              <w:t xml:space="preserve">Rebuttal testimony and exhibits </w:t>
            </w:r>
          </w:p>
        </w:tc>
        <w:tc>
          <w:tcPr>
            <w:tcW w:w="2893" w:type="dxa"/>
            <w:shd w:val="clear" w:color="auto" w:fill="auto"/>
          </w:tcPr>
          <w:p w:rsidR="00DD696E" w:rsidRDefault="00DD696E" w:rsidP="00621C28">
            <w:pPr>
              <w:numPr>
                <w:ilvl w:val="12"/>
                <w:numId w:val="0"/>
              </w:numPr>
              <w:tabs>
                <w:tab w:val="left" w:pos="0"/>
                <w:tab w:val="left" w:pos="720"/>
                <w:tab w:val="left" w:pos="1440"/>
                <w:tab w:val="left" w:pos="2160"/>
                <w:tab w:val="left" w:pos="2880"/>
              </w:tabs>
              <w:spacing w:before="120" w:after="57"/>
              <w:jc w:val="both"/>
            </w:pPr>
            <w:r>
              <w:t>September 14, 2022</w:t>
            </w:r>
          </w:p>
        </w:tc>
      </w:tr>
      <w:tr w:rsidR="00DD696E" w:rsidTr="00360AC3">
        <w:trPr>
          <w:jc w:val="center"/>
        </w:trPr>
        <w:tc>
          <w:tcPr>
            <w:tcW w:w="3210" w:type="dxa"/>
            <w:shd w:val="clear" w:color="auto" w:fill="auto"/>
          </w:tcPr>
          <w:p w:rsidR="00DD696E" w:rsidRDefault="00DD696E" w:rsidP="00780178">
            <w:pPr>
              <w:numPr>
                <w:ilvl w:val="12"/>
                <w:numId w:val="0"/>
              </w:numPr>
              <w:tabs>
                <w:tab w:val="left" w:pos="0"/>
                <w:tab w:val="left" w:pos="720"/>
                <w:tab w:val="left" w:pos="1440"/>
                <w:tab w:val="left" w:pos="2160"/>
                <w:tab w:val="left" w:pos="2880"/>
                <w:tab w:val="left" w:pos="3600"/>
                <w:tab w:val="left" w:pos="4320"/>
                <w:tab w:val="left" w:pos="5040"/>
              </w:tabs>
              <w:spacing w:before="120" w:after="57"/>
            </w:pPr>
            <w:r>
              <w:t>Prehearing Statements</w:t>
            </w:r>
          </w:p>
        </w:tc>
        <w:tc>
          <w:tcPr>
            <w:tcW w:w="2893" w:type="dxa"/>
            <w:shd w:val="clear" w:color="auto" w:fill="auto"/>
          </w:tcPr>
          <w:p w:rsidR="00DD696E" w:rsidRDefault="00DD696E" w:rsidP="00621C28">
            <w:pPr>
              <w:numPr>
                <w:ilvl w:val="12"/>
                <w:numId w:val="0"/>
              </w:numPr>
              <w:tabs>
                <w:tab w:val="left" w:pos="0"/>
                <w:tab w:val="left" w:pos="720"/>
                <w:tab w:val="left" w:pos="1440"/>
                <w:tab w:val="left" w:pos="2160"/>
                <w:tab w:val="left" w:pos="2880"/>
              </w:tabs>
              <w:spacing w:before="120" w:after="57"/>
              <w:jc w:val="both"/>
            </w:pPr>
            <w:r>
              <w:t>September 30, 2022</w:t>
            </w:r>
          </w:p>
        </w:tc>
      </w:tr>
      <w:tr w:rsidR="00DD696E" w:rsidTr="00360AC3">
        <w:trPr>
          <w:jc w:val="center"/>
        </w:trPr>
        <w:tc>
          <w:tcPr>
            <w:tcW w:w="3210" w:type="dxa"/>
            <w:shd w:val="clear" w:color="auto" w:fill="auto"/>
          </w:tcPr>
          <w:p w:rsidR="00DD696E" w:rsidRDefault="00DD696E" w:rsidP="00780178">
            <w:pPr>
              <w:numPr>
                <w:ilvl w:val="12"/>
                <w:numId w:val="0"/>
              </w:numPr>
              <w:tabs>
                <w:tab w:val="left" w:pos="0"/>
                <w:tab w:val="left" w:pos="720"/>
                <w:tab w:val="left" w:pos="1440"/>
                <w:tab w:val="left" w:pos="2160"/>
                <w:tab w:val="left" w:pos="2880"/>
                <w:tab w:val="left" w:pos="3600"/>
                <w:tab w:val="left" w:pos="4320"/>
                <w:tab w:val="left" w:pos="5040"/>
              </w:tabs>
              <w:spacing w:before="120" w:after="57"/>
            </w:pPr>
            <w:r>
              <w:t>Discovery deadline</w:t>
            </w:r>
          </w:p>
        </w:tc>
        <w:tc>
          <w:tcPr>
            <w:tcW w:w="2893" w:type="dxa"/>
            <w:shd w:val="clear" w:color="auto" w:fill="auto"/>
          </w:tcPr>
          <w:p w:rsidR="00DD696E" w:rsidRDefault="00DD696E" w:rsidP="009A02E7">
            <w:pPr>
              <w:numPr>
                <w:ilvl w:val="12"/>
                <w:numId w:val="0"/>
              </w:numPr>
              <w:tabs>
                <w:tab w:val="left" w:pos="0"/>
                <w:tab w:val="left" w:pos="720"/>
                <w:tab w:val="left" w:pos="1440"/>
                <w:tab w:val="left" w:pos="2160"/>
                <w:tab w:val="left" w:pos="2880"/>
              </w:tabs>
              <w:spacing w:before="120" w:after="57"/>
              <w:jc w:val="both"/>
            </w:pPr>
            <w:r>
              <w:t>October 12, 2022</w:t>
            </w:r>
          </w:p>
        </w:tc>
      </w:tr>
    </w:tbl>
    <w:p w:rsidR="000C47B1" w:rsidRDefault="000C47B1" w:rsidP="000C47B1">
      <w:pPr>
        <w:pStyle w:val="OrderBody"/>
      </w:pPr>
    </w:p>
    <w:p w:rsidR="003E718E" w:rsidRDefault="003E718E" w:rsidP="00621C28">
      <w:pPr>
        <w:pStyle w:val="OrderBody"/>
        <w:ind w:firstLine="720"/>
      </w:pPr>
      <w:r>
        <w:t>Further, as provided in OPC’s motion, the discovery response times reflected in Section V, Paragraph 6, of the OEP shall be modified as follows:</w:t>
      </w:r>
    </w:p>
    <w:p w:rsidR="003E718E" w:rsidRDefault="003E718E" w:rsidP="00621C28">
      <w:pPr>
        <w:pStyle w:val="OrderBody"/>
        <w:ind w:firstLine="720"/>
      </w:pPr>
    </w:p>
    <w:p w:rsidR="003E718E" w:rsidRDefault="003E718E" w:rsidP="003E718E">
      <w:pPr>
        <w:ind w:left="720" w:right="720"/>
        <w:jc w:val="both"/>
        <w:rPr>
          <w:sz w:val="22"/>
          <w:szCs w:val="22"/>
        </w:rPr>
      </w:pPr>
      <w:r>
        <w:t xml:space="preserve">Discovery responses shall be served within </w:t>
      </w:r>
      <w:r>
        <w:rPr>
          <w:b/>
          <w:bCs/>
        </w:rPr>
        <w:t>25</w:t>
      </w:r>
      <w:r>
        <w:t xml:space="preserve"> days (inclusive of mailing) of receipt of the discovery request. </w:t>
      </w:r>
      <w:r>
        <w:rPr>
          <w:b/>
          <w:bCs/>
        </w:rPr>
        <w:t>For discovery requests related to matters addressed in the intervenors’ testimony, discovery responses shall be served within 20 days of receipt of the discovery request. </w:t>
      </w:r>
      <w:r>
        <w:t>For discovery requested related to matters addressed in the utility’s rebuttal testimony, discovery responses shall be served within 10 days of receipt of the discovery request.</w:t>
      </w:r>
    </w:p>
    <w:p w:rsidR="00182041" w:rsidRDefault="00182041" w:rsidP="006467B9">
      <w:pPr>
        <w:pStyle w:val="OrderBody"/>
      </w:pPr>
    </w:p>
    <w:p w:rsidR="006467B9" w:rsidRDefault="00182041" w:rsidP="00621C28">
      <w:pPr>
        <w:pStyle w:val="OrderBody"/>
        <w:ind w:firstLine="720"/>
      </w:pPr>
      <w:r w:rsidRPr="006E6E55">
        <w:t>This Order</w:t>
      </w:r>
      <w:r>
        <w:t xml:space="preserve"> modifying the OEP</w:t>
      </w:r>
      <w:r w:rsidRPr="006E6E55">
        <w:t xml:space="preserve"> is issued pursuant to the authority granted by Rule 28-106.211, </w:t>
      </w:r>
      <w:r>
        <w:t>Florida Administrative Code (</w:t>
      </w:r>
      <w:r w:rsidRPr="006E6E55">
        <w:t>F.A.C.</w:t>
      </w:r>
      <w:r>
        <w:t>)</w:t>
      </w:r>
      <w:r w:rsidRPr="006E6E55">
        <w:t>, which</w:t>
      </w:r>
      <w:r>
        <w:t xml:space="preserve"> </w:t>
      </w:r>
      <w:r w:rsidRPr="006E6E55">
        <w:t>provides that the presiding officer before whom a case is pending may issue any orders necessary</w:t>
      </w:r>
      <w:r>
        <w:t xml:space="preserve"> </w:t>
      </w:r>
      <w:r w:rsidRPr="006E6E55">
        <w:t>to effectuate discovery, prevent delay, and promote the just, speedy, and inexpensive</w:t>
      </w:r>
      <w:r>
        <w:t xml:space="preserve"> </w:t>
      </w:r>
      <w:r w:rsidRPr="006E6E55">
        <w:t>determination of all aspects of the case.</w:t>
      </w:r>
      <w:r w:rsidRPr="009A5229">
        <w:t xml:space="preserve"> </w:t>
      </w:r>
    </w:p>
    <w:p w:rsidR="00182041" w:rsidRDefault="00182041" w:rsidP="000C47B1">
      <w:pPr>
        <w:pStyle w:val="OrderBody"/>
      </w:pPr>
    </w:p>
    <w:p w:rsidR="000C47B1" w:rsidRDefault="000C47B1" w:rsidP="000C47B1">
      <w:pPr>
        <w:pStyle w:val="OrderBody"/>
      </w:pPr>
      <w:r>
        <w:tab/>
        <w:t>Based on the foregoing, it is</w:t>
      </w:r>
    </w:p>
    <w:p w:rsidR="000C47B1" w:rsidRDefault="000C47B1" w:rsidP="000C47B1">
      <w:pPr>
        <w:pStyle w:val="OrderBody"/>
      </w:pPr>
    </w:p>
    <w:p w:rsidR="006467B9" w:rsidRDefault="000C47B1" w:rsidP="000C47B1">
      <w:pPr>
        <w:pStyle w:val="OrderBody"/>
      </w:pPr>
      <w:r>
        <w:tab/>
        <w:t xml:space="preserve">ORDERED by Commissioner </w:t>
      </w:r>
      <w:r w:rsidR="008532B8">
        <w:rPr>
          <w:lang w:val="en"/>
        </w:rPr>
        <w:t>Gabriella Passidomo</w:t>
      </w:r>
      <w:r>
        <w:t xml:space="preserve">, as Prehearing Officer, that </w:t>
      </w:r>
      <w:r w:rsidR="006467B9">
        <w:t>OPC’s Motion to Modify Key Activity Dates is granted in part and denied in part, as set forth herein. It is further</w:t>
      </w:r>
    </w:p>
    <w:p w:rsidR="006467B9" w:rsidRDefault="006467B9" w:rsidP="000C47B1">
      <w:pPr>
        <w:pStyle w:val="OrderBody"/>
      </w:pPr>
    </w:p>
    <w:p w:rsidR="000C47B1" w:rsidRDefault="006467B9" w:rsidP="00621C28">
      <w:pPr>
        <w:pStyle w:val="OrderBody"/>
        <w:ind w:firstLine="720"/>
      </w:pPr>
      <w:r>
        <w:t xml:space="preserve">ORDERED </w:t>
      </w:r>
      <w:r w:rsidR="000C47B1">
        <w:t xml:space="preserve">Order No. </w:t>
      </w:r>
      <w:r w:rsidR="001E2B7D">
        <w:t>PSC-2022-0222-PCO-GU</w:t>
      </w:r>
      <w:r w:rsidR="000C47B1">
        <w:t xml:space="preserve"> is modified as set forth in the body of this order. It is further </w:t>
      </w:r>
    </w:p>
    <w:p w:rsidR="000C47B1" w:rsidRDefault="000C47B1" w:rsidP="000C47B1">
      <w:pPr>
        <w:pStyle w:val="OrderBody"/>
      </w:pPr>
    </w:p>
    <w:p w:rsidR="00CB5276" w:rsidRDefault="000C47B1" w:rsidP="000C47B1">
      <w:pPr>
        <w:pStyle w:val="OrderBody"/>
      </w:pPr>
      <w:r>
        <w:tab/>
        <w:t xml:space="preserve">ORDERED that Order No. </w:t>
      </w:r>
      <w:r w:rsidR="00813373">
        <w:t>PSC-2022-0222-PCO-GU</w:t>
      </w:r>
      <w:r>
        <w:t xml:space="preserve"> is reaffirmed in all other respects.</w:t>
      </w:r>
    </w:p>
    <w:p w:rsidR="005F2751" w:rsidRDefault="005F2751"/>
    <w:p w:rsidR="000C47B1" w:rsidRDefault="000C47B1" w:rsidP="000C47B1">
      <w:pPr>
        <w:keepNext/>
        <w:keepLines/>
        <w:jc w:val="both"/>
      </w:pPr>
      <w:r>
        <w:lastRenderedPageBreak/>
        <w:tab/>
        <w:t xml:space="preserve">By ORDER of Commissioner Gabriella Passidomo, as Prehearing Officer, this </w:t>
      </w:r>
      <w:bookmarkStart w:id="6" w:name="replaceDate"/>
      <w:bookmarkEnd w:id="6"/>
      <w:r w:rsidR="00D0387D">
        <w:rPr>
          <w:u w:val="single"/>
        </w:rPr>
        <w:t>8th</w:t>
      </w:r>
      <w:r w:rsidR="00D0387D">
        <w:t xml:space="preserve"> day of </w:t>
      </w:r>
      <w:r w:rsidR="00D0387D">
        <w:rPr>
          <w:u w:val="single"/>
        </w:rPr>
        <w:t>July</w:t>
      </w:r>
      <w:r w:rsidR="00D0387D">
        <w:t xml:space="preserve">, </w:t>
      </w:r>
      <w:r w:rsidR="00D0387D">
        <w:rPr>
          <w:u w:val="single"/>
        </w:rPr>
        <w:t>2022</w:t>
      </w:r>
      <w:r w:rsidR="00D0387D">
        <w:t>.</w:t>
      </w:r>
    </w:p>
    <w:p w:rsidR="00D0387D" w:rsidRPr="00D0387D" w:rsidRDefault="00D0387D" w:rsidP="000C47B1">
      <w:pPr>
        <w:keepNext/>
        <w:keepLines/>
        <w:jc w:val="both"/>
      </w:pPr>
    </w:p>
    <w:p w:rsidR="000C47B1" w:rsidRDefault="000C47B1" w:rsidP="000C47B1">
      <w:pPr>
        <w:keepNext/>
        <w:keepLines/>
        <w:jc w:val="both"/>
      </w:pPr>
    </w:p>
    <w:p w:rsidR="000C47B1" w:rsidRDefault="000C47B1" w:rsidP="000C47B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C47B1" w:rsidTr="000C47B1">
        <w:tc>
          <w:tcPr>
            <w:tcW w:w="720" w:type="dxa"/>
            <w:shd w:val="clear" w:color="auto" w:fill="auto"/>
          </w:tcPr>
          <w:p w:rsidR="000C47B1" w:rsidRDefault="000C47B1" w:rsidP="000C47B1">
            <w:pPr>
              <w:keepNext/>
              <w:keepLines/>
              <w:jc w:val="both"/>
            </w:pPr>
            <w:bookmarkStart w:id="7" w:name="bkmrkSignature" w:colFirst="0" w:colLast="0"/>
          </w:p>
        </w:tc>
        <w:tc>
          <w:tcPr>
            <w:tcW w:w="4320" w:type="dxa"/>
            <w:tcBorders>
              <w:bottom w:val="single" w:sz="4" w:space="0" w:color="auto"/>
            </w:tcBorders>
            <w:shd w:val="clear" w:color="auto" w:fill="auto"/>
          </w:tcPr>
          <w:p w:rsidR="000C47B1" w:rsidRDefault="00D0387D" w:rsidP="000C47B1">
            <w:pPr>
              <w:keepNext/>
              <w:keepLines/>
              <w:jc w:val="both"/>
            </w:pPr>
            <w:r>
              <w:t>/s/ Gabriella Passidomo</w:t>
            </w:r>
            <w:bookmarkStart w:id="8" w:name="_GoBack"/>
            <w:bookmarkEnd w:id="8"/>
          </w:p>
        </w:tc>
      </w:tr>
      <w:bookmarkEnd w:id="7"/>
      <w:tr w:rsidR="000C47B1" w:rsidTr="000C47B1">
        <w:tc>
          <w:tcPr>
            <w:tcW w:w="720" w:type="dxa"/>
            <w:shd w:val="clear" w:color="auto" w:fill="auto"/>
          </w:tcPr>
          <w:p w:rsidR="000C47B1" w:rsidRDefault="000C47B1" w:rsidP="000C47B1">
            <w:pPr>
              <w:keepNext/>
              <w:keepLines/>
              <w:jc w:val="both"/>
            </w:pPr>
          </w:p>
        </w:tc>
        <w:tc>
          <w:tcPr>
            <w:tcW w:w="4320" w:type="dxa"/>
            <w:tcBorders>
              <w:top w:val="single" w:sz="4" w:space="0" w:color="auto"/>
            </w:tcBorders>
            <w:shd w:val="clear" w:color="auto" w:fill="auto"/>
          </w:tcPr>
          <w:p w:rsidR="000C47B1" w:rsidRDefault="000C47B1" w:rsidP="000C47B1">
            <w:pPr>
              <w:keepNext/>
              <w:keepLines/>
              <w:jc w:val="both"/>
            </w:pPr>
            <w:r>
              <w:t>Gabriella Passidomo</w:t>
            </w:r>
          </w:p>
          <w:p w:rsidR="000C47B1" w:rsidRDefault="000C47B1" w:rsidP="000C47B1">
            <w:pPr>
              <w:keepNext/>
              <w:keepLines/>
              <w:jc w:val="both"/>
            </w:pPr>
            <w:r>
              <w:t>Commissioner and Prehearing Officer</w:t>
            </w:r>
          </w:p>
        </w:tc>
      </w:tr>
    </w:tbl>
    <w:p w:rsidR="000C47B1" w:rsidRDefault="000C47B1" w:rsidP="000C47B1">
      <w:pPr>
        <w:pStyle w:val="OrderSigInfo"/>
        <w:keepNext/>
        <w:keepLines/>
      </w:pPr>
      <w:r>
        <w:t>Florida Public Service Commission</w:t>
      </w:r>
    </w:p>
    <w:p w:rsidR="000C47B1" w:rsidRDefault="000C47B1" w:rsidP="000C47B1">
      <w:pPr>
        <w:pStyle w:val="OrderSigInfo"/>
        <w:keepNext/>
        <w:keepLines/>
      </w:pPr>
      <w:r>
        <w:t>2540 Shumard Oak Boulevard</w:t>
      </w:r>
    </w:p>
    <w:p w:rsidR="000C47B1" w:rsidRDefault="000C47B1" w:rsidP="000C47B1">
      <w:pPr>
        <w:pStyle w:val="OrderSigInfo"/>
        <w:keepNext/>
        <w:keepLines/>
      </w:pPr>
      <w:r>
        <w:t>Tallahassee, Florida 32399</w:t>
      </w:r>
    </w:p>
    <w:p w:rsidR="000C47B1" w:rsidRDefault="000C47B1" w:rsidP="000C47B1">
      <w:pPr>
        <w:pStyle w:val="OrderSigInfo"/>
        <w:keepNext/>
        <w:keepLines/>
      </w:pPr>
      <w:r>
        <w:t>(850) 413</w:t>
      </w:r>
      <w:r>
        <w:noBreakHyphen/>
        <w:t>6770</w:t>
      </w:r>
    </w:p>
    <w:p w:rsidR="000C47B1" w:rsidRDefault="000C47B1" w:rsidP="000C47B1">
      <w:pPr>
        <w:pStyle w:val="OrderSigInfo"/>
        <w:keepNext/>
        <w:keepLines/>
      </w:pPr>
      <w:r>
        <w:t>www.floridapsc.com</w:t>
      </w:r>
    </w:p>
    <w:p w:rsidR="000C47B1" w:rsidRDefault="000C47B1" w:rsidP="000C47B1">
      <w:pPr>
        <w:pStyle w:val="OrderSigInfo"/>
        <w:keepNext/>
        <w:keepLines/>
      </w:pPr>
    </w:p>
    <w:p w:rsidR="000C47B1" w:rsidRDefault="000C47B1" w:rsidP="000C47B1">
      <w:pPr>
        <w:pStyle w:val="OrderSigInfo"/>
        <w:keepNext/>
        <w:keepLines/>
      </w:pPr>
      <w:r>
        <w:t>Copies furnished:  A copy of this document is provided to the parties of record at the time of issuance and, if applicable, interested persons.</w:t>
      </w:r>
    </w:p>
    <w:p w:rsidR="000C47B1" w:rsidRDefault="000C47B1" w:rsidP="000C47B1">
      <w:pPr>
        <w:pStyle w:val="OrderBody"/>
        <w:keepNext/>
        <w:keepLines/>
      </w:pPr>
    </w:p>
    <w:p w:rsidR="000C47B1" w:rsidRDefault="000C47B1" w:rsidP="000C47B1">
      <w:pPr>
        <w:keepNext/>
        <w:keepLines/>
        <w:jc w:val="both"/>
      </w:pPr>
    </w:p>
    <w:p w:rsidR="000C47B1" w:rsidRDefault="000C47B1" w:rsidP="000C47B1">
      <w:pPr>
        <w:keepNext/>
        <w:keepLines/>
        <w:jc w:val="both"/>
      </w:pPr>
      <w:r>
        <w:t>RPS</w:t>
      </w:r>
    </w:p>
    <w:p w:rsidR="000C47B1" w:rsidRDefault="000C47B1" w:rsidP="000C47B1">
      <w:pPr>
        <w:jc w:val="both"/>
      </w:pPr>
    </w:p>
    <w:p w:rsidR="000C47B1" w:rsidRDefault="000C47B1" w:rsidP="000C47B1">
      <w:pPr>
        <w:jc w:val="both"/>
      </w:pPr>
    </w:p>
    <w:p w:rsidR="000C47B1" w:rsidRDefault="000C47B1" w:rsidP="000C47B1">
      <w:pPr>
        <w:jc w:val="both"/>
      </w:pPr>
    </w:p>
    <w:p w:rsidR="000C47B1" w:rsidRDefault="000C47B1" w:rsidP="000C47B1">
      <w:pPr>
        <w:jc w:val="both"/>
      </w:pPr>
    </w:p>
    <w:p w:rsidR="000C47B1" w:rsidRDefault="000C47B1">
      <w:pPr>
        <w:rPr>
          <w:u w:val="single"/>
        </w:rPr>
      </w:pPr>
      <w:r>
        <w:br w:type="page"/>
      </w:r>
    </w:p>
    <w:p w:rsidR="000C47B1" w:rsidRDefault="000C47B1" w:rsidP="000C47B1">
      <w:pPr>
        <w:pStyle w:val="CenterUnderline"/>
      </w:pPr>
      <w:r>
        <w:lastRenderedPageBreak/>
        <w:t>NOTICE OF FURTHER PROCEEDINGS OR JUDICIAL REVIEW</w:t>
      </w:r>
    </w:p>
    <w:p w:rsidR="00397CD1" w:rsidRDefault="00397CD1" w:rsidP="000C47B1">
      <w:pPr>
        <w:pStyle w:val="CenterUnderline"/>
      </w:pPr>
    </w:p>
    <w:p w:rsidR="000C47B1" w:rsidRDefault="000C47B1" w:rsidP="000C47B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C47B1" w:rsidRDefault="000C47B1" w:rsidP="000C47B1">
      <w:pPr>
        <w:pStyle w:val="OrderBody"/>
      </w:pPr>
    </w:p>
    <w:p w:rsidR="000C47B1" w:rsidRDefault="000C47B1" w:rsidP="000C47B1">
      <w:pPr>
        <w:pStyle w:val="OrderBody"/>
      </w:pPr>
      <w:r>
        <w:tab/>
        <w:t>Mediation may be available on a case-by-case basis.  If mediation is conducted, it does not affect a substantially interested person's right to a hearing.</w:t>
      </w:r>
    </w:p>
    <w:p w:rsidR="000C47B1" w:rsidRDefault="000C47B1" w:rsidP="000C47B1">
      <w:pPr>
        <w:pStyle w:val="OrderBody"/>
      </w:pPr>
    </w:p>
    <w:p w:rsidR="000C47B1" w:rsidRDefault="000C47B1" w:rsidP="000C47B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C47B1" w:rsidRDefault="000C47B1" w:rsidP="000C47B1">
      <w:pPr>
        <w:pStyle w:val="OrderBody"/>
      </w:pPr>
    </w:p>
    <w:p w:rsidR="000C47B1" w:rsidRDefault="000C47B1" w:rsidP="000C47B1">
      <w:pPr>
        <w:pStyle w:val="OrderBody"/>
      </w:pPr>
    </w:p>
    <w:p w:rsidR="000C47B1" w:rsidRDefault="000C47B1" w:rsidP="000C47B1">
      <w:pPr>
        <w:pStyle w:val="OrderBody"/>
      </w:pPr>
    </w:p>
    <w:p w:rsidR="00397CD1" w:rsidRDefault="00397CD1"/>
    <w:sectPr w:rsidR="00397CD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0B5" w:rsidRDefault="004B50B5">
      <w:r>
        <w:separator/>
      </w:r>
    </w:p>
  </w:endnote>
  <w:endnote w:type="continuationSeparator" w:id="0">
    <w:p w:rsidR="004B50B5" w:rsidRDefault="004B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0B5" w:rsidRDefault="004B50B5">
      <w:r>
        <w:separator/>
      </w:r>
    </w:p>
  </w:footnote>
  <w:footnote w:type="continuationSeparator" w:id="0">
    <w:p w:rsidR="004B50B5" w:rsidRDefault="004B5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0 ">
      <w:r w:rsidR="00D0387D">
        <w:t>PSC-2022-0270-PCO-GU</w:t>
      </w:r>
    </w:fldSimple>
  </w:p>
  <w:p w:rsidR="00FA6EFD" w:rsidRDefault="00397CD1">
    <w:pPr>
      <w:pStyle w:val="OrderHeader"/>
    </w:pPr>
    <w:bookmarkStart w:id="9" w:name="HeaderDocketNo"/>
    <w:bookmarkEnd w:id="9"/>
    <w:r>
      <w:t>DOCKET NO. 20220067-GU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387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7-GU"/>
  </w:docVars>
  <w:rsids>
    <w:rsidRoot w:val="00397CD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47B1"/>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2041"/>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2B7D"/>
    <w:rsid w:val="001F0095"/>
    <w:rsid w:val="001F36B0"/>
    <w:rsid w:val="001F4CA3"/>
    <w:rsid w:val="001F59E0"/>
    <w:rsid w:val="002002ED"/>
    <w:rsid w:val="002044DD"/>
    <w:rsid w:val="002170E5"/>
    <w:rsid w:val="00220D57"/>
    <w:rsid w:val="00223B99"/>
    <w:rsid w:val="0022721A"/>
    <w:rsid w:val="00230BB9"/>
    <w:rsid w:val="00241CEF"/>
    <w:rsid w:val="00250D69"/>
    <w:rsid w:val="0025124E"/>
    <w:rsid w:val="00252B30"/>
    <w:rsid w:val="00255291"/>
    <w:rsid w:val="002571E5"/>
    <w:rsid w:val="002613E4"/>
    <w:rsid w:val="00262C43"/>
    <w:rsid w:val="0026544B"/>
    <w:rsid w:val="00265A23"/>
    <w:rsid w:val="00270F89"/>
    <w:rsid w:val="00276CDC"/>
    <w:rsid w:val="00277655"/>
    <w:rsid w:val="002824B7"/>
    <w:rsid w:val="00282AC4"/>
    <w:rsid w:val="00284255"/>
    <w:rsid w:val="00293DC9"/>
    <w:rsid w:val="00297C37"/>
    <w:rsid w:val="002A11AC"/>
    <w:rsid w:val="002A6F30"/>
    <w:rsid w:val="002B3111"/>
    <w:rsid w:val="002C118E"/>
    <w:rsid w:val="002C2096"/>
    <w:rsid w:val="002C7908"/>
    <w:rsid w:val="002D391B"/>
    <w:rsid w:val="002D4B1F"/>
    <w:rsid w:val="002D7D15"/>
    <w:rsid w:val="002E1453"/>
    <w:rsid w:val="002E1B2E"/>
    <w:rsid w:val="002E27EB"/>
    <w:rsid w:val="002E4EF4"/>
    <w:rsid w:val="002E6705"/>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AC3"/>
    <w:rsid w:val="00361522"/>
    <w:rsid w:val="00361E0C"/>
    <w:rsid w:val="0037196E"/>
    <w:rsid w:val="003744F5"/>
    <w:rsid w:val="00382C6A"/>
    <w:rsid w:val="003875A9"/>
    <w:rsid w:val="00387BDE"/>
    <w:rsid w:val="00390DD8"/>
    <w:rsid w:val="00394DC6"/>
    <w:rsid w:val="00397C3E"/>
    <w:rsid w:val="00397CD1"/>
    <w:rsid w:val="003B1A09"/>
    <w:rsid w:val="003B6F02"/>
    <w:rsid w:val="003C0431"/>
    <w:rsid w:val="003C29BB"/>
    <w:rsid w:val="003D3989"/>
    <w:rsid w:val="003D4CCA"/>
    <w:rsid w:val="003D52A6"/>
    <w:rsid w:val="003D6416"/>
    <w:rsid w:val="003E1D48"/>
    <w:rsid w:val="003E711F"/>
    <w:rsid w:val="003E718E"/>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50B5"/>
    <w:rsid w:val="004B70D3"/>
    <w:rsid w:val="004C312D"/>
    <w:rsid w:val="004D2D1B"/>
    <w:rsid w:val="004D5067"/>
    <w:rsid w:val="004D6838"/>
    <w:rsid w:val="004D68FC"/>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39C2"/>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1C28"/>
    <w:rsid w:val="0062385D"/>
    <w:rsid w:val="0063168D"/>
    <w:rsid w:val="00635C79"/>
    <w:rsid w:val="006455DF"/>
    <w:rsid w:val="006467B9"/>
    <w:rsid w:val="00647025"/>
    <w:rsid w:val="0064730A"/>
    <w:rsid w:val="006507DA"/>
    <w:rsid w:val="006531A4"/>
    <w:rsid w:val="00660774"/>
    <w:rsid w:val="0066389A"/>
    <w:rsid w:val="0066495C"/>
    <w:rsid w:val="00665CC7"/>
    <w:rsid w:val="00672612"/>
    <w:rsid w:val="00677F18"/>
    <w:rsid w:val="00693483"/>
    <w:rsid w:val="006A0AAB"/>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0178"/>
    <w:rsid w:val="0078166A"/>
    <w:rsid w:val="00782B79"/>
    <w:rsid w:val="00783811"/>
    <w:rsid w:val="007865E9"/>
    <w:rsid w:val="0079237D"/>
    <w:rsid w:val="00792383"/>
    <w:rsid w:val="00794D5A"/>
    <w:rsid w:val="00794DD9"/>
    <w:rsid w:val="007A060F"/>
    <w:rsid w:val="007B1C5E"/>
    <w:rsid w:val="007B305F"/>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3373"/>
    <w:rsid w:val="00814292"/>
    <w:rsid w:val="008169A4"/>
    <w:rsid w:val="008278FE"/>
    <w:rsid w:val="00832598"/>
    <w:rsid w:val="0083397E"/>
    <w:rsid w:val="0083534B"/>
    <w:rsid w:val="00842035"/>
    <w:rsid w:val="00842602"/>
    <w:rsid w:val="008449F0"/>
    <w:rsid w:val="00846F11"/>
    <w:rsid w:val="00847B45"/>
    <w:rsid w:val="008532B8"/>
    <w:rsid w:val="00857309"/>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163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2E7"/>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57071"/>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61BF"/>
    <w:rsid w:val="00BB0182"/>
    <w:rsid w:val="00BB2F4A"/>
    <w:rsid w:val="00BB75A1"/>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4B62"/>
    <w:rsid w:val="00C30A4E"/>
    <w:rsid w:val="00C411F3"/>
    <w:rsid w:val="00C44105"/>
    <w:rsid w:val="00C523EC"/>
    <w:rsid w:val="00C55A33"/>
    <w:rsid w:val="00C64D49"/>
    <w:rsid w:val="00C66692"/>
    <w:rsid w:val="00C673B5"/>
    <w:rsid w:val="00C7063D"/>
    <w:rsid w:val="00C712AF"/>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87D"/>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06FE"/>
    <w:rsid w:val="00DA4EDD"/>
    <w:rsid w:val="00DA6B78"/>
    <w:rsid w:val="00DB122B"/>
    <w:rsid w:val="00DC1D94"/>
    <w:rsid w:val="00DC42CF"/>
    <w:rsid w:val="00DC738A"/>
    <w:rsid w:val="00DD382A"/>
    <w:rsid w:val="00DD592E"/>
    <w:rsid w:val="00DD696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547"/>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3EA3"/>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49A3"/>
    <w:rsid w:val="00FD0ADB"/>
    <w:rsid w:val="00FD2C9E"/>
    <w:rsid w:val="00FD4786"/>
    <w:rsid w:val="00FD616C"/>
    <w:rsid w:val="00FD61E2"/>
    <w:rsid w:val="00FE1C95"/>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361E0C"/>
    <w:rPr>
      <w:sz w:val="16"/>
      <w:szCs w:val="16"/>
    </w:rPr>
  </w:style>
  <w:style w:type="paragraph" w:styleId="CommentText">
    <w:name w:val="annotation text"/>
    <w:basedOn w:val="Normal"/>
    <w:link w:val="CommentTextChar"/>
    <w:semiHidden/>
    <w:unhideWhenUsed/>
    <w:rsid w:val="00361E0C"/>
    <w:rPr>
      <w:sz w:val="20"/>
      <w:szCs w:val="20"/>
    </w:rPr>
  </w:style>
  <w:style w:type="character" w:customStyle="1" w:styleId="CommentTextChar">
    <w:name w:val="Comment Text Char"/>
    <w:basedOn w:val="DefaultParagraphFont"/>
    <w:link w:val="CommentText"/>
    <w:semiHidden/>
    <w:rsid w:val="00361E0C"/>
  </w:style>
  <w:style w:type="paragraph" w:styleId="CommentSubject">
    <w:name w:val="annotation subject"/>
    <w:basedOn w:val="CommentText"/>
    <w:next w:val="CommentText"/>
    <w:link w:val="CommentSubjectChar"/>
    <w:semiHidden/>
    <w:unhideWhenUsed/>
    <w:rsid w:val="00361E0C"/>
    <w:rPr>
      <w:b/>
      <w:bCs/>
    </w:rPr>
  </w:style>
  <w:style w:type="character" w:customStyle="1" w:styleId="CommentSubjectChar">
    <w:name w:val="Comment Subject Char"/>
    <w:basedOn w:val="CommentTextChar"/>
    <w:link w:val="CommentSubject"/>
    <w:semiHidden/>
    <w:rsid w:val="00361E0C"/>
    <w:rPr>
      <w:b/>
      <w:bCs/>
    </w:rPr>
  </w:style>
  <w:style w:type="paragraph" w:styleId="BalloonText">
    <w:name w:val="Balloon Text"/>
    <w:basedOn w:val="Normal"/>
    <w:link w:val="BalloonTextChar"/>
    <w:semiHidden/>
    <w:unhideWhenUsed/>
    <w:rsid w:val="00361E0C"/>
    <w:rPr>
      <w:rFonts w:ascii="Segoe UI" w:hAnsi="Segoe UI" w:cs="Segoe UI"/>
      <w:sz w:val="18"/>
      <w:szCs w:val="18"/>
    </w:rPr>
  </w:style>
  <w:style w:type="character" w:customStyle="1" w:styleId="BalloonTextChar">
    <w:name w:val="Balloon Text Char"/>
    <w:basedOn w:val="DefaultParagraphFont"/>
    <w:link w:val="BalloonText"/>
    <w:semiHidden/>
    <w:rsid w:val="00361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96272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2022-07-08T17:49:00Z</dcterms:created>
  <dcterms:modified xsi:type="dcterms:W3CDTF">2022-07-08T18:07:00Z</dcterms:modified>
</cp:coreProperties>
</file>