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254"/>
        <w:gridCol w:w="948"/>
        <w:gridCol w:w="1488"/>
        <w:gridCol w:w="5785"/>
      </w:tblGrid>
      <w:tr w:rsidR="007C0528" w14:paraId="620E1477" w14:textId="77777777">
        <w:tc>
          <w:tcPr>
            <w:tcW w:w="2202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910DEC" w14:textId="77777777" w:rsidR="007C0528" w:rsidRDefault="007C0528" w:rsidP="00532DFB">
            <w:pPr>
              <w:pStyle w:val="MastHeadState"/>
            </w:pPr>
            <w:bookmarkStart w:id="0" w:name="_GoBack"/>
            <w:bookmarkEnd w:id="0"/>
            <w:r>
              <w:t>State of Florida</w:t>
            </w:r>
          </w:p>
          <w:p w14:paraId="27CFE004" w14:textId="77777777" w:rsidR="007C0528" w:rsidRDefault="00072C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714EF1" wp14:editId="58EE411A">
                  <wp:extent cx="923925" cy="914400"/>
                  <wp:effectExtent l="0" t="0" r="9525" b="0"/>
                  <wp:docPr id="1" name="Picture 1" descr="pscSE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sc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D1C5A7" w14:textId="77777777" w:rsidR="007C0528" w:rsidRDefault="007C0528"/>
        </w:tc>
        <w:tc>
          <w:tcPr>
            <w:tcW w:w="7273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vAlign w:val="bottom"/>
          </w:tcPr>
          <w:p w14:paraId="46988D75" w14:textId="77777777" w:rsidR="007C0528" w:rsidRDefault="007C0528">
            <w:pPr>
              <w:pStyle w:val="MastHeadPSC"/>
            </w:pPr>
            <w:r>
              <w:t>Public Service Commission</w:t>
            </w:r>
          </w:p>
          <w:p w14:paraId="657789A8" w14:textId="77777777" w:rsidR="007C0528" w:rsidRDefault="007C0528">
            <w:pPr>
              <w:pStyle w:val="MastHeadAddress"/>
            </w:pPr>
            <w:r>
              <w:t>Capital Circle Office Center ● 2540 Shumard Oak Boulevard</w:t>
            </w:r>
            <w:r>
              <w:br/>
              <w:t>Tallahassee, Florida 32399-0850</w:t>
            </w:r>
          </w:p>
          <w:p w14:paraId="35E8EF2A" w14:textId="77777777" w:rsidR="007C0528" w:rsidRDefault="007C0528">
            <w:pPr>
              <w:pStyle w:val="MastHeadMemorandum"/>
            </w:pPr>
            <w:r>
              <w:t>-M-E-M-O-R-A-N-D-U-M-</w:t>
            </w:r>
          </w:p>
          <w:p w14:paraId="442BDEC5" w14:textId="77777777" w:rsidR="007C0528" w:rsidRDefault="007C0528">
            <w:pPr>
              <w:pStyle w:val="MemoHeading"/>
            </w:pPr>
          </w:p>
        </w:tc>
      </w:tr>
      <w:tr w:rsidR="007C0528" w14:paraId="204F8F64" w14:textId="77777777">
        <w:tc>
          <w:tcPr>
            <w:tcW w:w="1254" w:type="dxa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14:paraId="5133FE75" w14:textId="77777777" w:rsidR="007C0528" w:rsidRDefault="007C0528" w:rsidP="00506C03">
            <w:pPr>
              <w:pStyle w:val="MemoHeadingLabel"/>
            </w:pPr>
            <w:r>
              <w:t>DATE:</w:t>
            </w:r>
          </w:p>
        </w:tc>
        <w:tc>
          <w:tcPr>
            <w:tcW w:w="8221" w:type="dxa"/>
            <w:gridSpan w:val="3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tcMar>
              <w:bottom w:w="0" w:type="dxa"/>
            </w:tcMar>
          </w:tcPr>
          <w:p w14:paraId="52B5B78D" w14:textId="77777777" w:rsidR="007C0528" w:rsidRDefault="00630683">
            <w:pPr>
              <w:pStyle w:val="MemoHeading"/>
            </w:pPr>
            <w:bookmarkStart w:id="1" w:name="FilingDate"/>
            <w:r>
              <w:t>October 20, 2022</w:t>
            </w:r>
            <w:bookmarkEnd w:id="1"/>
          </w:p>
        </w:tc>
      </w:tr>
      <w:tr w:rsidR="007C0528" w14:paraId="75E8EE72" w14:textId="77777777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14:paraId="273CA9C6" w14:textId="77777777" w:rsidR="007C0528" w:rsidRDefault="007C0528" w:rsidP="00506C03">
            <w:pPr>
              <w:pStyle w:val="MemoHeadingLabel"/>
            </w:pPr>
            <w:r>
              <w:t>TO: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</w:tcMar>
          </w:tcPr>
          <w:p w14:paraId="5D49DE7B" w14:textId="77777777" w:rsidR="007C0528" w:rsidRDefault="007C0528" w:rsidP="0093658B">
            <w:pPr>
              <w:pStyle w:val="MemoHeading"/>
            </w:pPr>
            <w:r>
              <w:t>Office of Commission Clerk (</w:t>
            </w:r>
            <w:r w:rsidR="004E69B5">
              <w:t>Teitzman</w:t>
            </w:r>
            <w:r>
              <w:t>)</w:t>
            </w:r>
          </w:p>
        </w:tc>
      </w:tr>
      <w:tr w:rsidR="007C0528" w14:paraId="26DC869F" w14:textId="77777777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right w:w="0" w:type="dxa"/>
            </w:tcMar>
          </w:tcPr>
          <w:p w14:paraId="04107C7C" w14:textId="77777777" w:rsidR="007C0528" w:rsidRDefault="007C0528" w:rsidP="00506C03">
            <w:pPr>
              <w:pStyle w:val="MemoHeadingLabel"/>
            </w:pPr>
            <w:r>
              <w:t>FROM: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</w:tcMar>
          </w:tcPr>
          <w:p w14:paraId="07845846" w14:textId="77777777" w:rsidR="00630683" w:rsidRDefault="00630683">
            <w:pPr>
              <w:pStyle w:val="MemoHeading"/>
            </w:pPr>
            <w:bookmarkStart w:id="2" w:name="From"/>
            <w:r>
              <w:t>Division of Economics (Ward, Draper)</w:t>
            </w:r>
          </w:p>
          <w:p w14:paraId="7B3B23E2" w14:textId="77777777" w:rsidR="007C0528" w:rsidRDefault="00630683">
            <w:pPr>
              <w:pStyle w:val="MemoHeading"/>
            </w:pPr>
            <w:r>
              <w:t>Office of the General Counsel (Stiller)</w:t>
            </w:r>
            <w:bookmarkEnd w:id="2"/>
          </w:p>
        </w:tc>
      </w:tr>
      <w:tr w:rsidR="007C0528" w14:paraId="0C44186D" w14:textId="77777777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right w:w="0" w:type="dxa"/>
            </w:tcMar>
          </w:tcPr>
          <w:p w14:paraId="75253C6D" w14:textId="77777777" w:rsidR="007C0528" w:rsidRDefault="007C0528" w:rsidP="00506C03">
            <w:pPr>
              <w:pStyle w:val="MemoHeadingLabel"/>
            </w:pPr>
            <w:r>
              <w:t>RE: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</w:tcMar>
          </w:tcPr>
          <w:p w14:paraId="308C2A6B" w14:textId="77777777" w:rsidR="007C0528" w:rsidRDefault="00630683">
            <w:pPr>
              <w:pStyle w:val="MemoHeadingRe"/>
            </w:pPr>
            <w:bookmarkStart w:id="3" w:name="Re"/>
            <w:r>
              <w:t>Docket No. 20220159-GU – Joint petition by Peoples Gas System and Florida Public Utilities Company for approval of special contract.</w:t>
            </w:r>
            <w:bookmarkEnd w:id="3"/>
          </w:p>
        </w:tc>
      </w:tr>
      <w:tr w:rsidR="007C0528" w14:paraId="7D4EC1E6" w14:textId="77777777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14:paraId="2B69C100" w14:textId="77777777" w:rsidR="007C0528" w:rsidRDefault="007C0528" w:rsidP="00506C03">
            <w:pPr>
              <w:pStyle w:val="MemoHeadingLabel"/>
            </w:pPr>
            <w:r>
              <w:t>AGENDA: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</w:tcMar>
          </w:tcPr>
          <w:p w14:paraId="131DE7B5" w14:textId="3A38FBF7" w:rsidR="007C0528" w:rsidRDefault="00630683">
            <w:pPr>
              <w:pStyle w:val="MemoHeading"/>
            </w:pPr>
            <w:bookmarkStart w:id="4" w:name="AgendaDate"/>
            <w:r>
              <w:t>11/01/22</w:t>
            </w:r>
            <w:bookmarkEnd w:id="4"/>
            <w:r w:rsidR="007C0528">
              <w:t xml:space="preserve"> – </w:t>
            </w:r>
            <w:bookmarkStart w:id="5" w:name="PermittedStatus"/>
            <w:r>
              <w:t xml:space="preserve">Regular Agenda – </w:t>
            </w:r>
            <w:r w:rsidR="00E3593E">
              <w:t xml:space="preserve">Proposed Agency Action – </w:t>
            </w:r>
            <w:r>
              <w:t>Interested Persons May Participate</w:t>
            </w:r>
            <w:bookmarkEnd w:id="5"/>
          </w:p>
        </w:tc>
      </w:tr>
      <w:tr w:rsidR="007C0528" w14:paraId="7D94448E" w14:textId="77777777"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14:paraId="517188C5" w14:textId="77777777" w:rsidR="007C0528" w:rsidRDefault="007C0528" w:rsidP="00506C03">
            <w:pPr>
              <w:pStyle w:val="MemoHeadingLabel"/>
            </w:pPr>
            <w:r>
              <w:t>COMMISSIONERS ASSIGNED:</w:t>
            </w:r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98BCEB" w14:textId="77777777" w:rsidR="007C0528" w:rsidRDefault="00630683">
            <w:pPr>
              <w:pStyle w:val="MemoHeading"/>
            </w:pPr>
            <w:bookmarkStart w:id="6" w:name="CommissionersAssigned"/>
            <w:r>
              <w:t>All Commissioners</w:t>
            </w:r>
            <w:bookmarkEnd w:id="6"/>
          </w:p>
        </w:tc>
      </w:tr>
      <w:tr w:rsidR="007C0528" w14:paraId="51570AD1" w14:textId="77777777"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14:paraId="3C16FCD6" w14:textId="77777777" w:rsidR="007C0528" w:rsidRDefault="007C0528" w:rsidP="00506C03">
            <w:pPr>
              <w:pStyle w:val="MemoHeadingLabel"/>
            </w:pPr>
            <w:r>
              <w:t>PREHEARING OFFICER:</w:t>
            </w:r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EE8451" w14:textId="77777777" w:rsidR="007C0528" w:rsidRDefault="00630683">
            <w:pPr>
              <w:pStyle w:val="MemoHeading"/>
            </w:pPr>
            <w:bookmarkStart w:id="7" w:name="PrehearingOfficer"/>
            <w:r>
              <w:t>Graham</w:t>
            </w:r>
            <w:bookmarkEnd w:id="7"/>
          </w:p>
        </w:tc>
      </w:tr>
      <w:tr w:rsidR="007C0528" w14:paraId="490FE712" w14:textId="77777777" w:rsidTr="0093658B"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14:paraId="1346C347" w14:textId="77777777" w:rsidR="007C0528" w:rsidRDefault="007C0528" w:rsidP="00506C03">
            <w:pPr>
              <w:pStyle w:val="MemoHeadingLabel"/>
            </w:pPr>
            <w:bookmarkStart w:id="8" w:name="CriticalDatesLabel"/>
            <w:r>
              <w:t>CRITICAL DATES:</w:t>
            </w:r>
            <w:bookmarkEnd w:id="8"/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BE3BFC" w14:textId="3BA282B0" w:rsidR="007C0528" w:rsidRDefault="00607CE7">
            <w:pPr>
              <w:pStyle w:val="MemoHeading"/>
            </w:pPr>
            <w:r>
              <w:t>None</w:t>
            </w:r>
          </w:p>
        </w:tc>
      </w:tr>
      <w:tr w:rsidR="007C0528" w14:paraId="3C4FCC8F" w14:textId="77777777" w:rsidTr="0093658B">
        <w:tc>
          <w:tcPr>
            <w:tcW w:w="3690" w:type="dxa"/>
            <w:gridSpan w:val="3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288" w:type="dxa"/>
              <w:bottom w:w="216" w:type="dxa"/>
              <w:right w:w="0" w:type="dxa"/>
            </w:tcMar>
          </w:tcPr>
          <w:p w14:paraId="0220840C" w14:textId="77777777" w:rsidR="007C0528" w:rsidRDefault="007C0528" w:rsidP="00506C03">
            <w:pPr>
              <w:pStyle w:val="MemoHeadingLabel"/>
            </w:pPr>
            <w:r>
              <w:t>SPECIAL INSTRUCTIONS:</w:t>
            </w:r>
          </w:p>
        </w:tc>
        <w:tc>
          <w:tcPr>
            <w:tcW w:w="5785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bottom w:w="216" w:type="dxa"/>
            </w:tcMar>
          </w:tcPr>
          <w:p w14:paraId="3476600E" w14:textId="77777777" w:rsidR="007C0528" w:rsidRDefault="00630683">
            <w:pPr>
              <w:pStyle w:val="MemoHeading"/>
            </w:pPr>
            <w:bookmarkStart w:id="9" w:name="SpecialInstructions"/>
            <w:r>
              <w:t>None</w:t>
            </w:r>
            <w:bookmarkEnd w:id="9"/>
          </w:p>
        </w:tc>
      </w:tr>
    </w:tbl>
    <w:p w14:paraId="5C6761C4" w14:textId="77777777" w:rsidR="007C0528" w:rsidRDefault="007C0528">
      <w:pPr>
        <w:pStyle w:val="BodyText"/>
      </w:pPr>
    </w:p>
    <w:p w14:paraId="051E718D" w14:textId="77777777" w:rsidR="007C0528" w:rsidRDefault="007C0528">
      <w:pPr>
        <w:pStyle w:val="RecommendationMajorSectionHeading"/>
      </w:pPr>
      <w:bookmarkStart w:id="10" w:name="RecToC"/>
      <w:bookmarkEnd w:id="10"/>
      <w:r>
        <w:t xml:space="preserve"> </w:t>
      </w:r>
      <w:bookmarkStart w:id="11" w:name="CaseBackground"/>
      <w:r>
        <w:t>Case Background</w:t>
      </w:r>
      <w:r>
        <w:fldChar w:fldCharType="begin"/>
      </w:r>
      <w:r>
        <w:instrText xml:space="preserve"> TC  "</w:instrText>
      </w:r>
      <w:r>
        <w:tab/>
      </w:r>
      <w:bookmarkStart w:id="12" w:name="_Toc94516455"/>
      <w:r>
        <w:instrText>Case Background</w:instrText>
      </w:r>
      <w:bookmarkEnd w:id="12"/>
      <w:r>
        <w:instrText xml:space="preserve">" \l 1 </w:instrText>
      </w:r>
      <w:r>
        <w:fldChar w:fldCharType="end"/>
      </w:r>
    </w:p>
    <w:p w14:paraId="6C7B5BFB" w14:textId="3104A210" w:rsidR="002D2ABF" w:rsidRDefault="00797FFE">
      <w:pPr>
        <w:pStyle w:val="BodyText"/>
      </w:pPr>
      <w:r>
        <w:t>On September 13, 2022, Peoples Gas System (Peoples) and Florida Public Utilities Company (FPUC)</w:t>
      </w:r>
      <w:r w:rsidR="00607CE7">
        <w:t xml:space="preserve"> (jointly, Petitioners)</w:t>
      </w:r>
      <w:r>
        <w:t xml:space="preserve"> filed a joint petition for approval of a special contract</w:t>
      </w:r>
      <w:r w:rsidR="009D4B96">
        <w:t xml:space="preserve"> (contract)</w:t>
      </w:r>
      <w:r w:rsidR="002D2ABF">
        <w:t>.</w:t>
      </w:r>
      <w:r w:rsidR="003010F9">
        <w:t xml:space="preserve"> Under the terms of the contract</w:t>
      </w:r>
      <w:r w:rsidR="00607CE7">
        <w:t>,</w:t>
      </w:r>
      <w:r w:rsidR="003010F9">
        <w:t xml:space="preserve"> Peoples would provide FPUC with </w:t>
      </w:r>
      <w:r w:rsidR="00D33588">
        <w:t>firm</w:t>
      </w:r>
      <w:r w:rsidR="003010F9">
        <w:t xml:space="preserve"> gas transportation service for a </w:t>
      </w:r>
      <w:r w:rsidR="00FC4C7D">
        <w:t>nineteen</w:t>
      </w:r>
      <w:r w:rsidR="003010F9">
        <w:t>-month term commencing on November 1,</w:t>
      </w:r>
      <w:r w:rsidR="00607CE7">
        <w:t xml:space="preserve"> </w:t>
      </w:r>
      <w:r w:rsidR="003010F9">
        <w:t xml:space="preserve">2022. </w:t>
      </w:r>
      <w:r w:rsidR="00607CE7">
        <w:t xml:space="preserve">Peoples and FPUC own and operate natural gas </w:t>
      </w:r>
      <w:r w:rsidR="0036004C">
        <w:t>facilities</w:t>
      </w:r>
      <w:r w:rsidR="00607CE7">
        <w:t xml:space="preserve"> in Florida and are subject to the regulatory jurisdiction of the Commission pursuant to Section 366.06, Florida Statutes (F.S.).</w:t>
      </w:r>
    </w:p>
    <w:p w14:paraId="48998912" w14:textId="51840D3B" w:rsidR="007C0528" w:rsidRDefault="002D2ABF" w:rsidP="0068481F">
      <w:r>
        <w:t xml:space="preserve">During the evaluation of the petition, staff issued data requests to Peoples and FPUC. Responses from </w:t>
      </w:r>
      <w:r w:rsidR="00EF0CEE">
        <w:t xml:space="preserve">FPUC were received on September 28, 2022 and responses from </w:t>
      </w:r>
      <w:r>
        <w:t>Peoples were received on</w:t>
      </w:r>
      <w:r w:rsidR="004F3412">
        <w:t xml:space="preserve"> October 6, 2022</w:t>
      </w:r>
      <w:r>
        <w:t>.</w:t>
      </w:r>
      <w:r w:rsidR="003010F9">
        <w:t xml:space="preserve"> </w:t>
      </w:r>
      <w:r w:rsidR="003010F9" w:rsidRPr="003010F9">
        <w:t>The Commission has jurisdiction over this matter pursuant to Sections 366.04, 366.05, and 366.06, F.S.</w:t>
      </w:r>
    </w:p>
    <w:bookmarkEnd w:id="11"/>
    <w:p w14:paraId="452C55B9" w14:textId="77777777" w:rsidR="00EA2273" w:rsidRDefault="00EA2273" w:rsidP="009C25AE">
      <w:pPr>
        <w:pStyle w:val="BodyText"/>
        <w:rPr>
          <w:b/>
          <w:bCs/>
        </w:rPr>
        <w:sectPr w:rsidR="00EA2273">
          <w:headerReference w:type="default" r:id="rId9"/>
          <w:footerReference w:type="default" r:id="rId10"/>
          <w:type w:val="continuous"/>
          <w:pgSz w:w="12240" w:h="15840" w:code="1"/>
          <w:pgMar w:top="1584" w:right="1440" w:bottom="1440" w:left="1440" w:header="720" w:footer="720" w:gutter="0"/>
          <w:cols w:space="720"/>
          <w:formProt w:val="0"/>
          <w:titlePg/>
          <w:docGrid w:linePitch="360"/>
        </w:sectPr>
      </w:pPr>
    </w:p>
    <w:p w14:paraId="50E18069" w14:textId="77777777" w:rsidR="007C0528" w:rsidRDefault="007C0528">
      <w:pPr>
        <w:pStyle w:val="RecommendationMajorSectionHeading"/>
      </w:pPr>
      <w:bookmarkStart w:id="15" w:name="DiscussionOfIssues"/>
      <w:r>
        <w:lastRenderedPageBreak/>
        <w:t>Discussion of Issues</w:t>
      </w:r>
    </w:p>
    <w:bookmarkEnd w:id="15"/>
    <w:p w14:paraId="76080CB1" w14:textId="6CDFED35" w:rsidR="00630683" w:rsidRDefault="00630683">
      <w:pPr>
        <w:pStyle w:val="IssueHeading"/>
        <w:rPr>
          <w:vanish/>
          <w:specVanish/>
        </w:rPr>
      </w:pPr>
      <w:r w:rsidRPr="004C3641">
        <w:t xml:space="preserve">Issue </w:t>
      </w:r>
      <w:r w:rsidR="008C28EF">
        <w:fldChar w:fldCharType="begin"/>
      </w:r>
      <w:r w:rsidR="008C28EF">
        <w:instrText xml:space="preserve"> SEQ Issue \* MERGEFORMAT </w:instrText>
      </w:r>
      <w:r w:rsidR="008C28EF">
        <w:fldChar w:fldCharType="separate"/>
      </w:r>
      <w:r w:rsidR="00A87FE7">
        <w:rPr>
          <w:noProof/>
        </w:rPr>
        <w:t>1</w:t>
      </w:r>
      <w:r w:rsidR="008C28EF">
        <w:rPr>
          <w:noProof/>
        </w:rPr>
        <w:fldChar w:fldCharType="end"/>
      </w:r>
      <w:r w:rsidRPr="004C3641">
        <w:t>:</w:t>
      </w:r>
      <w:r>
        <w:fldChar w:fldCharType="begin"/>
      </w:r>
      <w:r>
        <w:instrText xml:space="preserve"> TC "</w:instrText>
      </w:r>
      <w:r>
        <w:fldChar w:fldCharType="begin"/>
      </w:r>
      <w:r>
        <w:instrText xml:space="preserve"> SEQ issue \c </w:instrText>
      </w:r>
      <w:r>
        <w:fldChar w:fldCharType="separate"/>
      </w:r>
      <w:r w:rsidR="00A87FE7">
        <w:rPr>
          <w:noProof/>
        </w:rPr>
        <w:instrText>1</w:instrText>
      </w:r>
      <w:r>
        <w:fldChar w:fldCharType="end"/>
      </w:r>
      <w:r>
        <w:tab/>
        <w:instrText xml:space="preserve">(Ward)" \l 1 </w:instrText>
      </w:r>
      <w:r>
        <w:fldChar w:fldCharType="end"/>
      </w:r>
      <w:r>
        <w:t> </w:t>
      </w:r>
    </w:p>
    <w:p w14:paraId="2DDBC642" w14:textId="77777777" w:rsidR="00630683" w:rsidRDefault="00630683">
      <w:pPr>
        <w:pStyle w:val="BodyText"/>
      </w:pPr>
      <w:r>
        <w:t> </w:t>
      </w:r>
      <w:r w:rsidR="00797FFE">
        <w:t>Should the Commission approve the special contract between Peoples and FPUC?</w:t>
      </w:r>
    </w:p>
    <w:p w14:paraId="63519170" w14:textId="77777777" w:rsidR="00630683" w:rsidRPr="004C3641" w:rsidRDefault="00630683">
      <w:pPr>
        <w:pStyle w:val="IssueSubsectionHeading"/>
        <w:rPr>
          <w:vanish/>
          <w:specVanish/>
        </w:rPr>
      </w:pPr>
      <w:r w:rsidRPr="004C3641">
        <w:t>Recommendation: </w:t>
      </w:r>
    </w:p>
    <w:p w14:paraId="4B45701F" w14:textId="392DA982" w:rsidR="00630683" w:rsidRDefault="00630683">
      <w:pPr>
        <w:pStyle w:val="BodyText"/>
      </w:pPr>
      <w:r>
        <w:t> </w:t>
      </w:r>
      <w:r w:rsidR="00797FFE">
        <w:t>Yes, the Commission should approve the special contract between Peoples and FPUC</w:t>
      </w:r>
      <w:r w:rsidR="00607CE7">
        <w:t xml:space="preserve"> as shown in Attachment A to the recommendation</w:t>
      </w:r>
      <w:r w:rsidR="00797FFE">
        <w:t xml:space="preserve">. </w:t>
      </w:r>
      <w:r w:rsidR="00A87FE7">
        <w:t xml:space="preserve">The contract is reasonable because it facilitates the delivery of natural gas into Nassau County and benefits FPUC’s and Peoples’ general body of ratepayers. </w:t>
      </w:r>
      <w:r w:rsidR="00797FFE">
        <w:t xml:space="preserve">The contract should be effective </w:t>
      </w:r>
      <w:r w:rsidR="00607CE7">
        <w:t>November 1, 2022</w:t>
      </w:r>
      <w:r w:rsidR="00797FFE">
        <w:t>.</w:t>
      </w:r>
      <w:r>
        <w:t xml:space="preserve"> (Ward)</w:t>
      </w:r>
    </w:p>
    <w:p w14:paraId="41EB2775" w14:textId="77777777" w:rsidR="00630683" w:rsidRPr="004C3641" w:rsidRDefault="00630683">
      <w:pPr>
        <w:pStyle w:val="IssueSubsectionHeading"/>
        <w:rPr>
          <w:vanish/>
          <w:specVanish/>
        </w:rPr>
      </w:pPr>
      <w:r w:rsidRPr="004C3641">
        <w:t>Staff Analysis: </w:t>
      </w:r>
    </w:p>
    <w:p w14:paraId="20C60C8E" w14:textId="5913FEBF" w:rsidR="007B556A" w:rsidRDefault="00630683">
      <w:pPr>
        <w:pStyle w:val="BodyText"/>
      </w:pPr>
      <w:r>
        <w:t> </w:t>
      </w:r>
    </w:p>
    <w:p w14:paraId="704570B7" w14:textId="48DC62BD" w:rsidR="007B556A" w:rsidRDefault="007B556A" w:rsidP="007B556A">
      <w:pPr>
        <w:pStyle w:val="First-LevelSubheading"/>
      </w:pPr>
      <w:r>
        <w:t>Existing Agreement</w:t>
      </w:r>
    </w:p>
    <w:p w14:paraId="4EA953EA" w14:textId="7CCA77EF" w:rsidR="003010F9" w:rsidRDefault="003010F9" w:rsidP="003010F9">
      <w:pPr>
        <w:pStyle w:val="BodyText"/>
      </w:pPr>
      <w:r w:rsidRPr="003010F9">
        <w:t xml:space="preserve">On September 20, 2021, Peoples and FPUC entered into a gas transportation agreement (2021 agreement) that was subject to termination on October 1, 2022. </w:t>
      </w:r>
      <w:r w:rsidR="00EC4408">
        <w:t xml:space="preserve">The Parties agreed to extend the 2021 agreement until October 31, 2022. </w:t>
      </w:r>
      <w:r w:rsidR="00607CE7">
        <w:t>The Parties explained that t</w:t>
      </w:r>
      <w:r w:rsidRPr="003010F9">
        <w:t>he 2021 agreement did not require Commission approval</w:t>
      </w:r>
      <w:r w:rsidR="00607CE7">
        <w:t xml:space="preserve"> since the terms and conditions of the 2021 </w:t>
      </w:r>
      <w:r w:rsidR="0036004C">
        <w:t>agreement</w:t>
      </w:r>
      <w:r w:rsidR="00607CE7">
        <w:t xml:space="preserve"> did not deviate from Peoples’ Commission-approved tariff</w:t>
      </w:r>
      <w:r w:rsidRPr="003010F9">
        <w:t>. Under the 2021 agreement</w:t>
      </w:r>
      <w:r w:rsidR="00272878">
        <w:t>,</w:t>
      </w:r>
      <w:r w:rsidRPr="003010F9">
        <w:t xml:space="preserve"> FPUC received service under Peoples’ </w:t>
      </w:r>
      <w:r w:rsidR="00272878">
        <w:t xml:space="preserve">interruptible (IS) </w:t>
      </w:r>
      <w:r w:rsidRPr="003010F9">
        <w:t xml:space="preserve">Rate Schedule. </w:t>
      </w:r>
      <w:r w:rsidR="00272878">
        <w:t>Pursuant to t</w:t>
      </w:r>
      <w:r w:rsidRPr="003010F9">
        <w:t>he 2021 agreement</w:t>
      </w:r>
      <w:r w:rsidR="00272878">
        <w:t>,</w:t>
      </w:r>
      <w:r w:rsidRPr="003010F9">
        <w:t xml:space="preserve"> Peoples transport</w:t>
      </w:r>
      <w:r w:rsidR="00272878">
        <w:t>ed natural</w:t>
      </w:r>
      <w:r w:rsidRPr="003010F9">
        <w:t xml:space="preserve"> gas from </w:t>
      </w:r>
      <w:r w:rsidR="00EF0CEE">
        <w:t xml:space="preserve">the </w:t>
      </w:r>
      <w:r w:rsidRPr="003010F9">
        <w:t xml:space="preserve">Florida Gas Transmission’s (FGT) interstate pipeline at the PGS-Jacksonville main gate to the Radio Avenue Interconnect into the Callahan Pipeline. </w:t>
      </w:r>
      <w:r w:rsidR="006605FC">
        <w:t>T</w:t>
      </w:r>
      <w:r w:rsidR="00272878">
        <w:t>he Callahan Pipeline</w:t>
      </w:r>
      <w:r w:rsidR="006605FC">
        <w:t xml:space="preserve"> </w:t>
      </w:r>
      <w:r w:rsidR="0036004C">
        <w:t xml:space="preserve">is a 16-inch steel pipeline that </w:t>
      </w:r>
      <w:r w:rsidR="006605FC">
        <w:t>was constructed</w:t>
      </w:r>
      <w:r w:rsidR="00272878">
        <w:t xml:space="preserve"> in 2019 to allow FPUC and Peoples to expand natural gas service in Nassau and Duval </w:t>
      </w:r>
      <w:r w:rsidR="006605FC">
        <w:t>counties.</w:t>
      </w:r>
    </w:p>
    <w:p w14:paraId="59A068CF" w14:textId="65669028" w:rsidR="006605FC" w:rsidRDefault="006605FC" w:rsidP="006605FC">
      <w:pPr>
        <w:pStyle w:val="First-LevelSubheading"/>
      </w:pPr>
      <w:r>
        <w:t>Proposed Contract</w:t>
      </w:r>
    </w:p>
    <w:p w14:paraId="401C107E" w14:textId="23ABFE94" w:rsidR="00773BB9" w:rsidRDefault="00773BB9">
      <w:pPr>
        <w:pStyle w:val="BodyText"/>
      </w:pPr>
      <w:r w:rsidRPr="00773BB9">
        <w:t xml:space="preserve">In response to staff’s first data request, FPUC </w:t>
      </w:r>
      <w:r w:rsidR="00B344A1">
        <w:t>stated</w:t>
      </w:r>
      <w:r w:rsidRPr="00773BB9">
        <w:t xml:space="preserve"> that the Transco Zone 5 index represents the prevailing price index for the </w:t>
      </w:r>
      <w:r w:rsidR="00B344A1">
        <w:t xml:space="preserve">natural </w:t>
      </w:r>
      <w:r w:rsidRPr="00773BB9">
        <w:t xml:space="preserve">gas FPUC procures for its operations in Nassau County. FPUC explained that the Transco Zone 5 market has been disproportionately impacted by price increases due to </w:t>
      </w:r>
      <w:r w:rsidR="004C6994">
        <w:t xml:space="preserve">natural </w:t>
      </w:r>
      <w:r w:rsidRPr="00773BB9">
        <w:t xml:space="preserve">gas shortages in Europe that have increased domestic exports of natural gas. </w:t>
      </w:r>
      <w:r w:rsidR="004C6994">
        <w:t xml:space="preserve">As a result of the price increases, </w:t>
      </w:r>
      <w:r w:rsidRPr="00773BB9">
        <w:t xml:space="preserve">FPUC stated that they have been seeking </w:t>
      </w:r>
      <w:r w:rsidR="004C6994">
        <w:t>natural gas supply from alternate receipt locations</w:t>
      </w:r>
      <w:r w:rsidR="00BB5609">
        <w:t>, such as FGT,</w:t>
      </w:r>
      <w:r w:rsidR="004C6994">
        <w:t xml:space="preserve"> </w:t>
      </w:r>
      <w:r w:rsidRPr="00773BB9">
        <w:t>that do not rely on Transco Zone 5.</w:t>
      </w:r>
    </w:p>
    <w:p w14:paraId="46DB74F7" w14:textId="1350ABDF" w:rsidR="003010F9" w:rsidRDefault="003010F9">
      <w:pPr>
        <w:pStyle w:val="BodyText"/>
      </w:pPr>
      <w:r>
        <w:t xml:space="preserve">In June 2022, FPUC contacted Peoples seeking to </w:t>
      </w:r>
      <w:r w:rsidR="00A91145">
        <w:t xml:space="preserve">convert the 2021 </w:t>
      </w:r>
      <w:r>
        <w:t xml:space="preserve">agreement </w:t>
      </w:r>
      <w:r w:rsidR="00FC4C7D">
        <w:t xml:space="preserve">into a new </w:t>
      </w:r>
      <w:r w:rsidR="00D33588">
        <w:t xml:space="preserve">contract for firm service as firm service is typically </w:t>
      </w:r>
      <w:r w:rsidR="00A87FE7">
        <w:t>preferable</w:t>
      </w:r>
      <w:r w:rsidR="00D33588">
        <w:t xml:space="preserve"> to interruptible service</w:t>
      </w:r>
      <w:r w:rsidR="00FC4C7D">
        <w:t xml:space="preserve">. </w:t>
      </w:r>
      <w:r w:rsidR="00D33588">
        <w:t xml:space="preserve">The Petitioners explained that discussions concerning a new agreement have resulted in the proposed contract. </w:t>
      </w:r>
      <w:r w:rsidR="00FC4C7D">
        <w:t xml:space="preserve">The </w:t>
      </w:r>
      <w:r w:rsidR="00D33588">
        <w:t>proposed contract</w:t>
      </w:r>
      <w:r w:rsidR="00FC4C7D">
        <w:t xml:space="preserve"> would allow Peoples to provide FPUC with </w:t>
      </w:r>
      <w:r w:rsidR="00D33588">
        <w:t>firm</w:t>
      </w:r>
      <w:r w:rsidR="00FC4C7D">
        <w:t xml:space="preserve"> service for a limited duration and obtain a fixed monthly reservation fee for the service provided. </w:t>
      </w:r>
      <w:r w:rsidR="004C6994">
        <w:t xml:space="preserve">The term of the contract extends as far into the future as Peoples has the capability on its infrastructure to offer the service in consideration of expected future growth on </w:t>
      </w:r>
      <w:r w:rsidR="00A87FE7">
        <w:t>Peoples’</w:t>
      </w:r>
      <w:r w:rsidR="004C6994">
        <w:t xml:space="preserve"> system. FPUC stated that after the contract expires, FPUC plans to revert to using firm Southern Natural Gas (</w:t>
      </w:r>
      <w:proofErr w:type="spellStart"/>
      <w:r w:rsidR="004C6994">
        <w:t>Sonat</w:t>
      </w:r>
      <w:proofErr w:type="spellEnd"/>
      <w:r w:rsidR="004C6994">
        <w:t xml:space="preserve">) capacity for its supply requirements. </w:t>
      </w:r>
      <w:proofErr w:type="spellStart"/>
      <w:r w:rsidR="004C6994">
        <w:t>Sonat</w:t>
      </w:r>
      <w:proofErr w:type="spellEnd"/>
      <w:r w:rsidR="004C6994">
        <w:t xml:space="preserve"> </w:t>
      </w:r>
      <w:r w:rsidR="004C6994" w:rsidRPr="004C6994">
        <w:t>is a</w:t>
      </w:r>
      <w:r w:rsidR="004C6994">
        <w:t>n in</w:t>
      </w:r>
      <w:r w:rsidR="009C25AE">
        <w:t>ter</w:t>
      </w:r>
      <w:r w:rsidR="004C6994">
        <w:t>state</w:t>
      </w:r>
      <w:r w:rsidR="004C6994" w:rsidRPr="004C6994">
        <w:t> </w:t>
      </w:r>
      <w:hyperlink r:id="rId11" w:tooltip="Natural gas" w:history="1">
        <w:r w:rsidR="004C6994" w:rsidRPr="004C6994">
          <w:t>natural gas</w:t>
        </w:r>
      </w:hyperlink>
      <w:r w:rsidR="004C6994" w:rsidRPr="004C6994">
        <w:t> pipeline system which brings gas from the </w:t>
      </w:r>
      <w:hyperlink r:id="rId12" w:tooltip="Louisiana" w:history="1">
        <w:r w:rsidR="004C6994" w:rsidRPr="004C6994">
          <w:t>Louisiana</w:t>
        </w:r>
      </w:hyperlink>
      <w:r w:rsidR="004C6994" w:rsidRPr="004C6994">
        <w:t> </w:t>
      </w:r>
      <w:hyperlink r:id="rId13" w:tooltip="Gulf of Mexico" w:history="1">
        <w:r w:rsidR="004C6994" w:rsidRPr="004C6994">
          <w:t>Gulf of Mexico</w:t>
        </w:r>
      </w:hyperlink>
      <w:r w:rsidR="004C6994" w:rsidRPr="004C6994">
        <w:t> coast to the southeastern </w:t>
      </w:r>
      <w:hyperlink r:id="rId14" w:history="1">
        <w:r w:rsidR="004C6994" w:rsidRPr="004C6994">
          <w:t>United States</w:t>
        </w:r>
      </w:hyperlink>
      <w:r w:rsidR="00A87FE7">
        <w:t>, including Florida.</w:t>
      </w:r>
    </w:p>
    <w:p w14:paraId="252E330F" w14:textId="65B70E91" w:rsidR="00A26D35" w:rsidRDefault="00A26D35">
      <w:pPr>
        <w:pStyle w:val="BodyText"/>
      </w:pPr>
      <w:r w:rsidRPr="007B556A">
        <w:t xml:space="preserve">Pursuant to the proposed contract, the receipt points, delivery points, and points of delivery would remain the same as in the 2021 agreement. The contract is for a nineteen-month term commencing on November 1, 2022, and terminating on June 1, 2024. The terms of the contract </w:t>
      </w:r>
      <w:r w:rsidRPr="007B556A">
        <w:lastRenderedPageBreak/>
        <w:t>include a negotiated monthly charge for the reservation of firm capacity and transportation service on Peoples’ distribution system and a daily maximum transportation quantity.</w:t>
      </w:r>
    </w:p>
    <w:p w14:paraId="1032B0EC" w14:textId="0E611DFB" w:rsidR="00BD0D10" w:rsidRDefault="00B742DF">
      <w:pPr>
        <w:pStyle w:val="BodyText"/>
      </w:pPr>
      <w:r>
        <w:t xml:space="preserve">FPUC explained that the alternative supply received under the contract would benefit the general body of ratepayers </w:t>
      </w:r>
      <w:r w:rsidR="00A87FE7">
        <w:t xml:space="preserve">by </w:t>
      </w:r>
      <w:r>
        <w:t>more than $10 million over the nineteen-month term.</w:t>
      </w:r>
      <w:r w:rsidR="004F3412">
        <w:t xml:space="preserve"> Peoples explained that the contract would generate revenues for Peoples</w:t>
      </w:r>
      <w:r w:rsidR="00A87FE7">
        <w:t>,</w:t>
      </w:r>
      <w:r w:rsidR="004F3412">
        <w:t xml:space="preserve"> </w:t>
      </w:r>
      <w:r w:rsidR="00A87FE7">
        <w:t>benefiting</w:t>
      </w:r>
      <w:r w:rsidR="004F3412">
        <w:t xml:space="preserve"> Peoples’ general body of ratepayers.</w:t>
      </w:r>
      <w:r>
        <w:t xml:space="preserve"> The Petitioners explained that FPUC will be able to pay a lower cost per dekatherm under the special contract in comparison to the 2021 agreement because of a fixed fee structure. FPUC will recover </w:t>
      </w:r>
      <w:r w:rsidR="00D33588">
        <w:t>its payments to Peoples</w:t>
      </w:r>
      <w:r>
        <w:t xml:space="preserve"> through the Purchased Gas Adjustment (PGA)</w:t>
      </w:r>
      <w:r w:rsidR="00D33588">
        <w:t xml:space="preserve"> and</w:t>
      </w:r>
      <w:r>
        <w:t xml:space="preserve"> from third-party transportation customers that utilize the alternative supply into Nassau County.</w:t>
      </w:r>
    </w:p>
    <w:p w14:paraId="0FF46B4E" w14:textId="30960F0F" w:rsidR="00743213" w:rsidRDefault="00743213" w:rsidP="00743213">
      <w:pPr>
        <w:pStyle w:val="First-LevelSubheading"/>
      </w:pPr>
      <w:r>
        <w:t>Conclusion</w:t>
      </w:r>
    </w:p>
    <w:p w14:paraId="04505D96" w14:textId="5EA249F6" w:rsidR="00743213" w:rsidRDefault="00743213" w:rsidP="00743213">
      <w:pPr>
        <w:pStyle w:val="BodyText"/>
      </w:pPr>
      <w:r>
        <w:t xml:space="preserve">Based on the review of the petition and responses to staff’s data requests, staff </w:t>
      </w:r>
      <w:r w:rsidR="00AA2936">
        <w:t>believes</w:t>
      </w:r>
      <w:r>
        <w:t xml:space="preserve"> the proposed special contract is reasonable because it facilitates the delivery of natural gas in</w:t>
      </w:r>
      <w:r w:rsidR="0036004C">
        <w:t>to</w:t>
      </w:r>
      <w:r>
        <w:t xml:space="preserve"> Nassau County</w:t>
      </w:r>
      <w:r w:rsidR="00B742DF">
        <w:t xml:space="preserve"> and benefits </w:t>
      </w:r>
      <w:r w:rsidR="00D33588">
        <w:t xml:space="preserve">FPUC’s and Peoples’ </w:t>
      </w:r>
      <w:r w:rsidR="00B742DF">
        <w:t>general body of ratepayers</w:t>
      </w:r>
      <w:r>
        <w:t>. Staff therefore recommends approval of the proposed special</w:t>
      </w:r>
      <w:r w:rsidR="00190393">
        <w:t xml:space="preserve"> contract</w:t>
      </w:r>
      <w:r>
        <w:t xml:space="preserve"> between Peoples and FPUC effective November 1, 2022.</w:t>
      </w:r>
    </w:p>
    <w:p w14:paraId="07CC810E" w14:textId="667BCBE6" w:rsidR="00743213" w:rsidRPr="00743213" w:rsidRDefault="00743213" w:rsidP="00743213">
      <w:pPr>
        <w:pStyle w:val="BodyText"/>
      </w:pPr>
    </w:p>
    <w:p w14:paraId="70387B78" w14:textId="77777777" w:rsidR="00743213" w:rsidRDefault="00743213" w:rsidP="00FC4C7D">
      <w:pPr>
        <w:pStyle w:val="BodyText"/>
      </w:pPr>
    </w:p>
    <w:p w14:paraId="2E7251F5" w14:textId="49DB8317" w:rsidR="00630683" w:rsidRDefault="00630683" w:rsidP="00190393">
      <w:pPr>
        <w:pStyle w:val="BodyText"/>
      </w:pPr>
    </w:p>
    <w:p w14:paraId="601FA93F" w14:textId="5B004E7C" w:rsidR="00190393" w:rsidRDefault="00190393">
      <w:pPr>
        <w:pStyle w:val="IssueHeading"/>
        <w:rPr>
          <w:vanish/>
          <w:specVanish/>
        </w:rPr>
      </w:pPr>
      <w:r w:rsidRPr="004C3641">
        <w:rPr>
          <w:b w:val="0"/>
          <w:i w:val="0"/>
        </w:rPr>
        <w:br w:type="page"/>
      </w:r>
      <w:r w:rsidRPr="004C3641">
        <w:lastRenderedPageBreak/>
        <w:t xml:space="preserve">Issue </w:t>
      </w:r>
      <w:fldSimple w:instr=" SEQ Issue \* MERGEFORMAT ">
        <w:r w:rsidR="00A87FE7">
          <w:rPr>
            <w:noProof/>
          </w:rPr>
          <w:t>2</w:t>
        </w:r>
      </w:fldSimple>
      <w:r w:rsidRPr="004C3641">
        <w:t>:</w:t>
      </w:r>
      <w:r>
        <w:fldChar w:fldCharType="begin"/>
      </w:r>
      <w:r>
        <w:instrText xml:space="preserve"> TC "</w:instrText>
      </w:r>
      <w:r>
        <w:fldChar w:fldCharType="begin"/>
      </w:r>
      <w:r>
        <w:instrText xml:space="preserve"> SEQ issue \c </w:instrText>
      </w:r>
      <w:r>
        <w:fldChar w:fldCharType="separate"/>
      </w:r>
      <w:r w:rsidR="00A87FE7">
        <w:rPr>
          <w:noProof/>
        </w:rPr>
        <w:instrText>2</w:instrText>
      </w:r>
      <w:r>
        <w:fldChar w:fldCharType="end"/>
      </w:r>
      <w:r>
        <w:tab/>
        <w:instrText xml:space="preserve">(Stiller)" \l 1 </w:instrText>
      </w:r>
      <w:r>
        <w:fldChar w:fldCharType="end"/>
      </w:r>
      <w:r>
        <w:t> </w:t>
      </w:r>
    </w:p>
    <w:p w14:paraId="39ACAF47" w14:textId="1FC8D06F" w:rsidR="00190393" w:rsidRDefault="00190393">
      <w:pPr>
        <w:pStyle w:val="BodyText"/>
      </w:pPr>
      <w:r>
        <w:t> Should this docket be closed?</w:t>
      </w:r>
    </w:p>
    <w:p w14:paraId="30CD1368" w14:textId="77777777" w:rsidR="00190393" w:rsidRPr="004C3641" w:rsidRDefault="00190393">
      <w:pPr>
        <w:pStyle w:val="IssueSubsectionHeading"/>
        <w:rPr>
          <w:vanish/>
          <w:specVanish/>
        </w:rPr>
      </w:pPr>
      <w:r w:rsidRPr="004C3641">
        <w:t>Recommendation: </w:t>
      </w:r>
    </w:p>
    <w:p w14:paraId="466E43BD" w14:textId="2CD3DB1F" w:rsidR="00190393" w:rsidRDefault="00190393">
      <w:pPr>
        <w:pStyle w:val="BodyText"/>
      </w:pPr>
      <w:r>
        <w:t> </w:t>
      </w:r>
      <w:r w:rsidRPr="00190393">
        <w:t>If no protest is filed</w:t>
      </w:r>
      <w:r w:rsidR="00695DDE">
        <w:t xml:space="preserve"> by a person whose substantial interests are affected within 21 days of issuance of this order</w:t>
      </w:r>
      <w:r w:rsidRPr="00190393">
        <w:t>, this docket should be closed upon the issuance of a consummating order.</w:t>
      </w:r>
      <w:r>
        <w:t xml:space="preserve"> (Stiller)</w:t>
      </w:r>
    </w:p>
    <w:p w14:paraId="46BAB644" w14:textId="77777777" w:rsidR="00190393" w:rsidRPr="004C3641" w:rsidRDefault="00190393">
      <w:pPr>
        <w:pStyle w:val="IssueSubsectionHeading"/>
        <w:rPr>
          <w:vanish/>
          <w:specVanish/>
        </w:rPr>
      </w:pPr>
      <w:r w:rsidRPr="004C3641">
        <w:t>Staff Analysis: </w:t>
      </w:r>
    </w:p>
    <w:p w14:paraId="03EF319D" w14:textId="43972A57" w:rsidR="00190393" w:rsidRDefault="00190393">
      <w:pPr>
        <w:pStyle w:val="BodyText"/>
      </w:pPr>
      <w:r>
        <w:t> </w:t>
      </w:r>
      <w:r w:rsidRPr="00190393">
        <w:t>If no protest is filed</w:t>
      </w:r>
      <w:r w:rsidR="00695DDE">
        <w:t xml:space="preserve"> by a person whose substantial interests are affected within 21 days of issuance of this order</w:t>
      </w:r>
      <w:r w:rsidRPr="00190393">
        <w:t>, this docket should be closed upon the issuance of a consummating order.</w:t>
      </w:r>
    </w:p>
    <w:p w14:paraId="38371071" w14:textId="77777777" w:rsidR="007527CF" w:rsidRDefault="007527CF" w:rsidP="00E275D8">
      <w:pPr>
        <w:pStyle w:val="BodyText"/>
        <w:sectPr w:rsidR="007527CF" w:rsidSect="0068481F">
          <w:headerReference w:type="default" r:id="rId15"/>
          <w:headerReference w:type="first" r:id="rId16"/>
          <w:footerReference w:type="first" r:id="rId17"/>
          <w:pgSz w:w="12240" w:h="15840" w:code="1"/>
          <w:pgMar w:top="1584" w:right="1440" w:bottom="1440" w:left="1440" w:header="720" w:footer="720" w:gutter="0"/>
          <w:cols w:space="720"/>
          <w:formProt w:val="0"/>
          <w:docGrid w:linePitch="360"/>
        </w:sectPr>
      </w:pPr>
    </w:p>
    <w:p w14:paraId="7DCBA6F0" w14:textId="0B08E362" w:rsidR="002229B8" w:rsidRDefault="002229B8" w:rsidP="00E275D8">
      <w:pPr>
        <w:pStyle w:val="BodyText"/>
      </w:pPr>
      <w:r>
        <w:rPr>
          <w:noProof/>
        </w:rPr>
        <w:lastRenderedPageBreak/>
        <w:drawing>
          <wp:inline distT="0" distB="0" distL="0" distR="0" wp14:anchorId="44F5112C" wp14:editId="1F7FA77F">
            <wp:extent cx="5943600" cy="76923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ecial Contract PDF 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4FD71C" wp14:editId="3DC188E8">
            <wp:extent cx="5943600" cy="76904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pecial Contract PDF 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564F14" wp14:editId="621F7117">
            <wp:extent cx="5943600" cy="769048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pecial Contract PDF 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C528A6" wp14:editId="6BE31F25">
            <wp:extent cx="5943600" cy="769048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pecial Contract PDF 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BD1569" wp14:editId="31819251">
            <wp:extent cx="5943600" cy="769239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pecial Contract PDF 1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08EF30" wp14:editId="1BB7E17B">
            <wp:extent cx="5943600" cy="769048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pecial Contract PDF 1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D55C00" wp14:editId="7777FEBD">
            <wp:extent cx="5943600" cy="769048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pecial Contract PDF 1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0628DB" wp14:editId="7D02D71A">
            <wp:extent cx="5943600" cy="769048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pecial Contract PDF 1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07CB04" wp14:editId="1CCC4027">
            <wp:extent cx="5943600" cy="769048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pecial Contract PDF 1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29B8" w:rsidSect="005756B3">
      <w:headerReference w:type="default" r:id="rId27"/>
      <w:footerReference w:type="default" r:id="rId28"/>
      <w:pgSz w:w="12240" w:h="15840" w:code="1"/>
      <w:pgMar w:top="1584" w:right="1440" w:bottom="1440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B5BBF7" w14:textId="77777777" w:rsidR="00316C29" w:rsidRDefault="00316C29">
      <w:r>
        <w:separator/>
      </w:r>
    </w:p>
  </w:endnote>
  <w:endnote w:type="continuationSeparator" w:id="0">
    <w:p w14:paraId="3836A779" w14:textId="77777777" w:rsidR="00316C29" w:rsidRDefault="00316C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557395" w14:textId="115F624A" w:rsidR="00BC402E" w:rsidRDefault="00BC402E">
    <w:pPr>
      <w:pStyle w:val="Footer"/>
      <w:tabs>
        <w:tab w:val="clear" w:pos="4320"/>
        <w:tab w:val="clear" w:pos="8640"/>
        <w:tab w:val="center" w:pos="4674"/>
        <w:tab w:val="right" w:pos="9360"/>
      </w:tabs>
    </w:pPr>
    <w:r>
      <w:tab/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A7F29">
      <w:rPr>
        <w:rStyle w:val="PageNumber"/>
        <w:noProof/>
      </w:rPr>
      <w:t>4</w:t>
    </w:r>
    <w:r>
      <w:rPr>
        <w:rStyle w:val="PageNumber"/>
      </w:rPr>
      <w:fldChar w:fldCharType="end"/>
    </w:r>
    <w:r>
      <w:rPr>
        <w:rStyle w:val="PageNumber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4EC623" w14:textId="77777777" w:rsidR="00BC402E" w:rsidRDefault="00BC402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4D4AFF" w14:textId="0A330158" w:rsidR="005756B3" w:rsidRDefault="005756B3">
    <w:pPr>
      <w:pStyle w:val="Footer"/>
      <w:tabs>
        <w:tab w:val="clear" w:pos="4320"/>
        <w:tab w:val="clear" w:pos="8640"/>
        <w:tab w:val="center" w:pos="4674"/>
        <w:tab w:val="right" w:pos="9360"/>
      </w:tabs>
    </w:pPr>
    <w:r>
      <w:tab/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A7F29">
      <w:rPr>
        <w:rStyle w:val="PageNumber"/>
        <w:noProof/>
      </w:rPr>
      <w:t>13</w:t>
    </w:r>
    <w:r>
      <w:rPr>
        <w:rStyle w:val="PageNumber"/>
      </w:rPr>
      <w:fldChar w:fldCharType="end"/>
    </w:r>
    <w:r>
      <w:rPr>
        <w:rStyle w:val="PageNumber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7C1910" w14:textId="77777777" w:rsidR="00316C29" w:rsidRDefault="00316C29">
      <w:r>
        <w:separator/>
      </w:r>
    </w:p>
  </w:footnote>
  <w:footnote w:type="continuationSeparator" w:id="0">
    <w:p w14:paraId="62AD18DD" w14:textId="77777777" w:rsidR="00316C29" w:rsidRDefault="00316C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EA8089" w14:textId="77777777" w:rsidR="00BC402E" w:rsidRDefault="00630683" w:rsidP="00220732">
    <w:pPr>
      <w:pStyle w:val="Header"/>
      <w:tabs>
        <w:tab w:val="clear" w:pos="4320"/>
        <w:tab w:val="clear" w:pos="8640"/>
        <w:tab w:val="right" w:pos="9360"/>
      </w:tabs>
    </w:pPr>
    <w:bookmarkStart w:id="13" w:name="DocketLabel"/>
    <w:r>
      <w:t>Docket No.</w:t>
    </w:r>
    <w:bookmarkEnd w:id="13"/>
    <w:r w:rsidR="00BC402E">
      <w:t xml:space="preserve"> </w:t>
    </w:r>
    <w:bookmarkStart w:id="14" w:name="DocketList"/>
    <w:r>
      <w:t>20220159-GU</w:t>
    </w:r>
    <w:bookmarkEnd w:id="14"/>
  </w:p>
  <w:p w14:paraId="5C51EFD8" w14:textId="037D73CE" w:rsidR="00BC402E" w:rsidRDefault="00BC402E">
    <w:pPr>
      <w:pStyle w:val="Header"/>
    </w:pPr>
    <w:r>
      <w:t xml:space="preserve">Date: </w:t>
    </w:r>
    <w:r w:rsidR="008C28EF">
      <w:fldChar w:fldCharType="begin"/>
    </w:r>
    <w:r w:rsidR="008C28EF">
      <w:instrText xml:space="preserve"> REF FilingDate </w:instrText>
    </w:r>
    <w:r w:rsidR="008C28EF">
      <w:fldChar w:fldCharType="separate"/>
    </w:r>
    <w:r w:rsidR="00A87FE7">
      <w:t>October 20, 2022</w:t>
    </w:r>
    <w:r w:rsidR="008C28EF"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D31B50" w14:textId="769518A1" w:rsidR="00BC402E" w:rsidRDefault="00BC402E" w:rsidP="00220732">
    <w:pPr>
      <w:pStyle w:val="Header"/>
      <w:tabs>
        <w:tab w:val="clear" w:pos="4320"/>
        <w:tab w:val="clear" w:pos="8640"/>
        <w:tab w:val="right" w:pos="9360"/>
      </w:tabs>
    </w:pPr>
    <w:r>
      <w:fldChar w:fldCharType="begin"/>
    </w:r>
    <w:r>
      <w:instrText xml:space="preserve"> REF DocketLabel</w:instrText>
    </w:r>
    <w:r>
      <w:fldChar w:fldCharType="separate"/>
    </w:r>
    <w:r w:rsidR="00A87FE7">
      <w:t>Docket No.</w:t>
    </w:r>
    <w:r>
      <w:fldChar w:fldCharType="end"/>
    </w:r>
    <w:r>
      <w:t xml:space="preserve"> </w:t>
    </w:r>
    <w:r>
      <w:fldChar w:fldCharType="begin"/>
    </w:r>
    <w:r>
      <w:instrText xml:space="preserve"> REF DocketList</w:instrText>
    </w:r>
    <w:r>
      <w:fldChar w:fldCharType="separate"/>
    </w:r>
    <w:r w:rsidR="00A87FE7">
      <w:t>20220159-GU</w:t>
    </w:r>
    <w:r>
      <w:fldChar w:fldCharType="end"/>
    </w:r>
    <w:r>
      <w:tab/>
      <w:t xml:space="preserve">Issue </w:t>
    </w:r>
    <w:r w:rsidR="008C28EF">
      <w:fldChar w:fldCharType="begin"/>
    </w:r>
    <w:r w:rsidR="008C28EF">
      <w:instrText xml:space="preserve"> </w:instrText>
    </w:r>
    <w:r w:rsidR="008C28EF">
      <w:instrText xml:space="preserve">Seq Issue \c \* Arabic </w:instrText>
    </w:r>
    <w:r w:rsidR="008C28EF">
      <w:fldChar w:fldCharType="separate"/>
    </w:r>
    <w:r w:rsidR="00FA7F29">
      <w:rPr>
        <w:noProof/>
      </w:rPr>
      <w:t>2</w:t>
    </w:r>
    <w:r w:rsidR="008C28EF">
      <w:rPr>
        <w:noProof/>
      </w:rPr>
      <w:fldChar w:fldCharType="end"/>
    </w:r>
  </w:p>
  <w:p w14:paraId="26CBCA65" w14:textId="6B7CA02B" w:rsidR="00BC402E" w:rsidRDefault="00BC402E">
    <w:pPr>
      <w:pStyle w:val="Header"/>
    </w:pPr>
    <w:r>
      <w:t xml:space="preserve">Date: </w:t>
    </w:r>
    <w:r w:rsidR="008C28EF">
      <w:fldChar w:fldCharType="begin"/>
    </w:r>
    <w:r w:rsidR="008C28EF">
      <w:instrText xml:space="preserve"> REF FilingDate </w:instrText>
    </w:r>
    <w:r w:rsidR="008C28EF">
      <w:fldChar w:fldCharType="separate"/>
    </w:r>
    <w:r w:rsidR="00A87FE7">
      <w:t>October 20, 2022</w:t>
    </w:r>
    <w:r w:rsidR="008C28EF"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878ABD" w14:textId="77777777" w:rsidR="00BC402E" w:rsidRDefault="00BC402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E09E89" w14:textId="2620A212" w:rsidR="007527CF" w:rsidRDefault="007527CF" w:rsidP="00220732">
    <w:pPr>
      <w:pStyle w:val="Header"/>
      <w:tabs>
        <w:tab w:val="clear" w:pos="4320"/>
        <w:tab w:val="clear" w:pos="8640"/>
        <w:tab w:val="right" w:pos="9360"/>
      </w:tabs>
    </w:pPr>
    <w:r>
      <w:fldChar w:fldCharType="begin"/>
    </w:r>
    <w:r>
      <w:instrText xml:space="preserve"> REF DocketLabel</w:instrText>
    </w:r>
    <w:r>
      <w:fldChar w:fldCharType="separate"/>
    </w:r>
    <w:r>
      <w:t>Docket No.</w:t>
    </w:r>
    <w:r>
      <w:fldChar w:fldCharType="end"/>
    </w:r>
    <w:r>
      <w:t xml:space="preserve"> </w:t>
    </w:r>
    <w:r>
      <w:fldChar w:fldCharType="begin"/>
    </w:r>
    <w:r>
      <w:instrText xml:space="preserve"> REF DocketList</w:instrText>
    </w:r>
    <w:r>
      <w:fldChar w:fldCharType="separate"/>
    </w:r>
    <w:r>
      <w:t>20220159-GU</w:t>
    </w:r>
    <w:r>
      <w:fldChar w:fldCharType="end"/>
    </w:r>
    <w:r>
      <w:tab/>
      <w:t>Attachment A</w:t>
    </w:r>
  </w:p>
  <w:p w14:paraId="4F2E9DA6" w14:textId="0A51C0B3" w:rsidR="007527CF" w:rsidRDefault="007527CF" w:rsidP="005756B3">
    <w:pPr>
      <w:pStyle w:val="Header"/>
      <w:tabs>
        <w:tab w:val="clear" w:pos="4320"/>
        <w:tab w:val="clear" w:pos="8640"/>
        <w:tab w:val="right" w:pos="9360"/>
      </w:tabs>
    </w:pPr>
    <w:r>
      <w:t xml:space="preserve">Date: </w:t>
    </w:r>
    <w:r w:rsidR="008C28EF">
      <w:fldChar w:fldCharType="begin"/>
    </w:r>
    <w:r w:rsidR="008C28EF">
      <w:instrText xml:space="preserve"> REF FilingDate </w:instrText>
    </w:r>
    <w:r w:rsidR="008C28EF">
      <w:fldChar w:fldCharType="separate"/>
    </w:r>
    <w:r>
      <w:t>October 20, 2022</w:t>
    </w:r>
    <w:r w:rsidR="008C28EF">
      <w:fldChar w:fldCharType="end"/>
    </w:r>
    <w:r w:rsidR="00216068">
      <w:tab/>
      <w:t xml:space="preserve">Page </w:t>
    </w:r>
    <w:r w:rsidR="00216068">
      <w:fldChar w:fldCharType="begin"/>
    </w:r>
    <w:r w:rsidR="00216068">
      <w:instrText xml:space="preserve">= </w:instrText>
    </w:r>
    <w:r w:rsidR="00216068">
      <w:fldChar w:fldCharType="begin"/>
    </w:r>
    <w:r w:rsidR="00216068">
      <w:instrText xml:space="preserve">Page </w:instrText>
    </w:r>
    <w:r w:rsidR="00216068">
      <w:fldChar w:fldCharType="separate"/>
    </w:r>
    <w:r w:rsidR="00FA7F29">
      <w:rPr>
        <w:noProof/>
      </w:rPr>
      <w:instrText>13</w:instrText>
    </w:r>
    <w:r w:rsidR="00216068">
      <w:fldChar w:fldCharType="end"/>
    </w:r>
    <w:r w:rsidR="00216068">
      <w:instrText>- 4</w:instrText>
    </w:r>
    <w:r w:rsidR="00216068">
      <w:fldChar w:fldCharType="separate"/>
    </w:r>
    <w:r w:rsidR="00FA7F29">
      <w:rPr>
        <w:noProof/>
      </w:rPr>
      <w:t>9</w:t>
    </w:r>
    <w:r w:rsidR="00216068">
      <w:fldChar w:fldCharType="end"/>
    </w:r>
    <w:r w:rsidR="00216068">
      <w:t xml:space="preserve"> of 9</w:t>
    </w:r>
    <w:r w:rsidR="005756B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EFC6C1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0AA0D9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7762B0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8FE4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320B40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60CFD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63058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5F87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0D63E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024AE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1"/>
  <w:activeWritingStyle w:appName="MSWord" w:lang="es-MX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131078" w:nlCheck="1" w:checkStyle="1"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57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32DC39D9-B7F2-4F33-8079-DE13EA01171C}"/>
    <w:docVar w:name="dgnword-eventsink" w:val="337566896"/>
    <w:docVar w:name="NumberOfIssues" w:val="0"/>
    <w:docVar w:name="StaffInToC" w:val="True"/>
  </w:docVars>
  <w:rsids>
    <w:rsidRoot w:val="00630683"/>
    <w:rsid w:val="000043D5"/>
    <w:rsid w:val="00006170"/>
    <w:rsid w:val="00010E37"/>
    <w:rsid w:val="000172DA"/>
    <w:rsid w:val="00022337"/>
    <w:rsid w:val="00023A0E"/>
    <w:rsid w:val="000247C5"/>
    <w:rsid w:val="000277C2"/>
    <w:rsid w:val="00035B48"/>
    <w:rsid w:val="00036CE2"/>
    <w:rsid w:val="000437FE"/>
    <w:rsid w:val="000513BE"/>
    <w:rsid w:val="00051573"/>
    <w:rsid w:val="0005451B"/>
    <w:rsid w:val="00065A06"/>
    <w:rsid w:val="000666F3"/>
    <w:rsid w:val="00070DCB"/>
    <w:rsid w:val="00072CCA"/>
    <w:rsid w:val="00073120"/>
    <w:rsid w:val="000764D0"/>
    <w:rsid w:val="000828D3"/>
    <w:rsid w:val="000A2B57"/>
    <w:rsid w:val="000A418B"/>
    <w:rsid w:val="000B0ACE"/>
    <w:rsid w:val="000C4431"/>
    <w:rsid w:val="000C6607"/>
    <w:rsid w:val="000D1C06"/>
    <w:rsid w:val="000D3043"/>
    <w:rsid w:val="000D4319"/>
    <w:rsid w:val="000E24FA"/>
    <w:rsid w:val="000E338A"/>
    <w:rsid w:val="000E4392"/>
    <w:rsid w:val="000F374A"/>
    <w:rsid w:val="000F4DAF"/>
    <w:rsid w:val="00105BA1"/>
    <w:rsid w:val="001076AF"/>
    <w:rsid w:val="001109F6"/>
    <w:rsid w:val="00116C6B"/>
    <w:rsid w:val="00117C8C"/>
    <w:rsid w:val="001239F0"/>
    <w:rsid w:val="00124C38"/>
    <w:rsid w:val="00124E2E"/>
    <w:rsid w:val="00125ED4"/>
    <w:rsid w:val="001303BF"/>
    <w:rsid w:val="001305E9"/>
    <w:rsid w:val="001307AF"/>
    <w:rsid w:val="0013347E"/>
    <w:rsid w:val="00135687"/>
    <w:rsid w:val="00136BD1"/>
    <w:rsid w:val="00146B5D"/>
    <w:rsid w:val="00150ECE"/>
    <w:rsid w:val="0015506E"/>
    <w:rsid w:val="00163031"/>
    <w:rsid w:val="001654C4"/>
    <w:rsid w:val="00171A90"/>
    <w:rsid w:val="00180254"/>
    <w:rsid w:val="00190393"/>
    <w:rsid w:val="00191E1F"/>
    <w:rsid w:val="00191EE8"/>
    <w:rsid w:val="00192943"/>
    <w:rsid w:val="00193BAF"/>
    <w:rsid w:val="00194791"/>
    <w:rsid w:val="001A7406"/>
    <w:rsid w:val="001A7AE4"/>
    <w:rsid w:val="001B1EDC"/>
    <w:rsid w:val="001B265F"/>
    <w:rsid w:val="001B4053"/>
    <w:rsid w:val="001B4FEE"/>
    <w:rsid w:val="001B51C5"/>
    <w:rsid w:val="001B672A"/>
    <w:rsid w:val="001B6F3F"/>
    <w:rsid w:val="001C52B5"/>
    <w:rsid w:val="001D0D3E"/>
    <w:rsid w:val="001D2817"/>
    <w:rsid w:val="001D2899"/>
    <w:rsid w:val="001E7FF4"/>
    <w:rsid w:val="001F2245"/>
    <w:rsid w:val="001F2C63"/>
    <w:rsid w:val="001F48C7"/>
    <w:rsid w:val="001F6DA1"/>
    <w:rsid w:val="00200178"/>
    <w:rsid w:val="00204200"/>
    <w:rsid w:val="002044E6"/>
    <w:rsid w:val="00205C82"/>
    <w:rsid w:val="00205DC2"/>
    <w:rsid w:val="00212B17"/>
    <w:rsid w:val="00216068"/>
    <w:rsid w:val="002163B6"/>
    <w:rsid w:val="00217215"/>
    <w:rsid w:val="00220732"/>
    <w:rsid w:val="0022121F"/>
    <w:rsid w:val="00221D32"/>
    <w:rsid w:val="002229B8"/>
    <w:rsid w:val="00222AC1"/>
    <w:rsid w:val="00225C3F"/>
    <w:rsid w:val="00263D44"/>
    <w:rsid w:val="002702AD"/>
    <w:rsid w:val="00272878"/>
    <w:rsid w:val="00281EB4"/>
    <w:rsid w:val="00292D82"/>
    <w:rsid w:val="00293EE7"/>
    <w:rsid w:val="002963CB"/>
    <w:rsid w:val="002A3238"/>
    <w:rsid w:val="002B2DAC"/>
    <w:rsid w:val="002B4A01"/>
    <w:rsid w:val="002C291B"/>
    <w:rsid w:val="002C746A"/>
    <w:rsid w:val="002C7E4E"/>
    <w:rsid w:val="002D226D"/>
    <w:rsid w:val="002D2ABF"/>
    <w:rsid w:val="002D74E3"/>
    <w:rsid w:val="002E1D66"/>
    <w:rsid w:val="002F6030"/>
    <w:rsid w:val="003001AC"/>
    <w:rsid w:val="003010F9"/>
    <w:rsid w:val="003037E1"/>
    <w:rsid w:val="00307E51"/>
    <w:rsid w:val="003103EC"/>
    <w:rsid w:val="00312132"/>
    <w:rsid w:val="003130BA"/>
    <w:rsid w:val="003144EF"/>
    <w:rsid w:val="0031480E"/>
    <w:rsid w:val="00316877"/>
    <w:rsid w:val="00316C29"/>
    <w:rsid w:val="00322F74"/>
    <w:rsid w:val="00325E15"/>
    <w:rsid w:val="00340073"/>
    <w:rsid w:val="003411D8"/>
    <w:rsid w:val="003445B0"/>
    <w:rsid w:val="00353B66"/>
    <w:rsid w:val="00355934"/>
    <w:rsid w:val="00357928"/>
    <w:rsid w:val="0036004C"/>
    <w:rsid w:val="003632FD"/>
    <w:rsid w:val="00370F78"/>
    <w:rsid w:val="00372805"/>
    <w:rsid w:val="00373180"/>
    <w:rsid w:val="00375AB9"/>
    <w:rsid w:val="0037691E"/>
    <w:rsid w:val="003821A0"/>
    <w:rsid w:val="00385B04"/>
    <w:rsid w:val="003864CF"/>
    <w:rsid w:val="003948AE"/>
    <w:rsid w:val="003A08C0"/>
    <w:rsid w:val="003A22A6"/>
    <w:rsid w:val="003A32EB"/>
    <w:rsid w:val="003A5494"/>
    <w:rsid w:val="003B2510"/>
    <w:rsid w:val="003B4355"/>
    <w:rsid w:val="003C2CC4"/>
    <w:rsid w:val="003C3710"/>
    <w:rsid w:val="003C42A3"/>
    <w:rsid w:val="003C48F7"/>
    <w:rsid w:val="003E0463"/>
    <w:rsid w:val="003E0EFC"/>
    <w:rsid w:val="003E4A2B"/>
    <w:rsid w:val="003E6FE9"/>
    <w:rsid w:val="003E76C2"/>
    <w:rsid w:val="003F1367"/>
    <w:rsid w:val="003F1679"/>
    <w:rsid w:val="003F21EB"/>
    <w:rsid w:val="003F4A35"/>
    <w:rsid w:val="003F5F03"/>
    <w:rsid w:val="003F7FDD"/>
    <w:rsid w:val="00402101"/>
    <w:rsid w:val="00402481"/>
    <w:rsid w:val="004042B4"/>
    <w:rsid w:val="00410DC4"/>
    <w:rsid w:val="00412DAE"/>
    <w:rsid w:val="0041302D"/>
    <w:rsid w:val="004242E6"/>
    <w:rsid w:val="00427B35"/>
    <w:rsid w:val="00431598"/>
    <w:rsid w:val="004319AD"/>
    <w:rsid w:val="004426B8"/>
    <w:rsid w:val="00444432"/>
    <w:rsid w:val="00447D5C"/>
    <w:rsid w:val="00450202"/>
    <w:rsid w:val="004502B2"/>
    <w:rsid w:val="00455499"/>
    <w:rsid w:val="004649A7"/>
    <w:rsid w:val="00471860"/>
    <w:rsid w:val="00477026"/>
    <w:rsid w:val="00477730"/>
    <w:rsid w:val="004A744D"/>
    <w:rsid w:val="004B60BD"/>
    <w:rsid w:val="004C3150"/>
    <w:rsid w:val="004C3641"/>
    <w:rsid w:val="004C3873"/>
    <w:rsid w:val="004C4390"/>
    <w:rsid w:val="004C4AF7"/>
    <w:rsid w:val="004C6994"/>
    <w:rsid w:val="004C7501"/>
    <w:rsid w:val="004D020C"/>
    <w:rsid w:val="004D2881"/>
    <w:rsid w:val="004D2D7D"/>
    <w:rsid w:val="004D385F"/>
    <w:rsid w:val="004D5B39"/>
    <w:rsid w:val="004D7976"/>
    <w:rsid w:val="004E0CEA"/>
    <w:rsid w:val="004E330D"/>
    <w:rsid w:val="004E4985"/>
    <w:rsid w:val="004E5147"/>
    <w:rsid w:val="004E69B5"/>
    <w:rsid w:val="004F3412"/>
    <w:rsid w:val="004F50D1"/>
    <w:rsid w:val="004F5C43"/>
    <w:rsid w:val="005050A2"/>
    <w:rsid w:val="00506030"/>
    <w:rsid w:val="0050652D"/>
    <w:rsid w:val="00506C03"/>
    <w:rsid w:val="00511A11"/>
    <w:rsid w:val="00516496"/>
    <w:rsid w:val="00522E7D"/>
    <w:rsid w:val="00523B11"/>
    <w:rsid w:val="0052455B"/>
    <w:rsid w:val="0052572A"/>
    <w:rsid w:val="00532DFB"/>
    <w:rsid w:val="00543CB3"/>
    <w:rsid w:val="005442E4"/>
    <w:rsid w:val="00547652"/>
    <w:rsid w:val="0055529B"/>
    <w:rsid w:val="00560FF0"/>
    <w:rsid w:val="005614BD"/>
    <w:rsid w:val="0057154F"/>
    <w:rsid w:val="005756B3"/>
    <w:rsid w:val="00580F69"/>
    <w:rsid w:val="00581CA3"/>
    <w:rsid w:val="00585031"/>
    <w:rsid w:val="00586E8B"/>
    <w:rsid w:val="00587A44"/>
    <w:rsid w:val="00597730"/>
    <w:rsid w:val="005977EC"/>
    <w:rsid w:val="00597DE7"/>
    <w:rsid w:val="005A4AA2"/>
    <w:rsid w:val="005B34B6"/>
    <w:rsid w:val="005B606A"/>
    <w:rsid w:val="005B6C8F"/>
    <w:rsid w:val="005B6EC3"/>
    <w:rsid w:val="005C17D7"/>
    <w:rsid w:val="005C33CE"/>
    <w:rsid w:val="005D0F74"/>
    <w:rsid w:val="005D2E7D"/>
    <w:rsid w:val="005D4A8F"/>
    <w:rsid w:val="005D561B"/>
    <w:rsid w:val="005D578F"/>
    <w:rsid w:val="005D5ECF"/>
    <w:rsid w:val="005F468D"/>
    <w:rsid w:val="005F69A3"/>
    <w:rsid w:val="00604CC7"/>
    <w:rsid w:val="00607CE7"/>
    <w:rsid w:val="00613441"/>
    <w:rsid w:val="00615423"/>
    <w:rsid w:val="006165B2"/>
    <w:rsid w:val="00617276"/>
    <w:rsid w:val="0062527B"/>
    <w:rsid w:val="00625D97"/>
    <w:rsid w:val="00625F1C"/>
    <w:rsid w:val="0062658E"/>
    <w:rsid w:val="006279E1"/>
    <w:rsid w:val="00630683"/>
    <w:rsid w:val="00630CEB"/>
    <w:rsid w:val="00632264"/>
    <w:rsid w:val="006355F2"/>
    <w:rsid w:val="006470BC"/>
    <w:rsid w:val="006554D3"/>
    <w:rsid w:val="006603F4"/>
    <w:rsid w:val="006605FC"/>
    <w:rsid w:val="00661708"/>
    <w:rsid w:val="00666522"/>
    <w:rsid w:val="00667036"/>
    <w:rsid w:val="00667B89"/>
    <w:rsid w:val="00673BDB"/>
    <w:rsid w:val="00674341"/>
    <w:rsid w:val="006771B8"/>
    <w:rsid w:val="00682631"/>
    <w:rsid w:val="00683A89"/>
    <w:rsid w:val="006843B6"/>
    <w:rsid w:val="0068481F"/>
    <w:rsid w:val="00693EA1"/>
    <w:rsid w:val="00695DDE"/>
    <w:rsid w:val="0069636F"/>
    <w:rsid w:val="00696F5D"/>
    <w:rsid w:val="00697249"/>
    <w:rsid w:val="006A06F3"/>
    <w:rsid w:val="006A13BA"/>
    <w:rsid w:val="006A1A67"/>
    <w:rsid w:val="006B09C4"/>
    <w:rsid w:val="006B3947"/>
    <w:rsid w:val="006B4293"/>
    <w:rsid w:val="006B624F"/>
    <w:rsid w:val="006C0C95"/>
    <w:rsid w:val="006C31E3"/>
    <w:rsid w:val="006D18D3"/>
    <w:rsid w:val="006D3BD1"/>
    <w:rsid w:val="006E010E"/>
    <w:rsid w:val="006E08CB"/>
    <w:rsid w:val="006E598D"/>
    <w:rsid w:val="0070437D"/>
    <w:rsid w:val="00704CF1"/>
    <w:rsid w:val="00705B04"/>
    <w:rsid w:val="0071040E"/>
    <w:rsid w:val="00717EE9"/>
    <w:rsid w:val="00724992"/>
    <w:rsid w:val="00724F64"/>
    <w:rsid w:val="00727F90"/>
    <w:rsid w:val="00734820"/>
    <w:rsid w:val="007349DC"/>
    <w:rsid w:val="00743213"/>
    <w:rsid w:val="0074365E"/>
    <w:rsid w:val="00744B55"/>
    <w:rsid w:val="007463BC"/>
    <w:rsid w:val="007515FD"/>
    <w:rsid w:val="007527CF"/>
    <w:rsid w:val="00760D80"/>
    <w:rsid w:val="00761CB4"/>
    <w:rsid w:val="00773BB9"/>
    <w:rsid w:val="00780C09"/>
    <w:rsid w:val="00780DDF"/>
    <w:rsid w:val="007834E9"/>
    <w:rsid w:val="00787DBC"/>
    <w:rsid w:val="0079019A"/>
    <w:rsid w:val="00792935"/>
    <w:rsid w:val="00797FFE"/>
    <w:rsid w:val="007A04A1"/>
    <w:rsid w:val="007A1840"/>
    <w:rsid w:val="007B556A"/>
    <w:rsid w:val="007B730C"/>
    <w:rsid w:val="007C0528"/>
    <w:rsid w:val="007C08EA"/>
    <w:rsid w:val="007C3D38"/>
    <w:rsid w:val="007D0F35"/>
    <w:rsid w:val="007D4546"/>
    <w:rsid w:val="007D4FEB"/>
    <w:rsid w:val="007D6146"/>
    <w:rsid w:val="007E0CE7"/>
    <w:rsid w:val="007F1193"/>
    <w:rsid w:val="007F417F"/>
    <w:rsid w:val="007F7644"/>
    <w:rsid w:val="008042BD"/>
    <w:rsid w:val="008050B3"/>
    <w:rsid w:val="00816624"/>
    <w:rsid w:val="00822427"/>
    <w:rsid w:val="00822562"/>
    <w:rsid w:val="00823663"/>
    <w:rsid w:val="00823664"/>
    <w:rsid w:val="0082623B"/>
    <w:rsid w:val="008305B7"/>
    <w:rsid w:val="00832DDC"/>
    <w:rsid w:val="008426B0"/>
    <w:rsid w:val="008431BB"/>
    <w:rsid w:val="00845E34"/>
    <w:rsid w:val="00850BAC"/>
    <w:rsid w:val="00854A3E"/>
    <w:rsid w:val="00855D08"/>
    <w:rsid w:val="008618A4"/>
    <w:rsid w:val="008731AB"/>
    <w:rsid w:val="00874344"/>
    <w:rsid w:val="0087505D"/>
    <w:rsid w:val="00877703"/>
    <w:rsid w:val="00882155"/>
    <w:rsid w:val="0088233B"/>
    <w:rsid w:val="0088599E"/>
    <w:rsid w:val="00886C37"/>
    <w:rsid w:val="008915FC"/>
    <w:rsid w:val="00892D99"/>
    <w:rsid w:val="00893315"/>
    <w:rsid w:val="00894C09"/>
    <w:rsid w:val="008B5C68"/>
    <w:rsid w:val="008B62AE"/>
    <w:rsid w:val="008C04B5"/>
    <w:rsid w:val="008C14FA"/>
    <w:rsid w:val="008C7B0B"/>
    <w:rsid w:val="008D4057"/>
    <w:rsid w:val="008E1F19"/>
    <w:rsid w:val="008E3049"/>
    <w:rsid w:val="008F2262"/>
    <w:rsid w:val="008F4D2B"/>
    <w:rsid w:val="008F5B91"/>
    <w:rsid w:val="008F7736"/>
    <w:rsid w:val="0090019E"/>
    <w:rsid w:val="00900435"/>
    <w:rsid w:val="00901086"/>
    <w:rsid w:val="00901C8A"/>
    <w:rsid w:val="00902F66"/>
    <w:rsid w:val="00904F3B"/>
    <w:rsid w:val="00905886"/>
    <w:rsid w:val="009070D6"/>
    <w:rsid w:val="009076C6"/>
    <w:rsid w:val="0091019E"/>
    <w:rsid w:val="009106F1"/>
    <w:rsid w:val="00912404"/>
    <w:rsid w:val="009145D6"/>
    <w:rsid w:val="00915541"/>
    <w:rsid w:val="00920E64"/>
    <w:rsid w:val="00922002"/>
    <w:rsid w:val="009225CB"/>
    <w:rsid w:val="00924020"/>
    <w:rsid w:val="00924BF4"/>
    <w:rsid w:val="009271A7"/>
    <w:rsid w:val="0092762F"/>
    <w:rsid w:val="0093658B"/>
    <w:rsid w:val="009429FF"/>
    <w:rsid w:val="009444D1"/>
    <w:rsid w:val="00945BD6"/>
    <w:rsid w:val="009479FB"/>
    <w:rsid w:val="00951C45"/>
    <w:rsid w:val="00951DD8"/>
    <w:rsid w:val="009656F2"/>
    <w:rsid w:val="00966A08"/>
    <w:rsid w:val="009701B7"/>
    <w:rsid w:val="00971207"/>
    <w:rsid w:val="00975CB4"/>
    <w:rsid w:val="009863B0"/>
    <w:rsid w:val="00987DE1"/>
    <w:rsid w:val="00990571"/>
    <w:rsid w:val="00991905"/>
    <w:rsid w:val="009926B2"/>
    <w:rsid w:val="0099673A"/>
    <w:rsid w:val="009A3291"/>
    <w:rsid w:val="009A3330"/>
    <w:rsid w:val="009A548F"/>
    <w:rsid w:val="009A7C96"/>
    <w:rsid w:val="009B61BF"/>
    <w:rsid w:val="009C25AE"/>
    <w:rsid w:val="009C3253"/>
    <w:rsid w:val="009C3DB9"/>
    <w:rsid w:val="009C5968"/>
    <w:rsid w:val="009D0436"/>
    <w:rsid w:val="009D46E5"/>
    <w:rsid w:val="009D4B96"/>
    <w:rsid w:val="009D568A"/>
    <w:rsid w:val="009F04EC"/>
    <w:rsid w:val="009F2A7C"/>
    <w:rsid w:val="009F3B36"/>
    <w:rsid w:val="00A019B9"/>
    <w:rsid w:val="00A03157"/>
    <w:rsid w:val="00A11756"/>
    <w:rsid w:val="00A12497"/>
    <w:rsid w:val="00A12508"/>
    <w:rsid w:val="00A1282B"/>
    <w:rsid w:val="00A13A27"/>
    <w:rsid w:val="00A15B7C"/>
    <w:rsid w:val="00A175B6"/>
    <w:rsid w:val="00A21835"/>
    <w:rsid w:val="00A2374B"/>
    <w:rsid w:val="00A23AAB"/>
    <w:rsid w:val="00A26D35"/>
    <w:rsid w:val="00A27D6E"/>
    <w:rsid w:val="00A328EC"/>
    <w:rsid w:val="00A33A51"/>
    <w:rsid w:val="00A41CA6"/>
    <w:rsid w:val="00A431ED"/>
    <w:rsid w:val="00A455AB"/>
    <w:rsid w:val="00A47927"/>
    <w:rsid w:val="00A47FFC"/>
    <w:rsid w:val="00A5442F"/>
    <w:rsid w:val="00A54FF9"/>
    <w:rsid w:val="00A56765"/>
    <w:rsid w:val="00A60A7C"/>
    <w:rsid w:val="00A675AC"/>
    <w:rsid w:val="00A7097D"/>
    <w:rsid w:val="00A7581F"/>
    <w:rsid w:val="00A81274"/>
    <w:rsid w:val="00A86ACA"/>
    <w:rsid w:val="00A87FE7"/>
    <w:rsid w:val="00A91145"/>
    <w:rsid w:val="00A92439"/>
    <w:rsid w:val="00A92FB1"/>
    <w:rsid w:val="00A95980"/>
    <w:rsid w:val="00A95A0C"/>
    <w:rsid w:val="00AA2765"/>
    <w:rsid w:val="00AA2936"/>
    <w:rsid w:val="00AA77B5"/>
    <w:rsid w:val="00AB6C5D"/>
    <w:rsid w:val="00AC3401"/>
    <w:rsid w:val="00AC51A7"/>
    <w:rsid w:val="00AC603B"/>
    <w:rsid w:val="00AD0E89"/>
    <w:rsid w:val="00AD444B"/>
    <w:rsid w:val="00AD5614"/>
    <w:rsid w:val="00AD6C78"/>
    <w:rsid w:val="00AE03F0"/>
    <w:rsid w:val="00AE2EAB"/>
    <w:rsid w:val="00AF13D0"/>
    <w:rsid w:val="00AF5E0E"/>
    <w:rsid w:val="00AF5F89"/>
    <w:rsid w:val="00AF6FB4"/>
    <w:rsid w:val="00AF73CB"/>
    <w:rsid w:val="00B002D6"/>
    <w:rsid w:val="00B02EF0"/>
    <w:rsid w:val="00B03379"/>
    <w:rsid w:val="00B03FA5"/>
    <w:rsid w:val="00B04110"/>
    <w:rsid w:val="00B05B51"/>
    <w:rsid w:val="00B14E5A"/>
    <w:rsid w:val="00B15370"/>
    <w:rsid w:val="00B16DA4"/>
    <w:rsid w:val="00B17BEB"/>
    <w:rsid w:val="00B21A3C"/>
    <w:rsid w:val="00B223C0"/>
    <w:rsid w:val="00B234ED"/>
    <w:rsid w:val="00B249B2"/>
    <w:rsid w:val="00B25CA3"/>
    <w:rsid w:val="00B2765A"/>
    <w:rsid w:val="00B3109A"/>
    <w:rsid w:val="00B32D37"/>
    <w:rsid w:val="00B344A1"/>
    <w:rsid w:val="00B41AA8"/>
    <w:rsid w:val="00B42B45"/>
    <w:rsid w:val="00B516ED"/>
    <w:rsid w:val="00B565DA"/>
    <w:rsid w:val="00B57A6A"/>
    <w:rsid w:val="00B62D0D"/>
    <w:rsid w:val="00B742DF"/>
    <w:rsid w:val="00B760F1"/>
    <w:rsid w:val="00B7669E"/>
    <w:rsid w:val="00B76EBB"/>
    <w:rsid w:val="00B77DA1"/>
    <w:rsid w:val="00B822A0"/>
    <w:rsid w:val="00B82F85"/>
    <w:rsid w:val="00B858AE"/>
    <w:rsid w:val="00B85964"/>
    <w:rsid w:val="00B96250"/>
    <w:rsid w:val="00BA0D55"/>
    <w:rsid w:val="00BA37B3"/>
    <w:rsid w:val="00BA4CC6"/>
    <w:rsid w:val="00BA7F46"/>
    <w:rsid w:val="00BB0F1D"/>
    <w:rsid w:val="00BB3493"/>
    <w:rsid w:val="00BB5609"/>
    <w:rsid w:val="00BB6E4C"/>
    <w:rsid w:val="00BB7468"/>
    <w:rsid w:val="00BC0514"/>
    <w:rsid w:val="00BC188A"/>
    <w:rsid w:val="00BC402E"/>
    <w:rsid w:val="00BC70C6"/>
    <w:rsid w:val="00BD0D10"/>
    <w:rsid w:val="00BD0F48"/>
    <w:rsid w:val="00BD14E5"/>
    <w:rsid w:val="00BE0E50"/>
    <w:rsid w:val="00BE6DDB"/>
    <w:rsid w:val="00BF03E0"/>
    <w:rsid w:val="00BF5010"/>
    <w:rsid w:val="00C03009"/>
    <w:rsid w:val="00C03D5F"/>
    <w:rsid w:val="00C13791"/>
    <w:rsid w:val="00C210BD"/>
    <w:rsid w:val="00C2575A"/>
    <w:rsid w:val="00C31BB3"/>
    <w:rsid w:val="00C36977"/>
    <w:rsid w:val="00C46628"/>
    <w:rsid w:val="00C467DA"/>
    <w:rsid w:val="00C477D9"/>
    <w:rsid w:val="00C57869"/>
    <w:rsid w:val="00C60BA3"/>
    <w:rsid w:val="00C623F7"/>
    <w:rsid w:val="00C62A81"/>
    <w:rsid w:val="00C67CD7"/>
    <w:rsid w:val="00C71E00"/>
    <w:rsid w:val="00C75BC5"/>
    <w:rsid w:val="00C81670"/>
    <w:rsid w:val="00C81773"/>
    <w:rsid w:val="00C82861"/>
    <w:rsid w:val="00C86896"/>
    <w:rsid w:val="00C907A8"/>
    <w:rsid w:val="00C91670"/>
    <w:rsid w:val="00C93211"/>
    <w:rsid w:val="00C93DB8"/>
    <w:rsid w:val="00C942EC"/>
    <w:rsid w:val="00C96047"/>
    <w:rsid w:val="00C979D0"/>
    <w:rsid w:val="00CA0818"/>
    <w:rsid w:val="00CA15C8"/>
    <w:rsid w:val="00CA2C8F"/>
    <w:rsid w:val="00CA30DA"/>
    <w:rsid w:val="00CA3A24"/>
    <w:rsid w:val="00CB1777"/>
    <w:rsid w:val="00CB33E9"/>
    <w:rsid w:val="00CC10A9"/>
    <w:rsid w:val="00CD0655"/>
    <w:rsid w:val="00CE2BF8"/>
    <w:rsid w:val="00CE484E"/>
    <w:rsid w:val="00CE4D20"/>
    <w:rsid w:val="00CE656F"/>
    <w:rsid w:val="00CF0DA8"/>
    <w:rsid w:val="00CF2E25"/>
    <w:rsid w:val="00CF4453"/>
    <w:rsid w:val="00CF5589"/>
    <w:rsid w:val="00CF5D94"/>
    <w:rsid w:val="00CF7E0F"/>
    <w:rsid w:val="00D00893"/>
    <w:rsid w:val="00D034D7"/>
    <w:rsid w:val="00D04BE4"/>
    <w:rsid w:val="00D06FC7"/>
    <w:rsid w:val="00D12565"/>
    <w:rsid w:val="00D140C1"/>
    <w:rsid w:val="00D14127"/>
    <w:rsid w:val="00D33588"/>
    <w:rsid w:val="00D37AA7"/>
    <w:rsid w:val="00D479AE"/>
    <w:rsid w:val="00D50FCD"/>
    <w:rsid w:val="00D533E3"/>
    <w:rsid w:val="00D60B16"/>
    <w:rsid w:val="00D60F02"/>
    <w:rsid w:val="00D66E49"/>
    <w:rsid w:val="00D70D71"/>
    <w:rsid w:val="00D72F74"/>
    <w:rsid w:val="00D81563"/>
    <w:rsid w:val="00D837C1"/>
    <w:rsid w:val="00D85907"/>
    <w:rsid w:val="00D860AC"/>
    <w:rsid w:val="00D9073E"/>
    <w:rsid w:val="00D9221D"/>
    <w:rsid w:val="00D9253C"/>
    <w:rsid w:val="00D958DF"/>
    <w:rsid w:val="00D96DA1"/>
    <w:rsid w:val="00DA51E7"/>
    <w:rsid w:val="00DB0260"/>
    <w:rsid w:val="00DB1C78"/>
    <w:rsid w:val="00DB7D96"/>
    <w:rsid w:val="00DC23FE"/>
    <w:rsid w:val="00DC59E6"/>
    <w:rsid w:val="00DD150B"/>
    <w:rsid w:val="00DD3356"/>
    <w:rsid w:val="00DD5025"/>
    <w:rsid w:val="00DD5464"/>
    <w:rsid w:val="00DD6F85"/>
    <w:rsid w:val="00DE254E"/>
    <w:rsid w:val="00DE32C0"/>
    <w:rsid w:val="00DE366D"/>
    <w:rsid w:val="00DE76A7"/>
    <w:rsid w:val="00DF1510"/>
    <w:rsid w:val="00DF1B0D"/>
    <w:rsid w:val="00E02F1F"/>
    <w:rsid w:val="00E05454"/>
    <w:rsid w:val="00E06484"/>
    <w:rsid w:val="00E06B24"/>
    <w:rsid w:val="00E20A7D"/>
    <w:rsid w:val="00E23FE4"/>
    <w:rsid w:val="00E275D8"/>
    <w:rsid w:val="00E30F6A"/>
    <w:rsid w:val="00E3117C"/>
    <w:rsid w:val="00E31288"/>
    <w:rsid w:val="00E34307"/>
    <w:rsid w:val="00E34511"/>
    <w:rsid w:val="00E3593E"/>
    <w:rsid w:val="00E3635B"/>
    <w:rsid w:val="00E375CA"/>
    <w:rsid w:val="00E5364F"/>
    <w:rsid w:val="00E53CDE"/>
    <w:rsid w:val="00E567E8"/>
    <w:rsid w:val="00E63766"/>
    <w:rsid w:val="00E64679"/>
    <w:rsid w:val="00E65EBC"/>
    <w:rsid w:val="00E6602E"/>
    <w:rsid w:val="00E677FE"/>
    <w:rsid w:val="00E73432"/>
    <w:rsid w:val="00E77B0C"/>
    <w:rsid w:val="00E77FB8"/>
    <w:rsid w:val="00E838B0"/>
    <w:rsid w:val="00E86A7C"/>
    <w:rsid w:val="00E878E1"/>
    <w:rsid w:val="00E87F2C"/>
    <w:rsid w:val="00E95278"/>
    <w:rsid w:val="00E96A42"/>
    <w:rsid w:val="00EA2273"/>
    <w:rsid w:val="00EA7C3C"/>
    <w:rsid w:val="00EB2DB3"/>
    <w:rsid w:val="00EC3FBB"/>
    <w:rsid w:val="00EC4408"/>
    <w:rsid w:val="00EC6B7A"/>
    <w:rsid w:val="00ED3A87"/>
    <w:rsid w:val="00ED5B67"/>
    <w:rsid w:val="00EE1A5C"/>
    <w:rsid w:val="00EE5F5A"/>
    <w:rsid w:val="00EF0CEE"/>
    <w:rsid w:val="00EF264C"/>
    <w:rsid w:val="00EF3FEE"/>
    <w:rsid w:val="00EF6B41"/>
    <w:rsid w:val="00F04B59"/>
    <w:rsid w:val="00F07B69"/>
    <w:rsid w:val="00F11741"/>
    <w:rsid w:val="00F117B0"/>
    <w:rsid w:val="00F12B1C"/>
    <w:rsid w:val="00F13CF8"/>
    <w:rsid w:val="00F15855"/>
    <w:rsid w:val="00F200B2"/>
    <w:rsid w:val="00F227DC"/>
    <w:rsid w:val="00F267DD"/>
    <w:rsid w:val="00F30701"/>
    <w:rsid w:val="00F32978"/>
    <w:rsid w:val="00F45CB2"/>
    <w:rsid w:val="00F511F3"/>
    <w:rsid w:val="00F544C0"/>
    <w:rsid w:val="00F55332"/>
    <w:rsid w:val="00F55549"/>
    <w:rsid w:val="00F6156E"/>
    <w:rsid w:val="00F6504A"/>
    <w:rsid w:val="00F65519"/>
    <w:rsid w:val="00F66D9F"/>
    <w:rsid w:val="00F713C0"/>
    <w:rsid w:val="00F75DDC"/>
    <w:rsid w:val="00F7792F"/>
    <w:rsid w:val="00F842AA"/>
    <w:rsid w:val="00F8476F"/>
    <w:rsid w:val="00F853E1"/>
    <w:rsid w:val="00F85604"/>
    <w:rsid w:val="00F93809"/>
    <w:rsid w:val="00F94B7A"/>
    <w:rsid w:val="00FA17AC"/>
    <w:rsid w:val="00FA32DE"/>
    <w:rsid w:val="00FA3382"/>
    <w:rsid w:val="00FA59CD"/>
    <w:rsid w:val="00FA7F29"/>
    <w:rsid w:val="00FB0CDC"/>
    <w:rsid w:val="00FB1740"/>
    <w:rsid w:val="00FB4235"/>
    <w:rsid w:val="00FC4446"/>
    <w:rsid w:val="00FC4C7D"/>
    <w:rsid w:val="00FC5469"/>
    <w:rsid w:val="00FC6D7D"/>
    <w:rsid w:val="00FD16B0"/>
    <w:rsid w:val="00FD4FED"/>
    <w:rsid w:val="00FE00C8"/>
    <w:rsid w:val="00FE0577"/>
    <w:rsid w:val="00FE2FF8"/>
    <w:rsid w:val="00FE59EC"/>
    <w:rsid w:val="00FE5B67"/>
    <w:rsid w:val="00FE60D6"/>
    <w:rsid w:val="00FE755E"/>
    <w:rsid w:val="00FF4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E0D09FA"/>
  <w15:docId w15:val="{C6E5F9F1-9D98-4B62-97CE-9AA11F8F9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BodyText"/>
    <w:link w:val="Heading1Char"/>
    <w:qFormat/>
    <w:pPr>
      <w:keepNext/>
      <w:spacing w:after="240"/>
      <w:jc w:val="both"/>
      <w:outlineLvl w:val="0"/>
    </w:pPr>
    <w:rPr>
      <w:rFonts w:cs="Arial"/>
      <w:bCs/>
      <w:kern w:val="32"/>
      <w:szCs w:val="32"/>
    </w:rPr>
  </w:style>
  <w:style w:type="paragraph" w:styleId="Heading2">
    <w:name w:val="heading 2"/>
    <w:basedOn w:val="Normal"/>
    <w:next w:val="BodyText"/>
    <w:link w:val="Heading2Char"/>
    <w:qFormat/>
    <w:pPr>
      <w:keepNext/>
      <w:spacing w:after="240"/>
      <w:jc w:val="both"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BodyText"/>
    <w:next w:val="BodyText"/>
    <w:qFormat/>
    <w:pPr>
      <w:outlineLvl w:val="2"/>
    </w:p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036CE2"/>
    <w:pPr>
      <w:spacing w:after="240"/>
      <w:jc w:val="both"/>
    </w:pPr>
  </w:style>
  <w:style w:type="character" w:customStyle="1" w:styleId="BodyTextChar">
    <w:name w:val="Body Text Char"/>
    <w:link w:val="BodyText"/>
    <w:rsid w:val="00036CE2"/>
    <w:rPr>
      <w:sz w:val="24"/>
      <w:szCs w:val="24"/>
    </w:rPr>
  </w:style>
  <w:style w:type="character" w:customStyle="1" w:styleId="Heading1Char">
    <w:name w:val="Heading 1 Char"/>
    <w:link w:val="Heading1"/>
    <w:rPr>
      <w:rFonts w:cs="Arial"/>
      <w:bCs/>
      <w:kern w:val="32"/>
      <w:sz w:val="24"/>
      <w:szCs w:val="32"/>
      <w:lang w:val="en-US" w:eastAsia="en-US" w:bidi="ar-SA"/>
    </w:rPr>
  </w:style>
  <w:style w:type="character" w:customStyle="1" w:styleId="Heading2Char">
    <w:name w:val="Heading 2 Char"/>
    <w:link w:val="Heading2"/>
    <w:rPr>
      <w:rFonts w:cs="Arial"/>
      <w:bCs/>
      <w:iCs/>
      <w:sz w:val="24"/>
      <w:szCs w:val="28"/>
      <w:lang w:val="en-US" w:eastAsia="en-US" w:bidi="ar-SA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  <w:jc w:val="both"/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MemoAddresses">
    <w:name w:val="Memo Addresses"/>
    <w:basedOn w:val="Normal"/>
    <w:next w:val="Normal"/>
    <w:pPr>
      <w:spacing w:before="120"/>
      <w:ind w:left="1008" w:hanging="1008"/>
      <w:jc w:val="both"/>
    </w:pPr>
  </w:style>
  <w:style w:type="paragraph" w:customStyle="1" w:styleId="MastHeadPSC">
    <w:name w:val="MastHead PSC"/>
    <w:basedOn w:val="Normal"/>
    <w:next w:val="Normal"/>
    <w:rsid w:val="00E567E8"/>
    <w:pPr>
      <w:jc w:val="center"/>
    </w:pPr>
    <w:rPr>
      <w:b/>
      <w:sz w:val="48"/>
      <w:szCs w:val="48"/>
    </w:rPr>
  </w:style>
  <w:style w:type="paragraph" w:customStyle="1" w:styleId="MastHeadMemorandum">
    <w:name w:val="MastHead Memorandum"/>
    <w:basedOn w:val="Normal"/>
    <w:next w:val="Normal"/>
    <w:pPr>
      <w:jc w:val="center"/>
    </w:pPr>
    <w:rPr>
      <w:b/>
      <w:sz w:val="28"/>
      <w:szCs w:val="28"/>
    </w:rPr>
  </w:style>
  <w:style w:type="paragraph" w:customStyle="1" w:styleId="MastHeadAddress">
    <w:name w:val="MastHead Address"/>
    <w:basedOn w:val="Normal"/>
    <w:next w:val="Normal"/>
    <w:pPr>
      <w:spacing w:after="200"/>
      <w:jc w:val="center"/>
    </w:pPr>
    <w:rPr>
      <w:b/>
      <w:smallCaps/>
      <w:sz w:val="20"/>
      <w:szCs w:val="20"/>
    </w:rPr>
  </w:style>
  <w:style w:type="paragraph" w:customStyle="1" w:styleId="MastHeadState">
    <w:name w:val="MastHead State"/>
    <w:basedOn w:val="Normal"/>
    <w:next w:val="Normal"/>
    <w:pPr>
      <w:jc w:val="center"/>
    </w:pPr>
    <w:rPr>
      <w:b/>
      <w:sz w:val="28"/>
      <w:szCs w:val="28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moHeading">
    <w:name w:val="Memo Heading"/>
    <w:basedOn w:val="Normal"/>
    <w:next w:val="Normal"/>
    <w:pPr>
      <w:jc w:val="both"/>
    </w:pPr>
  </w:style>
  <w:style w:type="paragraph" w:customStyle="1" w:styleId="BlockText5">
    <w:name w:val="Block Text .5&quot;"/>
    <w:basedOn w:val="Normal"/>
    <w:pPr>
      <w:spacing w:after="120"/>
      <w:ind w:left="720" w:right="720"/>
    </w:pPr>
  </w:style>
  <w:style w:type="paragraph" w:customStyle="1" w:styleId="BlockText1">
    <w:name w:val="Block Text 1&quot;"/>
    <w:basedOn w:val="Normal"/>
    <w:pPr>
      <w:spacing w:after="120"/>
      <w:ind w:left="1440" w:right="1440"/>
    </w:pPr>
  </w:style>
  <w:style w:type="paragraph" w:customStyle="1" w:styleId="BlockText15">
    <w:name w:val="Block Text 1.5&quot;"/>
    <w:basedOn w:val="Normal"/>
    <w:pPr>
      <w:spacing w:after="120"/>
      <w:ind w:left="2160" w:right="2160"/>
    </w:pPr>
  </w:style>
  <w:style w:type="paragraph" w:customStyle="1" w:styleId="IssueHeading">
    <w:name w:val="Issue Heading"/>
    <w:basedOn w:val="Heading1"/>
    <w:next w:val="BodyText"/>
    <w:link w:val="IssueHeadingChar"/>
    <w:qFormat/>
    <w:rsid w:val="00920E64"/>
    <w:pPr>
      <w:keepNext w:val="0"/>
    </w:pPr>
    <w:rPr>
      <w:rFonts w:ascii="Arial" w:hAnsi="Arial"/>
      <w:b/>
      <w:i/>
    </w:rPr>
  </w:style>
  <w:style w:type="character" w:customStyle="1" w:styleId="IssueHeadingChar">
    <w:name w:val="Issue Heading Char"/>
    <w:link w:val="IssueHeading"/>
    <w:rsid w:val="00920E64"/>
    <w:rPr>
      <w:rFonts w:ascii="Arial" w:hAnsi="Arial" w:cs="Arial"/>
      <w:b/>
      <w:bCs/>
      <w:i/>
      <w:kern w:val="32"/>
      <w:sz w:val="24"/>
      <w:szCs w:val="32"/>
    </w:rPr>
  </w:style>
  <w:style w:type="paragraph" w:customStyle="1" w:styleId="MemoHeadingRe">
    <w:name w:val="Memo Heading Re"/>
    <w:basedOn w:val="MemoHeading"/>
    <w:pPr>
      <w:tabs>
        <w:tab w:val="left" w:pos="2520"/>
        <w:tab w:val="left" w:pos="2736"/>
      </w:tabs>
    </w:pPr>
  </w:style>
  <w:style w:type="paragraph" w:styleId="TOC1">
    <w:name w:val="toc 1"/>
    <w:basedOn w:val="Normal"/>
    <w:next w:val="Normal"/>
    <w:pPr>
      <w:tabs>
        <w:tab w:val="left" w:pos="864"/>
        <w:tab w:val="right" w:leader="dot" w:pos="9360"/>
      </w:tabs>
      <w:ind w:left="864" w:right="360" w:hanging="864"/>
    </w:pPr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RecommendationMajorSectionHeading">
    <w:name w:val="Recommendation Major Section Heading"/>
    <w:basedOn w:val="Heading1"/>
    <w:next w:val="BodyText"/>
    <w:rsid w:val="00F55332"/>
    <w:pPr>
      <w:jc w:val="center"/>
    </w:pPr>
    <w:rPr>
      <w:rFonts w:ascii="Arial" w:hAnsi="Arial"/>
      <w:b/>
    </w:rPr>
  </w:style>
  <w:style w:type="paragraph" w:customStyle="1" w:styleId="IssueSubsectionHeading">
    <w:name w:val="Issue Subsection Heading"/>
    <w:basedOn w:val="Heading2"/>
    <w:next w:val="BodyText"/>
    <w:link w:val="IssueSubsectionHeadingChar"/>
    <w:qFormat/>
    <w:rsid w:val="00920E64"/>
    <w:pPr>
      <w:keepNext w:val="0"/>
    </w:pPr>
    <w:rPr>
      <w:rFonts w:ascii="Arial" w:hAnsi="Arial"/>
      <w:b/>
      <w:i/>
    </w:rPr>
  </w:style>
  <w:style w:type="character" w:customStyle="1" w:styleId="IssueSubsectionHeadingChar">
    <w:name w:val="Issue Subsection Heading Char"/>
    <w:link w:val="IssueSubsectionHeading"/>
    <w:rsid w:val="00920E64"/>
    <w:rPr>
      <w:rFonts w:ascii="Arial" w:hAnsi="Arial" w:cs="Arial"/>
      <w:b/>
      <w:bCs/>
      <w:i/>
      <w:iCs/>
      <w:sz w:val="24"/>
      <w:szCs w:val="28"/>
    </w:rPr>
  </w:style>
  <w:style w:type="paragraph" w:customStyle="1" w:styleId="RecommendationHeading">
    <w:name w:val="Recommendation Heading"/>
    <w:basedOn w:val="Heading1"/>
    <w:next w:val="BodyText"/>
    <w:pPr>
      <w:keepNext w:val="0"/>
      <w:jc w:val="center"/>
    </w:pPr>
    <w:rPr>
      <w:b/>
      <w:u w:val="single"/>
    </w:rPr>
  </w:style>
  <w:style w:type="paragraph" w:customStyle="1" w:styleId="DiscussionofIssues">
    <w:name w:val="Discussion of Issues"/>
    <w:basedOn w:val="RecommendationMajorSectionHeading"/>
    <w:next w:val="BodyText"/>
    <w:pPr>
      <w:spacing w:after="0"/>
    </w:pPr>
  </w:style>
  <w:style w:type="character" w:styleId="PageNumber">
    <w:name w:val="page number"/>
    <w:basedOn w:val="DefaultParagraphFont"/>
  </w:style>
  <w:style w:type="paragraph" w:customStyle="1" w:styleId="TOCColumnHeadings">
    <w:name w:val="TOC Column Headings"/>
    <w:basedOn w:val="Normal"/>
    <w:rsid w:val="003864CF"/>
    <w:pPr>
      <w:tabs>
        <w:tab w:val="left" w:pos="864"/>
        <w:tab w:val="right" w:pos="9360"/>
      </w:tabs>
    </w:pPr>
    <w:rPr>
      <w:rFonts w:ascii="Arial" w:hAnsi="Arial"/>
      <w:b/>
      <w:i/>
    </w:rPr>
  </w:style>
  <w:style w:type="table" w:customStyle="1" w:styleId="TableMasthead">
    <w:name w:val="Table Masthead"/>
    <w:basedOn w:val="TableGrid"/>
    <w:tblPr/>
  </w:style>
  <w:style w:type="paragraph" w:customStyle="1" w:styleId="StyleHeading1BoldUnderline">
    <w:name w:val="Style Heading 1 + Bold Underline"/>
    <w:basedOn w:val="Heading1"/>
    <w:link w:val="StyleHeading1BoldUnderlineChar"/>
    <w:pPr>
      <w:keepNext w:val="0"/>
      <w:spacing w:before="240"/>
    </w:pPr>
    <w:rPr>
      <w:b/>
      <w:u w:val="single"/>
    </w:rPr>
  </w:style>
  <w:style w:type="character" w:customStyle="1" w:styleId="StyleHeading1BoldUnderlineChar">
    <w:name w:val="Style Heading 1 + Bold Underline Char"/>
    <w:link w:val="StyleHeading1BoldUnderline"/>
    <w:rPr>
      <w:rFonts w:cs="Arial"/>
      <w:b/>
      <w:bCs/>
      <w:kern w:val="32"/>
      <w:sz w:val="24"/>
      <w:szCs w:val="32"/>
      <w:u w:val="single"/>
      <w:lang w:val="en-US" w:eastAsia="en-US" w:bidi="ar-SA"/>
    </w:rPr>
  </w:style>
  <w:style w:type="paragraph" w:customStyle="1" w:styleId="RecommendationIssueGroupingSection">
    <w:name w:val="Recommendation Issue Grouping Section"/>
    <w:basedOn w:val="RecommendationMajorSectionHeading"/>
    <w:next w:val="IssueHeading"/>
    <w:pPr>
      <w:jc w:val="left"/>
    </w:pPr>
  </w:style>
  <w:style w:type="paragraph" w:styleId="FootnoteText">
    <w:name w:val="footnote text"/>
    <w:basedOn w:val="Normal"/>
    <w:pPr>
      <w:jc w:val="both"/>
    </w:pPr>
    <w:rPr>
      <w:sz w:val="20"/>
      <w:szCs w:val="20"/>
    </w:rPr>
  </w:style>
  <w:style w:type="paragraph" w:styleId="TOC3">
    <w:name w:val="toc 3"/>
    <w:basedOn w:val="TOC2"/>
    <w:next w:val="Normal"/>
    <w:pPr>
      <w:tabs>
        <w:tab w:val="clear" w:pos="1152"/>
        <w:tab w:val="left" w:pos="1584"/>
      </w:tabs>
      <w:ind w:left="1584" w:hanging="432"/>
    </w:pPr>
  </w:style>
  <w:style w:type="paragraph" w:styleId="TOC2">
    <w:name w:val="toc 2"/>
    <w:basedOn w:val="TOC1"/>
    <w:next w:val="Normal"/>
    <w:pPr>
      <w:tabs>
        <w:tab w:val="clear" w:pos="864"/>
        <w:tab w:val="left" w:pos="1152"/>
      </w:tabs>
      <w:ind w:left="1152" w:hanging="288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  <w:szCs w:val="1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paragraph" w:styleId="Closing">
    <w:name w:val="Closing"/>
    <w:basedOn w:val="Normal"/>
    <w:pPr>
      <w:ind w:left="4320"/>
    </w:p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Date">
    <w:name w:val="Date"/>
    <w:basedOn w:val="Normal"/>
    <w:next w:val="Normal"/>
  </w:style>
  <w:style w:type="paragraph" w:styleId="E-mailSignature">
    <w:name w:val="E-mail Signature"/>
    <w:basedOn w:val="Normal"/>
  </w:style>
  <w:style w:type="paragraph" w:styleId="EndnoteText">
    <w:name w:val="endnote text"/>
    <w:basedOn w:val="Normal"/>
    <w:semiHidden/>
    <w:rPr>
      <w:sz w:val="20"/>
      <w:szCs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Pr>
      <w:rFonts w:ascii="Arial" w:hAnsi="Arial" w:cs="Arial"/>
      <w:sz w:val="20"/>
      <w:szCs w:val="20"/>
    </w:rPr>
  </w:style>
  <w:style w:type="paragraph" w:styleId="HTMLAddress">
    <w:name w:val="HTML Address"/>
    <w:basedOn w:val="Normal"/>
    <w:rPr>
      <w:i/>
      <w:iCs/>
    </w:rPr>
  </w:style>
  <w:style w:type="paragraph" w:styleId="HTMLPreformatted">
    <w:name w:val="HTML Preformatted"/>
    <w:basedOn w:val="Normal"/>
    <w:rPr>
      <w:rFonts w:ascii="Courier New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 w:cs="Arial"/>
      <w:b/>
      <w:bCs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tabs>
        <w:tab w:val="num" w:pos="360"/>
      </w:tabs>
      <w:ind w:left="360" w:hanging="360"/>
    </w:pPr>
  </w:style>
  <w:style w:type="paragraph" w:styleId="ListBullet2">
    <w:name w:val="List Bullet 2"/>
    <w:basedOn w:val="Normal"/>
    <w:autoRedefine/>
    <w:pPr>
      <w:tabs>
        <w:tab w:val="num" w:pos="720"/>
      </w:tabs>
      <w:ind w:left="720" w:hanging="360"/>
    </w:pPr>
  </w:style>
  <w:style w:type="paragraph" w:styleId="ListBullet3">
    <w:name w:val="List Bullet 3"/>
    <w:basedOn w:val="Normal"/>
    <w:autoRedefine/>
    <w:pPr>
      <w:tabs>
        <w:tab w:val="num" w:pos="1080"/>
      </w:tabs>
      <w:ind w:left="1080" w:hanging="360"/>
    </w:pPr>
  </w:style>
  <w:style w:type="paragraph" w:styleId="ListBullet4">
    <w:name w:val="List Bullet 4"/>
    <w:basedOn w:val="Normal"/>
    <w:autoRedefine/>
    <w:pPr>
      <w:tabs>
        <w:tab w:val="num" w:pos="1440"/>
      </w:tabs>
      <w:ind w:left="1440" w:hanging="360"/>
    </w:pPr>
  </w:style>
  <w:style w:type="paragraph" w:styleId="ListBullet5">
    <w:name w:val="List Bullet 5"/>
    <w:basedOn w:val="Normal"/>
    <w:autoRedefine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pPr>
      <w:tabs>
        <w:tab w:val="num" w:pos="1080"/>
      </w:tabs>
      <w:ind w:left="1080" w:hanging="360"/>
    </w:pPr>
  </w:style>
  <w:style w:type="paragraph" w:styleId="ListNumber4">
    <w:name w:val="List Number 4"/>
    <w:basedOn w:val="Normal"/>
    <w:pPr>
      <w:tabs>
        <w:tab w:val="num" w:pos="1440"/>
      </w:tabs>
      <w:ind w:left="1440" w:hanging="360"/>
    </w:pPr>
  </w:style>
  <w:style w:type="paragraph" w:styleId="ListNumber5">
    <w:name w:val="List Number 5"/>
    <w:basedOn w:val="Normal"/>
    <w:pPr>
      <w:tabs>
        <w:tab w:val="num" w:pos="1800"/>
      </w:tabs>
      <w:ind w:left="1800" w:hanging="360"/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 w:cs="Arial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 w:cs="Arial"/>
      <w:b/>
      <w:bCs/>
    </w:r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9">
    <w:name w:val="toc 9"/>
    <w:basedOn w:val="TOC1"/>
    <w:next w:val="Normal"/>
    <w:autoRedefine/>
    <w:pPr>
      <w:ind w:left="1728"/>
    </w:pPr>
    <w:rPr>
      <w:u w:val="single"/>
    </w:rPr>
  </w:style>
  <w:style w:type="paragraph" w:customStyle="1" w:styleId="MemoHeadingLabel">
    <w:name w:val="Memo Heading Label"/>
    <w:basedOn w:val="MemoHeading"/>
    <w:qFormat/>
    <w:rsid w:val="00506C03"/>
    <w:rPr>
      <w:rFonts w:ascii="Arial" w:hAnsi="Arial"/>
      <w:b/>
    </w:rPr>
  </w:style>
  <w:style w:type="paragraph" w:customStyle="1" w:styleId="First-LevelSubheading">
    <w:name w:val="First-Level Subheading"/>
    <w:basedOn w:val="IssueSubsectionHeading"/>
    <w:next w:val="BodyText"/>
    <w:qFormat/>
    <w:rsid w:val="00B57A6A"/>
    <w:pPr>
      <w:spacing w:after="0"/>
      <w:outlineLvl w:val="2"/>
    </w:pPr>
    <w:rPr>
      <w:i w:val="0"/>
    </w:rPr>
  </w:style>
  <w:style w:type="paragraph" w:customStyle="1" w:styleId="Second-LevelSubheading">
    <w:name w:val="Second-Level Subheading"/>
    <w:basedOn w:val="First-LevelSubheading"/>
    <w:next w:val="BodyText"/>
    <w:qFormat/>
    <w:rsid w:val="009070D6"/>
    <w:pPr>
      <w:ind w:left="720"/>
      <w:outlineLvl w:val="3"/>
    </w:pPr>
    <w:rPr>
      <w:i/>
    </w:rPr>
  </w:style>
  <w:style w:type="paragraph" w:customStyle="1" w:styleId="TableNumber">
    <w:name w:val="Table Number"/>
    <w:basedOn w:val="BodyText"/>
    <w:next w:val="BodyText"/>
    <w:qFormat/>
    <w:rsid w:val="00CA2C8F"/>
    <w:pPr>
      <w:spacing w:before="480" w:after="0"/>
      <w:jc w:val="center"/>
    </w:pPr>
    <w:rPr>
      <w:rFonts w:ascii="Arial" w:hAnsi="Arial"/>
      <w:b/>
    </w:rPr>
  </w:style>
  <w:style w:type="paragraph" w:customStyle="1" w:styleId="TableTitle">
    <w:name w:val="Table Title"/>
    <w:basedOn w:val="BodyText"/>
    <w:next w:val="BodyText"/>
    <w:qFormat/>
    <w:rsid w:val="00CA2C8F"/>
    <w:pPr>
      <w:spacing w:after="0"/>
      <w:jc w:val="center"/>
    </w:pPr>
    <w:rPr>
      <w:rFonts w:ascii="Arial" w:hAnsi="Arial"/>
      <w:b/>
    </w:rPr>
  </w:style>
  <w:style w:type="paragraph" w:customStyle="1" w:styleId="TableSource">
    <w:name w:val="Table Source"/>
    <w:basedOn w:val="BodyText"/>
    <w:next w:val="BodyText"/>
    <w:qFormat/>
    <w:rsid w:val="00CA2C8F"/>
    <w:pPr>
      <w:spacing w:after="480"/>
    </w:pPr>
  </w:style>
  <w:style w:type="paragraph" w:customStyle="1" w:styleId="PartyName">
    <w:name w:val="Party Name"/>
    <w:basedOn w:val="IssueSubsectionHeading"/>
    <w:next w:val="BodyText"/>
    <w:qFormat/>
    <w:rsid w:val="00920E64"/>
    <w:rPr>
      <w:i w:val="0"/>
    </w:rPr>
  </w:style>
  <w:style w:type="paragraph" w:customStyle="1" w:styleId="Third-LevelSubheading">
    <w:name w:val="Third-Level Subheading"/>
    <w:basedOn w:val="Second-LevelSubheading"/>
    <w:next w:val="BodyText"/>
    <w:qFormat/>
    <w:rsid w:val="00E275D8"/>
    <w:pPr>
      <w:ind w:left="1440"/>
      <w:outlineLvl w:val="4"/>
    </w:pPr>
  </w:style>
  <w:style w:type="character" w:customStyle="1" w:styleId="HeaderChar">
    <w:name w:val="Header Char"/>
    <w:basedOn w:val="DefaultParagraphFont"/>
    <w:link w:val="Header"/>
    <w:uiPriority w:val="99"/>
    <w:rsid w:val="007527CF"/>
    <w:rPr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695DDE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n.wikipedia.org/wiki/Gulf_of_Mexico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en.wikipedia.org/wiki/Louisiana" TargetMode="External"/><Relationship Id="rId17" Type="http://schemas.openxmlformats.org/officeDocument/2006/relationships/footer" Target="footer2.xml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.wikipedia.org/wiki/Natural_gas" TargetMode="Externa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7.jpeg"/><Relationship Id="rId28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en.wikipedia.org/wiki/United_States" TargetMode="External"/><Relationship Id="rId22" Type="http://schemas.openxmlformats.org/officeDocument/2006/relationships/image" Target="media/image6.jpeg"/><Relationship Id="rId27" Type="http://schemas.openxmlformats.org/officeDocument/2006/relationships/header" Target="header4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apps\msword\templates\PSC\Recommendation%20(Regular)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BD3AE-8CBE-473A-B388-D7D639040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Recommendation (Regular).dotm</Template>
  <TotalTime>0</TotalTime>
  <Pages>13</Pages>
  <Words>975</Words>
  <Characters>5949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</vt:lpstr>
    </vt:vector>
  </TitlesOfParts>
  <Company>Florida Public Service Commission</Company>
  <LinksUpToDate>false</LinksUpToDate>
  <CharactersWithSpaces>6911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</dc:title>
  <dc:creator>Oakley  Ward</dc:creator>
  <cp:lastModifiedBy>Andrea Mick</cp:lastModifiedBy>
  <cp:revision>2</cp:revision>
  <cp:lastPrinted>2022-10-07T14:50:00Z</cp:lastPrinted>
  <dcterms:created xsi:type="dcterms:W3CDTF">2022-10-20T13:18:00Z</dcterms:created>
  <dcterms:modified xsi:type="dcterms:W3CDTF">2022-10-20T13:18:00Z</dcterms:modified>
  <cp:category>recommendation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ketList">
    <vt:lpwstr>20220159-GU</vt:lpwstr>
  </property>
  <property fmtid="{D5CDD505-2E9C-101B-9397-08002B2CF9AE}" pid="3" name="MasterDocument">
    <vt:bool>false</vt:bool>
  </property>
</Properties>
</file>