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424083">
            <w:pPr>
              <w:pStyle w:val="MemoHeading"/>
            </w:pPr>
            <w:bookmarkStart w:id="1" w:name="FilingDate"/>
            <w:r>
              <w:t>October 20, 2022</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424083" w:rsidRDefault="00424083">
            <w:pPr>
              <w:pStyle w:val="MemoHeading"/>
            </w:pPr>
            <w:bookmarkStart w:id="2" w:name="From"/>
            <w:r>
              <w:t>Division of Engineering (</w:t>
            </w:r>
            <w:r w:rsidR="002239B1">
              <w:t xml:space="preserve">M. </w:t>
            </w:r>
            <w:r>
              <w:t>Watts, Ramos)</w:t>
            </w:r>
          </w:p>
          <w:p w:rsidR="00424083" w:rsidRDefault="00424083">
            <w:pPr>
              <w:pStyle w:val="MemoHeading"/>
            </w:pPr>
            <w:r>
              <w:t>Division of Accounting and Finance (</w:t>
            </w:r>
            <w:r w:rsidR="002239B1">
              <w:t xml:space="preserve">Bennett, </w:t>
            </w:r>
            <w:r>
              <w:t>Sewards)</w:t>
            </w:r>
          </w:p>
          <w:p w:rsidR="00424083" w:rsidRDefault="00424083">
            <w:pPr>
              <w:pStyle w:val="MemoHeading"/>
            </w:pPr>
            <w:r>
              <w:t>Division of Economics (Bethea</w:t>
            </w:r>
            <w:r w:rsidR="002239B1">
              <w:t>, Hudson</w:t>
            </w:r>
            <w:r>
              <w:t>)</w:t>
            </w:r>
          </w:p>
          <w:p w:rsidR="007C0528" w:rsidRDefault="00424083">
            <w:pPr>
              <w:pStyle w:val="MemoHeading"/>
            </w:pPr>
            <w:r>
              <w:t xml:space="preserve">Office of the General Counsel (Stiller, </w:t>
            </w:r>
            <w:r w:rsidR="002239B1">
              <w:t xml:space="preserve">J. </w:t>
            </w:r>
            <w:r>
              <w:t>Crawford)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424083">
            <w:pPr>
              <w:pStyle w:val="MemoHeadingRe"/>
            </w:pPr>
            <w:bookmarkStart w:id="3" w:name="Re"/>
            <w:r>
              <w:t>Docket No. 20200185-WS – Application for certificates to provide water and wastewater service in Lake and Sumter Counties, by Gibson Place Utility Company,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424083">
            <w:pPr>
              <w:pStyle w:val="MemoHeading"/>
            </w:pPr>
            <w:bookmarkStart w:id="4" w:name="AgendaDate"/>
            <w:r>
              <w:t>11/01/22</w:t>
            </w:r>
            <w:bookmarkEnd w:id="4"/>
            <w:r w:rsidR="007C0528">
              <w:t xml:space="preserve"> – </w:t>
            </w:r>
            <w:bookmarkStart w:id="5" w:name="PermittedStatus"/>
            <w:r>
              <w:t xml:space="preserve">Regular Agenda – </w:t>
            </w:r>
            <w:r w:rsidR="002239B1">
              <w:t xml:space="preserve">Proposed Agency Action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424083">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424083">
            <w:pPr>
              <w:pStyle w:val="MemoHeading"/>
            </w:pPr>
            <w:bookmarkStart w:id="7" w:name="PrehearingOfficer"/>
            <w:r>
              <w:t>Clark</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424083">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424083">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1408" w:rsidRPr="00C51D6A" w:rsidRDefault="00681408" w:rsidP="00681408">
      <w:pPr>
        <w:autoSpaceDE w:val="0"/>
        <w:autoSpaceDN w:val="0"/>
        <w:adjustRightInd w:val="0"/>
        <w:jc w:val="both"/>
      </w:pPr>
      <w:r w:rsidRPr="00C51D6A">
        <w:t xml:space="preserve">On </w:t>
      </w:r>
      <w:r>
        <w:t>July</w:t>
      </w:r>
      <w:r w:rsidRPr="00C51D6A">
        <w:t xml:space="preserve"> </w:t>
      </w:r>
      <w:r>
        <w:t>22</w:t>
      </w:r>
      <w:r w:rsidRPr="00C51D6A">
        <w:t>, 20</w:t>
      </w:r>
      <w:r>
        <w:t>20</w:t>
      </w:r>
      <w:r w:rsidRPr="00C51D6A">
        <w:t xml:space="preserve">, </w:t>
      </w:r>
      <w:r w:rsidRPr="00E8300F">
        <w:t>Gibson Place Utility Company, LLC (GPU</w:t>
      </w:r>
      <w:r>
        <w:t>, Gibson,</w:t>
      </w:r>
      <w:r w:rsidRPr="00C51D6A">
        <w:t xml:space="preserve"> or Utility) filed its application for original water and wastewater certificates in Sumter County. The area is in the Southwest Florida Water Management District (SWFWMD) and is not in a water use caution area.</w:t>
      </w:r>
    </w:p>
    <w:p w:rsidR="00681408" w:rsidRPr="00C51D6A" w:rsidRDefault="00681408" w:rsidP="00681408">
      <w:pPr>
        <w:autoSpaceDE w:val="0"/>
        <w:autoSpaceDN w:val="0"/>
        <w:adjustRightInd w:val="0"/>
        <w:jc w:val="both"/>
      </w:pPr>
    </w:p>
    <w:p w:rsidR="00681408" w:rsidRDefault="00681408" w:rsidP="00681408">
      <w:pPr>
        <w:autoSpaceDE w:val="0"/>
        <w:autoSpaceDN w:val="0"/>
        <w:adjustRightInd w:val="0"/>
        <w:jc w:val="both"/>
      </w:pPr>
      <w:r w:rsidRPr="00C51D6A">
        <w:t>Concurrent with its application for original water and wastewater certificates, the Utility also filed a petition for a temporary waiver of Rules 25-30.033(1</w:t>
      </w:r>
      <w:proofErr w:type="gramStart"/>
      <w:r w:rsidRPr="00C51D6A">
        <w:t>)(</w:t>
      </w:r>
      <w:proofErr w:type="gramEnd"/>
      <w:r w:rsidRPr="00C51D6A">
        <w:t>p) and (q), Florida Administrative Code (F.A.C.), in order to bifurcate the certification and rate setting aspects of the case. The Florida Public Service Commission (Commission) granted Certificate Nos. 6</w:t>
      </w:r>
      <w:r>
        <w:t>77</w:t>
      </w:r>
      <w:r w:rsidRPr="00C51D6A">
        <w:t>-W and 57</w:t>
      </w:r>
      <w:r>
        <w:t>7</w:t>
      </w:r>
      <w:r w:rsidRPr="00C51D6A">
        <w:t xml:space="preserve">-S to </w:t>
      </w:r>
      <w:r>
        <w:lastRenderedPageBreak/>
        <w:t>GP</w:t>
      </w:r>
      <w:r w:rsidRPr="00C51D6A">
        <w:t>U to provide water and wastewater service in Sumter County, and granted its request for temporary rule waiver</w:t>
      </w:r>
      <w:r w:rsidRPr="00C51D6A">
        <w:rPr>
          <w:sz w:val="23"/>
          <w:szCs w:val="23"/>
        </w:rPr>
        <w:t>.</w:t>
      </w:r>
      <w:r w:rsidRPr="00C51D6A">
        <w:rPr>
          <w:sz w:val="23"/>
          <w:szCs w:val="23"/>
          <w:vertAlign w:val="superscript"/>
        </w:rPr>
        <w:footnoteReference w:id="1"/>
      </w:r>
      <w:r w:rsidRPr="00C51D6A">
        <w:rPr>
          <w:sz w:val="23"/>
          <w:szCs w:val="23"/>
        </w:rPr>
        <w:t xml:space="preserve"> In the Order granting the waiver, the Commission required </w:t>
      </w:r>
      <w:r>
        <w:rPr>
          <w:sz w:val="23"/>
          <w:szCs w:val="23"/>
        </w:rPr>
        <w:t>GP</w:t>
      </w:r>
      <w:r w:rsidRPr="00C51D6A">
        <w:rPr>
          <w:sz w:val="23"/>
          <w:szCs w:val="23"/>
        </w:rPr>
        <w:t xml:space="preserve">U to file </w:t>
      </w:r>
      <w:r w:rsidRPr="00751D62">
        <w:t xml:space="preserve">a status update every six months from the </w:t>
      </w:r>
      <w:r>
        <w:t>date of the Order</w:t>
      </w:r>
      <w:r w:rsidRPr="00751D62">
        <w:t xml:space="preserve"> as to</w:t>
      </w:r>
      <w:r>
        <w:t>:</w:t>
      </w:r>
      <w:r w:rsidRPr="00751D62">
        <w:t xml:space="preserve"> </w:t>
      </w:r>
      <w:r>
        <w:t xml:space="preserve">(1) </w:t>
      </w:r>
      <w:r w:rsidRPr="00751D62">
        <w:t>the status of the Utility's permitting with</w:t>
      </w:r>
      <w:r>
        <w:t xml:space="preserve"> the Florida Department of Environmental Protection (DEP)</w:t>
      </w:r>
      <w:r w:rsidRPr="00751D62">
        <w:t xml:space="preserve"> and </w:t>
      </w:r>
      <w:r>
        <w:t xml:space="preserve">the SWFWMD, </w:t>
      </w:r>
      <w:r w:rsidRPr="00751D62">
        <w:t xml:space="preserve">and </w:t>
      </w:r>
      <w:r>
        <w:t xml:space="preserve">(2) </w:t>
      </w:r>
      <w:r w:rsidRPr="00751D62">
        <w:t xml:space="preserve">the anticipated date of the commencement of </w:t>
      </w:r>
      <w:r>
        <w:t xml:space="preserve">the Utility’s </w:t>
      </w:r>
      <w:r w:rsidRPr="00751D62">
        <w:t>operations</w:t>
      </w:r>
      <w:r>
        <w:t>.</w:t>
      </w:r>
    </w:p>
    <w:p w:rsidR="00681408" w:rsidRDefault="00681408" w:rsidP="00681408">
      <w:pPr>
        <w:autoSpaceDE w:val="0"/>
        <w:autoSpaceDN w:val="0"/>
        <w:adjustRightInd w:val="0"/>
        <w:jc w:val="both"/>
      </w:pPr>
    </w:p>
    <w:p w:rsidR="00681408" w:rsidRPr="00C51D6A" w:rsidRDefault="00681408" w:rsidP="00681408">
      <w:pPr>
        <w:autoSpaceDE w:val="0"/>
        <w:autoSpaceDN w:val="0"/>
        <w:adjustRightInd w:val="0"/>
        <w:jc w:val="both"/>
        <w:rPr>
          <w:sz w:val="23"/>
          <w:szCs w:val="23"/>
        </w:rPr>
      </w:pPr>
      <w:r>
        <w:t>On July 27, 2021, GPU filed an application for an amendment of its service territory to delete a portion of the territory that would be developed at a different pace than the remaining territory. This request for territory deletion was granted.</w:t>
      </w:r>
      <w:r>
        <w:rPr>
          <w:rStyle w:val="FootnoteReference"/>
        </w:rPr>
        <w:footnoteReference w:id="2"/>
      </w:r>
      <w:r>
        <w:t xml:space="preserve"> The territory that was deleted will serve two separate areas, one consisting of high-density commercial customers, and the other consisting of some commercial customers with mostly multi-family residential units</w:t>
      </w:r>
      <w:r w:rsidRPr="00FD6A68">
        <w:t>. The remaining territory</w:t>
      </w:r>
      <w:r>
        <w:t>, to be served by GPU,</w:t>
      </w:r>
      <w:r w:rsidRPr="00FD6A68">
        <w:t xml:space="preserve"> will consist of single family age-restricted housing units. On April 25, 2022, </w:t>
      </w:r>
      <w:r w:rsidRPr="00534456">
        <w:t>Middleton Utility Company, LLC</w:t>
      </w:r>
      <w:r w:rsidRPr="00FD6A68">
        <w:t xml:space="preserve"> </w:t>
      </w:r>
      <w:r>
        <w:t xml:space="preserve">(Middleton) </w:t>
      </w:r>
      <w:r w:rsidRPr="00FD6A68">
        <w:t>filed an application for original water and wastewater certificates to serve the territory deleted from GPU.</w:t>
      </w:r>
      <w:r w:rsidRPr="00FD6A68">
        <w:rPr>
          <w:rStyle w:val="FootnoteReference"/>
        </w:rPr>
        <w:footnoteReference w:id="3"/>
      </w:r>
      <w:r>
        <w:t xml:space="preserve"> </w:t>
      </w:r>
      <w:r w:rsidRPr="0019411D">
        <w:t xml:space="preserve">Middleton and GPU have the same parent company, Holding Company of The Villages, Inc. Staff’s recommendation regarding Middleton’s application is scheduled to be presented at the </w:t>
      </w:r>
      <w:r w:rsidR="007346DA">
        <w:t>December 6</w:t>
      </w:r>
      <w:r w:rsidRPr="0019411D">
        <w:t>, 2022 Agenda Conference.</w:t>
      </w:r>
    </w:p>
    <w:p w:rsidR="00681408" w:rsidRPr="00C51D6A" w:rsidRDefault="00681408" w:rsidP="00681408">
      <w:pPr>
        <w:autoSpaceDE w:val="0"/>
        <w:autoSpaceDN w:val="0"/>
        <w:adjustRightInd w:val="0"/>
        <w:jc w:val="both"/>
      </w:pPr>
    </w:p>
    <w:p w:rsidR="0068481F" w:rsidRDefault="00681408" w:rsidP="00681408">
      <w:pPr>
        <w:pStyle w:val="BodyText"/>
      </w:pPr>
      <w:r>
        <w:t xml:space="preserve">GPU filed the required status reports on May 24, 2021, November 10, 2021, February 17, 2022, and March 29, 2022. </w:t>
      </w:r>
      <w:r w:rsidRPr="00C51D6A">
        <w:t xml:space="preserve">On </w:t>
      </w:r>
      <w:r>
        <w:t>April</w:t>
      </w:r>
      <w:r w:rsidRPr="00C51D6A">
        <w:t xml:space="preserve"> </w:t>
      </w:r>
      <w:r>
        <w:t>19</w:t>
      </w:r>
      <w:r w:rsidRPr="00C51D6A">
        <w:t>, 20</w:t>
      </w:r>
      <w:r>
        <w:t>22</w:t>
      </w:r>
      <w:r w:rsidRPr="00C51D6A">
        <w:t xml:space="preserve">, </w:t>
      </w:r>
      <w:r>
        <w:t>GP</w:t>
      </w:r>
      <w:r w:rsidRPr="00C51D6A">
        <w:t xml:space="preserve">U filed the supporting financial information required to establish rates and charges. This recommendation addresses the initial rates and charges for the Utility’s water and wastewater services. </w:t>
      </w:r>
      <w:r w:rsidRPr="00C51D6A">
        <w:rPr>
          <w:sz w:val="23"/>
          <w:szCs w:val="23"/>
        </w:rPr>
        <w:t>The Commission has jurisdiction pursuant to Sections 367.031, 367.045, 367.081, 367.091 and 120.452, Florida Statutes (F.S.).</w:t>
      </w:r>
    </w:p>
    <w:p w:rsidR="007C0528" w:rsidRDefault="007C0528" w:rsidP="0068481F"/>
    <w:bookmarkEnd w:id="12"/>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7" w:name="DiscussionOfIssues"/>
      <w:r>
        <w:lastRenderedPageBreak/>
        <w:t>Discussion of Issues</w:t>
      </w:r>
    </w:p>
    <w:bookmarkEnd w:id="17"/>
    <w:p w:rsidR="00424083" w:rsidRDefault="00424083">
      <w:pPr>
        <w:pStyle w:val="IssueHeading"/>
        <w:rPr>
          <w:vanish/>
          <w:specVanish/>
        </w:rPr>
      </w:pPr>
      <w:r w:rsidRPr="004C3641">
        <w:t xml:space="preserve">Issue </w:t>
      </w:r>
      <w:fldSimple w:instr=" SEQ Issue \* MERGEFORMAT ">
        <w:r w:rsidR="008C2C9B">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8C2C9B">
        <w:rPr>
          <w:noProof/>
        </w:rPr>
        <w:instrText>1</w:instrText>
      </w:r>
      <w:r>
        <w:fldChar w:fldCharType="end"/>
      </w:r>
      <w:r>
        <w:tab/>
        <w:instrText xml:space="preserve">" \l 1 </w:instrText>
      </w:r>
      <w:r>
        <w:fldChar w:fldCharType="end"/>
      </w:r>
      <w:r>
        <w:t> </w:t>
      </w:r>
    </w:p>
    <w:p w:rsidR="00424083" w:rsidRDefault="00424083">
      <w:pPr>
        <w:pStyle w:val="BodyText"/>
      </w:pPr>
      <w:r>
        <w:t> </w:t>
      </w:r>
      <w:r w:rsidR="00681408" w:rsidRPr="00243AF5">
        <w:t xml:space="preserve">What are the appropriate water and wastewater rates and return on investment for </w:t>
      </w:r>
      <w:r w:rsidR="00681408" w:rsidRPr="00E8300F">
        <w:t>Gibson Place Utility Company, LLC</w:t>
      </w:r>
      <w:r w:rsidR="00681408" w:rsidRPr="00243AF5">
        <w:t>?</w:t>
      </w:r>
    </w:p>
    <w:p w:rsidR="00424083" w:rsidRPr="004C3641" w:rsidRDefault="00424083">
      <w:pPr>
        <w:pStyle w:val="IssueSubsectionHeading"/>
        <w:rPr>
          <w:vanish/>
          <w:specVanish/>
        </w:rPr>
      </w:pPr>
      <w:r w:rsidRPr="004C3641">
        <w:t>Recommendation: </w:t>
      </w:r>
    </w:p>
    <w:p w:rsidR="00B718C3" w:rsidRDefault="00424083" w:rsidP="00B718C3">
      <w:pPr>
        <w:jc w:val="both"/>
      </w:pPr>
      <w:r>
        <w:t> </w:t>
      </w:r>
      <w:r w:rsidR="0029163D" w:rsidRPr="00575937">
        <w:t xml:space="preserve">Staff recommends that the Commission make adjustments to the Utility’s proposed rate base calculations and approve the resulting water and wastewater rates as calculated by staff and shown on Schedule Nos. 4-A and 4-B. </w:t>
      </w:r>
      <w:r w:rsidR="00B718C3" w:rsidRPr="00B718C3">
        <w:rPr>
          <w:color w:val="000000" w:themeColor="text1"/>
        </w:rPr>
        <w:t>The overall cost of capital should be 7.76 percent.</w:t>
      </w:r>
      <w:r w:rsidR="00B718C3">
        <w:rPr>
          <w:color w:val="000000" w:themeColor="text1"/>
        </w:rPr>
        <w:t xml:space="preserve"> </w:t>
      </w:r>
      <w:r w:rsidR="0029163D" w:rsidRPr="00B718C3">
        <w:rPr>
          <w:color w:val="000000" w:themeColor="text1"/>
        </w:rPr>
        <w:t xml:space="preserve">A return on equity (ROE) of 7.84 percent with a range of plus or minus </w:t>
      </w:r>
      <w:r w:rsidR="0029163D" w:rsidRPr="00575937">
        <w:t>100 basis points should also be approved. The approved rates should be effective for services rendered or connections made on or after the stamped approval date on the tariff sheets pursuant to Rule 25-30.475, F.A.C. The Utility should be required to charge the approved rates until authorized to change them by the Commission in a subsequent proceeding.</w:t>
      </w:r>
      <w:r w:rsidR="0029163D">
        <w:t xml:space="preserve"> </w:t>
      </w:r>
      <w:r w:rsidR="005B6223">
        <w:t>(Sewards</w:t>
      </w:r>
      <w:r w:rsidR="00893191">
        <w:t>, Hudson, Beth</w:t>
      </w:r>
      <w:r w:rsidR="00954402">
        <w:t>e</w:t>
      </w:r>
      <w:r w:rsidR="00893191">
        <w:t>a</w:t>
      </w:r>
      <w:r w:rsidR="005B6223">
        <w:t>)</w:t>
      </w:r>
    </w:p>
    <w:p w:rsidR="00424083" w:rsidRPr="00B718C3" w:rsidRDefault="00424083" w:rsidP="00B718C3">
      <w:pPr>
        <w:rPr>
          <w:color w:val="000000" w:themeColor="text1"/>
        </w:rPr>
      </w:pPr>
      <w:r>
        <w:t xml:space="preserve"> </w:t>
      </w:r>
    </w:p>
    <w:p w:rsidR="00424083" w:rsidRPr="004C3641" w:rsidRDefault="00424083">
      <w:pPr>
        <w:pStyle w:val="IssueSubsectionHeading"/>
        <w:rPr>
          <w:vanish/>
          <w:specVanish/>
        </w:rPr>
      </w:pPr>
      <w:r w:rsidRPr="004C3641">
        <w:t>Staff Analysis: </w:t>
      </w:r>
    </w:p>
    <w:p w:rsidR="00424083" w:rsidRDefault="00424083">
      <w:pPr>
        <w:pStyle w:val="BodyText"/>
      </w:pPr>
      <w:r>
        <w:t> </w:t>
      </w:r>
    </w:p>
    <w:p w:rsidR="005B6223" w:rsidRDefault="005B6223" w:rsidP="005B6223">
      <w:pPr>
        <w:pStyle w:val="First-LevelSubheading"/>
      </w:pPr>
      <w:r>
        <w:t>Projected Rate Base</w:t>
      </w:r>
    </w:p>
    <w:p w:rsidR="005B6223" w:rsidRDefault="005B6223" w:rsidP="005B6223">
      <w:pPr>
        <w:pStyle w:val="BodyText"/>
      </w:pPr>
      <w:r>
        <w:t>Consistent with Commission practice in applications for original certificates, rate base is identified only as a tool to aid in setting initial rates and is not intended to formally establish rate base. Based on GPU’s growth projections, the Utility anticipates operating at 80 percent of its design capacity in 2026. The Utility’s proposed water and wastewater rate base calculations, as well as staff adjustments, are described below.</w:t>
      </w:r>
    </w:p>
    <w:p w:rsidR="005B6223" w:rsidRDefault="00091C32" w:rsidP="005B6223">
      <w:pPr>
        <w:pStyle w:val="BodyText"/>
      </w:pPr>
      <w:r>
        <w:t>The Utility proposed plant in service balances of $47,755,289 for water and $111,533,582 for wastewater. On June 30, 2022, GPU filed in this docket an MFR Revised Schedule 5, and new Water Tariff sheet, reflecting the Utility’s upcoming installation of mobile read water meters that are more expensive than those included in the original filing.</w:t>
      </w:r>
      <w:r>
        <w:rPr>
          <w:rStyle w:val="FootnoteReference"/>
        </w:rPr>
        <w:footnoteReference w:id="4"/>
      </w:r>
      <w:r>
        <w:t xml:space="preserve"> Based on staff’s calculations, water plant in service should be increased by $5,659,222 to account for the updated water meter costs. Staff does not have any adjustments to GPU’s proposed wastewater balances. Therefore, staff recommends a plant in service balance of $53,414,511 for water and $111,533,582 for wastewater.</w:t>
      </w:r>
    </w:p>
    <w:p w:rsidR="005B6223" w:rsidRDefault="005B6223" w:rsidP="005B6223">
      <w:pPr>
        <w:pStyle w:val="BodyText"/>
      </w:pPr>
      <w:r>
        <w:t>The Utility proposed land balances of $151,008 for water and $1,617,500 for wastewater. Staff does not have any adjustments to GPU’s proposed balances. Therefore, staff recommends a land balance of $151,008 for water and $1,617,500 for wastewater.</w:t>
      </w:r>
    </w:p>
    <w:p w:rsidR="005B6223" w:rsidRDefault="005B6223" w:rsidP="005B6223">
      <w:pPr>
        <w:pStyle w:val="BodyText"/>
      </w:pPr>
      <w:r>
        <w:t>GPU proposed an accumulated depreciation balance of $3,438,665 for water and $12,114,001 for wastewater. Based on staff’s calculations, accumulated depreciation for water should be increased by $564,150 to account for the adjustment to plant in service discussed above. Staff does not have any adjustments for wastewater. As such, staff recommends an accumulated depreciation balance of $4,002,815 for water and $12,114,001 for wastewater.</w:t>
      </w:r>
    </w:p>
    <w:p w:rsidR="005B6223" w:rsidRPr="001F7D59" w:rsidRDefault="005B6223" w:rsidP="005B6223">
      <w:pPr>
        <w:pStyle w:val="BodyText"/>
      </w:pPr>
      <w:r>
        <w:t xml:space="preserve">In its filing, GPU proposed contributions in aid of construction (CIAC) balances of $20,167,016 for water and $45,442,029 for wastewater. As discussed further below, staff has recommended </w:t>
      </w:r>
      <w:r>
        <w:lastRenderedPageBreak/>
        <w:t>an adjustment to the plant capacity charges, as well as an updated meter installation charge that was not included in GPU’s proposed CIAC calculation. As a result, staff recommends an adjustment to</w:t>
      </w:r>
      <w:r w:rsidR="00EB5C26" w:rsidRPr="00EB5C26">
        <w:t xml:space="preserve"> increase CIAC by $5,352,043 for water and $304,025 for wastewater. Based on these adjustments, staff recommends CIAC balances of $25,519,059 for water and $45,746,054 for wastewater</w:t>
      </w:r>
      <w:r>
        <w:t xml:space="preserve">. </w:t>
      </w:r>
    </w:p>
    <w:p w:rsidR="005B6223" w:rsidRDefault="00EB5C26" w:rsidP="005B6223">
      <w:pPr>
        <w:pStyle w:val="BodyText"/>
      </w:pPr>
      <w:r w:rsidRPr="00EB5C26">
        <w:t xml:space="preserve">The Utility proposed an accumulated amortization of CIAC balance of $1,027,813 for water and $3,285,601 for wastewater. As discussed further below, staff has recommended an adjustment to the plant capacity charges, as well as an updated meter installation charge that was not included in GPU’s proposed CIAC calculation. Additionally, using the depreciation rates pursuant to Rule 25-30.140, F.A.C., </w:t>
      </w:r>
      <w:proofErr w:type="gramStart"/>
      <w:r w:rsidRPr="00EB5C26">
        <w:t>staff</w:t>
      </w:r>
      <w:proofErr w:type="gramEnd"/>
      <w:r w:rsidRPr="00EB5C26">
        <w:t xml:space="preserve"> has adjusted accumulated amortization of CIAC to reflect the use of the proper accounts in determining amortization rates for the plant capacity and main extension charges. As a result, staff recommends adjustments to increase accumulated amortization by $1,509,405 for water, and $2,795,268 for wastewater. Based on the adjustments above, staff recommends accumulated amortization of CIAC balances of $2,537,218 for water and $6,080,869 for wastewater. </w:t>
      </w:r>
      <w:r w:rsidR="005B6223">
        <w:t xml:space="preserve"> </w:t>
      </w:r>
    </w:p>
    <w:p w:rsidR="005B6223" w:rsidRDefault="005B6223" w:rsidP="005B6223">
      <w:pPr>
        <w:pStyle w:val="BodyText"/>
      </w:pPr>
      <w:r>
        <w:t xml:space="preserve">GPU proposed a working capital allowance of $120,158 for water and $259,389 for wastewater based on the one-eighth of the estimated operation and maintenance (O&amp;M) expenses </w:t>
      </w:r>
      <w:r w:rsidR="00EB5C26">
        <w:t xml:space="preserve">methodology </w:t>
      </w:r>
      <w:r>
        <w:t>for each system. The Commission has previously allowed this methodology in original certificate cases as the O&amp;M expenses are just an estimate.</w:t>
      </w:r>
      <w:r>
        <w:rPr>
          <w:rStyle w:val="FootnoteReference"/>
        </w:rPr>
        <w:footnoteReference w:id="5"/>
      </w:r>
      <w:r>
        <w:t xml:space="preserve"> Staff does not have any adjustments to the Utility’s proposed working capital allowance.</w:t>
      </w:r>
      <w:r w:rsidRPr="00F21512">
        <w:t xml:space="preserve"> </w:t>
      </w:r>
      <w:r>
        <w:t>Therefore, staff recommends a working capital allowance of $120,158 for water and $259,389 for wastewater.</w:t>
      </w:r>
    </w:p>
    <w:p w:rsidR="005B6223" w:rsidRDefault="00EB5C26" w:rsidP="005B6223">
      <w:pPr>
        <w:pStyle w:val="BodyText"/>
      </w:pPr>
      <w:r w:rsidRPr="00EB5C26">
        <w:t>In total, the Utility proposed a rate base of $25,448,587 for water and $59,140,042 for wastewater. Based on the adjustments discussed above, staff recommends that the rate base be increased by $1,252,433 for water and $2,491,242 for wastewater. As such, staff recommends an adjusted rate base of $26,701,020 for water and $61,631,284 for wastewater be approved. Rate base calculations for the water and wastewater systems are shown on Schedule Nos. 1-A and 1-B, respectively. Staff’s adjustments are shown on Schedule No. 1-C</w:t>
      </w:r>
      <w:r w:rsidR="005B6223">
        <w:t>.</w:t>
      </w:r>
    </w:p>
    <w:p w:rsidR="005B6223" w:rsidRDefault="005B6223" w:rsidP="005B6223">
      <w:pPr>
        <w:pStyle w:val="First-LevelSubheading"/>
      </w:pPr>
      <w:r>
        <w:t>Cost of Capital</w:t>
      </w:r>
    </w:p>
    <w:p w:rsidR="005B6223" w:rsidRDefault="005B6223" w:rsidP="005B6223">
      <w:pPr>
        <w:pStyle w:val="BodyText"/>
      </w:pPr>
      <w:r>
        <w:t xml:space="preserve">GPU </w:t>
      </w:r>
      <w:r w:rsidR="00091C32">
        <w:t>proposed</w:t>
      </w:r>
      <w:r w:rsidR="00954402">
        <w:t xml:space="preserve"> an </w:t>
      </w:r>
      <w:r w:rsidR="007B6E10">
        <w:t>ROE</w:t>
      </w:r>
      <w:r>
        <w:t xml:space="preserve"> of 7.88 percent, based on the leverage formula in effect at the time of filing. However, staff recommends the Utility’s ROE be based on the current leverage formula in effect.</w:t>
      </w:r>
      <w:r>
        <w:rPr>
          <w:rStyle w:val="FootnoteReference"/>
        </w:rPr>
        <w:footnoteReference w:id="6"/>
      </w:r>
      <w:r>
        <w:t xml:space="preserve"> Using the current leverage formula, staff recommends an ROE of 7.84 percent. As such, staff recommends an overall cost of capital of 7.7</w:t>
      </w:r>
      <w:r w:rsidR="00EB5C26">
        <w:t>6</w:t>
      </w:r>
      <w:r>
        <w:t xml:space="preserve"> percent. The appropriate ROE for GPU is 7.84 percent, with a range of plus or minus 100 basis points, as shown on Schedule No. 2.</w:t>
      </w:r>
    </w:p>
    <w:p w:rsidR="005B6223" w:rsidRDefault="005B6223" w:rsidP="005B6223">
      <w:pPr>
        <w:pStyle w:val="First-LevelSubheading"/>
      </w:pPr>
      <w:r>
        <w:t>Net Operating Income</w:t>
      </w:r>
    </w:p>
    <w:p w:rsidR="005B6223" w:rsidRDefault="005B6223" w:rsidP="005B6223">
      <w:pPr>
        <w:pStyle w:val="BodyText"/>
      </w:pPr>
      <w:r>
        <w:t xml:space="preserve">The Utility projected net operating income (NOI) for the water and wastewater systems of $1,982,444 and $4,607,009, respectively. </w:t>
      </w:r>
      <w:r w:rsidR="00D30927" w:rsidRPr="00D30927">
        <w:t xml:space="preserve">Based on the adjustments above, staff calculated an </w:t>
      </w:r>
      <w:r w:rsidR="00D30927" w:rsidRPr="00D30927">
        <w:lastRenderedPageBreak/>
        <w:t>NOI of $2,072,064 for water and $4,782,736 for wastewater. The calculated NOI for the water and wastewater systems are shown on Schedule Nos. 3-A and 3-B, respectively</w:t>
      </w:r>
      <w:r>
        <w:t>.</w:t>
      </w:r>
    </w:p>
    <w:p w:rsidR="005B6223" w:rsidRDefault="005B6223" w:rsidP="005B6223">
      <w:pPr>
        <w:pStyle w:val="First-LevelSubheading"/>
      </w:pPr>
      <w:r>
        <w:t>Operation and Maintenance Expenses</w:t>
      </w:r>
    </w:p>
    <w:p w:rsidR="005B6223" w:rsidRDefault="005B6223" w:rsidP="005B6223">
      <w:pPr>
        <w:pStyle w:val="BodyText"/>
      </w:pPr>
      <w:r>
        <w:t xml:space="preserve">GPU proposed total O&amp;M expenses of $961,268 for water and $2,075,109 for wastewater. Staff believes no adjustments are necessary and therefore recommends O&amp;M expenses of $961,268 for water and $2,075,109 for wastewater. </w:t>
      </w:r>
    </w:p>
    <w:p w:rsidR="005B6223" w:rsidRDefault="005B6223" w:rsidP="005B6223">
      <w:pPr>
        <w:pStyle w:val="First-LevelSubheading"/>
      </w:pPr>
      <w:r>
        <w:t>Net Depreciation Expense</w:t>
      </w:r>
    </w:p>
    <w:p w:rsidR="005B6223" w:rsidRDefault="005B6223" w:rsidP="005B6223">
      <w:pPr>
        <w:pStyle w:val="BodyText"/>
      </w:pPr>
      <w:r>
        <w:t xml:space="preserve">The Utility reflected depreciation expense, net of CIAC amortization expense, of $760,015 for water and $2,653,855 for wastewater. Based on staff’s adjustments to rate base, corresponding adjustments should be made to </w:t>
      </w:r>
      <w:r w:rsidR="00D30927" w:rsidRPr="00D30927">
        <w:t>decrease net depreciation expense by $196,474 for water and $591,931 for wastewater. Additionally, GPU reflected amortization expense balance of $10,681 for water and wastewater to reflect amortization of organization costs. Organization costs are typically recorded in Accounts 301 and 351 and amortized pursuant to Rule 25-30.140, F.A.C. As such, staff has reclassified organization costs for water and wastewater as depreciation expense. These adjustments result in net depreciation expense of $563,541 ($760,015 - $196,474 + $10,681) for water and $2,061,924 ($2,653,855 - $591,931 + $10,681) for wastewater</w:t>
      </w:r>
      <w:r>
        <w:t xml:space="preserve">. </w:t>
      </w:r>
    </w:p>
    <w:p w:rsidR="005B6223" w:rsidRDefault="005B6223" w:rsidP="005B6223">
      <w:pPr>
        <w:pStyle w:val="First-LevelSubheading"/>
      </w:pPr>
      <w:r>
        <w:t>Amortization Expense</w:t>
      </w:r>
    </w:p>
    <w:p w:rsidR="005B6223" w:rsidRDefault="005B6223" w:rsidP="005B6223">
      <w:pPr>
        <w:pStyle w:val="BodyText"/>
      </w:pPr>
      <w:r>
        <w:t>The Utility reflected amortization expense balance of $10,681 for water and wastewater to reflect amortization of organization costs. Organization costs are typically recorded in Accounts 301 and 351 and amortized pursuant to Rule 25-30.140, F.A.C. As such, staff has reclassified the organization costs for water and wastewater as depreciation expenses and included them in its calculation of net depreciation expense above.</w:t>
      </w:r>
    </w:p>
    <w:p w:rsidR="005B6223" w:rsidRDefault="005B6223" w:rsidP="005B6223">
      <w:pPr>
        <w:pStyle w:val="First-LevelSubheading"/>
      </w:pPr>
      <w:r>
        <w:t>Taxes Other Than Income</w:t>
      </w:r>
    </w:p>
    <w:p w:rsidR="005B6223" w:rsidRDefault="005B6223" w:rsidP="005B6223">
      <w:pPr>
        <w:pStyle w:val="BodyText"/>
      </w:pPr>
      <w:r>
        <w:t xml:space="preserve">In its filing, GPU included taxes other than income (TOTI) expense of $803,972 for water and $1,832,839 for wastewater. GPU’s calculation of proposed property tax expense for each system was based on the Sumter County millage rate from 2020. In addition, staff discovered the Utility’s calculation of net plant for water was understated. Staff recalculated the property tax expense for each system using the most recent millage rate and net plant totals and recommends an adjustment be made to increase property tax expense by $65,428 for water and decrease property </w:t>
      </w:r>
      <w:r w:rsidR="00632F92">
        <w:t xml:space="preserve">tax </w:t>
      </w:r>
      <w:r>
        <w:t xml:space="preserve">expense by $61,554 for wastewater. </w:t>
      </w:r>
      <w:r w:rsidR="00D30927" w:rsidRPr="00D30927">
        <w:t xml:space="preserve">Staff also made a corresponding adjustment to decrease regulatory assessment fees </w:t>
      </w:r>
      <w:r w:rsidR="00632F92">
        <w:t xml:space="preserve">(RAFs) </w:t>
      </w:r>
      <w:r w:rsidR="00D30927" w:rsidRPr="00D30927">
        <w:t>by $2,455 for water and $23,015 for wastewater to reflect staff’s recommended revenue requirement. Therefore, staff recommends a TOTI balance of $866,945 for water and $1,748,270 for wastewater</w:t>
      </w:r>
      <w:r>
        <w:t>.</w:t>
      </w:r>
    </w:p>
    <w:p w:rsidR="005B6223" w:rsidRDefault="005B6223" w:rsidP="005B6223">
      <w:pPr>
        <w:pStyle w:val="First-LevelSubheading"/>
      </w:pPr>
      <w:r>
        <w:t>Revenue Requirement</w:t>
      </w:r>
    </w:p>
    <w:p w:rsidR="005B6223" w:rsidRDefault="005B6223" w:rsidP="005B6223">
      <w:pPr>
        <w:pStyle w:val="BodyText"/>
      </w:pPr>
      <w:r>
        <w:t xml:space="preserve">The Utility’s projected revenues include O&amp;M expenses, net depreciation expense, taxes other than income, as well as a return on investment. As a limited liability company, staff notes that GPU has no income tax expense. The Utility proposed revenue requirements for water and wastewater of $4,518,380 and $11,179,493 respectively. </w:t>
      </w:r>
      <w:r w:rsidR="00D30927" w:rsidRPr="00D30927">
        <w:t>Staff recommends adjusted revenue requirements of $4,463,817 for water and $10,668,039 for wastewater to be used to set initial rates for service. The calculation of GPU’s projected water and wastewater revenue requirements are shown on Schedule Nos. 3-A and 3-B, respectively. Staff’s adjustments are shown on Schedule No. 3-C</w:t>
      </w:r>
      <w:r>
        <w:t>.</w:t>
      </w:r>
    </w:p>
    <w:p w:rsidR="005B6223" w:rsidRDefault="005B6223" w:rsidP="00F275B0">
      <w:pPr>
        <w:pStyle w:val="First-LevelSubheading"/>
      </w:pPr>
      <w:r>
        <w:lastRenderedPageBreak/>
        <w:t>Rates and Rate Structure</w:t>
      </w:r>
    </w:p>
    <w:p w:rsidR="00F275B0" w:rsidRPr="0004336F" w:rsidRDefault="00F275B0" w:rsidP="00F275B0">
      <w:pPr>
        <w:spacing w:after="240"/>
        <w:jc w:val="both"/>
      </w:pPr>
      <w:r w:rsidRPr="0004336F">
        <w:t xml:space="preserve">Gibson structured its proposed rates in accordance with Rule 25-30.033(2), F.A.C., which requires that a base facility and usage rate structure, as defined in Rule 25-30.437(6), F.A.C., be utilized for metered service. The Utility’s proposed rates were designed to generate the Utility’s requested revenue requirements of $4,518,380 for its water system and $11,179,493 for its wastewater system. </w:t>
      </w:r>
    </w:p>
    <w:p w:rsidR="00F275B0" w:rsidRPr="0004336F" w:rsidRDefault="00F275B0" w:rsidP="00F275B0">
      <w:pPr>
        <w:spacing w:after="240"/>
        <w:jc w:val="both"/>
      </w:pPr>
      <w:r w:rsidRPr="0004336F">
        <w:t>Staff’s recommended water rates on Schedule No. 4-A reflect staff’s recommended revenue requirement of $</w:t>
      </w:r>
      <w:r>
        <w:t>4,463,817</w:t>
      </w:r>
      <w:r w:rsidRPr="0004336F">
        <w:t xml:space="preserve"> for the water system less projected miscellaneous revenues of $69,904. Consistent with the Utility’s proposed rate structure, staff recommends a traditional base facility charge (BFC) and gallonage charge rate structure with an additional gallonage charge for discretionary usage for residential water customers. Gibson proposed a discretionary threshold of 3,000 gallons for its residential water customers. The Utility proposed recovering 40 percent of the revenues through the BFC. Staff believes the Utility’s proposed water rate structure is reasonable and consistent with the Commission’s methodology in determining water rate structures.</w:t>
      </w:r>
    </w:p>
    <w:p w:rsidR="00F275B0" w:rsidRPr="0004336F" w:rsidRDefault="00F275B0" w:rsidP="00F275B0">
      <w:pPr>
        <w:spacing w:after="240"/>
        <w:jc w:val="both"/>
      </w:pPr>
      <w:r w:rsidRPr="0004336F">
        <w:t>Staff’s recommended wastewater rates on Schedule No. 4-B reflect staff’s recommended revenue requirement of $</w:t>
      </w:r>
      <w:r>
        <w:t>10,668,039</w:t>
      </w:r>
      <w:r w:rsidRPr="0004336F">
        <w:t xml:space="preserve"> for the wastewater system less projected miscellaneous revenues of $69,904. The Utility’s proposed wastewater rate structure consists of a BFC, gallonage charge, and gallonage cap of 10,000 gallons for residential customers. The Utility proposed recovering 50 percent of the revenues through the BFC. Staff believes the Utility’s proposed wastewater rate structure is reasonable and consistent with the Commission’s methodology in determining wastewater rate structures.</w:t>
      </w:r>
    </w:p>
    <w:p w:rsidR="00F275B0" w:rsidRPr="0004336F" w:rsidRDefault="00F275B0" w:rsidP="00F275B0">
      <w:pPr>
        <w:spacing w:after="240"/>
        <w:jc w:val="both"/>
      </w:pPr>
      <w:r w:rsidRPr="0004336F">
        <w:t>The Utility’s proposed rates also include water and wastewater bulk service rates. The bulk service rates are for Middleton</w:t>
      </w:r>
      <w:r w:rsidR="00091C32">
        <w:t xml:space="preserve"> Utility Company, LLC (</w:t>
      </w:r>
      <w:r w:rsidR="00562D12">
        <w:t>Middleton</w:t>
      </w:r>
      <w:r w:rsidR="00091C32">
        <w:t>), an adjacent utility that plans to become certificated and</w:t>
      </w:r>
      <w:r w:rsidR="00217975">
        <w:t xml:space="preserve"> purchase</w:t>
      </w:r>
      <w:r w:rsidR="00091C32">
        <w:t xml:space="preserve"> and resell water </w:t>
      </w:r>
      <w:r w:rsidRPr="0004336F">
        <w:t>and wastewater treatment from Gibson.</w:t>
      </w:r>
      <w:r w:rsidR="00562D12">
        <w:rPr>
          <w:rStyle w:val="FootnoteReference"/>
        </w:rPr>
        <w:footnoteReference w:id="7"/>
      </w:r>
      <w:r w:rsidRPr="0004336F">
        <w:t xml:space="preserve"> The Utility designed the bulk service rates based on common plant and expenses </w:t>
      </w:r>
      <w:r>
        <w:t>shared by</w:t>
      </w:r>
      <w:r w:rsidRPr="0004336F">
        <w:t xml:space="preserve"> Gibson and Middleton. The Utility included RAFs in the calculation of </w:t>
      </w:r>
      <w:r>
        <w:t xml:space="preserve">its </w:t>
      </w:r>
      <w:r w:rsidRPr="0004336F">
        <w:t>proposed bulk service rates</w:t>
      </w:r>
      <w:r>
        <w:t xml:space="preserve">. </w:t>
      </w:r>
    </w:p>
    <w:p w:rsidR="00F275B0" w:rsidRPr="0004336F" w:rsidRDefault="00F275B0" w:rsidP="00F275B0">
      <w:pPr>
        <w:spacing w:after="240"/>
        <w:jc w:val="both"/>
      </w:pPr>
      <w:r w:rsidRPr="0004336F">
        <w:t>Section 367.145(1), F.S., states in part:</w:t>
      </w:r>
    </w:p>
    <w:p w:rsidR="00F275B0" w:rsidRPr="0004336F" w:rsidRDefault="00F275B0" w:rsidP="00F275B0">
      <w:pPr>
        <w:spacing w:after="240"/>
        <w:ind w:left="720" w:right="720"/>
        <w:jc w:val="both"/>
      </w:pPr>
      <w:r w:rsidRPr="0004336F">
        <w:t xml:space="preserve">The Commission shall set by rule a regulatory assessment fee that each utility must pay once a year…the amount of the regulatory assessment fee shall not exceed 4.5 percent of the gross revenues of the utility derived from intrastate business, </w:t>
      </w:r>
      <w:r w:rsidRPr="0004336F">
        <w:rPr>
          <w:u w:val="single"/>
        </w:rPr>
        <w:t>excluding sales for resale made to a regulated company</w:t>
      </w:r>
      <w:r w:rsidRPr="0004336F">
        <w:t>. (</w:t>
      </w:r>
      <w:proofErr w:type="gramStart"/>
      <w:r w:rsidRPr="0004336F">
        <w:t>emphasis</w:t>
      </w:r>
      <w:proofErr w:type="gramEnd"/>
      <w:r w:rsidRPr="0004336F">
        <w:t xml:space="preserve"> added)</w:t>
      </w:r>
    </w:p>
    <w:p w:rsidR="00F275B0" w:rsidRPr="0004336F" w:rsidRDefault="00F275B0" w:rsidP="00F275B0">
      <w:pPr>
        <w:spacing w:after="240"/>
        <w:jc w:val="both"/>
      </w:pPr>
      <w:r w:rsidRPr="0004336F">
        <w:t>It is Commission practice to incl</w:t>
      </w:r>
      <w:r w:rsidR="003F1811">
        <w:t>ude an allowance for RAFs in a u</w:t>
      </w:r>
      <w:r w:rsidRPr="0004336F">
        <w:t xml:space="preserve">tility’s rate calculation, thereby allowing the utility the opportunity to recover the expense through rates. If the Commission approves Middleton’s application, it would be a regulated utility. As a result, pursuant to Section 367.145(1), F.S., Gibson cannot recover RAFs through the bulk rate it proposes to assess </w:t>
      </w:r>
      <w:r w:rsidRPr="0004336F">
        <w:lastRenderedPageBreak/>
        <w:t xml:space="preserve">Middleton. Therefore, staff’s recommended bulk service water and wastewater rates exclude an allowance for RAFs. </w:t>
      </w:r>
    </w:p>
    <w:p w:rsidR="00211924" w:rsidRDefault="003676E2" w:rsidP="00F275B0">
      <w:pPr>
        <w:spacing w:after="240"/>
        <w:jc w:val="both"/>
      </w:pPr>
      <w:r w:rsidRPr="0004336F">
        <w:t>Gibson designed its bulk service water and wastewater rates based on the meter sizes that will provide service to Middleton. In accordance with the standards provided by the American Water Works Association</w:t>
      </w:r>
      <w:r>
        <w:t xml:space="preserve"> (AWWA)</w:t>
      </w:r>
      <w:r w:rsidRPr="0004336F">
        <w:t>, which the Commission has historically accepted, an 8-inch meter is defined as 80 equivalent residential connections (ERCs) and a 12-inch meter is defined as 215 ERCs</w:t>
      </w:r>
      <w:r>
        <w:t>.</w:t>
      </w:r>
      <w:r w:rsidRPr="0004336F">
        <w:t xml:space="preserve"> </w:t>
      </w:r>
      <w:r>
        <w:t>Gibson plans to utilize</w:t>
      </w:r>
      <w:r w:rsidRPr="0004336F">
        <w:t xml:space="preserve"> three 8-inch meters and five 12-inch meters</w:t>
      </w:r>
      <w:r>
        <w:t xml:space="preserve"> to serve Middleton,</w:t>
      </w:r>
      <w:r w:rsidRPr="0004336F">
        <w:t xml:space="preserve"> which equate</w:t>
      </w:r>
      <w:r>
        <w:t>s</w:t>
      </w:r>
      <w:r w:rsidRPr="0004336F">
        <w:t xml:space="preserve"> to a total of 1,315 [(3 x 80)</w:t>
      </w:r>
      <w:r>
        <w:t xml:space="preserve"> </w:t>
      </w:r>
      <w:r w:rsidRPr="0004336F">
        <w:t>+ (5 x 215)] ERCs</w:t>
      </w:r>
      <w:r>
        <w:t xml:space="preserve"> under AWWA standards</w:t>
      </w:r>
      <w:r w:rsidRPr="0004336F">
        <w:t>. However, Middleton is proposing to provide services to 6,862 ERCs</w:t>
      </w:r>
      <w:r>
        <w:t xml:space="preserve"> at build out</w:t>
      </w:r>
      <w:r w:rsidRPr="0004336F">
        <w:t xml:space="preserve">, which is substantially more than the ERCs based on the meter sizes. This disparity between the calculation of the metered ERCs and the number of ERCs behind the meter of the bulk customer could result in subsidization of Middleton’s customer base by Gibson’s customer base. </w:t>
      </w:r>
      <w:r>
        <w:t>Because a</w:t>
      </w:r>
      <w:r w:rsidRPr="0004336F">
        <w:t xml:space="preserve"> bulk service rate based solely on the size of the meters would not accurately measure the demand placed upon the Utility's system by Middleton</w:t>
      </w:r>
      <w:r w:rsidR="00211924">
        <w:t>, s</w:t>
      </w:r>
      <w:r w:rsidR="00F275B0" w:rsidRPr="0004336F">
        <w:t xml:space="preserve">taff believes Middleton should be billed based on the number of ERCs behind the meter. The Commission has </w:t>
      </w:r>
      <w:r w:rsidR="00211924">
        <w:t xml:space="preserve">previously </w:t>
      </w:r>
      <w:r w:rsidR="00F275B0" w:rsidRPr="0004336F">
        <w:t xml:space="preserve">found </w:t>
      </w:r>
      <w:r w:rsidR="00211924">
        <w:t xml:space="preserve">it </w:t>
      </w:r>
      <w:r w:rsidR="00F275B0" w:rsidRPr="0004336F">
        <w:t xml:space="preserve">appropriate </w:t>
      </w:r>
      <w:r w:rsidR="00211924">
        <w:t>to</w:t>
      </w:r>
      <w:r w:rsidR="00F275B0" w:rsidRPr="0004336F">
        <w:t xml:space="preserve"> go behind the meter to bill for services.</w:t>
      </w:r>
      <w:r w:rsidR="00F275B0" w:rsidRPr="0004336F">
        <w:rPr>
          <w:vertAlign w:val="superscript"/>
        </w:rPr>
        <w:footnoteReference w:id="8"/>
      </w:r>
      <w:r w:rsidR="00F275B0" w:rsidRPr="0004336F">
        <w:t xml:space="preserve"> </w:t>
      </w:r>
    </w:p>
    <w:p w:rsidR="00F275B0" w:rsidRDefault="00F275B0" w:rsidP="00F275B0">
      <w:pPr>
        <w:spacing w:after="240"/>
        <w:jc w:val="both"/>
      </w:pPr>
      <w:r w:rsidRPr="0004336F">
        <w:t>In order to equitably distribute cost among the customers to be served by Gibson, Middleton’s ERCs, behind the meter, should be equated to an ERC in accordance with Gibson’s defined ERC. Based on the demographics of Gibson’s and Middleton’s customer bases, Gibson proposed an ERC defined as 80 gallons per day (</w:t>
      </w:r>
      <w:proofErr w:type="spellStart"/>
      <w:r w:rsidRPr="0004336F">
        <w:t>gpd</w:t>
      </w:r>
      <w:proofErr w:type="spellEnd"/>
      <w:r w:rsidRPr="0004336F">
        <w:t xml:space="preserve">) while Middleton proposed an ERC defined as 225 </w:t>
      </w:r>
      <w:proofErr w:type="spellStart"/>
      <w:r w:rsidRPr="0004336F">
        <w:t>gpd</w:t>
      </w:r>
      <w:proofErr w:type="spellEnd"/>
      <w:r w:rsidRPr="0004336F">
        <w:t xml:space="preserve">. Middleton’s proposed ERC is a factor of 2.8125 (225 </w:t>
      </w:r>
      <w:proofErr w:type="spellStart"/>
      <w:r w:rsidRPr="0004336F">
        <w:t>gpd</w:t>
      </w:r>
      <w:proofErr w:type="spellEnd"/>
      <w:r w:rsidRPr="0004336F">
        <w:t xml:space="preserve">/80 </w:t>
      </w:r>
      <w:proofErr w:type="spellStart"/>
      <w:r w:rsidRPr="0004336F">
        <w:t>gpd</w:t>
      </w:r>
      <w:proofErr w:type="spellEnd"/>
      <w:r w:rsidRPr="0004336F">
        <w:t xml:space="preserve">) more than Gibson’s proposed ERC. </w:t>
      </w:r>
      <w:r>
        <w:t xml:space="preserve">Gibson’s rates are designed at its 80 percent design capacity. When Gibson is at 80 percent design capacity, Middleton will be at approximately 18 percent design capacity and serving 1,108 ERCs. As a result, </w:t>
      </w:r>
      <w:r w:rsidRPr="0004336F">
        <w:t xml:space="preserve">the appropriate number of ERCs </w:t>
      </w:r>
      <w:r>
        <w:t xml:space="preserve">to be used </w:t>
      </w:r>
      <w:r w:rsidRPr="0004336F">
        <w:t xml:space="preserve">for </w:t>
      </w:r>
      <w:r>
        <w:t xml:space="preserve">Middleton in </w:t>
      </w:r>
      <w:r w:rsidRPr="0004336F">
        <w:t xml:space="preserve">designing rates </w:t>
      </w:r>
      <w:r>
        <w:t>is 3,116</w:t>
      </w:r>
      <w:r w:rsidRPr="0004336F">
        <w:t xml:space="preserve"> (</w:t>
      </w:r>
      <w:r>
        <w:t>1,108</w:t>
      </w:r>
      <w:r w:rsidRPr="0004336F">
        <w:t xml:space="preserve"> ERCs x 2.8125).</w:t>
      </w:r>
      <w:r>
        <w:t xml:space="preserve"> </w:t>
      </w:r>
    </w:p>
    <w:p w:rsidR="00F275B0" w:rsidRDefault="00F275B0" w:rsidP="00F275B0">
      <w:pPr>
        <w:spacing w:after="240"/>
        <w:jc w:val="both"/>
      </w:pPr>
      <w:r>
        <w:t xml:space="preserve">Typically, when designing a bulk service rate using the number of connections behind the meter, the BFC is a lump sum of all of the appropriate ERCs behind the meter times the rate for the 5/8” x 3/4” meter size. Usually, in those instances, the connections are existing and active. With a lump sum BFC, based on all 3,116 ERCs, Middleton would be paying for all ERCs from the onset with not all connections having taken place. As a result, staff is recommending the bulk service rate for Middleton be billed on a per ERC basis rather than a lump sum rate for the 3,116 ERCs. The bulk service rate on a per ERC basis will make Middleton similarly situated as the other customer classes wherein Middleton will only be billed for an actual connection. In addition, it avoids Gibson collecting excessive revenues when fewer ERCs are being served than what </w:t>
      </w:r>
      <w:r w:rsidR="00D959A5">
        <w:t>a lump sum BFC would include</w:t>
      </w:r>
      <w:r>
        <w:t xml:space="preserve">. </w:t>
      </w:r>
    </w:p>
    <w:p w:rsidR="00F275B0" w:rsidRDefault="00F275B0" w:rsidP="00F275B0">
      <w:pPr>
        <w:spacing w:after="240"/>
        <w:jc w:val="both"/>
      </w:pPr>
      <w:r>
        <w:lastRenderedPageBreak/>
        <w:t>In order to determine the per ERC bulk service rates for Middleton, Gibson provided a bulk service revenue requirement which isolated the common plant and expenses shared by Gibson and Middleton. Staff adjusted the revenue requirement consistent with adjustments to the overall Gibson revenue requirement and removed RAFs as stated previously. Staff used the ERCs for Gibson as well as the 3,116 factored ERCs for Middleton to determine the BFC for one Gibson ERC based on common plant and expenses. In turn, the BFC was then multiplied by 2.8125 to determine the per ERC rate to be billed for one ERC for Middleton. The Gibson rates for residential and general service customers were determined by removing the revenues that will be generated from Middleton from the overall revenue requirement. In future rate proceedings, Gibson will need to continue to provide a separate revenue requirement which distinguishes the common plant and expenses shared by Gibson and Middleton to design the bulk service rates for Middleton.</w:t>
      </w:r>
    </w:p>
    <w:p w:rsidR="00F275B0" w:rsidRDefault="00F275B0" w:rsidP="00F275B0">
      <w:pPr>
        <w:pStyle w:val="BodyText"/>
      </w:pPr>
      <w:r>
        <w:t>For billing purposes, Gibson has indicated it would be able to obtain the monthly ERCs for Middleton. In addition, if Middleton develops more quickly than projected, staff’s proposed rate structure would account for the additional demand Middleton’s customers have placed on Gibson’s system. Further, if Gibson does not come in for a rate proceeding, staff’s annual report surveillance will allow monitoring of the Utility’s earning levels for potential overearnings in the event Middleton’s development is faster than anticipated.</w:t>
      </w:r>
    </w:p>
    <w:p w:rsidR="00861E2A" w:rsidRDefault="00861E2A" w:rsidP="00861E2A">
      <w:pPr>
        <w:pStyle w:val="IssueHeading"/>
        <w:spacing w:after="0"/>
        <w:rPr>
          <w:b w:val="0"/>
          <w:i w:val="0"/>
        </w:rPr>
      </w:pPr>
      <w:r w:rsidRPr="00B5517E">
        <w:rPr>
          <w:i w:val="0"/>
        </w:rPr>
        <w:t>Conclusion</w:t>
      </w:r>
    </w:p>
    <w:p w:rsidR="00861E2A" w:rsidRDefault="0029163D" w:rsidP="00861E2A">
      <w:pPr>
        <w:pStyle w:val="BodyText"/>
      </w:pPr>
      <w:r w:rsidRPr="00575937">
        <w:t xml:space="preserve">Staff recommends that the Commission make adjustments to the Utility’s proposed rate base calculations and approve the resulting water and wastewater rates as calculated by staff and shown on Schedule Nos. 4-A and 4-B. </w:t>
      </w:r>
      <w:r w:rsidR="00D246F9" w:rsidRPr="00B718C3">
        <w:rPr>
          <w:color w:val="000000" w:themeColor="text1"/>
        </w:rPr>
        <w:t>The overall cost of capital should be 7.76 percent.</w:t>
      </w:r>
      <w:r w:rsidR="00D246F9">
        <w:rPr>
          <w:color w:val="000000" w:themeColor="text1"/>
        </w:rPr>
        <w:t xml:space="preserve"> </w:t>
      </w:r>
      <w:r w:rsidRPr="00575937">
        <w:t>A return on equity (ROE) of 7.84 percent with a range of plus or minus 100 basis points should also be approved. The approved rates should be effective for services rendered or connections made on or after the stamped approval date on the tariff sheets pursuant to Rule 25-30.475, F.A.C. The Utility should be required to charge the approved rates until authorized to change them by the Commission in a subsequent proceeding.</w:t>
      </w:r>
    </w:p>
    <w:p w:rsidR="00424083" w:rsidRDefault="00424083">
      <w:pPr>
        <w:pStyle w:val="IssueHeading"/>
        <w:rPr>
          <w:vanish/>
          <w:specVanish/>
        </w:rPr>
      </w:pPr>
      <w:r w:rsidRPr="004C3641">
        <w:rPr>
          <w:b w:val="0"/>
          <w:i w:val="0"/>
        </w:rPr>
        <w:br w:type="page"/>
      </w:r>
      <w:r w:rsidRPr="004C3641">
        <w:lastRenderedPageBreak/>
        <w:t xml:space="preserve">Issue </w:t>
      </w:r>
      <w:fldSimple w:instr=" SEQ Issue \* MERGEFORMAT ">
        <w:r w:rsidR="008C2C9B">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8C2C9B">
        <w:rPr>
          <w:noProof/>
        </w:rPr>
        <w:instrText>2</w:instrText>
      </w:r>
      <w:r>
        <w:fldChar w:fldCharType="end"/>
      </w:r>
      <w:r>
        <w:tab/>
        <w:instrText xml:space="preserve">" \l 1 </w:instrText>
      </w:r>
      <w:r>
        <w:fldChar w:fldCharType="end"/>
      </w:r>
      <w:r>
        <w:t> </w:t>
      </w:r>
    </w:p>
    <w:p w:rsidR="00424083" w:rsidRDefault="00424083">
      <w:pPr>
        <w:pStyle w:val="BodyText"/>
      </w:pPr>
      <w:r>
        <w:t> </w:t>
      </w:r>
      <w:r w:rsidR="00F275B0" w:rsidRPr="00EC5892">
        <w:t>Should the Utility’s requested initial customer deposits be approved?</w:t>
      </w:r>
    </w:p>
    <w:p w:rsidR="00424083" w:rsidRPr="004C3641" w:rsidRDefault="00424083">
      <w:pPr>
        <w:pStyle w:val="IssueSubsectionHeading"/>
        <w:rPr>
          <w:vanish/>
          <w:specVanish/>
        </w:rPr>
      </w:pPr>
      <w:r w:rsidRPr="004C3641">
        <w:t>Recommendation: </w:t>
      </w:r>
    </w:p>
    <w:p w:rsidR="00424083" w:rsidRDefault="00424083">
      <w:pPr>
        <w:pStyle w:val="BodyText"/>
      </w:pPr>
      <w:r>
        <w:t> </w:t>
      </w:r>
      <w:r w:rsidR="00F275B0" w:rsidRPr="00EC5892">
        <w:t>No. The appropriate initial customer deposits are $</w:t>
      </w:r>
      <w:r w:rsidR="00353A38">
        <w:t>61</w:t>
      </w:r>
      <w:r w:rsidR="00F275B0" w:rsidRPr="00EC5892">
        <w:t xml:space="preserve"> for water and $</w:t>
      </w:r>
      <w:r w:rsidR="00F275B0">
        <w:t>138</w:t>
      </w:r>
      <w:r w:rsidR="00F275B0" w:rsidRPr="00EC5892">
        <w:t xml:space="preserve"> for wastewater service for the residential 5/8″ x 3/4″ meter size. The initial customer deposits for all other residential meter sizes and all general service meter sizes should be two times the average estimated bill. The approved customer deposits should be effective for service rendered on or after the stamped approval date on the tariff pursuant to Rule 25-30.475, F.A.C. The Utility should be required to collect the approved deposits until authorized to change them by the Commission in a subsequent proceeding. (Bethea)</w:t>
      </w:r>
      <w:r>
        <w:t xml:space="preserve"> </w:t>
      </w:r>
    </w:p>
    <w:p w:rsidR="00424083" w:rsidRPr="004C3641" w:rsidRDefault="00424083">
      <w:pPr>
        <w:pStyle w:val="IssueSubsectionHeading"/>
        <w:rPr>
          <w:vanish/>
          <w:specVanish/>
        </w:rPr>
      </w:pPr>
      <w:r w:rsidRPr="004C3641">
        <w:t>Staff Analysis: </w:t>
      </w:r>
    </w:p>
    <w:p w:rsidR="00F275B0" w:rsidRPr="00EC5892" w:rsidRDefault="00424083" w:rsidP="00F275B0">
      <w:pPr>
        <w:spacing w:after="240"/>
        <w:jc w:val="both"/>
        <w:outlineLvl w:val="1"/>
      </w:pPr>
      <w:r>
        <w:t> </w:t>
      </w:r>
      <w:r w:rsidR="00F275B0" w:rsidRPr="00EC5892">
        <w:t>Rule 25-30.311, F.A.C., contains criteria for collecting, administering, and refunding customer deposits. Rule 25-30.311(1), F.A.C., requires that each company’s tariff shall contain its specific criteria for determining the amount of initial deposits. The Utility requested initial customer deposits of $55.76 for water and $129.56 for wastewater for the residential 5/8″ x 3/4″ meter sizes and two times the average estimated monthly bill for all others. Customer deposits are designed to minimize the exposure of bad debt expense for the Utility and, ultimately, the general body of rate payers. In addition, collection of customer deposits is consistent with one of the fundamental principles of rate making which ensures that the cost of providing service is recovered from the cost causer.</w:t>
      </w:r>
    </w:p>
    <w:p w:rsidR="00F275B0" w:rsidRPr="00EC5892" w:rsidRDefault="00F275B0" w:rsidP="00F275B0">
      <w:pPr>
        <w:spacing w:after="240"/>
        <w:jc w:val="both"/>
        <w:outlineLvl w:val="1"/>
      </w:pPr>
      <w:r w:rsidRPr="00EC5892">
        <w:t>Rule 25-30.311(7), F.A.C., authorizes utilities to collect new or additional deposits from existing customers not to exceed an amount equal to the average actual charge for water and/or wastewater service for two billing periods for the 12-month period immediately prior to the date of notice. The two billing periods reflect the lag time between the customer’s usage and the Utility’s collection of the revenues associated with that usage. Commission practice has been to set initial customer deposits equal to two months bills based on the average consumption for a 12-month period for each class of customers. Staff reviewed the projected billing data provided in Gibson’s application and determined that the anticipated average residential usage will be approximately 2,430 gallons per month for both water and wastewater. Consequently, the average residential monthly bill will be approximately $</w:t>
      </w:r>
      <w:r w:rsidR="00353A38">
        <w:t>30.21</w:t>
      </w:r>
      <w:r w:rsidRPr="00EC5892">
        <w:t xml:space="preserve"> for water and $</w:t>
      </w:r>
      <w:r w:rsidR="00353A38">
        <w:t>68.82</w:t>
      </w:r>
      <w:r w:rsidRPr="00EC5892">
        <w:t xml:space="preserve"> for wastewater service, based on staff’s recommended rates.</w:t>
      </w:r>
    </w:p>
    <w:p w:rsidR="00424083" w:rsidRDefault="00F275B0" w:rsidP="00F275B0">
      <w:pPr>
        <w:pStyle w:val="BodyText"/>
      </w:pPr>
      <w:r w:rsidRPr="00EC5892">
        <w:t>Based on the above,</w:t>
      </w:r>
      <w:r w:rsidRPr="00EC5892">
        <w:rPr>
          <w:rFonts w:asciiTheme="minorHAnsi" w:hAnsiTheme="minorHAnsi"/>
          <w:sz w:val="22"/>
        </w:rPr>
        <w:t xml:space="preserve"> t</w:t>
      </w:r>
      <w:r w:rsidRPr="00EC5892">
        <w:t>he appropriate initial customer deposits are $</w:t>
      </w:r>
      <w:r w:rsidR="003117D2">
        <w:t>61</w:t>
      </w:r>
      <w:r w:rsidRPr="00EC5892">
        <w:t xml:space="preserve"> for water and $</w:t>
      </w:r>
      <w:r>
        <w:t>138</w:t>
      </w:r>
      <w:r w:rsidRPr="00EC5892">
        <w:t xml:space="preserve"> for wastewater service for the residential 5/8″ x 3/4″ meter size. The initial customer deposit for all other residential meter sizes and all general service meter sizes should be two times the average estimated bill. The approved customer deposits should be effective for service rendered on or after the stamped approval date on the tariff pursuant to Rule 25-30.475, F.A.C. The Utility should be required to collect the approved deposits until authorized to change them by the Commission in a subsequent proceeding.</w:t>
      </w:r>
    </w:p>
    <w:p w:rsidR="00424083" w:rsidRDefault="00424083">
      <w:pPr>
        <w:pStyle w:val="IssueHeading"/>
        <w:rPr>
          <w:vanish/>
          <w:specVanish/>
        </w:rPr>
      </w:pPr>
      <w:r w:rsidRPr="004C3641">
        <w:rPr>
          <w:b w:val="0"/>
          <w:i w:val="0"/>
        </w:rPr>
        <w:br w:type="page"/>
      </w:r>
      <w:r w:rsidRPr="004C3641">
        <w:lastRenderedPageBreak/>
        <w:t xml:space="preserve">Issue </w:t>
      </w:r>
      <w:fldSimple w:instr=" SEQ Issue \* MERGEFORMAT ">
        <w:r w:rsidR="008C2C9B">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8C2C9B">
        <w:rPr>
          <w:noProof/>
        </w:rPr>
        <w:instrText>3</w:instrText>
      </w:r>
      <w:r>
        <w:fldChar w:fldCharType="end"/>
      </w:r>
      <w:r>
        <w:tab/>
        <w:instrText xml:space="preserve">" \l 1 </w:instrText>
      </w:r>
      <w:r>
        <w:fldChar w:fldCharType="end"/>
      </w:r>
      <w:r>
        <w:t> </w:t>
      </w:r>
    </w:p>
    <w:p w:rsidR="00424083" w:rsidRDefault="00424083">
      <w:pPr>
        <w:pStyle w:val="BodyText"/>
      </w:pPr>
      <w:r>
        <w:t> </w:t>
      </w:r>
      <w:r w:rsidR="00D900C3" w:rsidRPr="00CC1110">
        <w:t>What are the appropriate service availability charges for Gibson Place Utility Company, LLC?</w:t>
      </w:r>
    </w:p>
    <w:p w:rsidR="00424083" w:rsidRPr="004C3641" w:rsidRDefault="00424083">
      <w:pPr>
        <w:pStyle w:val="IssueSubsectionHeading"/>
        <w:rPr>
          <w:vanish/>
          <w:specVanish/>
        </w:rPr>
      </w:pPr>
      <w:r w:rsidRPr="004C3641">
        <w:t>Recommendation: </w:t>
      </w:r>
    </w:p>
    <w:p w:rsidR="00424083" w:rsidRDefault="00424083">
      <w:pPr>
        <w:pStyle w:val="BodyText"/>
      </w:pPr>
      <w:r>
        <w:t> </w:t>
      </w:r>
      <w:r w:rsidR="00DB3F4F" w:rsidRPr="00CC1110">
        <w:rPr>
          <w:bCs/>
          <w:iCs/>
          <w:szCs w:val="28"/>
        </w:rPr>
        <w:t xml:space="preserve">The appropriate service availability charges are a meter installation charge of $571.50 for the residential </w:t>
      </w:r>
      <w:r w:rsidR="00DB3F4F" w:rsidRPr="00CC1110">
        <w:t>5/8″ x 3/4″</w:t>
      </w:r>
      <w:r w:rsidR="00DB3F4F" w:rsidRPr="00CC1110">
        <w:rPr>
          <w:bCs/>
          <w:iCs/>
          <w:szCs w:val="28"/>
        </w:rPr>
        <w:t xml:space="preserve"> meter size and actual cost for all other residential and general service meter sizes. The main extension charge of $823 per ERC and plant capacity charge of $401 per ERC for the Utility’s water system should be approved.</w:t>
      </w:r>
      <w:r w:rsidR="00DB3F4F" w:rsidRPr="00CC1110">
        <w:t xml:space="preserve"> Additionally, </w:t>
      </w:r>
      <w:r w:rsidR="00DB3F4F">
        <w:t xml:space="preserve">the </w:t>
      </w:r>
      <w:r w:rsidR="00DB3F4F" w:rsidRPr="00CC1110">
        <w:t xml:space="preserve">plant capacity charges </w:t>
      </w:r>
      <w:r w:rsidR="00DB3F4F">
        <w:t xml:space="preserve">for Gibson should be </w:t>
      </w:r>
      <w:r w:rsidR="00DB3F4F" w:rsidRPr="00CC1110">
        <w:t xml:space="preserve">$401 for water and $1,183 for wastewater. For Middleton, plant capacity charges should </w:t>
      </w:r>
      <w:r w:rsidR="00DB3F4F">
        <w:t xml:space="preserve">be </w:t>
      </w:r>
      <w:r w:rsidR="00DB3F4F" w:rsidRPr="00CC1110">
        <w:t>$1,128 for water and $3,327 for wastewater.</w:t>
      </w:r>
      <w:r w:rsidR="00DB3F4F">
        <w:t xml:space="preserve"> </w:t>
      </w:r>
      <w:r w:rsidR="00DB3F4F" w:rsidRPr="00CC1110">
        <w:rPr>
          <w:bCs/>
          <w:iCs/>
          <w:szCs w:val="28"/>
        </w:rPr>
        <w:t>The recommended main extension and plant capacity charges should be based on an estimated 80 gallons per day (</w:t>
      </w:r>
      <w:proofErr w:type="spellStart"/>
      <w:r w:rsidR="00DB3F4F" w:rsidRPr="00CC1110">
        <w:rPr>
          <w:bCs/>
          <w:iCs/>
          <w:szCs w:val="28"/>
        </w:rPr>
        <w:t>gpd</w:t>
      </w:r>
      <w:proofErr w:type="spellEnd"/>
      <w:r w:rsidR="00DB3F4F" w:rsidRPr="00CC1110">
        <w:rPr>
          <w:bCs/>
          <w:iCs/>
          <w:szCs w:val="28"/>
        </w:rPr>
        <w:t>) of water demand.</w:t>
      </w:r>
      <w:r w:rsidR="00DB3F4F" w:rsidRPr="00CC1110">
        <w:rPr>
          <w:rFonts w:ascii="Arial" w:hAnsi="Arial" w:cs="Arial"/>
          <w:b/>
          <w:bCs/>
          <w:i/>
          <w:iCs/>
          <w:szCs w:val="28"/>
        </w:rPr>
        <w:t> </w:t>
      </w:r>
      <w:r w:rsidR="00DB3F4F" w:rsidRPr="00CC1110">
        <w:t>The approved charges should be effective for connections made on or after the stamped approval date on the tariff pursuant to Rule 25-30.475, F.A.C. The Utility should be required to charge the approved charges until authorized to change them by the Commission in a subsequent proceeding</w:t>
      </w:r>
      <w:r w:rsidR="00DB3F4F" w:rsidRPr="00CC1110">
        <w:rPr>
          <w:bCs/>
          <w:iCs/>
          <w:szCs w:val="28"/>
        </w:rPr>
        <w:t xml:space="preserve">. </w:t>
      </w:r>
      <w:r w:rsidR="00DB3F4F" w:rsidRPr="00CC1110">
        <w:t>(Bethea, Hudson)</w:t>
      </w:r>
    </w:p>
    <w:p w:rsidR="00424083" w:rsidRPr="004C3641" w:rsidRDefault="00424083">
      <w:pPr>
        <w:pStyle w:val="IssueSubsectionHeading"/>
        <w:rPr>
          <w:vanish/>
          <w:specVanish/>
        </w:rPr>
      </w:pPr>
      <w:r w:rsidRPr="004C3641">
        <w:t>Staff Analysis: </w:t>
      </w:r>
    </w:p>
    <w:p w:rsidR="00D900C3" w:rsidRPr="00CC1110" w:rsidRDefault="00424083" w:rsidP="00D900C3">
      <w:pPr>
        <w:spacing w:after="240"/>
        <w:jc w:val="both"/>
      </w:pPr>
      <w:r>
        <w:t> </w:t>
      </w:r>
      <w:r w:rsidR="00D900C3" w:rsidRPr="00CC1110">
        <w:t>Gibson</w:t>
      </w:r>
      <w:r w:rsidR="00D900C3" w:rsidRPr="00CC1110">
        <w:rPr>
          <w:bCs/>
          <w:iCs/>
          <w:szCs w:val="28"/>
        </w:rPr>
        <w:t xml:space="preserve"> requested a meter installation charge of $571.50 for </w:t>
      </w:r>
      <w:r w:rsidR="00D900C3" w:rsidRPr="00CC1110">
        <w:t>5/8″ x 3/4″</w:t>
      </w:r>
      <w:r w:rsidR="00D900C3" w:rsidRPr="00CC1110">
        <w:rPr>
          <w:bCs/>
          <w:iCs/>
          <w:szCs w:val="28"/>
        </w:rPr>
        <w:t xml:space="preserve">meters and actual cost for all other meter sizes, plant capacity charge of $928 per ERC, and a main extension charge of $823 per ERC for its water system. Additionally, the Utility requested a main extension charge of $1,130 per ERC and a plant capacity charge of $2,737 per ERC for its wastewater system. Gibson’s service availability charges anticipate providing bulk service to Middleton. Gibson will be providing service to only its customers and Middleton, the bulk service customer. The Utility proposed that only the plant capacity charge be applicable to Middleton and not the main extension charge because Middleton will have its own internal distribution system. </w:t>
      </w:r>
      <w:r w:rsidR="00D900C3" w:rsidRPr="00CC1110">
        <w:t>Further, according to the Utility, the requested charges are in compliance with Rule 25-30.580, F.A.C., in that at design capacity the CIAC will not be in excess of 75 percent, and will not be less than the percentage of facilities and plant represented by the distribution and collection systems.</w:t>
      </w:r>
    </w:p>
    <w:p w:rsidR="00D900C3" w:rsidRPr="00CC1110" w:rsidRDefault="00D900C3" w:rsidP="00D900C3">
      <w:pPr>
        <w:spacing w:after="240"/>
        <w:jc w:val="both"/>
        <w:rPr>
          <w:bCs/>
          <w:iCs/>
          <w:szCs w:val="28"/>
        </w:rPr>
      </w:pPr>
      <w:r w:rsidRPr="00CC1110">
        <w:rPr>
          <w:bCs/>
          <w:iCs/>
          <w:szCs w:val="28"/>
        </w:rPr>
        <w:t>Rule 25-30.580(1)(a), F.A.C., provides that the maximum amount of CIAC, net of amortization, should not exceed 75 percent of the total original cost, net of accumulated depreciation, of the Utility's facilities and plant when the facilities and plant are at their design capacity. The maximum guideline is designed to ensure that the Utility retains an investment in the system. Rule 25-30.580(1</w:t>
      </w:r>
      <w:proofErr w:type="gramStart"/>
      <w:r w:rsidRPr="00CC1110">
        <w:rPr>
          <w:bCs/>
          <w:iCs/>
          <w:szCs w:val="28"/>
        </w:rPr>
        <w:t>)(</w:t>
      </w:r>
      <w:proofErr w:type="gramEnd"/>
      <w:r w:rsidRPr="00CC1110">
        <w:rPr>
          <w:bCs/>
          <w:iCs/>
          <w:szCs w:val="28"/>
        </w:rPr>
        <w:t>b), F.A.C., provides that the minimum amount of CIAC should not be less than the percentage of such facilities and plant that is represented by the distribution and collection systems.</w:t>
      </w:r>
    </w:p>
    <w:p w:rsidR="00D900C3" w:rsidRPr="00CC1110" w:rsidRDefault="00D900C3" w:rsidP="00D900C3">
      <w:pPr>
        <w:jc w:val="both"/>
        <w:outlineLvl w:val="1"/>
        <w:rPr>
          <w:rFonts w:ascii="Arial" w:hAnsi="Arial" w:cs="Arial"/>
          <w:b/>
        </w:rPr>
      </w:pPr>
      <w:r w:rsidRPr="00CC1110">
        <w:rPr>
          <w:rFonts w:ascii="Arial" w:hAnsi="Arial" w:cs="Arial"/>
          <w:b/>
        </w:rPr>
        <w:t>Meter Installation Charges</w:t>
      </w:r>
    </w:p>
    <w:p w:rsidR="00D900C3" w:rsidRPr="00CC1110" w:rsidRDefault="00D900C3" w:rsidP="00D900C3">
      <w:pPr>
        <w:spacing w:after="240"/>
        <w:jc w:val="both"/>
        <w:outlineLvl w:val="1"/>
      </w:pPr>
      <w:r w:rsidRPr="00CC1110">
        <w:t>Gibson is requesting approval of a meter installation charge of $571.50 for 5/8″ x 3/4″ meters. All other meter sizes will be installed at the Utility’s actual cost. The Utility’s proposed meter installation charge of $571.50 is based on the estimated cost to install remote read water meters and the required backflow prevention device for the 5/8″ x 3/4″ meter size. Staff recommends the meter installation charges are reasonable and should be approved.</w:t>
      </w:r>
    </w:p>
    <w:p w:rsidR="00D900C3" w:rsidRPr="00CC1110" w:rsidRDefault="00D900C3" w:rsidP="00D900C3">
      <w:pPr>
        <w:jc w:val="both"/>
        <w:outlineLvl w:val="1"/>
        <w:rPr>
          <w:rFonts w:ascii="Arial" w:hAnsi="Arial" w:cs="Arial"/>
          <w:b/>
        </w:rPr>
      </w:pPr>
      <w:r w:rsidRPr="00CC1110">
        <w:rPr>
          <w:rFonts w:ascii="Arial" w:hAnsi="Arial" w:cs="Arial"/>
          <w:b/>
        </w:rPr>
        <w:t>Main Extension Charges</w:t>
      </w:r>
    </w:p>
    <w:p w:rsidR="00D900C3" w:rsidRPr="00CC1110" w:rsidRDefault="00D900C3" w:rsidP="00D900C3">
      <w:pPr>
        <w:jc w:val="both"/>
        <w:outlineLvl w:val="1"/>
      </w:pPr>
      <w:r w:rsidRPr="00CC1110">
        <w:t xml:space="preserve">The main extension charge is designed to allow customers to pay their pro rata share of the cost of the water distribution and wastewater collection systems, which is installed by the Utility. </w:t>
      </w:r>
      <w:r w:rsidRPr="00CC1110">
        <w:rPr>
          <w:bCs/>
          <w:iCs/>
          <w:szCs w:val="28"/>
        </w:rPr>
        <w:t>The Utility’s main extension charge was designed based on the meter size ERCs for its service area</w:t>
      </w:r>
      <w:r w:rsidRPr="00CC1110">
        <w:t xml:space="preserve">. </w:t>
      </w:r>
      <w:r w:rsidRPr="00CC1110">
        <w:lastRenderedPageBreak/>
        <w:t>Typically, the Commission approves main extension charges based on the average cost of the distribution and collection systems and the anticipated capacity in ERCs. The Utility’s methodology is consistent with the manner in which the Commission develops main extension charges. Therefore, the Utility’s requested charges of $823 for water and $1,131 for wastewater should be approved.</w:t>
      </w:r>
    </w:p>
    <w:p w:rsidR="00D900C3" w:rsidRPr="00CC1110" w:rsidRDefault="00D900C3" w:rsidP="00D900C3">
      <w:pPr>
        <w:jc w:val="both"/>
        <w:outlineLvl w:val="1"/>
        <w:rPr>
          <w:rFonts w:ascii="Arial" w:hAnsi="Arial" w:cs="Arial"/>
          <w:b/>
        </w:rPr>
      </w:pPr>
    </w:p>
    <w:p w:rsidR="00D900C3" w:rsidRPr="00CC1110" w:rsidRDefault="00D900C3" w:rsidP="00D900C3">
      <w:pPr>
        <w:jc w:val="both"/>
        <w:outlineLvl w:val="1"/>
        <w:rPr>
          <w:rFonts w:ascii="Arial" w:hAnsi="Arial" w:cs="Arial"/>
          <w:b/>
        </w:rPr>
      </w:pPr>
      <w:r w:rsidRPr="00CC1110">
        <w:rPr>
          <w:rFonts w:ascii="Arial" w:hAnsi="Arial" w:cs="Arial"/>
          <w:b/>
        </w:rPr>
        <w:t>Plant Capacity Charges</w:t>
      </w:r>
    </w:p>
    <w:p w:rsidR="00D900C3" w:rsidRPr="00CC1110" w:rsidRDefault="00D900C3" w:rsidP="00D900C3">
      <w:pPr>
        <w:spacing w:after="240"/>
        <w:jc w:val="both"/>
        <w:outlineLvl w:val="1"/>
        <w:rPr>
          <w:bCs/>
          <w:iCs/>
          <w:szCs w:val="28"/>
        </w:rPr>
      </w:pPr>
      <w:r w:rsidRPr="00CC1110">
        <w:t>A plant capacity charge allows the Utility to recover each customer’s pro rata share of the cost of treatment facilities and stay within the guidelines prescribed in Rule 25-30.580, F.A.C., which provides minimum and maximum guidelines for designing service availability charges. The Utility proposed plant capacity charges of $928 for water and $2,737 for wastewater, which result in contribution levels of 46.63 percent for water and 46.20 percent for wastewater.</w:t>
      </w:r>
      <w:r w:rsidRPr="00CC1110">
        <w:rPr>
          <w:bCs/>
          <w:iCs/>
          <w:szCs w:val="28"/>
        </w:rPr>
        <w:t xml:space="preserve"> Gibson’s plant capacity charges were designed based on the meter size ERCs for both Gibson and Middleton.</w:t>
      </w:r>
    </w:p>
    <w:p w:rsidR="00D900C3" w:rsidRPr="00CC1110" w:rsidRDefault="00D900C3" w:rsidP="00D900C3">
      <w:pPr>
        <w:spacing w:after="240"/>
        <w:jc w:val="both"/>
        <w:outlineLvl w:val="1"/>
      </w:pPr>
      <w:r w:rsidRPr="00CC1110">
        <w:t>Typically, the Commission approves plant capacity charges based on the average cost of the water and wastewater treatment facilities and the anticipated capacity in ERCs. Gibson’s plant will serve only its customers and the customers of Middleton. The Utility designed its plant capacity charge on 13,693 ERCs, which represents 12,378 ERCs for Gibson and 1,315 ERCs for Mi</w:t>
      </w:r>
      <w:r w:rsidR="008937A2">
        <w:t>ddleton. As discussed in Issue 1</w:t>
      </w:r>
      <w:r w:rsidRPr="00CC1110">
        <w:t>, Middleton’s ERCs should be accounted for behind the meter. Middleton plans to serve 6,862 ERCs. Consistent with the rates, the Middleton, ERC should be factored to equate to an ERC of Gibson. The ap</w:t>
      </w:r>
      <w:r w:rsidR="00F3378B">
        <w:t xml:space="preserve">propriate ERCs for Middleton are </w:t>
      </w:r>
      <w:r w:rsidRPr="00CC1110">
        <w:t>19,300 (6,862 ERCs x 2.8125). The total ERCs for designing the plant capacity charge should be 31,678</w:t>
      </w:r>
      <w:r w:rsidR="008937A2">
        <w:t xml:space="preserve"> (12,378 + 19,300)</w:t>
      </w:r>
      <w:r w:rsidRPr="00CC1110">
        <w:t>. As a result, staff recommends Gibson</w:t>
      </w:r>
      <w:r w:rsidR="00575D68">
        <w:t>’s</w:t>
      </w:r>
      <w:r w:rsidRPr="00CC1110">
        <w:t xml:space="preserve"> plant capacity charges of $401 for water and $1,183 for wastewater. For Middleton, Gibson’s plant capacity charges should be multiplied by 2.8125 resulting in plant capacity charges of $1,128 for water and $3,327 for wastewater.</w:t>
      </w:r>
    </w:p>
    <w:p w:rsidR="00D900C3" w:rsidRDefault="00D900C3" w:rsidP="00D900C3">
      <w:pPr>
        <w:pStyle w:val="BodyText"/>
      </w:pPr>
      <w:r w:rsidRPr="00CC1110">
        <w:t xml:space="preserve">Staff’s recommended main extension and plant capacity charges result in projected contribution levels of 46.22 </w:t>
      </w:r>
      <w:r w:rsidR="00181878">
        <w:t xml:space="preserve">percent </w:t>
      </w:r>
      <w:r w:rsidRPr="00CC1110">
        <w:t xml:space="preserve">for water and 46.20 percent </w:t>
      </w:r>
      <w:r w:rsidR="00181878">
        <w:t xml:space="preserve">for </w:t>
      </w:r>
      <w:r w:rsidRPr="00CC1110">
        <w:t>wastewater, which is similar to the contribution levels proposed by the Utility. Staff believes this is consistent with Rule 25-30.580, F.A.C., and will allow Gibson to maintain an appropriate level of i</w:t>
      </w:r>
      <w:r w:rsidR="00F3378B">
        <w:t>nvestment in its system. Table 3-</w:t>
      </w:r>
      <w:r w:rsidRPr="00CC1110">
        <w:t>1 below displays the Utility’s proposed and staff’s recommended service availability charges for its water and wastewater systems.</w:t>
      </w:r>
    </w:p>
    <w:p w:rsidR="00D900C3" w:rsidRDefault="00D900C3" w:rsidP="00D900C3">
      <w:pPr>
        <w:pStyle w:val="BodyText"/>
      </w:pPr>
    </w:p>
    <w:p w:rsidR="00D900C3" w:rsidRDefault="00D900C3" w:rsidP="00D900C3">
      <w:pPr>
        <w:pStyle w:val="BodyText"/>
        <w:sectPr w:rsidR="00D900C3" w:rsidSect="0068481F">
          <w:headerReference w:type="default" r:id="rId10"/>
          <w:foot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4F368B" w:rsidRPr="00CC1110" w:rsidRDefault="004F368B" w:rsidP="004F368B">
      <w:pPr>
        <w:keepNext/>
        <w:spacing w:before="480"/>
        <w:jc w:val="center"/>
        <w:rPr>
          <w:rFonts w:ascii="Arial" w:hAnsi="Arial"/>
          <w:b/>
        </w:rPr>
      </w:pPr>
      <w:r w:rsidRPr="00CC1110">
        <w:rPr>
          <w:rFonts w:ascii="Arial" w:hAnsi="Arial"/>
          <w:b/>
        </w:rPr>
        <w:lastRenderedPageBreak/>
        <w:t>Table 3-1</w:t>
      </w:r>
    </w:p>
    <w:p w:rsidR="004F368B" w:rsidRPr="00CC1110" w:rsidRDefault="004F368B" w:rsidP="004F368B">
      <w:pPr>
        <w:keepNext/>
        <w:jc w:val="center"/>
        <w:rPr>
          <w:rFonts w:ascii="Arial" w:hAnsi="Arial"/>
          <w:b/>
        </w:rPr>
      </w:pPr>
      <w:r w:rsidRPr="00CC1110">
        <w:rPr>
          <w:rFonts w:ascii="Arial" w:hAnsi="Arial"/>
          <w:b/>
        </w:rPr>
        <w:t>Service Availability Charges</w:t>
      </w:r>
    </w:p>
    <w:tbl>
      <w:tblPr>
        <w:tblStyle w:val="TableGrid16"/>
        <w:tblW w:w="0" w:type="auto"/>
        <w:jc w:val="center"/>
        <w:tblLayout w:type="fixed"/>
        <w:tblLook w:val="04A0" w:firstRow="1" w:lastRow="0" w:firstColumn="1" w:lastColumn="0" w:noHBand="0" w:noVBand="1"/>
      </w:tblPr>
      <w:tblGrid>
        <w:gridCol w:w="4428"/>
        <w:gridCol w:w="1170"/>
        <w:gridCol w:w="1350"/>
        <w:gridCol w:w="1260"/>
        <w:gridCol w:w="1368"/>
      </w:tblGrid>
      <w:tr w:rsidR="004F368B" w:rsidRPr="00CC1110" w:rsidTr="003676E2">
        <w:trPr>
          <w:trHeight w:val="354"/>
          <w:jc w:val="center"/>
        </w:trPr>
        <w:tc>
          <w:tcPr>
            <w:tcW w:w="4428" w:type="dxa"/>
          </w:tcPr>
          <w:p w:rsidR="004F368B" w:rsidRPr="00CC1110" w:rsidRDefault="004F368B" w:rsidP="003676E2"/>
        </w:tc>
        <w:tc>
          <w:tcPr>
            <w:tcW w:w="2520" w:type="dxa"/>
            <w:gridSpan w:val="2"/>
          </w:tcPr>
          <w:p w:rsidR="004F368B" w:rsidRPr="00CC1110" w:rsidRDefault="004F368B" w:rsidP="003676E2">
            <w:pPr>
              <w:jc w:val="center"/>
            </w:pPr>
            <w:r w:rsidRPr="00CC1110">
              <w:t>Utility Proposed</w:t>
            </w:r>
          </w:p>
        </w:tc>
        <w:tc>
          <w:tcPr>
            <w:tcW w:w="2628" w:type="dxa"/>
            <w:gridSpan w:val="2"/>
          </w:tcPr>
          <w:p w:rsidR="004F368B" w:rsidRPr="00CC1110" w:rsidRDefault="004F368B" w:rsidP="003676E2">
            <w:pPr>
              <w:jc w:val="center"/>
            </w:pPr>
            <w:r w:rsidRPr="00CC1110">
              <w:t>Staff Recommended</w:t>
            </w:r>
          </w:p>
        </w:tc>
      </w:tr>
      <w:tr w:rsidR="004F368B" w:rsidRPr="00CC1110" w:rsidTr="003676E2">
        <w:trPr>
          <w:trHeight w:val="354"/>
          <w:jc w:val="center"/>
        </w:trPr>
        <w:tc>
          <w:tcPr>
            <w:tcW w:w="4428" w:type="dxa"/>
          </w:tcPr>
          <w:p w:rsidR="004F368B" w:rsidRPr="00CC1110" w:rsidRDefault="004F368B" w:rsidP="003676E2">
            <w:r w:rsidRPr="00CC1110">
              <w:t>Charge</w:t>
            </w:r>
          </w:p>
        </w:tc>
        <w:tc>
          <w:tcPr>
            <w:tcW w:w="1170" w:type="dxa"/>
          </w:tcPr>
          <w:p w:rsidR="004F368B" w:rsidRPr="00CC1110" w:rsidRDefault="004F368B" w:rsidP="003676E2">
            <w:pPr>
              <w:jc w:val="right"/>
            </w:pPr>
            <w:r w:rsidRPr="00CC1110">
              <w:t>Water</w:t>
            </w:r>
          </w:p>
        </w:tc>
        <w:tc>
          <w:tcPr>
            <w:tcW w:w="1350" w:type="dxa"/>
          </w:tcPr>
          <w:p w:rsidR="004F368B" w:rsidRPr="00CC1110" w:rsidRDefault="004F368B" w:rsidP="003676E2">
            <w:pPr>
              <w:jc w:val="right"/>
            </w:pPr>
            <w:r w:rsidRPr="00CC1110">
              <w:t>Wastewater</w:t>
            </w:r>
          </w:p>
        </w:tc>
        <w:tc>
          <w:tcPr>
            <w:tcW w:w="1260" w:type="dxa"/>
          </w:tcPr>
          <w:p w:rsidR="004F368B" w:rsidRPr="00CC1110" w:rsidRDefault="004F368B" w:rsidP="003676E2">
            <w:pPr>
              <w:jc w:val="right"/>
            </w:pPr>
            <w:r w:rsidRPr="00CC1110">
              <w:t>Water</w:t>
            </w:r>
          </w:p>
        </w:tc>
        <w:tc>
          <w:tcPr>
            <w:tcW w:w="1368" w:type="dxa"/>
          </w:tcPr>
          <w:p w:rsidR="004F368B" w:rsidRPr="00CC1110" w:rsidRDefault="004F368B" w:rsidP="003676E2">
            <w:pPr>
              <w:jc w:val="right"/>
            </w:pPr>
            <w:r w:rsidRPr="00CC1110">
              <w:t>Wastewater</w:t>
            </w:r>
          </w:p>
        </w:tc>
      </w:tr>
      <w:tr w:rsidR="004F368B" w:rsidRPr="00CC1110" w:rsidTr="003676E2">
        <w:trPr>
          <w:trHeight w:val="354"/>
          <w:jc w:val="center"/>
        </w:trPr>
        <w:tc>
          <w:tcPr>
            <w:tcW w:w="4428" w:type="dxa"/>
          </w:tcPr>
          <w:p w:rsidR="004F368B" w:rsidRPr="00CC1110" w:rsidRDefault="004F368B" w:rsidP="003676E2">
            <w:r w:rsidRPr="00CC1110">
              <w:t>Meter Installation Charge</w:t>
            </w:r>
          </w:p>
        </w:tc>
        <w:tc>
          <w:tcPr>
            <w:tcW w:w="1170" w:type="dxa"/>
          </w:tcPr>
          <w:p w:rsidR="004F368B" w:rsidRPr="00CC1110" w:rsidRDefault="004F368B" w:rsidP="003676E2">
            <w:pPr>
              <w:jc w:val="right"/>
            </w:pPr>
            <w:r w:rsidRPr="00CC1110">
              <w:t>$571.50</w:t>
            </w:r>
          </w:p>
        </w:tc>
        <w:tc>
          <w:tcPr>
            <w:tcW w:w="1350" w:type="dxa"/>
          </w:tcPr>
          <w:p w:rsidR="004F368B" w:rsidRPr="00CC1110" w:rsidRDefault="004F368B" w:rsidP="003676E2">
            <w:pPr>
              <w:jc w:val="right"/>
            </w:pPr>
            <w:r w:rsidRPr="00CC1110">
              <w:t>N/A</w:t>
            </w:r>
          </w:p>
        </w:tc>
        <w:tc>
          <w:tcPr>
            <w:tcW w:w="1260" w:type="dxa"/>
          </w:tcPr>
          <w:p w:rsidR="004F368B" w:rsidRPr="00CC1110" w:rsidRDefault="004F368B" w:rsidP="003676E2">
            <w:pPr>
              <w:jc w:val="right"/>
            </w:pPr>
            <w:r w:rsidRPr="00CC1110">
              <w:t>$571.50</w:t>
            </w:r>
          </w:p>
        </w:tc>
        <w:tc>
          <w:tcPr>
            <w:tcW w:w="1368" w:type="dxa"/>
          </w:tcPr>
          <w:p w:rsidR="004F368B" w:rsidRPr="00CC1110" w:rsidRDefault="004F368B" w:rsidP="003676E2">
            <w:pPr>
              <w:jc w:val="right"/>
            </w:pPr>
            <w:r w:rsidRPr="00CC1110">
              <w:t>N/A</w:t>
            </w:r>
          </w:p>
        </w:tc>
      </w:tr>
      <w:tr w:rsidR="004F368B" w:rsidRPr="00CC1110" w:rsidTr="003676E2">
        <w:trPr>
          <w:trHeight w:val="354"/>
          <w:jc w:val="center"/>
        </w:trPr>
        <w:tc>
          <w:tcPr>
            <w:tcW w:w="4428" w:type="dxa"/>
          </w:tcPr>
          <w:p w:rsidR="004F368B" w:rsidRPr="00CC1110" w:rsidRDefault="004F368B" w:rsidP="003676E2">
            <w:r w:rsidRPr="00CC1110">
              <w:t>Main Extension Charge – Gibson only</w:t>
            </w:r>
          </w:p>
          <w:p w:rsidR="004F368B" w:rsidRPr="00CC1110" w:rsidRDefault="004F368B" w:rsidP="003676E2">
            <w:r w:rsidRPr="00CC1110">
              <w:t xml:space="preserve">ERC =80 </w:t>
            </w:r>
            <w:proofErr w:type="spellStart"/>
            <w:r w:rsidRPr="00CC1110">
              <w:t>gpd</w:t>
            </w:r>
            <w:proofErr w:type="spellEnd"/>
          </w:p>
        </w:tc>
        <w:tc>
          <w:tcPr>
            <w:tcW w:w="1170" w:type="dxa"/>
          </w:tcPr>
          <w:p w:rsidR="004F368B" w:rsidRPr="00CC1110" w:rsidRDefault="004F368B" w:rsidP="003676E2">
            <w:pPr>
              <w:jc w:val="right"/>
            </w:pPr>
            <w:r w:rsidRPr="00CC1110">
              <w:t>$823</w:t>
            </w:r>
          </w:p>
        </w:tc>
        <w:tc>
          <w:tcPr>
            <w:tcW w:w="1350" w:type="dxa"/>
          </w:tcPr>
          <w:p w:rsidR="004F368B" w:rsidRPr="00CC1110" w:rsidRDefault="004F368B" w:rsidP="003676E2">
            <w:pPr>
              <w:jc w:val="right"/>
            </w:pPr>
            <w:r w:rsidRPr="00CC1110">
              <w:t>$1,130</w:t>
            </w:r>
          </w:p>
        </w:tc>
        <w:tc>
          <w:tcPr>
            <w:tcW w:w="1260" w:type="dxa"/>
          </w:tcPr>
          <w:p w:rsidR="004F368B" w:rsidRPr="00CC1110" w:rsidRDefault="004F368B" w:rsidP="003676E2">
            <w:pPr>
              <w:jc w:val="right"/>
            </w:pPr>
            <w:r w:rsidRPr="00CC1110">
              <w:t>$823</w:t>
            </w:r>
          </w:p>
        </w:tc>
        <w:tc>
          <w:tcPr>
            <w:tcW w:w="1368" w:type="dxa"/>
          </w:tcPr>
          <w:p w:rsidR="004F368B" w:rsidRPr="00CC1110" w:rsidRDefault="004F368B" w:rsidP="003676E2">
            <w:pPr>
              <w:jc w:val="right"/>
            </w:pPr>
            <w:r w:rsidRPr="00CC1110">
              <w:t>$1,131</w:t>
            </w:r>
          </w:p>
        </w:tc>
      </w:tr>
      <w:tr w:rsidR="004F368B" w:rsidRPr="00CC1110" w:rsidTr="003676E2">
        <w:trPr>
          <w:trHeight w:val="354"/>
          <w:jc w:val="center"/>
        </w:trPr>
        <w:tc>
          <w:tcPr>
            <w:tcW w:w="4428" w:type="dxa"/>
          </w:tcPr>
          <w:p w:rsidR="004F368B" w:rsidRPr="00CC1110" w:rsidRDefault="004F368B" w:rsidP="003676E2">
            <w:r w:rsidRPr="00CC1110">
              <w:t xml:space="preserve">Plant Capacity Charge – Gibson </w:t>
            </w:r>
          </w:p>
          <w:p w:rsidR="004F368B" w:rsidRPr="00CC1110" w:rsidRDefault="004F368B" w:rsidP="003676E2">
            <w:r w:rsidRPr="00CC1110">
              <w:t xml:space="preserve">ERC = 80 </w:t>
            </w:r>
            <w:proofErr w:type="spellStart"/>
            <w:r w:rsidRPr="00CC1110">
              <w:t>gpd</w:t>
            </w:r>
            <w:proofErr w:type="spellEnd"/>
          </w:p>
        </w:tc>
        <w:tc>
          <w:tcPr>
            <w:tcW w:w="1170" w:type="dxa"/>
          </w:tcPr>
          <w:p w:rsidR="004F368B" w:rsidRPr="00CC1110" w:rsidRDefault="004F368B" w:rsidP="003676E2">
            <w:pPr>
              <w:jc w:val="right"/>
            </w:pPr>
            <w:r w:rsidRPr="00CC1110">
              <w:t>$928</w:t>
            </w:r>
          </w:p>
        </w:tc>
        <w:tc>
          <w:tcPr>
            <w:tcW w:w="1350" w:type="dxa"/>
          </w:tcPr>
          <w:p w:rsidR="004F368B" w:rsidRPr="00CC1110" w:rsidRDefault="004F368B" w:rsidP="003676E2">
            <w:pPr>
              <w:jc w:val="right"/>
            </w:pPr>
            <w:r w:rsidRPr="00CC1110">
              <w:t>$2,737</w:t>
            </w:r>
          </w:p>
        </w:tc>
        <w:tc>
          <w:tcPr>
            <w:tcW w:w="1260" w:type="dxa"/>
          </w:tcPr>
          <w:p w:rsidR="004F368B" w:rsidRPr="00CC1110" w:rsidRDefault="004F368B" w:rsidP="003676E2">
            <w:pPr>
              <w:jc w:val="right"/>
            </w:pPr>
            <w:r w:rsidRPr="00CC1110">
              <w:t>$401</w:t>
            </w:r>
          </w:p>
        </w:tc>
        <w:tc>
          <w:tcPr>
            <w:tcW w:w="1368" w:type="dxa"/>
          </w:tcPr>
          <w:p w:rsidR="004F368B" w:rsidRPr="00CC1110" w:rsidRDefault="004F368B" w:rsidP="003676E2">
            <w:pPr>
              <w:jc w:val="right"/>
            </w:pPr>
            <w:r w:rsidRPr="00CC1110">
              <w:t>$1,183</w:t>
            </w:r>
          </w:p>
        </w:tc>
      </w:tr>
      <w:tr w:rsidR="004F368B" w:rsidRPr="00CC1110" w:rsidTr="003676E2">
        <w:trPr>
          <w:trHeight w:val="354"/>
          <w:jc w:val="center"/>
        </w:trPr>
        <w:tc>
          <w:tcPr>
            <w:tcW w:w="4428" w:type="dxa"/>
          </w:tcPr>
          <w:p w:rsidR="004F368B" w:rsidRPr="00CC1110" w:rsidRDefault="004F368B" w:rsidP="003676E2">
            <w:r w:rsidRPr="00CC1110">
              <w:t>Plant Capacity Charge - Middleton</w:t>
            </w:r>
          </w:p>
          <w:p w:rsidR="004F368B" w:rsidRPr="00CC1110" w:rsidRDefault="004F368B" w:rsidP="003676E2">
            <w:r w:rsidRPr="00CC1110">
              <w:t xml:space="preserve">ERC = 225 </w:t>
            </w:r>
            <w:proofErr w:type="spellStart"/>
            <w:r w:rsidRPr="00CC1110">
              <w:t>gpd</w:t>
            </w:r>
            <w:proofErr w:type="spellEnd"/>
          </w:p>
        </w:tc>
        <w:tc>
          <w:tcPr>
            <w:tcW w:w="1170" w:type="dxa"/>
          </w:tcPr>
          <w:p w:rsidR="004F368B" w:rsidRPr="00CC1110" w:rsidRDefault="004F368B" w:rsidP="003676E2">
            <w:pPr>
              <w:jc w:val="right"/>
            </w:pPr>
            <w:r w:rsidRPr="00CC1110">
              <w:t>N/A</w:t>
            </w:r>
          </w:p>
        </w:tc>
        <w:tc>
          <w:tcPr>
            <w:tcW w:w="1350" w:type="dxa"/>
          </w:tcPr>
          <w:p w:rsidR="004F368B" w:rsidRPr="00CC1110" w:rsidRDefault="004F368B" w:rsidP="003676E2">
            <w:pPr>
              <w:jc w:val="right"/>
            </w:pPr>
            <w:r w:rsidRPr="00CC1110">
              <w:t>N/A</w:t>
            </w:r>
          </w:p>
        </w:tc>
        <w:tc>
          <w:tcPr>
            <w:tcW w:w="1260" w:type="dxa"/>
          </w:tcPr>
          <w:p w:rsidR="004F368B" w:rsidRPr="00CC1110" w:rsidRDefault="004F368B" w:rsidP="003676E2">
            <w:pPr>
              <w:jc w:val="right"/>
            </w:pPr>
            <w:r w:rsidRPr="00CC1110">
              <w:t>$1,128</w:t>
            </w:r>
          </w:p>
        </w:tc>
        <w:tc>
          <w:tcPr>
            <w:tcW w:w="1368" w:type="dxa"/>
          </w:tcPr>
          <w:p w:rsidR="004F368B" w:rsidRPr="00CC1110" w:rsidRDefault="004F368B" w:rsidP="003676E2">
            <w:pPr>
              <w:jc w:val="right"/>
            </w:pPr>
            <w:r w:rsidRPr="00CC1110">
              <w:t>$3,327</w:t>
            </w:r>
          </w:p>
        </w:tc>
      </w:tr>
    </w:tbl>
    <w:p w:rsidR="004F368B" w:rsidRDefault="004F368B">
      <w:pPr>
        <w:pStyle w:val="IssueHeading"/>
        <w:rPr>
          <w:rFonts w:ascii="Times New Roman" w:hAnsi="Times New Roman" w:cs="Times New Roman"/>
          <w:b w:val="0"/>
          <w:i w:val="0"/>
          <w:sz w:val="20"/>
          <w:szCs w:val="20"/>
        </w:rPr>
      </w:pPr>
      <w:r w:rsidRPr="004F368B">
        <w:rPr>
          <w:rFonts w:ascii="Times New Roman" w:hAnsi="Times New Roman" w:cs="Times New Roman"/>
          <w:b w:val="0"/>
          <w:i w:val="0"/>
          <w:sz w:val="20"/>
          <w:szCs w:val="20"/>
        </w:rPr>
        <w:t>Source: Utility’s Cost Justification and Staff Calculations</w:t>
      </w:r>
    </w:p>
    <w:p w:rsidR="004F368B" w:rsidRDefault="004F368B" w:rsidP="004F368B">
      <w:pPr>
        <w:pStyle w:val="BodyText"/>
      </w:pPr>
      <w:r w:rsidRPr="00CC1110">
        <w:t xml:space="preserve">Based on the above, the appropriate service availability charges are a meter installation charge of $571.50 for the residential 5/8″ x 3/4″ meter size and actual cost for all other residential and general service meter sizes. The main extension charge of $823 per ERC and plant capacity charge of $401 per ERC for the Utility’s water system should be approved. Additionally, a main extension charge of $1,131 per ERC and a plant capacity charge of $1,183 per ERC for the Utility’s wastewater system should be approved. The recommended main extension and plant capacity charges should be based on an estimated 80 </w:t>
      </w:r>
      <w:proofErr w:type="spellStart"/>
      <w:r w:rsidRPr="00CC1110">
        <w:t>gpd</w:t>
      </w:r>
      <w:proofErr w:type="spellEnd"/>
      <w:r w:rsidRPr="00CC1110">
        <w:t xml:space="preserve"> of water demand. The approved charges should be effective for connections made on or after the stamped approval date on the tariff pursuant to Rule 25-30.475, F.A.C. The Utility should be required to charge the approved charges until authorized to change them by the Commission in a subsequent proceeding.</w:t>
      </w:r>
    </w:p>
    <w:p w:rsidR="001C26CD" w:rsidRPr="00B5517E" w:rsidRDefault="001C26CD" w:rsidP="001C26CD">
      <w:pPr>
        <w:pStyle w:val="BodyText"/>
        <w:spacing w:after="0"/>
        <w:rPr>
          <w:rFonts w:ascii="Arial" w:hAnsi="Arial" w:cs="Arial"/>
          <w:b/>
        </w:rPr>
      </w:pPr>
      <w:r w:rsidRPr="00B5517E">
        <w:rPr>
          <w:rFonts w:ascii="Arial" w:hAnsi="Arial" w:cs="Arial"/>
          <w:b/>
        </w:rPr>
        <w:t>Conclusion</w:t>
      </w:r>
    </w:p>
    <w:p w:rsidR="001C26CD" w:rsidRPr="00105324" w:rsidRDefault="001C26CD" w:rsidP="001C26CD">
      <w:pPr>
        <w:jc w:val="both"/>
      </w:pPr>
      <w:r w:rsidRPr="00CC1110">
        <w:t>Based on the above, the appropriate service availability charges are a meter installation charge of $571.50 for the residential 5/8″ x 3/4″ meter size and actual cost for all other residential and general service meter sizes. The main extension charge of $823 per ERC and plant capacity charge of $401 per ERC for the Utility’s water system should be approved. Additionally, staff recommends Gibson</w:t>
      </w:r>
      <w:r>
        <w:t>’s</w:t>
      </w:r>
      <w:r w:rsidRPr="00CC1110">
        <w:t xml:space="preserve"> plant capacity charges </w:t>
      </w:r>
      <w:r>
        <w:t>should be</w:t>
      </w:r>
      <w:r w:rsidRPr="00CC1110">
        <w:t xml:space="preserve"> $401 for water and $1,183 for wastewater. For Middleton, Gibson’s plant capacity charges should be multiplied by 2.8125 resulting in plant capacity charges of $1,128 for water and $3,327 for</w:t>
      </w:r>
      <w:r>
        <w:t xml:space="preserve"> </w:t>
      </w:r>
      <w:r w:rsidRPr="00CC1110">
        <w:t>wastewater.</w:t>
      </w:r>
      <w:r>
        <w:t xml:space="preserve"> T</w:t>
      </w:r>
      <w:r w:rsidRPr="00CC1110">
        <w:t xml:space="preserve">he recommended main extension and plant capacity charges should be based on an estimated 80 </w:t>
      </w:r>
      <w:proofErr w:type="spellStart"/>
      <w:r w:rsidRPr="00CC1110">
        <w:t>gpd</w:t>
      </w:r>
      <w:proofErr w:type="spellEnd"/>
      <w:r w:rsidRPr="00CC1110">
        <w:t xml:space="preserve"> of water demand. The approved charges should be effective for connections made on or after the stamped approval date on the tariff pursuant to Rule 25-30.475, F.A.C. The Utility should be required to charge the approved charges until authorized to change them by the Commission in a subsequent proceeding.</w:t>
      </w:r>
    </w:p>
    <w:p w:rsidR="001C26CD" w:rsidRPr="004F368B" w:rsidRDefault="001C26CD" w:rsidP="004F368B">
      <w:pPr>
        <w:pStyle w:val="BodyText"/>
      </w:pPr>
    </w:p>
    <w:p w:rsidR="00424083" w:rsidRDefault="00424083">
      <w:pPr>
        <w:pStyle w:val="IssueHeading"/>
        <w:rPr>
          <w:vanish/>
          <w:specVanish/>
        </w:rPr>
      </w:pPr>
      <w:r w:rsidRPr="004C3641">
        <w:rPr>
          <w:b w:val="0"/>
          <w:i w:val="0"/>
        </w:rPr>
        <w:br w:type="page"/>
      </w:r>
      <w:r w:rsidRPr="004C3641">
        <w:lastRenderedPageBreak/>
        <w:t xml:space="preserve">Issue </w:t>
      </w:r>
      <w:fldSimple w:instr=" SEQ Issue \* MERGEFORMAT ">
        <w:r w:rsidR="008C2C9B">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sidR="008C2C9B">
        <w:rPr>
          <w:noProof/>
        </w:rPr>
        <w:instrText>4</w:instrText>
      </w:r>
      <w:r>
        <w:fldChar w:fldCharType="end"/>
      </w:r>
      <w:r>
        <w:tab/>
        <w:instrText xml:space="preserve">" \l 1 </w:instrText>
      </w:r>
      <w:r>
        <w:fldChar w:fldCharType="end"/>
      </w:r>
      <w:r>
        <w:t> </w:t>
      </w:r>
    </w:p>
    <w:p w:rsidR="00424083" w:rsidRDefault="00424083">
      <w:pPr>
        <w:pStyle w:val="BodyText"/>
      </w:pPr>
      <w:r>
        <w:t> Should this docket be closed?</w:t>
      </w:r>
    </w:p>
    <w:p w:rsidR="00424083" w:rsidRPr="004C3641" w:rsidRDefault="00424083">
      <w:pPr>
        <w:pStyle w:val="IssueSubsectionHeading"/>
        <w:rPr>
          <w:vanish/>
          <w:specVanish/>
        </w:rPr>
      </w:pPr>
      <w:r w:rsidRPr="004C3641">
        <w:t>Recommendation: </w:t>
      </w:r>
    </w:p>
    <w:p w:rsidR="00424083" w:rsidRDefault="00424083">
      <w:pPr>
        <w:pStyle w:val="BodyText"/>
      </w:pPr>
      <w:r>
        <w:t> </w:t>
      </w:r>
      <w:r w:rsidR="00D615A9">
        <w:t>N</w:t>
      </w:r>
      <w:r w:rsidR="00D615A9" w:rsidRPr="00545B68">
        <w:t>o. 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Utility and approved by staff. Once these actions are complete, this docket should be closed administratively. (Stiller)</w:t>
      </w:r>
      <w:r>
        <w:t xml:space="preserve"> </w:t>
      </w:r>
    </w:p>
    <w:p w:rsidR="00424083" w:rsidRPr="004C3641" w:rsidRDefault="00424083">
      <w:pPr>
        <w:pStyle w:val="IssueSubsectionHeading"/>
        <w:rPr>
          <w:vanish/>
          <w:specVanish/>
        </w:rPr>
      </w:pPr>
      <w:r w:rsidRPr="004C3641">
        <w:t>Staff Analysis: </w:t>
      </w:r>
    </w:p>
    <w:p w:rsidR="00424083" w:rsidRDefault="00424083">
      <w:pPr>
        <w:pStyle w:val="BodyText"/>
        <w:rPr>
          <w:bCs/>
          <w:iCs/>
        </w:rPr>
      </w:pPr>
      <w:r>
        <w:t> </w:t>
      </w:r>
      <w:r w:rsidR="00D615A9" w:rsidRPr="007C494A">
        <w:rPr>
          <w:bCs/>
          <w:iCs/>
        </w:rPr>
        <w:t>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Utility and approved by staff. Once these actions are complete, this docket should be closed administratively.</w:t>
      </w:r>
    </w:p>
    <w:p w:rsidR="00C00588" w:rsidRDefault="00C00588">
      <w:pPr>
        <w:pStyle w:val="BodyText"/>
        <w:rPr>
          <w:bCs/>
          <w:iCs/>
        </w:rPr>
      </w:pPr>
    </w:p>
    <w:p w:rsidR="00C00588" w:rsidRDefault="00C00588">
      <w:pPr>
        <w:pStyle w:val="BodyText"/>
      </w:pPr>
    </w:p>
    <w:p w:rsidR="00853898" w:rsidRDefault="00853898" w:rsidP="00E275D8">
      <w:pPr>
        <w:pStyle w:val="BodyText"/>
        <w:sectPr w:rsidR="00853898" w:rsidSect="0068481F">
          <w:pgSz w:w="12240" w:h="15840" w:code="1"/>
          <w:pgMar w:top="1584" w:right="1440" w:bottom="1440" w:left="1440" w:header="720" w:footer="720" w:gutter="0"/>
          <w:cols w:space="720"/>
          <w:formProt w:val="0"/>
          <w:docGrid w:linePitch="360"/>
        </w:sectPr>
      </w:pPr>
    </w:p>
    <w:tbl>
      <w:tblPr>
        <w:tblW w:w="8854" w:type="dxa"/>
        <w:jc w:val="center"/>
        <w:tblLook w:val="04A0" w:firstRow="1" w:lastRow="0" w:firstColumn="1" w:lastColumn="0" w:noHBand="0" w:noVBand="1"/>
      </w:tblPr>
      <w:tblGrid>
        <w:gridCol w:w="336"/>
        <w:gridCol w:w="3754"/>
        <w:gridCol w:w="1596"/>
        <w:gridCol w:w="1471"/>
        <w:gridCol w:w="1697"/>
      </w:tblGrid>
      <w:tr w:rsidR="00C00588" w:rsidRPr="008E593B" w:rsidTr="00D30927">
        <w:trPr>
          <w:trHeight w:val="300"/>
          <w:jc w:val="center"/>
        </w:trPr>
        <w:tc>
          <w:tcPr>
            <w:tcW w:w="4090" w:type="dxa"/>
            <w:gridSpan w:val="2"/>
            <w:tcBorders>
              <w:top w:val="single" w:sz="4" w:space="0" w:color="auto"/>
              <w:left w:val="single" w:sz="4" w:space="0" w:color="auto"/>
              <w:bottom w:val="nil"/>
              <w:right w:val="nil"/>
            </w:tcBorders>
            <w:shd w:val="clear" w:color="000000" w:fill="FFFFFF"/>
            <w:noWrap/>
            <w:vAlign w:val="bottom"/>
            <w:hideMark/>
          </w:tcPr>
          <w:p w:rsidR="00C00588" w:rsidRPr="008E593B" w:rsidRDefault="00C00588" w:rsidP="00C00588">
            <w:pPr>
              <w:rPr>
                <w:rFonts w:ascii="Arial" w:hAnsi="Arial" w:cs="Arial"/>
                <w:b/>
                <w:bCs/>
              </w:rPr>
            </w:pPr>
            <w:r w:rsidRPr="008E593B">
              <w:rPr>
                <w:rFonts w:ascii="Arial" w:hAnsi="Arial" w:cs="Arial"/>
                <w:b/>
                <w:bCs/>
              </w:rPr>
              <w:lastRenderedPageBreak/>
              <w:t>Gibson Place Utilities, LLC</w:t>
            </w:r>
          </w:p>
        </w:tc>
        <w:tc>
          <w:tcPr>
            <w:tcW w:w="1596" w:type="dxa"/>
            <w:tcBorders>
              <w:top w:val="single" w:sz="4" w:space="0" w:color="auto"/>
              <w:left w:val="nil"/>
              <w:bottom w:val="nil"/>
              <w:right w:val="nil"/>
            </w:tcBorders>
            <w:shd w:val="clear" w:color="000000" w:fill="FFFFFF"/>
            <w:noWrap/>
            <w:vAlign w:val="bottom"/>
            <w:hideMark/>
          </w:tcPr>
          <w:p w:rsidR="00C00588" w:rsidRPr="008E593B" w:rsidRDefault="00C00588" w:rsidP="00C00588">
            <w:pPr>
              <w:rPr>
                <w:rFonts w:ascii="Arial" w:hAnsi="Arial" w:cs="Arial"/>
                <w:b/>
                <w:bCs/>
                <w:color w:val="000000"/>
              </w:rPr>
            </w:pPr>
            <w:r w:rsidRPr="008E593B">
              <w:rPr>
                <w:rFonts w:ascii="Arial" w:hAnsi="Arial" w:cs="Arial"/>
                <w:b/>
                <w:bCs/>
                <w:color w:val="000000"/>
              </w:rPr>
              <w:t> </w:t>
            </w:r>
          </w:p>
        </w:tc>
        <w:tc>
          <w:tcPr>
            <w:tcW w:w="3168" w:type="dxa"/>
            <w:gridSpan w:val="2"/>
            <w:tcBorders>
              <w:top w:val="single" w:sz="4" w:space="0" w:color="auto"/>
              <w:left w:val="nil"/>
              <w:bottom w:val="nil"/>
              <w:right w:val="single" w:sz="4" w:space="0" w:color="000000"/>
            </w:tcBorders>
            <w:shd w:val="clear" w:color="000000" w:fill="FFFFFF"/>
            <w:noWrap/>
            <w:vAlign w:val="bottom"/>
            <w:hideMark/>
          </w:tcPr>
          <w:p w:rsidR="00C00588" w:rsidRPr="008E593B" w:rsidRDefault="00C00588" w:rsidP="00C00588">
            <w:pPr>
              <w:jc w:val="right"/>
              <w:rPr>
                <w:rFonts w:ascii="Arial" w:hAnsi="Arial" w:cs="Arial"/>
                <w:b/>
                <w:bCs/>
              </w:rPr>
            </w:pPr>
            <w:r w:rsidRPr="008E593B">
              <w:rPr>
                <w:rFonts w:ascii="Arial" w:hAnsi="Arial" w:cs="Arial"/>
                <w:b/>
                <w:bCs/>
              </w:rPr>
              <w:t>Schedule No. 1-A</w:t>
            </w:r>
          </w:p>
        </w:tc>
      </w:tr>
      <w:tr w:rsidR="00C00588" w:rsidRPr="008E593B" w:rsidTr="00D30927">
        <w:trPr>
          <w:trHeight w:val="300"/>
          <w:jc w:val="center"/>
        </w:trPr>
        <w:tc>
          <w:tcPr>
            <w:tcW w:w="4090" w:type="dxa"/>
            <w:gridSpan w:val="2"/>
            <w:tcBorders>
              <w:top w:val="nil"/>
              <w:left w:val="single" w:sz="4" w:space="0" w:color="auto"/>
              <w:bottom w:val="nil"/>
              <w:right w:val="nil"/>
            </w:tcBorders>
            <w:shd w:val="clear" w:color="000000" w:fill="FFFFFF"/>
            <w:noWrap/>
            <w:vAlign w:val="bottom"/>
            <w:hideMark/>
          </w:tcPr>
          <w:p w:rsidR="00C00588" w:rsidRPr="008E593B" w:rsidRDefault="00C00588" w:rsidP="00C00588">
            <w:pPr>
              <w:rPr>
                <w:rFonts w:ascii="Arial" w:hAnsi="Arial" w:cs="Arial"/>
                <w:b/>
                <w:bCs/>
              </w:rPr>
            </w:pPr>
            <w:r w:rsidRPr="008E593B">
              <w:rPr>
                <w:rFonts w:ascii="Arial" w:hAnsi="Arial" w:cs="Arial"/>
                <w:b/>
                <w:bCs/>
              </w:rPr>
              <w:t>Schedule of Water Rate Base</w:t>
            </w:r>
          </w:p>
        </w:tc>
        <w:tc>
          <w:tcPr>
            <w:tcW w:w="1596" w:type="dxa"/>
            <w:tcBorders>
              <w:top w:val="nil"/>
              <w:left w:val="nil"/>
              <w:bottom w:val="nil"/>
              <w:right w:val="nil"/>
            </w:tcBorders>
            <w:shd w:val="clear" w:color="000000" w:fill="FFFFFF"/>
            <w:noWrap/>
            <w:vAlign w:val="bottom"/>
            <w:hideMark/>
          </w:tcPr>
          <w:p w:rsidR="00C00588" w:rsidRPr="008E593B" w:rsidRDefault="00C00588" w:rsidP="00C00588">
            <w:pPr>
              <w:rPr>
                <w:rFonts w:ascii="Arial" w:hAnsi="Arial" w:cs="Arial"/>
                <w:b/>
                <w:bCs/>
                <w:color w:val="000000"/>
              </w:rPr>
            </w:pPr>
            <w:r w:rsidRPr="008E593B">
              <w:rPr>
                <w:rFonts w:ascii="Arial" w:hAnsi="Arial" w:cs="Arial"/>
                <w:b/>
                <w:bCs/>
                <w:color w:val="000000"/>
              </w:rPr>
              <w:t> </w:t>
            </w:r>
          </w:p>
        </w:tc>
        <w:tc>
          <w:tcPr>
            <w:tcW w:w="3168" w:type="dxa"/>
            <w:gridSpan w:val="2"/>
            <w:tcBorders>
              <w:top w:val="nil"/>
              <w:left w:val="nil"/>
              <w:bottom w:val="nil"/>
              <w:right w:val="single" w:sz="4" w:space="0" w:color="000000"/>
            </w:tcBorders>
            <w:shd w:val="clear" w:color="000000" w:fill="FFFFFF"/>
            <w:noWrap/>
            <w:vAlign w:val="bottom"/>
            <w:hideMark/>
          </w:tcPr>
          <w:p w:rsidR="00C00588" w:rsidRPr="008E593B" w:rsidRDefault="00C00588" w:rsidP="00C00588">
            <w:pPr>
              <w:jc w:val="right"/>
              <w:rPr>
                <w:rFonts w:ascii="Arial" w:hAnsi="Arial" w:cs="Arial"/>
                <w:b/>
                <w:bCs/>
              </w:rPr>
            </w:pPr>
            <w:r w:rsidRPr="008E593B">
              <w:rPr>
                <w:rFonts w:ascii="Arial" w:hAnsi="Arial" w:cs="Arial"/>
                <w:b/>
                <w:bCs/>
              </w:rPr>
              <w:t>20200185-WS</w:t>
            </w:r>
          </w:p>
        </w:tc>
      </w:tr>
      <w:tr w:rsidR="00C00588" w:rsidRPr="008E593B" w:rsidTr="00D30927">
        <w:trPr>
          <w:trHeight w:val="300"/>
          <w:jc w:val="center"/>
        </w:trPr>
        <w:tc>
          <w:tcPr>
            <w:tcW w:w="4090" w:type="dxa"/>
            <w:gridSpan w:val="2"/>
            <w:tcBorders>
              <w:top w:val="nil"/>
              <w:left w:val="single" w:sz="4" w:space="0" w:color="auto"/>
              <w:bottom w:val="single" w:sz="4" w:space="0" w:color="auto"/>
              <w:right w:val="nil"/>
            </w:tcBorders>
            <w:shd w:val="clear" w:color="000000" w:fill="FFFFFF"/>
            <w:noWrap/>
            <w:vAlign w:val="bottom"/>
            <w:hideMark/>
          </w:tcPr>
          <w:p w:rsidR="00C00588" w:rsidRPr="008E593B" w:rsidRDefault="00C00588" w:rsidP="00C00588">
            <w:pPr>
              <w:rPr>
                <w:rFonts w:ascii="Arial" w:hAnsi="Arial" w:cs="Arial"/>
                <w:b/>
                <w:bCs/>
              </w:rPr>
            </w:pPr>
            <w:r w:rsidRPr="008E593B">
              <w:rPr>
                <w:rFonts w:ascii="Arial" w:hAnsi="Arial" w:cs="Arial"/>
                <w:b/>
                <w:bCs/>
              </w:rPr>
              <w:t>80% Design Capacity</w:t>
            </w:r>
          </w:p>
        </w:tc>
        <w:tc>
          <w:tcPr>
            <w:tcW w:w="1596" w:type="dxa"/>
            <w:tcBorders>
              <w:top w:val="nil"/>
              <w:left w:val="nil"/>
              <w:bottom w:val="nil"/>
              <w:right w:val="nil"/>
            </w:tcBorders>
            <w:shd w:val="clear" w:color="000000" w:fill="FFFFFF"/>
            <w:noWrap/>
            <w:vAlign w:val="bottom"/>
            <w:hideMark/>
          </w:tcPr>
          <w:p w:rsidR="00C00588" w:rsidRPr="008E593B" w:rsidRDefault="00C00588" w:rsidP="00C00588">
            <w:pPr>
              <w:rPr>
                <w:rFonts w:ascii="Arial" w:hAnsi="Arial" w:cs="Arial"/>
                <w:b/>
                <w:bCs/>
                <w:color w:val="000000"/>
              </w:rPr>
            </w:pPr>
            <w:r w:rsidRPr="008E593B">
              <w:rPr>
                <w:rFonts w:ascii="Arial" w:hAnsi="Arial" w:cs="Arial"/>
                <w:b/>
                <w:bCs/>
                <w:color w:val="000000"/>
              </w:rPr>
              <w:t> </w:t>
            </w:r>
          </w:p>
        </w:tc>
        <w:tc>
          <w:tcPr>
            <w:tcW w:w="1471" w:type="dxa"/>
            <w:tcBorders>
              <w:top w:val="nil"/>
              <w:left w:val="nil"/>
              <w:bottom w:val="nil"/>
              <w:right w:val="nil"/>
            </w:tcBorders>
            <w:shd w:val="clear" w:color="000000" w:fill="FFFFFF"/>
            <w:noWrap/>
            <w:vAlign w:val="bottom"/>
            <w:hideMark/>
          </w:tcPr>
          <w:p w:rsidR="00C00588" w:rsidRPr="008E593B" w:rsidRDefault="00C00588" w:rsidP="00C00588">
            <w:pPr>
              <w:rPr>
                <w:rFonts w:ascii="Arial" w:hAnsi="Arial" w:cs="Arial"/>
                <w:b/>
                <w:bCs/>
                <w:color w:val="000000"/>
              </w:rPr>
            </w:pPr>
            <w:r w:rsidRPr="008E593B">
              <w:rPr>
                <w:rFonts w:ascii="Arial" w:hAnsi="Arial" w:cs="Arial"/>
                <w:b/>
                <w:bCs/>
                <w:color w:val="000000"/>
              </w:rPr>
              <w:t> </w:t>
            </w:r>
          </w:p>
        </w:tc>
        <w:tc>
          <w:tcPr>
            <w:tcW w:w="1697" w:type="dxa"/>
            <w:tcBorders>
              <w:top w:val="nil"/>
              <w:left w:val="nil"/>
              <w:bottom w:val="nil"/>
              <w:right w:val="single" w:sz="4" w:space="0" w:color="auto"/>
            </w:tcBorders>
            <w:shd w:val="clear" w:color="000000" w:fill="FFFFFF"/>
            <w:noWrap/>
            <w:vAlign w:val="bottom"/>
            <w:hideMark/>
          </w:tcPr>
          <w:p w:rsidR="00C00588" w:rsidRPr="008E593B" w:rsidRDefault="00C00588" w:rsidP="00C00588">
            <w:pPr>
              <w:rPr>
                <w:rFonts w:ascii="Arial" w:hAnsi="Arial" w:cs="Arial"/>
                <w:b/>
                <w:bCs/>
              </w:rPr>
            </w:pPr>
            <w:r w:rsidRPr="008E593B">
              <w:rPr>
                <w:rFonts w:ascii="Arial" w:hAnsi="Arial" w:cs="Arial"/>
                <w:b/>
                <w:bCs/>
              </w:rPr>
              <w:t> </w:t>
            </w:r>
          </w:p>
        </w:tc>
      </w:tr>
      <w:tr w:rsidR="00C00588"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C00588" w:rsidRPr="008E593B" w:rsidRDefault="00C00588" w:rsidP="00C00588">
            <w:r w:rsidRPr="008E593B">
              <w:t> </w:t>
            </w:r>
          </w:p>
        </w:tc>
        <w:tc>
          <w:tcPr>
            <w:tcW w:w="3754" w:type="dxa"/>
            <w:vMerge w:val="restart"/>
            <w:tcBorders>
              <w:top w:val="nil"/>
              <w:left w:val="nil"/>
              <w:bottom w:val="single" w:sz="4" w:space="0" w:color="000000"/>
              <w:right w:val="nil"/>
            </w:tcBorders>
            <w:shd w:val="clear" w:color="000000" w:fill="FFFFFF"/>
            <w:noWrap/>
            <w:vAlign w:val="center"/>
            <w:hideMark/>
          </w:tcPr>
          <w:p w:rsidR="00C00588" w:rsidRPr="008E593B" w:rsidRDefault="00C00588" w:rsidP="00C00588">
            <w:pPr>
              <w:jc w:val="center"/>
              <w:rPr>
                <w:b/>
                <w:bCs/>
              </w:rPr>
            </w:pPr>
            <w:r w:rsidRPr="008E593B">
              <w:rPr>
                <w:b/>
                <w:bCs/>
              </w:rPr>
              <w:t>Description</w:t>
            </w:r>
          </w:p>
        </w:tc>
        <w:tc>
          <w:tcPr>
            <w:tcW w:w="1596" w:type="dxa"/>
            <w:tcBorders>
              <w:top w:val="single" w:sz="4" w:space="0" w:color="auto"/>
              <w:left w:val="nil"/>
              <w:bottom w:val="nil"/>
              <w:right w:val="nil"/>
            </w:tcBorders>
            <w:shd w:val="clear" w:color="000000" w:fill="FFFFFF"/>
            <w:noWrap/>
            <w:vAlign w:val="bottom"/>
            <w:hideMark/>
          </w:tcPr>
          <w:p w:rsidR="00C00588" w:rsidRPr="008E593B" w:rsidRDefault="00C00588" w:rsidP="00C00588">
            <w:pPr>
              <w:jc w:val="center"/>
              <w:rPr>
                <w:b/>
                <w:bCs/>
              </w:rPr>
            </w:pPr>
            <w:r w:rsidRPr="008E593B">
              <w:rPr>
                <w:b/>
                <w:bCs/>
              </w:rPr>
              <w:t>Test Year</w:t>
            </w:r>
          </w:p>
        </w:tc>
        <w:tc>
          <w:tcPr>
            <w:tcW w:w="1471" w:type="dxa"/>
            <w:tcBorders>
              <w:top w:val="single" w:sz="4" w:space="0" w:color="auto"/>
              <w:left w:val="nil"/>
              <w:bottom w:val="nil"/>
              <w:right w:val="nil"/>
            </w:tcBorders>
            <w:shd w:val="clear" w:color="000000" w:fill="FFFFFF"/>
            <w:noWrap/>
            <w:vAlign w:val="bottom"/>
            <w:hideMark/>
          </w:tcPr>
          <w:p w:rsidR="00C00588" w:rsidRPr="008E593B" w:rsidRDefault="00C00588" w:rsidP="00C00588">
            <w:pPr>
              <w:jc w:val="center"/>
              <w:rPr>
                <w:b/>
                <w:bCs/>
              </w:rPr>
            </w:pPr>
            <w:r w:rsidRPr="008E593B">
              <w:rPr>
                <w:b/>
                <w:bCs/>
              </w:rPr>
              <w:t>Staff</w:t>
            </w:r>
          </w:p>
        </w:tc>
        <w:tc>
          <w:tcPr>
            <w:tcW w:w="1697" w:type="dxa"/>
            <w:tcBorders>
              <w:top w:val="single" w:sz="4" w:space="0" w:color="auto"/>
              <w:left w:val="nil"/>
              <w:bottom w:val="nil"/>
              <w:right w:val="single" w:sz="4" w:space="0" w:color="auto"/>
            </w:tcBorders>
            <w:shd w:val="clear" w:color="000000" w:fill="FFFFFF"/>
            <w:noWrap/>
            <w:vAlign w:val="bottom"/>
            <w:hideMark/>
          </w:tcPr>
          <w:p w:rsidR="00C00588" w:rsidRPr="008E593B" w:rsidRDefault="00C00588" w:rsidP="00C00588">
            <w:pPr>
              <w:jc w:val="center"/>
              <w:rPr>
                <w:b/>
                <w:bCs/>
              </w:rPr>
            </w:pPr>
            <w:r w:rsidRPr="008E593B">
              <w:rPr>
                <w:b/>
                <w:bCs/>
              </w:rPr>
              <w:t>Staff</w:t>
            </w:r>
          </w:p>
        </w:tc>
      </w:tr>
      <w:tr w:rsidR="00C00588"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C00588" w:rsidRPr="008E593B" w:rsidRDefault="00C00588" w:rsidP="00C00588">
            <w:r w:rsidRPr="008E593B">
              <w:t> </w:t>
            </w:r>
          </w:p>
        </w:tc>
        <w:tc>
          <w:tcPr>
            <w:tcW w:w="3754" w:type="dxa"/>
            <w:vMerge/>
            <w:tcBorders>
              <w:top w:val="nil"/>
              <w:left w:val="nil"/>
              <w:bottom w:val="single" w:sz="4" w:space="0" w:color="000000"/>
              <w:right w:val="nil"/>
            </w:tcBorders>
            <w:vAlign w:val="center"/>
            <w:hideMark/>
          </w:tcPr>
          <w:p w:rsidR="00C00588" w:rsidRPr="008E593B" w:rsidRDefault="00C00588" w:rsidP="00C00588">
            <w:pPr>
              <w:rPr>
                <w:b/>
                <w:bCs/>
              </w:rPr>
            </w:pPr>
          </w:p>
        </w:tc>
        <w:tc>
          <w:tcPr>
            <w:tcW w:w="1596" w:type="dxa"/>
            <w:tcBorders>
              <w:top w:val="nil"/>
              <w:left w:val="nil"/>
              <w:bottom w:val="nil"/>
              <w:right w:val="nil"/>
            </w:tcBorders>
            <w:shd w:val="clear" w:color="000000" w:fill="FFFFFF"/>
            <w:noWrap/>
            <w:vAlign w:val="bottom"/>
            <w:hideMark/>
          </w:tcPr>
          <w:p w:rsidR="00C00588" w:rsidRPr="008E593B" w:rsidRDefault="00C00588" w:rsidP="00C00588">
            <w:pPr>
              <w:jc w:val="center"/>
              <w:rPr>
                <w:b/>
                <w:bCs/>
              </w:rPr>
            </w:pPr>
            <w:r w:rsidRPr="008E593B">
              <w:rPr>
                <w:b/>
                <w:bCs/>
              </w:rPr>
              <w:t>Per</w:t>
            </w:r>
          </w:p>
        </w:tc>
        <w:tc>
          <w:tcPr>
            <w:tcW w:w="1471" w:type="dxa"/>
            <w:tcBorders>
              <w:top w:val="nil"/>
              <w:left w:val="nil"/>
              <w:bottom w:val="nil"/>
              <w:right w:val="nil"/>
            </w:tcBorders>
            <w:shd w:val="clear" w:color="000000" w:fill="FFFFFF"/>
            <w:noWrap/>
            <w:vAlign w:val="bottom"/>
            <w:hideMark/>
          </w:tcPr>
          <w:p w:rsidR="00C00588" w:rsidRPr="008E593B" w:rsidRDefault="00C00588" w:rsidP="00C00588">
            <w:pPr>
              <w:jc w:val="center"/>
              <w:rPr>
                <w:b/>
                <w:bCs/>
              </w:rPr>
            </w:pPr>
            <w:r w:rsidRPr="008E593B">
              <w:rPr>
                <w:b/>
                <w:bCs/>
              </w:rPr>
              <w:t>Adjust-</w:t>
            </w:r>
          </w:p>
        </w:tc>
        <w:tc>
          <w:tcPr>
            <w:tcW w:w="1697" w:type="dxa"/>
            <w:tcBorders>
              <w:top w:val="nil"/>
              <w:left w:val="nil"/>
              <w:bottom w:val="nil"/>
              <w:right w:val="single" w:sz="4" w:space="0" w:color="auto"/>
            </w:tcBorders>
            <w:shd w:val="clear" w:color="000000" w:fill="FFFFFF"/>
            <w:noWrap/>
            <w:vAlign w:val="bottom"/>
            <w:hideMark/>
          </w:tcPr>
          <w:p w:rsidR="00C00588" w:rsidRPr="008E593B" w:rsidRDefault="00C00588" w:rsidP="00C00588">
            <w:pPr>
              <w:jc w:val="center"/>
              <w:rPr>
                <w:b/>
                <w:bCs/>
              </w:rPr>
            </w:pPr>
            <w:r w:rsidRPr="008E593B">
              <w:rPr>
                <w:b/>
                <w:bCs/>
              </w:rPr>
              <w:t>Adjusted</w:t>
            </w:r>
          </w:p>
        </w:tc>
      </w:tr>
      <w:tr w:rsidR="00C00588"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C00588" w:rsidRPr="008E593B" w:rsidRDefault="00C00588" w:rsidP="00C00588">
            <w:r w:rsidRPr="008E593B">
              <w:t> </w:t>
            </w:r>
          </w:p>
        </w:tc>
        <w:tc>
          <w:tcPr>
            <w:tcW w:w="3754" w:type="dxa"/>
            <w:vMerge/>
            <w:tcBorders>
              <w:top w:val="nil"/>
              <w:left w:val="nil"/>
              <w:bottom w:val="single" w:sz="4" w:space="0" w:color="000000"/>
              <w:right w:val="nil"/>
            </w:tcBorders>
            <w:vAlign w:val="center"/>
            <w:hideMark/>
          </w:tcPr>
          <w:p w:rsidR="00C00588" w:rsidRPr="008E593B" w:rsidRDefault="00C00588" w:rsidP="00C00588">
            <w:pPr>
              <w:rPr>
                <w:b/>
                <w:bCs/>
              </w:rPr>
            </w:pPr>
          </w:p>
        </w:tc>
        <w:tc>
          <w:tcPr>
            <w:tcW w:w="1596" w:type="dxa"/>
            <w:tcBorders>
              <w:top w:val="nil"/>
              <w:left w:val="nil"/>
              <w:bottom w:val="nil"/>
              <w:right w:val="nil"/>
            </w:tcBorders>
            <w:shd w:val="clear" w:color="000000" w:fill="FFFFFF"/>
            <w:noWrap/>
            <w:vAlign w:val="bottom"/>
            <w:hideMark/>
          </w:tcPr>
          <w:p w:rsidR="00C00588" w:rsidRPr="008E593B" w:rsidRDefault="00C00588" w:rsidP="00C00588">
            <w:pPr>
              <w:jc w:val="center"/>
              <w:rPr>
                <w:b/>
                <w:bCs/>
              </w:rPr>
            </w:pPr>
            <w:r w:rsidRPr="008E593B">
              <w:rPr>
                <w:b/>
                <w:bCs/>
              </w:rPr>
              <w:t>Utility</w:t>
            </w:r>
          </w:p>
        </w:tc>
        <w:tc>
          <w:tcPr>
            <w:tcW w:w="1471" w:type="dxa"/>
            <w:tcBorders>
              <w:top w:val="nil"/>
              <w:left w:val="nil"/>
              <w:bottom w:val="nil"/>
              <w:right w:val="nil"/>
            </w:tcBorders>
            <w:shd w:val="clear" w:color="000000" w:fill="FFFFFF"/>
            <w:noWrap/>
            <w:vAlign w:val="bottom"/>
            <w:hideMark/>
          </w:tcPr>
          <w:p w:rsidR="00C00588" w:rsidRPr="008E593B" w:rsidRDefault="00C00588" w:rsidP="00C00588">
            <w:pPr>
              <w:jc w:val="center"/>
              <w:rPr>
                <w:b/>
                <w:bCs/>
              </w:rPr>
            </w:pPr>
            <w:proofErr w:type="spellStart"/>
            <w:r w:rsidRPr="008E593B">
              <w:rPr>
                <w:b/>
                <w:bCs/>
              </w:rPr>
              <w:t>ments</w:t>
            </w:r>
            <w:proofErr w:type="spellEnd"/>
          </w:p>
        </w:tc>
        <w:tc>
          <w:tcPr>
            <w:tcW w:w="1697" w:type="dxa"/>
            <w:tcBorders>
              <w:top w:val="nil"/>
              <w:left w:val="nil"/>
              <w:bottom w:val="nil"/>
              <w:right w:val="single" w:sz="4" w:space="0" w:color="auto"/>
            </w:tcBorders>
            <w:shd w:val="clear" w:color="000000" w:fill="FFFFFF"/>
            <w:noWrap/>
            <w:vAlign w:val="bottom"/>
            <w:hideMark/>
          </w:tcPr>
          <w:p w:rsidR="00C00588" w:rsidRPr="008E593B" w:rsidRDefault="00C00588" w:rsidP="00C00588">
            <w:pPr>
              <w:jc w:val="center"/>
              <w:rPr>
                <w:b/>
                <w:bCs/>
              </w:rPr>
            </w:pPr>
            <w:r w:rsidRPr="008E593B">
              <w:rPr>
                <w:b/>
                <w:bCs/>
              </w:rPr>
              <w:t>Test Year</w:t>
            </w:r>
          </w:p>
        </w:tc>
      </w:tr>
      <w:tr w:rsidR="00C00588" w:rsidRPr="008E593B" w:rsidTr="00D30927">
        <w:trPr>
          <w:trHeight w:val="300"/>
          <w:jc w:val="center"/>
        </w:trPr>
        <w:tc>
          <w:tcPr>
            <w:tcW w:w="336" w:type="dxa"/>
            <w:tcBorders>
              <w:top w:val="single" w:sz="4" w:space="0" w:color="000000"/>
              <w:left w:val="single" w:sz="4" w:space="0" w:color="auto"/>
              <w:bottom w:val="nil"/>
              <w:right w:val="nil"/>
            </w:tcBorders>
            <w:shd w:val="clear" w:color="000000" w:fill="FFFFFF"/>
            <w:noWrap/>
            <w:vAlign w:val="bottom"/>
            <w:hideMark/>
          </w:tcPr>
          <w:p w:rsidR="00C00588" w:rsidRPr="008E593B" w:rsidRDefault="00C00588" w:rsidP="00C00588">
            <w:r w:rsidRPr="008E593B">
              <w:t> </w:t>
            </w:r>
          </w:p>
        </w:tc>
        <w:tc>
          <w:tcPr>
            <w:tcW w:w="3754" w:type="dxa"/>
            <w:tcBorders>
              <w:top w:val="nil"/>
              <w:left w:val="nil"/>
              <w:bottom w:val="nil"/>
              <w:right w:val="nil"/>
            </w:tcBorders>
            <w:shd w:val="clear" w:color="000000" w:fill="FFFFFF"/>
            <w:noWrap/>
            <w:vAlign w:val="bottom"/>
            <w:hideMark/>
          </w:tcPr>
          <w:p w:rsidR="00C00588" w:rsidRPr="008E593B" w:rsidRDefault="00C00588" w:rsidP="00C00588">
            <w:r w:rsidRPr="008E593B">
              <w:t> </w:t>
            </w:r>
          </w:p>
        </w:tc>
        <w:tc>
          <w:tcPr>
            <w:tcW w:w="1596" w:type="dxa"/>
            <w:tcBorders>
              <w:top w:val="single" w:sz="4" w:space="0" w:color="000000"/>
              <w:left w:val="nil"/>
              <w:bottom w:val="nil"/>
              <w:right w:val="nil"/>
            </w:tcBorders>
            <w:shd w:val="clear" w:color="000000" w:fill="FFFFFF"/>
            <w:noWrap/>
            <w:vAlign w:val="bottom"/>
            <w:hideMark/>
          </w:tcPr>
          <w:p w:rsidR="00C00588" w:rsidRPr="008E593B" w:rsidRDefault="00C00588" w:rsidP="00C00588">
            <w:r w:rsidRPr="008E593B">
              <w:t> </w:t>
            </w:r>
          </w:p>
        </w:tc>
        <w:tc>
          <w:tcPr>
            <w:tcW w:w="1471" w:type="dxa"/>
            <w:tcBorders>
              <w:top w:val="single" w:sz="4" w:space="0" w:color="000000"/>
              <w:left w:val="nil"/>
              <w:bottom w:val="nil"/>
              <w:right w:val="nil"/>
            </w:tcBorders>
            <w:shd w:val="clear" w:color="000000" w:fill="FFFFFF"/>
            <w:noWrap/>
            <w:vAlign w:val="bottom"/>
            <w:hideMark/>
          </w:tcPr>
          <w:p w:rsidR="00C00588" w:rsidRPr="008E593B" w:rsidRDefault="00C00588" w:rsidP="00C00588">
            <w:r w:rsidRPr="008E593B">
              <w:t> </w:t>
            </w:r>
          </w:p>
        </w:tc>
        <w:tc>
          <w:tcPr>
            <w:tcW w:w="1697" w:type="dxa"/>
            <w:tcBorders>
              <w:top w:val="single" w:sz="4" w:space="0" w:color="000000"/>
              <w:left w:val="nil"/>
              <w:bottom w:val="nil"/>
              <w:right w:val="single" w:sz="4" w:space="0" w:color="auto"/>
            </w:tcBorders>
            <w:shd w:val="clear" w:color="000000" w:fill="FFFFFF"/>
            <w:noWrap/>
            <w:vAlign w:val="bottom"/>
            <w:hideMark/>
          </w:tcPr>
          <w:p w:rsidR="00C00588" w:rsidRPr="008E593B" w:rsidRDefault="00C00588" w:rsidP="00C00588">
            <w:r w:rsidRPr="008E593B">
              <w:t> </w:t>
            </w:r>
          </w:p>
        </w:tc>
      </w:tr>
      <w:tr w:rsidR="00D30927"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D30927" w:rsidRPr="008E593B" w:rsidRDefault="00D30927" w:rsidP="00D30927">
            <w:pPr>
              <w:jc w:val="center"/>
            </w:pPr>
            <w:r w:rsidRPr="008E593B">
              <w:t>1</w:t>
            </w:r>
          </w:p>
        </w:tc>
        <w:tc>
          <w:tcPr>
            <w:tcW w:w="3754" w:type="dxa"/>
            <w:tcBorders>
              <w:top w:val="nil"/>
              <w:left w:val="nil"/>
              <w:bottom w:val="nil"/>
              <w:right w:val="nil"/>
            </w:tcBorders>
            <w:shd w:val="clear" w:color="000000" w:fill="FFFFFF"/>
            <w:noWrap/>
            <w:vAlign w:val="bottom"/>
            <w:hideMark/>
          </w:tcPr>
          <w:p w:rsidR="00D30927" w:rsidRPr="008E593B" w:rsidRDefault="00D30927" w:rsidP="00D30927">
            <w:r w:rsidRPr="008E593B">
              <w:t>Plant in Service</w:t>
            </w:r>
          </w:p>
        </w:tc>
        <w:tc>
          <w:tcPr>
            <w:tcW w:w="1596" w:type="dxa"/>
            <w:tcBorders>
              <w:top w:val="nil"/>
              <w:left w:val="nil"/>
              <w:bottom w:val="nil"/>
              <w:right w:val="nil"/>
            </w:tcBorders>
            <w:shd w:val="clear" w:color="000000" w:fill="FFFFFF"/>
            <w:noWrap/>
            <w:vAlign w:val="bottom"/>
            <w:hideMark/>
          </w:tcPr>
          <w:p w:rsidR="00D30927" w:rsidRPr="008E593B" w:rsidRDefault="00D30927" w:rsidP="00D30927">
            <w:pPr>
              <w:jc w:val="right"/>
            </w:pPr>
            <w:r w:rsidRPr="008E593B">
              <w:t xml:space="preserve">$47,755,289 </w:t>
            </w:r>
          </w:p>
        </w:tc>
        <w:tc>
          <w:tcPr>
            <w:tcW w:w="1471" w:type="dxa"/>
            <w:tcBorders>
              <w:top w:val="nil"/>
              <w:left w:val="nil"/>
              <w:bottom w:val="nil"/>
              <w:right w:val="nil"/>
            </w:tcBorders>
            <w:shd w:val="clear" w:color="000000" w:fill="FFFFFF"/>
            <w:noWrap/>
            <w:vAlign w:val="bottom"/>
            <w:hideMark/>
          </w:tcPr>
          <w:p w:rsidR="00D30927" w:rsidRPr="008E593B" w:rsidRDefault="00D30927" w:rsidP="00D30927">
            <w:pPr>
              <w:jc w:val="right"/>
            </w:pPr>
            <w:r>
              <w:t>$5,659,222</w:t>
            </w:r>
            <w:r w:rsidRPr="008E593B">
              <w:t xml:space="preserve"> </w:t>
            </w:r>
          </w:p>
        </w:tc>
        <w:tc>
          <w:tcPr>
            <w:tcW w:w="1697" w:type="dxa"/>
            <w:tcBorders>
              <w:top w:val="nil"/>
              <w:left w:val="nil"/>
              <w:bottom w:val="nil"/>
              <w:right w:val="single" w:sz="4" w:space="0" w:color="auto"/>
            </w:tcBorders>
            <w:shd w:val="clear" w:color="000000" w:fill="FFFFFF"/>
            <w:noWrap/>
            <w:vAlign w:val="bottom"/>
            <w:hideMark/>
          </w:tcPr>
          <w:p w:rsidR="00D30927" w:rsidRPr="008E593B" w:rsidRDefault="00D30927" w:rsidP="00D30927">
            <w:pPr>
              <w:jc w:val="right"/>
            </w:pPr>
            <w:r w:rsidRPr="008E593B">
              <w:t>$</w:t>
            </w:r>
            <w:r>
              <w:t>53,414,511</w:t>
            </w:r>
            <w:r w:rsidRPr="008E593B">
              <w:t xml:space="preserve"> </w:t>
            </w:r>
          </w:p>
        </w:tc>
      </w:tr>
      <w:tr w:rsidR="00D30927"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D30927" w:rsidRPr="008E593B" w:rsidRDefault="00D30927" w:rsidP="00D30927">
            <w:pPr>
              <w:jc w:val="center"/>
            </w:pPr>
            <w:r w:rsidRPr="008E593B">
              <w:t> </w:t>
            </w:r>
          </w:p>
        </w:tc>
        <w:tc>
          <w:tcPr>
            <w:tcW w:w="3754" w:type="dxa"/>
            <w:tcBorders>
              <w:top w:val="nil"/>
              <w:left w:val="nil"/>
              <w:bottom w:val="nil"/>
              <w:right w:val="nil"/>
            </w:tcBorders>
            <w:shd w:val="clear" w:color="000000" w:fill="FFFFFF"/>
            <w:noWrap/>
            <w:vAlign w:val="bottom"/>
            <w:hideMark/>
          </w:tcPr>
          <w:p w:rsidR="00D30927" w:rsidRPr="008E593B" w:rsidRDefault="00D30927" w:rsidP="00D30927">
            <w:pPr>
              <w:rPr>
                <w:color w:val="000000"/>
              </w:rPr>
            </w:pPr>
            <w:r w:rsidRPr="008E593B">
              <w:rPr>
                <w:color w:val="000000"/>
              </w:rPr>
              <w:t> </w:t>
            </w:r>
          </w:p>
        </w:tc>
        <w:tc>
          <w:tcPr>
            <w:tcW w:w="1596" w:type="dxa"/>
            <w:tcBorders>
              <w:top w:val="nil"/>
              <w:left w:val="nil"/>
              <w:bottom w:val="nil"/>
              <w:right w:val="nil"/>
            </w:tcBorders>
            <w:shd w:val="clear" w:color="000000" w:fill="FFFFFF"/>
            <w:noWrap/>
            <w:vAlign w:val="bottom"/>
            <w:hideMark/>
          </w:tcPr>
          <w:p w:rsidR="00D30927" w:rsidRPr="008E593B" w:rsidRDefault="00D30927" w:rsidP="00D30927">
            <w:r w:rsidRPr="008E593B">
              <w:t> </w:t>
            </w:r>
          </w:p>
        </w:tc>
        <w:tc>
          <w:tcPr>
            <w:tcW w:w="1471" w:type="dxa"/>
            <w:tcBorders>
              <w:top w:val="nil"/>
              <w:left w:val="nil"/>
              <w:bottom w:val="nil"/>
              <w:right w:val="nil"/>
            </w:tcBorders>
            <w:shd w:val="clear" w:color="000000" w:fill="FFFFFF"/>
            <w:noWrap/>
            <w:vAlign w:val="bottom"/>
            <w:hideMark/>
          </w:tcPr>
          <w:p w:rsidR="00D30927" w:rsidRPr="008E593B" w:rsidRDefault="00D30927" w:rsidP="00D30927">
            <w:r w:rsidRPr="008E593B">
              <w:t> </w:t>
            </w:r>
          </w:p>
        </w:tc>
        <w:tc>
          <w:tcPr>
            <w:tcW w:w="1697" w:type="dxa"/>
            <w:tcBorders>
              <w:top w:val="nil"/>
              <w:left w:val="nil"/>
              <w:bottom w:val="nil"/>
              <w:right w:val="single" w:sz="4" w:space="0" w:color="auto"/>
            </w:tcBorders>
            <w:shd w:val="clear" w:color="000000" w:fill="FFFFFF"/>
            <w:noWrap/>
            <w:vAlign w:val="bottom"/>
            <w:hideMark/>
          </w:tcPr>
          <w:p w:rsidR="00D30927" w:rsidRPr="008E593B" w:rsidRDefault="00D30927" w:rsidP="00D30927">
            <w:r w:rsidRPr="008E593B">
              <w:t> </w:t>
            </w:r>
          </w:p>
        </w:tc>
      </w:tr>
      <w:tr w:rsidR="00D30927"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D30927" w:rsidRPr="008E593B" w:rsidRDefault="00D30927" w:rsidP="00D30927">
            <w:pPr>
              <w:jc w:val="center"/>
            </w:pPr>
            <w:r w:rsidRPr="008E593B">
              <w:t>2</w:t>
            </w:r>
          </w:p>
        </w:tc>
        <w:tc>
          <w:tcPr>
            <w:tcW w:w="3754" w:type="dxa"/>
            <w:tcBorders>
              <w:top w:val="nil"/>
              <w:left w:val="nil"/>
              <w:bottom w:val="nil"/>
              <w:right w:val="nil"/>
            </w:tcBorders>
            <w:shd w:val="clear" w:color="000000" w:fill="FFFFFF"/>
            <w:noWrap/>
            <w:vAlign w:val="bottom"/>
            <w:hideMark/>
          </w:tcPr>
          <w:p w:rsidR="00D30927" w:rsidRPr="008E593B" w:rsidRDefault="00D30927" w:rsidP="00D30927">
            <w:r w:rsidRPr="008E593B">
              <w:t>Land and Land Rights</w:t>
            </w:r>
          </w:p>
        </w:tc>
        <w:tc>
          <w:tcPr>
            <w:tcW w:w="1596" w:type="dxa"/>
            <w:tcBorders>
              <w:top w:val="nil"/>
              <w:left w:val="nil"/>
              <w:bottom w:val="nil"/>
              <w:right w:val="nil"/>
            </w:tcBorders>
            <w:shd w:val="clear" w:color="000000" w:fill="FFFFFF"/>
            <w:noWrap/>
            <w:vAlign w:val="bottom"/>
            <w:hideMark/>
          </w:tcPr>
          <w:p w:rsidR="00D30927" w:rsidRPr="008E593B" w:rsidRDefault="00D30927" w:rsidP="00D30927">
            <w:pPr>
              <w:jc w:val="right"/>
            </w:pPr>
            <w:r w:rsidRPr="008E593B">
              <w:t xml:space="preserve">151,008 </w:t>
            </w:r>
          </w:p>
        </w:tc>
        <w:tc>
          <w:tcPr>
            <w:tcW w:w="1471" w:type="dxa"/>
            <w:tcBorders>
              <w:top w:val="nil"/>
              <w:left w:val="nil"/>
              <w:bottom w:val="nil"/>
              <w:right w:val="nil"/>
            </w:tcBorders>
            <w:shd w:val="clear" w:color="000000" w:fill="FFFFFF"/>
            <w:noWrap/>
            <w:vAlign w:val="bottom"/>
            <w:hideMark/>
          </w:tcPr>
          <w:p w:rsidR="00D30927" w:rsidRPr="008E593B" w:rsidRDefault="00D30927" w:rsidP="00D30927">
            <w:pPr>
              <w:jc w:val="right"/>
            </w:pPr>
            <w:r w:rsidRPr="008E593B">
              <w:t xml:space="preserve">0 </w:t>
            </w:r>
          </w:p>
        </w:tc>
        <w:tc>
          <w:tcPr>
            <w:tcW w:w="1697" w:type="dxa"/>
            <w:tcBorders>
              <w:top w:val="nil"/>
              <w:left w:val="nil"/>
              <w:bottom w:val="nil"/>
              <w:right w:val="single" w:sz="4" w:space="0" w:color="auto"/>
            </w:tcBorders>
            <w:shd w:val="clear" w:color="000000" w:fill="FFFFFF"/>
            <w:noWrap/>
            <w:vAlign w:val="bottom"/>
            <w:hideMark/>
          </w:tcPr>
          <w:p w:rsidR="00D30927" w:rsidRPr="008E593B" w:rsidRDefault="00D30927" w:rsidP="00D30927">
            <w:pPr>
              <w:jc w:val="right"/>
            </w:pPr>
            <w:r w:rsidRPr="008E593B">
              <w:t xml:space="preserve">151,008 </w:t>
            </w:r>
          </w:p>
        </w:tc>
      </w:tr>
      <w:tr w:rsidR="00D30927"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D30927" w:rsidRPr="008E593B" w:rsidRDefault="00D30927" w:rsidP="00D30927">
            <w:pPr>
              <w:jc w:val="center"/>
            </w:pPr>
            <w:r w:rsidRPr="008E593B">
              <w:t> </w:t>
            </w:r>
          </w:p>
        </w:tc>
        <w:tc>
          <w:tcPr>
            <w:tcW w:w="3754" w:type="dxa"/>
            <w:tcBorders>
              <w:top w:val="nil"/>
              <w:left w:val="nil"/>
              <w:bottom w:val="nil"/>
              <w:right w:val="nil"/>
            </w:tcBorders>
            <w:shd w:val="clear" w:color="000000" w:fill="FFFFFF"/>
            <w:noWrap/>
            <w:vAlign w:val="bottom"/>
            <w:hideMark/>
          </w:tcPr>
          <w:p w:rsidR="00D30927" w:rsidRPr="008E593B" w:rsidRDefault="00D30927" w:rsidP="00D30927">
            <w:pPr>
              <w:rPr>
                <w:color w:val="000000"/>
              </w:rPr>
            </w:pPr>
            <w:r w:rsidRPr="008E593B">
              <w:rPr>
                <w:color w:val="000000"/>
              </w:rPr>
              <w:t> </w:t>
            </w:r>
          </w:p>
        </w:tc>
        <w:tc>
          <w:tcPr>
            <w:tcW w:w="1596" w:type="dxa"/>
            <w:tcBorders>
              <w:top w:val="nil"/>
              <w:left w:val="nil"/>
              <w:bottom w:val="nil"/>
              <w:right w:val="nil"/>
            </w:tcBorders>
            <w:shd w:val="clear" w:color="000000" w:fill="FFFFFF"/>
            <w:noWrap/>
            <w:vAlign w:val="bottom"/>
            <w:hideMark/>
          </w:tcPr>
          <w:p w:rsidR="00D30927" w:rsidRPr="008E593B" w:rsidRDefault="00D30927" w:rsidP="00D30927">
            <w:r w:rsidRPr="008E593B">
              <w:t> </w:t>
            </w:r>
          </w:p>
        </w:tc>
        <w:tc>
          <w:tcPr>
            <w:tcW w:w="1471" w:type="dxa"/>
            <w:tcBorders>
              <w:top w:val="nil"/>
              <w:left w:val="nil"/>
              <w:bottom w:val="nil"/>
              <w:right w:val="nil"/>
            </w:tcBorders>
            <w:shd w:val="clear" w:color="000000" w:fill="FFFFFF"/>
            <w:noWrap/>
            <w:vAlign w:val="bottom"/>
            <w:hideMark/>
          </w:tcPr>
          <w:p w:rsidR="00D30927" w:rsidRPr="008E593B" w:rsidRDefault="00D30927" w:rsidP="00D30927">
            <w:r w:rsidRPr="008E593B">
              <w:t> </w:t>
            </w:r>
          </w:p>
        </w:tc>
        <w:tc>
          <w:tcPr>
            <w:tcW w:w="1697" w:type="dxa"/>
            <w:tcBorders>
              <w:top w:val="nil"/>
              <w:left w:val="nil"/>
              <w:bottom w:val="nil"/>
              <w:right w:val="single" w:sz="4" w:space="0" w:color="auto"/>
            </w:tcBorders>
            <w:shd w:val="clear" w:color="000000" w:fill="FFFFFF"/>
            <w:noWrap/>
            <w:vAlign w:val="bottom"/>
            <w:hideMark/>
          </w:tcPr>
          <w:p w:rsidR="00D30927" w:rsidRPr="008E593B" w:rsidRDefault="00D30927" w:rsidP="00D30927">
            <w:r w:rsidRPr="008E593B">
              <w:t> </w:t>
            </w:r>
          </w:p>
        </w:tc>
      </w:tr>
      <w:tr w:rsidR="00D30927"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D30927" w:rsidRPr="008E593B" w:rsidRDefault="00D30927" w:rsidP="00D30927">
            <w:pPr>
              <w:jc w:val="center"/>
            </w:pPr>
            <w:r w:rsidRPr="008E593B">
              <w:t>3</w:t>
            </w:r>
          </w:p>
        </w:tc>
        <w:tc>
          <w:tcPr>
            <w:tcW w:w="3754" w:type="dxa"/>
            <w:tcBorders>
              <w:top w:val="nil"/>
              <w:left w:val="nil"/>
              <w:bottom w:val="nil"/>
              <w:right w:val="nil"/>
            </w:tcBorders>
            <w:shd w:val="clear" w:color="000000" w:fill="FFFFFF"/>
            <w:noWrap/>
            <w:vAlign w:val="bottom"/>
            <w:hideMark/>
          </w:tcPr>
          <w:p w:rsidR="00D30927" w:rsidRPr="008E593B" w:rsidRDefault="00D30927" w:rsidP="00D30927">
            <w:r w:rsidRPr="008E593B">
              <w:t>Accumulated Depreciation</w:t>
            </w:r>
          </w:p>
        </w:tc>
        <w:tc>
          <w:tcPr>
            <w:tcW w:w="1596" w:type="dxa"/>
            <w:tcBorders>
              <w:top w:val="nil"/>
              <w:left w:val="nil"/>
              <w:bottom w:val="nil"/>
              <w:right w:val="nil"/>
            </w:tcBorders>
            <w:shd w:val="clear" w:color="000000" w:fill="FFFFFF"/>
            <w:noWrap/>
            <w:vAlign w:val="bottom"/>
            <w:hideMark/>
          </w:tcPr>
          <w:p w:rsidR="00D30927" w:rsidRPr="008E593B" w:rsidRDefault="00D30927" w:rsidP="00D30927">
            <w:pPr>
              <w:jc w:val="right"/>
            </w:pPr>
            <w:r w:rsidRPr="008E593B">
              <w:t>(3,438,665)</w:t>
            </w:r>
          </w:p>
        </w:tc>
        <w:tc>
          <w:tcPr>
            <w:tcW w:w="1471" w:type="dxa"/>
            <w:tcBorders>
              <w:top w:val="nil"/>
              <w:left w:val="nil"/>
              <w:bottom w:val="nil"/>
              <w:right w:val="nil"/>
            </w:tcBorders>
            <w:shd w:val="clear" w:color="000000" w:fill="FFFFFF"/>
            <w:noWrap/>
            <w:vAlign w:val="bottom"/>
            <w:hideMark/>
          </w:tcPr>
          <w:p w:rsidR="00D30927" w:rsidRPr="008E593B" w:rsidRDefault="00D30927" w:rsidP="00D30927">
            <w:pPr>
              <w:jc w:val="right"/>
            </w:pPr>
            <w:r>
              <w:t>(564,150)</w:t>
            </w:r>
            <w:r w:rsidRPr="008E593B">
              <w:t xml:space="preserve"> </w:t>
            </w:r>
          </w:p>
        </w:tc>
        <w:tc>
          <w:tcPr>
            <w:tcW w:w="1697" w:type="dxa"/>
            <w:tcBorders>
              <w:top w:val="nil"/>
              <w:left w:val="nil"/>
              <w:bottom w:val="nil"/>
              <w:right w:val="single" w:sz="4" w:space="0" w:color="auto"/>
            </w:tcBorders>
            <w:shd w:val="clear" w:color="000000" w:fill="FFFFFF"/>
            <w:noWrap/>
            <w:vAlign w:val="bottom"/>
            <w:hideMark/>
          </w:tcPr>
          <w:p w:rsidR="00D30927" w:rsidRPr="008E593B" w:rsidRDefault="00D30927" w:rsidP="00D30927">
            <w:pPr>
              <w:jc w:val="right"/>
            </w:pPr>
            <w:r w:rsidRPr="008E593B">
              <w:t>(</w:t>
            </w:r>
            <w:r>
              <w:t>4,002,815</w:t>
            </w:r>
            <w:r w:rsidRPr="008E593B">
              <w:t>)</w:t>
            </w:r>
          </w:p>
        </w:tc>
      </w:tr>
      <w:tr w:rsidR="00D30927"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D30927" w:rsidRPr="008E593B" w:rsidRDefault="00D30927" w:rsidP="00D30927">
            <w:pPr>
              <w:jc w:val="center"/>
            </w:pPr>
            <w:r w:rsidRPr="008E593B">
              <w:t> </w:t>
            </w:r>
          </w:p>
        </w:tc>
        <w:tc>
          <w:tcPr>
            <w:tcW w:w="3754" w:type="dxa"/>
            <w:tcBorders>
              <w:top w:val="nil"/>
              <w:left w:val="nil"/>
              <w:bottom w:val="nil"/>
              <w:right w:val="nil"/>
            </w:tcBorders>
            <w:shd w:val="clear" w:color="000000" w:fill="FFFFFF"/>
            <w:noWrap/>
            <w:vAlign w:val="bottom"/>
            <w:hideMark/>
          </w:tcPr>
          <w:p w:rsidR="00D30927" w:rsidRPr="008E593B" w:rsidRDefault="00D30927" w:rsidP="00D30927">
            <w:pPr>
              <w:rPr>
                <w:color w:val="000000"/>
              </w:rPr>
            </w:pPr>
            <w:r w:rsidRPr="008E593B">
              <w:rPr>
                <w:color w:val="000000"/>
              </w:rPr>
              <w:t> </w:t>
            </w:r>
          </w:p>
        </w:tc>
        <w:tc>
          <w:tcPr>
            <w:tcW w:w="1596" w:type="dxa"/>
            <w:tcBorders>
              <w:top w:val="nil"/>
              <w:left w:val="nil"/>
              <w:bottom w:val="nil"/>
              <w:right w:val="nil"/>
            </w:tcBorders>
            <w:shd w:val="clear" w:color="000000" w:fill="FFFFFF"/>
            <w:noWrap/>
            <w:vAlign w:val="bottom"/>
            <w:hideMark/>
          </w:tcPr>
          <w:p w:rsidR="00D30927" w:rsidRPr="008E593B" w:rsidRDefault="00D30927" w:rsidP="00D30927">
            <w:r w:rsidRPr="008E593B">
              <w:t> </w:t>
            </w:r>
          </w:p>
        </w:tc>
        <w:tc>
          <w:tcPr>
            <w:tcW w:w="1471" w:type="dxa"/>
            <w:tcBorders>
              <w:top w:val="nil"/>
              <w:left w:val="nil"/>
              <w:bottom w:val="nil"/>
              <w:right w:val="nil"/>
            </w:tcBorders>
            <w:shd w:val="clear" w:color="000000" w:fill="FFFFFF"/>
            <w:noWrap/>
            <w:vAlign w:val="bottom"/>
            <w:hideMark/>
          </w:tcPr>
          <w:p w:rsidR="00D30927" w:rsidRPr="008E593B" w:rsidRDefault="00D30927" w:rsidP="00D30927">
            <w:r w:rsidRPr="008E593B">
              <w:t> </w:t>
            </w:r>
          </w:p>
        </w:tc>
        <w:tc>
          <w:tcPr>
            <w:tcW w:w="1697" w:type="dxa"/>
            <w:tcBorders>
              <w:top w:val="nil"/>
              <w:left w:val="nil"/>
              <w:bottom w:val="nil"/>
              <w:right w:val="single" w:sz="4" w:space="0" w:color="auto"/>
            </w:tcBorders>
            <w:shd w:val="clear" w:color="000000" w:fill="FFFFFF"/>
            <w:noWrap/>
            <w:vAlign w:val="bottom"/>
            <w:hideMark/>
          </w:tcPr>
          <w:p w:rsidR="00D30927" w:rsidRPr="008E593B" w:rsidRDefault="00D30927" w:rsidP="00D30927">
            <w:r w:rsidRPr="008E593B">
              <w:t> </w:t>
            </w:r>
          </w:p>
        </w:tc>
      </w:tr>
      <w:tr w:rsidR="00D30927"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D30927" w:rsidRPr="008E593B" w:rsidRDefault="00D30927" w:rsidP="00D30927">
            <w:pPr>
              <w:jc w:val="center"/>
            </w:pPr>
            <w:r w:rsidRPr="008E593B">
              <w:t>4</w:t>
            </w:r>
          </w:p>
        </w:tc>
        <w:tc>
          <w:tcPr>
            <w:tcW w:w="3754" w:type="dxa"/>
            <w:tcBorders>
              <w:top w:val="nil"/>
              <w:left w:val="nil"/>
              <w:bottom w:val="nil"/>
              <w:right w:val="nil"/>
            </w:tcBorders>
            <w:shd w:val="clear" w:color="000000" w:fill="FFFFFF"/>
            <w:noWrap/>
            <w:vAlign w:val="bottom"/>
            <w:hideMark/>
          </w:tcPr>
          <w:p w:rsidR="00D30927" w:rsidRPr="008E593B" w:rsidRDefault="00D30927" w:rsidP="00D30927">
            <w:r w:rsidRPr="008E593B">
              <w:t>CIAC</w:t>
            </w:r>
          </w:p>
        </w:tc>
        <w:tc>
          <w:tcPr>
            <w:tcW w:w="1596" w:type="dxa"/>
            <w:tcBorders>
              <w:top w:val="nil"/>
              <w:left w:val="nil"/>
              <w:bottom w:val="nil"/>
              <w:right w:val="nil"/>
            </w:tcBorders>
            <w:shd w:val="clear" w:color="000000" w:fill="FFFFFF"/>
            <w:noWrap/>
            <w:vAlign w:val="bottom"/>
            <w:hideMark/>
          </w:tcPr>
          <w:p w:rsidR="00D30927" w:rsidRPr="008E593B" w:rsidRDefault="00D30927" w:rsidP="00D30927">
            <w:pPr>
              <w:jc w:val="right"/>
            </w:pPr>
            <w:r w:rsidRPr="008E593B">
              <w:t>(20,167,016)</w:t>
            </w:r>
          </w:p>
        </w:tc>
        <w:tc>
          <w:tcPr>
            <w:tcW w:w="1471" w:type="dxa"/>
            <w:tcBorders>
              <w:top w:val="nil"/>
              <w:left w:val="nil"/>
              <w:bottom w:val="nil"/>
              <w:right w:val="nil"/>
            </w:tcBorders>
            <w:shd w:val="clear" w:color="000000" w:fill="FFFFFF"/>
            <w:noWrap/>
            <w:vAlign w:val="bottom"/>
            <w:hideMark/>
          </w:tcPr>
          <w:p w:rsidR="00D30927" w:rsidRPr="008E593B" w:rsidRDefault="00D30927" w:rsidP="00D30927">
            <w:pPr>
              <w:jc w:val="right"/>
            </w:pPr>
            <w:r>
              <w:t>(5,352,043)</w:t>
            </w:r>
            <w:r w:rsidRPr="008E593B">
              <w:t xml:space="preserve"> </w:t>
            </w:r>
          </w:p>
        </w:tc>
        <w:tc>
          <w:tcPr>
            <w:tcW w:w="1697" w:type="dxa"/>
            <w:tcBorders>
              <w:top w:val="nil"/>
              <w:left w:val="nil"/>
              <w:bottom w:val="nil"/>
              <w:right w:val="single" w:sz="4" w:space="0" w:color="auto"/>
            </w:tcBorders>
            <w:shd w:val="clear" w:color="000000" w:fill="FFFFFF"/>
            <w:noWrap/>
            <w:vAlign w:val="bottom"/>
            <w:hideMark/>
          </w:tcPr>
          <w:p w:rsidR="00D30927" w:rsidRPr="008E593B" w:rsidRDefault="00D30927" w:rsidP="00D30927">
            <w:pPr>
              <w:jc w:val="right"/>
            </w:pPr>
            <w:r w:rsidRPr="008E593B">
              <w:t>(</w:t>
            </w:r>
            <w:r>
              <w:t>25,519,059</w:t>
            </w:r>
            <w:r w:rsidRPr="008E593B">
              <w:t>)</w:t>
            </w:r>
          </w:p>
        </w:tc>
      </w:tr>
      <w:tr w:rsidR="00D30927"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D30927" w:rsidRPr="008E593B" w:rsidRDefault="00D30927" w:rsidP="00D30927">
            <w:pPr>
              <w:jc w:val="center"/>
            </w:pPr>
            <w:r w:rsidRPr="008E593B">
              <w:t> </w:t>
            </w:r>
          </w:p>
        </w:tc>
        <w:tc>
          <w:tcPr>
            <w:tcW w:w="3754" w:type="dxa"/>
            <w:tcBorders>
              <w:top w:val="nil"/>
              <w:left w:val="nil"/>
              <w:bottom w:val="nil"/>
              <w:right w:val="nil"/>
            </w:tcBorders>
            <w:shd w:val="clear" w:color="000000" w:fill="FFFFFF"/>
            <w:noWrap/>
            <w:vAlign w:val="bottom"/>
            <w:hideMark/>
          </w:tcPr>
          <w:p w:rsidR="00D30927" w:rsidRPr="008E593B" w:rsidRDefault="00D30927" w:rsidP="00D30927">
            <w:pPr>
              <w:rPr>
                <w:color w:val="000000"/>
              </w:rPr>
            </w:pPr>
            <w:r w:rsidRPr="008E593B">
              <w:rPr>
                <w:color w:val="000000"/>
              </w:rPr>
              <w:t> </w:t>
            </w:r>
          </w:p>
        </w:tc>
        <w:tc>
          <w:tcPr>
            <w:tcW w:w="1596" w:type="dxa"/>
            <w:tcBorders>
              <w:top w:val="nil"/>
              <w:left w:val="nil"/>
              <w:bottom w:val="nil"/>
              <w:right w:val="nil"/>
            </w:tcBorders>
            <w:shd w:val="clear" w:color="000000" w:fill="FFFFFF"/>
            <w:noWrap/>
            <w:vAlign w:val="bottom"/>
            <w:hideMark/>
          </w:tcPr>
          <w:p w:rsidR="00D30927" w:rsidRPr="008E593B" w:rsidRDefault="00D30927" w:rsidP="00D30927">
            <w:r w:rsidRPr="008E593B">
              <w:t> </w:t>
            </w:r>
          </w:p>
        </w:tc>
        <w:tc>
          <w:tcPr>
            <w:tcW w:w="1471" w:type="dxa"/>
            <w:tcBorders>
              <w:top w:val="nil"/>
              <w:left w:val="nil"/>
              <w:bottom w:val="nil"/>
              <w:right w:val="nil"/>
            </w:tcBorders>
            <w:shd w:val="clear" w:color="000000" w:fill="FFFFFF"/>
            <w:noWrap/>
            <w:vAlign w:val="bottom"/>
            <w:hideMark/>
          </w:tcPr>
          <w:p w:rsidR="00D30927" w:rsidRPr="008E593B" w:rsidRDefault="00D30927" w:rsidP="00D30927">
            <w:r w:rsidRPr="008E593B">
              <w:t> </w:t>
            </w:r>
          </w:p>
        </w:tc>
        <w:tc>
          <w:tcPr>
            <w:tcW w:w="1697" w:type="dxa"/>
            <w:tcBorders>
              <w:top w:val="nil"/>
              <w:left w:val="nil"/>
              <w:bottom w:val="nil"/>
              <w:right w:val="single" w:sz="4" w:space="0" w:color="auto"/>
            </w:tcBorders>
            <w:shd w:val="clear" w:color="000000" w:fill="FFFFFF"/>
            <w:noWrap/>
            <w:vAlign w:val="bottom"/>
            <w:hideMark/>
          </w:tcPr>
          <w:p w:rsidR="00D30927" w:rsidRPr="008E593B" w:rsidRDefault="00D30927" w:rsidP="00D30927">
            <w:r w:rsidRPr="008E593B">
              <w:t> </w:t>
            </w:r>
          </w:p>
        </w:tc>
      </w:tr>
      <w:tr w:rsidR="00D30927"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D30927" w:rsidRPr="008E593B" w:rsidRDefault="00D30927" w:rsidP="00D30927">
            <w:pPr>
              <w:jc w:val="center"/>
            </w:pPr>
            <w:r w:rsidRPr="008E593B">
              <w:t>5</w:t>
            </w:r>
          </w:p>
        </w:tc>
        <w:tc>
          <w:tcPr>
            <w:tcW w:w="3754" w:type="dxa"/>
            <w:tcBorders>
              <w:top w:val="nil"/>
              <w:left w:val="nil"/>
              <w:bottom w:val="nil"/>
              <w:right w:val="nil"/>
            </w:tcBorders>
            <w:shd w:val="clear" w:color="000000" w:fill="FFFFFF"/>
            <w:noWrap/>
            <w:vAlign w:val="bottom"/>
            <w:hideMark/>
          </w:tcPr>
          <w:p w:rsidR="00D30927" w:rsidRPr="008E593B" w:rsidRDefault="00D30927" w:rsidP="00D30927">
            <w:r w:rsidRPr="008E593B">
              <w:t>Amortization of CIAC</w:t>
            </w:r>
          </w:p>
        </w:tc>
        <w:tc>
          <w:tcPr>
            <w:tcW w:w="1596" w:type="dxa"/>
            <w:tcBorders>
              <w:top w:val="nil"/>
              <w:left w:val="nil"/>
              <w:bottom w:val="nil"/>
              <w:right w:val="nil"/>
            </w:tcBorders>
            <w:shd w:val="clear" w:color="000000" w:fill="FFFFFF"/>
            <w:noWrap/>
            <w:vAlign w:val="bottom"/>
            <w:hideMark/>
          </w:tcPr>
          <w:p w:rsidR="00D30927" w:rsidRPr="008E593B" w:rsidRDefault="00D30927" w:rsidP="00D30927">
            <w:pPr>
              <w:jc w:val="right"/>
            </w:pPr>
            <w:r w:rsidRPr="008E593B">
              <w:t xml:space="preserve">1,027,813 </w:t>
            </w:r>
          </w:p>
        </w:tc>
        <w:tc>
          <w:tcPr>
            <w:tcW w:w="1471" w:type="dxa"/>
            <w:tcBorders>
              <w:top w:val="nil"/>
              <w:left w:val="nil"/>
              <w:bottom w:val="nil"/>
              <w:right w:val="nil"/>
            </w:tcBorders>
            <w:shd w:val="clear" w:color="000000" w:fill="FFFFFF"/>
            <w:noWrap/>
            <w:vAlign w:val="bottom"/>
            <w:hideMark/>
          </w:tcPr>
          <w:p w:rsidR="00D30927" w:rsidRPr="008E593B" w:rsidRDefault="00D30927" w:rsidP="00D30927">
            <w:pPr>
              <w:jc w:val="right"/>
            </w:pPr>
            <w:r>
              <w:t>1,509,405</w:t>
            </w:r>
            <w:r w:rsidRPr="008E593B">
              <w:t xml:space="preserve"> </w:t>
            </w:r>
          </w:p>
        </w:tc>
        <w:tc>
          <w:tcPr>
            <w:tcW w:w="1697" w:type="dxa"/>
            <w:tcBorders>
              <w:top w:val="nil"/>
              <w:left w:val="nil"/>
              <w:bottom w:val="nil"/>
              <w:right w:val="single" w:sz="4" w:space="0" w:color="auto"/>
            </w:tcBorders>
            <w:shd w:val="clear" w:color="000000" w:fill="FFFFFF"/>
            <w:noWrap/>
            <w:vAlign w:val="bottom"/>
            <w:hideMark/>
          </w:tcPr>
          <w:p w:rsidR="00D30927" w:rsidRPr="008E593B" w:rsidRDefault="00D30927" w:rsidP="00D30927">
            <w:pPr>
              <w:jc w:val="right"/>
            </w:pPr>
            <w:r>
              <w:t>2,537,518</w:t>
            </w:r>
            <w:r w:rsidRPr="008E593B">
              <w:t xml:space="preserve"> </w:t>
            </w:r>
          </w:p>
        </w:tc>
      </w:tr>
      <w:tr w:rsidR="00D30927"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D30927" w:rsidRPr="008E593B" w:rsidRDefault="00D30927" w:rsidP="00D30927">
            <w:pPr>
              <w:jc w:val="center"/>
            </w:pPr>
            <w:r w:rsidRPr="008E593B">
              <w:t> </w:t>
            </w:r>
          </w:p>
        </w:tc>
        <w:tc>
          <w:tcPr>
            <w:tcW w:w="3754" w:type="dxa"/>
            <w:tcBorders>
              <w:top w:val="nil"/>
              <w:left w:val="nil"/>
              <w:bottom w:val="nil"/>
              <w:right w:val="nil"/>
            </w:tcBorders>
            <w:shd w:val="clear" w:color="000000" w:fill="FFFFFF"/>
            <w:noWrap/>
            <w:vAlign w:val="bottom"/>
            <w:hideMark/>
          </w:tcPr>
          <w:p w:rsidR="00D30927" w:rsidRPr="008E593B" w:rsidRDefault="00D30927" w:rsidP="00D30927">
            <w:pPr>
              <w:rPr>
                <w:color w:val="000000"/>
              </w:rPr>
            </w:pPr>
            <w:r w:rsidRPr="008E593B">
              <w:rPr>
                <w:color w:val="000000"/>
              </w:rPr>
              <w:t> </w:t>
            </w:r>
          </w:p>
        </w:tc>
        <w:tc>
          <w:tcPr>
            <w:tcW w:w="1596" w:type="dxa"/>
            <w:tcBorders>
              <w:top w:val="nil"/>
              <w:left w:val="nil"/>
              <w:bottom w:val="nil"/>
              <w:right w:val="nil"/>
            </w:tcBorders>
            <w:shd w:val="clear" w:color="000000" w:fill="FFFFFF"/>
            <w:noWrap/>
            <w:vAlign w:val="bottom"/>
            <w:hideMark/>
          </w:tcPr>
          <w:p w:rsidR="00D30927" w:rsidRPr="008E593B" w:rsidRDefault="00D30927" w:rsidP="00D30927">
            <w:r w:rsidRPr="008E593B">
              <w:t> </w:t>
            </w:r>
          </w:p>
        </w:tc>
        <w:tc>
          <w:tcPr>
            <w:tcW w:w="1471" w:type="dxa"/>
            <w:tcBorders>
              <w:top w:val="nil"/>
              <w:left w:val="nil"/>
              <w:bottom w:val="nil"/>
              <w:right w:val="nil"/>
            </w:tcBorders>
            <w:shd w:val="clear" w:color="000000" w:fill="FFFFFF"/>
            <w:noWrap/>
            <w:vAlign w:val="bottom"/>
            <w:hideMark/>
          </w:tcPr>
          <w:p w:rsidR="00D30927" w:rsidRPr="008E593B" w:rsidRDefault="00D30927" w:rsidP="00D30927">
            <w:r w:rsidRPr="008E593B">
              <w:t> </w:t>
            </w:r>
          </w:p>
        </w:tc>
        <w:tc>
          <w:tcPr>
            <w:tcW w:w="1697" w:type="dxa"/>
            <w:tcBorders>
              <w:top w:val="nil"/>
              <w:left w:val="nil"/>
              <w:bottom w:val="nil"/>
              <w:right w:val="single" w:sz="4" w:space="0" w:color="auto"/>
            </w:tcBorders>
            <w:shd w:val="clear" w:color="000000" w:fill="FFFFFF"/>
            <w:noWrap/>
            <w:vAlign w:val="bottom"/>
            <w:hideMark/>
          </w:tcPr>
          <w:p w:rsidR="00D30927" w:rsidRPr="008E593B" w:rsidRDefault="00D30927" w:rsidP="00D30927">
            <w:r w:rsidRPr="008E593B">
              <w:t> </w:t>
            </w:r>
          </w:p>
        </w:tc>
      </w:tr>
      <w:tr w:rsidR="00D30927"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D30927" w:rsidRPr="008E593B" w:rsidRDefault="00D30927" w:rsidP="00D30927">
            <w:pPr>
              <w:jc w:val="center"/>
            </w:pPr>
            <w:r w:rsidRPr="008E593B">
              <w:t>6</w:t>
            </w:r>
          </w:p>
        </w:tc>
        <w:tc>
          <w:tcPr>
            <w:tcW w:w="3754" w:type="dxa"/>
            <w:tcBorders>
              <w:top w:val="nil"/>
              <w:left w:val="nil"/>
              <w:bottom w:val="nil"/>
              <w:right w:val="nil"/>
            </w:tcBorders>
            <w:shd w:val="clear" w:color="000000" w:fill="FFFFFF"/>
            <w:noWrap/>
            <w:vAlign w:val="bottom"/>
            <w:hideMark/>
          </w:tcPr>
          <w:p w:rsidR="00D30927" w:rsidRPr="008E593B" w:rsidRDefault="00D30927" w:rsidP="00D30927">
            <w:r w:rsidRPr="008E593B">
              <w:t>Working Capital Allowance</w:t>
            </w:r>
          </w:p>
        </w:tc>
        <w:tc>
          <w:tcPr>
            <w:tcW w:w="1596" w:type="dxa"/>
            <w:tcBorders>
              <w:top w:val="nil"/>
              <w:left w:val="nil"/>
              <w:bottom w:val="nil"/>
              <w:right w:val="nil"/>
            </w:tcBorders>
            <w:shd w:val="clear" w:color="000000" w:fill="FFFFFF"/>
            <w:noWrap/>
            <w:vAlign w:val="bottom"/>
            <w:hideMark/>
          </w:tcPr>
          <w:p w:rsidR="00D30927" w:rsidRPr="008E593B" w:rsidRDefault="00D30927" w:rsidP="00D30927">
            <w:pPr>
              <w:jc w:val="right"/>
              <w:rPr>
                <w:u w:val="single"/>
              </w:rPr>
            </w:pPr>
            <w:r w:rsidRPr="008E593B">
              <w:rPr>
                <w:u w:val="single"/>
              </w:rPr>
              <w:t xml:space="preserve">120,158 </w:t>
            </w:r>
          </w:p>
        </w:tc>
        <w:tc>
          <w:tcPr>
            <w:tcW w:w="1471" w:type="dxa"/>
            <w:tcBorders>
              <w:top w:val="nil"/>
              <w:left w:val="nil"/>
              <w:bottom w:val="nil"/>
              <w:right w:val="nil"/>
            </w:tcBorders>
            <w:shd w:val="clear" w:color="000000" w:fill="FFFFFF"/>
            <w:noWrap/>
            <w:vAlign w:val="bottom"/>
            <w:hideMark/>
          </w:tcPr>
          <w:p w:rsidR="00D30927" w:rsidRPr="008E593B" w:rsidRDefault="00D30927" w:rsidP="00D30927">
            <w:pPr>
              <w:jc w:val="right"/>
              <w:rPr>
                <w:u w:val="single"/>
              </w:rPr>
            </w:pPr>
            <w:r w:rsidRPr="008E593B">
              <w:rPr>
                <w:u w:val="single"/>
              </w:rPr>
              <w:t xml:space="preserve">0 </w:t>
            </w:r>
          </w:p>
        </w:tc>
        <w:tc>
          <w:tcPr>
            <w:tcW w:w="1697" w:type="dxa"/>
            <w:tcBorders>
              <w:top w:val="nil"/>
              <w:left w:val="nil"/>
              <w:bottom w:val="nil"/>
              <w:right w:val="single" w:sz="4" w:space="0" w:color="auto"/>
            </w:tcBorders>
            <w:shd w:val="clear" w:color="000000" w:fill="FFFFFF"/>
            <w:noWrap/>
            <w:vAlign w:val="bottom"/>
            <w:hideMark/>
          </w:tcPr>
          <w:p w:rsidR="00D30927" w:rsidRPr="008E593B" w:rsidRDefault="00D30927" w:rsidP="00D30927">
            <w:pPr>
              <w:jc w:val="right"/>
              <w:rPr>
                <w:u w:val="single"/>
              </w:rPr>
            </w:pPr>
            <w:r w:rsidRPr="008E593B">
              <w:rPr>
                <w:u w:val="single"/>
              </w:rPr>
              <w:t xml:space="preserve">120,158 </w:t>
            </w:r>
          </w:p>
        </w:tc>
      </w:tr>
      <w:tr w:rsidR="00D30927"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D30927" w:rsidRPr="008E593B" w:rsidRDefault="00D30927" w:rsidP="00D30927">
            <w:pPr>
              <w:jc w:val="center"/>
            </w:pPr>
            <w:r w:rsidRPr="008E593B">
              <w:t> </w:t>
            </w:r>
          </w:p>
        </w:tc>
        <w:tc>
          <w:tcPr>
            <w:tcW w:w="3754" w:type="dxa"/>
            <w:tcBorders>
              <w:top w:val="nil"/>
              <w:left w:val="nil"/>
              <w:bottom w:val="nil"/>
              <w:right w:val="nil"/>
            </w:tcBorders>
            <w:shd w:val="clear" w:color="000000" w:fill="FFFFFF"/>
            <w:noWrap/>
            <w:vAlign w:val="bottom"/>
            <w:hideMark/>
          </w:tcPr>
          <w:p w:rsidR="00D30927" w:rsidRPr="008E593B" w:rsidRDefault="00D30927" w:rsidP="00D30927">
            <w:pPr>
              <w:rPr>
                <w:color w:val="000000"/>
              </w:rPr>
            </w:pPr>
            <w:r w:rsidRPr="008E593B">
              <w:rPr>
                <w:color w:val="000000"/>
              </w:rPr>
              <w:t> </w:t>
            </w:r>
          </w:p>
        </w:tc>
        <w:tc>
          <w:tcPr>
            <w:tcW w:w="1596" w:type="dxa"/>
            <w:tcBorders>
              <w:top w:val="nil"/>
              <w:left w:val="nil"/>
              <w:bottom w:val="nil"/>
              <w:right w:val="nil"/>
            </w:tcBorders>
            <w:shd w:val="clear" w:color="000000" w:fill="FFFFFF"/>
            <w:noWrap/>
            <w:vAlign w:val="bottom"/>
            <w:hideMark/>
          </w:tcPr>
          <w:p w:rsidR="00D30927" w:rsidRPr="008E593B" w:rsidRDefault="00D30927" w:rsidP="00D30927">
            <w:pPr>
              <w:rPr>
                <w:color w:val="000000"/>
              </w:rPr>
            </w:pPr>
            <w:r w:rsidRPr="008E593B">
              <w:rPr>
                <w:color w:val="000000"/>
              </w:rPr>
              <w:t> </w:t>
            </w:r>
          </w:p>
        </w:tc>
        <w:tc>
          <w:tcPr>
            <w:tcW w:w="1471" w:type="dxa"/>
            <w:tcBorders>
              <w:top w:val="nil"/>
              <w:left w:val="nil"/>
              <w:bottom w:val="nil"/>
              <w:right w:val="nil"/>
            </w:tcBorders>
            <w:shd w:val="clear" w:color="000000" w:fill="FFFFFF"/>
            <w:noWrap/>
            <w:vAlign w:val="bottom"/>
            <w:hideMark/>
          </w:tcPr>
          <w:p w:rsidR="00D30927" w:rsidRPr="008E593B" w:rsidRDefault="00D30927" w:rsidP="00D30927">
            <w:pPr>
              <w:rPr>
                <w:color w:val="000000"/>
              </w:rPr>
            </w:pPr>
            <w:r w:rsidRPr="008E593B">
              <w:rPr>
                <w:color w:val="000000"/>
              </w:rPr>
              <w:t> </w:t>
            </w:r>
          </w:p>
        </w:tc>
        <w:tc>
          <w:tcPr>
            <w:tcW w:w="1697" w:type="dxa"/>
            <w:tcBorders>
              <w:top w:val="nil"/>
              <w:left w:val="nil"/>
              <w:bottom w:val="nil"/>
              <w:right w:val="single" w:sz="4" w:space="0" w:color="auto"/>
            </w:tcBorders>
            <w:shd w:val="clear" w:color="000000" w:fill="FFFFFF"/>
            <w:noWrap/>
            <w:vAlign w:val="bottom"/>
            <w:hideMark/>
          </w:tcPr>
          <w:p w:rsidR="00D30927" w:rsidRPr="008E593B" w:rsidRDefault="00D30927" w:rsidP="00D30927">
            <w:r w:rsidRPr="008E593B">
              <w:t> </w:t>
            </w:r>
          </w:p>
        </w:tc>
      </w:tr>
      <w:tr w:rsidR="00D30927"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D30927" w:rsidRPr="008E593B" w:rsidRDefault="00D30927" w:rsidP="00D30927">
            <w:pPr>
              <w:jc w:val="center"/>
            </w:pPr>
            <w:r w:rsidRPr="008E593B">
              <w:t>7</w:t>
            </w:r>
          </w:p>
        </w:tc>
        <w:tc>
          <w:tcPr>
            <w:tcW w:w="3754" w:type="dxa"/>
            <w:tcBorders>
              <w:top w:val="nil"/>
              <w:left w:val="nil"/>
              <w:bottom w:val="nil"/>
              <w:right w:val="nil"/>
            </w:tcBorders>
            <w:shd w:val="clear" w:color="000000" w:fill="FFFFFF"/>
            <w:noWrap/>
            <w:vAlign w:val="bottom"/>
            <w:hideMark/>
          </w:tcPr>
          <w:p w:rsidR="00D30927" w:rsidRPr="008E593B" w:rsidRDefault="00D30927" w:rsidP="00D30927">
            <w:pPr>
              <w:rPr>
                <w:b/>
                <w:bCs/>
              </w:rPr>
            </w:pPr>
            <w:r w:rsidRPr="008E593B">
              <w:rPr>
                <w:b/>
                <w:bCs/>
              </w:rPr>
              <w:t>Rate Base</w:t>
            </w:r>
          </w:p>
        </w:tc>
        <w:tc>
          <w:tcPr>
            <w:tcW w:w="1596" w:type="dxa"/>
            <w:tcBorders>
              <w:top w:val="nil"/>
              <w:left w:val="nil"/>
              <w:bottom w:val="nil"/>
              <w:right w:val="nil"/>
            </w:tcBorders>
            <w:shd w:val="clear" w:color="000000" w:fill="FFFFFF"/>
            <w:noWrap/>
            <w:vAlign w:val="bottom"/>
            <w:hideMark/>
          </w:tcPr>
          <w:p w:rsidR="00D30927" w:rsidRPr="008E593B" w:rsidRDefault="00D30927" w:rsidP="00D30927">
            <w:pPr>
              <w:jc w:val="right"/>
              <w:rPr>
                <w:u w:val="double"/>
              </w:rPr>
            </w:pPr>
            <w:r w:rsidRPr="008E593B">
              <w:rPr>
                <w:u w:val="double"/>
              </w:rPr>
              <w:t xml:space="preserve">$25,448,587 </w:t>
            </w:r>
          </w:p>
        </w:tc>
        <w:tc>
          <w:tcPr>
            <w:tcW w:w="1471" w:type="dxa"/>
            <w:tcBorders>
              <w:top w:val="nil"/>
              <w:left w:val="nil"/>
              <w:bottom w:val="nil"/>
              <w:right w:val="nil"/>
            </w:tcBorders>
            <w:shd w:val="clear" w:color="000000" w:fill="FFFFFF"/>
            <w:noWrap/>
            <w:vAlign w:val="bottom"/>
            <w:hideMark/>
          </w:tcPr>
          <w:p w:rsidR="00D30927" w:rsidRPr="008E593B" w:rsidRDefault="00D30927" w:rsidP="00D30927">
            <w:pPr>
              <w:jc w:val="right"/>
              <w:rPr>
                <w:u w:val="double"/>
              </w:rPr>
            </w:pPr>
            <w:r w:rsidRPr="008E593B">
              <w:rPr>
                <w:u w:val="double"/>
              </w:rPr>
              <w:t>$</w:t>
            </w:r>
            <w:r>
              <w:rPr>
                <w:u w:val="double"/>
              </w:rPr>
              <w:t>1,252,433</w:t>
            </w:r>
            <w:r w:rsidRPr="008E593B">
              <w:rPr>
                <w:u w:val="double"/>
              </w:rPr>
              <w:t xml:space="preserve"> </w:t>
            </w:r>
          </w:p>
        </w:tc>
        <w:tc>
          <w:tcPr>
            <w:tcW w:w="1697" w:type="dxa"/>
            <w:tcBorders>
              <w:top w:val="nil"/>
              <w:left w:val="nil"/>
              <w:bottom w:val="nil"/>
              <w:right w:val="single" w:sz="4" w:space="0" w:color="auto"/>
            </w:tcBorders>
            <w:shd w:val="clear" w:color="000000" w:fill="FFFFFF"/>
            <w:noWrap/>
            <w:vAlign w:val="bottom"/>
            <w:hideMark/>
          </w:tcPr>
          <w:p w:rsidR="00D30927" w:rsidRPr="008E593B" w:rsidRDefault="00D30927" w:rsidP="00D30927">
            <w:pPr>
              <w:jc w:val="right"/>
              <w:rPr>
                <w:u w:val="double"/>
              </w:rPr>
            </w:pPr>
            <w:r w:rsidRPr="008E593B">
              <w:rPr>
                <w:u w:val="double"/>
              </w:rPr>
              <w:t>$</w:t>
            </w:r>
            <w:r>
              <w:rPr>
                <w:u w:val="double"/>
              </w:rPr>
              <w:t>26,701,020</w:t>
            </w:r>
            <w:r w:rsidRPr="008E593B">
              <w:rPr>
                <w:u w:val="double"/>
              </w:rPr>
              <w:t xml:space="preserve"> </w:t>
            </w:r>
          </w:p>
        </w:tc>
      </w:tr>
      <w:tr w:rsidR="00C00588" w:rsidRPr="008E593B" w:rsidTr="00D30927">
        <w:trPr>
          <w:trHeight w:val="300"/>
          <w:jc w:val="center"/>
        </w:trPr>
        <w:tc>
          <w:tcPr>
            <w:tcW w:w="336" w:type="dxa"/>
            <w:tcBorders>
              <w:top w:val="nil"/>
              <w:left w:val="single" w:sz="4" w:space="0" w:color="auto"/>
              <w:bottom w:val="single" w:sz="4" w:space="0" w:color="auto"/>
              <w:right w:val="nil"/>
            </w:tcBorders>
            <w:shd w:val="clear" w:color="000000" w:fill="FFFFFF"/>
            <w:noWrap/>
            <w:vAlign w:val="bottom"/>
            <w:hideMark/>
          </w:tcPr>
          <w:p w:rsidR="00C00588" w:rsidRPr="008E593B" w:rsidRDefault="00C00588" w:rsidP="00C00588">
            <w:pPr>
              <w:rPr>
                <w:rFonts w:ascii="Arial" w:hAnsi="Arial" w:cs="Arial"/>
                <w:u w:val="single"/>
              </w:rPr>
            </w:pPr>
          </w:p>
        </w:tc>
        <w:tc>
          <w:tcPr>
            <w:tcW w:w="3754" w:type="dxa"/>
            <w:tcBorders>
              <w:top w:val="nil"/>
              <w:left w:val="nil"/>
              <w:bottom w:val="single" w:sz="4" w:space="0" w:color="auto"/>
              <w:right w:val="nil"/>
            </w:tcBorders>
            <w:shd w:val="clear" w:color="000000" w:fill="FFFFFF"/>
            <w:noWrap/>
            <w:vAlign w:val="bottom"/>
            <w:hideMark/>
          </w:tcPr>
          <w:p w:rsidR="00C00588" w:rsidRPr="008E593B" w:rsidRDefault="00C00588" w:rsidP="00C00588">
            <w:pPr>
              <w:rPr>
                <w:rFonts w:ascii="Arial" w:hAnsi="Arial" w:cs="Arial"/>
                <w:u w:val="single"/>
              </w:rPr>
            </w:pPr>
          </w:p>
        </w:tc>
        <w:tc>
          <w:tcPr>
            <w:tcW w:w="1596" w:type="dxa"/>
            <w:tcBorders>
              <w:top w:val="nil"/>
              <w:left w:val="nil"/>
              <w:bottom w:val="single" w:sz="4" w:space="0" w:color="auto"/>
              <w:right w:val="nil"/>
            </w:tcBorders>
            <w:shd w:val="clear" w:color="000000" w:fill="FFFFFF"/>
            <w:noWrap/>
            <w:vAlign w:val="bottom"/>
            <w:hideMark/>
          </w:tcPr>
          <w:p w:rsidR="00C00588" w:rsidRPr="008E593B" w:rsidRDefault="00C00588" w:rsidP="00C00588">
            <w:pPr>
              <w:rPr>
                <w:rFonts w:ascii="Arial" w:hAnsi="Arial" w:cs="Arial"/>
                <w:u w:val="single"/>
              </w:rPr>
            </w:pPr>
          </w:p>
        </w:tc>
        <w:tc>
          <w:tcPr>
            <w:tcW w:w="1471" w:type="dxa"/>
            <w:tcBorders>
              <w:top w:val="nil"/>
              <w:left w:val="nil"/>
              <w:bottom w:val="single" w:sz="4" w:space="0" w:color="auto"/>
              <w:right w:val="nil"/>
            </w:tcBorders>
            <w:shd w:val="clear" w:color="000000" w:fill="FFFFFF"/>
            <w:noWrap/>
            <w:vAlign w:val="bottom"/>
            <w:hideMark/>
          </w:tcPr>
          <w:p w:rsidR="00C00588" w:rsidRPr="008E593B" w:rsidRDefault="00C00588" w:rsidP="00C00588">
            <w:pPr>
              <w:rPr>
                <w:rFonts w:ascii="Arial" w:hAnsi="Arial" w:cs="Arial"/>
                <w:u w:val="single"/>
              </w:rPr>
            </w:pPr>
          </w:p>
        </w:tc>
        <w:tc>
          <w:tcPr>
            <w:tcW w:w="1697" w:type="dxa"/>
            <w:tcBorders>
              <w:top w:val="nil"/>
              <w:left w:val="nil"/>
              <w:bottom w:val="single" w:sz="4" w:space="0" w:color="auto"/>
              <w:right w:val="single" w:sz="4" w:space="0" w:color="auto"/>
            </w:tcBorders>
            <w:shd w:val="clear" w:color="000000" w:fill="FFFFFF"/>
            <w:noWrap/>
            <w:vAlign w:val="bottom"/>
            <w:hideMark/>
          </w:tcPr>
          <w:p w:rsidR="00C00588" w:rsidRPr="008E593B" w:rsidRDefault="00C00588" w:rsidP="00C00588">
            <w:pPr>
              <w:rPr>
                <w:rFonts w:ascii="Arial" w:hAnsi="Arial" w:cs="Arial"/>
                <w:u w:val="single"/>
              </w:rPr>
            </w:pPr>
          </w:p>
        </w:tc>
      </w:tr>
    </w:tbl>
    <w:p w:rsidR="00C00588" w:rsidRPr="00C00588" w:rsidRDefault="00C00588" w:rsidP="00C00588">
      <w:pPr>
        <w:pStyle w:val="BodyText"/>
      </w:pPr>
    </w:p>
    <w:p w:rsidR="00C00588" w:rsidRDefault="00C00588" w:rsidP="00C00588">
      <w:pPr>
        <w:pStyle w:val="BodyText"/>
        <w:sectPr w:rsidR="00C00588" w:rsidSect="00C00588">
          <w:headerReference w:type="default" r:id="rId14"/>
          <w:pgSz w:w="12240" w:h="15840" w:code="1"/>
          <w:pgMar w:top="1584" w:right="1440" w:bottom="1440" w:left="1440" w:header="720" w:footer="720" w:gutter="0"/>
          <w:cols w:space="720"/>
          <w:formProt w:val="0"/>
          <w:docGrid w:linePitch="360"/>
        </w:sectPr>
      </w:pPr>
    </w:p>
    <w:p w:rsidR="00C00588" w:rsidRPr="00053F19" w:rsidRDefault="00C00588" w:rsidP="00C00588">
      <w:pPr>
        <w:pStyle w:val="BodyText"/>
      </w:pPr>
    </w:p>
    <w:tbl>
      <w:tblPr>
        <w:tblW w:w="8854" w:type="dxa"/>
        <w:jc w:val="center"/>
        <w:tblLook w:val="04A0" w:firstRow="1" w:lastRow="0" w:firstColumn="1" w:lastColumn="0" w:noHBand="0" w:noVBand="1"/>
      </w:tblPr>
      <w:tblGrid>
        <w:gridCol w:w="336"/>
        <w:gridCol w:w="3754"/>
        <w:gridCol w:w="1596"/>
        <w:gridCol w:w="1422"/>
        <w:gridCol w:w="1746"/>
      </w:tblGrid>
      <w:tr w:rsidR="00C00588" w:rsidRPr="008E593B" w:rsidTr="00D30927">
        <w:trPr>
          <w:trHeight w:val="300"/>
          <w:jc w:val="center"/>
        </w:trPr>
        <w:tc>
          <w:tcPr>
            <w:tcW w:w="4090" w:type="dxa"/>
            <w:gridSpan w:val="2"/>
            <w:tcBorders>
              <w:top w:val="single" w:sz="4" w:space="0" w:color="auto"/>
              <w:left w:val="single" w:sz="4" w:space="0" w:color="auto"/>
              <w:bottom w:val="nil"/>
              <w:right w:val="nil"/>
            </w:tcBorders>
            <w:shd w:val="clear" w:color="000000" w:fill="FFFFFF"/>
            <w:noWrap/>
            <w:vAlign w:val="bottom"/>
            <w:hideMark/>
          </w:tcPr>
          <w:p w:rsidR="00C00588" w:rsidRPr="008E593B" w:rsidRDefault="00C00588" w:rsidP="00C00588">
            <w:pPr>
              <w:rPr>
                <w:rFonts w:ascii="Arial" w:hAnsi="Arial" w:cs="Arial"/>
                <w:b/>
                <w:bCs/>
              </w:rPr>
            </w:pPr>
            <w:bookmarkStart w:id="18" w:name="RANGE!A30:G51"/>
            <w:r w:rsidRPr="008E593B">
              <w:rPr>
                <w:rFonts w:ascii="Arial" w:hAnsi="Arial" w:cs="Arial"/>
                <w:b/>
                <w:bCs/>
              </w:rPr>
              <w:t>Gibson Place Utilities, LLC</w:t>
            </w:r>
            <w:bookmarkEnd w:id="18"/>
          </w:p>
        </w:tc>
        <w:tc>
          <w:tcPr>
            <w:tcW w:w="1596" w:type="dxa"/>
            <w:tcBorders>
              <w:top w:val="single" w:sz="4" w:space="0" w:color="auto"/>
              <w:left w:val="nil"/>
              <w:bottom w:val="nil"/>
              <w:right w:val="nil"/>
            </w:tcBorders>
            <w:shd w:val="clear" w:color="000000" w:fill="FFFFFF"/>
            <w:noWrap/>
            <w:vAlign w:val="bottom"/>
            <w:hideMark/>
          </w:tcPr>
          <w:p w:rsidR="00C00588" w:rsidRPr="008E593B" w:rsidRDefault="00C00588" w:rsidP="00C00588">
            <w:pPr>
              <w:rPr>
                <w:rFonts w:ascii="Courier New" w:hAnsi="Courier New" w:cs="Courier New"/>
                <w:b/>
                <w:bCs/>
                <w:color w:val="000000"/>
              </w:rPr>
            </w:pPr>
            <w:r w:rsidRPr="008E593B">
              <w:rPr>
                <w:rFonts w:ascii="Courier New" w:hAnsi="Courier New" w:cs="Courier New"/>
                <w:b/>
                <w:bCs/>
                <w:color w:val="000000"/>
              </w:rPr>
              <w:t> </w:t>
            </w:r>
          </w:p>
        </w:tc>
        <w:tc>
          <w:tcPr>
            <w:tcW w:w="3168" w:type="dxa"/>
            <w:gridSpan w:val="2"/>
            <w:tcBorders>
              <w:top w:val="single" w:sz="4" w:space="0" w:color="auto"/>
              <w:left w:val="nil"/>
              <w:bottom w:val="nil"/>
              <w:right w:val="single" w:sz="4" w:space="0" w:color="000000"/>
            </w:tcBorders>
            <w:shd w:val="clear" w:color="000000" w:fill="FFFFFF"/>
            <w:noWrap/>
            <w:vAlign w:val="bottom"/>
            <w:hideMark/>
          </w:tcPr>
          <w:p w:rsidR="00C00588" w:rsidRPr="008E593B" w:rsidRDefault="00C00588" w:rsidP="00C00588">
            <w:pPr>
              <w:jc w:val="right"/>
              <w:rPr>
                <w:rFonts w:ascii="Arial" w:hAnsi="Arial" w:cs="Arial"/>
                <w:b/>
                <w:bCs/>
              </w:rPr>
            </w:pPr>
            <w:r w:rsidRPr="008E593B">
              <w:rPr>
                <w:rFonts w:ascii="Arial" w:hAnsi="Arial" w:cs="Arial"/>
                <w:b/>
                <w:bCs/>
              </w:rPr>
              <w:t>Schedule No. 1-B</w:t>
            </w:r>
          </w:p>
        </w:tc>
      </w:tr>
      <w:tr w:rsidR="00C00588" w:rsidRPr="008E593B" w:rsidTr="00D30927">
        <w:trPr>
          <w:trHeight w:val="300"/>
          <w:jc w:val="center"/>
        </w:trPr>
        <w:tc>
          <w:tcPr>
            <w:tcW w:w="5686" w:type="dxa"/>
            <w:gridSpan w:val="3"/>
            <w:tcBorders>
              <w:top w:val="nil"/>
              <w:left w:val="single" w:sz="4" w:space="0" w:color="auto"/>
              <w:bottom w:val="nil"/>
              <w:right w:val="nil"/>
            </w:tcBorders>
            <w:shd w:val="clear" w:color="000000" w:fill="FFFFFF"/>
            <w:noWrap/>
            <w:vAlign w:val="bottom"/>
            <w:hideMark/>
          </w:tcPr>
          <w:p w:rsidR="00C00588" w:rsidRPr="008E593B" w:rsidRDefault="00C00588" w:rsidP="00C00588">
            <w:pPr>
              <w:rPr>
                <w:rFonts w:ascii="Arial" w:hAnsi="Arial" w:cs="Arial"/>
                <w:b/>
                <w:bCs/>
              </w:rPr>
            </w:pPr>
            <w:r w:rsidRPr="008E593B">
              <w:rPr>
                <w:rFonts w:ascii="Arial" w:hAnsi="Arial" w:cs="Arial"/>
                <w:b/>
                <w:bCs/>
              </w:rPr>
              <w:t>Schedule of Wastewater Rate Base</w:t>
            </w:r>
          </w:p>
        </w:tc>
        <w:tc>
          <w:tcPr>
            <w:tcW w:w="3168" w:type="dxa"/>
            <w:gridSpan w:val="2"/>
            <w:tcBorders>
              <w:top w:val="nil"/>
              <w:left w:val="nil"/>
              <w:bottom w:val="nil"/>
              <w:right w:val="single" w:sz="4" w:space="0" w:color="000000"/>
            </w:tcBorders>
            <w:shd w:val="clear" w:color="000000" w:fill="FFFFFF"/>
            <w:noWrap/>
            <w:vAlign w:val="bottom"/>
            <w:hideMark/>
          </w:tcPr>
          <w:p w:rsidR="00C00588" w:rsidRPr="008E593B" w:rsidRDefault="00C00588" w:rsidP="00C00588">
            <w:pPr>
              <w:jc w:val="right"/>
              <w:rPr>
                <w:rFonts w:ascii="Arial" w:hAnsi="Arial" w:cs="Arial"/>
                <w:b/>
                <w:bCs/>
              </w:rPr>
            </w:pPr>
            <w:r w:rsidRPr="008E593B">
              <w:rPr>
                <w:rFonts w:ascii="Arial" w:hAnsi="Arial" w:cs="Arial"/>
                <w:b/>
                <w:bCs/>
              </w:rPr>
              <w:t>20200185-WS</w:t>
            </w:r>
          </w:p>
        </w:tc>
      </w:tr>
      <w:tr w:rsidR="00C00588" w:rsidRPr="008E593B" w:rsidTr="00D30927">
        <w:trPr>
          <w:trHeight w:val="300"/>
          <w:jc w:val="center"/>
        </w:trPr>
        <w:tc>
          <w:tcPr>
            <w:tcW w:w="4090" w:type="dxa"/>
            <w:gridSpan w:val="2"/>
            <w:tcBorders>
              <w:top w:val="nil"/>
              <w:left w:val="single" w:sz="4" w:space="0" w:color="auto"/>
              <w:bottom w:val="single" w:sz="4" w:space="0" w:color="auto"/>
              <w:right w:val="nil"/>
            </w:tcBorders>
            <w:shd w:val="clear" w:color="000000" w:fill="FFFFFF"/>
            <w:noWrap/>
            <w:vAlign w:val="bottom"/>
            <w:hideMark/>
          </w:tcPr>
          <w:p w:rsidR="00C00588" w:rsidRPr="008E593B" w:rsidRDefault="00C00588" w:rsidP="00C00588">
            <w:pPr>
              <w:rPr>
                <w:rFonts w:ascii="Arial" w:hAnsi="Arial" w:cs="Arial"/>
                <w:b/>
                <w:bCs/>
              </w:rPr>
            </w:pPr>
            <w:r w:rsidRPr="008E593B">
              <w:rPr>
                <w:rFonts w:ascii="Arial" w:hAnsi="Arial" w:cs="Arial"/>
                <w:b/>
                <w:bCs/>
              </w:rPr>
              <w:t>80% Design Capacity</w:t>
            </w:r>
          </w:p>
        </w:tc>
        <w:tc>
          <w:tcPr>
            <w:tcW w:w="1596" w:type="dxa"/>
            <w:tcBorders>
              <w:top w:val="nil"/>
              <w:left w:val="nil"/>
              <w:bottom w:val="nil"/>
              <w:right w:val="nil"/>
            </w:tcBorders>
            <w:shd w:val="clear" w:color="000000" w:fill="FFFFFF"/>
            <w:noWrap/>
            <w:vAlign w:val="bottom"/>
            <w:hideMark/>
          </w:tcPr>
          <w:p w:rsidR="00C00588" w:rsidRPr="008E593B" w:rsidRDefault="00C00588" w:rsidP="00C00588">
            <w:pPr>
              <w:rPr>
                <w:rFonts w:ascii="Courier New" w:hAnsi="Courier New" w:cs="Courier New"/>
                <w:b/>
                <w:bCs/>
                <w:color w:val="000000"/>
              </w:rPr>
            </w:pPr>
            <w:r w:rsidRPr="008E593B">
              <w:rPr>
                <w:rFonts w:ascii="Courier New" w:hAnsi="Courier New" w:cs="Courier New"/>
                <w:b/>
                <w:bCs/>
                <w:color w:val="000000"/>
              </w:rPr>
              <w:t> </w:t>
            </w:r>
          </w:p>
        </w:tc>
        <w:tc>
          <w:tcPr>
            <w:tcW w:w="1422" w:type="dxa"/>
            <w:tcBorders>
              <w:top w:val="nil"/>
              <w:left w:val="nil"/>
              <w:bottom w:val="nil"/>
              <w:right w:val="nil"/>
            </w:tcBorders>
            <w:shd w:val="clear" w:color="000000" w:fill="FFFFFF"/>
            <w:noWrap/>
            <w:vAlign w:val="bottom"/>
            <w:hideMark/>
          </w:tcPr>
          <w:p w:rsidR="00C00588" w:rsidRPr="008E593B" w:rsidRDefault="00C00588" w:rsidP="00C00588">
            <w:pPr>
              <w:rPr>
                <w:rFonts w:ascii="Courier New" w:hAnsi="Courier New" w:cs="Courier New"/>
                <w:b/>
                <w:bCs/>
                <w:color w:val="000000"/>
              </w:rPr>
            </w:pPr>
            <w:r w:rsidRPr="008E593B">
              <w:rPr>
                <w:rFonts w:ascii="Courier New" w:hAnsi="Courier New" w:cs="Courier New"/>
                <w:b/>
                <w:bCs/>
                <w:color w:val="000000"/>
              </w:rPr>
              <w:t> </w:t>
            </w:r>
          </w:p>
        </w:tc>
        <w:tc>
          <w:tcPr>
            <w:tcW w:w="1746" w:type="dxa"/>
            <w:tcBorders>
              <w:top w:val="nil"/>
              <w:left w:val="nil"/>
              <w:bottom w:val="nil"/>
              <w:right w:val="single" w:sz="4" w:space="0" w:color="auto"/>
            </w:tcBorders>
            <w:shd w:val="clear" w:color="000000" w:fill="FFFFFF"/>
            <w:noWrap/>
            <w:vAlign w:val="bottom"/>
            <w:hideMark/>
          </w:tcPr>
          <w:p w:rsidR="00C00588" w:rsidRPr="008E593B" w:rsidRDefault="00C00588" w:rsidP="00C00588">
            <w:pPr>
              <w:rPr>
                <w:rFonts w:ascii="Arial" w:hAnsi="Arial" w:cs="Arial"/>
                <w:b/>
                <w:bCs/>
              </w:rPr>
            </w:pPr>
            <w:r w:rsidRPr="008E593B">
              <w:rPr>
                <w:rFonts w:ascii="Arial" w:hAnsi="Arial" w:cs="Arial"/>
                <w:b/>
                <w:bCs/>
              </w:rPr>
              <w:t> </w:t>
            </w:r>
          </w:p>
        </w:tc>
      </w:tr>
      <w:tr w:rsidR="00C00588"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C00588" w:rsidRPr="008E593B" w:rsidRDefault="00C00588" w:rsidP="00C00588">
            <w:r w:rsidRPr="008E593B">
              <w:t> </w:t>
            </w:r>
          </w:p>
        </w:tc>
        <w:tc>
          <w:tcPr>
            <w:tcW w:w="3754" w:type="dxa"/>
            <w:vMerge w:val="restart"/>
            <w:tcBorders>
              <w:top w:val="nil"/>
              <w:left w:val="nil"/>
              <w:bottom w:val="nil"/>
              <w:right w:val="nil"/>
            </w:tcBorders>
            <w:shd w:val="clear" w:color="000000" w:fill="FFFFFF"/>
            <w:noWrap/>
            <w:vAlign w:val="center"/>
            <w:hideMark/>
          </w:tcPr>
          <w:p w:rsidR="00C00588" w:rsidRPr="008E593B" w:rsidRDefault="00C00588" w:rsidP="00C00588">
            <w:pPr>
              <w:jc w:val="center"/>
              <w:rPr>
                <w:b/>
                <w:bCs/>
              </w:rPr>
            </w:pPr>
            <w:r w:rsidRPr="008E593B">
              <w:rPr>
                <w:b/>
                <w:bCs/>
              </w:rPr>
              <w:t>Description</w:t>
            </w:r>
          </w:p>
        </w:tc>
        <w:tc>
          <w:tcPr>
            <w:tcW w:w="1596" w:type="dxa"/>
            <w:tcBorders>
              <w:top w:val="single" w:sz="4" w:space="0" w:color="auto"/>
              <w:left w:val="nil"/>
              <w:bottom w:val="nil"/>
              <w:right w:val="nil"/>
            </w:tcBorders>
            <w:shd w:val="clear" w:color="000000" w:fill="FFFFFF"/>
            <w:noWrap/>
            <w:vAlign w:val="bottom"/>
            <w:hideMark/>
          </w:tcPr>
          <w:p w:rsidR="00C00588" w:rsidRPr="008E593B" w:rsidRDefault="00C00588" w:rsidP="00C00588">
            <w:pPr>
              <w:jc w:val="center"/>
              <w:rPr>
                <w:b/>
                <w:bCs/>
              </w:rPr>
            </w:pPr>
            <w:r w:rsidRPr="008E593B">
              <w:rPr>
                <w:b/>
                <w:bCs/>
              </w:rPr>
              <w:t>Test Year</w:t>
            </w:r>
          </w:p>
        </w:tc>
        <w:tc>
          <w:tcPr>
            <w:tcW w:w="1422" w:type="dxa"/>
            <w:tcBorders>
              <w:top w:val="single" w:sz="4" w:space="0" w:color="auto"/>
              <w:left w:val="nil"/>
              <w:bottom w:val="nil"/>
              <w:right w:val="nil"/>
            </w:tcBorders>
            <w:shd w:val="clear" w:color="000000" w:fill="FFFFFF"/>
            <w:noWrap/>
            <w:vAlign w:val="bottom"/>
            <w:hideMark/>
          </w:tcPr>
          <w:p w:rsidR="00C00588" w:rsidRPr="008E593B" w:rsidRDefault="00C00588" w:rsidP="00C00588">
            <w:pPr>
              <w:jc w:val="center"/>
              <w:rPr>
                <w:b/>
                <w:bCs/>
              </w:rPr>
            </w:pPr>
            <w:r w:rsidRPr="008E593B">
              <w:rPr>
                <w:b/>
                <w:bCs/>
              </w:rPr>
              <w:t>Staff</w:t>
            </w:r>
          </w:p>
        </w:tc>
        <w:tc>
          <w:tcPr>
            <w:tcW w:w="1746" w:type="dxa"/>
            <w:tcBorders>
              <w:top w:val="single" w:sz="4" w:space="0" w:color="auto"/>
              <w:left w:val="nil"/>
              <w:bottom w:val="nil"/>
              <w:right w:val="single" w:sz="4" w:space="0" w:color="auto"/>
            </w:tcBorders>
            <w:shd w:val="clear" w:color="000000" w:fill="FFFFFF"/>
            <w:noWrap/>
            <w:vAlign w:val="bottom"/>
            <w:hideMark/>
          </w:tcPr>
          <w:p w:rsidR="00C00588" w:rsidRPr="008E593B" w:rsidRDefault="00C00588" w:rsidP="00C00588">
            <w:pPr>
              <w:jc w:val="center"/>
              <w:rPr>
                <w:b/>
                <w:bCs/>
              </w:rPr>
            </w:pPr>
            <w:r w:rsidRPr="008E593B">
              <w:rPr>
                <w:b/>
                <w:bCs/>
              </w:rPr>
              <w:t>Staff</w:t>
            </w:r>
          </w:p>
        </w:tc>
      </w:tr>
      <w:tr w:rsidR="00C00588"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C00588" w:rsidRPr="008E593B" w:rsidRDefault="00C00588" w:rsidP="00C00588">
            <w:r w:rsidRPr="008E593B">
              <w:t> </w:t>
            </w:r>
          </w:p>
        </w:tc>
        <w:tc>
          <w:tcPr>
            <w:tcW w:w="3754" w:type="dxa"/>
            <w:vMerge/>
            <w:tcBorders>
              <w:top w:val="nil"/>
              <w:left w:val="nil"/>
              <w:bottom w:val="nil"/>
              <w:right w:val="nil"/>
            </w:tcBorders>
            <w:vAlign w:val="center"/>
            <w:hideMark/>
          </w:tcPr>
          <w:p w:rsidR="00C00588" w:rsidRPr="008E593B" w:rsidRDefault="00C00588" w:rsidP="00C00588">
            <w:pPr>
              <w:rPr>
                <w:b/>
                <w:bCs/>
              </w:rPr>
            </w:pPr>
          </w:p>
        </w:tc>
        <w:tc>
          <w:tcPr>
            <w:tcW w:w="1596" w:type="dxa"/>
            <w:tcBorders>
              <w:top w:val="nil"/>
              <w:left w:val="nil"/>
              <w:bottom w:val="nil"/>
              <w:right w:val="nil"/>
            </w:tcBorders>
            <w:shd w:val="clear" w:color="000000" w:fill="FFFFFF"/>
            <w:noWrap/>
            <w:vAlign w:val="bottom"/>
            <w:hideMark/>
          </w:tcPr>
          <w:p w:rsidR="00C00588" w:rsidRPr="008E593B" w:rsidRDefault="00C00588" w:rsidP="00C00588">
            <w:pPr>
              <w:jc w:val="center"/>
              <w:rPr>
                <w:b/>
                <w:bCs/>
              </w:rPr>
            </w:pPr>
            <w:r w:rsidRPr="008E593B">
              <w:rPr>
                <w:b/>
                <w:bCs/>
              </w:rPr>
              <w:t>Per</w:t>
            </w:r>
          </w:p>
        </w:tc>
        <w:tc>
          <w:tcPr>
            <w:tcW w:w="1422" w:type="dxa"/>
            <w:tcBorders>
              <w:top w:val="nil"/>
              <w:left w:val="nil"/>
              <w:bottom w:val="nil"/>
              <w:right w:val="nil"/>
            </w:tcBorders>
            <w:shd w:val="clear" w:color="000000" w:fill="FFFFFF"/>
            <w:noWrap/>
            <w:vAlign w:val="bottom"/>
            <w:hideMark/>
          </w:tcPr>
          <w:p w:rsidR="00C00588" w:rsidRPr="008E593B" w:rsidRDefault="00C00588" w:rsidP="00C00588">
            <w:pPr>
              <w:jc w:val="center"/>
              <w:rPr>
                <w:b/>
                <w:bCs/>
              </w:rPr>
            </w:pPr>
            <w:r w:rsidRPr="008E593B">
              <w:rPr>
                <w:b/>
                <w:bCs/>
              </w:rPr>
              <w:t>Adjust-</w:t>
            </w:r>
          </w:p>
        </w:tc>
        <w:tc>
          <w:tcPr>
            <w:tcW w:w="1746" w:type="dxa"/>
            <w:tcBorders>
              <w:top w:val="nil"/>
              <w:left w:val="nil"/>
              <w:bottom w:val="nil"/>
              <w:right w:val="single" w:sz="4" w:space="0" w:color="auto"/>
            </w:tcBorders>
            <w:shd w:val="clear" w:color="000000" w:fill="FFFFFF"/>
            <w:noWrap/>
            <w:vAlign w:val="bottom"/>
            <w:hideMark/>
          </w:tcPr>
          <w:p w:rsidR="00C00588" w:rsidRPr="008E593B" w:rsidRDefault="00C00588" w:rsidP="00C00588">
            <w:pPr>
              <w:jc w:val="center"/>
              <w:rPr>
                <w:b/>
                <w:bCs/>
              </w:rPr>
            </w:pPr>
            <w:r w:rsidRPr="008E593B">
              <w:rPr>
                <w:b/>
                <w:bCs/>
              </w:rPr>
              <w:t>Adjusted</w:t>
            </w:r>
          </w:p>
        </w:tc>
      </w:tr>
      <w:tr w:rsidR="00C00588"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C00588" w:rsidRPr="008E593B" w:rsidRDefault="00C00588" w:rsidP="00C00588">
            <w:r w:rsidRPr="008E593B">
              <w:t> </w:t>
            </w:r>
          </w:p>
        </w:tc>
        <w:tc>
          <w:tcPr>
            <w:tcW w:w="3754" w:type="dxa"/>
            <w:vMerge/>
            <w:tcBorders>
              <w:top w:val="nil"/>
              <w:left w:val="nil"/>
              <w:bottom w:val="nil"/>
              <w:right w:val="nil"/>
            </w:tcBorders>
            <w:vAlign w:val="center"/>
            <w:hideMark/>
          </w:tcPr>
          <w:p w:rsidR="00C00588" w:rsidRPr="008E593B" w:rsidRDefault="00C00588" w:rsidP="00C00588">
            <w:pPr>
              <w:rPr>
                <w:b/>
                <w:bCs/>
              </w:rPr>
            </w:pPr>
          </w:p>
        </w:tc>
        <w:tc>
          <w:tcPr>
            <w:tcW w:w="1596" w:type="dxa"/>
            <w:tcBorders>
              <w:top w:val="nil"/>
              <w:left w:val="nil"/>
              <w:bottom w:val="nil"/>
              <w:right w:val="nil"/>
            </w:tcBorders>
            <w:shd w:val="clear" w:color="000000" w:fill="FFFFFF"/>
            <w:noWrap/>
            <w:vAlign w:val="bottom"/>
            <w:hideMark/>
          </w:tcPr>
          <w:p w:rsidR="00C00588" w:rsidRPr="008E593B" w:rsidRDefault="00C00588" w:rsidP="00C00588">
            <w:pPr>
              <w:jc w:val="center"/>
              <w:rPr>
                <w:b/>
                <w:bCs/>
              </w:rPr>
            </w:pPr>
            <w:r w:rsidRPr="008E593B">
              <w:rPr>
                <w:b/>
                <w:bCs/>
              </w:rPr>
              <w:t>Utility</w:t>
            </w:r>
          </w:p>
        </w:tc>
        <w:tc>
          <w:tcPr>
            <w:tcW w:w="1422" w:type="dxa"/>
            <w:tcBorders>
              <w:top w:val="nil"/>
              <w:left w:val="nil"/>
              <w:bottom w:val="nil"/>
              <w:right w:val="nil"/>
            </w:tcBorders>
            <w:shd w:val="clear" w:color="000000" w:fill="FFFFFF"/>
            <w:noWrap/>
            <w:vAlign w:val="bottom"/>
            <w:hideMark/>
          </w:tcPr>
          <w:p w:rsidR="00C00588" w:rsidRPr="008E593B" w:rsidRDefault="00C00588" w:rsidP="00C00588">
            <w:pPr>
              <w:jc w:val="center"/>
              <w:rPr>
                <w:b/>
                <w:bCs/>
              </w:rPr>
            </w:pPr>
            <w:proofErr w:type="spellStart"/>
            <w:r w:rsidRPr="008E593B">
              <w:rPr>
                <w:b/>
                <w:bCs/>
              </w:rPr>
              <w:t>ments</w:t>
            </w:r>
            <w:proofErr w:type="spellEnd"/>
          </w:p>
        </w:tc>
        <w:tc>
          <w:tcPr>
            <w:tcW w:w="1746" w:type="dxa"/>
            <w:tcBorders>
              <w:top w:val="nil"/>
              <w:left w:val="nil"/>
              <w:bottom w:val="nil"/>
              <w:right w:val="single" w:sz="4" w:space="0" w:color="auto"/>
            </w:tcBorders>
            <w:shd w:val="clear" w:color="000000" w:fill="FFFFFF"/>
            <w:noWrap/>
            <w:vAlign w:val="bottom"/>
            <w:hideMark/>
          </w:tcPr>
          <w:p w:rsidR="00C00588" w:rsidRPr="008E593B" w:rsidRDefault="00C00588" w:rsidP="00C00588">
            <w:pPr>
              <w:jc w:val="center"/>
              <w:rPr>
                <w:b/>
                <w:bCs/>
              </w:rPr>
            </w:pPr>
            <w:r w:rsidRPr="008E593B">
              <w:rPr>
                <w:b/>
                <w:bCs/>
              </w:rPr>
              <w:t>Test Year</w:t>
            </w:r>
          </w:p>
        </w:tc>
      </w:tr>
      <w:tr w:rsidR="00C00588" w:rsidRPr="008E593B" w:rsidTr="00D30927">
        <w:trPr>
          <w:trHeight w:val="300"/>
          <w:jc w:val="center"/>
        </w:trPr>
        <w:tc>
          <w:tcPr>
            <w:tcW w:w="336" w:type="dxa"/>
            <w:tcBorders>
              <w:top w:val="single" w:sz="4" w:space="0" w:color="000000"/>
              <w:left w:val="single" w:sz="4" w:space="0" w:color="auto"/>
              <w:bottom w:val="nil"/>
              <w:right w:val="nil"/>
            </w:tcBorders>
            <w:shd w:val="clear" w:color="000000" w:fill="FFFFFF"/>
            <w:noWrap/>
            <w:vAlign w:val="bottom"/>
            <w:hideMark/>
          </w:tcPr>
          <w:p w:rsidR="00C00588" w:rsidRPr="008E593B" w:rsidRDefault="00C00588" w:rsidP="00C00588">
            <w:r w:rsidRPr="008E593B">
              <w:t> </w:t>
            </w:r>
          </w:p>
        </w:tc>
        <w:tc>
          <w:tcPr>
            <w:tcW w:w="3754" w:type="dxa"/>
            <w:tcBorders>
              <w:top w:val="single" w:sz="4" w:space="0" w:color="000000"/>
              <w:left w:val="nil"/>
              <w:bottom w:val="nil"/>
              <w:right w:val="nil"/>
            </w:tcBorders>
            <w:shd w:val="clear" w:color="000000" w:fill="FFFFFF"/>
            <w:noWrap/>
            <w:vAlign w:val="bottom"/>
            <w:hideMark/>
          </w:tcPr>
          <w:p w:rsidR="00C00588" w:rsidRPr="008E593B" w:rsidRDefault="00C00588" w:rsidP="00C00588">
            <w:pPr>
              <w:rPr>
                <w:color w:val="000000"/>
              </w:rPr>
            </w:pPr>
            <w:r w:rsidRPr="008E593B">
              <w:rPr>
                <w:color w:val="000000"/>
              </w:rPr>
              <w:t> </w:t>
            </w:r>
          </w:p>
        </w:tc>
        <w:tc>
          <w:tcPr>
            <w:tcW w:w="1596" w:type="dxa"/>
            <w:tcBorders>
              <w:top w:val="single" w:sz="4" w:space="0" w:color="000000"/>
              <w:left w:val="nil"/>
              <w:bottom w:val="nil"/>
              <w:right w:val="nil"/>
            </w:tcBorders>
            <w:shd w:val="clear" w:color="000000" w:fill="FFFFFF"/>
            <w:noWrap/>
            <w:vAlign w:val="bottom"/>
            <w:hideMark/>
          </w:tcPr>
          <w:p w:rsidR="00C00588" w:rsidRPr="008E593B" w:rsidRDefault="00C00588" w:rsidP="00C00588">
            <w:pPr>
              <w:rPr>
                <w:color w:val="000000"/>
              </w:rPr>
            </w:pPr>
            <w:r w:rsidRPr="008E593B">
              <w:rPr>
                <w:color w:val="000000"/>
              </w:rPr>
              <w:t> </w:t>
            </w:r>
          </w:p>
        </w:tc>
        <w:tc>
          <w:tcPr>
            <w:tcW w:w="1422" w:type="dxa"/>
            <w:tcBorders>
              <w:top w:val="single" w:sz="4" w:space="0" w:color="000000"/>
              <w:left w:val="nil"/>
              <w:bottom w:val="nil"/>
              <w:right w:val="nil"/>
            </w:tcBorders>
            <w:shd w:val="clear" w:color="000000" w:fill="FFFFFF"/>
            <w:noWrap/>
            <w:vAlign w:val="bottom"/>
            <w:hideMark/>
          </w:tcPr>
          <w:p w:rsidR="00C00588" w:rsidRPr="008E593B" w:rsidRDefault="00C00588" w:rsidP="00C00588">
            <w:pPr>
              <w:rPr>
                <w:color w:val="000000"/>
              </w:rPr>
            </w:pPr>
            <w:r w:rsidRPr="008E593B">
              <w:rPr>
                <w:color w:val="000000"/>
              </w:rPr>
              <w:t> </w:t>
            </w:r>
          </w:p>
        </w:tc>
        <w:tc>
          <w:tcPr>
            <w:tcW w:w="1746" w:type="dxa"/>
            <w:tcBorders>
              <w:top w:val="single" w:sz="4" w:space="0" w:color="000000"/>
              <w:left w:val="nil"/>
              <w:bottom w:val="nil"/>
              <w:right w:val="single" w:sz="4" w:space="0" w:color="auto"/>
            </w:tcBorders>
            <w:shd w:val="clear" w:color="000000" w:fill="FFFFFF"/>
            <w:noWrap/>
            <w:vAlign w:val="bottom"/>
            <w:hideMark/>
          </w:tcPr>
          <w:p w:rsidR="00C00588" w:rsidRPr="008E593B" w:rsidRDefault="00C00588" w:rsidP="00C00588">
            <w:r w:rsidRPr="008E593B">
              <w:t> </w:t>
            </w:r>
          </w:p>
        </w:tc>
      </w:tr>
      <w:tr w:rsidR="00C00588"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C00588" w:rsidRPr="008E593B" w:rsidRDefault="00C00588" w:rsidP="00C00588">
            <w:r w:rsidRPr="008E593B">
              <w:t> </w:t>
            </w:r>
          </w:p>
        </w:tc>
        <w:tc>
          <w:tcPr>
            <w:tcW w:w="3754" w:type="dxa"/>
            <w:tcBorders>
              <w:top w:val="nil"/>
              <w:left w:val="nil"/>
              <w:bottom w:val="nil"/>
              <w:right w:val="nil"/>
            </w:tcBorders>
            <w:shd w:val="clear" w:color="000000" w:fill="FFFFFF"/>
            <w:noWrap/>
            <w:vAlign w:val="bottom"/>
            <w:hideMark/>
          </w:tcPr>
          <w:p w:rsidR="00C00588" w:rsidRPr="008E593B" w:rsidRDefault="00C00588" w:rsidP="00C00588">
            <w:pPr>
              <w:rPr>
                <w:color w:val="000000"/>
              </w:rPr>
            </w:pPr>
            <w:r w:rsidRPr="008E593B">
              <w:rPr>
                <w:color w:val="000000"/>
              </w:rPr>
              <w:t> </w:t>
            </w:r>
          </w:p>
        </w:tc>
        <w:tc>
          <w:tcPr>
            <w:tcW w:w="1596" w:type="dxa"/>
            <w:tcBorders>
              <w:top w:val="nil"/>
              <w:left w:val="nil"/>
              <w:bottom w:val="nil"/>
              <w:right w:val="nil"/>
            </w:tcBorders>
            <w:shd w:val="clear" w:color="000000" w:fill="FFFFFF"/>
            <w:noWrap/>
            <w:vAlign w:val="bottom"/>
            <w:hideMark/>
          </w:tcPr>
          <w:p w:rsidR="00C00588" w:rsidRPr="008E593B" w:rsidRDefault="00C00588" w:rsidP="00C00588">
            <w:pPr>
              <w:rPr>
                <w:color w:val="000000"/>
              </w:rPr>
            </w:pPr>
            <w:r w:rsidRPr="008E593B">
              <w:rPr>
                <w:color w:val="000000"/>
              </w:rPr>
              <w:t> </w:t>
            </w:r>
          </w:p>
        </w:tc>
        <w:tc>
          <w:tcPr>
            <w:tcW w:w="1422" w:type="dxa"/>
            <w:tcBorders>
              <w:top w:val="nil"/>
              <w:left w:val="nil"/>
              <w:bottom w:val="nil"/>
              <w:right w:val="nil"/>
            </w:tcBorders>
            <w:shd w:val="clear" w:color="000000" w:fill="FFFFFF"/>
            <w:noWrap/>
            <w:vAlign w:val="bottom"/>
            <w:hideMark/>
          </w:tcPr>
          <w:p w:rsidR="00C00588" w:rsidRPr="008E593B" w:rsidRDefault="00C00588" w:rsidP="00C00588">
            <w:pPr>
              <w:rPr>
                <w:color w:val="000000"/>
              </w:rPr>
            </w:pPr>
            <w:r w:rsidRPr="008E593B">
              <w:rPr>
                <w:color w:val="000000"/>
              </w:rPr>
              <w:t> </w:t>
            </w:r>
          </w:p>
        </w:tc>
        <w:tc>
          <w:tcPr>
            <w:tcW w:w="1746" w:type="dxa"/>
            <w:tcBorders>
              <w:top w:val="nil"/>
              <w:left w:val="nil"/>
              <w:bottom w:val="nil"/>
              <w:right w:val="single" w:sz="4" w:space="0" w:color="auto"/>
            </w:tcBorders>
            <w:shd w:val="clear" w:color="000000" w:fill="FFFFFF"/>
            <w:noWrap/>
            <w:vAlign w:val="bottom"/>
            <w:hideMark/>
          </w:tcPr>
          <w:p w:rsidR="00C00588" w:rsidRPr="008E593B" w:rsidRDefault="00C00588" w:rsidP="00C00588">
            <w:r w:rsidRPr="008E593B">
              <w:t> </w:t>
            </w:r>
          </w:p>
        </w:tc>
      </w:tr>
      <w:tr w:rsidR="00D30927"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D30927" w:rsidRPr="008E593B" w:rsidRDefault="00D30927" w:rsidP="00D30927">
            <w:pPr>
              <w:jc w:val="center"/>
            </w:pPr>
            <w:r w:rsidRPr="008E593B">
              <w:t>1</w:t>
            </w:r>
          </w:p>
        </w:tc>
        <w:tc>
          <w:tcPr>
            <w:tcW w:w="3754" w:type="dxa"/>
            <w:tcBorders>
              <w:top w:val="nil"/>
              <w:left w:val="nil"/>
              <w:bottom w:val="nil"/>
              <w:right w:val="nil"/>
            </w:tcBorders>
            <w:shd w:val="clear" w:color="000000" w:fill="FFFFFF"/>
            <w:noWrap/>
            <w:vAlign w:val="bottom"/>
            <w:hideMark/>
          </w:tcPr>
          <w:p w:rsidR="00D30927" w:rsidRPr="008E593B" w:rsidRDefault="00D30927" w:rsidP="00D30927">
            <w:r w:rsidRPr="008E593B">
              <w:t>Plant in Service</w:t>
            </w:r>
          </w:p>
        </w:tc>
        <w:tc>
          <w:tcPr>
            <w:tcW w:w="1596" w:type="dxa"/>
            <w:tcBorders>
              <w:top w:val="nil"/>
              <w:left w:val="nil"/>
              <w:bottom w:val="nil"/>
              <w:right w:val="nil"/>
            </w:tcBorders>
            <w:shd w:val="clear" w:color="000000" w:fill="FFFFFF"/>
            <w:noWrap/>
            <w:vAlign w:val="bottom"/>
            <w:hideMark/>
          </w:tcPr>
          <w:p w:rsidR="00D30927" w:rsidRPr="008E593B" w:rsidRDefault="00D30927" w:rsidP="00D30927">
            <w:pPr>
              <w:jc w:val="right"/>
            </w:pPr>
            <w:r w:rsidRPr="008E593B">
              <w:t xml:space="preserve">$111,533,582 </w:t>
            </w:r>
          </w:p>
        </w:tc>
        <w:tc>
          <w:tcPr>
            <w:tcW w:w="1422" w:type="dxa"/>
            <w:tcBorders>
              <w:top w:val="nil"/>
              <w:left w:val="nil"/>
              <w:bottom w:val="nil"/>
              <w:right w:val="nil"/>
            </w:tcBorders>
            <w:shd w:val="clear" w:color="000000" w:fill="FFFFFF"/>
            <w:noWrap/>
            <w:vAlign w:val="bottom"/>
            <w:hideMark/>
          </w:tcPr>
          <w:p w:rsidR="00D30927" w:rsidRPr="008E593B" w:rsidRDefault="00D30927" w:rsidP="00D30927">
            <w:pPr>
              <w:jc w:val="right"/>
            </w:pPr>
            <w:r w:rsidRPr="008E593B">
              <w:t xml:space="preserve">$0 </w:t>
            </w:r>
          </w:p>
        </w:tc>
        <w:tc>
          <w:tcPr>
            <w:tcW w:w="1746" w:type="dxa"/>
            <w:tcBorders>
              <w:top w:val="nil"/>
              <w:left w:val="nil"/>
              <w:bottom w:val="nil"/>
              <w:right w:val="single" w:sz="4" w:space="0" w:color="auto"/>
            </w:tcBorders>
            <w:shd w:val="clear" w:color="000000" w:fill="FFFFFF"/>
            <w:noWrap/>
            <w:vAlign w:val="bottom"/>
            <w:hideMark/>
          </w:tcPr>
          <w:p w:rsidR="00D30927" w:rsidRPr="008E593B" w:rsidRDefault="00D30927" w:rsidP="00D30927">
            <w:pPr>
              <w:jc w:val="right"/>
            </w:pPr>
            <w:r w:rsidRPr="008E593B">
              <w:t xml:space="preserve">$111,533,582 </w:t>
            </w:r>
          </w:p>
        </w:tc>
      </w:tr>
      <w:tr w:rsidR="00D30927"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D30927" w:rsidRPr="008E593B" w:rsidRDefault="00D30927" w:rsidP="00D30927">
            <w:pPr>
              <w:jc w:val="center"/>
            </w:pPr>
            <w:r w:rsidRPr="008E593B">
              <w:t> </w:t>
            </w:r>
          </w:p>
        </w:tc>
        <w:tc>
          <w:tcPr>
            <w:tcW w:w="3754" w:type="dxa"/>
            <w:tcBorders>
              <w:top w:val="nil"/>
              <w:left w:val="nil"/>
              <w:bottom w:val="nil"/>
              <w:right w:val="nil"/>
            </w:tcBorders>
            <w:shd w:val="clear" w:color="000000" w:fill="FFFFFF"/>
            <w:noWrap/>
            <w:vAlign w:val="bottom"/>
            <w:hideMark/>
          </w:tcPr>
          <w:p w:rsidR="00D30927" w:rsidRPr="008E593B" w:rsidRDefault="00D30927" w:rsidP="00D30927">
            <w:pPr>
              <w:rPr>
                <w:color w:val="000000"/>
              </w:rPr>
            </w:pPr>
            <w:r w:rsidRPr="008E593B">
              <w:rPr>
                <w:color w:val="000000"/>
              </w:rPr>
              <w:t> </w:t>
            </w:r>
          </w:p>
        </w:tc>
        <w:tc>
          <w:tcPr>
            <w:tcW w:w="1596" w:type="dxa"/>
            <w:tcBorders>
              <w:top w:val="nil"/>
              <w:left w:val="nil"/>
              <w:bottom w:val="nil"/>
              <w:right w:val="nil"/>
            </w:tcBorders>
            <w:shd w:val="clear" w:color="000000" w:fill="FFFFFF"/>
            <w:noWrap/>
            <w:vAlign w:val="bottom"/>
            <w:hideMark/>
          </w:tcPr>
          <w:p w:rsidR="00D30927" w:rsidRPr="008E593B" w:rsidRDefault="00D30927" w:rsidP="00D30927">
            <w:r w:rsidRPr="008E593B">
              <w:t> </w:t>
            </w:r>
          </w:p>
        </w:tc>
        <w:tc>
          <w:tcPr>
            <w:tcW w:w="1422" w:type="dxa"/>
            <w:tcBorders>
              <w:top w:val="nil"/>
              <w:left w:val="nil"/>
              <w:bottom w:val="nil"/>
              <w:right w:val="nil"/>
            </w:tcBorders>
            <w:shd w:val="clear" w:color="000000" w:fill="FFFFFF"/>
            <w:noWrap/>
            <w:vAlign w:val="bottom"/>
            <w:hideMark/>
          </w:tcPr>
          <w:p w:rsidR="00D30927" w:rsidRPr="008E593B" w:rsidRDefault="00D30927" w:rsidP="00D30927">
            <w:r w:rsidRPr="008E593B">
              <w:t> </w:t>
            </w:r>
          </w:p>
        </w:tc>
        <w:tc>
          <w:tcPr>
            <w:tcW w:w="1746" w:type="dxa"/>
            <w:tcBorders>
              <w:top w:val="nil"/>
              <w:left w:val="nil"/>
              <w:bottom w:val="nil"/>
              <w:right w:val="single" w:sz="4" w:space="0" w:color="auto"/>
            </w:tcBorders>
            <w:shd w:val="clear" w:color="000000" w:fill="FFFFFF"/>
            <w:noWrap/>
            <w:vAlign w:val="bottom"/>
            <w:hideMark/>
          </w:tcPr>
          <w:p w:rsidR="00D30927" w:rsidRPr="008E593B" w:rsidRDefault="00D30927" w:rsidP="00D30927">
            <w:r w:rsidRPr="008E593B">
              <w:t> </w:t>
            </w:r>
          </w:p>
        </w:tc>
      </w:tr>
      <w:tr w:rsidR="00D30927"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D30927" w:rsidRPr="008E593B" w:rsidRDefault="00D30927" w:rsidP="00D30927">
            <w:pPr>
              <w:jc w:val="center"/>
            </w:pPr>
            <w:r w:rsidRPr="008E593B">
              <w:t>2</w:t>
            </w:r>
          </w:p>
        </w:tc>
        <w:tc>
          <w:tcPr>
            <w:tcW w:w="3754" w:type="dxa"/>
            <w:tcBorders>
              <w:top w:val="nil"/>
              <w:left w:val="nil"/>
              <w:bottom w:val="nil"/>
              <w:right w:val="nil"/>
            </w:tcBorders>
            <w:shd w:val="clear" w:color="000000" w:fill="FFFFFF"/>
            <w:noWrap/>
            <w:vAlign w:val="bottom"/>
            <w:hideMark/>
          </w:tcPr>
          <w:p w:rsidR="00D30927" w:rsidRPr="008E593B" w:rsidRDefault="00D30927" w:rsidP="00D30927">
            <w:r w:rsidRPr="008E593B">
              <w:t>Land and Land Rights</w:t>
            </w:r>
          </w:p>
        </w:tc>
        <w:tc>
          <w:tcPr>
            <w:tcW w:w="1596" w:type="dxa"/>
            <w:tcBorders>
              <w:top w:val="nil"/>
              <w:left w:val="nil"/>
              <w:bottom w:val="nil"/>
              <w:right w:val="nil"/>
            </w:tcBorders>
            <w:shd w:val="clear" w:color="000000" w:fill="FFFFFF"/>
            <w:noWrap/>
            <w:vAlign w:val="bottom"/>
            <w:hideMark/>
          </w:tcPr>
          <w:p w:rsidR="00D30927" w:rsidRPr="008E593B" w:rsidRDefault="00D30927" w:rsidP="00D30927">
            <w:pPr>
              <w:jc w:val="right"/>
            </w:pPr>
            <w:r w:rsidRPr="008E593B">
              <w:t xml:space="preserve">1,617,500 </w:t>
            </w:r>
          </w:p>
        </w:tc>
        <w:tc>
          <w:tcPr>
            <w:tcW w:w="1422" w:type="dxa"/>
            <w:tcBorders>
              <w:top w:val="nil"/>
              <w:left w:val="nil"/>
              <w:bottom w:val="nil"/>
              <w:right w:val="nil"/>
            </w:tcBorders>
            <w:shd w:val="clear" w:color="000000" w:fill="FFFFFF"/>
            <w:noWrap/>
            <w:vAlign w:val="bottom"/>
            <w:hideMark/>
          </w:tcPr>
          <w:p w:rsidR="00D30927" w:rsidRPr="008E593B" w:rsidRDefault="00D30927" w:rsidP="00D30927">
            <w:pPr>
              <w:jc w:val="right"/>
            </w:pPr>
            <w:r w:rsidRPr="008E593B">
              <w:t xml:space="preserve">0 </w:t>
            </w:r>
          </w:p>
        </w:tc>
        <w:tc>
          <w:tcPr>
            <w:tcW w:w="1746" w:type="dxa"/>
            <w:tcBorders>
              <w:top w:val="nil"/>
              <w:left w:val="nil"/>
              <w:bottom w:val="nil"/>
              <w:right w:val="single" w:sz="4" w:space="0" w:color="auto"/>
            </w:tcBorders>
            <w:shd w:val="clear" w:color="000000" w:fill="FFFFFF"/>
            <w:noWrap/>
            <w:vAlign w:val="bottom"/>
            <w:hideMark/>
          </w:tcPr>
          <w:p w:rsidR="00D30927" w:rsidRPr="008E593B" w:rsidRDefault="00D30927" w:rsidP="00D30927">
            <w:pPr>
              <w:jc w:val="right"/>
            </w:pPr>
            <w:r w:rsidRPr="008E593B">
              <w:t xml:space="preserve">1,617,500 </w:t>
            </w:r>
          </w:p>
        </w:tc>
      </w:tr>
      <w:tr w:rsidR="00D30927"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D30927" w:rsidRPr="008E593B" w:rsidRDefault="00D30927" w:rsidP="00D30927">
            <w:pPr>
              <w:jc w:val="center"/>
            </w:pPr>
            <w:r w:rsidRPr="008E593B">
              <w:t> </w:t>
            </w:r>
          </w:p>
        </w:tc>
        <w:tc>
          <w:tcPr>
            <w:tcW w:w="3754" w:type="dxa"/>
            <w:tcBorders>
              <w:top w:val="nil"/>
              <w:left w:val="nil"/>
              <w:bottom w:val="nil"/>
              <w:right w:val="nil"/>
            </w:tcBorders>
            <w:shd w:val="clear" w:color="000000" w:fill="FFFFFF"/>
            <w:noWrap/>
            <w:vAlign w:val="bottom"/>
            <w:hideMark/>
          </w:tcPr>
          <w:p w:rsidR="00D30927" w:rsidRPr="008E593B" w:rsidRDefault="00D30927" w:rsidP="00D30927">
            <w:pPr>
              <w:rPr>
                <w:color w:val="000000"/>
              </w:rPr>
            </w:pPr>
            <w:r w:rsidRPr="008E593B">
              <w:rPr>
                <w:color w:val="000000"/>
              </w:rPr>
              <w:t> </w:t>
            </w:r>
          </w:p>
        </w:tc>
        <w:tc>
          <w:tcPr>
            <w:tcW w:w="1596" w:type="dxa"/>
            <w:tcBorders>
              <w:top w:val="nil"/>
              <w:left w:val="nil"/>
              <w:bottom w:val="nil"/>
              <w:right w:val="nil"/>
            </w:tcBorders>
            <w:shd w:val="clear" w:color="000000" w:fill="FFFFFF"/>
            <w:noWrap/>
            <w:vAlign w:val="bottom"/>
            <w:hideMark/>
          </w:tcPr>
          <w:p w:rsidR="00D30927" w:rsidRPr="008E593B" w:rsidRDefault="00D30927" w:rsidP="00D30927">
            <w:r w:rsidRPr="008E593B">
              <w:t> </w:t>
            </w:r>
          </w:p>
        </w:tc>
        <w:tc>
          <w:tcPr>
            <w:tcW w:w="1422" w:type="dxa"/>
            <w:tcBorders>
              <w:top w:val="nil"/>
              <w:left w:val="nil"/>
              <w:bottom w:val="nil"/>
              <w:right w:val="nil"/>
            </w:tcBorders>
            <w:shd w:val="clear" w:color="000000" w:fill="FFFFFF"/>
            <w:noWrap/>
            <w:vAlign w:val="bottom"/>
            <w:hideMark/>
          </w:tcPr>
          <w:p w:rsidR="00D30927" w:rsidRPr="008E593B" w:rsidRDefault="00D30927" w:rsidP="00D30927">
            <w:r w:rsidRPr="008E593B">
              <w:t> </w:t>
            </w:r>
          </w:p>
        </w:tc>
        <w:tc>
          <w:tcPr>
            <w:tcW w:w="1746" w:type="dxa"/>
            <w:tcBorders>
              <w:top w:val="nil"/>
              <w:left w:val="nil"/>
              <w:bottom w:val="nil"/>
              <w:right w:val="single" w:sz="4" w:space="0" w:color="auto"/>
            </w:tcBorders>
            <w:shd w:val="clear" w:color="000000" w:fill="FFFFFF"/>
            <w:noWrap/>
            <w:vAlign w:val="bottom"/>
            <w:hideMark/>
          </w:tcPr>
          <w:p w:rsidR="00D30927" w:rsidRPr="008E593B" w:rsidRDefault="00D30927" w:rsidP="00D30927">
            <w:r w:rsidRPr="008E593B">
              <w:t> </w:t>
            </w:r>
          </w:p>
        </w:tc>
      </w:tr>
      <w:tr w:rsidR="00D30927"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D30927" w:rsidRPr="008E593B" w:rsidRDefault="00D30927" w:rsidP="00D30927">
            <w:pPr>
              <w:jc w:val="center"/>
            </w:pPr>
            <w:r w:rsidRPr="008E593B">
              <w:t>3</w:t>
            </w:r>
          </w:p>
        </w:tc>
        <w:tc>
          <w:tcPr>
            <w:tcW w:w="3754" w:type="dxa"/>
            <w:tcBorders>
              <w:top w:val="nil"/>
              <w:left w:val="nil"/>
              <w:bottom w:val="nil"/>
              <w:right w:val="nil"/>
            </w:tcBorders>
            <w:shd w:val="clear" w:color="000000" w:fill="FFFFFF"/>
            <w:noWrap/>
            <w:vAlign w:val="bottom"/>
            <w:hideMark/>
          </w:tcPr>
          <w:p w:rsidR="00D30927" w:rsidRPr="008E593B" w:rsidRDefault="00D30927" w:rsidP="00D30927">
            <w:r w:rsidRPr="008E593B">
              <w:t>Accumulated Depreciation</w:t>
            </w:r>
          </w:p>
        </w:tc>
        <w:tc>
          <w:tcPr>
            <w:tcW w:w="1596" w:type="dxa"/>
            <w:tcBorders>
              <w:top w:val="nil"/>
              <w:left w:val="nil"/>
              <w:bottom w:val="nil"/>
              <w:right w:val="nil"/>
            </w:tcBorders>
            <w:shd w:val="clear" w:color="000000" w:fill="FFFFFF"/>
            <w:noWrap/>
            <w:vAlign w:val="bottom"/>
            <w:hideMark/>
          </w:tcPr>
          <w:p w:rsidR="00D30927" w:rsidRPr="008E593B" w:rsidRDefault="00D30927" w:rsidP="00D30927">
            <w:pPr>
              <w:jc w:val="right"/>
            </w:pPr>
            <w:r w:rsidRPr="008E593B">
              <w:t>(12,114,001)</w:t>
            </w:r>
          </w:p>
        </w:tc>
        <w:tc>
          <w:tcPr>
            <w:tcW w:w="1422" w:type="dxa"/>
            <w:tcBorders>
              <w:top w:val="nil"/>
              <w:left w:val="nil"/>
              <w:bottom w:val="nil"/>
              <w:right w:val="nil"/>
            </w:tcBorders>
            <w:shd w:val="clear" w:color="000000" w:fill="FFFFFF"/>
            <w:noWrap/>
            <w:vAlign w:val="bottom"/>
            <w:hideMark/>
          </w:tcPr>
          <w:p w:rsidR="00D30927" w:rsidRPr="008E593B" w:rsidRDefault="00D30927" w:rsidP="00D30927">
            <w:pPr>
              <w:jc w:val="right"/>
            </w:pPr>
            <w:r>
              <w:t>0</w:t>
            </w:r>
          </w:p>
        </w:tc>
        <w:tc>
          <w:tcPr>
            <w:tcW w:w="1746" w:type="dxa"/>
            <w:tcBorders>
              <w:top w:val="nil"/>
              <w:left w:val="nil"/>
              <w:bottom w:val="nil"/>
              <w:right w:val="single" w:sz="4" w:space="0" w:color="auto"/>
            </w:tcBorders>
            <w:shd w:val="clear" w:color="000000" w:fill="FFFFFF"/>
            <w:noWrap/>
            <w:vAlign w:val="bottom"/>
            <w:hideMark/>
          </w:tcPr>
          <w:p w:rsidR="00D30927" w:rsidRPr="008E593B" w:rsidRDefault="00D30927" w:rsidP="00D30927">
            <w:pPr>
              <w:jc w:val="right"/>
            </w:pPr>
            <w:r w:rsidRPr="008E593B">
              <w:t>(12,114,001)</w:t>
            </w:r>
          </w:p>
        </w:tc>
      </w:tr>
      <w:tr w:rsidR="00D30927"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D30927" w:rsidRPr="008E593B" w:rsidRDefault="00D30927" w:rsidP="00D30927">
            <w:pPr>
              <w:jc w:val="center"/>
            </w:pPr>
            <w:r w:rsidRPr="008E593B">
              <w:t> </w:t>
            </w:r>
          </w:p>
        </w:tc>
        <w:tc>
          <w:tcPr>
            <w:tcW w:w="3754" w:type="dxa"/>
            <w:tcBorders>
              <w:top w:val="nil"/>
              <w:left w:val="nil"/>
              <w:bottom w:val="nil"/>
              <w:right w:val="nil"/>
            </w:tcBorders>
            <w:shd w:val="clear" w:color="000000" w:fill="FFFFFF"/>
            <w:noWrap/>
            <w:vAlign w:val="bottom"/>
            <w:hideMark/>
          </w:tcPr>
          <w:p w:rsidR="00D30927" w:rsidRPr="008E593B" w:rsidRDefault="00D30927" w:rsidP="00D30927">
            <w:pPr>
              <w:rPr>
                <w:color w:val="000000"/>
              </w:rPr>
            </w:pPr>
            <w:r w:rsidRPr="008E593B">
              <w:rPr>
                <w:color w:val="000000"/>
              </w:rPr>
              <w:t> </w:t>
            </w:r>
          </w:p>
        </w:tc>
        <w:tc>
          <w:tcPr>
            <w:tcW w:w="1596" w:type="dxa"/>
            <w:tcBorders>
              <w:top w:val="nil"/>
              <w:left w:val="nil"/>
              <w:bottom w:val="nil"/>
              <w:right w:val="nil"/>
            </w:tcBorders>
            <w:shd w:val="clear" w:color="000000" w:fill="FFFFFF"/>
            <w:noWrap/>
            <w:vAlign w:val="bottom"/>
            <w:hideMark/>
          </w:tcPr>
          <w:p w:rsidR="00D30927" w:rsidRPr="008E593B" w:rsidRDefault="00D30927" w:rsidP="00D30927">
            <w:r w:rsidRPr="008E593B">
              <w:t> </w:t>
            </w:r>
          </w:p>
        </w:tc>
        <w:tc>
          <w:tcPr>
            <w:tcW w:w="1422" w:type="dxa"/>
            <w:tcBorders>
              <w:top w:val="nil"/>
              <w:left w:val="nil"/>
              <w:bottom w:val="nil"/>
              <w:right w:val="nil"/>
            </w:tcBorders>
            <w:shd w:val="clear" w:color="000000" w:fill="FFFFFF"/>
            <w:noWrap/>
            <w:vAlign w:val="bottom"/>
            <w:hideMark/>
          </w:tcPr>
          <w:p w:rsidR="00D30927" w:rsidRPr="008E593B" w:rsidRDefault="00D30927" w:rsidP="00D30927">
            <w:r w:rsidRPr="008E593B">
              <w:t> </w:t>
            </w:r>
          </w:p>
        </w:tc>
        <w:tc>
          <w:tcPr>
            <w:tcW w:w="1746" w:type="dxa"/>
            <w:tcBorders>
              <w:top w:val="nil"/>
              <w:left w:val="nil"/>
              <w:bottom w:val="nil"/>
              <w:right w:val="single" w:sz="4" w:space="0" w:color="auto"/>
            </w:tcBorders>
            <w:shd w:val="clear" w:color="000000" w:fill="FFFFFF"/>
            <w:noWrap/>
            <w:vAlign w:val="bottom"/>
            <w:hideMark/>
          </w:tcPr>
          <w:p w:rsidR="00D30927" w:rsidRPr="008E593B" w:rsidRDefault="00D30927" w:rsidP="00D30927">
            <w:r w:rsidRPr="008E593B">
              <w:t> </w:t>
            </w:r>
          </w:p>
        </w:tc>
      </w:tr>
      <w:tr w:rsidR="00D30927"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D30927" w:rsidRPr="008E593B" w:rsidRDefault="00D30927" w:rsidP="00D30927">
            <w:pPr>
              <w:jc w:val="center"/>
            </w:pPr>
            <w:r w:rsidRPr="008E593B">
              <w:t>4</w:t>
            </w:r>
          </w:p>
        </w:tc>
        <w:tc>
          <w:tcPr>
            <w:tcW w:w="3754" w:type="dxa"/>
            <w:tcBorders>
              <w:top w:val="nil"/>
              <w:left w:val="nil"/>
              <w:bottom w:val="nil"/>
              <w:right w:val="nil"/>
            </w:tcBorders>
            <w:shd w:val="clear" w:color="000000" w:fill="FFFFFF"/>
            <w:noWrap/>
            <w:vAlign w:val="bottom"/>
            <w:hideMark/>
          </w:tcPr>
          <w:p w:rsidR="00D30927" w:rsidRPr="008E593B" w:rsidRDefault="00D30927" w:rsidP="00D30927">
            <w:r w:rsidRPr="008E593B">
              <w:t>CIAC</w:t>
            </w:r>
          </w:p>
        </w:tc>
        <w:tc>
          <w:tcPr>
            <w:tcW w:w="1596" w:type="dxa"/>
            <w:tcBorders>
              <w:top w:val="nil"/>
              <w:left w:val="nil"/>
              <w:bottom w:val="nil"/>
              <w:right w:val="nil"/>
            </w:tcBorders>
            <w:shd w:val="clear" w:color="000000" w:fill="FFFFFF"/>
            <w:noWrap/>
            <w:vAlign w:val="bottom"/>
            <w:hideMark/>
          </w:tcPr>
          <w:p w:rsidR="00D30927" w:rsidRPr="008E593B" w:rsidRDefault="00D30927" w:rsidP="00D30927">
            <w:pPr>
              <w:jc w:val="right"/>
            </w:pPr>
            <w:r w:rsidRPr="008E593B">
              <w:t>(45,442,029)</w:t>
            </w:r>
          </w:p>
        </w:tc>
        <w:tc>
          <w:tcPr>
            <w:tcW w:w="1422" w:type="dxa"/>
            <w:tcBorders>
              <w:top w:val="nil"/>
              <w:left w:val="nil"/>
              <w:bottom w:val="nil"/>
              <w:right w:val="nil"/>
            </w:tcBorders>
            <w:shd w:val="clear" w:color="000000" w:fill="FFFFFF"/>
            <w:noWrap/>
            <w:vAlign w:val="bottom"/>
            <w:hideMark/>
          </w:tcPr>
          <w:p w:rsidR="00D30927" w:rsidRPr="008E593B" w:rsidRDefault="00D30927" w:rsidP="00D30927">
            <w:pPr>
              <w:jc w:val="right"/>
            </w:pPr>
            <w:r>
              <w:t>(304,025)</w:t>
            </w:r>
            <w:r w:rsidRPr="008E593B">
              <w:t xml:space="preserve"> </w:t>
            </w:r>
          </w:p>
        </w:tc>
        <w:tc>
          <w:tcPr>
            <w:tcW w:w="1746" w:type="dxa"/>
            <w:tcBorders>
              <w:top w:val="nil"/>
              <w:left w:val="nil"/>
              <w:bottom w:val="nil"/>
              <w:right w:val="single" w:sz="4" w:space="0" w:color="auto"/>
            </w:tcBorders>
            <w:shd w:val="clear" w:color="000000" w:fill="FFFFFF"/>
            <w:noWrap/>
            <w:vAlign w:val="bottom"/>
            <w:hideMark/>
          </w:tcPr>
          <w:p w:rsidR="00D30927" w:rsidRPr="008E593B" w:rsidRDefault="00D30927" w:rsidP="00D30927">
            <w:pPr>
              <w:jc w:val="right"/>
            </w:pPr>
            <w:r w:rsidRPr="008E593B">
              <w:t>(</w:t>
            </w:r>
            <w:r>
              <w:t>45,746,054</w:t>
            </w:r>
            <w:r w:rsidRPr="008E593B">
              <w:t>)</w:t>
            </w:r>
          </w:p>
        </w:tc>
      </w:tr>
      <w:tr w:rsidR="00D30927"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D30927" w:rsidRPr="008E593B" w:rsidRDefault="00D30927" w:rsidP="00D30927">
            <w:pPr>
              <w:jc w:val="center"/>
            </w:pPr>
            <w:r w:rsidRPr="008E593B">
              <w:t> </w:t>
            </w:r>
          </w:p>
        </w:tc>
        <w:tc>
          <w:tcPr>
            <w:tcW w:w="3754" w:type="dxa"/>
            <w:tcBorders>
              <w:top w:val="nil"/>
              <w:left w:val="nil"/>
              <w:bottom w:val="nil"/>
              <w:right w:val="nil"/>
            </w:tcBorders>
            <w:shd w:val="clear" w:color="000000" w:fill="FFFFFF"/>
            <w:noWrap/>
            <w:vAlign w:val="bottom"/>
            <w:hideMark/>
          </w:tcPr>
          <w:p w:rsidR="00D30927" w:rsidRPr="008E593B" w:rsidRDefault="00D30927" w:rsidP="00D30927">
            <w:pPr>
              <w:rPr>
                <w:color w:val="000000"/>
              </w:rPr>
            </w:pPr>
            <w:r w:rsidRPr="008E593B">
              <w:rPr>
                <w:color w:val="000000"/>
              </w:rPr>
              <w:t> </w:t>
            </w:r>
          </w:p>
        </w:tc>
        <w:tc>
          <w:tcPr>
            <w:tcW w:w="1596" w:type="dxa"/>
            <w:tcBorders>
              <w:top w:val="nil"/>
              <w:left w:val="nil"/>
              <w:bottom w:val="nil"/>
              <w:right w:val="nil"/>
            </w:tcBorders>
            <w:shd w:val="clear" w:color="000000" w:fill="FFFFFF"/>
            <w:noWrap/>
            <w:vAlign w:val="bottom"/>
            <w:hideMark/>
          </w:tcPr>
          <w:p w:rsidR="00D30927" w:rsidRPr="008E593B" w:rsidRDefault="00D30927" w:rsidP="00D30927">
            <w:r w:rsidRPr="008E593B">
              <w:t> </w:t>
            </w:r>
          </w:p>
        </w:tc>
        <w:tc>
          <w:tcPr>
            <w:tcW w:w="1422" w:type="dxa"/>
            <w:tcBorders>
              <w:top w:val="nil"/>
              <w:left w:val="nil"/>
              <w:bottom w:val="nil"/>
              <w:right w:val="nil"/>
            </w:tcBorders>
            <w:shd w:val="clear" w:color="000000" w:fill="FFFFFF"/>
            <w:noWrap/>
            <w:vAlign w:val="bottom"/>
            <w:hideMark/>
          </w:tcPr>
          <w:p w:rsidR="00D30927" w:rsidRPr="008E593B" w:rsidRDefault="00D30927" w:rsidP="00D30927">
            <w:r w:rsidRPr="008E593B">
              <w:t> </w:t>
            </w:r>
          </w:p>
        </w:tc>
        <w:tc>
          <w:tcPr>
            <w:tcW w:w="1746" w:type="dxa"/>
            <w:tcBorders>
              <w:top w:val="nil"/>
              <w:left w:val="nil"/>
              <w:bottom w:val="nil"/>
              <w:right w:val="single" w:sz="4" w:space="0" w:color="auto"/>
            </w:tcBorders>
            <w:shd w:val="clear" w:color="000000" w:fill="FFFFFF"/>
            <w:noWrap/>
            <w:vAlign w:val="bottom"/>
            <w:hideMark/>
          </w:tcPr>
          <w:p w:rsidR="00D30927" w:rsidRPr="008E593B" w:rsidRDefault="00D30927" w:rsidP="00D30927">
            <w:r w:rsidRPr="008E593B">
              <w:t> </w:t>
            </w:r>
          </w:p>
        </w:tc>
      </w:tr>
      <w:tr w:rsidR="00D30927"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D30927" w:rsidRPr="008E593B" w:rsidRDefault="00D30927" w:rsidP="00D30927">
            <w:pPr>
              <w:jc w:val="center"/>
            </w:pPr>
            <w:r w:rsidRPr="008E593B">
              <w:t>5</w:t>
            </w:r>
          </w:p>
        </w:tc>
        <w:tc>
          <w:tcPr>
            <w:tcW w:w="3754" w:type="dxa"/>
            <w:tcBorders>
              <w:top w:val="nil"/>
              <w:left w:val="nil"/>
              <w:bottom w:val="nil"/>
              <w:right w:val="nil"/>
            </w:tcBorders>
            <w:shd w:val="clear" w:color="000000" w:fill="FFFFFF"/>
            <w:noWrap/>
            <w:vAlign w:val="bottom"/>
            <w:hideMark/>
          </w:tcPr>
          <w:p w:rsidR="00D30927" w:rsidRPr="008E593B" w:rsidRDefault="00D30927" w:rsidP="00D30927">
            <w:r w:rsidRPr="008E593B">
              <w:t>Amortization of CIAC</w:t>
            </w:r>
          </w:p>
        </w:tc>
        <w:tc>
          <w:tcPr>
            <w:tcW w:w="1596" w:type="dxa"/>
            <w:tcBorders>
              <w:top w:val="nil"/>
              <w:left w:val="nil"/>
              <w:bottom w:val="nil"/>
              <w:right w:val="nil"/>
            </w:tcBorders>
            <w:shd w:val="clear" w:color="000000" w:fill="FFFFFF"/>
            <w:noWrap/>
            <w:vAlign w:val="bottom"/>
            <w:hideMark/>
          </w:tcPr>
          <w:p w:rsidR="00D30927" w:rsidRPr="008E593B" w:rsidRDefault="00D30927" w:rsidP="00D30927">
            <w:pPr>
              <w:jc w:val="right"/>
            </w:pPr>
            <w:r w:rsidRPr="008E593B">
              <w:t xml:space="preserve">3,285,601 </w:t>
            </w:r>
          </w:p>
        </w:tc>
        <w:tc>
          <w:tcPr>
            <w:tcW w:w="1422" w:type="dxa"/>
            <w:tcBorders>
              <w:top w:val="nil"/>
              <w:left w:val="nil"/>
              <w:bottom w:val="nil"/>
              <w:right w:val="nil"/>
            </w:tcBorders>
            <w:shd w:val="clear" w:color="000000" w:fill="FFFFFF"/>
            <w:noWrap/>
            <w:vAlign w:val="bottom"/>
            <w:hideMark/>
          </w:tcPr>
          <w:p w:rsidR="00D30927" w:rsidRPr="008E593B" w:rsidRDefault="00D30927" w:rsidP="00D30927">
            <w:pPr>
              <w:jc w:val="right"/>
            </w:pPr>
            <w:r>
              <w:t>2,795,268</w:t>
            </w:r>
          </w:p>
        </w:tc>
        <w:tc>
          <w:tcPr>
            <w:tcW w:w="1746" w:type="dxa"/>
            <w:tcBorders>
              <w:top w:val="nil"/>
              <w:left w:val="nil"/>
              <w:bottom w:val="nil"/>
              <w:right w:val="single" w:sz="4" w:space="0" w:color="auto"/>
            </w:tcBorders>
            <w:shd w:val="clear" w:color="000000" w:fill="FFFFFF"/>
            <w:noWrap/>
            <w:vAlign w:val="bottom"/>
            <w:hideMark/>
          </w:tcPr>
          <w:p w:rsidR="00D30927" w:rsidRPr="008E593B" w:rsidRDefault="00D30927" w:rsidP="00D30927">
            <w:pPr>
              <w:jc w:val="right"/>
            </w:pPr>
            <w:r>
              <w:t>6,080,869</w:t>
            </w:r>
            <w:r w:rsidRPr="008E593B">
              <w:t xml:space="preserve"> </w:t>
            </w:r>
          </w:p>
        </w:tc>
      </w:tr>
      <w:tr w:rsidR="00D30927"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D30927" w:rsidRPr="008E593B" w:rsidRDefault="00D30927" w:rsidP="00D30927">
            <w:pPr>
              <w:jc w:val="center"/>
            </w:pPr>
            <w:r w:rsidRPr="008E593B">
              <w:t> </w:t>
            </w:r>
          </w:p>
        </w:tc>
        <w:tc>
          <w:tcPr>
            <w:tcW w:w="3754" w:type="dxa"/>
            <w:tcBorders>
              <w:top w:val="nil"/>
              <w:left w:val="nil"/>
              <w:bottom w:val="nil"/>
              <w:right w:val="nil"/>
            </w:tcBorders>
            <w:shd w:val="clear" w:color="000000" w:fill="FFFFFF"/>
            <w:noWrap/>
            <w:vAlign w:val="bottom"/>
            <w:hideMark/>
          </w:tcPr>
          <w:p w:rsidR="00D30927" w:rsidRPr="008E593B" w:rsidRDefault="00D30927" w:rsidP="00D30927">
            <w:pPr>
              <w:rPr>
                <w:color w:val="000000"/>
              </w:rPr>
            </w:pPr>
            <w:r w:rsidRPr="008E593B">
              <w:rPr>
                <w:color w:val="000000"/>
              </w:rPr>
              <w:t> </w:t>
            </w:r>
          </w:p>
        </w:tc>
        <w:tc>
          <w:tcPr>
            <w:tcW w:w="1596" w:type="dxa"/>
            <w:tcBorders>
              <w:top w:val="nil"/>
              <w:left w:val="nil"/>
              <w:bottom w:val="nil"/>
              <w:right w:val="nil"/>
            </w:tcBorders>
            <w:shd w:val="clear" w:color="000000" w:fill="FFFFFF"/>
            <w:noWrap/>
            <w:vAlign w:val="bottom"/>
            <w:hideMark/>
          </w:tcPr>
          <w:p w:rsidR="00D30927" w:rsidRPr="008E593B" w:rsidRDefault="00D30927" w:rsidP="00D30927">
            <w:r w:rsidRPr="008E593B">
              <w:t> </w:t>
            </w:r>
          </w:p>
        </w:tc>
        <w:tc>
          <w:tcPr>
            <w:tcW w:w="1422" w:type="dxa"/>
            <w:tcBorders>
              <w:top w:val="nil"/>
              <w:left w:val="nil"/>
              <w:bottom w:val="nil"/>
              <w:right w:val="nil"/>
            </w:tcBorders>
            <w:shd w:val="clear" w:color="000000" w:fill="FFFFFF"/>
            <w:noWrap/>
            <w:vAlign w:val="bottom"/>
            <w:hideMark/>
          </w:tcPr>
          <w:p w:rsidR="00D30927" w:rsidRPr="008E593B" w:rsidRDefault="00D30927" w:rsidP="00D30927">
            <w:r w:rsidRPr="008E593B">
              <w:t> </w:t>
            </w:r>
          </w:p>
        </w:tc>
        <w:tc>
          <w:tcPr>
            <w:tcW w:w="1746" w:type="dxa"/>
            <w:tcBorders>
              <w:top w:val="nil"/>
              <w:left w:val="nil"/>
              <w:bottom w:val="nil"/>
              <w:right w:val="single" w:sz="4" w:space="0" w:color="auto"/>
            </w:tcBorders>
            <w:shd w:val="clear" w:color="000000" w:fill="FFFFFF"/>
            <w:noWrap/>
            <w:vAlign w:val="bottom"/>
            <w:hideMark/>
          </w:tcPr>
          <w:p w:rsidR="00D30927" w:rsidRPr="008E593B" w:rsidRDefault="00D30927" w:rsidP="00D30927">
            <w:r w:rsidRPr="008E593B">
              <w:t> </w:t>
            </w:r>
          </w:p>
        </w:tc>
      </w:tr>
      <w:tr w:rsidR="00D30927"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D30927" w:rsidRPr="008E593B" w:rsidRDefault="00D30927" w:rsidP="00D30927">
            <w:pPr>
              <w:jc w:val="center"/>
            </w:pPr>
            <w:r w:rsidRPr="008E593B">
              <w:t>6</w:t>
            </w:r>
          </w:p>
        </w:tc>
        <w:tc>
          <w:tcPr>
            <w:tcW w:w="3754" w:type="dxa"/>
            <w:tcBorders>
              <w:top w:val="nil"/>
              <w:left w:val="nil"/>
              <w:bottom w:val="nil"/>
              <w:right w:val="nil"/>
            </w:tcBorders>
            <w:shd w:val="clear" w:color="000000" w:fill="FFFFFF"/>
            <w:noWrap/>
            <w:vAlign w:val="bottom"/>
            <w:hideMark/>
          </w:tcPr>
          <w:p w:rsidR="00D30927" w:rsidRPr="008E593B" w:rsidRDefault="00D30927" w:rsidP="00D30927">
            <w:r w:rsidRPr="008E593B">
              <w:t>Working Capital Allowance</w:t>
            </w:r>
          </w:p>
        </w:tc>
        <w:tc>
          <w:tcPr>
            <w:tcW w:w="1596" w:type="dxa"/>
            <w:tcBorders>
              <w:top w:val="nil"/>
              <w:left w:val="nil"/>
              <w:bottom w:val="nil"/>
              <w:right w:val="nil"/>
            </w:tcBorders>
            <w:shd w:val="clear" w:color="000000" w:fill="FFFFFF"/>
            <w:noWrap/>
            <w:vAlign w:val="bottom"/>
            <w:hideMark/>
          </w:tcPr>
          <w:p w:rsidR="00D30927" w:rsidRPr="008E593B" w:rsidRDefault="00D30927" w:rsidP="00D30927">
            <w:pPr>
              <w:jc w:val="right"/>
              <w:rPr>
                <w:u w:val="single"/>
              </w:rPr>
            </w:pPr>
            <w:r w:rsidRPr="008E593B">
              <w:rPr>
                <w:u w:val="single"/>
              </w:rPr>
              <w:t xml:space="preserve">259,389 </w:t>
            </w:r>
          </w:p>
        </w:tc>
        <w:tc>
          <w:tcPr>
            <w:tcW w:w="1422" w:type="dxa"/>
            <w:tcBorders>
              <w:top w:val="nil"/>
              <w:left w:val="nil"/>
              <w:bottom w:val="nil"/>
              <w:right w:val="nil"/>
            </w:tcBorders>
            <w:shd w:val="clear" w:color="000000" w:fill="FFFFFF"/>
            <w:noWrap/>
            <w:vAlign w:val="bottom"/>
            <w:hideMark/>
          </w:tcPr>
          <w:p w:rsidR="00D30927" w:rsidRPr="008E593B" w:rsidRDefault="00D30927" w:rsidP="00D30927">
            <w:pPr>
              <w:jc w:val="right"/>
              <w:rPr>
                <w:u w:val="single"/>
              </w:rPr>
            </w:pPr>
            <w:r>
              <w:rPr>
                <w:u w:val="single"/>
              </w:rPr>
              <w:t>0</w:t>
            </w:r>
          </w:p>
        </w:tc>
        <w:tc>
          <w:tcPr>
            <w:tcW w:w="1746" w:type="dxa"/>
            <w:tcBorders>
              <w:top w:val="nil"/>
              <w:left w:val="nil"/>
              <w:bottom w:val="nil"/>
              <w:right w:val="single" w:sz="4" w:space="0" w:color="auto"/>
            </w:tcBorders>
            <w:shd w:val="clear" w:color="000000" w:fill="FFFFFF"/>
            <w:noWrap/>
            <w:vAlign w:val="bottom"/>
            <w:hideMark/>
          </w:tcPr>
          <w:p w:rsidR="00D30927" w:rsidRPr="008E593B" w:rsidRDefault="00D30927" w:rsidP="00D30927">
            <w:pPr>
              <w:jc w:val="right"/>
              <w:rPr>
                <w:u w:val="single"/>
              </w:rPr>
            </w:pPr>
            <w:r w:rsidRPr="008E593B">
              <w:rPr>
                <w:u w:val="single"/>
              </w:rPr>
              <w:t xml:space="preserve">259,389 </w:t>
            </w:r>
          </w:p>
        </w:tc>
      </w:tr>
      <w:tr w:rsidR="00D30927"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D30927" w:rsidRPr="008E593B" w:rsidRDefault="00D30927" w:rsidP="00D30927">
            <w:r w:rsidRPr="008E593B">
              <w:t> </w:t>
            </w:r>
          </w:p>
        </w:tc>
        <w:tc>
          <w:tcPr>
            <w:tcW w:w="3754" w:type="dxa"/>
            <w:tcBorders>
              <w:top w:val="nil"/>
              <w:left w:val="nil"/>
              <w:bottom w:val="nil"/>
              <w:right w:val="nil"/>
            </w:tcBorders>
            <w:shd w:val="clear" w:color="000000" w:fill="FFFFFF"/>
            <w:noWrap/>
            <w:vAlign w:val="bottom"/>
            <w:hideMark/>
          </w:tcPr>
          <w:p w:rsidR="00D30927" w:rsidRPr="008E593B" w:rsidRDefault="00D30927" w:rsidP="00D30927">
            <w:pPr>
              <w:rPr>
                <w:color w:val="000000"/>
              </w:rPr>
            </w:pPr>
            <w:r w:rsidRPr="008E593B">
              <w:rPr>
                <w:color w:val="000000"/>
              </w:rPr>
              <w:t> </w:t>
            </w:r>
          </w:p>
        </w:tc>
        <w:tc>
          <w:tcPr>
            <w:tcW w:w="1596" w:type="dxa"/>
            <w:tcBorders>
              <w:top w:val="nil"/>
              <w:left w:val="nil"/>
              <w:bottom w:val="nil"/>
              <w:right w:val="nil"/>
            </w:tcBorders>
            <w:shd w:val="clear" w:color="000000" w:fill="FFFFFF"/>
            <w:noWrap/>
            <w:vAlign w:val="bottom"/>
            <w:hideMark/>
          </w:tcPr>
          <w:p w:rsidR="00D30927" w:rsidRPr="008E593B" w:rsidRDefault="00D30927" w:rsidP="00D30927">
            <w:r w:rsidRPr="008E593B">
              <w:t> </w:t>
            </w:r>
          </w:p>
        </w:tc>
        <w:tc>
          <w:tcPr>
            <w:tcW w:w="1422" w:type="dxa"/>
            <w:tcBorders>
              <w:top w:val="nil"/>
              <w:left w:val="nil"/>
              <w:bottom w:val="nil"/>
              <w:right w:val="nil"/>
            </w:tcBorders>
            <w:shd w:val="clear" w:color="000000" w:fill="FFFFFF"/>
            <w:noWrap/>
            <w:vAlign w:val="bottom"/>
            <w:hideMark/>
          </w:tcPr>
          <w:p w:rsidR="00D30927" w:rsidRPr="008E593B" w:rsidRDefault="00D30927" w:rsidP="00D30927">
            <w:r w:rsidRPr="008E593B">
              <w:t> </w:t>
            </w:r>
          </w:p>
        </w:tc>
        <w:tc>
          <w:tcPr>
            <w:tcW w:w="1746" w:type="dxa"/>
            <w:tcBorders>
              <w:top w:val="nil"/>
              <w:left w:val="nil"/>
              <w:bottom w:val="nil"/>
              <w:right w:val="single" w:sz="4" w:space="0" w:color="auto"/>
            </w:tcBorders>
            <w:shd w:val="clear" w:color="000000" w:fill="FFFFFF"/>
            <w:noWrap/>
            <w:vAlign w:val="bottom"/>
            <w:hideMark/>
          </w:tcPr>
          <w:p w:rsidR="00D30927" w:rsidRPr="008E593B" w:rsidRDefault="00D30927" w:rsidP="00D30927">
            <w:r w:rsidRPr="008E593B">
              <w:t> </w:t>
            </w:r>
          </w:p>
        </w:tc>
      </w:tr>
      <w:tr w:rsidR="00D30927" w:rsidRPr="008E593B" w:rsidTr="00D30927">
        <w:trPr>
          <w:trHeight w:val="300"/>
          <w:jc w:val="center"/>
        </w:trPr>
        <w:tc>
          <w:tcPr>
            <w:tcW w:w="336" w:type="dxa"/>
            <w:tcBorders>
              <w:top w:val="nil"/>
              <w:left w:val="single" w:sz="4" w:space="0" w:color="auto"/>
              <w:bottom w:val="nil"/>
              <w:right w:val="nil"/>
            </w:tcBorders>
            <w:shd w:val="clear" w:color="000000" w:fill="FFFFFF"/>
            <w:noWrap/>
            <w:vAlign w:val="bottom"/>
            <w:hideMark/>
          </w:tcPr>
          <w:p w:rsidR="00D30927" w:rsidRPr="008E593B" w:rsidRDefault="00D30927" w:rsidP="00D30927">
            <w:pPr>
              <w:jc w:val="center"/>
            </w:pPr>
            <w:r w:rsidRPr="008E593B">
              <w:t>7</w:t>
            </w:r>
          </w:p>
        </w:tc>
        <w:tc>
          <w:tcPr>
            <w:tcW w:w="3754" w:type="dxa"/>
            <w:tcBorders>
              <w:top w:val="nil"/>
              <w:left w:val="nil"/>
              <w:bottom w:val="nil"/>
              <w:right w:val="nil"/>
            </w:tcBorders>
            <w:shd w:val="clear" w:color="000000" w:fill="FFFFFF"/>
            <w:noWrap/>
            <w:vAlign w:val="bottom"/>
            <w:hideMark/>
          </w:tcPr>
          <w:p w:rsidR="00D30927" w:rsidRPr="008E593B" w:rsidRDefault="00D30927" w:rsidP="00D30927">
            <w:pPr>
              <w:rPr>
                <w:b/>
                <w:bCs/>
              </w:rPr>
            </w:pPr>
            <w:r w:rsidRPr="008E593B">
              <w:rPr>
                <w:b/>
                <w:bCs/>
              </w:rPr>
              <w:t>Rate Base</w:t>
            </w:r>
          </w:p>
        </w:tc>
        <w:tc>
          <w:tcPr>
            <w:tcW w:w="1596" w:type="dxa"/>
            <w:tcBorders>
              <w:top w:val="nil"/>
              <w:left w:val="nil"/>
              <w:bottom w:val="nil"/>
              <w:right w:val="nil"/>
            </w:tcBorders>
            <w:shd w:val="clear" w:color="000000" w:fill="FFFFFF"/>
            <w:noWrap/>
            <w:vAlign w:val="bottom"/>
            <w:hideMark/>
          </w:tcPr>
          <w:p w:rsidR="00D30927" w:rsidRPr="008E593B" w:rsidRDefault="00D30927" w:rsidP="00D30927">
            <w:pPr>
              <w:jc w:val="right"/>
              <w:rPr>
                <w:u w:val="double"/>
              </w:rPr>
            </w:pPr>
            <w:r w:rsidRPr="008E593B">
              <w:rPr>
                <w:u w:val="double"/>
              </w:rPr>
              <w:t xml:space="preserve">$59,140,042 </w:t>
            </w:r>
          </w:p>
        </w:tc>
        <w:tc>
          <w:tcPr>
            <w:tcW w:w="1422" w:type="dxa"/>
            <w:tcBorders>
              <w:top w:val="nil"/>
              <w:left w:val="nil"/>
              <w:bottom w:val="nil"/>
              <w:right w:val="nil"/>
            </w:tcBorders>
            <w:shd w:val="clear" w:color="000000" w:fill="FFFFFF"/>
            <w:noWrap/>
            <w:vAlign w:val="bottom"/>
            <w:hideMark/>
          </w:tcPr>
          <w:p w:rsidR="00D30927" w:rsidRPr="008E593B" w:rsidRDefault="00D30927" w:rsidP="00D30927">
            <w:pPr>
              <w:jc w:val="right"/>
              <w:rPr>
                <w:u w:val="double"/>
              </w:rPr>
            </w:pPr>
            <w:r w:rsidRPr="008E593B">
              <w:rPr>
                <w:u w:val="double"/>
              </w:rPr>
              <w:t>$</w:t>
            </w:r>
            <w:r>
              <w:rPr>
                <w:u w:val="double"/>
              </w:rPr>
              <w:t>2,491,242</w:t>
            </w:r>
            <w:r w:rsidRPr="008E593B">
              <w:rPr>
                <w:u w:val="double"/>
              </w:rPr>
              <w:t xml:space="preserve"> </w:t>
            </w:r>
          </w:p>
        </w:tc>
        <w:tc>
          <w:tcPr>
            <w:tcW w:w="1746" w:type="dxa"/>
            <w:tcBorders>
              <w:top w:val="nil"/>
              <w:left w:val="nil"/>
              <w:bottom w:val="nil"/>
              <w:right w:val="single" w:sz="4" w:space="0" w:color="auto"/>
            </w:tcBorders>
            <w:shd w:val="clear" w:color="000000" w:fill="FFFFFF"/>
            <w:noWrap/>
            <w:vAlign w:val="bottom"/>
            <w:hideMark/>
          </w:tcPr>
          <w:p w:rsidR="00D30927" w:rsidRPr="008E593B" w:rsidRDefault="00D30927" w:rsidP="00D30927">
            <w:pPr>
              <w:jc w:val="right"/>
              <w:rPr>
                <w:u w:val="double"/>
              </w:rPr>
            </w:pPr>
            <w:r w:rsidRPr="008E593B">
              <w:rPr>
                <w:u w:val="double"/>
              </w:rPr>
              <w:t>$</w:t>
            </w:r>
            <w:r>
              <w:rPr>
                <w:u w:val="double"/>
              </w:rPr>
              <w:t>61,631,284</w:t>
            </w:r>
            <w:r w:rsidRPr="008E593B">
              <w:rPr>
                <w:u w:val="double"/>
              </w:rPr>
              <w:t xml:space="preserve"> </w:t>
            </w:r>
          </w:p>
        </w:tc>
      </w:tr>
      <w:tr w:rsidR="00C00588" w:rsidRPr="008E593B" w:rsidTr="00D30927">
        <w:trPr>
          <w:trHeight w:val="300"/>
          <w:jc w:val="center"/>
        </w:trPr>
        <w:tc>
          <w:tcPr>
            <w:tcW w:w="336" w:type="dxa"/>
            <w:tcBorders>
              <w:top w:val="nil"/>
              <w:left w:val="single" w:sz="4" w:space="0" w:color="auto"/>
              <w:bottom w:val="single" w:sz="4" w:space="0" w:color="auto"/>
              <w:right w:val="nil"/>
            </w:tcBorders>
            <w:shd w:val="clear" w:color="000000" w:fill="FFFFFF"/>
            <w:noWrap/>
            <w:vAlign w:val="bottom"/>
            <w:hideMark/>
          </w:tcPr>
          <w:p w:rsidR="00C00588" w:rsidRPr="008E593B" w:rsidRDefault="00C00588" w:rsidP="00C00588">
            <w:r w:rsidRPr="008E593B">
              <w:t> </w:t>
            </w:r>
          </w:p>
        </w:tc>
        <w:tc>
          <w:tcPr>
            <w:tcW w:w="3754" w:type="dxa"/>
            <w:tcBorders>
              <w:top w:val="nil"/>
              <w:left w:val="nil"/>
              <w:bottom w:val="single" w:sz="4" w:space="0" w:color="auto"/>
              <w:right w:val="nil"/>
            </w:tcBorders>
            <w:shd w:val="clear" w:color="000000" w:fill="FFFFFF"/>
            <w:noWrap/>
            <w:vAlign w:val="bottom"/>
            <w:hideMark/>
          </w:tcPr>
          <w:p w:rsidR="00C00588" w:rsidRPr="008E593B" w:rsidRDefault="00C00588" w:rsidP="00C00588">
            <w:r w:rsidRPr="008E593B">
              <w:t> </w:t>
            </w:r>
          </w:p>
        </w:tc>
        <w:tc>
          <w:tcPr>
            <w:tcW w:w="1596" w:type="dxa"/>
            <w:tcBorders>
              <w:top w:val="nil"/>
              <w:left w:val="nil"/>
              <w:bottom w:val="single" w:sz="4" w:space="0" w:color="auto"/>
              <w:right w:val="nil"/>
            </w:tcBorders>
            <w:shd w:val="clear" w:color="000000" w:fill="FFFFFF"/>
            <w:noWrap/>
            <w:vAlign w:val="bottom"/>
            <w:hideMark/>
          </w:tcPr>
          <w:p w:rsidR="00C00588" w:rsidRPr="008E593B" w:rsidRDefault="00C00588" w:rsidP="00C00588">
            <w:r w:rsidRPr="008E593B">
              <w:t> </w:t>
            </w:r>
          </w:p>
        </w:tc>
        <w:tc>
          <w:tcPr>
            <w:tcW w:w="1422" w:type="dxa"/>
            <w:tcBorders>
              <w:top w:val="nil"/>
              <w:left w:val="nil"/>
              <w:bottom w:val="single" w:sz="4" w:space="0" w:color="auto"/>
              <w:right w:val="nil"/>
            </w:tcBorders>
            <w:shd w:val="clear" w:color="000000" w:fill="FFFFFF"/>
            <w:noWrap/>
            <w:vAlign w:val="bottom"/>
            <w:hideMark/>
          </w:tcPr>
          <w:p w:rsidR="00C00588" w:rsidRPr="008E593B" w:rsidRDefault="00C00588" w:rsidP="00C00588">
            <w:r w:rsidRPr="008E593B">
              <w:t> </w:t>
            </w:r>
          </w:p>
        </w:tc>
        <w:tc>
          <w:tcPr>
            <w:tcW w:w="1746" w:type="dxa"/>
            <w:tcBorders>
              <w:top w:val="nil"/>
              <w:left w:val="nil"/>
              <w:bottom w:val="single" w:sz="4" w:space="0" w:color="auto"/>
              <w:right w:val="single" w:sz="4" w:space="0" w:color="auto"/>
            </w:tcBorders>
            <w:shd w:val="clear" w:color="000000" w:fill="FFFFFF"/>
            <w:noWrap/>
            <w:vAlign w:val="bottom"/>
            <w:hideMark/>
          </w:tcPr>
          <w:p w:rsidR="00C00588" w:rsidRPr="008E593B" w:rsidRDefault="00C00588" w:rsidP="00C00588">
            <w:r w:rsidRPr="008E593B">
              <w:t> </w:t>
            </w:r>
          </w:p>
        </w:tc>
      </w:tr>
    </w:tbl>
    <w:p w:rsidR="00C00588" w:rsidRDefault="00C00588" w:rsidP="00C00588">
      <w:pPr>
        <w:pStyle w:val="BodyText"/>
      </w:pPr>
    </w:p>
    <w:p w:rsidR="00C00588" w:rsidRDefault="00C00588" w:rsidP="00C00588"/>
    <w:p w:rsidR="00C00588" w:rsidRDefault="00C00588" w:rsidP="00C00588">
      <w:pPr>
        <w:sectPr w:rsidR="00C00588" w:rsidSect="00C00588">
          <w:headerReference w:type="default" r:id="rId15"/>
          <w:pgSz w:w="12240" w:h="15840" w:code="1"/>
          <w:pgMar w:top="1584" w:right="1440" w:bottom="1440" w:left="1440" w:header="720" w:footer="720" w:gutter="0"/>
          <w:cols w:space="720"/>
          <w:formProt w:val="0"/>
          <w:docGrid w:linePitch="360"/>
        </w:sectPr>
      </w:pPr>
    </w:p>
    <w:p w:rsidR="00C00588" w:rsidRDefault="00C00588" w:rsidP="00C00588"/>
    <w:tbl>
      <w:tblPr>
        <w:tblW w:w="10584" w:type="dxa"/>
        <w:jc w:val="center"/>
        <w:tblLook w:val="04A0" w:firstRow="1" w:lastRow="0" w:firstColumn="1" w:lastColumn="0" w:noHBand="0" w:noVBand="1"/>
      </w:tblPr>
      <w:tblGrid>
        <w:gridCol w:w="283"/>
        <w:gridCol w:w="6598"/>
        <w:gridCol w:w="1710"/>
        <w:gridCol w:w="1710"/>
        <w:gridCol w:w="283"/>
      </w:tblGrid>
      <w:tr w:rsidR="00C00588" w:rsidRPr="00053F19" w:rsidTr="00D30927">
        <w:trPr>
          <w:trHeight w:val="300"/>
          <w:jc w:val="center"/>
        </w:trPr>
        <w:tc>
          <w:tcPr>
            <w:tcW w:w="6881" w:type="dxa"/>
            <w:gridSpan w:val="2"/>
            <w:tcBorders>
              <w:top w:val="single" w:sz="4" w:space="0" w:color="auto"/>
              <w:left w:val="single" w:sz="4" w:space="0" w:color="auto"/>
              <w:bottom w:val="nil"/>
              <w:right w:val="nil"/>
            </w:tcBorders>
            <w:shd w:val="clear" w:color="000000" w:fill="FFFFFF"/>
            <w:noWrap/>
            <w:vAlign w:val="bottom"/>
            <w:hideMark/>
          </w:tcPr>
          <w:p w:rsidR="00C00588" w:rsidRPr="00053F19" w:rsidRDefault="00C00588" w:rsidP="00C00588">
            <w:pPr>
              <w:rPr>
                <w:rFonts w:ascii="Arial" w:hAnsi="Arial" w:cs="Arial"/>
                <w:b/>
                <w:bCs/>
              </w:rPr>
            </w:pPr>
            <w:bookmarkStart w:id="19" w:name="RANGE!B5:E25"/>
            <w:r w:rsidRPr="00053F19">
              <w:rPr>
                <w:rFonts w:ascii="Arial" w:hAnsi="Arial" w:cs="Arial"/>
                <w:b/>
                <w:bCs/>
              </w:rPr>
              <w:t>Gibson Place Utilities, LLC</w:t>
            </w:r>
            <w:bookmarkEnd w:id="19"/>
          </w:p>
        </w:tc>
        <w:tc>
          <w:tcPr>
            <w:tcW w:w="3703" w:type="dxa"/>
            <w:gridSpan w:val="3"/>
            <w:tcBorders>
              <w:top w:val="single" w:sz="4" w:space="0" w:color="auto"/>
              <w:left w:val="nil"/>
              <w:bottom w:val="nil"/>
              <w:right w:val="single" w:sz="4" w:space="0" w:color="000000"/>
            </w:tcBorders>
            <w:shd w:val="clear" w:color="000000" w:fill="FFFFFF"/>
            <w:noWrap/>
            <w:vAlign w:val="bottom"/>
            <w:hideMark/>
          </w:tcPr>
          <w:p w:rsidR="00C00588" w:rsidRPr="00053F19" w:rsidRDefault="00C00588" w:rsidP="00C00588">
            <w:pPr>
              <w:jc w:val="right"/>
              <w:rPr>
                <w:rFonts w:ascii="Arial" w:hAnsi="Arial" w:cs="Arial"/>
                <w:b/>
                <w:bCs/>
              </w:rPr>
            </w:pPr>
            <w:r w:rsidRPr="00053F19">
              <w:rPr>
                <w:rFonts w:ascii="Arial" w:hAnsi="Arial" w:cs="Arial"/>
                <w:b/>
                <w:bCs/>
              </w:rPr>
              <w:t>Schedule No. 1-C</w:t>
            </w:r>
          </w:p>
        </w:tc>
      </w:tr>
      <w:tr w:rsidR="00C00588" w:rsidRPr="00053F19" w:rsidTr="00D30927">
        <w:trPr>
          <w:trHeight w:val="300"/>
          <w:jc w:val="center"/>
        </w:trPr>
        <w:tc>
          <w:tcPr>
            <w:tcW w:w="6881" w:type="dxa"/>
            <w:gridSpan w:val="2"/>
            <w:tcBorders>
              <w:top w:val="nil"/>
              <w:left w:val="single" w:sz="4" w:space="0" w:color="auto"/>
              <w:bottom w:val="nil"/>
              <w:right w:val="nil"/>
            </w:tcBorders>
            <w:shd w:val="clear" w:color="000000" w:fill="FFFFFF"/>
            <w:noWrap/>
            <w:vAlign w:val="bottom"/>
            <w:hideMark/>
          </w:tcPr>
          <w:p w:rsidR="00C00588" w:rsidRPr="00053F19" w:rsidRDefault="00C00588" w:rsidP="00C00588">
            <w:pPr>
              <w:rPr>
                <w:rFonts w:ascii="Arial" w:hAnsi="Arial" w:cs="Arial"/>
                <w:b/>
                <w:bCs/>
              </w:rPr>
            </w:pPr>
            <w:r w:rsidRPr="00053F19">
              <w:rPr>
                <w:rFonts w:ascii="Arial" w:hAnsi="Arial" w:cs="Arial"/>
                <w:b/>
                <w:bCs/>
              </w:rPr>
              <w:t>Adjustments to Rate Base</w:t>
            </w:r>
          </w:p>
        </w:tc>
        <w:tc>
          <w:tcPr>
            <w:tcW w:w="3703" w:type="dxa"/>
            <w:gridSpan w:val="3"/>
            <w:tcBorders>
              <w:top w:val="nil"/>
              <w:left w:val="nil"/>
              <w:bottom w:val="nil"/>
              <w:right w:val="single" w:sz="4" w:space="0" w:color="000000"/>
            </w:tcBorders>
            <w:shd w:val="clear" w:color="000000" w:fill="FFFFFF"/>
            <w:noWrap/>
            <w:vAlign w:val="bottom"/>
            <w:hideMark/>
          </w:tcPr>
          <w:p w:rsidR="00C00588" w:rsidRPr="00053F19" w:rsidRDefault="00C00588" w:rsidP="00C00588">
            <w:pPr>
              <w:jc w:val="right"/>
              <w:rPr>
                <w:rFonts w:ascii="Arial" w:hAnsi="Arial" w:cs="Arial"/>
                <w:b/>
                <w:bCs/>
              </w:rPr>
            </w:pPr>
            <w:r w:rsidRPr="00053F19">
              <w:rPr>
                <w:rFonts w:ascii="Arial" w:hAnsi="Arial" w:cs="Arial"/>
                <w:b/>
                <w:bCs/>
              </w:rPr>
              <w:t>20200185-WS</w:t>
            </w:r>
          </w:p>
        </w:tc>
      </w:tr>
      <w:tr w:rsidR="00C00588" w:rsidRPr="00053F19" w:rsidTr="00D30927">
        <w:trPr>
          <w:trHeight w:val="300"/>
          <w:jc w:val="center"/>
        </w:trPr>
        <w:tc>
          <w:tcPr>
            <w:tcW w:w="6881" w:type="dxa"/>
            <w:gridSpan w:val="2"/>
            <w:tcBorders>
              <w:top w:val="nil"/>
              <w:left w:val="single" w:sz="4" w:space="0" w:color="auto"/>
              <w:bottom w:val="single" w:sz="4" w:space="0" w:color="auto"/>
              <w:right w:val="nil"/>
            </w:tcBorders>
            <w:shd w:val="clear" w:color="000000" w:fill="FFFFFF"/>
            <w:noWrap/>
            <w:vAlign w:val="bottom"/>
            <w:hideMark/>
          </w:tcPr>
          <w:p w:rsidR="00C00588" w:rsidRPr="00053F19" w:rsidRDefault="00C00588" w:rsidP="00C00588">
            <w:pPr>
              <w:rPr>
                <w:rFonts w:ascii="Arial" w:hAnsi="Arial" w:cs="Arial"/>
                <w:b/>
                <w:bCs/>
              </w:rPr>
            </w:pPr>
            <w:r w:rsidRPr="00053F19">
              <w:rPr>
                <w:rFonts w:ascii="Arial" w:hAnsi="Arial" w:cs="Arial"/>
                <w:b/>
                <w:bCs/>
              </w:rPr>
              <w:t>80% Design Capacity</w:t>
            </w:r>
          </w:p>
        </w:tc>
        <w:tc>
          <w:tcPr>
            <w:tcW w:w="1710" w:type="dxa"/>
            <w:tcBorders>
              <w:top w:val="nil"/>
              <w:left w:val="nil"/>
              <w:bottom w:val="nil"/>
              <w:right w:val="nil"/>
            </w:tcBorders>
            <w:shd w:val="clear" w:color="000000" w:fill="FFFFFF"/>
            <w:noWrap/>
            <w:vAlign w:val="bottom"/>
            <w:hideMark/>
          </w:tcPr>
          <w:p w:rsidR="00C00588" w:rsidRPr="00053F19" w:rsidRDefault="00C00588" w:rsidP="00C00588">
            <w:pPr>
              <w:jc w:val="right"/>
              <w:rPr>
                <w:rFonts w:ascii="Arial" w:hAnsi="Arial" w:cs="Arial"/>
                <w:b/>
                <w:bCs/>
              </w:rPr>
            </w:pPr>
            <w:r w:rsidRPr="00053F19">
              <w:rPr>
                <w:rFonts w:ascii="Arial" w:hAnsi="Arial" w:cs="Arial"/>
                <w:b/>
                <w:bCs/>
              </w:rPr>
              <w:t> </w:t>
            </w:r>
          </w:p>
        </w:tc>
        <w:tc>
          <w:tcPr>
            <w:tcW w:w="1710" w:type="dxa"/>
            <w:tcBorders>
              <w:top w:val="nil"/>
              <w:left w:val="nil"/>
              <w:bottom w:val="nil"/>
              <w:right w:val="nil"/>
            </w:tcBorders>
            <w:shd w:val="clear" w:color="000000" w:fill="FFFFFF"/>
            <w:noWrap/>
            <w:vAlign w:val="bottom"/>
            <w:hideMark/>
          </w:tcPr>
          <w:p w:rsidR="00C00588" w:rsidRPr="00053F19" w:rsidRDefault="00C00588" w:rsidP="00C00588">
            <w:pPr>
              <w:rPr>
                <w:rFonts w:ascii="Arial" w:hAnsi="Arial" w:cs="Arial"/>
                <w:b/>
                <w:bCs/>
              </w:rPr>
            </w:pPr>
            <w:r w:rsidRPr="00053F19">
              <w:rPr>
                <w:rFonts w:ascii="Arial" w:hAnsi="Arial" w:cs="Arial"/>
                <w:b/>
                <w:bCs/>
              </w:rPr>
              <w:t> </w:t>
            </w:r>
          </w:p>
        </w:tc>
        <w:tc>
          <w:tcPr>
            <w:tcW w:w="283" w:type="dxa"/>
            <w:tcBorders>
              <w:top w:val="nil"/>
              <w:left w:val="nil"/>
              <w:bottom w:val="nil"/>
              <w:right w:val="single" w:sz="4" w:space="0" w:color="auto"/>
            </w:tcBorders>
            <w:shd w:val="clear" w:color="000000" w:fill="FFFFFF"/>
            <w:noWrap/>
            <w:vAlign w:val="bottom"/>
            <w:hideMark/>
          </w:tcPr>
          <w:p w:rsidR="00C00588" w:rsidRPr="00053F19" w:rsidRDefault="00C00588" w:rsidP="00C00588">
            <w:pPr>
              <w:rPr>
                <w:rFonts w:ascii="Arial" w:hAnsi="Arial" w:cs="Arial"/>
              </w:rPr>
            </w:pPr>
            <w:r w:rsidRPr="00053F19">
              <w:rPr>
                <w:rFonts w:ascii="Arial" w:hAnsi="Arial" w:cs="Arial"/>
              </w:rPr>
              <w:t> </w:t>
            </w:r>
          </w:p>
        </w:tc>
      </w:tr>
      <w:tr w:rsidR="00C00588" w:rsidRPr="00053F19" w:rsidTr="00D30927">
        <w:trPr>
          <w:trHeight w:val="300"/>
          <w:jc w:val="center"/>
        </w:trPr>
        <w:tc>
          <w:tcPr>
            <w:tcW w:w="283" w:type="dxa"/>
            <w:tcBorders>
              <w:top w:val="nil"/>
              <w:left w:val="single" w:sz="4" w:space="0" w:color="auto"/>
              <w:bottom w:val="nil"/>
              <w:right w:val="nil"/>
            </w:tcBorders>
            <w:shd w:val="clear" w:color="000000" w:fill="FFFFFF"/>
            <w:noWrap/>
            <w:vAlign w:val="bottom"/>
            <w:hideMark/>
          </w:tcPr>
          <w:p w:rsidR="00C00588" w:rsidRPr="00053F19" w:rsidRDefault="00C00588" w:rsidP="00C00588">
            <w:pPr>
              <w:rPr>
                <w:rFonts w:ascii="Arial" w:hAnsi="Arial" w:cs="Arial"/>
              </w:rPr>
            </w:pPr>
            <w:r w:rsidRPr="00053F19">
              <w:rPr>
                <w:rFonts w:ascii="Arial" w:hAnsi="Arial" w:cs="Arial"/>
              </w:rPr>
              <w:t> </w:t>
            </w:r>
          </w:p>
        </w:tc>
        <w:tc>
          <w:tcPr>
            <w:tcW w:w="6598" w:type="dxa"/>
            <w:tcBorders>
              <w:top w:val="nil"/>
              <w:left w:val="nil"/>
              <w:bottom w:val="nil"/>
              <w:right w:val="nil"/>
            </w:tcBorders>
            <w:shd w:val="clear" w:color="000000" w:fill="FFFFFF"/>
            <w:noWrap/>
            <w:vAlign w:val="bottom"/>
            <w:hideMark/>
          </w:tcPr>
          <w:p w:rsidR="00C00588" w:rsidRPr="00053F19" w:rsidRDefault="00C00588" w:rsidP="00C00588">
            <w:pPr>
              <w:rPr>
                <w:rFonts w:ascii="Arial" w:hAnsi="Arial" w:cs="Arial"/>
              </w:rPr>
            </w:pPr>
            <w:r w:rsidRPr="00053F19">
              <w:rPr>
                <w:rFonts w:ascii="Arial" w:hAnsi="Arial" w:cs="Arial"/>
              </w:rPr>
              <w:t> </w:t>
            </w:r>
          </w:p>
        </w:tc>
        <w:tc>
          <w:tcPr>
            <w:tcW w:w="1710" w:type="dxa"/>
            <w:tcBorders>
              <w:top w:val="single" w:sz="4" w:space="0" w:color="000000"/>
              <w:left w:val="nil"/>
              <w:bottom w:val="nil"/>
              <w:right w:val="nil"/>
            </w:tcBorders>
            <w:shd w:val="clear" w:color="000000" w:fill="FFFFFF"/>
            <w:noWrap/>
            <w:vAlign w:val="center"/>
            <w:hideMark/>
          </w:tcPr>
          <w:p w:rsidR="00C00588" w:rsidRPr="00053F19" w:rsidRDefault="00C00588" w:rsidP="00C00588">
            <w:pPr>
              <w:jc w:val="center"/>
              <w:rPr>
                <w:rFonts w:ascii="Arial" w:hAnsi="Arial" w:cs="Arial"/>
              </w:rPr>
            </w:pPr>
            <w:r w:rsidRPr="00053F19">
              <w:rPr>
                <w:rFonts w:ascii="Arial" w:hAnsi="Arial" w:cs="Arial"/>
              </w:rPr>
              <w:t> </w:t>
            </w:r>
          </w:p>
        </w:tc>
        <w:tc>
          <w:tcPr>
            <w:tcW w:w="1710" w:type="dxa"/>
            <w:tcBorders>
              <w:top w:val="single" w:sz="4" w:space="0" w:color="000000"/>
              <w:left w:val="nil"/>
              <w:bottom w:val="nil"/>
              <w:right w:val="nil"/>
            </w:tcBorders>
            <w:shd w:val="clear" w:color="000000" w:fill="FFFFFF"/>
            <w:noWrap/>
            <w:vAlign w:val="center"/>
            <w:hideMark/>
          </w:tcPr>
          <w:p w:rsidR="00C00588" w:rsidRPr="00053F19" w:rsidRDefault="00C00588" w:rsidP="00C00588">
            <w:pPr>
              <w:jc w:val="center"/>
              <w:rPr>
                <w:rFonts w:ascii="Arial" w:hAnsi="Arial" w:cs="Arial"/>
              </w:rPr>
            </w:pPr>
            <w:r w:rsidRPr="00053F19">
              <w:rPr>
                <w:rFonts w:ascii="Arial" w:hAnsi="Arial" w:cs="Arial"/>
              </w:rPr>
              <w:t> </w:t>
            </w:r>
          </w:p>
        </w:tc>
        <w:tc>
          <w:tcPr>
            <w:tcW w:w="283" w:type="dxa"/>
            <w:tcBorders>
              <w:top w:val="single" w:sz="4" w:space="0" w:color="000000"/>
              <w:left w:val="nil"/>
              <w:bottom w:val="nil"/>
              <w:right w:val="single" w:sz="4" w:space="0" w:color="auto"/>
            </w:tcBorders>
            <w:shd w:val="clear" w:color="000000" w:fill="FFFFFF"/>
            <w:noWrap/>
            <w:vAlign w:val="bottom"/>
            <w:hideMark/>
          </w:tcPr>
          <w:p w:rsidR="00C00588" w:rsidRPr="00053F19" w:rsidRDefault="00C00588" w:rsidP="00C00588">
            <w:pPr>
              <w:rPr>
                <w:rFonts w:ascii="Arial" w:hAnsi="Arial" w:cs="Arial"/>
              </w:rPr>
            </w:pPr>
            <w:r w:rsidRPr="00053F19">
              <w:rPr>
                <w:rFonts w:ascii="Arial" w:hAnsi="Arial" w:cs="Arial"/>
              </w:rPr>
              <w:t> </w:t>
            </w:r>
          </w:p>
        </w:tc>
      </w:tr>
      <w:tr w:rsidR="00C00588" w:rsidRPr="00053F19" w:rsidTr="00D30927">
        <w:trPr>
          <w:trHeight w:val="300"/>
          <w:jc w:val="center"/>
        </w:trPr>
        <w:tc>
          <w:tcPr>
            <w:tcW w:w="283" w:type="dxa"/>
            <w:tcBorders>
              <w:top w:val="nil"/>
              <w:left w:val="single" w:sz="4" w:space="0" w:color="auto"/>
              <w:bottom w:val="nil"/>
              <w:right w:val="nil"/>
            </w:tcBorders>
            <w:shd w:val="clear" w:color="000000" w:fill="FFFFFF"/>
            <w:noWrap/>
            <w:vAlign w:val="bottom"/>
            <w:hideMark/>
          </w:tcPr>
          <w:p w:rsidR="00C00588" w:rsidRPr="00053F19" w:rsidRDefault="00C00588" w:rsidP="00C00588">
            <w:pPr>
              <w:rPr>
                <w:rFonts w:ascii="Arial" w:hAnsi="Arial" w:cs="Arial"/>
              </w:rPr>
            </w:pPr>
            <w:r w:rsidRPr="00053F19">
              <w:rPr>
                <w:rFonts w:ascii="Arial" w:hAnsi="Arial" w:cs="Arial"/>
              </w:rPr>
              <w:t> </w:t>
            </w:r>
          </w:p>
        </w:tc>
        <w:tc>
          <w:tcPr>
            <w:tcW w:w="6598" w:type="dxa"/>
            <w:tcBorders>
              <w:top w:val="nil"/>
              <w:left w:val="nil"/>
              <w:bottom w:val="nil"/>
              <w:right w:val="nil"/>
            </w:tcBorders>
            <w:shd w:val="clear" w:color="000000" w:fill="FFFFFF"/>
            <w:noWrap/>
            <w:vAlign w:val="bottom"/>
            <w:hideMark/>
          </w:tcPr>
          <w:p w:rsidR="00C00588" w:rsidRPr="00053F19" w:rsidRDefault="00C00588" w:rsidP="00C00588">
            <w:pPr>
              <w:rPr>
                <w:b/>
                <w:bCs/>
              </w:rPr>
            </w:pPr>
            <w:r w:rsidRPr="00053F19">
              <w:rPr>
                <w:b/>
                <w:bCs/>
              </w:rPr>
              <w:t>Explanation</w:t>
            </w:r>
          </w:p>
        </w:tc>
        <w:tc>
          <w:tcPr>
            <w:tcW w:w="1710" w:type="dxa"/>
            <w:tcBorders>
              <w:top w:val="nil"/>
              <w:left w:val="nil"/>
              <w:bottom w:val="nil"/>
              <w:right w:val="nil"/>
            </w:tcBorders>
            <w:shd w:val="clear" w:color="000000" w:fill="FFFFFF"/>
            <w:noWrap/>
            <w:vAlign w:val="center"/>
            <w:hideMark/>
          </w:tcPr>
          <w:p w:rsidR="00C00588" w:rsidRPr="00053F19" w:rsidRDefault="00C00588" w:rsidP="00C00588">
            <w:pPr>
              <w:jc w:val="center"/>
              <w:rPr>
                <w:b/>
                <w:bCs/>
              </w:rPr>
            </w:pPr>
            <w:r w:rsidRPr="00053F19">
              <w:rPr>
                <w:b/>
                <w:bCs/>
              </w:rPr>
              <w:t>Water</w:t>
            </w:r>
          </w:p>
        </w:tc>
        <w:tc>
          <w:tcPr>
            <w:tcW w:w="1710" w:type="dxa"/>
            <w:tcBorders>
              <w:top w:val="nil"/>
              <w:left w:val="nil"/>
              <w:bottom w:val="nil"/>
              <w:right w:val="nil"/>
            </w:tcBorders>
            <w:shd w:val="clear" w:color="000000" w:fill="FFFFFF"/>
            <w:noWrap/>
            <w:vAlign w:val="center"/>
            <w:hideMark/>
          </w:tcPr>
          <w:p w:rsidR="00C00588" w:rsidRPr="00053F19" w:rsidRDefault="00C00588" w:rsidP="00C00588">
            <w:pPr>
              <w:jc w:val="center"/>
              <w:rPr>
                <w:b/>
                <w:bCs/>
              </w:rPr>
            </w:pPr>
            <w:r w:rsidRPr="00053F19">
              <w:rPr>
                <w:b/>
                <w:bCs/>
              </w:rPr>
              <w:t>Wastewater</w:t>
            </w:r>
          </w:p>
        </w:tc>
        <w:tc>
          <w:tcPr>
            <w:tcW w:w="283" w:type="dxa"/>
            <w:tcBorders>
              <w:top w:val="nil"/>
              <w:left w:val="nil"/>
              <w:bottom w:val="nil"/>
              <w:right w:val="single" w:sz="4" w:space="0" w:color="auto"/>
            </w:tcBorders>
            <w:shd w:val="clear" w:color="000000" w:fill="FFFFFF"/>
            <w:noWrap/>
            <w:vAlign w:val="bottom"/>
            <w:hideMark/>
          </w:tcPr>
          <w:p w:rsidR="00C00588" w:rsidRPr="00053F19" w:rsidRDefault="00C00588" w:rsidP="00C00588">
            <w:pPr>
              <w:jc w:val="center"/>
              <w:rPr>
                <w:rFonts w:ascii="Arial" w:hAnsi="Arial" w:cs="Arial"/>
              </w:rPr>
            </w:pPr>
            <w:r w:rsidRPr="00053F19">
              <w:rPr>
                <w:rFonts w:ascii="Arial" w:hAnsi="Arial" w:cs="Arial"/>
              </w:rPr>
              <w:t> </w:t>
            </w:r>
          </w:p>
        </w:tc>
      </w:tr>
      <w:tr w:rsidR="00C00588" w:rsidRPr="00053F19" w:rsidTr="00D30927">
        <w:trPr>
          <w:trHeight w:val="300"/>
          <w:jc w:val="center"/>
        </w:trPr>
        <w:tc>
          <w:tcPr>
            <w:tcW w:w="283" w:type="dxa"/>
            <w:tcBorders>
              <w:top w:val="nil"/>
              <w:left w:val="single" w:sz="4" w:space="0" w:color="auto"/>
              <w:bottom w:val="nil"/>
              <w:right w:val="nil"/>
            </w:tcBorders>
            <w:shd w:val="clear" w:color="000000" w:fill="FFFFFF"/>
            <w:noWrap/>
            <w:vAlign w:val="bottom"/>
            <w:hideMark/>
          </w:tcPr>
          <w:p w:rsidR="00C00588" w:rsidRPr="00053F19" w:rsidRDefault="00C00588" w:rsidP="00C00588">
            <w:pPr>
              <w:rPr>
                <w:rFonts w:ascii="Arial" w:hAnsi="Arial" w:cs="Arial"/>
              </w:rPr>
            </w:pPr>
            <w:r w:rsidRPr="00053F19">
              <w:rPr>
                <w:rFonts w:ascii="Arial" w:hAnsi="Arial" w:cs="Arial"/>
              </w:rPr>
              <w:t> </w:t>
            </w:r>
          </w:p>
        </w:tc>
        <w:tc>
          <w:tcPr>
            <w:tcW w:w="6598" w:type="dxa"/>
            <w:tcBorders>
              <w:top w:val="nil"/>
              <w:left w:val="nil"/>
              <w:bottom w:val="nil"/>
              <w:right w:val="nil"/>
            </w:tcBorders>
            <w:shd w:val="clear" w:color="000000" w:fill="FFFFFF"/>
            <w:noWrap/>
            <w:vAlign w:val="bottom"/>
            <w:hideMark/>
          </w:tcPr>
          <w:p w:rsidR="00C00588" w:rsidRPr="00053F19" w:rsidRDefault="00C00588" w:rsidP="00C00588">
            <w:pPr>
              <w:rPr>
                <w:rFonts w:ascii="Arial" w:hAnsi="Arial" w:cs="Arial"/>
              </w:rPr>
            </w:pPr>
            <w:r w:rsidRPr="00053F19">
              <w:rPr>
                <w:rFonts w:ascii="Arial" w:hAnsi="Arial" w:cs="Arial"/>
              </w:rPr>
              <w:t> </w:t>
            </w:r>
          </w:p>
        </w:tc>
        <w:tc>
          <w:tcPr>
            <w:tcW w:w="1710" w:type="dxa"/>
            <w:tcBorders>
              <w:top w:val="nil"/>
              <w:left w:val="nil"/>
              <w:bottom w:val="nil"/>
              <w:right w:val="nil"/>
            </w:tcBorders>
            <w:shd w:val="clear" w:color="000000" w:fill="FFFFFF"/>
            <w:noWrap/>
            <w:vAlign w:val="center"/>
            <w:hideMark/>
          </w:tcPr>
          <w:p w:rsidR="00C00588" w:rsidRPr="00053F19" w:rsidRDefault="00C00588" w:rsidP="00C00588">
            <w:pPr>
              <w:jc w:val="center"/>
              <w:rPr>
                <w:rFonts w:ascii="Arial" w:hAnsi="Arial" w:cs="Arial"/>
              </w:rPr>
            </w:pPr>
            <w:r w:rsidRPr="00053F19">
              <w:rPr>
                <w:rFonts w:ascii="Arial" w:hAnsi="Arial" w:cs="Arial"/>
              </w:rPr>
              <w:t> </w:t>
            </w:r>
          </w:p>
        </w:tc>
        <w:tc>
          <w:tcPr>
            <w:tcW w:w="1710" w:type="dxa"/>
            <w:tcBorders>
              <w:top w:val="nil"/>
              <w:left w:val="nil"/>
              <w:bottom w:val="nil"/>
              <w:right w:val="nil"/>
            </w:tcBorders>
            <w:shd w:val="clear" w:color="000000" w:fill="FFFFFF"/>
            <w:noWrap/>
            <w:vAlign w:val="center"/>
            <w:hideMark/>
          </w:tcPr>
          <w:p w:rsidR="00C00588" w:rsidRPr="00053F19" w:rsidRDefault="00C00588" w:rsidP="00C00588">
            <w:pPr>
              <w:jc w:val="center"/>
              <w:rPr>
                <w:rFonts w:ascii="Arial" w:hAnsi="Arial" w:cs="Arial"/>
              </w:rPr>
            </w:pPr>
            <w:r w:rsidRPr="00053F19">
              <w:rPr>
                <w:rFonts w:ascii="Arial" w:hAnsi="Arial" w:cs="Arial"/>
              </w:rPr>
              <w:t> </w:t>
            </w:r>
          </w:p>
        </w:tc>
        <w:tc>
          <w:tcPr>
            <w:tcW w:w="283" w:type="dxa"/>
            <w:tcBorders>
              <w:top w:val="nil"/>
              <w:left w:val="nil"/>
              <w:bottom w:val="nil"/>
              <w:right w:val="single" w:sz="4" w:space="0" w:color="auto"/>
            </w:tcBorders>
            <w:shd w:val="clear" w:color="000000" w:fill="FFFFFF"/>
            <w:noWrap/>
            <w:vAlign w:val="bottom"/>
            <w:hideMark/>
          </w:tcPr>
          <w:p w:rsidR="00C00588" w:rsidRPr="00053F19" w:rsidRDefault="00C00588" w:rsidP="00C00588">
            <w:pPr>
              <w:rPr>
                <w:rFonts w:ascii="Arial" w:hAnsi="Arial" w:cs="Arial"/>
              </w:rPr>
            </w:pPr>
            <w:r w:rsidRPr="00053F19">
              <w:rPr>
                <w:rFonts w:ascii="Arial" w:hAnsi="Arial" w:cs="Arial"/>
              </w:rPr>
              <w:t> </w:t>
            </w:r>
          </w:p>
        </w:tc>
      </w:tr>
      <w:tr w:rsidR="00C00588" w:rsidRPr="00053F19" w:rsidTr="00D30927">
        <w:trPr>
          <w:trHeight w:val="300"/>
          <w:jc w:val="center"/>
        </w:trPr>
        <w:tc>
          <w:tcPr>
            <w:tcW w:w="283" w:type="dxa"/>
            <w:tcBorders>
              <w:top w:val="single" w:sz="4" w:space="0" w:color="000000"/>
              <w:left w:val="single" w:sz="4" w:space="0" w:color="auto"/>
              <w:bottom w:val="nil"/>
              <w:right w:val="nil"/>
            </w:tcBorders>
            <w:shd w:val="clear" w:color="000000" w:fill="FFFFFF"/>
            <w:noWrap/>
            <w:vAlign w:val="bottom"/>
            <w:hideMark/>
          </w:tcPr>
          <w:p w:rsidR="00C00588" w:rsidRPr="00053F19" w:rsidRDefault="00C00588" w:rsidP="00C00588">
            <w:pPr>
              <w:jc w:val="center"/>
            </w:pPr>
            <w:r w:rsidRPr="00053F19">
              <w:t> </w:t>
            </w:r>
          </w:p>
        </w:tc>
        <w:tc>
          <w:tcPr>
            <w:tcW w:w="6598" w:type="dxa"/>
            <w:tcBorders>
              <w:top w:val="single" w:sz="4" w:space="0" w:color="000000"/>
              <w:left w:val="nil"/>
              <w:bottom w:val="nil"/>
              <w:right w:val="nil"/>
            </w:tcBorders>
            <w:shd w:val="clear" w:color="000000" w:fill="FFFFFF"/>
            <w:noWrap/>
            <w:vAlign w:val="bottom"/>
            <w:hideMark/>
          </w:tcPr>
          <w:p w:rsidR="00C00588" w:rsidRPr="00053F19" w:rsidRDefault="00C00588" w:rsidP="00C00588">
            <w:r w:rsidRPr="00053F19">
              <w:t> </w:t>
            </w:r>
          </w:p>
        </w:tc>
        <w:tc>
          <w:tcPr>
            <w:tcW w:w="1710" w:type="dxa"/>
            <w:tcBorders>
              <w:top w:val="single" w:sz="4" w:space="0" w:color="000000"/>
              <w:left w:val="nil"/>
              <w:bottom w:val="nil"/>
              <w:right w:val="nil"/>
            </w:tcBorders>
            <w:shd w:val="clear" w:color="000000" w:fill="FFFFFF"/>
            <w:noWrap/>
            <w:vAlign w:val="bottom"/>
            <w:hideMark/>
          </w:tcPr>
          <w:p w:rsidR="00C00588" w:rsidRPr="00053F19" w:rsidRDefault="00C00588" w:rsidP="00C00588">
            <w:r w:rsidRPr="00053F19">
              <w:t> </w:t>
            </w:r>
          </w:p>
        </w:tc>
        <w:tc>
          <w:tcPr>
            <w:tcW w:w="1710" w:type="dxa"/>
            <w:tcBorders>
              <w:top w:val="single" w:sz="4" w:space="0" w:color="000000"/>
              <w:left w:val="nil"/>
              <w:bottom w:val="nil"/>
              <w:right w:val="nil"/>
            </w:tcBorders>
            <w:shd w:val="clear" w:color="000000" w:fill="FFFFFF"/>
            <w:noWrap/>
            <w:vAlign w:val="bottom"/>
            <w:hideMark/>
          </w:tcPr>
          <w:p w:rsidR="00C00588" w:rsidRPr="00053F19" w:rsidRDefault="00C00588" w:rsidP="00C00588">
            <w:r w:rsidRPr="00053F19">
              <w:t> </w:t>
            </w:r>
          </w:p>
        </w:tc>
        <w:tc>
          <w:tcPr>
            <w:tcW w:w="283" w:type="dxa"/>
            <w:tcBorders>
              <w:top w:val="single" w:sz="4" w:space="0" w:color="000000"/>
              <w:left w:val="nil"/>
              <w:bottom w:val="nil"/>
              <w:right w:val="single" w:sz="4" w:space="0" w:color="auto"/>
            </w:tcBorders>
            <w:shd w:val="clear" w:color="000000" w:fill="FFFFFF"/>
            <w:noWrap/>
            <w:vAlign w:val="bottom"/>
            <w:hideMark/>
          </w:tcPr>
          <w:p w:rsidR="00C00588" w:rsidRPr="00053F19" w:rsidRDefault="00C00588" w:rsidP="00C00588">
            <w:r w:rsidRPr="00053F19">
              <w:t> </w:t>
            </w:r>
          </w:p>
        </w:tc>
      </w:tr>
      <w:tr w:rsidR="00D30927" w:rsidRPr="00053F19" w:rsidTr="00D30927">
        <w:trPr>
          <w:trHeight w:val="300"/>
          <w:jc w:val="center"/>
        </w:trPr>
        <w:tc>
          <w:tcPr>
            <w:tcW w:w="283" w:type="dxa"/>
            <w:tcBorders>
              <w:top w:val="nil"/>
              <w:left w:val="single" w:sz="4" w:space="0" w:color="auto"/>
              <w:bottom w:val="nil"/>
              <w:right w:val="nil"/>
            </w:tcBorders>
            <w:shd w:val="clear" w:color="000000" w:fill="FFFFFF"/>
            <w:noWrap/>
            <w:vAlign w:val="bottom"/>
          </w:tcPr>
          <w:p w:rsidR="00D30927" w:rsidRPr="00053F19" w:rsidRDefault="00D30927" w:rsidP="00D30927">
            <w:pPr>
              <w:jc w:val="center"/>
            </w:pPr>
          </w:p>
        </w:tc>
        <w:tc>
          <w:tcPr>
            <w:tcW w:w="6598" w:type="dxa"/>
            <w:tcBorders>
              <w:top w:val="nil"/>
              <w:left w:val="nil"/>
              <w:bottom w:val="nil"/>
              <w:right w:val="nil"/>
            </w:tcBorders>
            <w:shd w:val="clear" w:color="000000" w:fill="FFFFFF"/>
            <w:noWrap/>
            <w:vAlign w:val="bottom"/>
          </w:tcPr>
          <w:p w:rsidR="00D30927" w:rsidRPr="00053F19" w:rsidRDefault="00D30927" w:rsidP="00D30927">
            <w:pPr>
              <w:rPr>
                <w:b/>
                <w:bCs/>
              </w:rPr>
            </w:pPr>
            <w:r>
              <w:rPr>
                <w:b/>
                <w:bCs/>
              </w:rPr>
              <w:t>Plant In Service</w:t>
            </w:r>
          </w:p>
        </w:tc>
        <w:tc>
          <w:tcPr>
            <w:tcW w:w="1710" w:type="dxa"/>
            <w:tcBorders>
              <w:top w:val="nil"/>
              <w:left w:val="nil"/>
              <w:bottom w:val="nil"/>
              <w:right w:val="nil"/>
            </w:tcBorders>
            <w:shd w:val="clear" w:color="000000" w:fill="FFFFFF"/>
            <w:noWrap/>
            <w:vAlign w:val="bottom"/>
          </w:tcPr>
          <w:p w:rsidR="00D30927" w:rsidRPr="00053F19" w:rsidRDefault="00D30927" w:rsidP="00D30927"/>
        </w:tc>
        <w:tc>
          <w:tcPr>
            <w:tcW w:w="1710" w:type="dxa"/>
            <w:tcBorders>
              <w:top w:val="nil"/>
              <w:left w:val="nil"/>
              <w:bottom w:val="nil"/>
              <w:right w:val="nil"/>
            </w:tcBorders>
            <w:shd w:val="clear" w:color="000000" w:fill="FFFFFF"/>
            <w:noWrap/>
            <w:vAlign w:val="bottom"/>
          </w:tcPr>
          <w:p w:rsidR="00D30927" w:rsidRPr="00053F19" w:rsidRDefault="00D30927" w:rsidP="00D30927"/>
        </w:tc>
        <w:tc>
          <w:tcPr>
            <w:tcW w:w="283" w:type="dxa"/>
            <w:tcBorders>
              <w:top w:val="nil"/>
              <w:left w:val="nil"/>
              <w:bottom w:val="nil"/>
              <w:right w:val="single" w:sz="4" w:space="0" w:color="auto"/>
            </w:tcBorders>
            <w:shd w:val="clear" w:color="000000" w:fill="FFFFFF"/>
            <w:noWrap/>
            <w:vAlign w:val="bottom"/>
          </w:tcPr>
          <w:p w:rsidR="00D30927" w:rsidRPr="00053F19" w:rsidRDefault="00D30927" w:rsidP="00D30927"/>
        </w:tc>
      </w:tr>
      <w:tr w:rsidR="00D30927" w:rsidRPr="00053F19" w:rsidTr="00D30927">
        <w:trPr>
          <w:trHeight w:val="300"/>
          <w:jc w:val="center"/>
        </w:trPr>
        <w:tc>
          <w:tcPr>
            <w:tcW w:w="283" w:type="dxa"/>
            <w:tcBorders>
              <w:top w:val="nil"/>
              <w:left w:val="single" w:sz="4" w:space="0" w:color="auto"/>
              <w:bottom w:val="nil"/>
              <w:right w:val="nil"/>
            </w:tcBorders>
            <w:shd w:val="clear" w:color="000000" w:fill="FFFFFF"/>
            <w:noWrap/>
            <w:vAlign w:val="bottom"/>
          </w:tcPr>
          <w:p w:rsidR="00D30927" w:rsidRPr="00053F19" w:rsidRDefault="00D30927" w:rsidP="00D30927">
            <w:pPr>
              <w:jc w:val="center"/>
            </w:pPr>
          </w:p>
        </w:tc>
        <w:tc>
          <w:tcPr>
            <w:tcW w:w="6598" w:type="dxa"/>
            <w:tcBorders>
              <w:top w:val="nil"/>
              <w:left w:val="nil"/>
              <w:bottom w:val="nil"/>
              <w:right w:val="nil"/>
            </w:tcBorders>
            <w:shd w:val="clear" w:color="000000" w:fill="FFFFFF"/>
            <w:noWrap/>
            <w:vAlign w:val="bottom"/>
          </w:tcPr>
          <w:p w:rsidR="00D30927" w:rsidRPr="00053F19" w:rsidRDefault="00D30927" w:rsidP="00D30927">
            <w:pPr>
              <w:rPr>
                <w:b/>
                <w:bCs/>
              </w:rPr>
            </w:pPr>
            <w:r w:rsidRPr="00414BB0">
              <w:t xml:space="preserve">To reflect appropriate levels of </w:t>
            </w:r>
            <w:r>
              <w:t>p</w:t>
            </w:r>
            <w:r w:rsidRPr="00414BB0">
              <w:t xml:space="preserve">lant in </w:t>
            </w:r>
            <w:r>
              <w:t>s</w:t>
            </w:r>
            <w:r w:rsidRPr="00414BB0">
              <w:t>ervice</w:t>
            </w:r>
          </w:p>
        </w:tc>
        <w:tc>
          <w:tcPr>
            <w:tcW w:w="1710" w:type="dxa"/>
            <w:tcBorders>
              <w:top w:val="nil"/>
              <w:left w:val="nil"/>
              <w:bottom w:val="nil"/>
              <w:right w:val="nil"/>
            </w:tcBorders>
            <w:shd w:val="clear" w:color="000000" w:fill="FFFFFF"/>
            <w:noWrap/>
            <w:vAlign w:val="bottom"/>
          </w:tcPr>
          <w:p w:rsidR="00D30927" w:rsidRPr="00414BB0" w:rsidRDefault="00D30927" w:rsidP="00D30927">
            <w:pPr>
              <w:jc w:val="right"/>
              <w:rPr>
                <w:u w:val="double"/>
              </w:rPr>
            </w:pPr>
            <w:r w:rsidRPr="00414BB0">
              <w:rPr>
                <w:u w:val="double"/>
              </w:rPr>
              <w:t>$5,659,222</w:t>
            </w:r>
          </w:p>
        </w:tc>
        <w:tc>
          <w:tcPr>
            <w:tcW w:w="1710" w:type="dxa"/>
            <w:tcBorders>
              <w:top w:val="nil"/>
              <w:left w:val="nil"/>
              <w:bottom w:val="nil"/>
              <w:right w:val="nil"/>
            </w:tcBorders>
            <w:shd w:val="clear" w:color="000000" w:fill="FFFFFF"/>
            <w:noWrap/>
            <w:vAlign w:val="bottom"/>
          </w:tcPr>
          <w:p w:rsidR="00D30927" w:rsidRPr="00414BB0" w:rsidRDefault="00D30927" w:rsidP="00D30927">
            <w:pPr>
              <w:jc w:val="right"/>
              <w:rPr>
                <w:u w:val="double"/>
              </w:rPr>
            </w:pPr>
            <w:r w:rsidRPr="00414BB0">
              <w:rPr>
                <w:u w:val="double"/>
              </w:rPr>
              <w:t>$0</w:t>
            </w:r>
          </w:p>
        </w:tc>
        <w:tc>
          <w:tcPr>
            <w:tcW w:w="283" w:type="dxa"/>
            <w:tcBorders>
              <w:top w:val="nil"/>
              <w:left w:val="nil"/>
              <w:bottom w:val="nil"/>
              <w:right w:val="single" w:sz="4" w:space="0" w:color="auto"/>
            </w:tcBorders>
            <w:shd w:val="clear" w:color="000000" w:fill="FFFFFF"/>
            <w:noWrap/>
            <w:vAlign w:val="bottom"/>
          </w:tcPr>
          <w:p w:rsidR="00D30927" w:rsidRPr="00053F19" w:rsidRDefault="00D30927" w:rsidP="00D30927"/>
        </w:tc>
      </w:tr>
      <w:tr w:rsidR="00D30927" w:rsidRPr="00053F19" w:rsidTr="00D30927">
        <w:trPr>
          <w:trHeight w:val="300"/>
          <w:jc w:val="center"/>
        </w:trPr>
        <w:tc>
          <w:tcPr>
            <w:tcW w:w="283" w:type="dxa"/>
            <w:tcBorders>
              <w:top w:val="nil"/>
              <w:left w:val="single" w:sz="4" w:space="0" w:color="auto"/>
              <w:bottom w:val="nil"/>
              <w:right w:val="nil"/>
            </w:tcBorders>
            <w:shd w:val="clear" w:color="000000" w:fill="FFFFFF"/>
            <w:noWrap/>
            <w:vAlign w:val="bottom"/>
          </w:tcPr>
          <w:p w:rsidR="00D30927" w:rsidRPr="00053F19" w:rsidRDefault="00D30927" w:rsidP="00D30927">
            <w:pPr>
              <w:jc w:val="center"/>
            </w:pPr>
          </w:p>
        </w:tc>
        <w:tc>
          <w:tcPr>
            <w:tcW w:w="6598" w:type="dxa"/>
            <w:tcBorders>
              <w:top w:val="nil"/>
              <w:left w:val="nil"/>
              <w:bottom w:val="nil"/>
              <w:right w:val="nil"/>
            </w:tcBorders>
            <w:shd w:val="clear" w:color="000000" w:fill="FFFFFF"/>
            <w:noWrap/>
            <w:vAlign w:val="bottom"/>
          </w:tcPr>
          <w:p w:rsidR="00D30927" w:rsidRPr="00053F19" w:rsidRDefault="00D30927" w:rsidP="00D30927">
            <w:pPr>
              <w:rPr>
                <w:b/>
                <w:bCs/>
              </w:rPr>
            </w:pPr>
          </w:p>
        </w:tc>
        <w:tc>
          <w:tcPr>
            <w:tcW w:w="1710" w:type="dxa"/>
            <w:tcBorders>
              <w:top w:val="nil"/>
              <w:left w:val="nil"/>
              <w:bottom w:val="nil"/>
              <w:right w:val="nil"/>
            </w:tcBorders>
            <w:shd w:val="clear" w:color="000000" w:fill="FFFFFF"/>
            <w:noWrap/>
            <w:vAlign w:val="bottom"/>
          </w:tcPr>
          <w:p w:rsidR="00D30927" w:rsidRPr="00053F19" w:rsidRDefault="00D30927" w:rsidP="00D30927"/>
        </w:tc>
        <w:tc>
          <w:tcPr>
            <w:tcW w:w="1710" w:type="dxa"/>
            <w:tcBorders>
              <w:top w:val="nil"/>
              <w:left w:val="nil"/>
              <w:bottom w:val="nil"/>
              <w:right w:val="nil"/>
            </w:tcBorders>
            <w:shd w:val="clear" w:color="000000" w:fill="FFFFFF"/>
            <w:noWrap/>
            <w:vAlign w:val="bottom"/>
          </w:tcPr>
          <w:p w:rsidR="00D30927" w:rsidRPr="00053F19" w:rsidRDefault="00D30927" w:rsidP="00D30927"/>
        </w:tc>
        <w:tc>
          <w:tcPr>
            <w:tcW w:w="283" w:type="dxa"/>
            <w:tcBorders>
              <w:top w:val="nil"/>
              <w:left w:val="nil"/>
              <w:bottom w:val="nil"/>
              <w:right w:val="single" w:sz="4" w:space="0" w:color="auto"/>
            </w:tcBorders>
            <w:shd w:val="clear" w:color="000000" w:fill="FFFFFF"/>
            <w:noWrap/>
            <w:vAlign w:val="bottom"/>
          </w:tcPr>
          <w:p w:rsidR="00D30927" w:rsidRPr="00053F19" w:rsidRDefault="00D30927" w:rsidP="00D30927"/>
        </w:tc>
      </w:tr>
      <w:tr w:rsidR="00D30927" w:rsidRPr="00053F19" w:rsidTr="00D30927">
        <w:trPr>
          <w:trHeight w:val="300"/>
          <w:jc w:val="center"/>
        </w:trPr>
        <w:tc>
          <w:tcPr>
            <w:tcW w:w="283" w:type="dxa"/>
            <w:tcBorders>
              <w:top w:val="nil"/>
              <w:left w:val="single" w:sz="4" w:space="0" w:color="auto"/>
              <w:bottom w:val="nil"/>
              <w:right w:val="nil"/>
            </w:tcBorders>
            <w:shd w:val="clear" w:color="000000" w:fill="FFFFFF"/>
            <w:noWrap/>
            <w:vAlign w:val="bottom"/>
            <w:hideMark/>
          </w:tcPr>
          <w:p w:rsidR="00D30927" w:rsidRPr="00053F19" w:rsidRDefault="00D30927" w:rsidP="00D30927">
            <w:pPr>
              <w:jc w:val="center"/>
            </w:pPr>
            <w:r w:rsidRPr="00053F19">
              <w:t> </w:t>
            </w:r>
          </w:p>
        </w:tc>
        <w:tc>
          <w:tcPr>
            <w:tcW w:w="6598" w:type="dxa"/>
            <w:tcBorders>
              <w:top w:val="nil"/>
              <w:left w:val="nil"/>
              <w:bottom w:val="nil"/>
              <w:right w:val="nil"/>
            </w:tcBorders>
            <w:shd w:val="clear" w:color="000000" w:fill="FFFFFF"/>
            <w:noWrap/>
            <w:vAlign w:val="bottom"/>
            <w:hideMark/>
          </w:tcPr>
          <w:p w:rsidR="00D30927" w:rsidRPr="00053F19" w:rsidRDefault="00D30927" w:rsidP="00D30927">
            <w:pPr>
              <w:rPr>
                <w:b/>
                <w:bCs/>
              </w:rPr>
            </w:pPr>
            <w:r w:rsidRPr="00053F19">
              <w:rPr>
                <w:b/>
                <w:bCs/>
              </w:rPr>
              <w:t>Accumulated Depreciation</w:t>
            </w:r>
          </w:p>
        </w:tc>
        <w:tc>
          <w:tcPr>
            <w:tcW w:w="1710" w:type="dxa"/>
            <w:tcBorders>
              <w:top w:val="nil"/>
              <w:left w:val="nil"/>
              <w:bottom w:val="nil"/>
              <w:right w:val="nil"/>
            </w:tcBorders>
            <w:shd w:val="clear" w:color="000000" w:fill="FFFFFF"/>
            <w:noWrap/>
            <w:vAlign w:val="bottom"/>
            <w:hideMark/>
          </w:tcPr>
          <w:p w:rsidR="00D30927" w:rsidRPr="00053F19" w:rsidRDefault="00D30927" w:rsidP="00D30927">
            <w:r w:rsidRPr="00053F19">
              <w:t> </w:t>
            </w:r>
          </w:p>
        </w:tc>
        <w:tc>
          <w:tcPr>
            <w:tcW w:w="1710" w:type="dxa"/>
            <w:tcBorders>
              <w:top w:val="nil"/>
              <w:left w:val="nil"/>
              <w:bottom w:val="nil"/>
              <w:right w:val="nil"/>
            </w:tcBorders>
            <w:shd w:val="clear" w:color="000000" w:fill="FFFFFF"/>
            <w:noWrap/>
            <w:vAlign w:val="bottom"/>
            <w:hideMark/>
          </w:tcPr>
          <w:p w:rsidR="00D30927" w:rsidRPr="00053F19" w:rsidRDefault="00D30927" w:rsidP="00D30927">
            <w:r w:rsidRPr="00053F19">
              <w:t> </w:t>
            </w:r>
          </w:p>
        </w:tc>
        <w:tc>
          <w:tcPr>
            <w:tcW w:w="283" w:type="dxa"/>
            <w:tcBorders>
              <w:top w:val="nil"/>
              <w:left w:val="nil"/>
              <w:bottom w:val="nil"/>
              <w:right w:val="single" w:sz="4" w:space="0" w:color="auto"/>
            </w:tcBorders>
            <w:shd w:val="clear" w:color="000000" w:fill="FFFFFF"/>
            <w:noWrap/>
            <w:vAlign w:val="bottom"/>
            <w:hideMark/>
          </w:tcPr>
          <w:p w:rsidR="00D30927" w:rsidRPr="00053F19" w:rsidRDefault="00D30927" w:rsidP="00D30927">
            <w:r w:rsidRPr="00053F19">
              <w:t> </w:t>
            </w:r>
          </w:p>
        </w:tc>
      </w:tr>
      <w:tr w:rsidR="00D30927" w:rsidRPr="00053F19" w:rsidTr="00D30927">
        <w:trPr>
          <w:trHeight w:val="300"/>
          <w:jc w:val="center"/>
        </w:trPr>
        <w:tc>
          <w:tcPr>
            <w:tcW w:w="283" w:type="dxa"/>
            <w:tcBorders>
              <w:top w:val="nil"/>
              <w:left w:val="single" w:sz="4" w:space="0" w:color="auto"/>
              <w:bottom w:val="nil"/>
              <w:right w:val="nil"/>
            </w:tcBorders>
            <w:shd w:val="clear" w:color="000000" w:fill="FFFFFF"/>
            <w:noWrap/>
            <w:vAlign w:val="bottom"/>
            <w:hideMark/>
          </w:tcPr>
          <w:p w:rsidR="00D30927" w:rsidRPr="00053F19" w:rsidRDefault="00D30927" w:rsidP="00D30927">
            <w:pPr>
              <w:jc w:val="center"/>
            </w:pPr>
            <w:r w:rsidRPr="00053F19">
              <w:t> </w:t>
            </w:r>
          </w:p>
        </w:tc>
        <w:tc>
          <w:tcPr>
            <w:tcW w:w="6598" w:type="dxa"/>
            <w:tcBorders>
              <w:top w:val="nil"/>
              <w:left w:val="nil"/>
              <w:bottom w:val="nil"/>
              <w:right w:val="nil"/>
            </w:tcBorders>
            <w:shd w:val="clear" w:color="000000" w:fill="FFFFFF"/>
            <w:noWrap/>
            <w:vAlign w:val="bottom"/>
            <w:hideMark/>
          </w:tcPr>
          <w:p w:rsidR="00D30927" w:rsidRPr="00053F19" w:rsidRDefault="00D30927" w:rsidP="00D30927">
            <w:r w:rsidRPr="00053F19">
              <w:t>To reflect appropriate level of accumulated depreciation</w:t>
            </w:r>
            <w:r>
              <w:t>.</w:t>
            </w:r>
          </w:p>
        </w:tc>
        <w:tc>
          <w:tcPr>
            <w:tcW w:w="1710" w:type="dxa"/>
            <w:tcBorders>
              <w:top w:val="nil"/>
              <w:left w:val="nil"/>
              <w:bottom w:val="nil"/>
              <w:right w:val="nil"/>
            </w:tcBorders>
            <w:shd w:val="clear" w:color="000000" w:fill="FFFFFF"/>
            <w:noWrap/>
            <w:vAlign w:val="bottom"/>
            <w:hideMark/>
          </w:tcPr>
          <w:p w:rsidR="00D30927" w:rsidRPr="00AD554D" w:rsidRDefault="00D30927" w:rsidP="00D30927">
            <w:pPr>
              <w:jc w:val="right"/>
              <w:rPr>
                <w:u w:val="double"/>
              </w:rPr>
            </w:pPr>
            <w:r>
              <w:rPr>
                <w:u w:val="double"/>
              </w:rPr>
              <w:t>($564,150)</w:t>
            </w:r>
            <w:r w:rsidRPr="00AD554D">
              <w:rPr>
                <w:u w:val="double"/>
              </w:rPr>
              <w:t xml:space="preserve"> </w:t>
            </w:r>
          </w:p>
        </w:tc>
        <w:tc>
          <w:tcPr>
            <w:tcW w:w="1710" w:type="dxa"/>
            <w:tcBorders>
              <w:top w:val="nil"/>
              <w:left w:val="nil"/>
              <w:bottom w:val="nil"/>
              <w:right w:val="nil"/>
            </w:tcBorders>
            <w:shd w:val="clear" w:color="000000" w:fill="FFFFFF"/>
            <w:noWrap/>
            <w:vAlign w:val="bottom"/>
            <w:hideMark/>
          </w:tcPr>
          <w:p w:rsidR="00D30927" w:rsidRPr="00AD554D" w:rsidRDefault="00D30927" w:rsidP="00D30927">
            <w:pPr>
              <w:jc w:val="right"/>
              <w:rPr>
                <w:u w:val="double"/>
              </w:rPr>
            </w:pPr>
            <w:r w:rsidRPr="00AD554D">
              <w:rPr>
                <w:u w:val="double"/>
              </w:rPr>
              <w:t>$0</w:t>
            </w:r>
          </w:p>
        </w:tc>
        <w:tc>
          <w:tcPr>
            <w:tcW w:w="283" w:type="dxa"/>
            <w:tcBorders>
              <w:top w:val="nil"/>
              <w:left w:val="nil"/>
              <w:bottom w:val="nil"/>
              <w:right w:val="single" w:sz="4" w:space="0" w:color="auto"/>
            </w:tcBorders>
            <w:shd w:val="clear" w:color="000000" w:fill="FFFFFF"/>
            <w:noWrap/>
            <w:vAlign w:val="bottom"/>
            <w:hideMark/>
          </w:tcPr>
          <w:p w:rsidR="00D30927" w:rsidRPr="00053F19" w:rsidRDefault="00D30927" w:rsidP="00D30927">
            <w:r w:rsidRPr="00053F19">
              <w:t> </w:t>
            </w:r>
          </w:p>
        </w:tc>
      </w:tr>
      <w:tr w:rsidR="00D30927" w:rsidRPr="00053F19" w:rsidTr="00D30927">
        <w:trPr>
          <w:trHeight w:val="300"/>
          <w:jc w:val="center"/>
        </w:trPr>
        <w:tc>
          <w:tcPr>
            <w:tcW w:w="283" w:type="dxa"/>
            <w:tcBorders>
              <w:top w:val="nil"/>
              <w:left w:val="single" w:sz="4" w:space="0" w:color="auto"/>
              <w:bottom w:val="nil"/>
              <w:right w:val="nil"/>
            </w:tcBorders>
            <w:shd w:val="clear" w:color="000000" w:fill="FFFFFF"/>
            <w:noWrap/>
            <w:vAlign w:val="bottom"/>
            <w:hideMark/>
          </w:tcPr>
          <w:p w:rsidR="00D30927" w:rsidRPr="00053F19" w:rsidRDefault="00D30927" w:rsidP="00D30927">
            <w:pPr>
              <w:jc w:val="center"/>
            </w:pPr>
            <w:r w:rsidRPr="00053F19">
              <w:t> </w:t>
            </w:r>
          </w:p>
        </w:tc>
        <w:tc>
          <w:tcPr>
            <w:tcW w:w="6598" w:type="dxa"/>
            <w:tcBorders>
              <w:top w:val="nil"/>
              <w:left w:val="nil"/>
              <w:bottom w:val="nil"/>
              <w:right w:val="nil"/>
            </w:tcBorders>
            <w:shd w:val="clear" w:color="000000" w:fill="FFFFFF"/>
            <w:noWrap/>
            <w:vAlign w:val="bottom"/>
            <w:hideMark/>
          </w:tcPr>
          <w:p w:rsidR="00D30927" w:rsidRPr="00053F19" w:rsidRDefault="00D30927" w:rsidP="00D30927">
            <w:r w:rsidRPr="00053F19">
              <w:t> </w:t>
            </w:r>
          </w:p>
        </w:tc>
        <w:tc>
          <w:tcPr>
            <w:tcW w:w="1710" w:type="dxa"/>
            <w:tcBorders>
              <w:top w:val="nil"/>
              <w:left w:val="nil"/>
              <w:bottom w:val="nil"/>
              <w:right w:val="nil"/>
            </w:tcBorders>
            <w:shd w:val="clear" w:color="000000" w:fill="FFFFFF"/>
            <w:noWrap/>
            <w:vAlign w:val="bottom"/>
            <w:hideMark/>
          </w:tcPr>
          <w:p w:rsidR="00D30927" w:rsidRPr="00AD554D" w:rsidRDefault="00D30927" w:rsidP="00D30927">
            <w:pPr>
              <w:rPr>
                <w:u w:val="double"/>
              </w:rPr>
            </w:pPr>
          </w:p>
        </w:tc>
        <w:tc>
          <w:tcPr>
            <w:tcW w:w="1710" w:type="dxa"/>
            <w:tcBorders>
              <w:top w:val="nil"/>
              <w:left w:val="nil"/>
              <w:bottom w:val="nil"/>
              <w:right w:val="nil"/>
            </w:tcBorders>
            <w:shd w:val="clear" w:color="000000" w:fill="FFFFFF"/>
            <w:noWrap/>
            <w:vAlign w:val="bottom"/>
            <w:hideMark/>
          </w:tcPr>
          <w:p w:rsidR="00D30927" w:rsidRPr="00AD554D" w:rsidRDefault="00D30927" w:rsidP="00D30927">
            <w:pPr>
              <w:rPr>
                <w:u w:val="double"/>
              </w:rPr>
            </w:pPr>
          </w:p>
        </w:tc>
        <w:tc>
          <w:tcPr>
            <w:tcW w:w="283" w:type="dxa"/>
            <w:tcBorders>
              <w:top w:val="nil"/>
              <w:left w:val="nil"/>
              <w:bottom w:val="nil"/>
              <w:right w:val="single" w:sz="4" w:space="0" w:color="auto"/>
            </w:tcBorders>
            <w:shd w:val="clear" w:color="000000" w:fill="FFFFFF"/>
            <w:noWrap/>
            <w:vAlign w:val="bottom"/>
            <w:hideMark/>
          </w:tcPr>
          <w:p w:rsidR="00D30927" w:rsidRPr="00053F19" w:rsidRDefault="00D30927" w:rsidP="00D30927">
            <w:r w:rsidRPr="00053F19">
              <w:t> </w:t>
            </w:r>
          </w:p>
        </w:tc>
      </w:tr>
      <w:tr w:rsidR="00D30927" w:rsidRPr="00053F19" w:rsidTr="00D30927">
        <w:trPr>
          <w:trHeight w:val="300"/>
          <w:jc w:val="center"/>
        </w:trPr>
        <w:tc>
          <w:tcPr>
            <w:tcW w:w="283" w:type="dxa"/>
            <w:tcBorders>
              <w:top w:val="nil"/>
              <w:left w:val="single" w:sz="4" w:space="0" w:color="auto"/>
              <w:bottom w:val="nil"/>
              <w:right w:val="nil"/>
            </w:tcBorders>
            <w:shd w:val="clear" w:color="000000" w:fill="FFFFFF"/>
            <w:noWrap/>
            <w:vAlign w:val="bottom"/>
            <w:hideMark/>
          </w:tcPr>
          <w:p w:rsidR="00D30927" w:rsidRPr="00053F19" w:rsidRDefault="00D30927" w:rsidP="00D30927">
            <w:pPr>
              <w:jc w:val="center"/>
            </w:pPr>
            <w:r w:rsidRPr="00053F19">
              <w:t> </w:t>
            </w:r>
          </w:p>
        </w:tc>
        <w:tc>
          <w:tcPr>
            <w:tcW w:w="6598" w:type="dxa"/>
            <w:tcBorders>
              <w:top w:val="nil"/>
              <w:left w:val="nil"/>
              <w:bottom w:val="nil"/>
              <w:right w:val="nil"/>
            </w:tcBorders>
            <w:shd w:val="clear" w:color="000000" w:fill="FFFFFF"/>
            <w:noWrap/>
            <w:vAlign w:val="bottom"/>
            <w:hideMark/>
          </w:tcPr>
          <w:p w:rsidR="00D30927" w:rsidRPr="00053F19" w:rsidRDefault="00D30927" w:rsidP="00D30927">
            <w:pPr>
              <w:rPr>
                <w:b/>
                <w:bCs/>
              </w:rPr>
            </w:pPr>
            <w:r w:rsidRPr="00053F19">
              <w:rPr>
                <w:b/>
                <w:bCs/>
              </w:rPr>
              <w:t>CIAC</w:t>
            </w:r>
          </w:p>
        </w:tc>
        <w:tc>
          <w:tcPr>
            <w:tcW w:w="1710" w:type="dxa"/>
            <w:tcBorders>
              <w:top w:val="nil"/>
              <w:left w:val="nil"/>
              <w:bottom w:val="nil"/>
              <w:right w:val="nil"/>
            </w:tcBorders>
            <w:shd w:val="clear" w:color="000000" w:fill="FFFFFF"/>
            <w:noWrap/>
            <w:vAlign w:val="bottom"/>
            <w:hideMark/>
          </w:tcPr>
          <w:p w:rsidR="00D30927" w:rsidRPr="00AD554D" w:rsidRDefault="00D30927" w:rsidP="00D30927">
            <w:pPr>
              <w:rPr>
                <w:u w:val="double"/>
              </w:rPr>
            </w:pPr>
          </w:p>
        </w:tc>
        <w:tc>
          <w:tcPr>
            <w:tcW w:w="1710" w:type="dxa"/>
            <w:tcBorders>
              <w:top w:val="nil"/>
              <w:left w:val="nil"/>
              <w:bottom w:val="nil"/>
              <w:right w:val="nil"/>
            </w:tcBorders>
            <w:shd w:val="clear" w:color="000000" w:fill="FFFFFF"/>
            <w:noWrap/>
            <w:vAlign w:val="bottom"/>
            <w:hideMark/>
          </w:tcPr>
          <w:p w:rsidR="00D30927" w:rsidRPr="00AD554D" w:rsidRDefault="00D30927" w:rsidP="00D30927">
            <w:pPr>
              <w:rPr>
                <w:u w:val="double"/>
              </w:rPr>
            </w:pPr>
          </w:p>
        </w:tc>
        <w:tc>
          <w:tcPr>
            <w:tcW w:w="283" w:type="dxa"/>
            <w:tcBorders>
              <w:top w:val="nil"/>
              <w:left w:val="nil"/>
              <w:bottom w:val="nil"/>
              <w:right w:val="single" w:sz="4" w:space="0" w:color="auto"/>
            </w:tcBorders>
            <w:shd w:val="clear" w:color="000000" w:fill="FFFFFF"/>
            <w:noWrap/>
            <w:vAlign w:val="bottom"/>
            <w:hideMark/>
          </w:tcPr>
          <w:p w:rsidR="00D30927" w:rsidRPr="00053F19" w:rsidRDefault="00D30927" w:rsidP="00D30927">
            <w:r w:rsidRPr="00053F19">
              <w:t> </w:t>
            </w:r>
          </w:p>
        </w:tc>
      </w:tr>
      <w:tr w:rsidR="00D30927" w:rsidRPr="00053F19" w:rsidTr="00D30927">
        <w:trPr>
          <w:trHeight w:val="300"/>
          <w:jc w:val="center"/>
        </w:trPr>
        <w:tc>
          <w:tcPr>
            <w:tcW w:w="283" w:type="dxa"/>
            <w:tcBorders>
              <w:top w:val="nil"/>
              <w:left w:val="single" w:sz="4" w:space="0" w:color="auto"/>
              <w:bottom w:val="nil"/>
              <w:right w:val="nil"/>
            </w:tcBorders>
            <w:shd w:val="clear" w:color="000000" w:fill="FFFFFF"/>
            <w:noWrap/>
            <w:vAlign w:val="bottom"/>
            <w:hideMark/>
          </w:tcPr>
          <w:p w:rsidR="00D30927" w:rsidRPr="00053F19" w:rsidRDefault="00D30927" w:rsidP="00D30927">
            <w:pPr>
              <w:jc w:val="center"/>
            </w:pPr>
            <w:r w:rsidRPr="00053F19">
              <w:t> </w:t>
            </w:r>
          </w:p>
        </w:tc>
        <w:tc>
          <w:tcPr>
            <w:tcW w:w="6598" w:type="dxa"/>
            <w:tcBorders>
              <w:top w:val="nil"/>
              <w:left w:val="nil"/>
              <w:bottom w:val="nil"/>
              <w:right w:val="nil"/>
            </w:tcBorders>
            <w:shd w:val="clear" w:color="000000" w:fill="FFFFFF"/>
            <w:noWrap/>
            <w:vAlign w:val="bottom"/>
            <w:hideMark/>
          </w:tcPr>
          <w:p w:rsidR="00D30927" w:rsidRPr="00053F19" w:rsidRDefault="00D30927" w:rsidP="00D30927">
            <w:r w:rsidRPr="00053F19">
              <w:t>To reflect appropriate level of CIAC</w:t>
            </w:r>
            <w:r>
              <w:t>.</w:t>
            </w:r>
          </w:p>
        </w:tc>
        <w:tc>
          <w:tcPr>
            <w:tcW w:w="1710" w:type="dxa"/>
            <w:tcBorders>
              <w:top w:val="nil"/>
              <w:left w:val="nil"/>
              <w:bottom w:val="nil"/>
              <w:right w:val="nil"/>
            </w:tcBorders>
            <w:shd w:val="clear" w:color="000000" w:fill="FFFFFF"/>
            <w:noWrap/>
            <w:vAlign w:val="bottom"/>
            <w:hideMark/>
          </w:tcPr>
          <w:p w:rsidR="00D30927" w:rsidRPr="00AD554D" w:rsidRDefault="00D30927" w:rsidP="00D30927">
            <w:pPr>
              <w:jc w:val="right"/>
              <w:rPr>
                <w:u w:val="double"/>
              </w:rPr>
            </w:pPr>
            <w:r w:rsidRPr="00AD554D">
              <w:rPr>
                <w:u w:val="double"/>
              </w:rPr>
              <w:t>$</w:t>
            </w:r>
            <w:r>
              <w:rPr>
                <w:u w:val="double"/>
              </w:rPr>
              <w:t>5,352,043</w:t>
            </w:r>
          </w:p>
        </w:tc>
        <w:tc>
          <w:tcPr>
            <w:tcW w:w="1710" w:type="dxa"/>
            <w:tcBorders>
              <w:top w:val="nil"/>
              <w:left w:val="nil"/>
              <w:bottom w:val="nil"/>
              <w:right w:val="nil"/>
            </w:tcBorders>
            <w:shd w:val="clear" w:color="000000" w:fill="FFFFFF"/>
            <w:noWrap/>
            <w:vAlign w:val="bottom"/>
            <w:hideMark/>
          </w:tcPr>
          <w:p w:rsidR="00D30927" w:rsidRPr="00AD554D" w:rsidRDefault="00D30927" w:rsidP="00D30927">
            <w:pPr>
              <w:jc w:val="right"/>
              <w:rPr>
                <w:u w:val="double"/>
              </w:rPr>
            </w:pPr>
            <w:r w:rsidRPr="00AD554D">
              <w:rPr>
                <w:u w:val="double"/>
              </w:rPr>
              <w:t>$</w:t>
            </w:r>
            <w:r>
              <w:rPr>
                <w:u w:val="double"/>
              </w:rPr>
              <w:t>304,025</w:t>
            </w:r>
          </w:p>
        </w:tc>
        <w:tc>
          <w:tcPr>
            <w:tcW w:w="283" w:type="dxa"/>
            <w:tcBorders>
              <w:top w:val="nil"/>
              <w:left w:val="nil"/>
              <w:bottom w:val="nil"/>
              <w:right w:val="single" w:sz="4" w:space="0" w:color="auto"/>
            </w:tcBorders>
            <w:shd w:val="clear" w:color="000000" w:fill="FFFFFF"/>
            <w:noWrap/>
            <w:vAlign w:val="bottom"/>
            <w:hideMark/>
          </w:tcPr>
          <w:p w:rsidR="00D30927" w:rsidRPr="00053F19" w:rsidRDefault="00D30927" w:rsidP="00D30927">
            <w:r w:rsidRPr="00053F19">
              <w:t> </w:t>
            </w:r>
          </w:p>
        </w:tc>
      </w:tr>
      <w:tr w:rsidR="00D30927" w:rsidRPr="00053F19" w:rsidTr="00D30927">
        <w:trPr>
          <w:trHeight w:val="300"/>
          <w:jc w:val="center"/>
        </w:trPr>
        <w:tc>
          <w:tcPr>
            <w:tcW w:w="283" w:type="dxa"/>
            <w:tcBorders>
              <w:top w:val="nil"/>
              <w:left w:val="single" w:sz="4" w:space="0" w:color="auto"/>
              <w:bottom w:val="nil"/>
              <w:right w:val="nil"/>
            </w:tcBorders>
            <w:shd w:val="clear" w:color="000000" w:fill="FFFFFF"/>
            <w:noWrap/>
            <w:vAlign w:val="bottom"/>
            <w:hideMark/>
          </w:tcPr>
          <w:p w:rsidR="00D30927" w:rsidRPr="00053F19" w:rsidRDefault="00D30927" w:rsidP="00D30927">
            <w:pPr>
              <w:jc w:val="center"/>
            </w:pPr>
            <w:r w:rsidRPr="00053F19">
              <w:t> </w:t>
            </w:r>
          </w:p>
        </w:tc>
        <w:tc>
          <w:tcPr>
            <w:tcW w:w="6598" w:type="dxa"/>
            <w:tcBorders>
              <w:top w:val="nil"/>
              <w:left w:val="nil"/>
              <w:bottom w:val="nil"/>
              <w:right w:val="nil"/>
            </w:tcBorders>
            <w:shd w:val="clear" w:color="000000" w:fill="FFFFFF"/>
            <w:noWrap/>
            <w:vAlign w:val="bottom"/>
            <w:hideMark/>
          </w:tcPr>
          <w:p w:rsidR="00D30927" w:rsidRPr="00053F19" w:rsidRDefault="00D30927" w:rsidP="00D30927">
            <w:r w:rsidRPr="00053F19">
              <w:t> </w:t>
            </w:r>
          </w:p>
        </w:tc>
        <w:tc>
          <w:tcPr>
            <w:tcW w:w="1710" w:type="dxa"/>
            <w:tcBorders>
              <w:top w:val="nil"/>
              <w:left w:val="nil"/>
              <w:bottom w:val="nil"/>
              <w:right w:val="nil"/>
            </w:tcBorders>
            <w:shd w:val="clear" w:color="000000" w:fill="FFFFFF"/>
            <w:noWrap/>
            <w:vAlign w:val="bottom"/>
            <w:hideMark/>
          </w:tcPr>
          <w:p w:rsidR="00D30927" w:rsidRPr="00AD554D" w:rsidRDefault="00D30927" w:rsidP="00D30927">
            <w:pPr>
              <w:rPr>
                <w:u w:val="double"/>
              </w:rPr>
            </w:pPr>
          </w:p>
        </w:tc>
        <w:tc>
          <w:tcPr>
            <w:tcW w:w="1710" w:type="dxa"/>
            <w:tcBorders>
              <w:top w:val="nil"/>
              <w:left w:val="nil"/>
              <w:bottom w:val="nil"/>
              <w:right w:val="nil"/>
            </w:tcBorders>
            <w:shd w:val="clear" w:color="000000" w:fill="FFFFFF"/>
            <w:noWrap/>
            <w:vAlign w:val="bottom"/>
            <w:hideMark/>
          </w:tcPr>
          <w:p w:rsidR="00D30927" w:rsidRPr="00AD554D" w:rsidRDefault="00D30927" w:rsidP="00D30927">
            <w:pPr>
              <w:rPr>
                <w:u w:val="double"/>
              </w:rPr>
            </w:pPr>
          </w:p>
        </w:tc>
        <w:tc>
          <w:tcPr>
            <w:tcW w:w="283" w:type="dxa"/>
            <w:tcBorders>
              <w:top w:val="nil"/>
              <w:left w:val="nil"/>
              <w:bottom w:val="nil"/>
              <w:right w:val="single" w:sz="4" w:space="0" w:color="auto"/>
            </w:tcBorders>
            <w:shd w:val="clear" w:color="000000" w:fill="FFFFFF"/>
            <w:noWrap/>
            <w:vAlign w:val="bottom"/>
            <w:hideMark/>
          </w:tcPr>
          <w:p w:rsidR="00D30927" w:rsidRPr="00053F19" w:rsidRDefault="00D30927" w:rsidP="00D30927">
            <w:r w:rsidRPr="00053F19">
              <w:t> </w:t>
            </w:r>
          </w:p>
        </w:tc>
      </w:tr>
      <w:tr w:rsidR="00D30927" w:rsidRPr="00053F19" w:rsidTr="00D30927">
        <w:trPr>
          <w:trHeight w:val="300"/>
          <w:jc w:val="center"/>
        </w:trPr>
        <w:tc>
          <w:tcPr>
            <w:tcW w:w="283" w:type="dxa"/>
            <w:tcBorders>
              <w:top w:val="nil"/>
              <w:left w:val="single" w:sz="4" w:space="0" w:color="auto"/>
              <w:bottom w:val="nil"/>
              <w:right w:val="nil"/>
            </w:tcBorders>
            <w:shd w:val="clear" w:color="000000" w:fill="FFFFFF"/>
            <w:noWrap/>
            <w:vAlign w:val="bottom"/>
            <w:hideMark/>
          </w:tcPr>
          <w:p w:rsidR="00D30927" w:rsidRPr="00053F19" w:rsidRDefault="00D30927" w:rsidP="00D30927">
            <w:pPr>
              <w:jc w:val="center"/>
            </w:pPr>
            <w:r w:rsidRPr="00053F19">
              <w:t> </w:t>
            </w:r>
          </w:p>
        </w:tc>
        <w:tc>
          <w:tcPr>
            <w:tcW w:w="6598" w:type="dxa"/>
            <w:tcBorders>
              <w:top w:val="nil"/>
              <w:left w:val="nil"/>
              <w:bottom w:val="nil"/>
              <w:right w:val="nil"/>
            </w:tcBorders>
            <w:shd w:val="clear" w:color="000000" w:fill="FFFFFF"/>
            <w:noWrap/>
            <w:vAlign w:val="bottom"/>
            <w:hideMark/>
          </w:tcPr>
          <w:p w:rsidR="00D30927" w:rsidRPr="00053F19" w:rsidRDefault="00D30927" w:rsidP="00D30927">
            <w:pPr>
              <w:rPr>
                <w:b/>
                <w:bCs/>
              </w:rPr>
            </w:pPr>
            <w:r w:rsidRPr="00053F19">
              <w:rPr>
                <w:b/>
                <w:bCs/>
              </w:rPr>
              <w:t>Accumulated Amortization of CIAC</w:t>
            </w:r>
          </w:p>
        </w:tc>
        <w:tc>
          <w:tcPr>
            <w:tcW w:w="1710" w:type="dxa"/>
            <w:tcBorders>
              <w:top w:val="nil"/>
              <w:left w:val="nil"/>
              <w:bottom w:val="nil"/>
              <w:right w:val="nil"/>
            </w:tcBorders>
            <w:shd w:val="clear" w:color="000000" w:fill="FFFFFF"/>
            <w:noWrap/>
            <w:vAlign w:val="bottom"/>
            <w:hideMark/>
          </w:tcPr>
          <w:p w:rsidR="00D30927" w:rsidRPr="00AD554D" w:rsidRDefault="00D30927" w:rsidP="00D30927">
            <w:pPr>
              <w:rPr>
                <w:u w:val="double"/>
              </w:rPr>
            </w:pPr>
          </w:p>
        </w:tc>
        <w:tc>
          <w:tcPr>
            <w:tcW w:w="1710" w:type="dxa"/>
            <w:tcBorders>
              <w:top w:val="nil"/>
              <w:left w:val="nil"/>
              <w:bottom w:val="nil"/>
              <w:right w:val="nil"/>
            </w:tcBorders>
            <w:shd w:val="clear" w:color="000000" w:fill="FFFFFF"/>
            <w:noWrap/>
            <w:vAlign w:val="bottom"/>
            <w:hideMark/>
          </w:tcPr>
          <w:p w:rsidR="00D30927" w:rsidRPr="00AD554D" w:rsidRDefault="00D30927" w:rsidP="00D30927">
            <w:pPr>
              <w:rPr>
                <w:u w:val="double"/>
              </w:rPr>
            </w:pPr>
          </w:p>
        </w:tc>
        <w:tc>
          <w:tcPr>
            <w:tcW w:w="283" w:type="dxa"/>
            <w:tcBorders>
              <w:top w:val="nil"/>
              <w:left w:val="nil"/>
              <w:bottom w:val="nil"/>
              <w:right w:val="single" w:sz="4" w:space="0" w:color="auto"/>
            </w:tcBorders>
            <w:shd w:val="clear" w:color="000000" w:fill="FFFFFF"/>
            <w:noWrap/>
            <w:vAlign w:val="bottom"/>
            <w:hideMark/>
          </w:tcPr>
          <w:p w:rsidR="00D30927" w:rsidRPr="00053F19" w:rsidRDefault="00D30927" w:rsidP="00D30927">
            <w:r w:rsidRPr="00053F19">
              <w:t> </w:t>
            </w:r>
          </w:p>
        </w:tc>
      </w:tr>
      <w:tr w:rsidR="00D30927" w:rsidRPr="00053F19" w:rsidTr="00D30927">
        <w:trPr>
          <w:trHeight w:val="300"/>
          <w:jc w:val="center"/>
        </w:trPr>
        <w:tc>
          <w:tcPr>
            <w:tcW w:w="283" w:type="dxa"/>
            <w:tcBorders>
              <w:top w:val="nil"/>
              <w:left w:val="single" w:sz="4" w:space="0" w:color="auto"/>
              <w:bottom w:val="nil"/>
              <w:right w:val="nil"/>
            </w:tcBorders>
            <w:shd w:val="clear" w:color="000000" w:fill="FFFFFF"/>
            <w:noWrap/>
            <w:vAlign w:val="bottom"/>
            <w:hideMark/>
          </w:tcPr>
          <w:p w:rsidR="00D30927" w:rsidRPr="00053F19" w:rsidRDefault="00D30927" w:rsidP="00D30927">
            <w:pPr>
              <w:jc w:val="center"/>
            </w:pPr>
            <w:r w:rsidRPr="00053F19">
              <w:t> </w:t>
            </w:r>
          </w:p>
        </w:tc>
        <w:tc>
          <w:tcPr>
            <w:tcW w:w="6598" w:type="dxa"/>
            <w:tcBorders>
              <w:top w:val="nil"/>
              <w:left w:val="nil"/>
              <w:bottom w:val="nil"/>
              <w:right w:val="nil"/>
            </w:tcBorders>
            <w:shd w:val="clear" w:color="000000" w:fill="FFFFFF"/>
            <w:noWrap/>
            <w:vAlign w:val="bottom"/>
            <w:hideMark/>
          </w:tcPr>
          <w:p w:rsidR="00D30927" w:rsidRPr="00053F19" w:rsidRDefault="00D30927" w:rsidP="00D30927">
            <w:r w:rsidRPr="00053F19">
              <w:t>To reflect appropriate level of accumulated amortization of CIAC</w:t>
            </w:r>
            <w:r>
              <w:t>.</w:t>
            </w:r>
          </w:p>
        </w:tc>
        <w:tc>
          <w:tcPr>
            <w:tcW w:w="1710" w:type="dxa"/>
            <w:tcBorders>
              <w:top w:val="nil"/>
              <w:left w:val="nil"/>
              <w:bottom w:val="nil"/>
              <w:right w:val="nil"/>
            </w:tcBorders>
            <w:shd w:val="clear" w:color="000000" w:fill="FFFFFF"/>
            <w:noWrap/>
            <w:vAlign w:val="bottom"/>
            <w:hideMark/>
          </w:tcPr>
          <w:p w:rsidR="00D30927" w:rsidRPr="00AD554D" w:rsidRDefault="00D30927" w:rsidP="00D30927">
            <w:pPr>
              <w:jc w:val="right"/>
              <w:rPr>
                <w:u w:val="double"/>
              </w:rPr>
            </w:pPr>
            <w:r>
              <w:rPr>
                <w:u w:val="double"/>
              </w:rPr>
              <w:t>$1,509,405</w:t>
            </w:r>
            <w:r w:rsidRPr="00AD554D">
              <w:rPr>
                <w:u w:val="double"/>
              </w:rPr>
              <w:t xml:space="preserve"> </w:t>
            </w:r>
          </w:p>
        </w:tc>
        <w:tc>
          <w:tcPr>
            <w:tcW w:w="1710" w:type="dxa"/>
            <w:tcBorders>
              <w:top w:val="nil"/>
              <w:left w:val="nil"/>
              <w:bottom w:val="nil"/>
              <w:right w:val="nil"/>
            </w:tcBorders>
            <w:shd w:val="clear" w:color="000000" w:fill="FFFFFF"/>
            <w:noWrap/>
            <w:vAlign w:val="bottom"/>
            <w:hideMark/>
          </w:tcPr>
          <w:p w:rsidR="00D30927" w:rsidRPr="00AD554D" w:rsidRDefault="00D30927" w:rsidP="00D30927">
            <w:pPr>
              <w:jc w:val="right"/>
              <w:rPr>
                <w:u w:val="double"/>
              </w:rPr>
            </w:pPr>
            <w:r w:rsidRPr="00AD554D">
              <w:rPr>
                <w:u w:val="double"/>
              </w:rPr>
              <w:t>$</w:t>
            </w:r>
            <w:r>
              <w:rPr>
                <w:u w:val="double"/>
              </w:rPr>
              <w:t>2,795,268</w:t>
            </w:r>
          </w:p>
        </w:tc>
        <w:tc>
          <w:tcPr>
            <w:tcW w:w="283" w:type="dxa"/>
            <w:tcBorders>
              <w:top w:val="nil"/>
              <w:left w:val="nil"/>
              <w:bottom w:val="nil"/>
              <w:right w:val="single" w:sz="4" w:space="0" w:color="auto"/>
            </w:tcBorders>
            <w:shd w:val="clear" w:color="000000" w:fill="FFFFFF"/>
            <w:noWrap/>
            <w:vAlign w:val="bottom"/>
            <w:hideMark/>
          </w:tcPr>
          <w:p w:rsidR="00D30927" w:rsidRPr="00053F19" w:rsidRDefault="00D30927" w:rsidP="00D30927">
            <w:r w:rsidRPr="00053F19">
              <w:t> </w:t>
            </w:r>
          </w:p>
        </w:tc>
      </w:tr>
      <w:tr w:rsidR="00C00588" w:rsidRPr="00053F19" w:rsidTr="00D30927">
        <w:trPr>
          <w:trHeight w:val="300"/>
          <w:jc w:val="center"/>
        </w:trPr>
        <w:tc>
          <w:tcPr>
            <w:tcW w:w="283" w:type="dxa"/>
            <w:tcBorders>
              <w:top w:val="nil"/>
              <w:left w:val="single" w:sz="4" w:space="0" w:color="auto"/>
              <w:bottom w:val="single" w:sz="4" w:space="0" w:color="auto"/>
              <w:right w:val="nil"/>
            </w:tcBorders>
            <w:shd w:val="clear" w:color="000000" w:fill="FFFFFF"/>
            <w:noWrap/>
            <w:vAlign w:val="bottom"/>
            <w:hideMark/>
          </w:tcPr>
          <w:p w:rsidR="00C00588" w:rsidRPr="00053F19" w:rsidRDefault="00C00588" w:rsidP="00C00588">
            <w:pPr>
              <w:jc w:val="center"/>
            </w:pPr>
            <w:r w:rsidRPr="00053F19">
              <w:t> </w:t>
            </w:r>
          </w:p>
        </w:tc>
        <w:tc>
          <w:tcPr>
            <w:tcW w:w="6598" w:type="dxa"/>
            <w:tcBorders>
              <w:top w:val="nil"/>
              <w:left w:val="nil"/>
              <w:bottom w:val="single" w:sz="4" w:space="0" w:color="auto"/>
              <w:right w:val="nil"/>
            </w:tcBorders>
            <w:shd w:val="clear" w:color="000000" w:fill="FFFFFF"/>
            <w:noWrap/>
            <w:vAlign w:val="bottom"/>
            <w:hideMark/>
          </w:tcPr>
          <w:p w:rsidR="00C00588" w:rsidRPr="00053F19" w:rsidRDefault="00C00588" w:rsidP="00C00588">
            <w:r w:rsidRPr="00053F19">
              <w:t> </w:t>
            </w:r>
          </w:p>
        </w:tc>
        <w:tc>
          <w:tcPr>
            <w:tcW w:w="1710" w:type="dxa"/>
            <w:tcBorders>
              <w:top w:val="nil"/>
              <w:left w:val="nil"/>
              <w:bottom w:val="single" w:sz="4" w:space="0" w:color="auto"/>
              <w:right w:val="nil"/>
            </w:tcBorders>
            <w:shd w:val="clear" w:color="000000" w:fill="FFFFFF"/>
            <w:noWrap/>
            <w:vAlign w:val="bottom"/>
            <w:hideMark/>
          </w:tcPr>
          <w:p w:rsidR="00C00588" w:rsidRPr="00053F19" w:rsidRDefault="00C00588" w:rsidP="00C00588">
            <w:r w:rsidRPr="00053F19">
              <w:t> </w:t>
            </w:r>
          </w:p>
        </w:tc>
        <w:tc>
          <w:tcPr>
            <w:tcW w:w="1710" w:type="dxa"/>
            <w:tcBorders>
              <w:top w:val="nil"/>
              <w:left w:val="nil"/>
              <w:bottom w:val="single" w:sz="4" w:space="0" w:color="auto"/>
              <w:right w:val="nil"/>
            </w:tcBorders>
            <w:shd w:val="clear" w:color="000000" w:fill="FFFFFF"/>
            <w:noWrap/>
            <w:vAlign w:val="bottom"/>
            <w:hideMark/>
          </w:tcPr>
          <w:p w:rsidR="00C00588" w:rsidRPr="00053F19" w:rsidRDefault="00C00588" w:rsidP="00C00588">
            <w:r w:rsidRPr="00053F19">
              <w:t> </w:t>
            </w:r>
          </w:p>
        </w:tc>
        <w:tc>
          <w:tcPr>
            <w:tcW w:w="283" w:type="dxa"/>
            <w:tcBorders>
              <w:top w:val="nil"/>
              <w:left w:val="nil"/>
              <w:bottom w:val="single" w:sz="4" w:space="0" w:color="auto"/>
              <w:right w:val="single" w:sz="4" w:space="0" w:color="auto"/>
            </w:tcBorders>
            <w:shd w:val="clear" w:color="000000" w:fill="FFFFFF"/>
            <w:noWrap/>
            <w:vAlign w:val="bottom"/>
            <w:hideMark/>
          </w:tcPr>
          <w:p w:rsidR="00C00588" w:rsidRPr="00053F19" w:rsidRDefault="00C00588" w:rsidP="00C00588">
            <w:r w:rsidRPr="00053F19">
              <w:t> </w:t>
            </w:r>
          </w:p>
        </w:tc>
      </w:tr>
    </w:tbl>
    <w:p w:rsidR="00C00588" w:rsidRDefault="00C00588" w:rsidP="00C00588">
      <w:pPr>
        <w:pStyle w:val="BodyText"/>
      </w:pPr>
    </w:p>
    <w:p w:rsidR="00C00588" w:rsidRDefault="00C00588" w:rsidP="00C00588">
      <w:pPr>
        <w:sectPr w:rsidR="00C00588" w:rsidSect="00C00588">
          <w:headerReference w:type="default" r:id="rId16"/>
          <w:pgSz w:w="12240" w:h="15840" w:code="1"/>
          <w:pgMar w:top="1584" w:right="1440" w:bottom="1440" w:left="1440" w:header="720" w:footer="720" w:gutter="0"/>
          <w:cols w:space="720"/>
          <w:formProt w:val="0"/>
          <w:docGrid w:linePitch="360"/>
        </w:sectPr>
      </w:pPr>
    </w:p>
    <w:tbl>
      <w:tblPr>
        <w:tblW w:w="5000" w:type="pct"/>
        <w:jc w:val="center"/>
        <w:tblLook w:val="04A0" w:firstRow="1" w:lastRow="0" w:firstColumn="1" w:lastColumn="0" w:noHBand="0" w:noVBand="1"/>
      </w:tblPr>
      <w:tblGrid>
        <w:gridCol w:w="410"/>
        <w:gridCol w:w="2711"/>
        <w:gridCol w:w="1426"/>
        <w:gridCol w:w="1209"/>
        <w:gridCol w:w="573"/>
        <w:gridCol w:w="962"/>
        <w:gridCol w:w="573"/>
        <w:gridCol w:w="639"/>
        <w:gridCol w:w="917"/>
        <w:gridCol w:w="34"/>
        <w:gridCol w:w="818"/>
        <w:gridCol w:w="326"/>
        <w:gridCol w:w="761"/>
        <w:gridCol w:w="219"/>
        <w:gridCol w:w="1126"/>
        <w:gridCol w:w="328"/>
      </w:tblGrid>
      <w:tr w:rsidR="00C00588" w:rsidTr="00D30927">
        <w:trPr>
          <w:trHeight w:val="170"/>
          <w:jc w:val="center"/>
        </w:trPr>
        <w:tc>
          <w:tcPr>
            <w:tcW w:w="1197" w:type="pct"/>
            <w:gridSpan w:val="2"/>
            <w:tcBorders>
              <w:top w:val="single" w:sz="4" w:space="0" w:color="auto"/>
              <w:left w:val="single" w:sz="4" w:space="0" w:color="auto"/>
              <w:bottom w:val="nil"/>
              <w:right w:val="nil"/>
            </w:tcBorders>
            <w:shd w:val="clear" w:color="000000" w:fill="FFFFFF"/>
            <w:noWrap/>
            <w:vAlign w:val="bottom"/>
            <w:hideMark/>
          </w:tcPr>
          <w:p w:rsidR="00C00588" w:rsidRDefault="00C00588" w:rsidP="00C00588">
            <w:pPr>
              <w:ind w:left="-120" w:right="-30"/>
              <w:rPr>
                <w:rFonts w:ascii="Arial" w:hAnsi="Arial" w:cs="Arial"/>
                <w:b/>
                <w:bCs/>
              </w:rPr>
            </w:pPr>
            <w:bookmarkStart w:id="20" w:name="RANGE!A4:J34"/>
            <w:r>
              <w:rPr>
                <w:rFonts w:ascii="Arial" w:hAnsi="Arial" w:cs="Arial"/>
                <w:b/>
                <w:bCs/>
              </w:rPr>
              <w:lastRenderedPageBreak/>
              <w:t>Gibson Place Utilities, LLC</w:t>
            </w:r>
            <w:bookmarkEnd w:id="20"/>
          </w:p>
        </w:tc>
        <w:tc>
          <w:tcPr>
            <w:tcW w:w="547" w:type="pct"/>
            <w:tcBorders>
              <w:top w:val="single" w:sz="4" w:space="0" w:color="auto"/>
              <w:left w:val="nil"/>
              <w:bottom w:val="nil"/>
              <w:right w:val="nil"/>
            </w:tcBorders>
            <w:shd w:val="clear" w:color="000000" w:fill="FFFFFF"/>
            <w:noWrap/>
            <w:vAlign w:val="bottom"/>
            <w:hideMark/>
          </w:tcPr>
          <w:p w:rsidR="00C00588" w:rsidRDefault="00C00588" w:rsidP="00C00588">
            <w:pPr>
              <w:rPr>
                <w:rFonts w:ascii="Arial" w:hAnsi="Arial" w:cs="Arial"/>
                <w:b/>
                <w:bCs/>
              </w:rPr>
            </w:pPr>
            <w:r>
              <w:rPr>
                <w:rFonts w:ascii="Arial" w:hAnsi="Arial" w:cs="Arial"/>
                <w:b/>
                <w:bCs/>
              </w:rPr>
              <w:t> </w:t>
            </w:r>
          </w:p>
        </w:tc>
        <w:tc>
          <w:tcPr>
            <w:tcW w:w="464" w:type="pct"/>
            <w:tcBorders>
              <w:top w:val="single" w:sz="4" w:space="0" w:color="auto"/>
              <w:left w:val="nil"/>
              <w:bottom w:val="nil"/>
              <w:right w:val="nil"/>
            </w:tcBorders>
            <w:shd w:val="clear" w:color="000000" w:fill="FFFFFF"/>
            <w:noWrap/>
            <w:vAlign w:val="bottom"/>
            <w:hideMark/>
          </w:tcPr>
          <w:p w:rsidR="00C00588" w:rsidRDefault="00C00588" w:rsidP="00C00588">
            <w:pPr>
              <w:rPr>
                <w:rFonts w:ascii="Arial" w:hAnsi="Arial" w:cs="Arial"/>
                <w:b/>
                <w:bCs/>
              </w:rPr>
            </w:pPr>
            <w:r>
              <w:rPr>
                <w:rFonts w:ascii="Arial" w:hAnsi="Arial" w:cs="Arial"/>
                <w:b/>
                <w:bCs/>
              </w:rPr>
              <w:t> </w:t>
            </w:r>
          </w:p>
        </w:tc>
        <w:tc>
          <w:tcPr>
            <w:tcW w:w="589" w:type="pct"/>
            <w:gridSpan w:val="2"/>
            <w:tcBorders>
              <w:top w:val="single" w:sz="4" w:space="0" w:color="auto"/>
              <w:left w:val="nil"/>
              <w:bottom w:val="nil"/>
              <w:right w:val="nil"/>
            </w:tcBorders>
            <w:shd w:val="clear" w:color="000000" w:fill="FFFFFF"/>
            <w:noWrap/>
            <w:vAlign w:val="bottom"/>
            <w:hideMark/>
          </w:tcPr>
          <w:p w:rsidR="00C00588" w:rsidRDefault="00C00588" w:rsidP="00C00588">
            <w:pPr>
              <w:rPr>
                <w:rFonts w:ascii="Arial" w:hAnsi="Arial" w:cs="Arial"/>
                <w:b/>
                <w:bCs/>
              </w:rPr>
            </w:pPr>
            <w:r>
              <w:rPr>
                <w:rFonts w:ascii="Arial" w:hAnsi="Arial" w:cs="Arial"/>
                <w:b/>
                <w:bCs/>
              </w:rPr>
              <w:t> </w:t>
            </w:r>
          </w:p>
        </w:tc>
        <w:tc>
          <w:tcPr>
            <w:tcW w:w="465" w:type="pct"/>
            <w:gridSpan w:val="2"/>
            <w:tcBorders>
              <w:top w:val="single" w:sz="4" w:space="0" w:color="auto"/>
              <w:left w:val="nil"/>
              <w:bottom w:val="nil"/>
              <w:right w:val="nil"/>
            </w:tcBorders>
            <w:shd w:val="clear" w:color="000000" w:fill="FFFFFF"/>
            <w:noWrap/>
            <w:vAlign w:val="bottom"/>
            <w:hideMark/>
          </w:tcPr>
          <w:p w:rsidR="00C00588" w:rsidRDefault="00C00588" w:rsidP="00C00588">
            <w:pPr>
              <w:rPr>
                <w:rFonts w:ascii="Arial" w:hAnsi="Arial" w:cs="Arial"/>
                <w:b/>
                <w:bCs/>
              </w:rPr>
            </w:pPr>
            <w:r>
              <w:rPr>
                <w:rFonts w:ascii="Arial" w:hAnsi="Arial" w:cs="Arial"/>
                <w:b/>
                <w:bCs/>
              </w:rPr>
              <w:t> </w:t>
            </w:r>
          </w:p>
        </w:tc>
        <w:tc>
          <w:tcPr>
            <w:tcW w:w="1738" w:type="pct"/>
            <w:gridSpan w:val="8"/>
            <w:tcBorders>
              <w:top w:val="single" w:sz="4" w:space="0" w:color="auto"/>
              <w:left w:val="nil"/>
              <w:bottom w:val="nil"/>
              <w:right w:val="single" w:sz="4" w:space="0" w:color="000000"/>
            </w:tcBorders>
            <w:shd w:val="clear" w:color="000000" w:fill="FFFFFF"/>
            <w:noWrap/>
            <w:vAlign w:val="bottom"/>
            <w:hideMark/>
          </w:tcPr>
          <w:p w:rsidR="00C00588" w:rsidRDefault="00C00588" w:rsidP="00C00588">
            <w:pPr>
              <w:jc w:val="right"/>
              <w:rPr>
                <w:rFonts w:ascii="Arial" w:hAnsi="Arial" w:cs="Arial"/>
                <w:b/>
                <w:bCs/>
              </w:rPr>
            </w:pPr>
            <w:r>
              <w:rPr>
                <w:rFonts w:ascii="Arial" w:hAnsi="Arial" w:cs="Arial"/>
                <w:b/>
                <w:bCs/>
              </w:rPr>
              <w:t>Schedule No. 2</w:t>
            </w:r>
          </w:p>
        </w:tc>
      </w:tr>
      <w:tr w:rsidR="00C00588" w:rsidTr="00D30927">
        <w:trPr>
          <w:trHeight w:val="80"/>
          <w:jc w:val="center"/>
        </w:trPr>
        <w:tc>
          <w:tcPr>
            <w:tcW w:w="2208" w:type="pct"/>
            <w:gridSpan w:val="4"/>
            <w:tcBorders>
              <w:top w:val="nil"/>
              <w:left w:val="single" w:sz="4" w:space="0" w:color="auto"/>
              <w:bottom w:val="nil"/>
              <w:right w:val="nil"/>
            </w:tcBorders>
            <w:shd w:val="clear" w:color="000000" w:fill="FFFFFF"/>
            <w:noWrap/>
            <w:vAlign w:val="bottom"/>
            <w:hideMark/>
          </w:tcPr>
          <w:p w:rsidR="00C00588" w:rsidRDefault="00C00588" w:rsidP="00C00588">
            <w:pPr>
              <w:ind w:left="-120" w:right="-30"/>
              <w:rPr>
                <w:rFonts w:ascii="Arial" w:hAnsi="Arial" w:cs="Arial"/>
                <w:b/>
                <w:bCs/>
              </w:rPr>
            </w:pPr>
            <w:r>
              <w:rPr>
                <w:rFonts w:ascii="Arial" w:hAnsi="Arial" w:cs="Arial"/>
                <w:b/>
                <w:bCs/>
              </w:rPr>
              <w:t>Capital Structure</w:t>
            </w:r>
          </w:p>
        </w:tc>
        <w:tc>
          <w:tcPr>
            <w:tcW w:w="589" w:type="pct"/>
            <w:gridSpan w:val="2"/>
            <w:tcBorders>
              <w:top w:val="nil"/>
              <w:left w:val="nil"/>
              <w:bottom w:val="nil"/>
              <w:right w:val="nil"/>
            </w:tcBorders>
            <w:shd w:val="clear" w:color="000000" w:fill="FFFFFF"/>
            <w:noWrap/>
            <w:vAlign w:val="bottom"/>
            <w:hideMark/>
          </w:tcPr>
          <w:p w:rsidR="00C00588" w:rsidRDefault="00C00588" w:rsidP="00C00588">
            <w:pPr>
              <w:rPr>
                <w:rFonts w:ascii="Arial" w:hAnsi="Arial" w:cs="Arial"/>
                <w:b/>
                <w:bCs/>
              </w:rPr>
            </w:pPr>
            <w:r>
              <w:rPr>
                <w:rFonts w:ascii="Arial" w:hAnsi="Arial" w:cs="Arial"/>
                <w:b/>
                <w:bCs/>
              </w:rPr>
              <w:t> </w:t>
            </w:r>
          </w:p>
        </w:tc>
        <w:tc>
          <w:tcPr>
            <w:tcW w:w="465" w:type="pct"/>
            <w:gridSpan w:val="2"/>
            <w:tcBorders>
              <w:top w:val="nil"/>
              <w:left w:val="nil"/>
              <w:bottom w:val="nil"/>
              <w:right w:val="nil"/>
            </w:tcBorders>
            <w:shd w:val="clear" w:color="000000" w:fill="FFFFFF"/>
            <w:noWrap/>
            <w:vAlign w:val="bottom"/>
            <w:hideMark/>
          </w:tcPr>
          <w:p w:rsidR="00C00588" w:rsidRDefault="00C00588" w:rsidP="00C00588">
            <w:pPr>
              <w:rPr>
                <w:rFonts w:ascii="Arial" w:hAnsi="Arial" w:cs="Arial"/>
                <w:b/>
                <w:bCs/>
              </w:rPr>
            </w:pPr>
            <w:r>
              <w:rPr>
                <w:rFonts w:ascii="Arial" w:hAnsi="Arial" w:cs="Arial"/>
                <w:b/>
                <w:bCs/>
              </w:rPr>
              <w:t> </w:t>
            </w:r>
          </w:p>
        </w:tc>
        <w:tc>
          <w:tcPr>
            <w:tcW w:w="1738" w:type="pct"/>
            <w:gridSpan w:val="8"/>
            <w:tcBorders>
              <w:top w:val="nil"/>
              <w:left w:val="nil"/>
              <w:bottom w:val="nil"/>
              <w:right w:val="single" w:sz="4" w:space="0" w:color="000000"/>
            </w:tcBorders>
            <w:shd w:val="clear" w:color="000000" w:fill="FFFFFF"/>
            <w:noWrap/>
            <w:vAlign w:val="bottom"/>
            <w:hideMark/>
          </w:tcPr>
          <w:p w:rsidR="00C00588" w:rsidRDefault="00C00588" w:rsidP="00C00588">
            <w:pPr>
              <w:jc w:val="right"/>
              <w:rPr>
                <w:rFonts w:ascii="Arial" w:hAnsi="Arial" w:cs="Arial"/>
                <w:b/>
                <w:bCs/>
              </w:rPr>
            </w:pPr>
            <w:r>
              <w:rPr>
                <w:rFonts w:ascii="Arial" w:hAnsi="Arial" w:cs="Arial"/>
                <w:b/>
                <w:bCs/>
              </w:rPr>
              <w:t>20200185-WS</w:t>
            </w:r>
          </w:p>
        </w:tc>
      </w:tr>
      <w:tr w:rsidR="00C00588" w:rsidTr="00D30927">
        <w:trPr>
          <w:trHeight w:val="80"/>
          <w:jc w:val="center"/>
        </w:trPr>
        <w:tc>
          <w:tcPr>
            <w:tcW w:w="1197" w:type="pct"/>
            <w:gridSpan w:val="2"/>
            <w:tcBorders>
              <w:top w:val="nil"/>
              <w:left w:val="single" w:sz="4" w:space="0" w:color="auto"/>
              <w:bottom w:val="single" w:sz="4" w:space="0" w:color="auto"/>
              <w:right w:val="nil"/>
            </w:tcBorders>
            <w:shd w:val="clear" w:color="000000" w:fill="FFFFFF"/>
            <w:noWrap/>
            <w:vAlign w:val="bottom"/>
            <w:hideMark/>
          </w:tcPr>
          <w:p w:rsidR="00C00588" w:rsidRDefault="00C00588" w:rsidP="00C00588">
            <w:pPr>
              <w:ind w:left="-120" w:right="-30"/>
              <w:rPr>
                <w:rFonts w:ascii="Arial" w:hAnsi="Arial" w:cs="Arial"/>
                <w:b/>
                <w:bCs/>
              </w:rPr>
            </w:pPr>
            <w:r>
              <w:rPr>
                <w:rFonts w:ascii="Arial" w:hAnsi="Arial" w:cs="Arial"/>
                <w:b/>
                <w:bCs/>
              </w:rPr>
              <w:t>80% Design Capacity</w:t>
            </w:r>
          </w:p>
        </w:tc>
        <w:tc>
          <w:tcPr>
            <w:tcW w:w="547" w:type="pct"/>
            <w:tcBorders>
              <w:top w:val="nil"/>
              <w:left w:val="nil"/>
              <w:bottom w:val="nil"/>
              <w:right w:val="nil"/>
            </w:tcBorders>
            <w:shd w:val="clear" w:color="000000" w:fill="FFFFFF"/>
            <w:noWrap/>
            <w:vAlign w:val="bottom"/>
            <w:hideMark/>
          </w:tcPr>
          <w:p w:rsidR="00C00588" w:rsidRDefault="00C00588" w:rsidP="00C00588">
            <w:pPr>
              <w:rPr>
                <w:rFonts w:ascii="Arial" w:hAnsi="Arial" w:cs="Arial"/>
                <w:b/>
                <w:bCs/>
              </w:rPr>
            </w:pPr>
            <w:r>
              <w:rPr>
                <w:rFonts w:ascii="Arial" w:hAnsi="Arial" w:cs="Arial"/>
                <w:b/>
                <w:bCs/>
              </w:rPr>
              <w:t> </w:t>
            </w:r>
          </w:p>
        </w:tc>
        <w:tc>
          <w:tcPr>
            <w:tcW w:w="464" w:type="pct"/>
            <w:tcBorders>
              <w:top w:val="nil"/>
              <w:left w:val="nil"/>
              <w:bottom w:val="nil"/>
              <w:right w:val="nil"/>
            </w:tcBorders>
            <w:shd w:val="clear" w:color="000000" w:fill="FFFFFF"/>
            <w:noWrap/>
            <w:vAlign w:val="bottom"/>
            <w:hideMark/>
          </w:tcPr>
          <w:p w:rsidR="00C00588" w:rsidRDefault="00C00588" w:rsidP="00C00588">
            <w:pPr>
              <w:rPr>
                <w:rFonts w:ascii="Arial" w:hAnsi="Arial" w:cs="Arial"/>
                <w:b/>
                <w:bCs/>
              </w:rPr>
            </w:pPr>
            <w:r>
              <w:rPr>
                <w:rFonts w:ascii="Arial" w:hAnsi="Arial" w:cs="Arial"/>
                <w:b/>
                <w:bCs/>
              </w:rPr>
              <w:t> </w:t>
            </w:r>
          </w:p>
        </w:tc>
        <w:tc>
          <w:tcPr>
            <w:tcW w:w="589" w:type="pct"/>
            <w:gridSpan w:val="2"/>
            <w:tcBorders>
              <w:top w:val="nil"/>
              <w:left w:val="nil"/>
              <w:bottom w:val="nil"/>
              <w:right w:val="nil"/>
            </w:tcBorders>
            <w:shd w:val="clear" w:color="000000" w:fill="FFFFFF"/>
            <w:noWrap/>
            <w:vAlign w:val="bottom"/>
            <w:hideMark/>
          </w:tcPr>
          <w:p w:rsidR="00C00588" w:rsidRDefault="00C00588" w:rsidP="00C00588">
            <w:pPr>
              <w:rPr>
                <w:rFonts w:ascii="Arial" w:hAnsi="Arial" w:cs="Arial"/>
                <w:b/>
                <w:bCs/>
              </w:rPr>
            </w:pPr>
            <w:r>
              <w:rPr>
                <w:rFonts w:ascii="Arial" w:hAnsi="Arial" w:cs="Arial"/>
                <w:b/>
                <w:bCs/>
              </w:rPr>
              <w:t> </w:t>
            </w:r>
          </w:p>
        </w:tc>
        <w:tc>
          <w:tcPr>
            <w:tcW w:w="465" w:type="pct"/>
            <w:gridSpan w:val="2"/>
            <w:tcBorders>
              <w:top w:val="nil"/>
              <w:left w:val="nil"/>
              <w:bottom w:val="nil"/>
              <w:right w:val="nil"/>
            </w:tcBorders>
            <w:shd w:val="clear" w:color="000000" w:fill="FFFFFF"/>
            <w:noWrap/>
            <w:vAlign w:val="bottom"/>
            <w:hideMark/>
          </w:tcPr>
          <w:p w:rsidR="00C00588" w:rsidRDefault="00C00588" w:rsidP="00C00588">
            <w:pPr>
              <w:rPr>
                <w:rFonts w:ascii="Arial" w:hAnsi="Arial" w:cs="Arial"/>
                <w:b/>
                <w:bCs/>
              </w:rPr>
            </w:pPr>
            <w:r>
              <w:rPr>
                <w:rFonts w:ascii="Arial" w:hAnsi="Arial" w:cs="Arial"/>
                <w:b/>
                <w:bCs/>
              </w:rPr>
              <w:t> </w:t>
            </w:r>
          </w:p>
        </w:tc>
        <w:tc>
          <w:tcPr>
            <w:tcW w:w="352" w:type="pct"/>
            <w:tcBorders>
              <w:top w:val="nil"/>
              <w:left w:val="nil"/>
              <w:bottom w:val="nil"/>
              <w:right w:val="nil"/>
            </w:tcBorders>
            <w:shd w:val="clear" w:color="000000" w:fill="FFFFFF"/>
            <w:noWrap/>
            <w:vAlign w:val="bottom"/>
            <w:hideMark/>
          </w:tcPr>
          <w:p w:rsidR="00C00588" w:rsidRDefault="00C00588" w:rsidP="00C00588">
            <w:pPr>
              <w:rPr>
                <w:rFonts w:ascii="Arial" w:hAnsi="Arial" w:cs="Arial"/>
                <w:b/>
                <w:bCs/>
              </w:rPr>
            </w:pPr>
            <w:r>
              <w:rPr>
                <w:rFonts w:ascii="Arial" w:hAnsi="Arial" w:cs="Arial"/>
                <w:b/>
                <w:bCs/>
              </w:rPr>
              <w:t> </w:t>
            </w:r>
          </w:p>
        </w:tc>
        <w:tc>
          <w:tcPr>
            <w:tcW w:w="327" w:type="pct"/>
            <w:gridSpan w:val="2"/>
            <w:tcBorders>
              <w:top w:val="nil"/>
              <w:left w:val="nil"/>
              <w:bottom w:val="nil"/>
              <w:right w:val="nil"/>
            </w:tcBorders>
            <w:shd w:val="clear" w:color="000000" w:fill="FFFFFF"/>
            <w:noWrap/>
            <w:vAlign w:val="bottom"/>
            <w:hideMark/>
          </w:tcPr>
          <w:p w:rsidR="00C00588" w:rsidRDefault="00C00588" w:rsidP="00C00588">
            <w:pPr>
              <w:rPr>
                <w:rFonts w:ascii="Arial" w:hAnsi="Arial" w:cs="Arial"/>
                <w:b/>
                <w:bCs/>
              </w:rPr>
            </w:pPr>
            <w:r>
              <w:rPr>
                <w:rFonts w:ascii="Arial" w:hAnsi="Arial" w:cs="Arial"/>
                <w:b/>
                <w:bCs/>
              </w:rPr>
              <w:t> </w:t>
            </w:r>
          </w:p>
        </w:tc>
        <w:tc>
          <w:tcPr>
            <w:tcW w:w="417" w:type="pct"/>
            <w:gridSpan w:val="2"/>
            <w:tcBorders>
              <w:top w:val="nil"/>
              <w:left w:val="nil"/>
              <w:bottom w:val="nil"/>
              <w:right w:val="nil"/>
            </w:tcBorders>
            <w:shd w:val="clear" w:color="000000" w:fill="FFFFFF"/>
            <w:noWrap/>
            <w:vAlign w:val="bottom"/>
            <w:hideMark/>
          </w:tcPr>
          <w:p w:rsidR="00C00588" w:rsidRDefault="00C00588" w:rsidP="00C00588">
            <w:pPr>
              <w:rPr>
                <w:rFonts w:ascii="Arial" w:hAnsi="Arial" w:cs="Arial"/>
              </w:rPr>
            </w:pPr>
            <w:r>
              <w:rPr>
                <w:rFonts w:ascii="Arial" w:hAnsi="Arial" w:cs="Arial"/>
              </w:rPr>
              <w:t> </w:t>
            </w:r>
          </w:p>
        </w:tc>
        <w:tc>
          <w:tcPr>
            <w:tcW w:w="642" w:type="pct"/>
            <w:gridSpan w:val="3"/>
            <w:tcBorders>
              <w:top w:val="nil"/>
              <w:left w:val="nil"/>
              <w:bottom w:val="nil"/>
              <w:right w:val="single" w:sz="4" w:space="0" w:color="auto"/>
            </w:tcBorders>
            <w:shd w:val="clear" w:color="000000" w:fill="FFFFFF"/>
            <w:noWrap/>
            <w:vAlign w:val="bottom"/>
            <w:hideMark/>
          </w:tcPr>
          <w:p w:rsidR="00C00588" w:rsidRDefault="00C00588" w:rsidP="00C00588">
            <w:pPr>
              <w:rPr>
                <w:rFonts w:ascii="Arial" w:hAnsi="Arial" w:cs="Arial"/>
                <w:sz w:val="20"/>
                <w:szCs w:val="20"/>
              </w:rPr>
            </w:pPr>
            <w:r>
              <w:rPr>
                <w:rFonts w:ascii="Arial" w:hAnsi="Arial" w:cs="Arial"/>
                <w:sz w:val="20"/>
                <w:szCs w:val="20"/>
              </w:rPr>
              <w:t> </w:t>
            </w:r>
          </w:p>
        </w:tc>
      </w:tr>
      <w:tr w:rsidR="00C00588" w:rsidTr="00D30927">
        <w:trPr>
          <w:trHeight w:val="70"/>
          <w:jc w:val="center"/>
        </w:trPr>
        <w:tc>
          <w:tcPr>
            <w:tcW w:w="157" w:type="pct"/>
            <w:tcBorders>
              <w:top w:val="nil"/>
              <w:left w:val="single" w:sz="4" w:space="0" w:color="auto"/>
              <w:bottom w:val="nil"/>
              <w:right w:val="nil"/>
            </w:tcBorders>
            <w:shd w:val="clear" w:color="000000" w:fill="FFFFFF"/>
            <w:noWrap/>
            <w:vAlign w:val="center"/>
            <w:hideMark/>
          </w:tcPr>
          <w:p w:rsidR="00C00588" w:rsidRDefault="00C00588" w:rsidP="00C00588">
            <w:pPr>
              <w:ind w:left="-120" w:right="-30"/>
              <w:rPr>
                <w:b/>
                <w:bCs/>
                <w:sz w:val="22"/>
                <w:szCs w:val="22"/>
              </w:rPr>
            </w:pPr>
            <w:r>
              <w:rPr>
                <w:b/>
                <w:bCs/>
                <w:sz w:val="22"/>
                <w:szCs w:val="22"/>
              </w:rPr>
              <w:t> </w:t>
            </w:r>
          </w:p>
        </w:tc>
        <w:tc>
          <w:tcPr>
            <w:tcW w:w="1040" w:type="pct"/>
            <w:vMerge w:val="restart"/>
            <w:tcBorders>
              <w:top w:val="nil"/>
              <w:left w:val="nil"/>
              <w:bottom w:val="single" w:sz="4" w:space="0" w:color="000000"/>
              <w:right w:val="nil"/>
            </w:tcBorders>
            <w:shd w:val="clear" w:color="000000" w:fill="FFFFFF"/>
            <w:noWrap/>
            <w:vAlign w:val="center"/>
            <w:hideMark/>
          </w:tcPr>
          <w:p w:rsidR="00C00588" w:rsidRDefault="00C00588" w:rsidP="00C00588">
            <w:pPr>
              <w:ind w:left="-120" w:right="-30"/>
              <w:jc w:val="center"/>
              <w:rPr>
                <w:b/>
                <w:bCs/>
                <w:sz w:val="22"/>
                <w:szCs w:val="22"/>
              </w:rPr>
            </w:pPr>
            <w:r>
              <w:rPr>
                <w:b/>
                <w:bCs/>
                <w:sz w:val="22"/>
                <w:szCs w:val="22"/>
              </w:rPr>
              <w:t>Description</w:t>
            </w:r>
          </w:p>
        </w:tc>
        <w:tc>
          <w:tcPr>
            <w:tcW w:w="547" w:type="pct"/>
            <w:vMerge w:val="restart"/>
            <w:tcBorders>
              <w:top w:val="single" w:sz="4" w:space="0" w:color="auto"/>
              <w:left w:val="nil"/>
              <w:bottom w:val="single" w:sz="4" w:space="0" w:color="000000"/>
              <w:right w:val="nil"/>
            </w:tcBorders>
            <w:shd w:val="clear" w:color="000000" w:fill="FFFFFF"/>
            <w:vAlign w:val="center"/>
            <w:hideMark/>
          </w:tcPr>
          <w:p w:rsidR="00C00588" w:rsidRDefault="00C00588" w:rsidP="00C00588">
            <w:pPr>
              <w:jc w:val="center"/>
              <w:rPr>
                <w:b/>
                <w:bCs/>
                <w:sz w:val="22"/>
                <w:szCs w:val="22"/>
              </w:rPr>
            </w:pPr>
            <w:r>
              <w:rPr>
                <w:b/>
                <w:bCs/>
                <w:sz w:val="22"/>
                <w:szCs w:val="22"/>
              </w:rPr>
              <w:t>Total           Capital</w:t>
            </w:r>
          </w:p>
        </w:tc>
        <w:tc>
          <w:tcPr>
            <w:tcW w:w="684" w:type="pct"/>
            <w:gridSpan w:val="2"/>
            <w:tcBorders>
              <w:top w:val="single" w:sz="4" w:space="0" w:color="auto"/>
              <w:left w:val="nil"/>
              <w:bottom w:val="nil"/>
              <w:right w:val="nil"/>
            </w:tcBorders>
            <w:shd w:val="clear" w:color="000000" w:fill="FFFFFF"/>
            <w:noWrap/>
            <w:vAlign w:val="center"/>
            <w:hideMark/>
          </w:tcPr>
          <w:p w:rsidR="00C00588" w:rsidRDefault="00C00588" w:rsidP="00C00588">
            <w:pPr>
              <w:jc w:val="center"/>
              <w:rPr>
                <w:b/>
                <w:bCs/>
                <w:sz w:val="22"/>
                <w:szCs w:val="22"/>
              </w:rPr>
            </w:pPr>
            <w:r>
              <w:rPr>
                <w:b/>
                <w:bCs/>
                <w:sz w:val="22"/>
                <w:szCs w:val="22"/>
              </w:rPr>
              <w:t>Subtotal</w:t>
            </w:r>
          </w:p>
        </w:tc>
        <w:tc>
          <w:tcPr>
            <w:tcW w:w="589" w:type="pct"/>
            <w:gridSpan w:val="2"/>
            <w:tcBorders>
              <w:top w:val="single" w:sz="4" w:space="0" w:color="auto"/>
              <w:left w:val="nil"/>
              <w:bottom w:val="nil"/>
              <w:right w:val="nil"/>
            </w:tcBorders>
            <w:shd w:val="clear" w:color="000000" w:fill="FFFFFF"/>
            <w:noWrap/>
            <w:vAlign w:val="center"/>
            <w:hideMark/>
          </w:tcPr>
          <w:p w:rsidR="00C00588" w:rsidRDefault="00C00588" w:rsidP="00C00588">
            <w:pPr>
              <w:jc w:val="center"/>
              <w:rPr>
                <w:b/>
                <w:bCs/>
                <w:sz w:val="22"/>
                <w:szCs w:val="22"/>
              </w:rPr>
            </w:pPr>
            <w:r>
              <w:rPr>
                <w:b/>
                <w:bCs/>
                <w:sz w:val="22"/>
                <w:szCs w:val="22"/>
              </w:rPr>
              <w:t>Pro</w:t>
            </w:r>
            <w:r w:rsidR="00D30927">
              <w:rPr>
                <w:b/>
                <w:bCs/>
                <w:sz w:val="22"/>
                <w:szCs w:val="22"/>
              </w:rPr>
              <w:t xml:space="preserve"> </w:t>
            </w:r>
            <w:r>
              <w:rPr>
                <w:b/>
                <w:bCs/>
                <w:sz w:val="22"/>
                <w:szCs w:val="22"/>
              </w:rPr>
              <w:t>rata</w:t>
            </w:r>
          </w:p>
        </w:tc>
        <w:tc>
          <w:tcPr>
            <w:tcW w:w="610" w:type="pct"/>
            <w:gridSpan w:val="3"/>
            <w:tcBorders>
              <w:top w:val="single" w:sz="4" w:space="0" w:color="auto"/>
              <w:left w:val="nil"/>
              <w:bottom w:val="nil"/>
              <w:right w:val="nil"/>
            </w:tcBorders>
            <w:shd w:val="clear" w:color="000000" w:fill="FFFFFF"/>
            <w:noWrap/>
            <w:vAlign w:val="center"/>
            <w:hideMark/>
          </w:tcPr>
          <w:p w:rsidR="00C00588" w:rsidRDefault="00C00588" w:rsidP="00C00588">
            <w:pPr>
              <w:jc w:val="center"/>
              <w:rPr>
                <w:b/>
                <w:bCs/>
                <w:sz w:val="22"/>
                <w:szCs w:val="22"/>
              </w:rPr>
            </w:pPr>
            <w:r>
              <w:rPr>
                <w:b/>
                <w:bCs/>
                <w:sz w:val="22"/>
                <w:szCs w:val="22"/>
              </w:rPr>
              <w:t>Capital</w:t>
            </w:r>
          </w:p>
        </w:tc>
        <w:tc>
          <w:tcPr>
            <w:tcW w:w="439" w:type="pct"/>
            <w:gridSpan w:val="2"/>
            <w:vMerge w:val="restart"/>
            <w:tcBorders>
              <w:top w:val="single" w:sz="4" w:space="0" w:color="auto"/>
              <w:left w:val="nil"/>
              <w:bottom w:val="single" w:sz="4" w:space="0" w:color="000000"/>
              <w:right w:val="nil"/>
            </w:tcBorders>
            <w:shd w:val="clear" w:color="000000" w:fill="FFFFFF"/>
            <w:noWrap/>
            <w:vAlign w:val="center"/>
            <w:hideMark/>
          </w:tcPr>
          <w:p w:rsidR="00C00588" w:rsidRDefault="00C00588" w:rsidP="00C00588">
            <w:pPr>
              <w:jc w:val="center"/>
              <w:rPr>
                <w:b/>
                <w:bCs/>
                <w:sz w:val="22"/>
                <w:szCs w:val="22"/>
              </w:rPr>
            </w:pPr>
            <w:r>
              <w:rPr>
                <w:b/>
                <w:bCs/>
                <w:sz w:val="22"/>
                <w:szCs w:val="22"/>
              </w:rPr>
              <w:t>Ratio</w:t>
            </w:r>
          </w:p>
        </w:tc>
        <w:tc>
          <w:tcPr>
            <w:tcW w:w="376" w:type="pct"/>
            <w:gridSpan w:val="2"/>
            <w:vMerge w:val="restart"/>
            <w:tcBorders>
              <w:top w:val="single" w:sz="4" w:space="0" w:color="auto"/>
              <w:left w:val="nil"/>
              <w:bottom w:val="single" w:sz="4" w:space="0" w:color="000000"/>
              <w:right w:val="nil"/>
            </w:tcBorders>
            <w:shd w:val="clear" w:color="000000" w:fill="FFFFFF"/>
            <w:vAlign w:val="center"/>
            <w:hideMark/>
          </w:tcPr>
          <w:p w:rsidR="00C00588" w:rsidRDefault="00C00588" w:rsidP="00C00588">
            <w:pPr>
              <w:jc w:val="center"/>
              <w:rPr>
                <w:b/>
                <w:bCs/>
                <w:sz w:val="22"/>
                <w:szCs w:val="22"/>
              </w:rPr>
            </w:pPr>
            <w:r>
              <w:rPr>
                <w:b/>
                <w:bCs/>
                <w:sz w:val="22"/>
                <w:szCs w:val="22"/>
              </w:rPr>
              <w:t>Cost Rate</w:t>
            </w:r>
          </w:p>
        </w:tc>
        <w:tc>
          <w:tcPr>
            <w:tcW w:w="432" w:type="pct"/>
            <w:vMerge w:val="restart"/>
            <w:tcBorders>
              <w:top w:val="single" w:sz="4" w:space="0" w:color="auto"/>
              <w:left w:val="nil"/>
              <w:bottom w:val="single" w:sz="4" w:space="0" w:color="000000"/>
              <w:right w:val="nil"/>
            </w:tcBorders>
            <w:shd w:val="clear" w:color="000000" w:fill="FFFFFF"/>
            <w:vAlign w:val="center"/>
            <w:hideMark/>
          </w:tcPr>
          <w:p w:rsidR="00C00588" w:rsidRDefault="00C00588" w:rsidP="00C00588">
            <w:pPr>
              <w:jc w:val="center"/>
              <w:rPr>
                <w:b/>
                <w:bCs/>
                <w:sz w:val="22"/>
                <w:szCs w:val="22"/>
              </w:rPr>
            </w:pPr>
            <w:r>
              <w:rPr>
                <w:b/>
                <w:bCs/>
                <w:sz w:val="22"/>
                <w:szCs w:val="22"/>
              </w:rPr>
              <w:t>Weighted Cost</w:t>
            </w:r>
          </w:p>
        </w:tc>
        <w:tc>
          <w:tcPr>
            <w:tcW w:w="126" w:type="pct"/>
            <w:tcBorders>
              <w:top w:val="single" w:sz="4" w:space="0" w:color="auto"/>
              <w:left w:val="nil"/>
              <w:bottom w:val="nil"/>
              <w:right w:val="single" w:sz="4" w:space="0" w:color="auto"/>
            </w:tcBorders>
            <w:shd w:val="clear" w:color="000000" w:fill="FFFFFF"/>
            <w:noWrap/>
            <w:vAlign w:val="center"/>
          </w:tcPr>
          <w:p w:rsidR="00C00588" w:rsidRDefault="00C00588" w:rsidP="00C00588">
            <w:pPr>
              <w:rPr>
                <w:b/>
                <w:bCs/>
                <w:sz w:val="22"/>
                <w:szCs w:val="22"/>
              </w:rPr>
            </w:pPr>
          </w:p>
        </w:tc>
      </w:tr>
      <w:tr w:rsidR="00C00588" w:rsidTr="00D30927">
        <w:trPr>
          <w:trHeight w:val="70"/>
          <w:jc w:val="center"/>
        </w:trPr>
        <w:tc>
          <w:tcPr>
            <w:tcW w:w="157" w:type="pct"/>
            <w:tcBorders>
              <w:top w:val="nil"/>
              <w:left w:val="single" w:sz="4" w:space="0" w:color="auto"/>
              <w:bottom w:val="nil"/>
              <w:right w:val="nil"/>
            </w:tcBorders>
            <w:shd w:val="clear" w:color="000000" w:fill="FFFFFF"/>
            <w:noWrap/>
            <w:vAlign w:val="center"/>
            <w:hideMark/>
          </w:tcPr>
          <w:p w:rsidR="00C00588" w:rsidRDefault="00C00588" w:rsidP="00C00588">
            <w:pPr>
              <w:ind w:left="-120" w:right="-30"/>
              <w:rPr>
                <w:b/>
                <w:bCs/>
                <w:sz w:val="22"/>
                <w:szCs w:val="22"/>
              </w:rPr>
            </w:pPr>
            <w:r>
              <w:rPr>
                <w:b/>
                <w:bCs/>
                <w:sz w:val="22"/>
                <w:szCs w:val="22"/>
              </w:rPr>
              <w:t> </w:t>
            </w:r>
          </w:p>
        </w:tc>
        <w:tc>
          <w:tcPr>
            <w:tcW w:w="1040" w:type="pct"/>
            <w:vMerge/>
            <w:tcBorders>
              <w:top w:val="nil"/>
              <w:left w:val="nil"/>
              <w:bottom w:val="single" w:sz="4" w:space="0" w:color="000000"/>
              <w:right w:val="nil"/>
            </w:tcBorders>
            <w:vAlign w:val="center"/>
            <w:hideMark/>
          </w:tcPr>
          <w:p w:rsidR="00C00588" w:rsidRDefault="00C00588" w:rsidP="00C00588">
            <w:pPr>
              <w:ind w:left="-120" w:right="-30"/>
              <w:rPr>
                <w:b/>
                <w:bCs/>
                <w:sz w:val="22"/>
                <w:szCs w:val="22"/>
              </w:rPr>
            </w:pPr>
          </w:p>
        </w:tc>
        <w:tc>
          <w:tcPr>
            <w:tcW w:w="547" w:type="pct"/>
            <w:vMerge/>
            <w:tcBorders>
              <w:top w:val="single" w:sz="4" w:space="0" w:color="auto"/>
              <w:left w:val="nil"/>
              <w:bottom w:val="single" w:sz="4" w:space="0" w:color="000000"/>
              <w:right w:val="nil"/>
            </w:tcBorders>
            <w:vAlign w:val="center"/>
            <w:hideMark/>
          </w:tcPr>
          <w:p w:rsidR="00C00588" w:rsidRDefault="00C00588" w:rsidP="00C00588">
            <w:pPr>
              <w:rPr>
                <w:b/>
                <w:bCs/>
                <w:sz w:val="22"/>
                <w:szCs w:val="22"/>
              </w:rPr>
            </w:pPr>
          </w:p>
        </w:tc>
        <w:tc>
          <w:tcPr>
            <w:tcW w:w="684" w:type="pct"/>
            <w:gridSpan w:val="2"/>
            <w:tcBorders>
              <w:top w:val="nil"/>
              <w:left w:val="nil"/>
              <w:bottom w:val="nil"/>
              <w:right w:val="nil"/>
            </w:tcBorders>
            <w:shd w:val="clear" w:color="000000" w:fill="FFFFFF"/>
            <w:noWrap/>
            <w:vAlign w:val="center"/>
            <w:hideMark/>
          </w:tcPr>
          <w:p w:rsidR="00C00588" w:rsidRDefault="00C00588" w:rsidP="00C00588">
            <w:pPr>
              <w:jc w:val="center"/>
              <w:rPr>
                <w:b/>
                <w:bCs/>
                <w:sz w:val="22"/>
                <w:szCs w:val="22"/>
              </w:rPr>
            </w:pPr>
            <w:r>
              <w:rPr>
                <w:b/>
                <w:bCs/>
                <w:sz w:val="22"/>
                <w:szCs w:val="22"/>
              </w:rPr>
              <w:t>Adjusted</w:t>
            </w:r>
          </w:p>
        </w:tc>
        <w:tc>
          <w:tcPr>
            <w:tcW w:w="589" w:type="pct"/>
            <w:gridSpan w:val="2"/>
            <w:tcBorders>
              <w:top w:val="nil"/>
              <w:left w:val="nil"/>
              <w:bottom w:val="nil"/>
              <w:right w:val="nil"/>
            </w:tcBorders>
            <w:shd w:val="clear" w:color="000000" w:fill="FFFFFF"/>
            <w:noWrap/>
            <w:vAlign w:val="center"/>
            <w:hideMark/>
          </w:tcPr>
          <w:p w:rsidR="00C00588" w:rsidRDefault="00C00588" w:rsidP="00C00588">
            <w:pPr>
              <w:jc w:val="center"/>
              <w:rPr>
                <w:b/>
                <w:bCs/>
                <w:sz w:val="22"/>
                <w:szCs w:val="22"/>
              </w:rPr>
            </w:pPr>
            <w:r>
              <w:rPr>
                <w:b/>
                <w:bCs/>
                <w:sz w:val="22"/>
                <w:szCs w:val="22"/>
              </w:rPr>
              <w:t>Adjust-</w:t>
            </w:r>
          </w:p>
        </w:tc>
        <w:tc>
          <w:tcPr>
            <w:tcW w:w="610" w:type="pct"/>
            <w:gridSpan w:val="3"/>
            <w:tcBorders>
              <w:top w:val="nil"/>
              <w:left w:val="nil"/>
              <w:bottom w:val="nil"/>
              <w:right w:val="nil"/>
            </w:tcBorders>
            <w:shd w:val="clear" w:color="000000" w:fill="FFFFFF"/>
            <w:noWrap/>
            <w:vAlign w:val="center"/>
            <w:hideMark/>
          </w:tcPr>
          <w:p w:rsidR="00C00588" w:rsidRDefault="00C00588" w:rsidP="00C00588">
            <w:pPr>
              <w:jc w:val="center"/>
              <w:rPr>
                <w:b/>
                <w:bCs/>
                <w:sz w:val="22"/>
                <w:szCs w:val="22"/>
              </w:rPr>
            </w:pPr>
            <w:r>
              <w:rPr>
                <w:b/>
                <w:bCs/>
                <w:sz w:val="22"/>
                <w:szCs w:val="22"/>
              </w:rPr>
              <w:t>Reconciled</w:t>
            </w:r>
          </w:p>
        </w:tc>
        <w:tc>
          <w:tcPr>
            <w:tcW w:w="439" w:type="pct"/>
            <w:gridSpan w:val="2"/>
            <w:vMerge/>
            <w:tcBorders>
              <w:top w:val="single" w:sz="4" w:space="0" w:color="auto"/>
              <w:left w:val="nil"/>
              <w:bottom w:val="single" w:sz="4" w:space="0" w:color="000000"/>
              <w:right w:val="nil"/>
            </w:tcBorders>
            <w:vAlign w:val="center"/>
            <w:hideMark/>
          </w:tcPr>
          <w:p w:rsidR="00C00588" w:rsidRDefault="00C00588" w:rsidP="00C00588">
            <w:pPr>
              <w:rPr>
                <w:b/>
                <w:bCs/>
                <w:sz w:val="22"/>
                <w:szCs w:val="22"/>
              </w:rPr>
            </w:pPr>
          </w:p>
        </w:tc>
        <w:tc>
          <w:tcPr>
            <w:tcW w:w="376" w:type="pct"/>
            <w:gridSpan w:val="2"/>
            <w:vMerge/>
            <w:tcBorders>
              <w:top w:val="single" w:sz="4" w:space="0" w:color="auto"/>
              <w:left w:val="nil"/>
              <w:bottom w:val="single" w:sz="4" w:space="0" w:color="000000"/>
              <w:right w:val="nil"/>
            </w:tcBorders>
            <w:vAlign w:val="center"/>
            <w:hideMark/>
          </w:tcPr>
          <w:p w:rsidR="00C00588" w:rsidRDefault="00C00588" w:rsidP="00C00588">
            <w:pPr>
              <w:rPr>
                <w:b/>
                <w:bCs/>
                <w:sz w:val="22"/>
                <w:szCs w:val="22"/>
              </w:rPr>
            </w:pPr>
          </w:p>
        </w:tc>
        <w:tc>
          <w:tcPr>
            <w:tcW w:w="432" w:type="pct"/>
            <w:vMerge/>
            <w:tcBorders>
              <w:top w:val="single" w:sz="4" w:space="0" w:color="auto"/>
              <w:left w:val="nil"/>
              <w:bottom w:val="single" w:sz="4" w:space="0" w:color="000000"/>
              <w:right w:val="nil"/>
            </w:tcBorders>
            <w:vAlign w:val="center"/>
            <w:hideMark/>
          </w:tcPr>
          <w:p w:rsidR="00C00588" w:rsidRDefault="00C00588" w:rsidP="00C00588">
            <w:pPr>
              <w:rPr>
                <w:b/>
                <w:bCs/>
                <w:sz w:val="22"/>
                <w:szCs w:val="22"/>
              </w:rPr>
            </w:pPr>
          </w:p>
        </w:tc>
        <w:tc>
          <w:tcPr>
            <w:tcW w:w="126" w:type="pct"/>
            <w:tcBorders>
              <w:top w:val="nil"/>
              <w:left w:val="nil"/>
              <w:bottom w:val="nil"/>
              <w:right w:val="single" w:sz="4" w:space="0" w:color="auto"/>
            </w:tcBorders>
            <w:shd w:val="clear" w:color="000000" w:fill="FFFFFF"/>
            <w:noWrap/>
            <w:vAlign w:val="center"/>
          </w:tcPr>
          <w:p w:rsidR="00C00588" w:rsidRDefault="00C00588" w:rsidP="00C00588">
            <w:pPr>
              <w:rPr>
                <w:b/>
                <w:bCs/>
                <w:sz w:val="22"/>
                <w:szCs w:val="22"/>
              </w:rPr>
            </w:pPr>
          </w:p>
        </w:tc>
      </w:tr>
      <w:tr w:rsidR="00C00588" w:rsidTr="00D30927">
        <w:trPr>
          <w:trHeight w:val="70"/>
          <w:jc w:val="center"/>
        </w:trPr>
        <w:tc>
          <w:tcPr>
            <w:tcW w:w="157" w:type="pct"/>
            <w:tcBorders>
              <w:top w:val="nil"/>
              <w:left w:val="single" w:sz="4" w:space="0" w:color="auto"/>
              <w:bottom w:val="single" w:sz="4" w:space="0" w:color="auto"/>
              <w:right w:val="nil"/>
            </w:tcBorders>
            <w:shd w:val="clear" w:color="000000" w:fill="FFFFFF"/>
            <w:noWrap/>
            <w:vAlign w:val="center"/>
            <w:hideMark/>
          </w:tcPr>
          <w:p w:rsidR="00C00588" w:rsidRDefault="00C00588" w:rsidP="00C00588">
            <w:pPr>
              <w:ind w:left="-120" w:right="-30"/>
              <w:rPr>
                <w:b/>
                <w:bCs/>
                <w:sz w:val="22"/>
                <w:szCs w:val="22"/>
              </w:rPr>
            </w:pPr>
            <w:r>
              <w:rPr>
                <w:b/>
                <w:bCs/>
                <w:sz w:val="22"/>
                <w:szCs w:val="22"/>
              </w:rPr>
              <w:t> </w:t>
            </w:r>
          </w:p>
        </w:tc>
        <w:tc>
          <w:tcPr>
            <w:tcW w:w="1040" w:type="pct"/>
            <w:vMerge/>
            <w:tcBorders>
              <w:top w:val="nil"/>
              <w:left w:val="nil"/>
              <w:bottom w:val="single" w:sz="4" w:space="0" w:color="000000"/>
              <w:right w:val="nil"/>
            </w:tcBorders>
            <w:vAlign w:val="center"/>
            <w:hideMark/>
          </w:tcPr>
          <w:p w:rsidR="00C00588" w:rsidRDefault="00C00588" w:rsidP="00C00588">
            <w:pPr>
              <w:ind w:left="-120" w:right="-30"/>
              <w:rPr>
                <w:b/>
                <w:bCs/>
                <w:sz w:val="22"/>
                <w:szCs w:val="22"/>
              </w:rPr>
            </w:pPr>
          </w:p>
        </w:tc>
        <w:tc>
          <w:tcPr>
            <w:tcW w:w="547" w:type="pct"/>
            <w:vMerge/>
            <w:tcBorders>
              <w:top w:val="single" w:sz="4" w:space="0" w:color="auto"/>
              <w:left w:val="nil"/>
              <w:bottom w:val="single" w:sz="4" w:space="0" w:color="000000"/>
              <w:right w:val="nil"/>
            </w:tcBorders>
            <w:vAlign w:val="center"/>
            <w:hideMark/>
          </w:tcPr>
          <w:p w:rsidR="00C00588" w:rsidRDefault="00C00588" w:rsidP="00C00588">
            <w:pPr>
              <w:rPr>
                <w:b/>
                <w:bCs/>
                <w:sz w:val="22"/>
                <w:szCs w:val="22"/>
              </w:rPr>
            </w:pPr>
          </w:p>
        </w:tc>
        <w:tc>
          <w:tcPr>
            <w:tcW w:w="684" w:type="pct"/>
            <w:gridSpan w:val="2"/>
            <w:tcBorders>
              <w:top w:val="nil"/>
              <w:left w:val="nil"/>
              <w:bottom w:val="single" w:sz="4" w:space="0" w:color="auto"/>
              <w:right w:val="nil"/>
            </w:tcBorders>
            <w:shd w:val="clear" w:color="000000" w:fill="FFFFFF"/>
            <w:noWrap/>
            <w:hideMark/>
          </w:tcPr>
          <w:p w:rsidR="00C00588" w:rsidRDefault="00C00588" w:rsidP="00C00588">
            <w:pPr>
              <w:jc w:val="center"/>
              <w:rPr>
                <w:b/>
                <w:bCs/>
                <w:sz w:val="22"/>
                <w:szCs w:val="22"/>
              </w:rPr>
            </w:pPr>
            <w:r>
              <w:rPr>
                <w:b/>
                <w:bCs/>
                <w:sz w:val="22"/>
                <w:szCs w:val="22"/>
              </w:rPr>
              <w:t>Capital</w:t>
            </w:r>
          </w:p>
        </w:tc>
        <w:tc>
          <w:tcPr>
            <w:tcW w:w="589" w:type="pct"/>
            <w:gridSpan w:val="2"/>
            <w:tcBorders>
              <w:top w:val="nil"/>
              <w:left w:val="nil"/>
              <w:bottom w:val="single" w:sz="4" w:space="0" w:color="auto"/>
              <w:right w:val="nil"/>
            </w:tcBorders>
            <w:shd w:val="clear" w:color="000000" w:fill="FFFFFF"/>
            <w:noWrap/>
            <w:hideMark/>
          </w:tcPr>
          <w:p w:rsidR="00C00588" w:rsidRDefault="00C00588" w:rsidP="00C00588">
            <w:pPr>
              <w:jc w:val="center"/>
              <w:rPr>
                <w:b/>
                <w:bCs/>
                <w:sz w:val="22"/>
                <w:szCs w:val="22"/>
              </w:rPr>
            </w:pPr>
            <w:proofErr w:type="spellStart"/>
            <w:r>
              <w:rPr>
                <w:b/>
                <w:bCs/>
                <w:sz w:val="22"/>
                <w:szCs w:val="22"/>
              </w:rPr>
              <w:t>ments</w:t>
            </w:r>
            <w:proofErr w:type="spellEnd"/>
          </w:p>
        </w:tc>
        <w:tc>
          <w:tcPr>
            <w:tcW w:w="610" w:type="pct"/>
            <w:gridSpan w:val="3"/>
            <w:tcBorders>
              <w:top w:val="nil"/>
              <w:left w:val="nil"/>
              <w:bottom w:val="single" w:sz="4" w:space="0" w:color="auto"/>
              <w:right w:val="nil"/>
            </w:tcBorders>
            <w:shd w:val="clear" w:color="000000" w:fill="FFFFFF"/>
            <w:noWrap/>
            <w:vAlign w:val="center"/>
            <w:hideMark/>
          </w:tcPr>
          <w:p w:rsidR="00C00588" w:rsidRDefault="00C00588" w:rsidP="00C00588">
            <w:pPr>
              <w:jc w:val="center"/>
              <w:rPr>
                <w:b/>
                <w:bCs/>
                <w:sz w:val="22"/>
                <w:szCs w:val="22"/>
              </w:rPr>
            </w:pPr>
            <w:r>
              <w:rPr>
                <w:b/>
                <w:bCs/>
                <w:sz w:val="22"/>
                <w:szCs w:val="22"/>
              </w:rPr>
              <w:t>to Rate Base</w:t>
            </w:r>
          </w:p>
        </w:tc>
        <w:tc>
          <w:tcPr>
            <w:tcW w:w="439" w:type="pct"/>
            <w:gridSpan w:val="2"/>
            <w:vMerge/>
            <w:tcBorders>
              <w:top w:val="single" w:sz="4" w:space="0" w:color="auto"/>
              <w:left w:val="nil"/>
              <w:bottom w:val="single" w:sz="4" w:space="0" w:color="000000"/>
              <w:right w:val="nil"/>
            </w:tcBorders>
            <w:vAlign w:val="center"/>
            <w:hideMark/>
          </w:tcPr>
          <w:p w:rsidR="00C00588" w:rsidRDefault="00C00588" w:rsidP="00C00588">
            <w:pPr>
              <w:rPr>
                <w:b/>
                <w:bCs/>
                <w:sz w:val="22"/>
                <w:szCs w:val="22"/>
              </w:rPr>
            </w:pPr>
          </w:p>
        </w:tc>
        <w:tc>
          <w:tcPr>
            <w:tcW w:w="376" w:type="pct"/>
            <w:gridSpan w:val="2"/>
            <w:vMerge/>
            <w:tcBorders>
              <w:top w:val="single" w:sz="4" w:space="0" w:color="auto"/>
              <w:left w:val="nil"/>
              <w:bottom w:val="single" w:sz="4" w:space="0" w:color="000000"/>
              <w:right w:val="nil"/>
            </w:tcBorders>
            <w:vAlign w:val="center"/>
            <w:hideMark/>
          </w:tcPr>
          <w:p w:rsidR="00C00588" w:rsidRDefault="00C00588" w:rsidP="00C00588">
            <w:pPr>
              <w:rPr>
                <w:b/>
                <w:bCs/>
                <w:sz w:val="22"/>
                <w:szCs w:val="22"/>
              </w:rPr>
            </w:pPr>
          </w:p>
        </w:tc>
        <w:tc>
          <w:tcPr>
            <w:tcW w:w="432" w:type="pct"/>
            <w:vMerge/>
            <w:tcBorders>
              <w:top w:val="single" w:sz="4" w:space="0" w:color="auto"/>
              <w:left w:val="nil"/>
              <w:bottom w:val="single" w:sz="4" w:space="0" w:color="000000"/>
              <w:right w:val="nil"/>
            </w:tcBorders>
            <w:vAlign w:val="center"/>
            <w:hideMark/>
          </w:tcPr>
          <w:p w:rsidR="00C00588" w:rsidRDefault="00C00588" w:rsidP="00C00588">
            <w:pPr>
              <w:rPr>
                <w:b/>
                <w:bCs/>
                <w:sz w:val="22"/>
                <w:szCs w:val="22"/>
              </w:rPr>
            </w:pPr>
          </w:p>
        </w:tc>
        <w:tc>
          <w:tcPr>
            <w:tcW w:w="126" w:type="pct"/>
            <w:tcBorders>
              <w:top w:val="nil"/>
              <w:left w:val="nil"/>
              <w:bottom w:val="single" w:sz="4" w:space="0" w:color="auto"/>
              <w:right w:val="single" w:sz="4" w:space="0" w:color="auto"/>
            </w:tcBorders>
            <w:shd w:val="clear" w:color="000000" w:fill="FFFFFF"/>
            <w:noWrap/>
            <w:vAlign w:val="center"/>
          </w:tcPr>
          <w:p w:rsidR="00C00588" w:rsidRDefault="00C00588" w:rsidP="00C00588">
            <w:pPr>
              <w:jc w:val="center"/>
              <w:rPr>
                <w:b/>
                <w:bCs/>
                <w:sz w:val="22"/>
                <w:szCs w:val="22"/>
              </w:rPr>
            </w:pPr>
          </w:p>
        </w:tc>
      </w:tr>
      <w:tr w:rsidR="00C00588" w:rsidTr="00D30927">
        <w:trPr>
          <w:trHeight w:val="70"/>
          <w:jc w:val="center"/>
        </w:trPr>
        <w:tc>
          <w:tcPr>
            <w:tcW w:w="157" w:type="pct"/>
            <w:tcBorders>
              <w:top w:val="nil"/>
              <w:left w:val="single" w:sz="4" w:space="0" w:color="auto"/>
              <w:bottom w:val="nil"/>
              <w:right w:val="nil"/>
            </w:tcBorders>
            <w:shd w:val="clear" w:color="000000" w:fill="FFFFFF"/>
            <w:noWrap/>
            <w:vAlign w:val="center"/>
            <w:hideMark/>
          </w:tcPr>
          <w:p w:rsidR="00C00588" w:rsidRDefault="00C00588" w:rsidP="00C00588">
            <w:pPr>
              <w:ind w:left="-120" w:right="-30"/>
              <w:rPr>
                <w:b/>
                <w:bCs/>
                <w:sz w:val="22"/>
                <w:szCs w:val="22"/>
              </w:rPr>
            </w:pPr>
            <w:r>
              <w:rPr>
                <w:b/>
                <w:bCs/>
                <w:sz w:val="22"/>
                <w:szCs w:val="22"/>
              </w:rPr>
              <w:t> </w:t>
            </w:r>
          </w:p>
        </w:tc>
        <w:tc>
          <w:tcPr>
            <w:tcW w:w="1040" w:type="pct"/>
            <w:tcBorders>
              <w:top w:val="nil"/>
              <w:left w:val="nil"/>
              <w:bottom w:val="nil"/>
              <w:right w:val="nil"/>
            </w:tcBorders>
            <w:shd w:val="clear" w:color="000000" w:fill="FFFFFF"/>
            <w:noWrap/>
            <w:vAlign w:val="center"/>
            <w:hideMark/>
          </w:tcPr>
          <w:p w:rsidR="00C00588" w:rsidRDefault="00C00588" w:rsidP="00C00588">
            <w:pPr>
              <w:ind w:left="-120" w:right="-30"/>
              <w:rPr>
                <w:rFonts w:ascii="Arial" w:hAnsi="Arial" w:cs="Arial"/>
              </w:rPr>
            </w:pPr>
            <w:r>
              <w:rPr>
                <w:rFonts w:ascii="Arial" w:hAnsi="Arial" w:cs="Arial"/>
              </w:rPr>
              <w:t> </w:t>
            </w:r>
          </w:p>
        </w:tc>
        <w:tc>
          <w:tcPr>
            <w:tcW w:w="547" w:type="pct"/>
            <w:tcBorders>
              <w:top w:val="nil"/>
              <w:left w:val="nil"/>
              <w:bottom w:val="nil"/>
              <w:right w:val="nil"/>
            </w:tcBorders>
            <w:shd w:val="clear" w:color="000000" w:fill="FFFFFF"/>
            <w:vAlign w:val="center"/>
            <w:hideMark/>
          </w:tcPr>
          <w:p w:rsidR="00C00588" w:rsidRDefault="00C00588" w:rsidP="00C00588">
            <w:pPr>
              <w:rPr>
                <w:rFonts w:ascii="Arial" w:hAnsi="Arial" w:cs="Arial"/>
              </w:rPr>
            </w:pPr>
            <w:r>
              <w:rPr>
                <w:rFonts w:ascii="Arial" w:hAnsi="Arial" w:cs="Arial"/>
              </w:rPr>
              <w:t> </w:t>
            </w:r>
          </w:p>
        </w:tc>
        <w:tc>
          <w:tcPr>
            <w:tcW w:w="684" w:type="pct"/>
            <w:gridSpan w:val="2"/>
            <w:tcBorders>
              <w:top w:val="nil"/>
              <w:left w:val="nil"/>
              <w:bottom w:val="nil"/>
              <w:right w:val="nil"/>
            </w:tcBorders>
            <w:shd w:val="clear" w:color="000000" w:fill="FFFFFF"/>
            <w:noWrap/>
            <w:vAlign w:val="center"/>
            <w:hideMark/>
          </w:tcPr>
          <w:p w:rsidR="00C00588" w:rsidRDefault="00C00588" w:rsidP="00C00588">
            <w:pPr>
              <w:jc w:val="center"/>
              <w:rPr>
                <w:b/>
                <w:bCs/>
                <w:sz w:val="22"/>
                <w:szCs w:val="22"/>
              </w:rPr>
            </w:pPr>
            <w:r>
              <w:rPr>
                <w:b/>
                <w:bCs/>
                <w:sz w:val="22"/>
                <w:szCs w:val="22"/>
              </w:rPr>
              <w:t> </w:t>
            </w:r>
          </w:p>
        </w:tc>
        <w:tc>
          <w:tcPr>
            <w:tcW w:w="589" w:type="pct"/>
            <w:gridSpan w:val="2"/>
            <w:tcBorders>
              <w:top w:val="nil"/>
              <w:left w:val="nil"/>
              <w:bottom w:val="nil"/>
              <w:right w:val="nil"/>
            </w:tcBorders>
            <w:shd w:val="clear" w:color="000000" w:fill="FFFFFF"/>
            <w:noWrap/>
            <w:vAlign w:val="center"/>
            <w:hideMark/>
          </w:tcPr>
          <w:p w:rsidR="00C00588" w:rsidRDefault="00C00588" w:rsidP="00C00588">
            <w:pPr>
              <w:jc w:val="center"/>
              <w:rPr>
                <w:b/>
                <w:bCs/>
                <w:sz w:val="22"/>
                <w:szCs w:val="22"/>
              </w:rPr>
            </w:pPr>
            <w:r>
              <w:rPr>
                <w:b/>
                <w:bCs/>
                <w:sz w:val="22"/>
                <w:szCs w:val="22"/>
              </w:rPr>
              <w:t> </w:t>
            </w:r>
          </w:p>
        </w:tc>
        <w:tc>
          <w:tcPr>
            <w:tcW w:w="610" w:type="pct"/>
            <w:gridSpan w:val="3"/>
            <w:tcBorders>
              <w:top w:val="nil"/>
              <w:left w:val="nil"/>
              <w:bottom w:val="nil"/>
              <w:right w:val="nil"/>
            </w:tcBorders>
            <w:shd w:val="clear" w:color="000000" w:fill="FFFFFF"/>
            <w:noWrap/>
            <w:vAlign w:val="center"/>
            <w:hideMark/>
          </w:tcPr>
          <w:p w:rsidR="00C00588" w:rsidRDefault="00C00588" w:rsidP="00C00588">
            <w:pPr>
              <w:jc w:val="center"/>
              <w:rPr>
                <w:b/>
                <w:bCs/>
                <w:sz w:val="22"/>
                <w:szCs w:val="22"/>
              </w:rPr>
            </w:pPr>
            <w:r>
              <w:rPr>
                <w:b/>
                <w:bCs/>
                <w:sz w:val="22"/>
                <w:szCs w:val="22"/>
              </w:rPr>
              <w:t> </w:t>
            </w:r>
          </w:p>
        </w:tc>
        <w:tc>
          <w:tcPr>
            <w:tcW w:w="439" w:type="pct"/>
            <w:gridSpan w:val="2"/>
            <w:tcBorders>
              <w:top w:val="nil"/>
              <w:left w:val="nil"/>
              <w:bottom w:val="nil"/>
              <w:right w:val="nil"/>
            </w:tcBorders>
            <w:shd w:val="clear" w:color="000000" w:fill="FFFFFF"/>
            <w:noWrap/>
            <w:vAlign w:val="center"/>
            <w:hideMark/>
          </w:tcPr>
          <w:p w:rsidR="00C00588" w:rsidRDefault="00C00588" w:rsidP="00C00588">
            <w:pPr>
              <w:rPr>
                <w:rFonts w:ascii="Arial" w:hAnsi="Arial" w:cs="Arial"/>
              </w:rPr>
            </w:pPr>
            <w:r>
              <w:rPr>
                <w:rFonts w:ascii="Arial" w:hAnsi="Arial" w:cs="Arial"/>
              </w:rPr>
              <w:t> </w:t>
            </w:r>
          </w:p>
        </w:tc>
        <w:tc>
          <w:tcPr>
            <w:tcW w:w="376" w:type="pct"/>
            <w:gridSpan w:val="2"/>
            <w:tcBorders>
              <w:top w:val="nil"/>
              <w:left w:val="nil"/>
              <w:bottom w:val="nil"/>
              <w:right w:val="nil"/>
            </w:tcBorders>
            <w:shd w:val="clear" w:color="000000" w:fill="FFFFFF"/>
            <w:vAlign w:val="center"/>
            <w:hideMark/>
          </w:tcPr>
          <w:p w:rsidR="00C00588" w:rsidRDefault="00C00588" w:rsidP="00C00588">
            <w:pPr>
              <w:rPr>
                <w:rFonts w:ascii="Arial" w:hAnsi="Arial" w:cs="Arial"/>
              </w:rPr>
            </w:pPr>
            <w:r>
              <w:rPr>
                <w:rFonts w:ascii="Arial" w:hAnsi="Arial" w:cs="Arial"/>
              </w:rPr>
              <w:t> </w:t>
            </w:r>
          </w:p>
        </w:tc>
        <w:tc>
          <w:tcPr>
            <w:tcW w:w="432" w:type="pct"/>
            <w:tcBorders>
              <w:top w:val="nil"/>
              <w:left w:val="nil"/>
              <w:bottom w:val="nil"/>
              <w:right w:val="nil"/>
            </w:tcBorders>
            <w:shd w:val="clear" w:color="000000" w:fill="FFFFFF"/>
            <w:vAlign w:val="center"/>
            <w:hideMark/>
          </w:tcPr>
          <w:p w:rsidR="00C00588" w:rsidRDefault="00C00588" w:rsidP="00C00588">
            <w:pPr>
              <w:rPr>
                <w:rFonts w:ascii="Arial" w:hAnsi="Arial" w:cs="Arial"/>
              </w:rPr>
            </w:pPr>
            <w:r>
              <w:rPr>
                <w:rFonts w:ascii="Arial" w:hAnsi="Arial" w:cs="Arial"/>
              </w:rPr>
              <w:t> </w:t>
            </w:r>
          </w:p>
        </w:tc>
        <w:tc>
          <w:tcPr>
            <w:tcW w:w="126" w:type="pct"/>
            <w:tcBorders>
              <w:top w:val="nil"/>
              <w:left w:val="nil"/>
              <w:bottom w:val="nil"/>
              <w:right w:val="single" w:sz="4" w:space="0" w:color="auto"/>
            </w:tcBorders>
            <w:shd w:val="clear" w:color="000000" w:fill="FFFFFF"/>
            <w:noWrap/>
            <w:vAlign w:val="center"/>
          </w:tcPr>
          <w:p w:rsidR="00C00588" w:rsidRDefault="00C00588" w:rsidP="00C00588">
            <w:pPr>
              <w:jc w:val="center"/>
              <w:rPr>
                <w:b/>
                <w:bCs/>
                <w:sz w:val="22"/>
                <w:szCs w:val="22"/>
              </w:rPr>
            </w:pPr>
          </w:p>
        </w:tc>
      </w:tr>
      <w:tr w:rsidR="00C00588" w:rsidTr="00D30927">
        <w:trPr>
          <w:trHeight w:val="80"/>
          <w:jc w:val="center"/>
        </w:trPr>
        <w:tc>
          <w:tcPr>
            <w:tcW w:w="1197" w:type="pct"/>
            <w:gridSpan w:val="2"/>
            <w:tcBorders>
              <w:top w:val="nil"/>
              <w:left w:val="single" w:sz="4" w:space="0" w:color="auto"/>
              <w:bottom w:val="nil"/>
              <w:right w:val="nil"/>
            </w:tcBorders>
            <w:shd w:val="clear" w:color="000000" w:fill="FFFFFF"/>
            <w:noWrap/>
            <w:vAlign w:val="bottom"/>
            <w:hideMark/>
          </w:tcPr>
          <w:p w:rsidR="00C00588" w:rsidRDefault="00C00588" w:rsidP="00C00588">
            <w:pPr>
              <w:ind w:left="-120" w:right="-30"/>
              <w:rPr>
                <w:b/>
                <w:bCs/>
                <w:sz w:val="22"/>
                <w:szCs w:val="22"/>
              </w:rPr>
            </w:pPr>
            <w:r>
              <w:rPr>
                <w:b/>
                <w:bCs/>
                <w:sz w:val="22"/>
                <w:szCs w:val="22"/>
              </w:rPr>
              <w:t>Per Staff</w:t>
            </w:r>
          </w:p>
        </w:tc>
        <w:tc>
          <w:tcPr>
            <w:tcW w:w="547" w:type="pct"/>
            <w:tcBorders>
              <w:top w:val="nil"/>
              <w:left w:val="nil"/>
              <w:bottom w:val="nil"/>
              <w:right w:val="nil"/>
            </w:tcBorders>
            <w:shd w:val="clear" w:color="000000" w:fill="FFFFFF"/>
            <w:noWrap/>
            <w:vAlign w:val="bottom"/>
            <w:hideMark/>
          </w:tcPr>
          <w:p w:rsidR="00C00588" w:rsidRDefault="00C00588" w:rsidP="00C00588">
            <w:pPr>
              <w:rPr>
                <w:color w:val="000000"/>
                <w:sz w:val="22"/>
                <w:szCs w:val="22"/>
              </w:rPr>
            </w:pPr>
            <w:r>
              <w:rPr>
                <w:color w:val="000000"/>
                <w:sz w:val="22"/>
                <w:szCs w:val="22"/>
              </w:rPr>
              <w:t> </w:t>
            </w:r>
          </w:p>
        </w:tc>
        <w:tc>
          <w:tcPr>
            <w:tcW w:w="684" w:type="pct"/>
            <w:gridSpan w:val="2"/>
            <w:tcBorders>
              <w:top w:val="nil"/>
              <w:left w:val="nil"/>
              <w:bottom w:val="nil"/>
              <w:right w:val="nil"/>
            </w:tcBorders>
            <w:shd w:val="clear" w:color="000000" w:fill="FFFFFF"/>
            <w:noWrap/>
            <w:vAlign w:val="bottom"/>
            <w:hideMark/>
          </w:tcPr>
          <w:p w:rsidR="00C00588" w:rsidRDefault="00C00588" w:rsidP="00C00588">
            <w:pPr>
              <w:rPr>
                <w:color w:val="000000"/>
                <w:sz w:val="22"/>
                <w:szCs w:val="22"/>
              </w:rPr>
            </w:pPr>
            <w:r>
              <w:rPr>
                <w:color w:val="000000"/>
                <w:sz w:val="22"/>
                <w:szCs w:val="22"/>
              </w:rPr>
              <w:t> </w:t>
            </w:r>
          </w:p>
        </w:tc>
        <w:tc>
          <w:tcPr>
            <w:tcW w:w="589" w:type="pct"/>
            <w:gridSpan w:val="2"/>
            <w:tcBorders>
              <w:top w:val="nil"/>
              <w:left w:val="nil"/>
              <w:bottom w:val="nil"/>
              <w:right w:val="nil"/>
            </w:tcBorders>
            <w:shd w:val="clear" w:color="000000" w:fill="FFFFFF"/>
            <w:noWrap/>
            <w:vAlign w:val="bottom"/>
            <w:hideMark/>
          </w:tcPr>
          <w:p w:rsidR="00C00588" w:rsidRDefault="00C00588" w:rsidP="00C00588">
            <w:pPr>
              <w:rPr>
                <w:color w:val="000000"/>
                <w:sz w:val="22"/>
                <w:szCs w:val="22"/>
              </w:rPr>
            </w:pPr>
            <w:r>
              <w:rPr>
                <w:color w:val="000000"/>
                <w:sz w:val="22"/>
                <w:szCs w:val="22"/>
              </w:rPr>
              <w:t> </w:t>
            </w:r>
          </w:p>
        </w:tc>
        <w:tc>
          <w:tcPr>
            <w:tcW w:w="610" w:type="pct"/>
            <w:gridSpan w:val="3"/>
            <w:tcBorders>
              <w:top w:val="nil"/>
              <w:left w:val="nil"/>
              <w:bottom w:val="nil"/>
              <w:right w:val="nil"/>
            </w:tcBorders>
            <w:shd w:val="clear" w:color="000000" w:fill="FFFFFF"/>
            <w:noWrap/>
            <w:vAlign w:val="bottom"/>
            <w:hideMark/>
          </w:tcPr>
          <w:p w:rsidR="00C00588" w:rsidRDefault="00C00588" w:rsidP="00C00588">
            <w:pPr>
              <w:rPr>
                <w:color w:val="000000"/>
                <w:sz w:val="22"/>
                <w:szCs w:val="22"/>
              </w:rPr>
            </w:pPr>
            <w:r>
              <w:rPr>
                <w:color w:val="000000"/>
                <w:sz w:val="22"/>
                <w:szCs w:val="22"/>
              </w:rPr>
              <w:t> </w:t>
            </w:r>
          </w:p>
        </w:tc>
        <w:tc>
          <w:tcPr>
            <w:tcW w:w="439" w:type="pct"/>
            <w:gridSpan w:val="2"/>
            <w:tcBorders>
              <w:top w:val="nil"/>
              <w:left w:val="nil"/>
              <w:bottom w:val="nil"/>
              <w:right w:val="nil"/>
            </w:tcBorders>
            <w:shd w:val="clear" w:color="000000" w:fill="FFFFFF"/>
            <w:noWrap/>
            <w:vAlign w:val="bottom"/>
            <w:hideMark/>
          </w:tcPr>
          <w:p w:rsidR="00C00588" w:rsidRDefault="00C00588" w:rsidP="00C00588">
            <w:pPr>
              <w:rPr>
                <w:color w:val="000000"/>
                <w:sz w:val="22"/>
                <w:szCs w:val="22"/>
              </w:rPr>
            </w:pPr>
            <w:r>
              <w:rPr>
                <w:color w:val="000000"/>
                <w:sz w:val="22"/>
                <w:szCs w:val="22"/>
              </w:rPr>
              <w:t> </w:t>
            </w:r>
          </w:p>
        </w:tc>
        <w:tc>
          <w:tcPr>
            <w:tcW w:w="376" w:type="pct"/>
            <w:gridSpan w:val="2"/>
            <w:tcBorders>
              <w:top w:val="nil"/>
              <w:left w:val="nil"/>
              <w:bottom w:val="nil"/>
              <w:right w:val="nil"/>
            </w:tcBorders>
            <w:shd w:val="clear" w:color="000000" w:fill="FFFFFF"/>
            <w:noWrap/>
            <w:vAlign w:val="bottom"/>
            <w:hideMark/>
          </w:tcPr>
          <w:p w:rsidR="00C00588" w:rsidRDefault="00C00588" w:rsidP="00C00588">
            <w:pPr>
              <w:rPr>
                <w:color w:val="000000"/>
                <w:sz w:val="22"/>
                <w:szCs w:val="22"/>
              </w:rPr>
            </w:pPr>
            <w:r>
              <w:rPr>
                <w:color w:val="000000"/>
                <w:sz w:val="22"/>
                <w:szCs w:val="22"/>
              </w:rPr>
              <w:t> </w:t>
            </w:r>
          </w:p>
        </w:tc>
        <w:tc>
          <w:tcPr>
            <w:tcW w:w="432" w:type="pct"/>
            <w:tcBorders>
              <w:top w:val="nil"/>
              <w:left w:val="nil"/>
              <w:bottom w:val="nil"/>
              <w:right w:val="nil"/>
            </w:tcBorders>
            <w:shd w:val="clear" w:color="000000" w:fill="FFFFFF"/>
            <w:noWrap/>
            <w:vAlign w:val="bottom"/>
            <w:hideMark/>
          </w:tcPr>
          <w:p w:rsidR="00C00588" w:rsidRDefault="00C00588" w:rsidP="00C00588">
            <w:pPr>
              <w:rPr>
                <w:sz w:val="22"/>
                <w:szCs w:val="22"/>
              </w:rPr>
            </w:pPr>
            <w:r>
              <w:rPr>
                <w:sz w:val="22"/>
                <w:szCs w:val="22"/>
              </w:rPr>
              <w:t> </w:t>
            </w:r>
          </w:p>
        </w:tc>
        <w:tc>
          <w:tcPr>
            <w:tcW w:w="126" w:type="pct"/>
            <w:tcBorders>
              <w:top w:val="nil"/>
              <w:left w:val="nil"/>
              <w:bottom w:val="nil"/>
              <w:right w:val="single" w:sz="4" w:space="0" w:color="auto"/>
            </w:tcBorders>
            <w:shd w:val="clear" w:color="000000" w:fill="FFFFFF"/>
            <w:noWrap/>
            <w:vAlign w:val="bottom"/>
          </w:tcPr>
          <w:p w:rsidR="00C00588" w:rsidRDefault="00C00588" w:rsidP="00C00588">
            <w:pPr>
              <w:rPr>
                <w:sz w:val="22"/>
                <w:szCs w:val="22"/>
              </w:rPr>
            </w:pPr>
          </w:p>
        </w:tc>
      </w:tr>
      <w:tr w:rsidR="00D30927" w:rsidTr="00D30927">
        <w:trPr>
          <w:trHeight w:val="80"/>
          <w:jc w:val="center"/>
        </w:trPr>
        <w:tc>
          <w:tcPr>
            <w:tcW w:w="157" w:type="pct"/>
            <w:tcBorders>
              <w:top w:val="nil"/>
              <w:left w:val="single" w:sz="4" w:space="0" w:color="auto"/>
              <w:bottom w:val="nil"/>
              <w:right w:val="nil"/>
            </w:tcBorders>
            <w:shd w:val="clear" w:color="000000" w:fill="FFFFFF"/>
            <w:noWrap/>
            <w:vAlign w:val="bottom"/>
            <w:hideMark/>
          </w:tcPr>
          <w:p w:rsidR="00D30927" w:rsidRDefault="00D30927" w:rsidP="00D30927">
            <w:pPr>
              <w:ind w:left="-120" w:right="-30"/>
              <w:jc w:val="center"/>
              <w:rPr>
                <w:sz w:val="22"/>
                <w:szCs w:val="22"/>
              </w:rPr>
            </w:pPr>
            <w:r>
              <w:rPr>
                <w:sz w:val="22"/>
                <w:szCs w:val="22"/>
              </w:rPr>
              <w:t>1</w:t>
            </w:r>
          </w:p>
        </w:tc>
        <w:tc>
          <w:tcPr>
            <w:tcW w:w="1040" w:type="pct"/>
            <w:tcBorders>
              <w:top w:val="nil"/>
              <w:left w:val="nil"/>
              <w:bottom w:val="nil"/>
              <w:right w:val="nil"/>
            </w:tcBorders>
            <w:shd w:val="clear" w:color="000000" w:fill="FFFFFF"/>
            <w:noWrap/>
            <w:vAlign w:val="bottom"/>
            <w:hideMark/>
          </w:tcPr>
          <w:p w:rsidR="00D30927" w:rsidRDefault="00D30927" w:rsidP="00D30927">
            <w:pPr>
              <w:ind w:left="-120" w:right="-30"/>
              <w:rPr>
                <w:sz w:val="22"/>
                <w:szCs w:val="22"/>
              </w:rPr>
            </w:pPr>
            <w:r>
              <w:rPr>
                <w:sz w:val="22"/>
                <w:szCs w:val="22"/>
              </w:rPr>
              <w:t>Long-term Debt</w:t>
            </w:r>
          </w:p>
        </w:tc>
        <w:tc>
          <w:tcPr>
            <w:tcW w:w="547" w:type="pct"/>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 xml:space="preserve">$0 </w:t>
            </w:r>
          </w:p>
        </w:tc>
        <w:tc>
          <w:tcPr>
            <w:tcW w:w="684"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 xml:space="preserve">$0 </w:t>
            </w:r>
          </w:p>
        </w:tc>
        <w:tc>
          <w:tcPr>
            <w:tcW w:w="589"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 xml:space="preserve">$0 </w:t>
            </w:r>
          </w:p>
        </w:tc>
        <w:tc>
          <w:tcPr>
            <w:tcW w:w="610" w:type="pct"/>
            <w:gridSpan w:val="3"/>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 xml:space="preserve">$0 </w:t>
            </w:r>
          </w:p>
        </w:tc>
        <w:tc>
          <w:tcPr>
            <w:tcW w:w="439"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0.00%</w:t>
            </w:r>
          </w:p>
        </w:tc>
        <w:tc>
          <w:tcPr>
            <w:tcW w:w="376"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0.00%</w:t>
            </w:r>
          </w:p>
        </w:tc>
        <w:tc>
          <w:tcPr>
            <w:tcW w:w="432" w:type="pct"/>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0.00%</w:t>
            </w:r>
          </w:p>
        </w:tc>
        <w:tc>
          <w:tcPr>
            <w:tcW w:w="126" w:type="pct"/>
            <w:tcBorders>
              <w:top w:val="nil"/>
              <w:left w:val="nil"/>
              <w:bottom w:val="nil"/>
              <w:right w:val="single" w:sz="4" w:space="0" w:color="auto"/>
            </w:tcBorders>
            <w:shd w:val="clear" w:color="000000" w:fill="FFFFFF"/>
            <w:noWrap/>
            <w:vAlign w:val="bottom"/>
          </w:tcPr>
          <w:p w:rsidR="00D30927" w:rsidRDefault="00D30927" w:rsidP="00D30927">
            <w:pPr>
              <w:rPr>
                <w:sz w:val="22"/>
                <w:szCs w:val="22"/>
              </w:rPr>
            </w:pPr>
          </w:p>
        </w:tc>
      </w:tr>
      <w:tr w:rsidR="00D30927" w:rsidTr="00D30927">
        <w:trPr>
          <w:trHeight w:val="80"/>
          <w:jc w:val="center"/>
        </w:trPr>
        <w:tc>
          <w:tcPr>
            <w:tcW w:w="157" w:type="pct"/>
            <w:tcBorders>
              <w:top w:val="nil"/>
              <w:left w:val="single" w:sz="4" w:space="0" w:color="auto"/>
              <w:bottom w:val="nil"/>
              <w:right w:val="nil"/>
            </w:tcBorders>
            <w:shd w:val="clear" w:color="000000" w:fill="FFFFFF"/>
            <w:noWrap/>
            <w:vAlign w:val="bottom"/>
            <w:hideMark/>
          </w:tcPr>
          <w:p w:rsidR="00D30927" w:rsidRDefault="00D30927" w:rsidP="00D30927">
            <w:pPr>
              <w:ind w:left="-120" w:right="-30"/>
              <w:jc w:val="center"/>
              <w:rPr>
                <w:sz w:val="22"/>
                <w:szCs w:val="22"/>
              </w:rPr>
            </w:pPr>
            <w:r>
              <w:rPr>
                <w:sz w:val="22"/>
                <w:szCs w:val="22"/>
              </w:rPr>
              <w:t>2</w:t>
            </w:r>
          </w:p>
        </w:tc>
        <w:tc>
          <w:tcPr>
            <w:tcW w:w="1040" w:type="pct"/>
            <w:tcBorders>
              <w:top w:val="nil"/>
              <w:left w:val="nil"/>
              <w:bottom w:val="nil"/>
              <w:right w:val="nil"/>
            </w:tcBorders>
            <w:shd w:val="clear" w:color="000000" w:fill="FFFFFF"/>
            <w:noWrap/>
            <w:vAlign w:val="bottom"/>
            <w:hideMark/>
          </w:tcPr>
          <w:p w:rsidR="00D30927" w:rsidRDefault="00D30927" w:rsidP="00D30927">
            <w:pPr>
              <w:ind w:left="-120" w:right="-30"/>
              <w:rPr>
                <w:sz w:val="22"/>
                <w:szCs w:val="22"/>
              </w:rPr>
            </w:pPr>
            <w:r>
              <w:rPr>
                <w:sz w:val="22"/>
                <w:szCs w:val="22"/>
              </w:rPr>
              <w:t>Short-term Debt</w:t>
            </w:r>
          </w:p>
        </w:tc>
        <w:tc>
          <w:tcPr>
            <w:tcW w:w="547" w:type="pct"/>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 xml:space="preserve">0 </w:t>
            </w:r>
          </w:p>
        </w:tc>
        <w:tc>
          <w:tcPr>
            <w:tcW w:w="684"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 xml:space="preserve">0 </w:t>
            </w:r>
          </w:p>
        </w:tc>
        <w:tc>
          <w:tcPr>
            <w:tcW w:w="589"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 xml:space="preserve">0 </w:t>
            </w:r>
          </w:p>
        </w:tc>
        <w:tc>
          <w:tcPr>
            <w:tcW w:w="610" w:type="pct"/>
            <w:gridSpan w:val="3"/>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 xml:space="preserve">0 </w:t>
            </w:r>
          </w:p>
        </w:tc>
        <w:tc>
          <w:tcPr>
            <w:tcW w:w="439"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0.00%</w:t>
            </w:r>
          </w:p>
        </w:tc>
        <w:tc>
          <w:tcPr>
            <w:tcW w:w="376"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0.00%</w:t>
            </w:r>
          </w:p>
        </w:tc>
        <w:tc>
          <w:tcPr>
            <w:tcW w:w="432" w:type="pct"/>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0.00%</w:t>
            </w:r>
          </w:p>
        </w:tc>
        <w:tc>
          <w:tcPr>
            <w:tcW w:w="126" w:type="pct"/>
            <w:tcBorders>
              <w:top w:val="nil"/>
              <w:left w:val="nil"/>
              <w:bottom w:val="nil"/>
              <w:right w:val="single" w:sz="4" w:space="0" w:color="auto"/>
            </w:tcBorders>
            <w:shd w:val="clear" w:color="000000" w:fill="FFFFFF"/>
            <w:noWrap/>
            <w:vAlign w:val="bottom"/>
          </w:tcPr>
          <w:p w:rsidR="00D30927" w:rsidRDefault="00D30927" w:rsidP="00D30927">
            <w:pPr>
              <w:rPr>
                <w:sz w:val="22"/>
                <w:szCs w:val="22"/>
              </w:rPr>
            </w:pPr>
          </w:p>
        </w:tc>
      </w:tr>
      <w:tr w:rsidR="00D30927" w:rsidTr="00D30927">
        <w:trPr>
          <w:trHeight w:val="80"/>
          <w:jc w:val="center"/>
        </w:trPr>
        <w:tc>
          <w:tcPr>
            <w:tcW w:w="157" w:type="pct"/>
            <w:tcBorders>
              <w:top w:val="nil"/>
              <w:left w:val="single" w:sz="4" w:space="0" w:color="auto"/>
              <w:bottom w:val="nil"/>
              <w:right w:val="nil"/>
            </w:tcBorders>
            <w:shd w:val="clear" w:color="000000" w:fill="FFFFFF"/>
            <w:noWrap/>
            <w:vAlign w:val="bottom"/>
            <w:hideMark/>
          </w:tcPr>
          <w:p w:rsidR="00D30927" w:rsidRDefault="00D30927" w:rsidP="00D30927">
            <w:pPr>
              <w:ind w:left="-120" w:right="-30"/>
              <w:jc w:val="center"/>
              <w:rPr>
                <w:sz w:val="22"/>
                <w:szCs w:val="22"/>
              </w:rPr>
            </w:pPr>
            <w:r>
              <w:rPr>
                <w:sz w:val="22"/>
                <w:szCs w:val="22"/>
              </w:rPr>
              <w:t>3</w:t>
            </w:r>
          </w:p>
        </w:tc>
        <w:tc>
          <w:tcPr>
            <w:tcW w:w="1040" w:type="pct"/>
            <w:tcBorders>
              <w:top w:val="nil"/>
              <w:left w:val="nil"/>
              <w:bottom w:val="nil"/>
              <w:right w:val="nil"/>
            </w:tcBorders>
            <w:shd w:val="clear" w:color="000000" w:fill="FFFFFF"/>
            <w:noWrap/>
            <w:vAlign w:val="bottom"/>
            <w:hideMark/>
          </w:tcPr>
          <w:p w:rsidR="00D30927" w:rsidRDefault="00D30927" w:rsidP="00D30927">
            <w:pPr>
              <w:ind w:left="-120" w:right="-30"/>
              <w:rPr>
                <w:sz w:val="22"/>
                <w:szCs w:val="22"/>
              </w:rPr>
            </w:pPr>
            <w:r>
              <w:rPr>
                <w:sz w:val="22"/>
                <w:szCs w:val="22"/>
              </w:rPr>
              <w:t>Preferred Stock</w:t>
            </w:r>
          </w:p>
        </w:tc>
        <w:tc>
          <w:tcPr>
            <w:tcW w:w="547" w:type="pct"/>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 xml:space="preserve">0 </w:t>
            </w:r>
          </w:p>
        </w:tc>
        <w:tc>
          <w:tcPr>
            <w:tcW w:w="684"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 xml:space="preserve">0 </w:t>
            </w:r>
          </w:p>
        </w:tc>
        <w:tc>
          <w:tcPr>
            <w:tcW w:w="589"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 xml:space="preserve">0 </w:t>
            </w:r>
          </w:p>
        </w:tc>
        <w:tc>
          <w:tcPr>
            <w:tcW w:w="610" w:type="pct"/>
            <w:gridSpan w:val="3"/>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 xml:space="preserve">0 </w:t>
            </w:r>
          </w:p>
        </w:tc>
        <w:tc>
          <w:tcPr>
            <w:tcW w:w="439"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0.00%</w:t>
            </w:r>
          </w:p>
        </w:tc>
        <w:tc>
          <w:tcPr>
            <w:tcW w:w="376"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0.00%</w:t>
            </w:r>
          </w:p>
        </w:tc>
        <w:tc>
          <w:tcPr>
            <w:tcW w:w="432" w:type="pct"/>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0.00%</w:t>
            </w:r>
          </w:p>
        </w:tc>
        <w:tc>
          <w:tcPr>
            <w:tcW w:w="126" w:type="pct"/>
            <w:tcBorders>
              <w:top w:val="nil"/>
              <w:left w:val="nil"/>
              <w:bottom w:val="nil"/>
              <w:right w:val="single" w:sz="4" w:space="0" w:color="auto"/>
            </w:tcBorders>
            <w:shd w:val="clear" w:color="000000" w:fill="FFFFFF"/>
            <w:noWrap/>
            <w:vAlign w:val="bottom"/>
          </w:tcPr>
          <w:p w:rsidR="00D30927" w:rsidRDefault="00D30927" w:rsidP="00D30927">
            <w:pPr>
              <w:rPr>
                <w:sz w:val="22"/>
                <w:szCs w:val="22"/>
              </w:rPr>
            </w:pPr>
          </w:p>
        </w:tc>
      </w:tr>
      <w:tr w:rsidR="00D30927" w:rsidTr="00D30927">
        <w:trPr>
          <w:trHeight w:val="80"/>
          <w:jc w:val="center"/>
        </w:trPr>
        <w:tc>
          <w:tcPr>
            <w:tcW w:w="157" w:type="pct"/>
            <w:tcBorders>
              <w:top w:val="nil"/>
              <w:left w:val="single" w:sz="4" w:space="0" w:color="auto"/>
              <w:bottom w:val="nil"/>
              <w:right w:val="nil"/>
            </w:tcBorders>
            <w:shd w:val="clear" w:color="000000" w:fill="FFFFFF"/>
            <w:noWrap/>
            <w:vAlign w:val="bottom"/>
            <w:hideMark/>
          </w:tcPr>
          <w:p w:rsidR="00D30927" w:rsidRDefault="00D30927" w:rsidP="00D30927">
            <w:pPr>
              <w:ind w:left="-120" w:right="-30"/>
              <w:jc w:val="center"/>
              <w:rPr>
                <w:sz w:val="22"/>
                <w:szCs w:val="22"/>
              </w:rPr>
            </w:pPr>
            <w:r>
              <w:rPr>
                <w:sz w:val="22"/>
                <w:szCs w:val="22"/>
              </w:rPr>
              <w:t>4</w:t>
            </w:r>
          </w:p>
        </w:tc>
        <w:tc>
          <w:tcPr>
            <w:tcW w:w="1040" w:type="pct"/>
            <w:tcBorders>
              <w:top w:val="nil"/>
              <w:left w:val="nil"/>
              <w:bottom w:val="nil"/>
              <w:right w:val="nil"/>
            </w:tcBorders>
            <w:shd w:val="clear" w:color="000000" w:fill="FFFFFF"/>
            <w:noWrap/>
            <w:vAlign w:val="bottom"/>
            <w:hideMark/>
          </w:tcPr>
          <w:p w:rsidR="00D30927" w:rsidRDefault="00D30927" w:rsidP="00D30927">
            <w:pPr>
              <w:ind w:left="-120" w:right="-30"/>
              <w:rPr>
                <w:sz w:val="22"/>
                <w:szCs w:val="22"/>
              </w:rPr>
            </w:pPr>
            <w:r>
              <w:rPr>
                <w:sz w:val="22"/>
                <w:szCs w:val="22"/>
              </w:rPr>
              <w:t>Common Equity</w:t>
            </w:r>
          </w:p>
        </w:tc>
        <w:tc>
          <w:tcPr>
            <w:tcW w:w="547" w:type="pct"/>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 xml:space="preserve">83,382,247 </w:t>
            </w:r>
          </w:p>
        </w:tc>
        <w:tc>
          <w:tcPr>
            <w:tcW w:w="684"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 xml:space="preserve">83,382,247 </w:t>
            </w:r>
          </w:p>
        </w:tc>
        <w:tc>
          <w:tcPr>
            <w:tcW w:w="589"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 xml:space="preserve">3,743,675 </w:t>
            </w:r>
          </w:p>
        </w:tc>
        <w:tc>
          <w:tcPr>
            <w:tcW w:w="610" w:type="pct"/>
            <w:gridSpan w:val="3"/>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 xml:space="preserve">87,125,922 </w:t>
            </w:r>
          </w:p>
        </w:tc>
        <w:tc>
          <w:tcPr>
            <w:tcW w:w="439"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98.63%</w:t>
            </w:r>
          </w:p>
        </w:tc>
        <w:tc>
          <w:tcPr>
            <w:tcW w:w="376"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7.84%</w:t>
            </w:r>
          </w:p>
        </w:tc>
        <w:tc>
          <w:tcPr>
            <w:tcW w:w="432" w:type="pct"/>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7.73%</w:t>
            </w:r>
          </w:p>
        </w:tc>
        <w:tc>
          <w:tcPr>
            <w:tcW w:w="126" w:type="pct"/>
            <w:tcBorders>
              <w:top w:val="nil"/>
              <w:left w:val="nil"/>
              <w:bottom w:val="nil"/>
              <w:right w:val="single" w:sz="4" w:space="0" w:color="auto"/>
            </w:tcBorders>
            <w:shd w:val="clear" w:color="000000" w:fill="FFFFFF"/>
            <w:noWrap/>
            <w:vAlign w:val="bottom"/>
          </w:tcPr>
          <w:p w:rsidR="00D30927" w:rsidRDefault="00D30927" w:rsidP="00D30927">
            <w:pPr>
              <w:rPr>
                <w:sz w:val="22"/>
                <w:szCs w:val="22"/>
              </w:rPr>
            </w:pPr>
          </w:p>
        </w:tc>
      </w:tr>
      <w:tr w:rsidR="00D30927" w:rsidTr="00D30927">
        <w:trPr>
          <w:trHeight w:val="80"/>
          <w:jc w:val="center"/>
        </w:trPr>
        <w:tc>
          <w:tcPr>
            <w:tcW w:w="157" w:type="pct"/>
            <w:tcBorders>
              <w:top w:val="nil"/>
              <w:left w:val="single" w:sz="4" w:space="0" w:color="auto"/>
              <w:bottom w:val="nil"/>
              <w:right w:val="nil"/>
            </w:tcBorders>
            <w:shd w:val="clear" w:color="000000" w:fill="FFFFFF"/>
            <w:noWrap/>
            <w:vAlign w:val="bottom"/>
            <w:hideMark/>
          </w:tcPr>
          <w:p w:rsidR="00D30927" w:rsidRDefault="00D30927" w:rsidP="00D30927">
            <w:pPr>
              <w:ind w:left="-120" w:right="-30"/>
              <w:jc w:val="center"/>
              <w:rPr>
                <w:sz w:val="22"/>
                <w:szCs w:val="22"/>
              </w:rPr>
            </w:pPr>
            <w:r>
              <w:rPr>
                <w:sz w:val="22"/>
                <w:szCs w:val="22"/>
              </w:rPr>
              <w:t>5</w:t>
            </w:r>
          </w:p>
        </w:tc>
        <w:tc>
          <w:tcPr>
            <w:tcW w:w="1040" w:type="pct"/>
            <w:tcBorders>
              <w:top w:val="nil"/>
              <w:left w:val="nil"/>
              <w:bottom w:val="nil"/>
              <w:right w:val="nil"/>
            </w:tcBorders>
            <w:shd w:val="clear" w:color="000000" w:fill="FFFFFF"/>
            <w:noWrap/>
            <w:vAlign w:val="bottom"/>
            <w:hideMark/>
          </w:tcPr>
          <w:p w:rsidR="00D30927" w:rsidRDefault="00D30927" w:rsidP="00D30927">
            <w:pPr>
              <w:ind w:left="-120" w:right="-30"/>
              <w:rPr>
                <w:sz w:val="22"/>
                <w:szCs w:val="22"/>
              </w:rPr>
            </w:pPr>
            <w:r>
              <w:rPr>
                <w:sz w:val="22"/>
                <w:szCs w:val="22"/>
              </w:rPr>
              <w:t>Customer Deposits</w:t>
            </w:r>
          </w:p>
        </w:tc>
        <w:tc>
          <w:tcPr>
            <w:tcW w:w="547" w:type="pct"/>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 xml:space="preserve">1,206,383 </w:t>
            </w:r>
          </w:p>
        </w:tc>
        <w:tc>
          <w:tcPr>
            <w:tcW w:w="684"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 xml:space="preserve">1,206,383 </w:t>
            </w:r>
          </w:p>
        </w:tc>
        <w:tc>
          <w:tcPr>
            <w:tcW w:w="589"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 xml:space="preserve">0 </w:t>
            </w:r>
          </w:p>
        </w:tc>
        <w:tc>
          <w:tcPr>
            <w:tcW w:w="610" w:type="pct"/>
            <w:gridSpan w:val="3"/>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 xml:space="preserve">1,206,383 </w:t>
            </w:r>
          </w:p>
        </w:tc>
        <w:tc>
          <w:tcPr>
            <w:tcW w:w="439"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1.37%</w:t>
            </w:r>
          </w:p>
        </w:tc>
        <w:tc>
          <w:tcPr>
            <w:tcW w:w="376"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2.00%</w:t>
            </w:r>
          </w:p>
        </w:tc>
        <w:tc>
          <w:tcPr>
            <w:tcW w:w="432" w:type="pct"/>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0.03%</w:t>
            </w:r>
          </w:p>
        </w:tc>
        <w:tc>
          <w:tcPr>
            <w:tcW w:w="126" w:type="pct"/>
            <w:tcBorders>
              <w:top w:val="nil"/>
              <w:left w:val="nil"/>
              <w:bottom w:val="nil"/>
              <w:right w:val="single" w:sz="4" w:space="0" w:color="auto"/>
            </w:tcBorders>
            <w:shd w:val="clear" w:color="000000" w:fill="FFFFFF"/>
            <w:noWrap/>
            <w:vAlign w:val="bottom"/>
          </w:tcPr>
          <w:p w:rsidR="00D30927" w:rsidRDefault="00D30927" w:rsidP="00D30927">
            <w:pPr>
              <w:rPr>
                <w:sz w:val="22"/>
                <w:szCs w:val="22"/>
              </w:rPr>
            </w:pPr>
          </w:p>
        </w:tc>
      </w:tr>
      <w:tr w:rsidR="00D30927" w:rsidTr="00D30927">
        <w:trPr>
          <w:trHeight w:val="80"/>
          <w:jc w:val="center"/>
        </w:trPr>
        <w:tc>
          <w:tcPr>
            <w:tcW w:w="157" w:type="pct"/>
            <w:tcBorders>
              <w:top w:val="nil"/>
              <w:left w:val="single" w:sz="4" w:space="0" w:color="auto"/>
              <w:bottom w:val="nil"/>
              <w:right w:val="nil"/>
            </w:tcBorders>
            <w:shd w:val="clear" w:color="000000" w:fill="FFFFFF"/>
            <w:noWrap/>
            <w:vAlign w:val="bottom"/>
            <w:hideMark/>
          </w:tcPr>
          <w:p w:rsidR="00D30927" w:rsidRDefault="00D30927" w:rsidP="00D30927">
            <w:pPr>
              <w:ind w:left="-120" w:right="-30"/>
              <w:jc w:val="center"/>
              <w:rPr>
                <w:sz w:val="22"/>
                <w:szCs w:val="22"/>
              </w:rPr>
            </w:pPr>
            <w:r>
              <w:rPr>
                <w:sz w:val="22"/>
                <w:szCs w:val="22"/>
              </w:rPr>
              <w:t>6</w:t>
            </w:r>
          </w:p>
        </w:tc>
        <w:tc>
          <w:tcPr>
            <w:tcW w:w="1040" w:type="pct"/>
            <w:tcBorders>
              <w:top w:val="nil"/>
              <w:left w:val="nil"/>
              <w:bottom w:val="nil"/>
              <w:right w:val="nil"/>
            </w:tcBorders>
            <w:shd w:val="clear" w:color="000000" w:fill="FFFFFF"/>
            <w:noWrap/>
            <w:vAlign w:val="bottom"/>
            <w:hideMark/>
          </w:tcPr>
          <w:p w:rsidR="00D30927" w:rsidRDefault="00D30927" w:rsidP="00D30927">
            <w:pPr>
              <w:ind w:left="-120" w:right="-30"/>
              <w:rPr>
                <w:sz w:val="22"/>
                <w:szCs w:val="22"/>
              </w:rPr>
            </w:pPr>
            <w:r>
              <w:rPr>
                <w:sz w:val="22"/>
                <w:szCs w:val="22"/>
              </w:rPr>
              <w:t>Tax Credits-Zero Cost</w:t>
            </w:r>
          </w:p>
        </w:tc>
        <w:tc>
          <w:tcPr>
            <w:tcW w:w="547" w:type="pct"/>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 xml:space="preserve">0 </w:t>
            </w:r>
          </w:p>
        </w:tc>
        <w:tc>
          <w:tcPr>
            <w:tcW w:w="684"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 xml:space="preserve">0 </w:t>
            </w:r>
          </w:p>
        </w:tc>
        <w:tc>
          <w:tcPr>
            <w:tcW w:w="589"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 xml:space="preserve">0 </w:t>
            </w:r>
          </w:p>
        </w:tc>
        <w:tc>
          <w:tcPr>
            <w:tcW w:w="610" w:type="pct"/>
            <w:gridSpan w:val="3"/>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 xml:space="preserve">0 </w:t>
            </w:r>
          </w:p>
        </w:tc>
        <w:tc>
          <w:tcPr>
            <w:tcW w:w="439"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0.00%</w:t>
            </w:r>
          </w:p>
        </w:tc>
        <w:tc>
          <w:tcPr>
            <w:tcW w:w="376"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0.00%</w:t>
            </w:r>
          </w:p>
        </w:tc>
        <w:tc>
          <w:tcPr>
            <w:tcW w:w="432" w:type="pct"/>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0.00%</w:t>
            </w:r>
          </w:p>
        </w:tc>
        <w:tc>
          <w:tcPr>
            <w:tcW w:w="126" w:type="pct"/>
            <w:tcBorders>
              <w:top w:val="nil"/>
              <w:left w:val="nil"/>
              <w:bottom w:val="nil"/>
              <w:right w:val="single" w:sz="4" w:space="0" w:color="auto"/>
            </w:tcBorders>
            <w:shd w:val="clear" w:color="000000" w:fill="FFFFFF"/>
            <w:noWrap/>
            <w:vAlign w:val="bottom"/>
          </w:tcPr>
          <w:p w:rsidR="00D30927" w:rsidRDefault="00D30927" w:rsidP="00D30927">
            <w:pPr>
              <w:rPr>
                <w:sz w:val="22"/>
                <w:szCs w:val="22"/>
              </w:rPr>
            </w:pPr>
          </w:p>
        </w:tc>
      </w:tr>
      <w:tr w:rsidR="00D30927" w:rsidTr="00D30927">
        <w:trPr>
          <w:trHeight w:val="80"/>
          <w:jc w:val="center"/>
        </w:trPr>
        <w:tc>
          <w:tcPr>
            <w:tcW w:w="157" w:type="pct"/>
            <w:tcBorders>
              <w:top w:val="nil"/>
              <w:left w:val="single" w:sz="4" w:space="0" w:color="auto"/>
              <w:bottom w:val="nil"/>
              <w:right w:val="nil"/>
            </w:tcBorders>
            <w:shd w:val="clear" w:color="000000" w:fill="FFFFFF"/>
            <w:noWrap/>
            <w:vAlign w:val="bottom"/>
            <w:hideMark/>
          </w:tcPr>
          <w:p w:rsidR="00D30927" w:rsidRDefault="00D30927" w:rsidP="00D30927">
            <w:pPr>
              <w:ind w:left="-120" w:right="-30"/>
              <w:jc w:val="center"/>
              <w:rPr>
                <w:sz w:val="22"/>
                <w:szCs w:val="22"/>
              </w:rPr>
            </w:pPr>
            <w:r>
              <w:rPr>
                <w:sz w:val="22"/>
                <w:szCs w:val="22"/>
              </w:rPr>
              <w:t>7</w:t>
            </w:r>
          </w:p>
        </w:tc>
        <w:tc>
          <w:tcPr>
            <w:tcW w:w="1040" w:type="pct"/>
            <w:tcBorders>
              <w:top w:val="nil"/>
              <w:left w:val="nil"/>
              <w:bottom w:val="nil"/>
              <w:right w:val="nil"/>
            </w:tcBorders>
            <w:shd w:val="clear" w:color="000000" w:fill="FFFFFF"/>
            <w:noWrap/>
            <w:vAlign w:val="bottom"/>
            <w:hideMark/>
          </w:tcPr>
          <w:p w:rsidR="00D30927" w:rsidRDefault="00D30927" w:rsidP="00D30927">
            <w:pPr>
              <w:ind w:left="-120" w:right="-30"/>
              <w:rPr>
                <w:sz w:val="22"/>
                <w:szCs w:val="22"/>
              </w:rPr>
            </w:pPr>
            <w:r>
              <w:rPr>
                <w:sz w:val="22"/>
                <w:szCs w:val="22"/>
              </w:rPr>
              <w:t>Deferred Income Taxes</w:t>
            </w:r>
          </w:p>
        </w:tc>
        <w:tc>
          <w:tcPr>
            <w:tcW w:w="547" w:type="pct"/>
            <w:tcBorders>
              <w:top w:val="nil"/>
              <w:left w:val="nil"/>
              <w:bottom w:val="nil"/>
              <w:right w:val="nil"/>
            </w:tcBorders>
            <w:shd w:val="clear" w:color="000000" w:fill="FFFFFF"/>
            <w:noWrap/>
            <w:vAlign w:val="bottom"/>
            <w:hideMark/>
          </w:tcPr>
          <w:p w:rsidR="00D30927" w:rsidRDefault="00D30927" w:rsidP="00D30927">
            <w:pPr>
              <w:jc w:val="right"/>
              <w:rPr>
                <w:sz w:val="22"/>
                <w:szCs w:val="22"/>
                <w:u w:val="single"/>
              </w:rPr>
            </w:pPr>
            <w:r>
              <w:rPr>
                <w:sz w:val="22"/>
                <w:szCs w:val="22"/>
                <w:u w:val="single"/>
              </w:rPr>
              <w:t xml:space="preserve">0 </w:t>
            </w:r>
          </w:p>
        </w:tc>
        <w:tc>
          <w:tcPr>
            <w:tcW w:w="684"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u w:val="single"/>
              </w:rPr>
            </w:pPr>
            <w:r>
              <w:rPr>
                <w:sz w:val="22"/>
                <w:szCs w:val="22"/>
                <w:u w:val="single"/>
              </w:rPr>
              <w:t xml:space="preserve">0 </w:t>
            </w:r>
          </w:p>
        </w:tc>
        <w:tc>
          <w:tcPr>
            <w:tcW w:w="589"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u w:val="single"/>
              </w:rPr>
            </w:pPr>
            <w:r>
              <w:rPr>
                <w:sz w:val="22"/>
                <w:szCs w:val="22"/>
                <w:u w:val="single"/>
              </w:rPr>
              <w:t xml:space="preserve">0 </w:t>
            </w:r>
          </w:p>
        </w:tc>
        <w:tc>
          <w:tcPr>
            <w:tcW w:w="610" w:type="pct"/>
            <w:gridSpan w:val="3"/>
            <w:tcBorders>
              <w:top w:val="nil"/>
              <w:left w:val="nil"/>
              <w:bottom w:val="nil"/>
              <w:right w:val="nil"/>
            </w:tcBorders>
            <w:shd w:val="clear" w:color="000000" w:fill="FFFFFF"/>
            <w:noWrap/>
            <w:vAlign w:val="bottom"/>
            <w:hideMark/>
          </w:tcPr>
          <w:p w:rsidR="00D30927" w:rsidRDefault="00D30927" w:rsidP="00D30927">
            <w:pPr>
              <w:jc w:val="right"/>
              <w:rPr>
                <w:sz w:val="22"/>
                <w:szCs w:val="22"/>
                <w:u w:val="single"/>
              </w:rPr>
            </w:pPr>
            <w:r>
              <w:rPr>
                <w:sz w:val="22"/>
                <w:szCs w:val="22"/>
                <w:u w:val="single"/>
              </w:rPr>
              <w:t xml:space="preserve">0 </w:t>
            </w:r>
          </w:p>
        </w:tc>
        <w:tc>
          <w:tcPr>
            <w:tcW w:w="439"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u w:val="single"/>
              </w:rPr>
            </w:pPr>
            <w:r>
              <w:rPr>
                <w:sz w:val="22"/>
                <w:szCs w:val="22"/>
                <w:u w:val="single"/>
              </w:rPr>
              <w:t>0.00%</w:t>
            </w:r>
          </w:p>
        </w:tc>
        <w:tc>
          <w:tcPr>
            <w:tcW w:w="376"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rPr>
            </w:pPr>
            <w:r>
              <w:rPr>
                <w:sz w:val="22"/>
                <w:szCs w:val="22"/>
              </w:rPr>
              <w:t>0.00%</w:t>
            </w:r>
          </w:p>
        </w:tc>
        <w:tc>
          <w:tcPr>
            <w:tcW w:w="432" w:type="pct"/>
            <w:tcBorders>
              <w:top w:val="nil"/>
              <w:left w:val="nil"/>
              <w:bottom w:val="nil"/>
              <w:right w:val="nil"/>
            </w:tcBorders>
            <w:shd w:val="clear" w:color="000000" w:fill="FFFFFF"/>
            <w:noWrap/>
            <w:vAlign w:val="bottom"/>
            <w:hideMark/>
          </w:tcPr>
          <w:p w:rsidR="00D30927" w:rsidRDefault="00D30927" w:rsidP="00D30927">
            <w:pPr>
              <w:jc w:val="right"/>
              <w:rPr>
                <w:sz w:val="22"/>
                <w:szCs w:val="22"/>
                <w:u w:val="single"/>
              </w:rPr>
            </w:pPr>
            <w:r>
              <w:rPr>
                <w:sz w:val="22"/>
                <w:szCs w:val="22"/>
                <w:u w:val="single"/>
              </w:rPr>
              <w:t>0.00%</w:t>
            </w:r>
          </w:p>
        </w:tc>
        <w:tc>
          <w:tcPr>
            <w:tcW w:w="126" w:type="pct"/>
            <w:tcBorders>
              <w:top w:val="nil"/>
              <w:left w:val="nil"/>
              <w:bottom w:val="nil"/>
              <w:right w:val="single" w:sz="4" w:space="0" w:color="auto"/>
            </w:tcBorders>
            <w:shd w:val="clear" w:color="000000" w:fill="FFFFFF"/>
            <w:noWrap/>
            <w:vAlign w:val="bottom"/>
          </w:tcPr>
          <w:p w:rsidR="00D30927" w:rsidRDefault="00D30927" w:rsidP="00D30927">
            <w:pPr>
              <w:rPr>
                <w:sz w:val="22"/>
                <w:szCs w:val="22"/>
              </w:rPr>
            </w:pPr>
          </w:p>
        </w:tc>
      </w:tr>
      <w:tr w:rsidR="00D30927" w:rsidTr="00D30927">
        <w:trPr>
          <w:trHeight w:val="80"/>
          <w:jc w:val="center"/>
        </w:trPr>
        <w:tc>
          <w:tcPr>
            <w:tcW w:w="157" w:type="pct"/>
            <w:tcBorders>
              <w:top w:val="nil"/>
              <w:left w:val="single" w:sz="4" w:space="0" w:color="auto"/>
              <w:bottom w:val="nil"/>
              <w:right w:val="nil"/>
            </w:tcBorders>
            <w:shd w:val="clear" w:color="000000" w:fill="FFFFFF"/>
            <w:noWrap/>
            <w:vAlign w:val="bottom"/>
            <w:hideMark/>
          </w:tcPr>
          <w:p w:rsidR="00D30927" w:rsidRDefault="00D30927" w:rsidP="00D30927">
            <w:pPr>
              <w:ind w:left="-120" w:right="-30"/>
              <w:jc w:val="center"/>
              <w:rPr>
                <w:sz w:val="22"/>
                <w:szCs w:val="22"/>
              </w:rPr>
            </w:pPr>
            <w:r>
              <w:rPr>
                <w:sz w:val="22"/>
                <w:szCs w:val="22"/>
              </w:rPr>
              <w:t>8</w:t>
            </w:r>
          </w:p>
        </w:tc>
        <w:tc>
          <w:tcPr>
            <w:tcW w:w="1040" w:type="pct"/>
            <w:tcBorders>
              <w:top w:val="nil"/>
              <w:left w:val="nil"/>
              <w:bottom w:val="nil"/>
              <w:right w:val="nil"/>
            </w:tcBorders>
            <w:shd w:val="clear" w:color="000000" w:fill="FFFFFF"/>
            <w:noWrap/>
            <w:vAlign w:val="bottom"/>
            <w:hideMark/>
          </w:tcPr>
          <w:p w:rsidR="00D30927" w:rsidRDefault="00D30927" w:rsidP="00D30927">
            <w:pPr>
              <w:ind w:left="-120" w:right="-30"/>
              <w:rPr>
                <w:b/>
                <w:bCs/>
                <w:sz w:val="22"/>
                <w:szCs w:val="22"/>
              </w:rPr>
            </w:pPr>
            <w:r>
              <w:rPr>
                <w:b/>
                <w:bCs/>
                <w:sz w:val="22"/>
                <w:szCs w:val="22"/>
              </w:rPr>
              <w:t>Total Capital</w:t>
            </w:r>
          </w:p>
        </w:tc>
        <w:tc>
          <w:tcPr>
            <w:tcW w:w="547" w:type="pct"/>
            <w:tcBorders>
              <w:top w:val="nil"/>
              <w:left w:val="nil"/>
              <w:bottom w:val="nil"/>
              <w:right w:val="nil"/>
            </w:tcBorders>
            <w:shd w:val="clear" w:color="000000" w:fill="FFFFFF"/>
            <w:noWrap/>
            <w:vAlign w:val="bottom"/>
            <w:hideMark/>
          </w:tcPr>
          <w:p w:rsidR="00D30927" w:rsidRDefault="00D30927" w:rsidP="00D30927">
            <w:pPr>
              <w:jc w:val="right"/>
              <w:rPr>
                <w:sz w:val="22"/>
                <w:szCs w:val="22"/>
                <w:u w:val="double"/>
              </w:rPr>
            </w:pPr>
            <w:r>
              <w:rPr>
                <w:sz w:val="22"/>
                <w:szCs w:val="22"/>
                <w:u w:val="double"/>
              </w:rPr>
              <w:t xml:space="preserve">$84,588,630 </w:t>
            </w:r>
          </w:p>
        </w:tc>
        <w:tc>
          <w:tcPr>
            <w:tcW w:w="684"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u w:val="double"/>
              </w:rPr>
            </w:pPr>
            <w:r>
              <w:rPr>
                <w:sz w:val="22"/>
                <w:szCs w:val="22"/>
                <w:u w:val="double"/>
              </w:rPr>
              <w:t xml:space="preserve">$84,588,630 </w:t>
            </w:r>
          </w:p>
        </w:tc>
        <w:tc>
          <w:tcPr>
            <w:tcW w:w="589"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u w:val="double"/>
              </w:rPr>
            </w:pPr>
            <w:r>
              <w:rPr>
                <w:sz w:val="22"/>
                <w:szCs w:val="22"/>
                <w:u w:val="double"/>
              </w:rPr>
              <w:t xml:space="preserve">$3,743,675 </w:t>
            </w:r>
          </w:p>
        </w:tc>
        <w:tc>
          <w:tcPr>
            <w:tcW w:w="610" w:type="pct"/>
            <w:gridSpan w:val="3"/>
            <w:tcBorders>
              <w:top w:val="nil"/>
              <w:left w:val="nil"/>
              <w:bottom w:val="nil"/>
              <w:right w:val="nil"/>
            </w:tcBorders>
            <w:shd w:val="clear" w:color="000000" w:fill="FFFFFF"/>
            <w:noWrap/>
            <w:vAlign w:val="bottom"/>
            <w:hideMark/>
          </w:tcPr>
          <w:p w:rsidR="00D30927" w:rsidRDefault="00D30927" w:rsidP="00D30927">
            <w:pPr>
              <w:jc w:val="right"/>
              <w:rPr>
                <w:sz w:val="22"/>
                <w:szCs w:val="22"/>
                <w:u w:val="double"/>
              </w:rPr>
            </w:pPr>
            <w:r>
              <w:rPr>
                <w:sz w:val="22"/>
                <w:szCs w:val="22"/>
                <w:u w:val="double"/>
              </w:rPr>
              <w:t xml:space="preserve">$88,332,305 </w:t>
            </w:r>
          </w:p>
        </w:tc>
        <w:tc>
          <w:tcPr>
            <w:tcW w:w="439"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u w:val="double"/>
              </w:rPr>
            </w:pPr>
            <w:r>
              <w:rPr>
                <w:sz w:val="22"/>
                <w:szCs w:val="22"/>
                <w:u w:val="double"/>
              </w:rPr>
              <w:t>100.00%</w:t>
            </w:r>
          </w:p>
        </w:tc>
        <w:tc>
          <w:tcPr>
            <w:tcW w:w="376" w:type="pct"/>
            <w:gridSpan w:val="2"/>
            <w:tcBorders>
              <w:top w:val="nil"/>
              <w:left w:val="nil"/>
              <w:bottom w:val="nil"/>
              <w:right w:val="nil"/>
            </w:tcBorders>
            <w:shd w:val="clear" w:color="000000" w:fill="FFFFFF"/>
            <w:noWrap/>
            <w:vAlign w:val="bottom"/>
            <w:hideMark/>
          </w:tcPr>
          <w:p w:rsidR="00D30927" w:rsidRDefault="00D30927" w:rsidP="00D30927">
            <w:pPr>
              <w:rPr>
                <w:sz w:val="22"/>
                <w:szCs w:val="22"/>
                <w:u w:val="double"/>
              </w:rPr>
            </w:pPr>
          </w:p>
        </w:tc>
        <w:tc>
          <w:tcPr>
            <w:tcW w:w="432" w:type="pct"/>
            <w:tcBorders>
              <w:top w:val="nil"/>
              <w:left w:val="nil"/>
              <w:bottom w:val="nil"/>
              <w:right w:val="nil"/>
            </w:tcBorders>
            <w:shd w:val="clear" w:color="000000" w:fill="FFFFFF"/>
            <w:noWrap/>
            <w:vAlign w:val="bottom"/>
            <w:hideMark/>
          </w:tcPr>
          <w:p w:rsidR="00D30927" w:rsidRDefault="00D30927" w:rsidP="00D30927">
            <w:pPr>
              <w:jc w:val="right"/>
              <w:rPr>
                <w:sz w:val="22"/>
                <w:szCs w:val="22"/>
                <w:u w:val="double"/>
              </w:rPr>
            </w:pPr>
            <w:r>
              <w:rPr>
                <w:sz w:val="22"/>
                <w:szCs w:val="22"/>
                <w:u w:val="double"/>
              </w:rPr>
              <w:t>7.76%</w:t>
            </w:r>
          </w:p>
        </w:tc>
        <w:tc>
          <w:tcPr>
            <w:tcW w:w="126" w:type="pct"/>
            <w:tcBorders>
              <w:top w:val="nil"/>
              <w:left w:val="nil"/>
              <w:bottom w:val="nil"/>
              <w:right w:val="single" w:sz="4" w:space="0" w:color="auto"/>
            </w:tcBorders>
            <w:shd w:val="clear" w:color="000000" w:fill="FFFFFF"/>
            <w:noWrap/>
            <w:vAlign w:val="bottom"/>
          </w:tcPr>
          <w:p w:rsidR="00D30927" w:rsidRDefault="00D30927" w:rsidP="00D30927">
            <w:pPr>
              <w:rPr>
                <w:sz w:val="22"/>
                <w:szCs w:val="22"/>
                <w:u w:val="double"/>
              </w:rPr>
            </w:pPr>
          </w:p>
        </w:tc>
      </w:tr>
      <w:tr w:rsidR="00D30927" w:rsidTr="00D30927">
        <w:trPr>
          <w:trHeight w:val="300"/>
          <w:jc w:val="center"/>
        </w:trPr>
        <w:tc>
          <w:tcPr>
            <w:tcW w:w="157" w:type="pct"/>
            <w:tcBorders>
              <w:top w:val="nil"/>
              <w:left w:val="single" w:sz="4" w:space="0" w:color="auto"/>
              <w:bottom w:val="nil"/>
              <w:right w:val="nil"/>
            </w:tcBorders>
            <w:shd w:val="clear" w:color="000000" w:fill="FFFFFF"/>
            <w:noWrap/>
            <w:vAlign w:val="bottom"/>
            <w:hideMark/>
          </w:tcPr>
          <w:p w:rsidR="00D30927" w:rsidRDefault="00D30927" w:rsidP="00D30927">
            <w:pPr>
              <w:ind w:left="-120" w:right="-30"/>
              <w:rPr>
                <w:sz w:val="22"/>
                <w:szCs w:val="22"/>
              </w:rPr>
            </w:pPr>
            <w:r>
              <w:rPr>
                <w:sz w:val="22"/>
                <w:szCs w:val="22"/>
              </w:rPr>
              <w:t> </w:t>
            </w:r>
          </w:p>
        </w:tc>
        <w:tc>
          <w:tcPr>
            <w:tcW w:w="1040" w:type="pct"/>
            <w:tcBorders>
              <w:top w:val="nil"/>
              <w:left w:val="nil"/>
              <w:bottom w:val="nil"/>
              <w:right w:val="nil"/>
            </w:tcBorders>
            <w:shd w:val="clear" w:color="000000" w:fill="FFFFFF"/>
            <w:noWrap/>
            <w:vAlign w:val="bottom"/>
            <w:hideMark/>
          </w:tcPr>
          <w:p w:rsidR="00D30927" w:rsidRDefault="00D30927" w:rsidP="00D30927">
            <w:pPr>
              <w:ind w:left="-120" w:right="-30"/>
              <w:rPr>
                <w:color w:val="000000"/>
                <w:sz w:val="22"/>
                <w:szCs w:val="22"/>
              </w:rPr>
            </w:pPr>
            <w:r>
              <w:rPr>
                <w:color w:val="000000"/>
                <w:sz w:val="22"/>
                <w:szCs w:val="22"/>
              </w:rPr>
              <w:t> </w:t>
            </w:r>
          </w:p>
        </w:tc>
        <w:tc>
          <w:tcPr>
            <w:tcW w:w="547" w:type="pct"/>
            <w:tcBorders>
              <w:top w:val="nil"/>
              <w:left w:val="nil"/>
              <w:bottom w:val="nil"/>
              <w:right w:val="nil"/>
            </w:tcBorders>
            <w:shd w:val="clear" w:color="000000" w:fill="FFFFFF"/>
            <w:noWrap/>
            <w:vAlign w:val="bottom"/>
            <w:hideMark/>
          </w:tcPr>
          <w:p w:rsidR="00D30927" w:rsidRDefault="00D30927" w:rsidP="00D30927">
            <w:pPr>
              <w:rPr>
                <w:color w:val="000000"/>
                <w:sz w:val="22"/>
                <w:szCs w:val="22"/>
              </w:rPr>
            </w:pPr>
            <w:r>
              <w:rPr>
                <w:color w:val="000000"/>
                <w:sz w:val="22"/>
                <w:szCs w:val="22"/>
              </w:rPr>
              <w:t> </w:t>
            </w:r>
          </w:p>
        </w:tc>
        <w:tc>
          <w:tcPr>
            <w:tcW w:w="684" w:type="pct"/>
            <w:gridSpan w:val="2"/>
            <w:tcBorders>
              <w:top w:val="nil"/>
              <w:left w:val="nil"/>
              <w:bottom w:val="nil"/>
              <w:right w:val="nil"/>
            </w:tcBorders>
            <w:shd w:val="clear" w:color="000000" w:fill="FFFFFF"/>
            <w:noWrap/>
            <w:vAlign w:val="bottom"/>
            <w:hideMark/>
          </w:tcPr>
          <w:p w:rsidR="00D30927" w:rsidRDefault="00D30927" w:rsidP="00D30927">
            <w:pPr>
              <w:rPr>
                <w:color w:val="000000"/>
                <w:sz w:val="22"/>
                <w:szCs w:val="22"/>
              </w:rPr>
            </w:pPr>
            <w:r>
              <w:rPr>
                <w:color w:val="000000"/>
                <w:sz w:val="22"/>
                <w:szCs w:val="22"/>
              </w:rPr>
              <w:t> </w:t>
            </w:r>
          </w:p>
        </w:tc>
        <w:tc>
          <w:tcPr>
            <w:tcW w:w="589" w:type="pct"/>
            <w:gridSpan w:val="2"/>
            <w:tcBorders>
              <w:top w:val="nil"/>
              <w:left w:val="nil"/>
              <w:bottom w:val="nil"/>
              <w:right w:val="nil"/>
            </w:tcBorders>
            <w:shd w:val="clear" w:color="000000" w:fill="FFFFFF"/>
            <w:noWrap/>
            <w:vAlign w:val="bottom"/>
            <w:hideMark/>
          </w:tcPr>
          <w:p w:rsidR="00D30927" w:rsidRDefault="00D30927" w:rsidP="00D30927">
            <w:pPr>
              <w:rPr>
                <w:color w:val="000000"/>
                <w:sz w:val="22"/>
                <w:szCs w:val="22"/>
              </w:rPr>
            </w:pPr>
            <w:r>
              <w:rPr>
                <w:color w:val="000000"/>
                <w:sz w:val="22"/>
                <w:szCs w:val="22"/>
              </w:rPr>
              <w:t> </w:t>
            </w:r>
          </w:p>
        </w:tc>
        <w:tc>
          <w:tcPr>
            <w:tcW w:w="610" w:type="pct"/>
            <w:gridSpan w:val="3"/>
            <w:tcBorders>
              <w:top w:val="nil"/>
              <w:left w:val="nil"/>
              <w:bottom w:val="nil"/>
              <w:right w:val="nil"/>
            </w:tcBorders>
            <w:shd w:val="clear" w:color="000000" w:fill="FFFFFF"/>
            <w:noWrap/>
            <w:vAlign w:val="bottom"/>
            <w:hideMark/>
          </w:tcPr>
          <w:p w:rsidR="00D30927" w:rsidRDefault="00D30927" w:rsidP="00D30927">
            <w:pPr>
              <w:rPr>
                <w:color w:val="000000"/>
                <w:sz w:val="22"/>
                <w:szCs w:val="22"/>
              </w:rPr>
            </w:pPr>
            <w:r>
              <w:rPr>
                <w:color w:val="000000"/>
                <w:sz w:val="22"/>
                <w:szCs w:val="22"/>
              </w:rPr>
              <w:t> </w:t>
            </w:r>
          </w:p>
        </w:tc>
        <w:tc>
          <w:tcPr>
            <w:tcW w:w="439" w:type="pct"/>
            <w:gridSpan w:val="2"/>
            <w:tcBorders>
              <w:top w:val="nil"/>
              <w:left w:val="nil"/>
              <w:bottom w:val="nil"/>
              <w:right w:val="nil"/>
            </w:tcBorders>
            <w:shd w:val="clear" w:color="000000" w:fill="FFFFFF"/>
            <w:noWrap/>
            <w:vAlign w:val="bottom"/>
            <w:hideMark/>
          </w:tcPr>
          <w:p w:rsidR="00D30927" w:rsidRDefault="00D30927" w:rsidP="00D30927">
            <w:pPr>
              <w:rPr>
                <w:color w:val="000000"/>
                <w:sz w:val="22"/>
                <w:szCs w:val="22"/>
              </w:rPr>
            </w:pPr>
            <w:r>
              <w:rPr>
                <w:color w:val="000000"/>
                <w:sz w:val="22"/>
                <w:szCs w:val="22"/>
              </w:rPr>
              <w:t> </w:t>
            </w:r>
          </w:p>
        </w:tc>
        <w:tc>
          <w:tcPr>
            <w:tcW w:w="376" w:type="pct"/>
            <w:gridSpan w:val="2"/>
            <w:tcBorders>
              <w:top w:val="nil"/>
              <w:left w:val="nil"/>
              <w:bottom w:val="nil"/>
              <w:right w:val="nil"/>
            </w:tcBorders>
            <w:shd w:val="clear" w:color="000000" w:fill="FFFFFF"/>
            <w:noWrap/>
            <w:vAlign w:val="bottom"/>
            <w:hideMark/>
          </w:tcPr>
          <w:p w:rsidR="00D30927" w:rsidRDefault="00D30927" w:rsidP="00D30927">
            <w:pPr>
              <w:rPr>
                <w:color w:val="000000"/>
                <w:sz w:val="22"/>
                <w:szCs w:val="22"/>
              </w:rPr>
            </w:pPr>
            <w:r>
              <w:rPr>
                <w:color w:val="000000"/>
                <w:sz w:val="22"/>
                <w:szCs w:val="22"/>
              </w:rPr>
              <w:t> </w:t>
            </w:r>
          </w:p>
        </w:tc>
        <w:tc>
          <w:tcPr>
            <w:tcW w:w="432" w:type="pct"/>
            <w:tcBorders>
              <w:top w:val="nil"/>
              <w:left w:val="nil"/>
              <w:bottom w:val="nil"/>
              <w:right w:val="nil"/>
            </w:tcBorders>
            <w:shd w:val="clear" w:color="000000" w:fill="FFFFFF"/>
            <w:noWrap/>
            <w:vAlign w:val="bottom"/>
            <w:hideMark/>
          </w:tcPr>
          <w:p w:rsidR="00D30927" w:rsidRDefault="00D30927" w:rsidP="00D30927">
            <w:pPr>
              <w:rPr>
                <w:sz w:val="22"/>
                <w:szCs w:val="22"/>
              </w:rPr>
            </w:pPr>
            <w:r>
              <w:rPr>
                <w:sz w:val="22"/>
                <w:szCs w:val="22"/>
              </w:rPr>
              <w:t> </w:t>
            </w:r>
          </w:p>
        </w:tc>
        <w:tc>
          <w:tcPr>
            <w:tcW w:w="126" w:type="pct"/>
            <w:tcBorders>
              <w:top w:val="nil"/>
              <w:left w:val="nil"/>
              <w:bottom w:val="nil"/>
              <w:right w:val="single" w:sz="4" w:space="0" w:color="auto"/>
            </w:tcBorders>
            <w:shd w:val="clear" w:color="000000" w:fill="FFFFFF"/>
            <w:noWrap/>
            <w:vAlign w:val="bottom"/>
          </w:tcPr>
          <w:p w:rsidR="00D30927" w:rsidRDefault="00D30927" w:rsidP="00D30927">
            <w:pPr>
              <w:rPr>
                <w:sz w:val="22"/>
                <w:szCs w:val="22"/>
              </w:rPr>
            </w:pPr>
          </w:p>
        </w:tc>
      </w:tr>
      <w:tr w:rsidR="00D30927" w:rsidTr="00D30927">
        <w:trPr>
          <w:trHeight w:val="300"/>
          <w:jc w:val="center"/>
        </w:trPr>
        <w:tc>
          <w:tcPr>
            <w:tcW w:w="157" w:type="pct"/>
            <w:tcBorders>
              <w:top w:val="nil"/>
              <w:left w:val="single" w:sz="4" w:space="0" w:color="auto"/>
              <w:bottom w:val="nil"/>
              <w:right w:val="nil"/>
            </w:tcBorders>
            <w:shd w:val="clear" w:color="000000" w:fill="FFFFFF"/>
            <w:noWrap/>
            <w:vAlign w:val="bottom"/>
            <w:hideMark/>
          </w:tcPr>
          <w:p w:rsidR="00D30927" w:rsidRDefault="00D30927" w:rsidP="00D30927">
            <w:pPr>
              <w:ind w:left="-120" w:right="-30"/>
              <w:rPr>
                <w:sz w:val="22"/>
                <w:szCs w:val="22"/>
              </w:rPr>
            </w:pPr>
            <w:r>
              <w:rPr>
                <w:sz w:val="22"/>
                <w:szCs w:val="22"/>
              </w:rPr>
              <w:t> </w:t>
            </w:r>
          </w:p>
        </w:tc>
        <w:tc>
          <w:tcPr>
            <w:tcW w:w="1040" w:type="pct"/>
            <w:tcBorders>
              <w:top w:val="nil"/>
              <w:left w:val="nil"/>
              <w:bottom w:val="nil"/>
              <w:right w:val="nil"/>
            </w:tcBorders>
            <w:shd w:val="clear" w:color="000000" w:fill="FFFFFF"/>
            <w:noWrap/>
            <w:vAlign w:val="bottom"/>
            <w:hideMark/>
          </w:tcPr>
          <w:p w:rsidR="00D30927" w:rsidRDefault="00D30927" w:rsidP="00D30927">
            <w:pPr>
              <w:ind w:left="-120" w:right="-30"/>
              <w:rPr>
                <w:color w:val="000000"/>
                <w:sz w:val="22"/>
                <w:szCs w:val="22"/>
              </w:rPr>
            </w:pPr>
            <w:r>
              <w:rPr>
                <w:color w:val="000000"/>
                <w:sz w:val="22"/>
                <w:szCs w:val="22"/>
              </w:rPr>
              <w:t> </w:t>
            </w:r>
          </w:p>
        </w:tc>
        <w:tc>
          <w:tcPr>
            <w:tcW w:w="547" w:type="pct"/>
            <w:tcBorders>
              <w:top w:val="nil"/>
              <w:left w:val="nil"/>
              <w:bottom w:val="nil"/>
              <w:right w:val="nil"/>
            </w:tcBorders>
            <w:shd w:val="clear" w:color="000000" w:fill="FFFFFF"/>
            <w:noWrap/>
            <w:vAlign w:val="bottom"/>
            <w:hideMark/>
          </w:tcPr>
          <w:p w:rsidR="00D30927" w:rsidRDefault="00D30927" w:rsidP="00D30927">
            <w:pPr>
              <w:rPr>
                <w:color w:val="000000"/>
                <w:sz w:val="22"/>
                <w:szCs w:val="22"/>
              </w:rPr>
            </w:pPr>
            <w:r>
              <w:rPr>
                <w:color w:val="000000"/>
                <w:sz w:val="22"/>
                <w:szCs w:val="22"/>
              </w:rPr>
              <w:t> </w:t>
            </w:r>
          </w:p>
        </w:tc>
        <w:tc>
          <w:tcPr>
            <w:tcW w:w="684" w:type="pct"/>
            <w:gridSpan w:val="2"/>
            <w:tcBorders>
              <w:top w:val="nil"/>
              <w:left w:val="nil"/>
              <w:bottom w:val="nil"/>
              <w:right w:val="nil"/>
            </w:tcBorders>
            <w:shd w:val="clear" w:color="000000" w:fill="FFFFFF"/>
            <w:noWrap/>
            <w:vAlign w:val="bottom"/>
            <w:hideMark/>
          </w:tcPr>
          <w:p w:rsidR="00D30927" w:rsidRDefault="00D30927" w:rsidP="00D30927">
            <w:pPr>
              <w:rPr>
                <w:color w:val="000000"/>
                <w:sz w:val="22"/>
                <w:szCs w:val="22"/>
              </w:rPr>
            </w:pPr>
            <w:r>
              <w:rPr>
                <w:color w:val="000000"/>
                <w:sz w:val="22"/>
                <w:szCs w:val="22"/>
              </w:rPr>
              <w:t> </w:t>
            </w:r>
          </w:p>
        </w:tc>
        <w:tc>
          <w:tcPr>
            <w:tcW w:w="589" w:type="pct"/>
            <w:gridSpan w:val="2"/>
            <w:tcBorders>
              <w:top w:val="nil"/>
              <w:left w:val="nil"/>
              <w:bottom w:val="nil"/>
              <w:right w:val="nil"/>
            </w:tcBorders>
            <w:shd w:val="clear" w:color="000000" w:fill="FFFFFF"/>
            <w:noWrap/>
            <w:vAlign w:val="bottom"/>
            <w:hideMark/>
          </w:tcPr>
          <w:p w:rsidR="00D30927" w:rsidRDefault="00D30927" w:rsidP="00D30927">
            <w:pPr>
              <w:rPr>
                <w:b/>
                <w:bCs/>
                <w:sz w:val="22"/>
                <w:szCs w:val="22"/>
              </w:rPr>
            </w:pPr>
            <w:r>
              <w:rPr>
                <w:b/>
                <w:bCs/>
                <w:sz w:val="22"/>
                <w:szCs w:val="22"/>
              </w:rPr>
              <w:t> </w:t>
            </w:r>
          </w:p>
        </w:tc>
        <w:tc>
          <w:tcPr>
            <w:tcW w:w="610" w:type="pct"/>
            <w:gridSpan w:val="3"/>
            <w:tcBorders>
              <w:top w:val="nil"/>
              <w:left w:val="nil"/>
              <w:bottom w:val="nil"/>
              <w:right w:val="nil"/>
            </w:tcBorders>
            <w:shd w:val="clear" w:color="000000" w:fill="FFFFFF"/>
            <w:noWrap/>
            <w:vAlign w:val="bottom"/>
            <w:hideMark/>
          </w:tcPr>
          <w:p w:rsidR="00D30927" w:rsidRDefault="00D30927" w:rsidP="00D30927">
            <w:pPr>
              <w:rPr>
                <w:b/>
                <w:bCs/>
                <w:sz w:val="22"/>
                <w:szCs w:val="22"/>
              </w:rPr>
            </w:pPr>
            <w:r>
              <w:rPr>
                <w:b/>
                <w:bCs/>
                <w:sz w:val="22"/>
                <w:szCs w:val="22"/>
              </w:rPr>
              <w:t> </w:t>
            </w:r>
          </w:p>
        </w:tc>
        <w:tc>
          <w:tcPr>
            <w:tcW w:w="439" w:type="pct"/>
            <w:gridSpan w:val="2"/>
            <w:tcBorders>
              <w:top w:val="nil"/>
              <w:left w:val="nil"/>
              <w:bottom w:val="nil"/>
              <w:right w:val="nil"/>
            </w:tcBorders>
            <w:shd w:val="clear" w:color="000000" w:fill="FFFFFF"/>
            <w:noWrap/>
            <w:vAlign w:val="bottom"/>
            <w:hideMark/>
          </w:tcPr>
          <w:p w:rsidR="00D30927" w:rsidRDefault="00D30927" w:rsidP="00D30927">
            <w:pPr>
              <w:jc w:val="center"/>
              <w:rPr>
                <w:b/>
                <w:bCs/>
                <w:sz w:val="22"/>
                <w:szCs w:val="22"/>
                <w:u w:val="single"/>
              </w:rPr>
            </w:pPr>
            <w:r>
              <w:rPr>
                <w:b/>
                <w:bCs/>
                <w:sz w:val="22"/>
                <w:szCs w:val="22"/>
                <w:u w:val="single"/>
              </w:rPr>
              <w:t>LOW</w:t>
            </w:r>
          </w:p>
        </w:tc>
        <w:tc>
          <w:tcPr>
            <w:tcW w:w="376" w:type="pct"/>
            <w:gridSpan w:val="2"/>
            <w:tcBorders>
              <w:top w:val="nil"/>
              <w:left w:val="nil"/>
              <w:bottom w:val="nil"/>
              <w:right w:val="nil"/>
            </w:tcBorders>
            <w:shd w:val="clear" w:color="000000" w:fill="FFFFFF"/>
            <w:noWrap/>
            <w:vAlign w:val="bottom"/>
            <w:hideMark/>
          </w:tcPr>
          <w:p w:rsidR="00D30927" w:rsidRDefault="00D30927" w:rsidP="00D30927">
            <w:pPr>
              <w:jc w:val="center"/>
              <w:rPr>
                <w:b/>
                <w:bCs/>
                <w:sz w:val="22"/>
                <w:szCs w:val="22"/>
                <w:u w:val="single"/>
              </w:rPr>
            </w:pPr>
            <w:r>
              <w:rPr>
                <w:b/>
                <w:bCs/>
                <w:sz w:val="22"/>
                <w:szCs w:val="22"/>
                <w:u w:val="single"/>
              </w:rPr>
              <w:t>HIGH</w:t>
            </w:r>
          </w:p>
        </w:tc>
        <w:tc>
          <w:tcPr>
            <w:tcW w:w="432" w:type="pct"/>
            <w:tcBorders>
              <w:top w:val="nil"/>
              <w:left w:val="nil"/>
              <w:bottom w:val="nil"/>
              <w:right w:val="nil"/>
            </w:tcBorders>
            <w:shd w:val="clear" w:color="000000" w:fill="FFFFFF"/>
            <w:noWrap/>
            <w:vAlign w:val="bottom"/>
            <w:hideMark/>
          </w:tcPr>
          <w:p w:rsidR="00D30927" w:rsidRDefault="00D30927" w:rsidP="00D30927">
            <w:pPr>
              <w:rPr>
                <w:sz w:val="22"/>
                <w:szCs w:val="22"/>
              </w:rPr>
            </w:pPr>
            <w:r>
              <w:rPr>
                <w:sz w:val="22"/>
                <w:szCs w:val="22"/>
              </w:rPr>
              <w:t> </w:t>
            </w:r>
          </w:p>
        </w:tc>
        <w:tc>
          <w:tcPr>
            <w:tcW w:w="126" w:type="pct"/>
            <w:tcBorders>
              <w:top w:val="nil"/>
              <w:left w:val="nil"/>
              <w:bottom w:val="nil"/>
              <w:right w:val="single" w:sz="4" w:space="0" w:color="auto"/>
            </w:tcBorders>
            <w:shd w:val="clear" w:color="000000" w:fill="FFFFFF"/>
            <w:noWrap/>
            <w:vAlign w:val="bottom"/>
          </w:tcPr>
          <w:p w:rsidR="00D30927" w:rsidRDefault="00D30927" w:rsidP="00D30927">
            <w:pPr>
              <w:rPr>
                <w:sz w:val="22"/>
                <w:szCs w:val="22"/>
              </w:rPr>
            </w:pPr>
          </w:p>
        </w:tc>
      </w:tr>
      <w:tr w:rsidR="00D30927" w:rsidTr="00D30927">
        <w:trPr>
          <w:trHeight w:val="300"/>
          <w:jc w:val="center"/>
        </w:trPr>
        <w:tc>
          <w:tcPr>
            <w:tcW w:w="157" w:type="pct"/>
            <w:tcBorders>
              <w:top w:val="nil"/>
              <w:left w:val="single" w:sz="4" w:space="0" w:color="auto"/>
              <w:bottom w:val="nil"/>
              <w:right w:val="nil"/>
            </w:tcBorders>
            <w:shd w:val="clear" w:color="000000" w:fill="FFFFFF"/>
            <w:noWrap/>
            <w:vAlign w:val="bottom"/>
            <w:hideMark/>
          </w:tcPr>
          <w:p w:rsidR="00D30927" w:rsidRDefault="00D30927" w:rsidP="00D30927">
            <w:pPr>
              <w:ind w:left="-120" w:right="-30"/>
              <w:rPr>
                <w:sz w:val="22"/>
                <w:szCs w:val="22"/>
              </w:rPr>
            </w:pPr>
            <w:r>
              <w:rPr>
                <w:sz w:val="22"/>
                <w:szCs w:val="22"/>
              </w:rPr>
              <w:t> </w:t>
            </w:r>
          </w:p>
        </w:tc>
        <w:tc>
          <w:tcPr>
            <w:tcW w:w="1040" w:type="pct"/>
            <w:tcBorders>
              <w:top w:val="nil"/>
              <w:left w:val="nil"/>
              <w:bottom w:val="nil"/>
              <w:right w:val="nil"/>
            </w:tcBorders>
            <w:shd w:val="clear" w:color="000000" w:fill="FFFFFF"/>
            <w:noWrap/>
            <w:vAlign w:val="bottom"/>
            <w:hideMark/>
          </w:tcPr>
          <w:p w:rsidR="00D30927" w:rsidRDefault="00D30927" w:rsidP="00D30927">
            <w:pPr>
              <w:ind w:left="-120" w:right="-30"/>
              <w:rPr>
                <w:color w:val="000000"/>
                <w:sz w:val="22"/>
                <w:szCs w:val="22"/>
              </w:rPr>
            </w:pPr>
            <w:r>
              <w:rPr>
                <w:color w:val="000000"/>
                <w:sz w:val="22"/>
                <w:szCs w:val="22"/>
              </w:rPr>
              <w:t> </w:t>
            </w:r>
          </w:p>
        </w:tc>
        <w:tc>
          <w:tcPr>
            <w:tcW w:w="547" w:type="pct"/>
            <w:tcBorders>
              <w:top w:val="nil"/>
              <w:left w:val="nil"/>
              <w:bottom w:val="nil"/>
              <w:right w:val="nil"/>
            </w:tcBorders>
            <w:shd w:val="clear" w:color="000000" w:fill="FFFFFF"/>
            <w:noWrap/>
            <w:vAlign w:val="bottom"/>
            <w:hideMark/>
          </w:tcPr>
          <w:p w:rsidR="00D30927" w:rsidRDefault="00D30927" w:rsidP="00D30927">
            <w:pPr>
              <w:rPr>
                <w:color w:val="000000"/>
                <w:sz w:val="22"/>
                <w:szCs w:val="22"/>
              </w:rPr>
            </w:pPr>
            <w:r>
              <w:rPr>
                <w:color w:val="000000"/>
                <w:sz w:val="22"/>
                <w:szCs w:val="22"/>
              </w:rPr>
              <w:t> </w:t>
            </w:r>
          </w:p>
        </w:tc>
        <w:tc>
          <w:tcPr>
            <w:tcW w:w="1273" w:type="pct"/>
            <w:gridSpan w:val="4"/>
            <w:tcBorders>
              <w:top w:val="nil"/>
              <w:left w:val="nil"/>
              <w:bottom w:val="nil"/>
              <w:right w:val="nil"/>
            </w:tcBorders>
            <w:shd w:val="clear" w:color="000000" w:fill="FFFFFF"/>
            <w:noWrap/>
            <w:vAlign w:val="bottom"/>
            <w:hideMark/>
          </w:tcPr>
          <w:p w:rsidR="00D30927" w:rsidRPr="00D236CC" w:rsidRDefault="00D30927" w:rsidP="00D30927">
            <w:pPr>
              <w:rPr>
                <w:sz w:val="22"/>
                <w:szCs w:val="22"/>
              </w:rPr>
            </w:pPr>
            <w:r>
              <w:rPr>
                <w:sz w:val="22"/>
                <w:szCs w:val="22"/>
              </w:rPr>
              <w:t xml:space="preserve">   RETURN ON EQUITY</w:t>
            </w:r>
          </w:p>
        </w:tc>
        <w:tc>
          <w:tcPr>
            <w:tcW w:w="610" w:type="pct"/>
            <w:gridSpan w:val="3"/>
            <w:tcBorders>
              <w:top w:val="nil"/>
              <w:left w:val="nil"/>
              <w:bottom w:val="nil"/>
              <w:right w:val="nil"/>
            </w:tcBorders>
            <w:shd w:val="clear" w:color="000000" w:fill="FFFFFF"/>
            <w:noWrap/>
            <w:vAlign w:val="bottom"/>
            <w:hideMark/>
          </w:tcPr>
          <w:p w:rsidR="00D30927" w:rsidRDefault="00D30927" w:rsidP="00D30927">
            <w:pPr>
              <w:rPr>
                <w:color w:val="000000"/>
                <w:sz w:val="22"/>
                <w:szCs w:val="22"/>
              </w:rPr>
            </w:pPr>
            <w:r>
              <w:rPr>
                <w:color w:val="000000"/>
                <w:sz w:val="22"/>
                <w:szCs w:val="22"/>
              </w:rPr>
              <w:t> </w:t>
            </w:r>
          </w:p>
        </w:tc>
        <w:tc>
          <w:tcPr>
            <w:tcW w:w="439"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u w:val="double"/>
              </w:rPr>
            </w:pPr>
            <w:r>
              <w:rPr>
                <w:sz w:val="22"/>
                <w:szCs w:val="22"/>
                <w:u w:val="double"/>
              </w:rPr>
              <w:t>6.84%</w:t>
            </w:r>
          </w:p>
        </w:tc>
        <w:tc>
          <w:tcPr>
            <w:tcW w:w="376"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u w:val="double"/>
              </w:rPr>
            </w:pPr>
            <w:r>
              <w:rPr>
                <w:sz w:val="22"/>
                <w:szCs w:val="22"/>
                <w:u w:val="double"/>
              </w:rPr>
              <w:t>8.84%</w:t>
            </w:r>
          </w:p>
        </w:tc>
        <w:tc>
          <w:tcPr>
            <w:tcW w:w="432" w:type="pct"/>
            <w:tcBorders>
              <w:top w:val="nil"/>
              <w:left w:val="nil"/>
              <w:bottom w:val="nil"/>
              <w:right w:val="nil"/>
            </w:tcBorders>
            <w:shd w:val="clear" w:color="000000" w:fill="FFFFFF"/>
            <w:noWrap/>
            <w:vAlign w:val="bottom"/>
            <w:hideMark/>
          </w:tcPr>
          <w:p w:rsidR="00D30927" w:rsidRDefault="00D30927" w:rsidP="00D30927">
            <w:pPr>
              <w:rPr>
                <w:sz w:val="22"/>
                <w:szCs w:val="22"/>
              </w:rPr>
            </w:pPr>
            <w:r>
              <w:rPr>
                <w:sz w:val="22"/>
                <w:szCs w:val="22"/>
              </w:rPr>
              <w:t> </w:t>
            </w:r>
          </w:p>
        </w:tc>
        <w:tc>
          <w:tcPr>
            <w:tcW w:w="126" w:type="pct"/>
            <w:noWrap/>
          </w:tcPr>
          <w:p w:rsidR="00D30927" w:rsidRDefault="00D30927" w:rsidP="00D30927">
            <w:pPr>
              <w:rPr>
                <w:sz w:val="22"/>
                <w:szCs w:val="22"/>
              </w:rPr>
            </w:pPr>
          </w:p>
        </w:tc>
      </w:tr>
      <w:tr w:rsidR="00D30927" w:rsidTr="00D30927">
        <w:trPr>
          <w:trHeight w:val="300"/>
          <w:jc w:val="center"/>
        </w:trPr>
        <w:tc>
          <w:tcPr>
            <w:tcW w:w="157" w:type="pct"/>
            <w:tcBorders>
              <w:top w:val="nil"/>
              <w:left w:val="single" w:sz="4" w:space="0" w:color="auto"/>
              <w:bottom w:val="nil"/>
              <w:right w:val="nil"/>
            </w:tcBorders>
            <w:shd w:val="clear" w:color="000000" w:fill="FFFFFF"/>
            <w:noWrap/>
            <w:vAlign w:val="bottom"/>
            <w:hideMark/>
          </w:tcPr>
          <w:p w:rsidR="00D30927" w:rsidRDefault="00D30927" w:rsidP="00D30927">
            <w:pPr>
              <w:ind w:left="-120" w:right="-30"/>
              <w:rPr>
                <w:sz w:val="22"/>
                <w:szCs w:val="22"/>
              </w:rPr>
            </w:pPr>
            <w:r>
              <w:rPr>
                <w:sz w:val="22"/>
                <w:szCs w:val="22"/>
              </w:rPr>
              <w:t> </w:t>
            </w:r>
          </w:p>
        </w:tc>
        <w:tc>
          <w:tcPr>
            <w:tcW w:w="1040" w:type="pct"/>
            <w:tcBorders>
              <w:top w:val="nil"/>
              <w:left w:val="nil"/>
              <w:bottom w:val="nil"/>
              <w:right w:val="nil"/>
            </w:tcBorders>
            <w:shd w:val="clear" w:color="000000" w:fill="FFFFFF"/>
            <w:noWrap/>
            <w:vAlign w:val="bottom"/>
            <w:hideMark/>
          </w:tcPr>
          <w:p w:rsidR="00D30927" w:rsidRDefault="00D30927" w:rsidP="00D30927">
            <w:pPr>
              <w:ind w:left="-120" w:right="-30"/>
              <w:rPr>
                <w:color w:val="000000"/>
                <w:sz w:val="22"/>
                <w:szCs w:val="22"/>
              </w:rPr>
            </w:pPr>
            <w:r>
              <w:rPr>
                <w:color w:val="000000"/>
                <w:sz w:val="22"/>
                <w:szCs w:val="22"/>
              </w:rPr>
              <w:t> </w:t>
            </w:r>
          </w:p>
        </w:tc>
        <w:tc>
          <w:tcPr>
            <w:tcW w:w="547" w:type="pct"/>
            <w:tcBorders>
              <w:top w:val="nil"/>
              <w:left w:val="nil"/>
              <w:bottom w:val="nil"/>
              <w:right w:val="nil"/>
            </w:tcBorders>
            <w:shd w:val="clear" w:color="000000" w:fill="FFFFFF"/>
            <w:noWrap/>
            <w:vAlign w:val="bottom"/>
            <w:hideMark/>
          </w:tcPr>
          <w:p w:rsidR="00D30927" w:rsidRDefault="00D30927" w:rsidP="00D30927">
            <w:pPr>
              <w:rPr>
                <w:color w:val="000000"/>
                <w:sz w:val="22"/>
                <w:szCs w:val="22"/>
              </w:rPr>
            </w:pPr>
            <w:r>
              <w:rPr>
                <w:color w:val="000000"/>
                <w:sz w:val="22"/>
                <w:szCs w:val="22"/>
              </w:rPr>
              <w:t> </w:t>
            </w:r>
          </w:p>
        </w:tc>
        <w:tc>
          <w:tcPr>
            <w:tcW w:w="1273" w:type="pct"/>
            <w:gridSpan w:val="4"/>
            <w:tcBorders>
              <w:top w:val="nil"/>
              <w:left w:val="nil"/>
              <w:bottom w:val="nil"/>
              <w:right w:val="nil"/>
            </w:tcBorders>
            <w:shd w:val="clear" w:color="000000" w:fill="FFFFFF"/>
            <w:noWrap/>
            <w:vAlign w:val="bottom"/>
            <w:hideMark/>
          </w:tcPr>
          <w:p w:rsidR="00D30927" w:rsidRPr="00D236CC" w:rsidRDefault="00D30927" w:rsidP="00D30927">
            <w:pPr>
              <w:rPr>
                <w:sz w:val="22"/>
                <w:szCs w:val="22"/>
              </w:rPr>
            </w:pPr>
            <w:r>
              <w:rPr>
                <w:sz w:val="22"/>
                <w:szCs w:val="22"/>
              </w:rPr>
              <w:t xml:space="preserve">   OVERALL RATE OF RETURN</w:t>
            </w:r>
          </w:p>
        </w:tc>
        <w:tc>
          <w:tcPr>
            <w:tcW w:w="610" w:type="pct"/>
            <w:gridSpan w:val="3"/>
            <w:tcBorders>
              <w:top w:val="nil"/>
              <w:left w:val="nil"/>
              <w:bottom w:val="nil"/>
              <w:right w:val="nil"/>
            </w:tcBorders>
            <w:shd w:val="clear" w:color="000000" w:fill="FFFFFF"/>
            <w:noWrap/>
            <w:vAlign w:val="bottom"/>
            <w:hideMark/>
          </w:tcPr>
          <w:p w:rsidR="00D30927" w:rsidRDefault="00D30927" w:rsidP="00D30927">
            <w:pPr>
              <w:rPr>
                <w:color w:val="000000"/>
                <w:sz w:val="22"/>
                <w:szCs w:val="22"/>
              </w:rPr>
            </w:pPr>
            <w:r>
              <w:rPr>
                <w:color w:val="000000"/>
                <w:sz w:val="22"/>
                <w:szCs w:val="22"/>
              </w:rPr>
              <w:t> </w:t>
            </w:r>
          </w:p>
        </w:tc>
        <w:tc>
          <w:tcPr>
            <w:tcW w:w="439"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u w:val="double"/>
              </w:rPr>
            </w:pPr>
            <w:r>
              <w:rPr>
                <w:sz w:val="22"/>
                <w:szCs w:val="22"/>
                <w:u w:val="double"/>
              </w:rPr>
              <w:t>6.77%</w:t>
            </w:r>
          </w:p>
        </w:tc>
        <w:tc>
          <w:tcPr>
            <w:tcW w:w="376" w:type="pct"/>
            <w:gridSpan w:val="2"/>
            <w:tcBorders>
              <w:top w:val="nil"/>
              <w:left w:val="nil"/>
              <w:bottom w:val="nil"/>
              <w:right w:val="nil"/>
            </w:tcBorders>
            <w:shd w:val="clear" w:color="000000" w:fill="FFFFFF"/>
            <w:noWrap/>
            <w:vAlign w:val="bottom"/>
            <w:hideMark/>
          </w:tcPr>
          <w:p w:rsidR="00D30927" w:rsidRDefault="00D30927" w:rsidP="00D30927">
            <w:pPr>
              <w:jc w:val="right"/>
              <w:rPr>
                <w:sz w:val="22"/>
                <w:szCs w:val="22"/>
                <w:u w:val="double"/>
              </w:rPr>
            </w:pPr>
            <w:r>
              <w:rPr>
                <w:sz w:val="22"/>
                <w:szCs w:val="22"/>
                <w:u w:val="double"/>
              </w:rPr>
              <w:t>8.75%</w:t>
            </w:r>
          </w:p>
        </w:tc>
        <w:tc>
          <w:tcPr>
            <w:tcW w:w="432" w:type="pct"/>
            <w:tcBorders>
              <w:top w:val="nil"/>
              <w:left w:val="nil"/>
              <w:bottom w:val="nil"/>
              <w:right w:val="nil"/>
            </w:tcBorders>
            <w:shd w:val="clear" w:color="000000" w:fill="FFFFFF"/>
            <w:noWrap/>
            <w:vAlign w:val="bottom"/>
            <w:hideMark/>
          </w:tcPr>
          <w:p w:rsidR="00D30927" w:rsidRDefault="00D30927" w:rsidP="00D30927">
            <w:pPr>
              <w:rPr>
                <w:sz w:val="22"/>
                <w:szCs w:val="22"/>
              </w:rPr>
            </w:pPr>
            <w:r>
              <w:rPr>
                <w:sz w:val="22"/>
                <w:szCs w:val="22"/>
              </w:rPr>
              <w:t> </w:t>
            </w:r>
          </w:p>
        </w:tc>
        <w:tc>
          <w:tcPr>
            <w:tcW w:w="126" w:type="pct"/>
            <w:noWrap/>
          </w:tcPr>
          <w:p w:rsidR="00D30927" w:rsidRDefault="00D30927" w:rsidP="00D30927">
            <w:pPr>
              <w:rPr>
                <w:sz w:val="22"/>
                <w:szCs w:val="22"/>
              </w:rPr>
            </w:pPr>
          </w:p>
        </w:tc>
      </w:tr>
      <w:tr w:rsidR="00C00588" w:rsidTr="00D30927">
        <w:trPr>
          <w:trHeight w:val="300"/>
          <w:jc w:val="center"/>
        </w:trPr>
        <w:tc>
          <w:tcPr>
            <w:tcW w:w="157" w:type="pct"/>
            <w:tcBorders>
              <w:top w:val="nil"/>
              <w:left w:val="single" w:sz="4" w:space="0" w:color="auto"/>
              <w:bottom w:val="single" w:sz="4" w:space="0" w:color="auto"/>
              <w:right w:val="nil"/>
            </w:tcBorders>
            <w:shd w:val="clear" w:color="000000" w:fill="FFFFFF"/>
            <w:noWrap/>
            <w:vAlign w:val="bottom"/>
            <w:hideMark/>
          </w:tcPr>
          <w:p w:rsidR="00C00588" w:rsidRDefault="00C00588" w:rsidP="00C00588">
            <w:pPr>
              <w:ind w:left="-120" w:right="-30"/>
              <w:rPr>
                <w:sz w:val="22"/>
                <w:szCs w:val="22"/>
              </w:rPr>
            </w:pPr>
            <w:r>
              <w:rPr>
                <w:sz w:val="22"/>
                <w:szCs w:val="22"/>
              </w:rPr>
              <w:t> </w:t>
            </w:r>
          </w:p>
        </w:tc>
        <w:tc>
          <w:tcPr>
            <w:tcW w:w="1040" w:type="pct"/>
            <w:tcBorders>
              <w:top w:val="nil"/>
              <w:left w:val="nil"/>
              <w:bottom w:val="single" w:sz="4" w:space="0" w:color="auto"/>
              <w:right w:val="nil"/>
            </w:tcBorders>
            <w:shd w:val="clear" w:color="000000" w:fill="FFFFFF"/>
            <w:noWrap/>
            <w:vAlign w:val="bottom"/>
            <w:hideMark/>
          </w:tcPr>
          <w:p w:rsidR="00C00588" w:rsidRDefault="00C00588" w:rsidP="00C00588">
            <w:pPr>
              <w:ind w:left="-120" w:right="-30"/>
              <w:rPr>
                <w:sz w:val="22"/>
                <w:szCs w:val="22"/>
              </w:rPr>
            </w:pPr>
            <w:r>
              <w:rPr>
                <w:sz w:val="22"/>
                <w:szCs w:val="22"/>
              </w:rPr>
              <w:t> </w:t>
            </w:r>
          </w:p>
        </w:tc>
        <w:tc>
          <w:tcPr>
            <w:tcW w:w="547" w:type="pct"/>
            <w:tcBorders>
              <w:top w:val="nil"/>
              <w:left w:val="nil"/>
              <w:bottom w:val="single" w:sz="4" w:space="0" w:color="auto"/>
              <w:right w:val="nil"/>
            </w:tcBorders>
            <w:shd w:val="clear" w:color="000000" w:fill="FFFFFF"/>
            <w:noWrap/>
            <w:vAlign w:val="bottom"/>
            <w:hideMark/>
          </w:tcPr>
          <w:p w:rsidR="00C00588" w:rsidRDefault="00C00588" w:rsidP="00C00588">
            <w:pPr>
              <w:rPr>
                <w:sz w:val="22"/>
                <w:szCs w:val="22"/>
              </w:rPr>
            </w:pPr>
            <w:r>
              <w:rPr>
                <w:sz w:val="22"/>
                <w:szCs w:val="22"/>
              </w:rPr>
              <w:t> </w:t>
            </w:r>
          </w:p>
        </w:tc>
        <w:tc>
          <w:tcPr>
            <w:tcW w:w="684" w:type="pct"/>
            <w:gridSpan w:val="2"/>
            <w:tcBorders>
              <w:top w:val="nil"/>
              <w:left w:val="nil"/>
              <w:bottom w:val="single" w:sz="4" w:space="0" w:color="auto"/>
              <w:right w:val="nil"/>
            </w:tcBorders>
            <w:shd w:val="clear" w:color="000000" w:fill="FFFFFF"/>
            <w:noWrap/>
            <w:vAlign w:val="bottom"/>
            <w:hideMark/>
          </w:tcPr>
          <w:p w:rsidR="00C00588" w:rsidRDefault="00C00588" w:rsidP="00C00588">
            <w:pPr>
              <w:rPr>
                <w:sz w:val="22"/>
                <w:szCs w:val="22"/>
              </w:rPr>
            </w:pPr>
            <w:r>
              <w:rPr>
                <w:sz w:val="22"/>
                <w:szCs w:val="22"/>
              </w:rPr>
              <w:t> </w:t>
            </w:r>
          </w:p>
        </w:tc>
        <w:tc>
          <w:tcPr>
            <w:tcW w:w="589" w:type="pct"/>
            <w:gridSpan w:val="2"/>
            <w:tcBorders>
              <w:top w:val="nil"/>
              <w:left w:val="nil"/>
              <w:bottom w:val="single" w:sz="4" w:space="0" w:color="auto"/>
              <w:right w:val="nil"/>
            </w:tcBorders>
            <w:shd w:val="clear" w:color="000000" w:fill="FFFFFF"/>
            <w:noWrap/>
            <w:vAlign w:val="bottom"/>
            <w:hideMark/>
          </w:tcPr>
          <w:p w:rsidR="00C00588" w:rsidRDefault="00C00588" w:rsidP="00C00588">
            <w:pPr>
              <w:rPr>
                <w:sz w:val="22"/>
                <w:szCs w:val="22"/>
              </w:rPr>
            </w:pPr>
            <w:r>
              <w:rPr>
                <w:sz w:val="22"/>
                <w:szCs w:val="22"/>
              </w:rPr>
              <w:t> </w:t>
            </w:r>
          </w:p>
        </w:tc>
        <w:tc>
          <w:tcPr>
            <w:tcW w:w="610" w:type="pct"/>
            <w:gridSpan w:val="3"/>
            <w:tcBorders>
              <w:top w:val="nil"/>
              <w:left w:val="nil"/>
              <w:bottom w:val="single" w:sz="4" w:space="0" w:color="auto"/>
              <w:right w:val="nil"/>
            </w:tcBorders>
            <w:shd w:val="clear" w:color="000000" w:fill="FFFFFF"/>
            <w:noWrap/>
            <w:vAlign w:val="bottom"/>
            <w:hideMark/>
          </w:tcPr>
          <w:p w:rsidR="00C00588" w:rsidRDefault="00C00588" w:rsidP="00C00588">
            <w:pPr>
              <w:rPr>
                <w:sz w:val="22"/>
                <w:szCs w:val="22"/>
              </w:rPr>
            </w:pPr>
            <w:r>
              <w:rPr>
                <w:sz w:val="22"/>
                <w:szCs w:val="22"/>
              </w:rPr>
              <w:t> </w:t>
            </w:r>
          </w:p>
        </w:tc>
        <w:tc>
          <w:tcPr>
            <w:tcW w:w="439" w:type="pct"/>
            <w:gridSpan w:val="2"/>
            <w:tcBorders>
              <w:top w:val="nil"/>
              <w:left w:val="nil"/>
              <w:bottom w:val="single" w:sz="4" w:space="0" w:color="auto"/>
              <w:right w:val="nil"/>
            </w:tcBorders>
            <w:shd w:val="clear" w:color="000000" w:fill="FFFFFF"/>
            <w:noWrap/>
            <w:vAlign w:val="bottom"/>
            <w:hideMark/>
          </w:tcPr>
          <w:p w:rsidR="00C00588" w:rsidRDefault="00C00588" w:rsidP="00C00588">
            <w:pPr>
              <w:rPr>
                <w:sz w:val="22"/>
                <w:szCs w:val="22"/>
              </w:rPr>
            </w:pPr>
            <w:r>
              <w:rPr>
                <w:sz w:val="22"/>
                <w:szCs w:val="22"/>
              </w:rPr>
              <w:t> </w:t>
            </w:r>
          </w:p>
        </w:tc>
        <w:tc>
          <w:tcPr>
            <w:tcW w:w="376" w:type="pct"/>
            <w:gridSpan w:val="2"/>
            <w:tcBorders>
              <w:top w:val="nil"/>
              <w:left w:val="nil"/>
              <w:bottom w:val="single" w:sz="4" w:space="0" w:color="auto"/>
              <w:right w:val="nil"/>
            </w:tcBorders>
            <w:shd w:val="clear" w:color="000000" w:fill="FFFFFF"/>
            <w:noWrap/>
            <w:vAlign w:val="bottom"/>
            <w:hideMark/>
          </w:tcPr>
          <w:p w:rsidR="00C00588" w:rsidRDefault="00C00588" w:rsidP="00C00588">
            <w:pPr>
              <w:rPr>
                <w:sz w:val="22"/>
                <w:szCs w:val="22"/>
              </w:rPr>
            </w:pPr>
            <w:r>
              <w:rPr>
                <w:sz w:val="22"/>
                <w:szCs w:val="22"/>
              </w:rPr>
              <w:t> </w:t>
            </w:r>
          </w:p>
        </w:tc>
        <w:tc>
          <w:tcPr>
            <w:tcW w:w="432" w:type="pct"/>
            <w:tcBorders>
              <w:top w:val="nil"/>
              <w:left w:val="nil"/>
              <w:bottom w:val="single" w:sz="4" w:space="0" w:color="auto"/>
              <w:right w:val="nil"/>
            </w:tcBorders>
            <w:shd w:val="clear" w:color="000000" w:fill="FFFFFF"/>
            <w:noWrap/>
            <w:vAlign w:val="bottom"/>
            <w:hideMark/>
          </w:tcPr>
          <w:p w:rsidR="00C00588" w:rsidRDefault="00C00588" w:rsidP="00C00588">
            <w:pPr>
              <w:rPr>
                <w:sz w:val="22"/>
                <w:szCs w:val="22"/>
              </w:rPr>
            </w:pPr>
            <w:r>
              <w:rPr>
                <w:sz w:val="22"/>
                <w:szCs w:val="22"/>
              </w:rPr>
              <w:t> </w:t>
            </w:r>
          </w:p>
        </w:tc>
        <w:tc>
          <w:tcPr>
            <w:tcW w:w="126" w:type="pct"/>
            <w:tcBorders>
              <w:top w:val="nil"/>
              <w:left w:val="nil"/>
              <w:bottom w:val="single" w:sz="4" w:space="0" w:color="auto"/>
              <w:right w:val="single" w:sz="4" w:space="0" w:color="auto"/>
            </w:tcBorders>
            <w:shd w:val="clear" w:color="000000" w:fill="FFFFFF"/>
            <w:noWrap/>
            <w:vAlign w:val="bottom"/>
          </w:tcPr>
          <w:p w:rsidR="00C00588" w:rsidRDefault="00C00588" w:rsidP="00C00588">
            <w:pPr>
              <w:rPr>
                <w:sz w:val="22"/>
                <w:szCs w:val="22"/>
              </w:rPr>
            </w:pPr>
          </w:p>
        </w:tc>
      </w:tr>
    </w:tbl>
    <w:p w:rsidR="00C00588" w:rsidRDefault="00C00588" w:rsidP="00C00588">
      <w:pPr>
        <w:pStyle w:val="BodyText"/>
      </w:pPr>
    </w:p>
    <w:p w:rsidR="00C00588" w:rsidRDefault="00C00588" w:rsidP="00C00588"/>
    <w:p w:rsidR="00C00588" w:rsidRDefault="00C00588" w:rsidP="00C00588">
      <w:pPr>
        <w:sectPr w:rsidR="00C00588" w:rsidSect="00C00588">
          <w:headerReference w:type="default" r:id="rId17"/>
          <w:footerReference w:type="default" r:id="rId18"/>
          <w:pgSz w:w="15840" w:h="12240" w:orient="landscape" w:code="1"/>
          <w:pgMar w:top="1440" w:right="1584" w:bottom="1440" w:left="1440" w:header="720" w:footer="720" w:gutter="0"/>
          <w:cols w:space="720"/>
          <w:formProt w:val="0"/>
          <w:docGrid w:linePitch="360"/>
        </w:sectPr>
      </w:pPr>
    </w:p>
    <w:p w:rsidR="00C00588" w:rsidRDefault="00C00588" w:rsidP="00C00588"/>
    <w:tbl>
      <w:tblPr>
        <w:tblW w:w="11160" w:type="dxa"/>
        <w:jc w:val="center"/>
        <w:tblLook w:val="04A0" w:firstRow="1" w:lastRow="0" w:firstColumn="1" w:lastColumn="0" w:noHBand="0" w:noVBand="1"/>
      </w:tblPr>
      <w:tblGrid>
        <w:gridCol w:w="456"/>
        <w:gridCol w:w="2970"/>
        <w:gridCol w:w="1416"/>
        <w:gridCol w:w="1394"/>
        <w:gridCol w:w="1530"/>
        <w:gridCol w:w="1440"/>
        <w:gridCol w:w="1620"/>
        <w:gridCol w:w="334"/>
      </w:tblGrid>
      <w:tr w:rsidR="00C00588" w:rsidRPr="00A05888" w:rsidTr="00A93F3A">
        <w:trPr>
          <w:trHeight w:val="300"/>
          <w:jc w:val="center"/>
        </w:trPr>
        <w:tc>
          <w:tcPr>
            <w:tcW w:w="3426" w:type="dxa"/>
            <w:gridSpan w:val="2"/>
            <w:tcBorders>
              <w:top w:val="single" w:sz="4" w:space="0" w:color="auto"/>
              <w:left w:val="single" w:sz="4" w:space="0" w:color="auto"/>
              <w:bottom w:val="nil"/>
              <w:right w:val="nil"/>
            </w:tcBorders>
            <w:shd w:val="clear" w:color="000000" w:fill="FFFFFF"/>
            <w:noWrap/>
            <w:vAlign w:val="bottom"/>
            <w:hideMark/>
          </w:tcPr>
          <w:p w:rsidR="00C00588" w:rsidRPr="00A05888" w:rsidRDefault="00C00588" w:rsidP="00C00588">
            <w:pPr>
              <w:rPr>
                <w:rFonts w:ascii="Arial" w:hAnsi="Arial" w:cs="Arial"/>
                <w:b/>
                <w:bCs/>
              </w:rPr>
            </w:pPr>
            <w:bookmarkStart w:id="21" w:name="RANGE!A5:I32"/>
            <w:r w:rsidRPr="00A05888">
              <w:rPr>
                <w:rFonts w:ascii="Arial" w:hAnsi="Arial" w:cs="Arial"/>
                <w:b/>
                <w:bCs/>
              </w:rPr>
              <w:t>Gibson Place Utilities, LLC</w:t>
            </w:r>
            <w:bookmarkEnd w:id="21"/>
          </w:p>
        </w:tc>
        <w:tc>
          <w:tcPr>
            <w:tcW w:w="1416" w:type="dxa"/>
            <w:tcBorders>
              <w:top w:val="single" w:sz="4" w:space="0" w:color="auto"/>
              <w:left w:val="nil"/>
              <w:bottom w:val="nil"/>
              <w:right w:val="nil"/>
            </w:tcBorders>
            <w:shd w:val="clear" w:color="000000" w:fill="FFFFFF"/>
            <w:noWrap/>
            <w:vAlign w:val="bottom"/>
            <w:hideMark/>
          </w:tcPr>
          <w:p w:rsidR="00C00588" w:rsidRPr="00A05888" w:rsidRDefault="00C00588" w:rsidP="00C00588">
            <w:pPr>
              <w:rPr>
                <w:rFonts w:ascii="SWISS" w:hAnsi="SWISS" w:cs="Arial"/>
                <w:b/>
                <w:bCs/>
              </w:rPr>
            </w:pPr>
            <w:r w:rsidRPr="00A05888">
              <w:rPr>
                <w:rFonts w:ascii="SWISS" w:hAnsi="SWISS" w:cs="Arial"/>
                <w:b/>
                <w:bCs/>
              </w:rPr>
              <w:t> </w:t>
            </w:r>
          </w:p>
        </w:tc>
        <w:tc>
          <w:tcPr>
            <w:tcW w:w="1394" w:type="dxa"/>
            <w:tcBorders>
              <w:top w:val="single" w:sz="4" w:space="0" w:color="auto"/>
              <w:left w:val="nil"/>
              <w:bottom w:val="nil"/>
              <w:right w:val="nil"/>
            </w:tcBorders>
            <w:shd w:val="clear" w:color="000000" w:fill="FFFFFF"/>
            <w:noWrap/>
            <w:vAlign w:val="bottom"/>
            <w:hideMark/>
          </w:tcPr>
          <w:p w:rsidR="00C00588" w:rsidRPr="00A05888" w:rsidRDefault="00C00588" w:rsidP="00C00588">
            <w:pPr>
              <w:rPr>
                <w:rFonts w:ascii="SWISS" w:hAnsi="SWISS" w:cs="Arial"/>
                <w:b/>
                <w:bCs/>
              </w:rPr>
            </w:pPr>
            <w:r w:rsidRPr="00A05888">
              <w:rPr>
                <w:rFonts w:ascii="SWISS" w:hAnsi="SWISS" w:cs="Arial"/>
                <w:b/>
                <w:bCs/>
              </w:rPr>
              <w:t> </w:t>
            </w:r>
          </w:p>
        </w:tc>
        <w:tc>
          <w:tcPr>
            <w:tcW w:w="1530" w:type="dxa"/>
            <w:tcBorders>
              <w:top w:val="single" w:sz="4" w:space="0" w:color="auto"/>
              <w:left w:val="nil"/>
              <w:bottom w:val="nil"/>
              <w:right w:val="nil"/>
            </w:tcBorders>
            <w:shd w:val="clear" w:color="000000" w:fill="FFFFFF"/>
            <w:noWrap/>
            <w:vAlign w:val="bottom"/>
            <w:hideMark/>
          </w:tcPr>
          <w:p w:rsidR="00C00588" w:rsidRPr="00A05888" w:rsidRDefault="00C00588" w:rsidP="00C00588">
            <w:pPr>
              <w:rPr>
                <w:rFonts w:ascii="SWISS" w:hAnsi="SWISS" w:cs="Arial"/>
                <w:b/>
                <w:bCs/>
              </w:rPr>
            </w:pPr>
            <w:r w:rsidRPr="00A05888">
              <w:rPr>
                <w:rFonts w:ascii="SWISS" w:hAnsi="SWISS" w:cs="Arial"/>
                <w:b/>
                <w:bCs/>
              </w:rPr>
              <w:t> </w:t>
            </w:r>
          </w:p>
        </w:tc>
        <w:tc>
          <w:tcPr>
            <w:tcW w:w="3394" w:type="dxa"/>
            <w:gridSpan w:val="3"/>
            <w:tcBorders>
              <w:top w:val="single" w:sz="4" w:space="0" w:color="auto"/>
              <w:left w:val="nil"/>
              <w:bottom w:val="nil"/>
              <w:right w:val="single" w:sz="4" w:space="0" w:color="000000"/>
            </w:tcBorders>
            <w:shd w:val="clear" w:color="000000" w:fill="FFFFFF"/>
            <w:noWrap/>
            <w:vAlign w:val="bottom"/>
            <w:hideMark/>
          </w:tcPr>
          <w:p w:rsidR="00C00588" w:rsidRPr="00A05888" w:rsidRDefault="00C00588" w:rsidP="00C00588">
            <w:pPr>
              <w:jc w:val="right"/>
              <w:rPr>
                <w:rFonts w:ascii="Arial" w:hAnsi="Arial" w:cs="Arial"/>
                <w:b/>
                <w:bCs/>
              </w:rPr>
            </w:pPr>
            <w:r w:rsidRPr="00A05888">
              <w:rPr>
                <w:rFonts w:ascii="Arial" w:hAnsi="Arial" w:cs="Arial"/>
                <w:b/>
                <w:bCs/>
              </w:rPr>
              <w:t>Schedule No. 3-A</w:t>
            </w:r>
          </w:p>
        </w:tc>
      </w:tr>
      <w:tr w:rsidR="00C00588" w:rsidRPr="00A05888" w:rsidTr="00A93F3A">
        <w:trPr>
          <w:trHeight w:val="300"/>
          <w:jc w:val="center"/>
        </w:trPr>
        <w:tc>
          <w:tcPr>
            <w:tcW w:w="6236" w:type="dxa"/>
            <w:gridSpan w:val="4"/>
            <w:tcBorders>
              <w:top w:val="nil"/>
              <w:left w:val="single" w:sz="4" w:space="0" w:color="auto"/>
              <w:bottom w:val="nil"/>
              <w:right w:val="nil"/>
            </w:tcBorders>
            <w:shd w:val="clear" w:color="000000" w:fill="FFFFFF"/>
            <w:noWrap/>
            <w:vAlign w:val="bottom"/>
            <w:hideMark/>
          </w:tcPr>
          <w:p w:rsidR="00C00588" w:rsidRPr="00A05888" w:rsidRDefault="00C00588" w:rsidP="00C00588">
            <w:pPr>
              <w:rPr>
                <w:rFonts w:ascii="Arial" w:hAnsi="Arial" w:cs="Arial"/>
                <w:b/>
                <w:bCs/>
              </w:rPr>
            </w:pPr>
            <w:r w:rsidRPr="00A05888">
              <w:rPr>
                <w:rFonts w:ascii="Arial" w:hAnsi="Arial" w:cs="Arial"/>
                <w:b/>
                <w:bCs/>
              </w:rPr>
              <w:t>Statement of Water Operations</w:t>
            </w:r>
          </w:p>
        </w:tc>
        <w:tc>
          <w:tcPr>
            <w:tcW w:w="1530" w:type="dxa"/>
            <w:tcBorders>
              <w:top w:val="nil"/>
              <w:left w:val="nil"/>
              <w:bottom w:val="nil"/>
              <w:right w:val="nil"/>
            </w:tcBorders>
            <w:shd w:val="clear" w:color="000000" w:fill="FFFFFF"/>
            <w:noWrap/>
            <w:vAlign w:val="bottom"/>
            <w:hideMark/>
          </w:tcPr>
          <w:p w:rsidR="00C00588" w:rsidRPr="00A05888" w:rsidRDefault="00C00588" w:rsidP="00C00588">
            <w:pPr>
              <w:rPr>
                <w:rFonts w:ascii="SWISS" w:hAnsi="SWISS" w:cs="Arial"/>
                <w:b/>
                <w:bCs/>
              </w:rPr>
            </w:pPr>
            <w:r w:rsidRPr="00A05888">
              <w:rPr>
                <w:rFonts w:ascii="SWISS" w:hAnsi="SWISS" w:cs="Arial"/>
                <w:b/>
                <w:bCs/>
              </w:rPr>
              <w:t> </w:t>
            </w:r>
          </w:p>
        </w:tc>
        <w:tc>
          <w:tcPr>
            <w:tcW w:w="3394" w:type="dxa"/>
            <w:gridSpan w:val="3"/>
            <w:tcBorders>
              <w:top w:val="nil"/>
              <w:left w:val="nil"/>
              <w:bottom w:val="nil"/>
              <w:right w:val="single" w:sz="4" w:space="0" w:color="000000"/>
            </w:tcBorders>
            <w:shd w:val="clear" w:color="000000" w:fill="FFFFFF"/>
            <w:noWrap/>
            <w:vAlign w:val="bottom"/>
            <w:hideMark/>
          </w:tcPr>
          <w:p w:rsidR="00C00588" w:rsidRPr="00A05888" w:rsidRDefault="00C00588" w:rsidP="00C00588">
            <w:pPr>
              <w:jc w:val="right"/>
              <w:rPr>
                <w:rFonts w:ascii="Arial" w:hAnsi="Arial" w:cs="Arial"/>
                <w:b/>
                <w:bCs/>
              </w:rPr>
            </w:pPr>
            <w:r w:rsidRPr="00A05888">
              <w:rPr>
                <w:rFonts w:ascii="Arial" w:hAnsi="Arial" w:cs="Arial"/>
                <w:b/>
                <w:bCs/>
              </w:rPr>
              <w:t>20200185-WS</w:t>
            </w:r>
          </w:p>
        </w:tc>
      </w:tr>
      <w:tr w:rsidR="00C00588" w:rsidRPr="00A05888" w:rsidTr="00A93F3A">
        <w:trPr>
          <w:trHeight w:val="300"/>
          <w:jc w:val="center"/>
        </w:trPr>
        <w:tc>
          <w:tcPr>
            <w:tcW w:w="3426" w:type="dxa"/>
            <w:gridSpan w:val="2"/>
            <w:tcBorders>
              <w:top w:val="nil"/>
              <w:left w:val="single" w:sz="4" w:space="0" w:color="auto"/>
              <w:bottom w:val="single" w:sz="4" w:space="0" w:color="auto"/>
              <w:right w:val="nil"/>
            </w:tcBorders>
            <w:shd w:val="clear" w:color="auto" w:fill="auto"/>
            <w:noWrap/>
            <w:vAlign w:val="bottom"/>
            <w:hideMark/>
          </w:tcPr>
          <w:p w:rsidR="00C00588" w:rsidRPr="00A05888" w:rsidRDefault="00C00588" w:rsidP="00C00588">
            <w:pPr>
              <w:rPr>
                <w:rFonts w:ascii="Arial" w:hAnsi="Arial" w:cs="Arial"/>
                <w:b/>
                <w:bCs/>
              </w:rPr>
            </w:pPr>
            <w:r w:rsidRPr="00A05888">
              <w:rPr>
                <w:rFonts w:ascii="Arial" w:hAnsi="Arial" w:cs="Arial"/>
                <w:b/>
                <w:bCs/>
              </w:rPr>
              <w:t>80% of Design Capacity</w:t>
            </w:r>
          </w:p>
        </w:tc>
        <w:tc>
          <w:tcPr>
            <w:tcW w:w="1416" w:type="dxa"/>
            <w:tcBorders>
              <w:top w:val="nil"/>
              <w:left w:val="nil"/>
              <w:bottom w:val="single" w:sz="4" w:space="0" w:color="auto"/>
              <w:right w:val="nil"/>
            </w:tcBorders>
            <w:shd w:val="clear" w:color="000000" w:fill="FFFFFF"/>
            <w:noWrap/>
            <w:vAlign w:val="bottom"/>
            <w:hideMark/>
          </w:tcPr>
          <w:p w:rsidR="00C00588" w:rsidRPr="00A05888" w:rsidRDefault="00C00588" w:rsidP="00C00588">
            <w:pPr>
              <w:rPr>
                <w:rFonts w:ascii="SWISS" w:hAnsi="SWISS" w:cs="Arial"/>
                <w:b/>
                <w:bCs/>
              </w:rPr>
            </w:pPr>
            <w:r w:rsidRPr="00A05888">
              <w:rPr>
                <w:rFonts w:ascii="SWISS" w:hAnsi="SWISS" w:cs="Arial"/>
                <w:b/>
                <w:bCs/>
              </w:rPr>
              <w:t> </w:t>
            </w:r>
          </w:p>
        </w:tc>
        <w:tc>
          <w:tcPr>
            <w:tcW w:w="1394" w:type="dxa"/>
            <w:tcBorders>
              <w:top w:val="nil"/>
              <w:left w:val="nil"/>
              <w:bottom w:val="single" w:sz="4" w:space="0" w:color="auto"/>
              <w:right w:val="nil"/>
            </w:tcBorders>
            <w:shd w:val="clear" w:color="000000" w:fill="FFFFFF"/>
            <w:noWrap/>
            <w:vAlign w:val="bottom"/>
            <w:hideMark/>
          </w:tcPr>
          <w:p w:rsidR="00C00588" w:rsidRPr="00A05888" w:rsidRDefault="00C00588" w:rsidP="00C00588">
            <w:pPr>
              <w:rPr>
                <w:rFonts w:ascii="SWISS" w:hAnsi="SWISS" w:cs="Arial"/>
                <w:b/>
                <w:bCs/>
              </w:rPr>
            </w:pPr>
            <w:r w:rsidRPr="00A05888">
              <w:rPr>
                <w:rFonts w:ascii="SWISS" w:hAnsi="SWISS" w:cs="Arial"/>
                <w:b/>
                <w:bCs/>
              </w:rPr>
              <w:t> </w:t>
            </w:r>
          </w:p>
        </w:tc>
        <w:tc>
          <w:tcPr>
            <w:tcW w:w="1530" w:type="dxa"/>
            <w:tcBorders>
              <w:top w:val="nil"/>
              <w:left w:val="nil"/>
              <w:bottom w:val="single" w:sz="4" w:space="0" w:color="auto"/>
              <w:right w:val="nil"/>
            </w:tcBorders>
            <w:shd w:val="clear" w:color="000000" w:fill="FFFFFF"/>
            <w:noWrap/>
            <w:vAlign w:val="bottom"/>
            <w:hideMark/>
          </w:tcPr>
          <w:p w:rsidR="00C00588" w:rsidRPr="00A05888" w:rsidRDefault="00C00588" w:rsidP="00C00588">
            <w:pPr>
              <w:rPr>
                <w:rFonts w:ascii="SWISS" w:hAnsi="SWISS" w:cs="Arial"/>
                <w:b/>
                <w:bCs/>
              </w:rPr>
            </w:pPr>
            <w:r w:rsidRPr="00A05888">
              <w:rPr>
                <w:rFonts w:ascii="SWISS" w:hAnsi="SWISS" w:cs="Arial"/>
                <w:b/>
                <w:bCs/>
              </w:rPr>
              <w:t> </w:t>
            </w:r>
          </w:p>
        </w:tc>
        <w:tc>
          <w:tcPr>
            <w:tcW w:w="1440" w:type="dxa"/>
            <w:tcBorders>
              <w:top w:val="nil"/>
              <w:left w:val="nil"/>
              <w:bottom w:val="single" w:sz="4" w:space="0" w:color="auto"/>
              <w:right w:val="nil"/>
            </w:tcBorders>
            <w:shd w:val="clear" w:color="000000" w:fill="FFFFFF"/>
            <w:noWrap/>
            <w:vAlign w:val="bottom"/>
            <w:hideMark/>
          </w:tcPr>
          <w:p w:rsidR="00C00588" w:rsidRPr="00A05888" w:rsidRDefault="00C00588" w:rsidP="00C00588">
            <w:pPr>
              <w:rPr>
                <w:rFonts w:ascii="SWISS" w:hAnsi="SWISS" w:cs="Arial"/>
                <w:b/>
                <w:bCs/>
              </w:rPr>
            </w:pPr>
            <w:r w:rsidRPr="00A05888">
              <w:rPr>
                <w:rFonts w:ascii="SWISS" w:hAnsi="SWISS" w:cs="Arial"/>
                <w:b/>
                <w:bCs/>
              </w:rPr>
              <w:t> </w:t>
            </w:r>
          </w:p>
        </w:tc>
        <w:tc>
          <w:tcPr>
            <w:tcW w:w="1620" w:type="dxa"/>
            <w:tcBorders>
              <w:top w:val="nil"/>
              <w:left w:val="nil"/>
              <w:bottom w:val="single" w:sz="4" w:space="0" w:color="auto"/>
              <w:right w:val="nil"/>
            </w:tcBorders>
            <w:shd w:val="clear" w:color="000000" w:fill="FFFFFF"/>
            <w:noWrap/>
            <w:vAlign w:val="bottom"/>
            <w:hideMark/>
          </w:tcPr>
          <w:p w:rsidR="00C00588" w:rsidRPr="00A05888" w:rsidRDefault="00C00588" w:rsidP="00C00588">
            <w:pPr>
              <w:rPr>
                <w:rFonts w:ascii="SWISS" w:hAnsi="SWISS" w:cs="Arial"/>
                <w:b/>
                <w:bCs/>
              </w:rPr>
            </w:pPr>
            <w:r w:rsidRPr="00A05888">
              <w:rPr>
                <w:rFonts w:ascii="SWISS" w:hAnsi="SWISS" w:cs="Arial"/>
                <w:b/>
                <w:bCs/>
              </w:rPr>
              <w:t> </w:t>
            </w:r>
          </w:p>
        </w:tc>
        <w:tc>
          <w:tcPr>
            <w:tcW w:w="334" w:type="dxa"/>
            <w:tcBorders>
              <w:top w:val="nil"/>
              <w:left w:val="nil"/>
              <w:bottom w:val="single" w:sz="4" w:space="0" w:color="auto"/>
              <w:right w:val="single" w:sz="4" w:space="0" w:color="auto"/>
            </w:tcBorders>
            <w:shd w:val="clear" w:color="000000" w:fill="FFFFFF"/>
            <w:noWrap/>
            <w:vAlign w:val="bottom"/>
            <w:hideMark/>
          </w:tcPr>
          <w:p w:rsidR="00C00588" w:rsidRPr="00A05888" w:rsidRDefault="00C00588" w:rsidP="00C00588">
            <w:pPr>
              <w:rPr>
                <w:rFonts w:ascii="SWISS" w:hAnsi="SWISS" w:cs="Arial"/>
                <w:b/>
                <w:bCs/>
              </w:rPr>
            </w:pPr>
            <w:r w:rsidRPr="00A05888">
              <w:rPr>
                <w:rFonts w:ascii="SWISS" w:hAnsi="SWISS" w:cs="Arial"/>
                <w:b/>
                <w:bCs/>
              </w:rPr>
              <w:t> </w:t>
            </w:r>
          </w:p>
        </w:tc>
      </w:tr>
      <w:tr w:rsidR="00C00588" w:rsidRPr="00A05888" w:rsidTr="00A93F3A">
        <w:trPr>
          <w:trHeight w:val="300"/>
          <w:jc w:val="center"/>
        </w:trPr>
        <w:tc>
          <w:tcPr>
            <w:tcW w:w="456" w:type="dxa"/>
            <w:tcBorders>
              <w:top w:val="nil"/>
              <w:left w:val="single" w:sz="4" w:space="0" w:color="auto"/>
              <w:bottom w:val="nil"/>
              <w:right w:val="nil"/>
            </w:tcBorders>
            <w:shd w:val="clear" w:color="auto" w:fill="auto"/>
            <w:noWrap/>
            <w:vAlign w:val="bottom"/>
            <w:hideMark/>
          </w:tcPr>
          <w:p w:rsidR="00C00588" w:rsidRPr="00A05888" w:rsidRDefault="00C00588" w:rsidP="00C00588">
            <w:pPr>
              <w:rPr>
                <w:b/>
                <w:bCs/>
              </w:rPr>
            </w:pPr>
            <w:r w:rsidRPr="00A05888">
              <w:rPr>
                <w:b/>
                <w:bCs/>
              </w:rPr>
              <w:t> </w:t>
            </w:r>
          </w:p>
        </w:tc>
        <w:tc>
          <w:tcPr>
            <w:tcW w:w="2970" w:type="dxa"/>
            <w:vMerge w:val="restart"/>
            <w:tcBorders>
              <w:top w:val="nil"/>
              <w:left w:val="nil"/>
              <w:bottom w:val="nil"/>
              <w:right w:val="nil"/>
            </w:tcBorders>
            <w:shd w:val="clear" w:color="auto" w:fill="auto"/>
            <w:vAlign w:val="center"/>
            <w:hideMark/>
          </w:tcPr>
          <w:p w:rsidR="00C00588" w:rsidRPr="00A05888" w:rsidRDefault="00C00588" w:rsidP="00C00588">
            <w:pPr>
              <w:jc w:val="center"/>
              <w:rPr>
                <w:b/>
                <w:bCs/>
              </w:rPr>
            </w:pPr>
            <w:r w:rsidRPr="00A05888">
              <w:rPr>
                <w:b/>
                <w:bCs/>
              </w:rPr>
              <w:t>Description</w:t>
            </w:r>
          </w:p>
        </w:tc>
        <w:tc>
          <w:tcPr>
            <w:tcW w:w="1416" w:type="dxa"/>
            <w:vMerge w:val="restart"/>
            <w:tcBorders>
              <w:top w:val="nil"/>
              <w:left w:val="nil"/>
              <w:bottom w:val="nil"/>
              <w:right w:val="nil"/>
            </w:tcBorders>
            <w:shd w:val="clear" w:color="auto" w:fill="auto"/>
            <w:vAlign w:val="center"/>
            <w:hideMark/>
          </w:tcPr>
          <w:p w:rsidR="00C00588" w:rsidRPr="00A05888" w:rsidRDefault="00C00588" w:rsidP="00C00588">
            <w:pPr>
              <w:jc w:val="center"/>
              <w:rPr>
                <w:b/>
                <w:bCs/>
              </w:rPr>
            </w:pPr>
            <w:r w:rsidRPr="00A05888">
              <w:rPr>
                <w:b/>
                <w:bCs/>
              </w:rPr>
              <w:t>Test Year      Per Utility</w:t>
            </w:r>
          </w:p>
        </w:tc>
        <w:tc>
          <w:tcPr>
            <w:tcW w:w="1394" w:type="dxa"/>
            <w:vMerge w:val="restart"/>
            <w:tcBorders>
              <w:top w:val="nil"/>
              <w:left w:val="nil"/>
              <w:bottom w:val="nil"/>
              <w:right w:val="nil"/>
            </w:tcBorders>
            <w:shd w:val="clear" w:color="auto" w:fill="auto"/>
            <w:vAlign w:val="center"/>
            <w:hideMark/>
          </w:tcPr>
          <w:p w:rsidR="00C00588" w:rsidRPr="00A05888" w:rsidRDefault="00C00588" w:rsidP="00C00588">
            <w:pPr>
              <w:jc w:val="center"/>
              <w:rPr>
                <w:b/>
                <w:bCs/>
              </w:rPr>
            </w:pPr>
            <w:r w:rsidRPr="00A05888">
              <w:rPr>
                <w:b/>
                <w:bCs/>
              </w:rPr>
              <w:t xml:space="preserve">Staff      Adjust-    </w:t>
            </w:r>
            <w:proofErr w:type="spellStart"/>
            <w:r w:rsidRPr="00A05888">
              <w:rPr>
                <w:b/>
                <w:bCs/>
              </w:rPr>
              <w:t>ments</w:t>
            </w:r>
            <w:proofErr w:type="spellEnd"/>
          </w:p>
        </w:tc>
        <w:tc>
          <w:tcPr>
            <w:tcW w:w="1530" w:type="dxa"/>
            <w:vMerge w:val="restart"/>
            <w:tcBorders>
              <w:top w:val="nil"/>
              <w:left w:val="nil"/>
              <w:bottom w:val="nil"/>
              <w:right w:val="nil"/>
            </w:tcBorders>
            <w:shd w:val="clear" w:color="auto" w:fill="auto"/>
            <w:vAlign w:val="center"/>
            <w:hideMark/>
          </w:tcPr>
          <w:p w:rsidR="00C00588" w:rsidRPr="00A05888" w:rsidRDefault="00C00588" w:rsidP="00A93F3A">
            <w:pPr>
              <w:jc w:val="center"/>
              <w:rPr>
                <w:b/>
                <w:bCs/>
              </w:rPr>
            </w:pPr>
            <w:r w:rsidRPr="00A05888">
              <w:rPr>
                <w:b/>
                <w:bCs/>
              </w:rPr>
              <w:t>Staff  Adjusted  Test Year</w:t>
            </w:r>
          </w:p>
        </w:tc>
        <w:tc>
          <w:tcPr>
            <w:tcW w:w="1440" w:type="dxa"/>
            <w:vMerge w:val="restart"/>
            <w:tcBorders>
              <w:top w:val="nil"/>
              <w:left w:val="nil"/>
              <w:bottom w:val="nil"/>
              <w:right w:val="nil"/>
            </w:tcBorders>
            <w:shd w:val="clear" w:color="auto" w:fill="auto"/>
            <w:vAlign w:val="center"/>
            <w:hideMark/>
          </w:tcPr>
          <w:p w:rsidR="00C00588" w:rsidRPr="00A05888" w:rsidRDefault="00C00588" w:rsidP="00C00588">
            <w:pPr>
              <w:jc w:val="center"/>
              <w:rPr>
                <w:b/>
                <w:bCs/>
              </w:rPr>
            </w:pPr>
            <w:r w:rsidRPr="00A05888">
              <w:rPr>
                <w:b/>
                <w:bCs/>
              </w:rPr>
              <w:t>Revenue Increase</w:t>
            </w:r>
          </w:p>
        </w:tc>
        <w:tc>
          <w:tcPr>
            <w:tcW w:w="1620" w:type="dxa"/>
            <w:vMerge w:val="restart"/>
            <w:tcBorders>
              <w:top w:val="nil"/>
              <w:left w:val="nil"/>
              <w:bottom w:val="nil"/>
              <w:right w:val="nil"/>
            </w:tcBorders>
            <w:shd w:val="clear" w:color="auto" w:fill="auto"/>
            <w:vAlign w:val="center"/>
            <w:hideMark/>
          </w:tcPr>
          <w:p w:rsidR="00C00588" w:rsidRPr="00A05888" w:rsidRDefault="00C00588" w:rsidP="00C00588">
            <w:pPr>
              <w:jc w:val="center"/>
              <w:rPr>
                <w:b/>
                <w:bCs/>
              </w:rPr>
            </w:pPr>
            <w:r w:rsidRPr="00A05888">
              <w:rPr>
                <w:b/>
                <w:bCs/>
              </w:rPr>
              <w:t>Revenue Requirement</w:t>
            </w:r>
          </w:p>
        </w:tc>
        <w:tc>
          <w:tcPr>
            <w:tcW w:w="334" w:type="dxa"/>
            <w:tcBorders>
              <w:top w:val="nil"/>
              <w:left w:val="nil"/>
              <w:bottom w:val="nil"/>
              <w:right w:val="single" w:sz="4" w:space="0" w:color="auto"/>
            </w:tcBorders>
            <w:shd w:val="clear" w:color="auto" w:fill="auto"/>
            <w:noWrap/>
            <w:vAlign w:val="bottom"/>
            <w:hideMark/>
          </w:tcPr>
          <w:p w:rsidR="00C00588" w:rsidRPr="00A05888" w:rsidRDefault="00C00588" w:rsidP="00C00588">
            <w:pPr>
              <w:rPr>
                <w:b/>
                <w:bCs/>
              </w:rPr>
            </w:pPr>
            <w:r w:rsidRPr="00A05888">
              <w:rPr>
                <w:b/>
                <w:bCs/>
              </w:rPr>
              <w:t> </w:t>
            </w:r>
          </w:p>
        </w:tc>
      </w:tr>
      <w:tr w:rsidR="00C00588" w:rsidRPr="00A05888" w:rsidTr="00A93F3A">
        <w:trPr>
          <w:trHeight w:val="300"/>
          <w:jc w:val="center"/>
        </w:trPr>
        <w:tc>
          <w:tcPr>
            <w:tcW w:w="456" w:type="dxa"/>
            <w:tcBorders>
              <w:top w:val="nil"/>
              <w:left w:val="single" w:sz="4" w:space="0" w:color="auto"/>
              <w:bottom w:val="nil"/>
              <w:right w:val="nil"/>
            </w:tcBorders>
            <w:shd w:val="clear" w:color="auto" w:fill="auto"/>
            <w:noWrap/>
            <w:vAlign w:val="bottom"/>
            <w:hideMark/>
          </w:tcPr>
          <w:p w:rsidR="00C00588" w:rsidRPr="00A05888" w:rsidRDefault="00C00588" w:rsidP="00C00588">
            <w:pPr>
              <w:rPr>
                <w:b/>
                <w:bCs/>
              </w:rPr>
            </w:pPr>
            <w:r w:rsidRPr="00A05888">
              <w:rPr>
                <w:b/>
                <w:bCs/>
              </w:rPr>
              <w:t> </w:t>
            </w:r>
          </w:p>
        </w:tc>
        <w:tc>
          <w:tcPr>
            <w:tcW w:w="2970" w:type="dxa"/>
            <w:vMerge/>
            <w:tcBorders>
              <w:top w:val="nil"/>
              <w:left w:val="nil"/>
              <w:bottom w:val="nil"/>
              <w:right w:val="nil"/>
            </w:tcBorders>
            <w:vAlign w:val="center"/>
            <w:hideMark/>
          </w:tcPr>
          <w:p w:rsidR="00C00588" w:rsidRPr="00A05888" w:rsidRDefault="00C00588" w:rsidP="00C00588">
            <w:pPr>
              <w:rPr>
                <w:b/>
                <w:bCs/>
              </w:rPr>
            </w:pPr>
          </w:p>
        </w:tc>
        <w:tc>
          <w:tcPr>
            <w:tcW w:w="1416" w:type="dxa"/>
            <w:vMerge/>
            <w:tcBorders>
              <w:top w:val="nil"/>
              <w:left w:val="nil"/>
              <w:bottom w:val="nil"/>
              <w:right w:val="nil"/>
            </w:tcBorders>
            <w:vAlign w:val="center"/>
            <w:hideMark/>
          </w:tcPr>
          <w:p w:rsidR="00C00588" w:rsidRPr="00A05888" w:rsidRDefault="00C00588" w:rsidP="00C00588">
            <w:pPr>
              <w:rPr>
                <w:b/>
                <w:bCs/>
              </w:rPr>
            </w:pPr>
          </w:p>
        </w:tc>
        <w:tc>
          <w:tcPr>
            <w:tcW w:w="1394" w:type="dxa"/>
            <w:vMerge/>
            <w:tcBorders>
              <w:top w:val="nil"/>
              <w:left w:val="nil"/>
              <w:bottom w:val="nil"/>
              <w:right w:val="nil"/>
            </w:tcBorders>
            <w:vAlign w:val="center"/>
            <w:hideMark/>
          </w:tcPr>
          <w:p w:rsidR="00C00588" w:rsidRPr="00A05888" w:rsidRDefault="00C00588" w:rsidP="00C00588">
            <w:pPr>
              <w:rPr>
                <w:b/>
                <w:bCs/>
              </w:rPr>
            </w:pPr>
          </w:p>
        </w:tc>
        <w:tc>
          <w:tcPr>
            <w:tcW w:w="1530" w:type="dxa"/>
            <w:vMerge/>
            <w:tcBorders>
              <w:top w:val="nil"/>
              <w:left w:val="nil"/>
              <w:bottom w:val="nil"/>
              <w:right w:val="nil"/>
            </w:tcBorders>
            <w:vAlign w:val="center"/>
            <w:hideMark/>
          </w:tcPr>
          <w:p w:rsidR="00C00588" w:rsidRPr="00A05888" w:rsidRDefault="00C00588" w:rsidP="00C00588">
            <w:pPr>
              <w:rPr>
                <w:b/>
                <w:bCs/>
              </w:rPr>
            </w:pPr>
          </w:p>
        </w:tc>
        <w:tc>
          <w:tcPr>
            <w:tcW w:w="1440" w:type="dxa"/>
            <w:vMerge/>
            <w:tcBorders>
              <w:top w:val="nil"/>
              <w:left w:val="nil"/>
              <w:bottom w:val="nil"/>
              <w:right w:val="nil"/>
            </w:tcBorders>
            <w:vAlign w:val="center"/>
            <w:hideMark/>
          </w:tcPr>
          <w:p w:rsidR="00C00588" w:rsidRPr="00A05888" w:rsidRDefault="00C00588" w:rsidP="00C00588">
            <w:pPr>
              <w:rPr>
                <w:b/>
                <w:bCs/>
              </w:rPr>
            </w:pPr>
          </w:p>
        </w:tc>
        <w:tc>
          <w:tcPr>
            <w:tcW w:w="1620" w:type="dxa"/>
            <w:vMerge/>
            <w:tcBorders>
              <w:top w:val="nil"/>
              <w:left w:val="nil"/>
              <w:bottom w:val="nil"/>
              <w:right w:val="nil"/>
            </w:tcBorders>
            <w:vAlign w:val="center"/>
            <w:hideMark/>
          </w:tcPr>
          <w:p w:rsidR="00C00588" w:rsidRPr="00A05888" w:rsidRDefault="00C00588" w:rsidP="00C00588">
            <w:pPr>
              <w:rPr>
                <w:b/>
                <w:bCs/>
              </w:rPr>
            </w:pPr>
          </w:p>
        </w:tc>
        <w:tc>
          <w:tcPr>
            <w:tcW w:w="334" w:type="dxa"/>
            <w:tcBorders>
              <w:top w:val="nil"/>
              <w:left w:val="nil"/>
              <w:bottom w:val="nil"/>
              <w:right w:val="single" w:sz="4" w:space="0" w:color="auto"/>
            </w:tcBorders>
            <w:shd w:val="clear" w:color="auto" w:fill="auto"/>
            <w:noWrap/>
            <w:vAlign w:val="bottom"/>
            <w:hideMark/>
          </w:tcPr>
          <w:p w:rsidR="00C00588" w:rsidRPr="00A05888" w:rsidRDefault="00C00588" w:rsidP="00C00588">
            <w:pPr>
              <w:jc w:val="center"/>
              <w:rPr>
                <w:b/>
                <w:bCs/>
              </w:rPr>
            </w:pPr>
            <w:r w:rsidRPr="00A05888">
              <w:rPr>
                <w:b/>
                <w:bCs/>
              </w:rPr>
              <w:t> </w:t>
            </w:r>
          </w:p>
        </w:tc>
      </w:tr>
      <w:tr w:rsidR="00C00588" w:rsidRPr="00A05888" w:rsidTr="00A93F3A">
        <w:trPr>
          <w:trHeight w:val="300"/>
          <w:jc w:val="center"/>
        </w:trPr>
        <w:tc>
          <w:tcPr>
            <w:tcW w:w="456" w:type="dxa"/>
            <w:tcBorders>
              <w:top w:val="nil"/>
              <w:left w:val="single" w:sz="4" w:space="0" w:color="auto"/>
              <w:bottom w:val="nil"/>
              <w:right w:val="nil"/>
            </w:tcBorders>
            <w:shd w:val="clear" w:color="auto" w:fill="auto"/>
            <w:noWrap/>
            <w:vAlign w:val="bottom"/>
            <w:hideMark/>
          </w:tcPr>
          <w:p w:rsidR="00C00588" w:rsidRPr="00A05888" w:rsidRDefault="00C00588" w:rsidP="00C00588">
            <w:pPr>
              <w:rPr>
                <w:b/>
                <w:bCs/>
              </w:rPr>
            </w:pPr>
            <w:r w:rsidRPr="00A05888">
              <w:rPr>
                <w:b/>
                <w:bCs/>
              </w:rPr>
              <w:t> </w:t>
            </w:r>
          </w:p>
        </w:tc>
        <w:tc>
          <w:tcPr>
            <w:tcW w:w="2970" w:type="dxa"/>
            <w:vMerge/>
            <w:tcBorders>
              <w:top w:val="nil"/>
              <w:left w:val="nil"/>
              <w:bottom w:val="nil"/>
              <w:right w:val="nil"/>
            </w:tcBorders>
            <w:vAlign w:val="center"/>
            <w:hideMark/>
          </w:tcPr>
          <w:p w:rsidR="00C00588" w:rsidRPr="00A05888" w:rsidRDefault="00C00588" w:rsidP="00C00588">
            <w:pPr>
              <w:rPr>
                <w:b/>
                <w:bCs/>
              </w:rPr>
            </w:pPr>
          </w:p>
        </w:tc>
        <w:tc>
          <w:tcPr>
            <w:tcW w:w="1416" w:type="dxa"/>
            <w:vMerge/>
            <w:tcBorders>
              <w:top w:val="nil"/>
              <w:left w:val="nil"/>
              <w:bottom w:val="nil"/>
              <w:right w:val="nil"/>
            </w:tcBorders>
            <w:vAlign w:val="center"/>
            <w:hideMark/>
          </w:tcPr>
          <w:p w:rsidR="00C00588" w:rsidRPr="00A05888" w:rsidRDefault="00C00588" w:rsidP="00C00588">
            <w:pPr>
              <w:rPr>
                <w:b/>
                <w:bCs/>
              </w:rPr>
            </w:pPr>
          </w:p>
        </w:tc>
        <w:tc>
          <w:tcPr>
            <w:tcW w:w="1394" w:type="dxa"/>
            <w:vMerge/>
            <w:tcBorders>
              <w:top w:val="nil"/>
              <w:left w:val="nil"/>
              <w:bottom w:val="nil"/>
              <w:right w:val="nil"/>
            </w:tcBorders>
            <w:vAlign w:val="center"/>
            <w:hideMark/>
          </w:tcPr>
          <w:p w:rsidR="00C00588" w:rsidRPr="00A05888" w:rsidRDefault="00C00588" w:rsidP="00C00588">
            <w:pPr>
              <w:rPr>
                <w:b/>
                <w:bCs/>
              </w:rPr>
            </w:pPr>
          </w:p>
        </w:tc>
        <w:tc>
          <w:tcPr>
            <w:tcW w:w="1530" w:type="dxa"/>
            <w:vMerge/>
            <w:tcBorders>
              <w:top w:val="nil"/>
              <w:left w:val="nil"/>
              <w:bottom w:val="nil"/>
              <w:right w:val="nil"/>
            </w:tcBorders>
            <w:vAlign w:val="center"/>
            <w:hideMark/>
          </w:tcPr>
          <w:p w:rsidR="00C00588" w:rsidRPr="00A05888" w:rsidRDefault="00C00588" w:rsidP="00C00588">
            <w:pPr>
              <w:rPr>
                <w:b/>
                <w:bCs/>
              </w:rPr>
            </w:pPr>
          </w:p>
        </w:tc>
        <w:tc>
          <w:tcPr>
            <w:tcW w:w="1440" w:type="dxa"/>
            <w:vMerge/>
            <w:tcBorders>
              <w:top w:val="nil"/>
              <w:left w:val="nil"/>
              <w:bottom w:val="nil"/>
              <w:right w:val="nil"/>
            </w:tcBorders>
            <w:vAlign w:val="center"/>
            <w:hideMark/>
          </w:tcPr>
          <w:p w:rsidR="00C00588" w:rsidRPr="00A05888" w:rsidRDefault="00C00588" w:rsidP="00C00588">
            <w:pPr>
              <w:rPr>
                <w:b/>
                <w:bCs/>
              </w:rPr>
            </w:pPr>
          </w:p>
        </w:tc>
        <w:tc>
          <w:tcPr>
            <w:tcW w:w="1620" w:type="dxa"/>
            <w:vMerge/>
            <w:tcBorders>
              <w:top w:val="nil"/>
              <w:left w:val="nil"/>
              <w:bottom w:val="nil"/>
              <w:right w:val="nil"/>
            </w:tcBorders>
            <w:vAlign w:val="center"/>
            <w:hideMark/>
          </w:tcPr>
          <w:p w:rsidR="00C00588" w:rsidRPr="00A05888" w:rsidRDefault="00C00588" w:rsidP="00C00588">
            <w:pPr>
              <w:rPr>
                <w:b/>
                <w:bCs/>
              </w:rPr>
            </w:pPr>
          </w:p>
        </w:tc>
        <w:tc>
          <w:tcPr>
            <w:tcW w:w="334" w:type="dxa"/>
            <w:tcBorders>
              <w:top w:val="nil"/>
              <w:left w:val="nil"/>
              <w:bottom w:val="nil"/>
              <w:right w:val="single" w:sz="4" w:space="0" w:color="auto"/>
            </w:tcBorders>
            <w:shd w:val="clear" w:color="auto" w:fill="auto"/>
            <w:noWrap/>
            <w:vAlign w:val="bottom"/>
            <w:hideMark/>
          </w:tcPr>
          <w:p w:rsidR="00C00588" w:rsidRPr="00A05888" w:rsidRDefault="00C00588" w:rsidP="00C00588">
            <w:pPr>
              <w:jc w:val="center"/>
              <w:rPr>
                <w:b/>
                <w:bCs/>
              </w:rPr>
            </w:pPr>
            <w:r w:rsidRPr="00A05888">
              <w:rPr>
                <w:b/>
                <w:bCs/>
              </w:rPr>
              <w:t> </w:t>
            </w:r>
          </w:p>
        </w:tc>
      </w:tr>
      <w:tr w:rsidR="00C00588" w:rsidRPr="00A05888" w:rsidTr="00A93F3A">
        <w:trPr>
          <w:trHeight w:val="300"/>
          <w:jc w:val="center"/>
        </w:trPr>
        <w:tc>
          <w:tcPr>
            <w:tcW w:w="456" w:type="dxa"/>
            <w:tcBorders>
              <w:top w:val="single" w:sz="4" w:space="0" w:color="000000"/>
              <w:left w:val="single" w:sz="4" w:space="0" w:color="auto"/>
              <w:bottom w:val="nil"/>
              <w:right w:val="nil"/>
            </w:tcBorders>
            <w:shd w:val="clear" w:color="000000" w:fill="FFFFFF"/>
            <w:noWrap/>
            <w:vAlign w:val="bottom"/>
            <w:hideMark/>
          </w:tcPr>
          <w:p w:rsidR="00C00588" w:rsidRPr="00A05888" w:rsidRDefault="00C00588" w:rsidP="00C00588">
            <w:r w:rsidRPr="00A05888">
              <w:t> </w:t>
            </w:r>
          </w:p>
        </w:tc>
        <w:tc>
          <w:tcPr>
            <w:tcW w:w="2970" w:type="dxa"/>
            <w:tcBorders>
              <w:top w:val="single" w:sz="4" w:space="0" w:color="000000"/>
              <w:left w:val="nil"/>
              <w:bottom w:val="nil"/>
              <w:right w:val="nil"/>
            </w:tcBorders>
            <w:shd w:val="clear" w:color="000000" w:fill="FFFFFF"/>
            <w:noWrap/>
            <w:vAlign w:val="bottom"/>
            <w:hideMark/>
          </w:tcPr>
          <w:p w:rsidR="00C00588" w:rsidRPr="00A05888" w:rsidRDefault="00C00588" w:rsidP="00C00588">
            <w:r w:rsidRPr="00A05888">
              <w:t> </w:t>
            </w:r>
          </w:p>
        </w:tc>
        <w:tc>
          <w:tcPr>
            <w:tcW w:w="1416" w:type="dxa"/>
            <w:tcBorders>
              <w:top w:val="single" w:sz="4" w:space="0" w:color="000000"/>
              <w:left w:val="nil"/>
              <w:bottom w:val="nil"/>
              <w:right w:val="nil"/>
            </w:tcBorders>
            <w:shd w:val="clear" w:color="000000" w:fill="FFFFFF"/>
            <w:noWrap/>
            <w:vAlign w:val="bottom"/>
            <w:hideMark/>
          </w:tcPr>
          <w:p w:rsidR="00C00588" w:rsidRPr="00A05888" w:rsidRDefault="00C00588" w:rsidP="00C00588">
            <w:r w:rsidRPr="00A05888">
              <w:t> </w:t>
            </w:r>
          </w:p>
        </w:tc>
        <w:tc>
          <w:tcPr>
            <w:tcW w:w="1394" w:type="dxa"/>
            <w:tcBorders>
              <w:top w:val="single" w:sz="4" w:space="0" w:color="000000"/>
              <w:left w:val="nil"/>
              <w:bottom w:val="nil"/>
              <w:right w:val="nil"/>
            </w:tcBorders>
            <w:shd w:val="clear" w:color="000000" w:fill="FFFFFF"/>
            <w:noWrap/>
            <w:vAlign w:val="bottom"/>
            <w:hideMark/>
          </w:tcPr>
          <w:p w:rsidR="00C00588" w:rsidRPr="00A05888" w:rsidRDefault="00C00588" w:rsidP="00C00588">
            <w:r w:rsidRPr="00A05888">
              <w:t> </w:t>
            </w:r>
          </w:p>
        </w:tc>
        <w:tc>
          <w:tcPr>
            <w:tcW w:w="1530" w:type="dxa"/>
            <w:tcBorders>
              <w:top w:val="single" w:sz="4" w:space="0" w:color="000000"/>
              <w:left w:val="nil"/>
              <w:bottom w:val="nil"/>
              <w:right w:val="nil"/>
            </w:tcBorders>
            <w:shd w:val="clear" w:color="000000" w:fill="FFFFFF"/>
            <w:noWrap/>
            <w:vAlign w:val="bottom"/>
            <w:hideMark/>
          </w:tcPr>
          <w:p w:rsidR="00C00588" w:rsidRPr="00A05888" w:rsidRDefault="00C00588" w:rsidP="00C00588">
            <w:r w:rsidRPr="00A05888">
              <w:t> </w:t>
            </w:r>
          </w:p>
        </w:tc>
        <w:tc>
          <w:tcPr>
            <w:tcW w:w="1440" w:type="dxa"/>
            <w:tcBorders>
              <w:top w:val="single" w:sz="4" w:space="0" w:color="000000"/>
              <w:left w:val="nil"/>
              <w:bottom w:val="nil"/>
              <w:right w:val="nil"/>
            </w:tcBorders>
            <w:shd w:val="clear" w:color="000000" w:fill="FFFFFF"/>
            <w:noWrap/>
            <w:vAlign w:val="bottom"/>
            <w:hideMark/>
          </w:tcPr>
          <w:p w:rsidR="00C00588" w:rsidRPr="00A05888" w:rsidRDefault="00C00588" w:rsidP="00C00588">
            <w:r w:rsidRPr="00A05888">
              <w:t> </w:t>
            </w:r>
          </w:p>
        </w:tc>
        <w:tc>
          <w:tcPr>
            <w:tcW w:w="1620" w:type="dxa"/>
            <w:tcBorders>
              <w:top w:val="single" w:sz="4" w:space="0" w:color="000000"/>
              <w:left w:val="nil"/>
              <w:bottom w:val="nil"/>
              <w:right w:val="nil"/>
            </w:tcBorders>
            <w:shd w:val="clear" w:color="000000" w:fill="FFFFFF"/>
            <w:noWrap/>
            <w:vAlign w:val="bottom"/>
            <w:hideMark/>
          </w:tcPr>
          <w:p w:rsidR="00C00588" w:rsidRPr="00A05888" w:rsidRDefault="00C00588" w:rsidP="00C00588">
            <w:r w:rsidRPr="00A05888">
              <w:t> </w:t>
            </w:r>
          </w:p>
        </w:tc>
        <w:tc>
          <w:tcPr>
            <w:tcW w:w="334" w:type="dxa"/>
            <w:tcBorders>
              <w:top w:val="single" w:sz="4" w:space="0" w:color="000000"/>
              <w:left w:val="nil"/>
              <w:bottom w:val="nil"/>
              <w:right w:val="single" w:sz="4" w:space="0" w:color="auto"/>
            </w:tcBorders>
            <w:shd w:val="clear" w:color="000000" w:fill="FFFFFF"/>
            <w:noWrap/>
            <w:vAlign w:val="bottom"/>
            <w:hideMark/>
          </w:tcPr>
          <w:p w:rsidR="00C00588" w:rsidRPr="00A05888" w:rsidRDefault="00C00588" w:rsidP="00C00588">
            <w:r w:rsidRPr="00A05888">
              <w:t> </w:t>
            </w:r>
          </w:p>
        </w:tc>
      </w:tr>
      <w:tr w:rsidR="00A93F3A" w:rsidRPr="00A05888" w:rsidTr="00A93F3A">
        <w:trPr>
          <w:trHeight w:val="300"/>
          <w:jc w:val="center"/>
        </w:trPr>
        <w:tc>
          <w:tcPr>
            <w:tcW w:w="456" w:type="dxa"/>
            <w:tcBorders>
              <w:top w:val="nil"/>
              <w:left w:val="single" w:sz="4" w:space="0" w:color="auto"/>
              <w:bottom w:val="nil"/>
              <w:right w:val="nil"/>
            </w:tcBorders>
            <w:shd w:val="clear" w:color="000000" w:fill="FFFFFF"/>
            <w:noWrap/>
            <w:vAlign w:val="bottom"/>
            <w:hideMark/>
          </w:tcPr>
          <w:p w:rsidR="00A93F3A" w:rsidRPr="00A05888" w:rsidRDefault="00A93F3A" w:rsidP="00A93F3A">
            <w:pPr>
              <w:jc w:val="center"/>
            </w:pPr>
            <w:r w:rsidRPr="00A05888">
              <w:t>1</w:t>
            </w:r>
          </w:p>
        </w:tc>
        <w:tc>
          <w:tcPr>
            <w:tcW w:w="2970" w:type="dxa"/>
            <w:tcBorders>
              <w:top w:val="nil"/>
              <w:left w:val="nil"/>
              <w:bottom w:val="nil"/>
              <w:right w:val="nil"/>
            </w:tcBorders>
            <w:shd w:val="clear" w:color="000000" w:fill="FFFFFF"/>
            <w:noWrap/>
            <w:vAlign w:val="bottom"/>
            <w:hideMark/>
          </w:tcPr>
          <w:p w:rsidR="00A93F3A" w:rsidRPr="00A05888" w:rsidRDefault="00A93F3A" w:rsidP="00A93F3A">
            <w:pPr>
              <w:rPr>
                <w:b/>
                <w:bCs/>
              </w:rPr>
            </w:pPr>
            <w:r w:rsidRPr="00A05888">
              <w:rPr>
                <w:b/>
                <w:bCs/>
              </w:rPr>
              <w:t>Operating Revenues:</w:t>
            </w:r>
          </w:p>
        </w:tc>
        <w:tc>
          <w:tcPr>
            <w:tcW w:w="1416" w:type="dxa"/>
            <w:tcBorders>
              <w:top w:val="nil"/>
              <w:left w:val="nil"/>
              <w:bottom w:val="nil"/>
              <w:right w:val="nil"/>
            </w:tcBorders>
            <w:shd w:val="clear" w:color="auto" w:fill="auto"/>
            <w:noWrap/>
            <w:vAlign w:val="bottom"/>
            <w:hideMark/>
          </w:tcPr>
          <w:p w:rsidR="00A93F3A" w:rsidRPr="00A05888" w:rsidRDefault="00A93F3A" w:rsidP="00A93F3A">
            <w:pPr>
              <w:jc w:val="right"/>
              <w:rPr>
                <w:u w:val="single"/>
              </w:rPr>
            </w:pPr>
            <w:r w:rsidRPr="00A05888">
              <w:rPr>
                <w:u w:val="single"/>
              </w:rPr>
              <w:t xml:space="preserve">$4,518,380 </w:t>
            </w:r>
          </w:p>
        </w:tc>
        <w:tc>
          <w:tcPr>
            <w:tcW w:w="1394" w:type="dxa"/>
            <w:tcBorders>
              <w:top w:val="nil"/>
              <w:left w:val="nil"/>
              <w:bottom w:val="nil"/>
              <w:right w:val="nil"/>
            </w:tcBorders>
            <w:shd w:val="clear" w:color="000000" w:fill="FFFFFF"/>
            <w:noWrap/>
            <w:vAlign w:val="bottom"/>
            <w:hideMark/>
          </w:tcPr>
          <w:p w:rsidR="00A93F3A" w:rsidRPr="00A05888" w:rsidRDefault="00A93F3A" w:rsidP="00A93F3A">
            <w:pPr>
              <w:jc w:val="right"/>
              <w:rPr>
                <w:u w:val="single"/>
              </w:rPr>
            </w:pPr>
            <w:r w:rsidRPr="00A05888">
              <w:rPr>
                <w:u w:val="single"/>
              </w:rPr>
              <w:t xml:space="preserve">$0 </w:t>
            </w:r>
          </w:p>
        </w:tc>
        <w:tc>
          <w:tcPr>
            <w:tcW w:w="1530" w:type="dxa"/>
            <w:tcBorders>
              <w:top w:val="nil"/>
              <w:left w:val="nil"/>
              <w:bottom w:val="nil"/>
              <w:right w:val="nil"/>
            </w:tcBorders>
            <w:shd w:val="clear" w:color="000000" w:fill="FFFFFF"/>
            <w:noWrap/>
            <w:vAlign w:val="bottom"/>
            <w:hideMark/>
          </w:tcPr>
          <w:p w:rsidR="00A93F3A" w:rsidRPr="00A05888" w:rsidRDefault="00A93F3A" w:rsidP="00A93F3A">
            <w:pPr>
              <w:jc w:val="right"/>
              <w:rPr>
                <w:u w:val="single"/>
              </w:rPr>
            </w:pPr>
            <w:r w:rsidRPr="00A05888">
              <w:rPr>
                <w:u w:val="single"/>
              </w:rPr>
              <w:t xml:space="preserve">$4,518,380 </w:t>
            </w:r>
          </w:p>
        </w:tc>
        <w:tc>
          <w:tcPr>
            <w:tcW w:w="1440" w:type="dxa"/>
            <w:tcBorders>
              <w:top w:val="nil"/>
              <w:left w:val="nil"/>
              <w:bottom w:val="nil"/>
              <w:right w:val="nil"/>
            </w:tcBorders>
            <w:shd w:val="clear" w:color="000000" w:fill="FFFFFF"/>
            <w:noWrap/>
            <w:vAlign w:val="bottom"/>
            <w:hideMark/>
          </w:tcPr>
          <w:p w:rsidR="00A93F3A" w:rsidRPr="00A05888" w:rsidRDefault="00A93F3A" w:rsidP="00A93F3A">
            <w:pPr>
              <w:jc w:val="right"/>
              <w:rPr>
                <w:u w:val="single"/>
              </w:rPr>
            </w:pPr>
            <w:r>
              <w:rPr>
                <w:u w:val="single"/>
              </w:rPr>
              <w:t>($54,563)</w:t>
            </w:r>
          </w:p>
        </w:tc>
        <w:tc>
          <w:tcPr>
            <w:tcW w:w="1620" w:type="dxa"/>
            <w:tcBorders>
              <w:top w:val="nil"/>
              <w:left w:val="nil"/>
              <w:bottom w:val="nil"/>
              <w:right w:val="nil"/>
            </w:tcBorders>
            <w:shd w:val="clear" w:color="000000" w:fill="FFFFFF"/>
            <w:noWrap/>
            <w:vAlign w:val="bottom"/>
            <w:hideMark/>
          </w:tcPr>
          <w:p w:rsidR="00A93F3A" w:rsidRPr="00A05888" w:rsidRDefault="00A93F3A" w:rsidP="00A93F3A">
            <w:pPr>
              <w:jc w:val="right"/>
              <w:rPr>
                <w:u w:val="single"/>
              </w:rPr>
            </w:pPr>
            <w:r>
              <w:rPr>
                <w:u w:val="single"/>
              </w:rPr>
              <w:t>$4,463,817</w:t>
            </w:r>
            <w:r w:rsidRPr="00A05888">
              <w:rPr>
                <w:u w:val="single"/>
              </w:rPr>
              <w:t xml:space="preserve"> </w:t>
            </w:r>
          </w:p>
        </w:tc>
        <w:tc>
          <w:tcPr>
            <w:tcW w:w="334" w:type="dxa"/>
            <w:tcBorders>
              <w:top w:val="nil"/>
              <w:left w:val="nil"/>
              <w:bottom w:val="nil"/>
              <w:right w:val="single" w:sz="4" w:space="0" w:color="auto"/>
            </w:tcBorders>
            <w:shd w:val="clear" w:color="000000" w:fill="FFFFFF"/>
            <w:noWrap/>
            <w:vAlign w:val="bottom"/>
            <w:hideMark/>
          </w:tcPr>
          <w:p w:rsidR="00A93F3A" w:rsidRPr="00A05888" w:rsidRDefault="00A93F3A" w:rsidP="00A93F3A">
            <w:pPr>
              <w:rPr>
                <w:u w:val="single"/>
              </w:rPr>
            </w:pPr>
          </w:p>
        </w:tc>
      </w:tr>
      <w:tr w:rsidR="00A93F3A" w:rsidRPr="00A05888" w:rsidTr="00A93F3A">
        <w:trPr>
          <w:trHeight w:val="300"/>
          <w:jc w:val="center"/>
        </w:trPr>
        <w:tc>
          <w:tcPr>
            <w:tcW w:w="456" w:type="dxa"/>
            <w:tcBorders>
              <w:top w:val="nil"/>
              <w:left w:val="single" w:sz="4" w:space="0" w:color="auto"/>
              <w:bottom w:val="nil"/>
              <w:right w:val="nil"/>
            </w:tcBorders>
            <w:shd w:val="clear" w:color="000000" w:fill="FFFFFF"/>
            <w:noWrap/>
            <w:vAlign w:val="bottom"/>
            <w:hideMark/>
          </w:tcPr>
          <w:p w:rsidR="00A93F3A" w:rsidRPr="00A05888" w:rsidRDefault="00A93F3A" w:rsidP="00A93F3A">
            <w:pPr>
              <w:jc w:val="center"/>
            </w:pPr>
            <w:r w:rsidRPr="00A05888">
              <w:t> </w:t>
            </w:r>
          </w:p>
        </w:tc>
        <w:tc>
          <w:tcPr>
            <w:tcW w:w="297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416"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394"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53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440" w:type="dxa"/>
            <w:tcBorders>
              <w:top w:val="nil"/>
              <w:left w:val="nil"/>
              <w:bottom w:val="nil"/>
              <w:right w:val="nil"/>
            </w:tcBorders>
            <w:shd w:val="clear" w:color="000000" w:fill="FFFFFF"/>
            <w:noWrap/>
            <w:vAlign w:val="bottom"/>
            <w:hideMark/>
          </w:tcPr>
          <w:p w:rsidR="00A93F3A" w:rsidRPr="00A05888" w:rsidRDefault="00A93F3A" w:rsidP="00A93F3A">
            <w:pPr>
              <w:jc w:val="right"/>
            </w:pPr>
            <w:r>
              <w:t>-1.21</w:t>
            </w:r>
            <w:r w:rsidRPr="00A05888">
              <w:t>%</w:t>
            </w:r>
          </w:p>
        </w:tc>
        <w:tc>
          <w:tcPr>
            <w:tcW w:w="162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334" w:type="dxa"/>
            <w:tcBorders>
              <w:top w:val="nil"/>
              <w:left w:val="nil"/>
              <w:bottom w:val="nil"/>
              <w:right w:val="single" w:sz="4" w:space="0" w:color="auto"/>
            </w:tcBorders>
            <w:shd w:val="clear" w:color="000000" w:fill="FFFFFF"/>
            <w:noWrap/>
            <w:vAlign w:val="bottom"/>
            <w:hideMark/>
          </w:tcPr>
          <w:p w:rsidR="00A93F3A" w:rsidRPr="00A05888" w:rsidRDefault="00A93F3A" w:rsidP="00A93F3A">
            <w:r w:rsidRPr="00A05888">
              <w:t> </w:t>
            </w:r>
          </w:p>
        </w:tc>
      </w:tr>
      <w:tr w:rsidR="00A93F3A" w:rsidRPr="00A05888" w:rsidTr="00A93F3A">
        <w:trPr>
          <w:trHeight w:val="300"/>
          <w:jc w:val="center"/>
        </w:trPr>
        <w:tc>
          <w:tcPr>
            <w:tcW w:w="456" w:type="dxa"/>
            <w:tcBorders>
              <w:top w:val="nil"/>
              <w:left w:val="single" w:sz="4" w:space="0" w:color="auto"/>
              <w:bottom w:val="nil"/>
              <w:right w:val="nil"/>
            </w:tcBorders>
            <w:shd w:val="clear" w:color="000000" w:fill="FFFFFF"/>
            <w:noWrap/>
            <w:vAlign w:val="bottom"/>
            <w:hideMark/>
          </w:tcPr>
          <w:p w:rsidR="00A93F3A" w:rsidRPr="00A05888" w:rsidRDefault="00A93F3A" w:rsidP="00A93F3A">
            <w:pPr>
              <w:jc w:val="center"/>
            </w:pPr>
            <w:r w:rsidRPr="00A05888">
              <w:t> </w:t>
            </w:r>
          </w:p>
        </w:tc>
        <w:tc>
          <w:tcPr>
            <w:tcW w:w="2970" w:type="dxa"/>
            <w:tcBorders>
              <w:top w:val="nil"/>
              <w:left w:val="nil"/>
              <w:bottom w:val="nil"/>
              <w:right w:val="nil"/>
            </w:tcBorders>
            <w:shd w:val="clear" w:color="000000" w:fill="FFFFFF"/>
            <w:noWrap/>
            <w:vAlign w:val="bottom"/>
            <w:hideMark/>
          </w:tcPr>
          <w:p w:rsidR="00A93F3A" w:rsidRPr="00A05888" w:rsidRDefault="00A93F3A" w:rsidP="00A93F3A">
            <w:pPr>
              <w:rPr>
                <w:b/>
                <w:bCs/>
              </w:rPr>
            </w:pPr>
            <w:r w:rsidRPr="00A05888">
              <w:rPr>
                <w:b/>
                <w:bCs/>
              </w:rPr>
              <w:t>Operating Expenses</w:t>
            </w:r>
          </w:p>
        </w:tc>
        <w:tc>
          <w:tcPr>
            <w:tcW w:w="1416"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394"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53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44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62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334" w:type="dxa"/>
            <w:tcBorders>
              <w:top w:val="nil"/>
              <w:left w:val="nil"/>
              <w:bottom w:val="nil"/>
              <w:right w:val="single" w:sz="4" w:space="0" w:color="auto"/>
            </w:tcBorders>
            <w:shd w:val="clear" w:color="000000" w:fill="FFFFFF"/>
            <w:noWrap/>
            <w:vAlign w:val="bottom"/>
            <w:hideMark/>
          </w:tcPr>
          <w:p w:rsidR="00A93F3A" w:rsidRPr="00A05888" w:rsidRDefault="00A93F3A" w:rsidP="00A93F3A">
            <w:r w:rsidRPr="00A05888">
              <w:t> </w:t>
            </w:r>
          </w:p>
        </w:tc>
      </w:tr>
      <w:tr w:rsidR="00A93F3A" w:rsidRPr="00A05888" w:rsidTr="00A93F3A">
        <w:trPr>
          <w:trHeight w:val="300"/>
          <w:jc w:val="center"/>
        </w:trPr>
        <w:tc>
          <w:tcPr>
            <w:tcW w:w="456" w:type="dxa"/>
            <w:tcBorders>
              <w:top w:val="nil"/>
              <w:left w:val="single" w:sz="4" w:space="0" w:color="auto"/>
              <w:bottom w:val="nil"/>
              <w:right w:val="nil"/>
            </w:tcBorders>
            <w:shd w:val="clear" w:color="000000" w:fill="FFFFFF"/>
            <w:noWrap/>
            <w:vAlign w:val="bottom"/>
            <w:hideMark/>
          </w:tcPr>
          <w:p w:rsidR="00A93F3A" w:rsidRPr="00A05888" w:rsidRDefault="00A93F3A" w:rsidP="00A93F3A">
            <w:pPr>
              <w:jc w:val="center"/>
            </w:pPr>
            <w:r w:rsidRPr="00A05888">
              <w:t>2</w:t>
            </w:r>
          </w:p>
        </w:tc>
        <w:tc>
          <w:tcPr>
            <w:tcW w:w="2970" w:type="dxa"/>
            <w:tcBorders>
              <w:top w:val="nil"/>
              <w:left w:val="nil"/>
              <w:bottom w:val="nil"/>
              <w:right w:val="nil"/>
            </w:tcBorders>
            <w:shd w:val="clear" w:color="000000" w:fill="FFFFFF"/>
            <w:noWrap/>
            <w:vAlign w:val="bottom"/>
            <w:hideMark/>
          </w:tcPr>
          <w:p w:rsidR="00A93F3A" w:rsidRPr="00A05888" w:rsidRDefault="00A93F3A" w:rsidP="00A93F3A">
            <w:r w:rsidRPr="00A05888">
              <w:t xml:space="preserve">    Operation &amp; Maintenance</w:t>
            </w:r>
          </w:p>
        </w:tc>
        <w:tc>
          <w:tcPr>
            <w:tcW w:w="1416" w:type="dxa"/>
            <w:tcBorders>
              <w:top w:val="nil"/>
              <w:left w:val="nil"/>
              <w:bottom w:val="nil"/>
              <w:right w:val="nil"/>
            </w:tcBorders>
            <w:shd w:val="clear" w:color="000000" w:fill="FFFFFF"/>
            <w:noWrap/>
            <w:vAlign w:val="bottom"/>
            <w:hideMark/>
          </w:tcPr>
          <w:p w:rsidR="00A93F3A" w:rsidRPr="00A05888" w:rsidRDefault="00A93F3A" w:rsidP="00A93F3A">
            <w:pPr>
              <w:jc w:val="right"/>
            </w:pPr>
            <w:r w:rsidRPr="00A05888">
              <w:t>$961,268</w:t>
            </w:r>
          </w:p>
        </w:tc>
        <w:tc>
          <w:tcPr>
            <w:tcW w:w="1394" w:type="dxa"/>
            <w:tcBorders>
              <w:top w:val="nil"/>
              <w:left w:val="nil"/>
              <w:bottom w:val="nil"/>
              <w:right w:val="nil"/>
            </w:tcBorders>
            <w:shd w:val="clear" w:color="000000" w:fill="FFFFFF"/>
            <w:noWrap/>
            <w:vAlign w:val="bottom"/>
            <w:hideMark/>
          </w:tcPr>
          <w:p w:rsidR="00A93F3A" w:rsidRPr="00A05888" w:rsidRDefault="00A93F3A" w:rsidP="00A93F3A">
            <w:pPr>
              <w:jc w:val="right"/>
            </w:pPr>
            <w:r w:rsidRPr="00A05888">
              <w:t xml:space="preserve">0 </w:t>
            </w:r>
          </w:p>
        </w:tc>
        <w:tc>
          <w:tcPr>
            <w:tcW w:w="1530" w:type="dxa"/>
            <w:tcBorders>
              <w:top w:val="nil"/>
              <w:left w:val="nil"/>
              <w:bottom w:val="nil"/>
              <w:right w:val="nil"/>
            </w:tcBorders>
            <w:shd w:val="clear" w:color="000000" w:fill="FFFFFF"/>
            <w:noWrap/>
            <w:vAlign w:val="bottom"/>
            <w:hideMark/>
          </w:tcPr>
          <w:p w:rsidR="00A93F3A" w:rsidRPr="00A05888" w:rsidRDefault="00A93F3A" w:rsidP="00A93F3A">
            <w:pPr>
              <w:jc w:val="right"/>
            </w:pPr>
            <w:r w:rsidRPr="00A05888">
              <w:t>$961,268</w:t>
            </w:r>
          </w:p>
        </w:tc>
        <w:tc>
          <w:tcPr>
            <w:tcW w:w="144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620" w:type="dxa"/>
            <w:tcBorders>
              <w:top w:val="nil"/>
              <w:left w:val="nil"/>
              <w:bottom w:val="nil"/>
              <w:right w:val="nil"/>
            </w:tcBorders>
            <w:shd w:val="clear" w:color="000000" w:fill="FFFFFF"/>
            <w:noWrap/>
            <w:vAlign w:val="bottom"/>
            <w:hideMark/>
          </w:tcPr>
          <w:p w:rsidR="00A93F3A" w:rsidRPr="00A05888" w:rsidRDefault="00A93F3A" w:rsidP="00A93F3A">
            <w:pPr>
              <w:jc w:val="right"/>
            </w:pPr>
            <w:r w:rsidRPr="00A05888">
              <w:t>$961,268</w:t>
            </w:r>
          </w:p>
        </w:tc>
        <w:tc>
          <w:tcPr>
            <w:tcW w:w="334" w:type="dxa"/>
            <w:tcBorders>
              <w:top w:val="nil"/>
              <w:left w:val="nil"/>
              <w:bottom w:val="nil"/>
              <w:right w:val="single" w:sz="4" w:space="0" w:color="auto"/>
            </w:tcBorders>
            <w:shd w:val="clear" w:color="000000" w:fill="FFFFFF"/>
            <w:noWrap/>
            <w:vAlign w:val="bottom"/>
            <w:hideMark/>
          </w:tcPr>
          <w:p w:rsidR="00A93F3A" w:rsidRPr="00A05888" w:rsidRDefault="00A93F3A" w:rsidP="00A93F3A">
            <w:r w:rsidRPr="00A05888">
              <w:t> </w:t>
            </w:r>
          </w:p>
        </w:tc>
      </w:tr>
      <w:tr w:rsidR="00A93F3A" w:rsidRPr="00A05888" w:rsidTr="00A93F3A">
        <w:trPr>
          <w:trHeight w:val="300"/>
          <w:jc w:val="center"/>
        </w:trPr>
        <w:tc>
          <w:tcPr>
            <w:tcW w:w="456" w:type="dxa"/>
            <w:tcBorders>
              <w:top w:val="nil"/>
              <w:left w:val="single" w:sz="4" w:space="0" w:color="auto"/>
              <w:bottom w:val="nil"/>
              <w:right w:val="nil"/>
            </w:tcBorders>
            <w:shd w:val="clear" w:color="000000" w:fill="FFFFFF"/>
            <w:noWrap/>
            <w:vAlign w:val="bottom"/>
            <w:hideMark/>
          </w:tcPr>
          <w:p w:rsidR="00A93F3A" w:rsidRPr="00A05888" w:rsidRDefault="00A93F3A" w:rsidP="00A93F3A">
            <w:pPr>
              <w:jc w:val="center"/>
            </w:pPr>
            <w:r w:rsidRPr="00A05888">
              <w:t> </w:t>
            </w:r>
          </w:p>
        </w:tc>
        <w:tc>
          <w:tcPr>
            <w:tcW w:w="297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416"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394"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53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44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62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334" w:type="dxa"/>
            <w:tcBorders>
              <w:top w:val="nil"/>
              <w:left w:val="nil"/>
              <w:bottom w:val="nil"/>
              <w:right w:val="single" w:sz="4" w:space="0" w:color="auto"/>
            </w:tcBorders>
            <w:shd w:val="clear" w:color="000000" w:fill="FFFFFF"/>
            <w:noWrap/>
            <w:vAlign w:val="bottom"/>
            <w:hideMark/>
          </w:tcPr>
          <w:p w:rsidR="00A93F3A" w:rsidRPr="00A05888" w:rsidRDefault="00A93F3A" w:rsidP="00A93F3A">
            <w:r w:rsidRPr="00A05888">
              <w:t> </w:t>
            </w:r>
          </w:p>
        </w:tc>
      </w:tr>
      <w:tr w:rsidR="00A93F3A" w:rsidRPr="00A05888" w:rsidTr="00A93F3A">
        <w:trPr>
          <w:trHeight w:val="300"/>
          <w:jc w:val="center"/>
        </w:trPr>
        <w:tc>
          <w:tcPr>
            <w:tcW w:w="456" w:type="dxa"/>
            <w:tcBorders>
              <w:top w:val="nil"/>
              <w:left w:val="single" w:sz="4" w:space="0" w:color="auto"/>
              <w:bottom w:val="nil"/>
              <w:right w:val="nil"/>
            </w:tcBorders>
            <w:shd w:val="clear" w:color="000000" w:fill="FFFFFF"/>
            <w:noWrap/>
            <w:vAlign w:val="bottom"/>
            <w:hideMark/>
          </w:tcPr>
          <w:p w:rsidR="00A93F3A" w:rsidRPr="00A05888" w:rsidRDefault="00A93F3A" w:rsidP="00A93F3A">
            <w:pPr>
              <w:jc w:val="center"/>
            </w:pPr>
            <w:r w:rsidRPr="00A05888">
              <w:t>3</w:t>
            </w:r>
          </w:p>
        </w:tc>
        <w:tc>
          <w:tcPr>
            <w:tcW w:w="2970" w:type="dxa"/>
            <w:tcBorders>
              <w:top w:val="nil"/>
              <w:left w:val="nil"/>
              <w:bottom w:val="nil"/>
              <w:right w:val="nil"/>
            </w:tcBorders>
            <w:shd w:val="clear" w:color="000000" w:fill="FFFFFF"/>
            <w:noWrap/>
            <w:vAlign w:val="bottom"/>
            <w:hideMark/>
          </w:tcPr>
          <w:p w:rsidR="00A93F3A" w:rsidRPr="00A05888" w:rsidRDefault="00A93F3A" w:rsidP="00A93F3A">
            <w:r w:rsidRPr="00A05888">
              <w:t xml:space="preserve">    Net Depreciation</w:t>
            </w:r>
          </w:p>
        </w:tc>
        <w:tc>
          <w:tcPr>
            <w:tcW w:w="1416" w:type="dxa"/>
            <w:tcBorders>
              <w:top w:val="nil"/>
              <w:left w:val="nil"/>
              <w:bottom w:val="nil"/>
              <w:right w:val="nil"/>
            </w:tcBorders>
            <w:shd w:val="clear" w:color="000000" w:fill="FFFFFF"/>
            <w:noWrap/>
            <w:vAlign w:val="bottom"/>
            <w:hideMark/>
          </w:tcPr>
          <w:p w:rsidR="00A93F3A" w:rsidRPr="00A05888" w:rsidRDefault="00A93F3A" w:rsidP="00A93F3A">
            <w:pPr>
              <w:jc w:val="right"/>
            </w:pPr>
            <w:r w:rsidRPr="00A05888">
              <w:t xml:space="preserve">760,015 </w:t>
            </w:r>
          </w:p>
        </w:tc>
        <w:tc>
          <w:tcPr>
            <w:tcW w:w="1394" w:type="dxa"/>
            <w:tcBorders>
              <w:top w:val="nil"/>
              <w:left w:val="nil"/>
              <w:bottom w:val="nil"/>
              <w:right w:val="nil"/>
            </w:tcBorders>
            <w:shd w:val="clear" w:color="000000" w:fill="FFFFFF"/>
            <w:noWrap/>
            <w:vAlign w:val="bottom"/>
            <w:hideMark/>
          </w:tcPr>
          <w:p w:rsidR="00A93F3A" w:rsidRPr="00A05888" w:rsidRDefault="00A93F3A" w:rsidP="00A93F3A">
            <w:pPr>
              <w:jc w:val="right"/>
            </w:pPr>
            <w:r>
              <w:t>(196,474)</w:t>
            </w:r>
          </w:p>
        </w:tc>
        <w:tc>
          <w:tcPr>
            <w:tcW w:w="1530" w:type="dxa"/>
            <w:tcBorders>
              <w:top w:val="nil"/>
              <w:left w:val="nil"/>
              <w:bottom w:val="nil"/>
              <w:right w:val="nil"/>
            </w:tcBorders>
            <w:shd w:val="clear" w:color="000000" w:fill="FFFFFF"/>
            <w:noWrap/>
            <w:vAlign w:val="bottom"/>
            <w:hideMark/>
          </w:tcPr>
          <w:p w:rsidR="00A93F3A" w:rsidRPr="00A05888" w:rsidRDefault="00A93F3A" w:rsidP="00A93F3A">
            <w:pPr>
              <w:jc w:val="right"/>
            </w:pPr>
            <w:r>
              <w:t>563,541</w:t>
            </w:r>
            <w:r w:rsidRPr="00A05888">
              <w:t xml:space="preserve"> </w:t>
            </w:r>
          </w:p>
        </w:tc>
        <w:tc>
          <w:tcPr>
            <w:tcW w:w="144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620" w:type="dxa"/>
            <w:tcBorders>
              <w:top w:val="nil"/>
              <w:left w:val="nil"/>
              <w:bottom w:val="nil"/>
              <w:right w:val="nil"/>
            </w:tcBorders>
            <w:shd w:val="clear" w:color="000000" w:fill="FFFFFF"/>
            <w:noWrap/>
            <w:vAlign w:val="bottom"/>
            <w:hideMark/>
          </w:tcPr>
          <w:p w:rsidR="00A93F3A" w:rsidRPr="00A05888" w:rsidRDefault="00A93F3A" w:rsidP="00A93F3A">
            <w:pPr>
              <w:jc w:val="right"/>
            </w:pPr>
            <w:r>
              <w:t>563,541</w:t>
            </w:r>
            <w:r w:rsidRPr="00A05888">
              <w:t xml:space="preserve"> </w:t>
            </w:r>
          </w:p>
        </w:tc>
        <w:tc>
          <w:tcPr>
            <w:tcW w:w="334" w:type="dxa"/>
            <w:tcBorders>
              <w:top w:val="nil"/>
              <w:left w:val="nil"/>
              <w:bottom w:val="nil"/>
              <w:right w:val="single" w:sz="4" w:space="0" w:color="auto"/>
            </w:tcBorders>
            <w:shd w:val="clear" w:color="000000" w:fill="FFFFFF"/>
            <w:noWrap/>
            <w:vAlign w:val="bottom"/>
            <w:hideMark/>
          </w:tcPr>
          <w:p w:rsidR="00A93F3A" w:rsidRPr="00A05888" w:rsidRDefault="00A93F3A" w:rsidP="00A93F3A">
            <w:r w:rsidRPr="00A05888">
              <w:t> </w:t>
            </w:r>
          </w:p>
        </w:tc>
      </w:tr>
      <w:tr w:rsidR="00A93F3A" w:rsidRPr="00A05888" w:rsidTr="00A93F3A">
        <w:trPr>
          <w:trHeight w:val="300"/>
          <w:jc w:val="center"/>
        </w:trPr>
        <w:tc>
          <w:tcPr>
            <w:tcW w:w="456" w:type="dxa"/>
            <w:tcBorders>
              <w:top w:val="nil"/>
              <w:left w:val="single" w:sz="4" w:space="0" w:color="auto"/>
              <w:bottom w:val="nil"/>
              <w:right w:val="nil"/>
            </w:tcBorders>
            <w:shd w:val="clear" w:color="000000" w:fill="FFFFFF"/>
            <w:noWrap/>
            <w:vAlign w:val="bottom"/>
            <w:hideMark/>
          </w:tcPr>
          <w:p w:rsidR="00A93F3A" w:rsidRPr="00A05888" w:rsidRDefault="00A93F3A" w:rsidP="00A93F3A">
            <w:pPr>
              <w:jc w:val="center"/>
            </w:pPr>
            <w:r w:rsidRPr="00A05888">
              <w:t> </w:t>
            </w:r>
          </w:p>
        </w:tc>
        <w:tc>
          <w:tcPr>
            <w:tcW w:w="297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416"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394"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53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44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62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334" w:type="dxa"/>
            <w:tcBorders>
              <w:top w:val="nil"/>
              <w:left w:val="nil"/>
              <w:bottom w:val="nil"/>
              <w:right w:val="single" w:sz="4" w:space="0" w:color="auto"/>
            </w:tcBorders>
            <w:shd w:val="clear" w:color="000000" w:fill="FFFFFF"/>
            <w:noWrap/>
            <w:vAlign w:val="bottom"/>
            <w:hideMark/>
          </w:tcPr>
          <w:p w:rsidR="00A93F3A" w:rsidRPr="00A05888" w:rsidRDefault="00A93F3A" w:rsidP="00A93F3A">
            <w:r w:rsidRPr="00A05888">
              <w:t> </w:t>
            </w:r>
          </w:p>
        </w:tc>
      </w:tr>
      <w:tr w:rsidR="00A93F3A" w:rsidRPr="00A05888" w:rsidTr="00A93F3A">
        <w:trPr>
          <w:trHeight w:val="300"/>
          <w:jc w:val="center"/>
        </w:trPr>
        <w:tc>
          <w:tcPr>
            <w:tcW w:w="456" w:type="dxa"/>
            <w:tcBorders>
              <w:top w:val="nil"/>
              <w:left w:val="single" w:sz="4" w:space="0" w:color="auto"/>
              <w:bottom w:val="nil"/>
              <w:right w:val="nil"/>
            </w:tcBorders>
            <w:shd w:val="clear" w:color="000000" w:fill="FFFFFF"/>
            <w:noWrap/>
            <w:vAlign w:val="bottom"/>
            <w:hideMark/>
          </w:tcPr>
          <w:p w:rsidR="00A93F3A" w:rsidRPr="00A05888" w:rsidRDefault="00A93F3A" w:rsidP="00A93F3A">
            <w:pPr>
              <w:jc w:val="center"/>
            </w:pPr>
            <w:r w:rsidRPr="00A05888">
              <w:t>4</w:t>
            </w:r>
          </w:p>
        </w:tc>
        <w:tc>
          <w:tcPr>
            <w:tcW w:w="2970" w:type="dxa"/>
            <w:tcBorders>
              <w:top w:val="nil"/>
              <w:left w:val="nil"/>
              <w:bottom w:val="nil"/>
              <w:right w:val="nil"/>
            </w:tcBorders>
            <w:shd w:val="clear" w:color="000000" w:fill="FFFFFF"/>
            <w:noWrap/>
            <w:vAlign w:val="bottom"/>
            <w:hideMark/>
          </w:tcPr>
          <w:p w:rsidR="00A93F3A" w:rsidRPr="00A05888" w:rsidRDefault="00A93F3A" w:rsidP="00A93F3A">
            <w:r w:rsidRPr="00A05888">
              <w:t xml:space="preserve">    Amortization</w:t>
            </w:r>
          </w:p>
        </w:tc>
        <w:tc>
          <w:tcPr>
            <w:tcW w:w="1416" w:type="dxa"/>
            <w:tcBorders>
              <w:top w:val="nil"/>
              <w:left w:val="nil"/>
              <w:bottom w:val="nil"/>
              <w:right w:val="nil"/>
            </w:tcBorders>
            <w:shd w:val="clear" w:color="000000" w:fill="FFFFFF"/>
            <w:noWrap/>
            <w:vAlign w:val="bottom"/>
            <w:hideMark/>
          </w:tcPr>
          <w:p w:rsidR="00A93F3A" w:rsidRPr="00A05888" w:rsidRDefault="00A93F3A" w:rsidP="00A93F3A">
            <w:pPr>
              <w:jc w:val="right"/>
            </w:pPr>
            <w:r w:rsidRPr="00A05888">
              <w:t xml:space="preserve">10,681 </w:t>
            </w:r>
          </w:p>
        </w:tc>
        <w:tc>
          <w:tcPr>
            <w:tcW w:w="1394" w:type="dxa"/>
            <w:tcBorders>
              <w:top w:val="nil"/>
              <w:left w:val="nil"/>
              <w:bottom w:val="nil"/>
              <w:right w:val="nil"/>
            </w:tcBorders>
            <w:shd w:val="clear" w:color="000000" w:fill="FFFFFF"/>
            <w:noWrap/>
            <w:vAlign w:val="bottom"/>
            <w:hideMark/>
          </w:tcPr>
          <w:p w:rsidR="00A93F3A" w:rsidRPr="00A05888" w:rsidRDefault="00A93F3A" w:rsidP="00A93F3A">
            <w:pPr>
              <w:jc w:val="right"/>
            </w:pPr>
            <w:r w:rsidRPr="00A05888">
              <w:t>(10,681)</w:t>
            </w:r>
          </w:p>
        </w:tc>
        <w:tc>
          <w:tcPr>
            <w:tcW w:w="1530" w:type="dxa"/>
            <w:tcBorders>
              <w:top w:val="nil"/>
              <w:left w:val="nil"/>
              <w:bottom w:val="nil"/>
              <w:right w:val="nil"/>
            </w:tcBorders>
            <w:shd w:val="clear" w:color="000000" w:fill="FFFFFF"/>
            <w:noWrap/>
            <w:vAlign w:val="bottom"/>
            <w:hideMark/>
          </w:tcPr>
          <w:p w:rsidR="00A93F3A" w:rsidRPr="00A05888" w:rsidRDefault="00A93F3A" w:rsidP="00A93F3A">
            <w:pPr>
              <w:jc w:val="right"/>
            </w:pPr>
            <w:r w:rsidRPr="00A05888">
              <w:t xml:space="preserve">0 </w:t>
            </w:r>
          </w:p>
        </w:tc>
        <w:tc>
          <w:tcPr>
            <w:tcW w:w="144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620" w:type="dxa"/>
            <w:tcBorders>
              <w:top w:val="nil"/>
              <w:left w:val="nil"/>
              <w:bottom w:val="nil"/>
              <w:right w:val="nil"/>
            </w:tcBorders>
            <w:shd w:val="clear" w:color="000000" w:fill="FFFFFF"/>
            <w:noWrap/>
            <w:vAlign w:val="bottom"/>
            <w:hideMark/>
          </w:tcPr>
          <w:p w:rsidR="00A93F3A" w:rsidRPr="00A05888" w:rsidRDefault="00A93F3A" w:rsidP="00A93F3A">
            <w:pPr>
              <w:jc w:val="right"/>
            </w:pPr>
            <w:r w:rsidRPr="00A05888">
              <w:t xml:space="preserve">0 </w:t>
            </w:r>
          </w:p>
        </w:tc>
        <w:tc>
          <w:tcPr>
            <w:tcW w:w="334" w:type="dxa"/>
            <w:tcBorders>
              <w:top w:val="nil"/>
              <w:left w:val="nil"/>
              <w:bottom w:val="nil"/>
              <w:right w:val="single" w:sz="4" w:space="0" w:color="auto"/>
            </w:tcBorders>
            <w:shd w:val="clear" w:color="000000" w:fill="FFFFFF"/>
            <w:noWrap/>
            <w:vAlign w:val="bottom"/>
            <w:hideMark/>
          </w:tcPr>
          <w:p w:rsidR="00A93F3A" w:rsidRPr="00A05888" w:rsidRDefault="00A93F3A" w:rsidP="00A93F3A">
            <w:r w:rsidRPr="00A05888">
              <w:t> </w:t>
            </w:r>
          </w:p>
        </w:tc>
      </w:tr>
      <w:tr w:rsidR="00A93F3A" w:rsidRPr="00A05888" w:rsidTr="00A93F3A">
        <w:trPr>
          <w:trHeight w:val="300"/>
          <w:jc w:val="center"/>
        </w:trPr>
        <w:tc>
          <w:tcPr>
            <w:tcW w:w="456" w:type="dxa"/>
            <w:tcBorders>
              <w:top w:val="nil"/>
              <w:left w:val="single" w:sz="4" w:space="0" w:color="auto"/>
              <w:bottom w:val="nil"/>
              <w:right w:val="nil"/>
            </w:tcBorders>
            <w:shd w:val="clear" w:color="000000" w:fill="FFFFFF"/>
            <w:noWrap/>
            <w:vAlign w:val="bottom"/>
            <w:hideMark/>
          </w:tcPr>
          <w:p w:rsidR="00A93F3A" w:rsidRPr="00A05888" w:rsidRDefault="00A93F3A" w:rsidP="00A93F3A">
            <w:pPr>
              <w:jc w:val="center"/>
            </w:pPr>
            <w:r w:rsidRPr="00A05888">
              <w:t> </w:t>
            </w:r>
          </w:p>
        </w:tc>
        <w:tc>
          <w:tcPr>
            <w:tcW w:w="297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416"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394"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53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44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62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334" w:type="dxa"/>
            <w:tcBorders>
              <w:top w:val="nil"/>
              <w:left w:val="nil"/>
              <w:bottom w:val="nil"/>
              <w:right w:val="single" w:sz="4" w:space="0" w:color="auto"/>
            </w:tcBorders>
            <w:shd w:val="clear" w:color="000000" w:fill="FFFFFF"/>
            <w:noWrap/>
            <w:vAlign w:val="bottom"/>
            <w:hideMark/>
          </w:tcPr>
          <w:p w:rsidR="00A93F3A" w:rsidRPr="00A05888" w:rsidRDefault="00A93F3A" w:rsidP="00A93F3A">
            <w:r w:rsidRPr="00A05888">
              <w:t> </w:t>
            </w:r>
          </w:p>
        </w:tc>
      </w:tr>
      <w:tr w:rsidR="00A93F3A" w:rsidRPr="00A05888" w:rsidTr="00A93F3A">
        <w:trPr>
          <w:trHeight w:val="300"/>
          <w:jc w:val="center"/>
        </w:trPr>
        <w:tc>
          <w:tcPr>
            <w:tcW w:w="456" w:type="dxa"/>
            <w:tcBorders>
              <w:top w:val="nil"/>
              <w:left w:val="single" w:sz="4" w:space="0" w:color="auto"/>
              <w:bottom w:val="nil"/>
              <w:right w:val="nil"/>
            </w:tcBorders>
            <w:shd w:val="clear" w:color="000000" w:fill="FFFFFF"/>
            <w:noWrap/>
            <w:vAlign w:val="bottom"/>
            <w:hideMark/>
          </w:tcPr>
          <w:p w:rsidR="00A93F3A" w:rsidRPr="00A05888" w:rsidRDefault="00A93F3A" w:rsidP="00A93F3A">
            <w:pPr>
              <w:jc w:val="center"/>
            </w:pPr>
            <w:r w:rsidRPr="00A05888">
              <w:t>5</w:t>
            </w:r>
          </w:p>
        </w:tc>
        <w:tc>
          <w:tcPr>
            <w:tcW w:w="2970" w:type="dxa"/>
            <w:tcBorders>
              <w:top w:val="nil"/>
              <w:left w:val="nil"/>
              <w:bottom w:val="nil"/>
              <w:right w:val="nil"/>
            </w:tcBorders>
            <w:shd w:val="clear" w:color="000000" w:fill="FFFFFF"/>
            <w:noWrap/>
            <w:vAlign w:val="bottom"/>
            <w:hideMark/>
          </w:tcPr>
          <w:p w:rsidR="00A93F3A" w:rsidRPr="00A05888" w:rsidRDefault="00A93F3A" w:rsidP="00A93F3A">
            <w:r w:rsidRPr="00A05888">
              <w:t xml:space="preserve">    Taxes Other Than Income</w:t>
            </w:r>
          </w:p>
        </w:tc>
        <w:tc>
          <w:tcPr>
            <w:tcW w:w="1416" w:type="dxa"/>
            <w:tcBorders>
              <w:top w:val="nil"/>
              <w:left w:val="nil"/>
              <w:bottom w:val="nil"/>
              <w:right w:val="nil"/>
            </w:tcBorders>
            <w:shd w:val="clear" w:color="000000" w:fill="FFFFFF"/>
            <w:noWrap/>
            <w:vAlign w:val="bottom"/>
            <w:hideMark/>
          </w:tcPr>
          <w:p w:rsidR="00A93F3A" w:rsidRPr="00A05888" w:rsidRDefault="00A93F3A" w:rsidP="00A93F3A">
            <w:pPr>
              <w:jc w:val="right"/>
            </w:pPr>
            <w:r w:rsidRPr="00A05888">
              <w:t xml:space="preserve">803,972 </w:t>
            </w:r>
          </w:p>
        </w:tc>
        <w:tc>
          <w:tcPr>
            <w:tcW w:w="1394" w:type="dxa"/>
            <w:tcBorders>
              <w:top w:val="nil"/>
              <w:left w:val="nil"/>
              <w:bottom w:val="nil"/>
              <w:right w:val="nil"/>
            </w:tcBorders>
            <w:shd w:val="clear" w:color="000000" w:fill="FFFFFF"/>
            <w:noWrap/>
            <w:vAlign w:val="bottom"/>
            <w:hideMark/>
          </w:tcPr>
          <w:p w:rsidR="00A93F3A" w:rsidRPr="00A05888" w:rsidRDefault="00A93F3A" w:rsidP="00A93F3A">
            <w:pPr>
              <w:jc w:val="right"/>
            </w:pPr>
            <w:r w:rsidRPr="00A05888">
              <w:t xml:space="preserve">65,428 </w:t>
            </w:r>
          </w:p>
        </w:tc>
        <w:tc>
          <w:tcPr>
            <w:tcW w:w="1530" w:type="dxa"/>
            <w:tcBorders>
              <w:top w:val="nil"/>
              <w:left w:val="nil"/>
              <w:bottom w:val="nil"/>
              <w:right w:val="nil"/>
            </w:tcBorders>
            <w:shd w:val="clear" w:color="000000" w:fill="FFFFFF"/>
            <w:noWrap/>
            <w:vAlign w:val="bottom"/>
            <w:hideMark/>
          </w:tcPr>
          <w:p w:rsidR="00A93F3A" w:rsidRPr="00A05888" w:rsidRDefault="00A93F3A" w:rsidP="00A93F3A">
            <w:pPr>
              <w:jc w:val="right"/>
            </w:pPr>
            <w:r w:rsidRPr="00A05888">
              <w:t xml:space="preserve">869,400 </w:t>
            </w:r>
          </w:p>
        </w:tc>
        <w:tc>
          <w:tcPr>
            <w:tcW w:w="1440" w:type="dxa"/>
            <w:tcBorders>
              <w:top w:val="nil"/>
              <w:left w:val="nil"/>
              <w:bottom w:val="nil"/>
              <w:right w:val="nil"/>
            </w:tcBorders>
            <w:shd w:val="clear" w:color="000000" w:fill="FFFFFF"/>
            <w:noWrap/>
            <w:vAlign w:val="bottom"/>
            <w:hideMark/>
          </w:tcPr>
          <w:p w:rsidR="00A93F3A" w:rsidRPr="00A05888" w:rsidRDefault="00A93F3A" w:rsidP="00A93F3A">
            <w:pPr>
              <w:jc w:val="right"/>
            </w:pPr>
            <w:r>
              <w:t>(2,455)</w:t>
            </w:r>
            <w:r w:rsidRPr="00A05888">
              <w:t xml:space="preserve"> </w:t>
            </w:r>
          </w:p>
        </w:tc>
        <w:tc>
          <w:tcPr>
            <w:tcW w:w="1620" w:type="dxa"/>
            <w:tcBorders>
              <w:top w:val="nil"/>
              <w:left w:val="nil"/>
              <w:bottom w:val="nil"/>
              <w:right w:val="nil"/>
            </w:tcBorders>
            <w:shd w:val="clear" w:color="000000" w:fill="FFFFFF"/>
            <w:noWrap/>
            <w:vAlign w:val="bottom"/>
            <w:hideMark/>
          </w:tcPr>
          <w:p w:rsidR="00A93F3A" w:rsidRPr="00A05888" w:rsidRDefault="00A93F3A" w:rsidP="00A93F3A">
            <w:pPr>
              <w:jc w:val="right"/>
            </w:pPr>
            <w:r>
              <w:t>866,945</w:t>
            </w:r>
            <w:r w:rsidRPr="00A05888">
              <w:t xml:space="preserve"> </w:t>
            </w:r>
          </w:p>
        </w:tc>
        <w:tc>
          <w:tcPr>
            <w:tcW w:w="334" w:type="dxa"/>
            <w:tcBorders>
              <w:top w:val="nil"/>
              <w:left w:val="nil"/>
              <w:bottom w:val="nil"/>
              <w:right w:val="single" w:sz="4" w:space="0" w:color="auto"/>
            </w:tcBorders>
            <w:shd w:val="clear" w:color="000000" w:fill="FFFFFF"/>
            <w:noWrap/>
            <w:vAlign w:val="bottom"/>
            <w:hideMark/>
          </w:tcPr>
          <w:p w:rsidR="00A93F3A" w:rsidRPr="00A05888" w:rsidRDefault="00A93F3A" w:rsidP="00A93F3A">
            <w:r w:rsidRPr="00A05888">
              <w:t> </w:t>
            </w:r>
          </w:p>
        </w:tc>
      </w:tr>
      <w:tr w:rsidR="00A93F3A" w:rsidRPr="00A05888" w:rsidTr="00A93F3A">
        <w:trPr>
          <w:trHeight w:val="300"/>
          <w:jc w:val="center"/>
        </w:trPr>
        <w:tc>
          <w:tcPr>
            <w:tcW w:w="456" w:type="dxa"/>
            <w:tcBorders>
              <w:top w:val="nil"/>
              <w:left w:val="single" w:sz="4" w:space="0" w:color="auto"/>
              <w:bottom w:val="nil"/>
              <w:right w:val="nil"/>
            </w:tcBorders>
            <w:shd w:val="clear" w:color="000000" w:fill="FFFFFF"/>
            <w:noWrap/>
            <w:vAlign w:val="bottom"/>
            <w:hideMark/>
          </w:tcPr>
          <w:p w:rsidR="00A93F3A" w:rsidRPr="00A05888" w:rsidRDefault="00A93F3A" w:rsidP="00A93F3A">
            <w:pPr>
              <w:jc w:val="center"/>
            </w:pPr>
            <w:r w:rsidRPr="00A05888">
              <w:t> </w:t>
            </w:r>
          </w:p>
        </w:tc>
        <w:tc>
          <w:tcPr>
            <w:tcW w:w="297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416"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394"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53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44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62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334" w:type="dxa"/>
            <w:tcBorders>
              <w:top w:val="nil"/>
              <w:left w:val="nil"/>
              <w:bottom w:val="nil"/>
              <w:right w:val="single" w:sz="4" w:space="0" w:color="auto"/>
            </w:tcBorders>
            <w:shd w:val="clear" w:color="000000" w:fill="FFFFFF"/>
            <w:noWrap/>
            <w:vAlign w:val="bottom"/>
            <w:hideMark/>
          </w:tcPr>
          <w:p w:rsidR="00A93F3A" w:rsidRPr="00A05888" w:rsidRDefault="00A93F3A" w:rsidP="00A93F3A">
            <w:r w:rsidRPr="00A05888">
              <w:t> </w:t>
            </w:r>
          </w:p>
        </w:tc>
      </w:tr>
      <w:tr w:rsidR="00A93F3A" w:rsidRPr="00A05888" w:rsidTr="00A93F3A">
        <w:trPr>
          <w:trHeight w:val="300"/>
          <w:jc w:val="center"/>
        </w:trPr>
        <w:tc>
          <w:tcPr>
            <w:tcW w:w="456" w:type="dxa"/>
            <w:tcBorders>
              <w:top w:val="nil"/>
              <w:left w:val="single" w:sz="4" w:space="0" w:color="auto"/>
              <w:bottom w:val="nil"/>
              <w:right w:val="nil"/>
            </w:tcBorders>
            <w:shd w:val="clear" w:color="000000" w:fill="FFFFFF"/>
            <w:noWrap/>
            <w:vAlign w:val="bottom"/>
            <w:hideMark/>
          </w:tcPr>
          <w:p w:rsidR="00A93F3A" w:rsidRPr="00A05888" w:rsidRDefault="00A93F3A" w:rsidP="00A93F3A">
            <w:pPr>
              <w:jc w:val="center"/>
            </w:pPr>
            <w:r w:rsidRPr="00A05888">
              <w:t>6</w:t>
            </w:r>
          </w:p>
        </w:tc>
        <w:tc>
          <w:tcPr>
            <w:tcW w:w="2970" w:type="dxa"/>
            <w:tcBorders>
              <w:top w:val="nil"/>
              <w:left w:val="nil"/>
              <w:bottom w:val="nil"/>
              <w:right w:val="nil"/>
            </w:tcBorders>
            <w:shd w:val="clear" w:color="000000" w:fill="FFFFFF"/>
            <w:noWrap/>
            <w:vAlign w:val="bottom"/>
            <w:hideMark/>
          </w:tcPr>
          <w:p w:rsidR="00A93F3A" w:rsidRPr="00A05888" w:rsidRDefault="00A93F3A" w:rsidP="00A93F3A">
            <w:r w:rsidRPr="00A05888">
              <w:t xml:space="preserve">    Income Taxes</w:t>
            </w:r>
          </w:p>
        </w:tc>
        <w:tc>
          <w:tcPr>
            <w:tcW w:w="1416" w:type="dxa"/>
            <w:tcBorders>
              <w:top w:val="nil"/>
              <w:left w:val="nil"/>
              <w:bottom w:val="nil"/>
              <w:right w:val="nil"/>
            </w:tcBorders>
            <w:shd w:val="clear" w:color="000000" w:fill="FFFFFF"/>
            <w:noWrap/>
            <w:vAlign w:val="bottom"/>
            <w:hideMark/>
          </w:tcPr>
          <w:p w:rsidR="00A93F3A" w:rsidRPr="00A05888" w:rsidRDefault="00A93F3A" w:rsidP="00A93F3A">
            <w:pPr>
              <w:jc w:val="right"/>
              <w:rPr>
                <w:u w:val="single"/>
              </w:rPr>
            </w:pPr>
            <w:r w:rsidRPr="00A05888">
              <w:rPr>
                <w:u w:val="single"/>
              </w:rPr>
              <w:t xml:space="preserve">0 </w:t>
            </w:r>
          </w:p>
        </w:tc>
        <w:tc>
          <w:tcPr>
            <w:tcW w:w="1394" w:type="dxa"/>
            <w:tcBorders>
              <w:top w:val="nil"/>
              <w:left w:val="nil"/>
              <w:bottom w:val="nil"/>
              <w:right w:val="nil"/>
            </w:tcBorders>
            <w:shd w:val="clear" w:color="000000" w:fill="FFFFFF"/>
            <w:noWrap/>
            <w:vAlign w:val="bottom"/>
            <w:hideMark/>
          </w:tcPr>
          <w:p w:rsidR="00A93F3A" w:rsidRPr="00A05888" w:rsidRDefault="00A93F3A" w:rsidP="00A93F3A">
            <w:pPr>
              <w:jc w:val="right"/>
              <w:rPr>
                <w:u w:val="single"/>
              </w:rPr>
            </w:pPr>
            <w:r w:rsidRPr="00A05888">
              <w:rPr>
                <w:u w:val="single"/>
              </w:rPr>
              <w:t xml:space="preserve">0 </w:t>
            </w:r>
          </w:p>
        </w:tc>
        <w:tc>
          <w:tcPr>
            <w:tcW w:w="1530" w:type="dxa"/>
            <w:tcBorders>
              <w:top w:val="nil"/>
              <w:left w:val="nil"/>
              <w:bottom w:val="nil"/>
              <w:right w:val="nil"/>
            </w:tcBorders>
            <w:shd w:val="clear" w:color="000000" w:fill="FFFFFF"/>
            <w:noWrap/>
            <w:vAlign w:val="bottom"/>
            <w:hideMark/>
          </w:tcPr>
          <w:p w:rsidR="00A93F3A" w:rsidRPr="00A05888" w:rsidRDefault="00A93F3A" w:rsidP="00A93F3A">
            <w:pPr>
              <w:jc w:val="right"/>
              <w:rPr>
                <w:u w:val="single"/>
              </w:rPr>
            </w:pPr>
            <w:r w:rsidRPr="00A05888">
              <w:rPr>
                <w:u w:val="single"/>
              </w:rPr>
              <w:t xml:space="preserve">0 </w:t>
            </w:r>
          </w:p>
        </w:tc>
        <w:tc>
          <w:tcPr>
            <w:tcW w:w="1440" w:type="dxa"/>
            <w:tcBorders>
              <w:top w:val="nil"/>
              <w:left w:val="nil"/>
              <w:bottom w:val="nil"/>
              <w:right w:val="nil"/>
            </w:tcBorders>
            <w:shd w:val="clear" w:color="000000" w:fill="FFFFFF"/>
            <w:noWrap/>
            <w:vAlign w:val="bottom"/>
            <w:hideMark/>
          </w:tcPr>
          <w:p w:rsidR="00A93F3A" w:rsidRPr="00A05888" w:rsidRDefault="00A93F3A" w:rsidP="00A93F3A">
            <w:pPr>
              <w:jc w:val="right"/>
              <w:rPr>
                <w:u w:val="single"/>
              </w:rPr>
            </w:pPr>
            <w:r w:rsidRPr="00A05888">
              <w:rPr>
                <w:u w:val="single"/>
              </w:rPr>
              <w:t xml:space="preserve">0 </w:t>
            </w:r>
          </w:p>
        </w:tc>
        <w:tc>
          <w:tcPr>
            <w:tcW w:w="1620" w:type="dxa"/>
            <w:tcBorders>
              <w:top w:val="nil"/>
              <w:left w:val="nil"/>
              <w:bottom w:val="nil"/>
              <w:right w:val="nil"/>
            </w:tcBorders>
            <w:shd w:val="clear" w:color="000000" w:fill="FFFFFF"/>
            <w:noWrap/>
            <w:vAlign w:val="bottom"/>
            <w:hideMark/>
          </w:tcPr>
          <w:p w:rsidR="00A93F3A" w:rsidRPr="00A05888" w:rsidRDefault="00A93F3A" w:rsidP="00A93F3A">
            <w:pPr>
              <w:jc w:val="right"/>
              <w:rPr>
                <w:u w:val="single"/>
              </w:rPr>
            </w:pPr>
            <w:r w:rsidRPr="00A05888">
              <w:rPr>
                <w:u w:val="single"/>
              </w:rPr>
              <w:t xml:space="preserve">0 </w:t>
            </w:r>
          </w:p>
        </w:tc>
        <w:tc>
          <w:tcPr>
            <w:tcW w:w="334" w:type="dxa"/>
            <w:tcBorders>
              <w:top w:val="nil"/>
              <w:left w:val="nil"/>
              <w:bottom w:val="nil"/>
              <w:right w:val="single" w:sz="4" w:space="0" w:color="auto"/>
            </w:tcBorders>
            <w:shd w:val="clear" w:color="000000" w:fill="FFFFFF"/>
            <w:noWrap/>
            <w:vAlign w:val="bottom"/>
            <w:hideMark/>
          </w:tcPr>
          <w:p w:rsidR="00A93F3A" w:rsidRPr="00A05888" w:rsidRDefault="00A93F3A" w:rsidP="00A93F3A">
            <w:pPr>
              <w:rPr>
                <w:u w:val="single"/>
              </w:rPr>
            </w:pPr>
          </w:p>
        </w:tc>
      </w:tr>
      <w:tr w:rsidR="00A93F3A" w:rsidRPr="00A05888" w:rsidTr="00A93F3A">
        <w:trPr>
          <w:trHeight w:val="300"/>
          <w:jc w:val="center"/>
        </w:trPr>
        <w:tc>
          <w:tcPr>
            <w:tcW w:w="456" w:type="dxa"/>
            <w:tcBorders>
              <w:top w:val="nil"/>
              <w:left w:val="single" w:sz="4" w:space="0" w:color="auto"/>
              <w:bottom w:val="nil"/>
              <w:right w:val="nil"/>
            </w:tcBorders>
            <w:shd w:val="clear" w:color="000000" w:fill="FFFFFF"/>
            <w:noWrap/>
            <w:vAlign w:val="bottom"/>
            <w:hideMark/>
          </w:tcPr>
          <w:p w:rsidR="00A93F3A" w:rsidRPr="00A05888" w:rsidRDefault="00A93F3A" w:rsidP="00A93F3A">
            <w:pPr>
              <w:jc w:val="center"/>
            </w:pPr>
            <w:r w:rsidRPr="00A05888">
              <w:t> </w:t>
            </w:r>
          </w:p>
        </w:tc>
        <w:tc>
          <w:tcPr>
            <w:tcW w:w="297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416"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394"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53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44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62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334" w:type="dxa"/>
            <w:tcBorders>
              <w:top w:val="nil"/>
              <w:left w:val="nil"/>
              <w:bottom w:val="nil"/>
              <w:right w:val="single" w:sz="4" w:space="0" w:color="auto"/>
            </w:tcBorders>
            <w:shd w:val="clear" w:color="000000" w:fill="FFFFFF"/>
            <w:noWrap/>
            <w:vAlign w:val="bottom"/>
            <w:hideMark/>
          </w:tcPr>
          <w:p w:rsidR="00A93F3A" w:rsidRPr="00A05888" w:rsidRDefault="00A93F3A" w:rsidP="00A93F3A">
            <w:r w:rsidRPr="00A05888">
              <w:t> </w:t>
            </w:r>
          </w:p>
        </w:tc>
      </w:tr>
      <w:tr w:rsidR="00A93F3A" w:rsidRPr="00A05888" w:rsidTr="00A93F3A">
        <w:trPr>
          <w:trHeight w:val="300"/>
          <w:jc w:val="center"/>
        </w:trPr>
        <w:tc>
          <w:tcPr>
            <w:tcW w:w="456" w:type="dxa"/>
            <w:tcBorders>
              <w:top w:val="nil"/>
              <w:left w:val="single" w:sz="4" w:space="0" w:color="auto"/>
              <w:bottom w:val="nil"/>
              <w:right w:val="nil"/>
            </w:tcBorders>
            <w:shd w:val="clear" w:color="000000" w:fill="FFFFFF"/>
            <w:noWrap/>
            <w:vAlign w:val="bottom"/>
            <w:hideMark/>
          </w:tcPr>
          <w:p w:rsidR="00A93F3A" w:rsidRPr="00A05888" w:rsidRDefault="00A93F3A" w:rsidP="00A93F3A">
            <w:pPr>
              <w:jc w:val="center"/>
            </w:pPr>
            <w:r w:rsidRPr="00A05888">
              <w:t>7</w:t>
            </w:r>
          </w:p>
        </w:tc>
        <w:tc>
          <w:tcPr>
            <w:tcW w:w="2970" w:type="dxa"/>
            <w:tcBorders>
              <w:top w:val="nil"/>
              <w:left w:val="nil"/>
              <w:bottom w:val="nil"/>
              <w:right w:val="nil"/>
            </w:tcBorders>
            <w:shd w:val="clear" w:color="auto" w:fill="auto"/>
            <w:noWrap/>
            <w:vAlign w:val="bottom"/>
            <w:hideMark/>
          </w:tcPr>
          <w:p w:rsidR="00A93F3A" w:rsidRPr="00A05888" w:rsidRDefault="00A93F3A" w:rsidP="00A93F3A">
            <w:pPr>
              <w:rPr>
                <w:b/>
                <w:bCs/>
              </w:rPr>
            </w:pPr>
            <w:r w:rsidRPr="00A05888">
              <w:rPr>
                <w:b/>
                <w:bCs/>
              </w:rPr>
              <w:t>Total Operating Expense</w:t>
            </w:r>
          </w:p>
        </w:tc>
        <w:tc>
          <w:tcPr>
            <w:tcW w:w="1416" w:type="dxa"/>
            <w:tcBorders>
              <w:top w:val="nil"/>
              <w:left w:val="nil"/>
              <w:bottom w:val="nil"/>
              <w:right w:val="nil"/>
            </w:tcBorders>
            <w:shd w:val="clear" w:color="000000" w:fill="FFFFFF"/>
            <w:noWrap/>
            <w:vAlign w:val="bottom"/>
            <w:hideMark/>
          </w:tcPr>
          <w:p w:rsidR="00A93F3A" w:rsidRPr="00A05888" w:rsidRDefault="00A93F3A" w:rsidP="00A93F3A">
            <w:pPr>
              <w:jc w:val="right"/>
              <w:rPr>
                <w:u w:val="single"/>
              </w:rPr>
            </w:pPr>
            <w:r w:rsidRPr="00A05888">
              <w:rPr>
                <w:u w:val="single"/>
              </w:rPr>
              <w:t xml:space="preserve">2,535,936 </w:t>
            </w:r>
          </w:p>
        </w:tc>
        <w:tc>
          <w:tcPr>
            <w:tcW w:w="1394" w:type="dxa"/>
            <w:tcBorders>
              <w:top w:val="nil"/>
              <w:left w:val="nil"/>
              <w:bottom w:val="nil"/>
              <w:right w:val="nil"/>
            </w:tcBorders>
            <w:shd w:val="clear" w:color="000000" w:fill="FFFFFF"/>
            <w:noWrap/>
            <w:vAlign w:val="bottom"/>
            <w:hideMark/>
          </w:tcPr>
          <w:p w:rsidR="00A93F3A" w:rsidRPr="00A05888" w:rsidRDefault="00A93F3A" w:rsidP="00A93F3A">
            <w:pPr>
              <w:jc w:val="right"/>
              <w:rPr>
                <w:u w:val="single"/>
              </w:rPr>
            </w:pPr>
            <w:r>
              <w:rPr>
                <w:u w:val="single"/>
              </w:rPr>
              <w:t>(141,727)</w:t>
            </w:r>
            <w:r w:rsidRPr="00A05888">
              <w:rPr>
                <w:u w:val="single"/>
              </w:rPr>
              <w:t xml:space="preserve"> </w:t>
            </w:r>
          </w:p>
        </w:tc>
        <w:tc>
          <w:tcPr>
            <w:tcW w:w="1530" w:type="dxa"/>
            <w:tcBorders>
              <w:top w:val="nil"/>
              <w:left w:val="nil"/>
              <w:bottom w:val="nil"/>
              <w:right w:val="nil"/>
            </w:tcBorders>
            <w:shd w:val="clear" w:color="000000" w:fill="FFFFFF"/>
            <w:noWrap/>
            <w:vAlign w:val="bottom"/>
            <w:hideMark/>
          </w:tcPr>
          <w:p w:rsidR="00A93F3A" w:rsidRPr="00A05888" w:rsidRDefault="00A93F3A" w:rsidP="00A93F3A">
            <w:pPr>
              <w:jc w:val="right"/>
              <w:rPr>
                <w:u w:val="single"/>
              </w:rPr>
            </w:pPr>
            <w:r w:rsidRPr="00A05888">
              <w:rPr>
                <w:u w:val="single"/>
              </w:rPr>
              <w:t>2,</w:t>
            </w:r>
            <w:r>
              <w:rPr>
                <w:u w:val="single"/>
              </w:rPr>
              <w:t>394,209</w:t>
            </w:r>
            <w:r w:rsidRPr="00A05888">
              <w:rPr>
                <w:u w:val="single"/>
              </w:rPr>
              <w:t xml:space="preserve"> </w:t>
            </w:r>
          </w:p>
        </w:tc>
        <w:tc>
          <w:tcPr>
            <w:tcW w:w="1440" w:type="dxa"/>
            <w:tcBorders>
              <w:top w:val="nil"/>
              <w:left w:val="nil"/>
              <w:bottom w:val="nil"/>
              <w:right w:val="nil"/>
            </w:tcBorders>
            <w:shd w:val="clear" w:color="000000" w:fill="FFFFFF"/>
            <w:noWrap/>
            <w:vAlign w:val="bottom"/>
            <w:hideMark/>
          </w:tcPr>
          <w:p w:rsidR="00A93F3A" w:rsidRPr="00A05888" w:rsidRDefault="00A93F3A" w:rsidP="00A93F3A">
            <w:pPr>
              <w:jc w:val="right"/>
              <w:rPr>
                <w:u w:val="single"/>
              </w:rPr>
            </w:pPr>
            <w:r>
              <w:rPr>
                <w:u w:val="single"/>
              </w:rPr>
              <w:t>(2,455)</w:t>
            </w:r>
            <w:r w:rsidRPr="00A05888">
              <w:rPr>
                <w:u w:val="single"/>
              </w:rPr>
              <w:t xml:space="preserve"> </w:t>
            </w:r>
          </w:p>
        </w:tc>
        <w:tc>
          <w:tcPr>
            <w:tcW w:w="1620" w:type="dxa"/>
            <w:tcBorders>
              <w:top w:val="nil"/>
              <w:left w:val="nil"/>
              <w:bottom w:val="nil"/>
              <w:right w:val="nil"/>
            </w:tcBorders>
            <w:shd w:val="clear" w:color="000000" w:fill="FFFFFF"/>
            <w:noWrap/>
            <w:vAlign w:val="bottom"/>
            <w:hideMark/>
          </w:tcPr>
          <w:p w:rsidR="00A93F3A" w:rsidRPr="00A05888" w:rsidRDefault="00A93F3A" w:rsidP="00A93F3A">
            <w:pPr>
              <w:jc w:val="right"/>
              <w:rPr>
                <w:u w:val="single"/>
              </w:rPr>
            </w:pPr>
            <w:r w:rsidRPr="00A05888">
              <w:rPr>
                <w:u w:val="single"/>
              </w:rPr>
              <w:t>2,</w:t>
            </w:r>
            <w:r>
              <w:rPr>
                <w:u w:val="single"/>
              </w:rPr>
              <w:t>391,754</w:t>
            </w:r>
            <w:r w:rsidRPr="00A05888">
              <w:rPr>
                <w:u w:val="single"/>
              </w:rPr>
              <w:t xml:space="preserve"> </w:t>
            </w:r>
          </w:p>
        </w:tc>
        <w:tc>
          <w:tcPr>
            <w:tcW w:w="334" w:type="dxa"/>
            <w:tcBorders>
              <w:top w:val="nil"/>
              <w:left w:val="nil"/>
              <w:bottom w:val="nil"/>
              <w:right w:val="single" w:sz="4" w:space="0" w:color="auto"/>
            </w:tcBorders>
            <w:shd w:val="clear" w:color="000000" w:fill="FFFFFF"/>
            <w:noWrap/>
            <w:vAlign w:val="bottom"/>
            <w:hideMark/>
          </w:tcPr>
          <w:p w:rsidR="00A93F3A" w:rsidRPr="00A05888" w:rsidRDefault="00A93F3A" w:rsidP="00A93F3A">
            <w:pPr>
              <w:rPr>
                <w:u w:val="single"/>
              </w:rPr>
            </w:pPr>
          </w:p>
        </w:tc>
      </w:tr>
      <w:tr w:rsidR="00A93F3A" w:rsidRPr="00A05888" w:rsidTr="00A93F3A">
        <w:trPr>
          <w:trHeight w:val="300"/>
          <w:jc w:val="center"/>
        </w:trPr>
        <w:tc>
          <w:tcPr>
            <w:tcW w:w="456" w:type="dxa"/>
            <w:tcBorders>
              <w:top w:val="nil"/>
              <w:left w:val="single" w:sz="4" w:space="0" w:color="auto"/>
              <w:bottom w:val="nil"/>
              <w:right w:val="nil"/>
            </w:tcBorders>
            <w:shd w:val="clear" w:color="000000" w:fill="FFFFFF"/>
            <w:noWrap/>
            <w:vAlign w:val="bottom"/>
            <w:hideMark/>
          </w:tcPr>
          <w:p w:rsidR="00A93F3A" w:rsidRPr="00A05888" w:rsidRDefault="00A93F3A" w:rsidP="00A93F3A">
            <w:pPr>
              <w:jc w:val="center"/>
            </w:pPr>
            <w:r w:rsidRPr="00A05888">
              <w:t> </w:t>
            </w:r>
          </w:p>
        </w:tc>
        <w:tc>
          <w:tcPr>
            <w:tcW w:w="297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416"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394"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53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44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62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334" w:type="dxa"/>
            <w:tcBorders>
              <w:top w:val="nil"/>
              <w:left w:val="nil"/>
              <w:bottom w:val="nil"/>
              <w:right w:val="single" w:sz="4" w:space="0" w:color="auto"/>
            </w:tcBorders>
            <w:shd w:val="clear" w:color="000000" w:fill="FFFFFF"/>
            <w:noWrap/>
            <w:vAlign w:val="bottom"/>
            <w:hideMark/>
          </w:tcPr>
          <w:p w:rsidR="00A93F3A" w:rsidRPr="00A05888" w:rsidRDefault="00A93F3A" w:rsidP="00A93F3A">
            <w:r w:rsidRPr="00A05888">
              <w:t> </w:t>
            </w:r>
          </w:p>
        </w:tc>
      </w:tr>
      <w:tr w:rsidR="00A93F3A" w:rsidRPr="00A05888" w:rsidTr="00A93F3A">
        <w:trPr>
          <w:trHeight w:val="300"/>
          <w:jc w:val="center"/>
        </w:trPr>
        <w:tc>
          <w:tcPr>
            <w:tcW w:w="456" w:type="dxa"/>
            <w:tcBorders>
              <w:top w:val="nil"/>
              <w:left w:val="single" w:sz="4" w:space="0" w:color="auto"/>
              <w:bottom w:val="nil"/>
              <w:right w:val="nil"/>
            </w:tcBorders>
            <w:shd w:val="clear" w:color="000000" w:fill="FFFFFF"/>
            <w:noWrap/>
            <w:vAlign w:val="bottom"/>
            <w:hideMark/>
          </w:tcPr>
          <w:p w:rsidR="00A93F3A" w:rsidRPr="00A05888" w:rsidRDefault="00A93F3A" w:rsidP="00A93F3A">
            <w:pPr>
              <w:jc w:val="center"/>
            </w:pPr>
            <w:r w:rsidRPr="00A05888">
              <w:t>8</w:t>
            </w:r>
          </w:p>
        </w:tc>
        <w:tc>
          <w:tcPr>
            <w:tcW w:w="2970" w:type="dxa"/>
            <w:tcBorders>
              <w:top w:val="nil"/>
              <w:left w:val="nil"/>
              <w:bottom w:val="nil"/>
              <w:right w:val="nil"/>
            </w:tcBorders>
            <w:shd w:val="clear" w:color="000000" w:fill="FFFFFF"/>
            <w:noWrap/>
            <w:vAlign w:val="bottom"/>
            <w:hideMark/>
          </w:tcPr>
          <w:p w:rsidR="00A93F3A" w:rsidRPr="00A05888" w:rsidRDefault="00A93F3A" w:rsidP="00A93F3A">
            <w:pPr>
              <w:rPr>
                <w:b/>
                <w:bCs/>
              </w:rPr>
            </w:pPr>
            <w:r w:rsidRPr="00A05888">
              <w:rPr>
                <w:b/>
                <w:bCs/>
              </w:rPr>
              <w:t>Operating Income</w:t>
            </w:r>
          </w:p>
        </w:tc>
        <w:tc>
          <w:tcPr>
            <w:tcW w:w="1416" w:type="dxa"/>
            <w:tcBorders>
              <w:top w:val="nil"/>
              <w:left w:val="nil"/>
              <w:bottom w:val="nil"/>
              <w:right w:val="nil"/>
            </w:tcBorders>
            <w:shd w:val="clear" w:color="000000" w:fill="FFFFFF"/>
            <w:noWrap/>
            <w:vAlign w:val="bottom"/>
            <w:hideMark/>
          </w:tcPr>
          <w:p w:rsidR="00A93F3A" w:rsidRPr="00A05888" w:rsidRDefault="00A93F3A" w:rsidP="00A93F3A">
            <w:pPr>
              <w:jc w:val="right"/>
              <w:rPr>
                <w:u w:val="double"/>
              </w:rPr>
            </w:pPr>
            <w:r w:rsidRPr="00A05888">
              <w:rPr>
                <w:u w:val="double"/>
              </w:rPr>
              <w:t xml:space="preserve">$1,982,444 </w:t>
            </w:r>
          </w:p>
        </w:tc>
        <w:tc>
          <w:tcPr>
            <w:tcW w:w="1394" w:type="dxa"/>
            <w:tcBorders>
              <w:top w:val="nil"/>
              <w:left w:val="nil"/>
              <w:bottom w:val="nil"/>
              <w:right w:val="nil"/>
            </w:tcBorders>
            <w:shd w:val="clear" w:color="000000" w:fill="FFFFFF"/>
            <w:noWrap/>
            <w:vAlign w:val="bottom"/>
            <w:hideMark/>
          </w:tcPr>
          <w:p w:rsidR="00A93F3A" w:rsidRPr="00A05888" w:rsidRDefault="00A93F3A" w:rsidP="00A93F3A">
            <w:pPr>
              <w:jc w:val="right"/>
              <w:rPr>
                <w:u w:val="double"/>
              </w:rPr>
            </w:pPr>
            <w:r w:rsidRPr="00A05888">
              <w:rPr>
                <w:u w:val="double"/>
              </w:rPr>
              <w:t>$</w:t>
            </w:r>
            <w:r>
              <w:rPr>
                <w:u w:val="double"/>
              </w:rPr>
              <w:t>141,727</w:t>
            </w:r>
          </w:p>
        </w:tc>
        <w:tc>
          <w:tcPr>
            <w:tcW w:w="1530" w:type="dxa"/>
            <w:tcBorders>
              <w:top w:val="nil"/>
              <w:left w:val="nil"/>
              <w:bottom w:val="nil"/>
              <w:right w:val="nil"/>
            </w:tcBorders>
            <w:shd w:val="clear" w:color="000000" w:fill="FFFFFF"/>
            <w:noWrap/>
            <w:vAlign w:val="bottom"/>
            <w:hideMark/>
          </w:tcPr>
          <w:p w:rsidR="00A93F3A" w:rsidRPr="00A05888" w:rsidRDefault="00A93F3A" w:rsidP="00A93F3A">
            <w:pPr>
              <w:jc w:val="right"/>
              <w:rPr>
                <w:u w:val="double"/>
              </w:rPr>
            </w:pPr>
            <w:r w:rsidRPr="00A05888">
              <w:rPr>
                <w:u w:val="double"/>
              </w:rPr>
              <w:t>$</w:t>
            </w:r>
            <w:r>
              <w:rPr>
                <w:u w:val="double"/>
              </w:rPr>
              <w:t>2,124,171</w:t>
            </w:r>
            <w:r w:rsidRPr="00A05888">
              <w:rPr>
                <w:u w:val="double"/>
              </w:rPr>
              <w:t xml:space="preserve"> </w:t>
            </w:r>
          </w:p>
        </w:tc>
        <w:tc>
          <w:tcPr>
            <w:tcW w:w="1440" w:type="dxa"/>
            <w:tcBorders>
              <w:top w:val="nil"/>
              <w:left w:val="nil"/>
              <w:bottom w:val="nil"/>
              <w:right w:val="nil"/>
            </w:tcBorders>
            <w:shd w:val="clear" w:color="000000" w:fill="FFFFFF"/>
            <w:noWrap/>
            <w:vAlign w:val="bottom"/>
            <w:hideMark/>
          </w:tcPr>
          <w:p w:rsidR="00A93F3A" w:rsidRPr="00A05888" w:rsidRDefault="00A93F3A" w:rsidP="00A93F3A">
            <w:pPr>
              <w:jc w:val="right"/>
              <w:rPr>
                <w:u w:val="double"/>
              </w:rPr>
            </w:pPr>
            <w:r>
              <w:rPr>
                <w:u w:val="double"/>
              </w:rPr>
              <w:t>($52,107)</w:t>
            </w:r>
            <w:r w:rsidRPr="00A05888">
              <w:rPr>
                <w:u w:val="double"/>
              </w:rPr>
              <w:t xml:space="preserve"> </w:t>
            </w:r>
          </w:p>
        </w:tc>
        <w:tc>
          <w:tcPr>
            <w:tcW w:w="1620" w:type="dxa"/>
            <w:tcBorders>
              <w:top w:val="nil"/>
              <w:left w:val="nil"/>
              <w:bottom w:val="nil"/>
              <w:right w:val="nil"/>
            </w:tcBorders>
            <w:shd w:val="clear" w:color="000000" w:fill="FFFFFF"/>
            <w:noWrap/>
            <w:vAlign w:val="bottom"/>
            <w:hideMark/>
          </w:tcPr>
          <w:p w:rsidR="00A93F3A" w:rsidRPr="00A05888" w:rsidRDefault="00A93F3A" w:rsidP="00A93F3A">
            <w:pPr>
              <w:jc w:val="right"/>
              <w:rPr>
                <w:u w:val="double"/>
              </w:rPr>
            </w:pPr>
            <w:r w:rsidRPr="00A05888">
              <w:rPr>
                <w:u w:val="double"/>
              </w:rPr>
              <w:t>$</w:t>
            </w:r>
            <w:r>
              <w:rPr>
                <w:u w:val="double"/>
              </w:rPr>
              <w:t>2,072,064</w:t>
            </w:r>
            <w:r w:rsidRPr="00A05888">
              <w:rPr>
                <w:u w:val="double"/>
              </w:rPr>
              <w:t xml:space="preserve"> </w:t>
            </w:r>
          </w:p>
        </w:tc>
        <w:tc>
          <w:tcPr>
            <w:tcW w:w="334" w:type="dxa"/>
            <w:tcBorders>
              <w:top w:val="nil"/>
              <w:left w:val="nil"/>
              <w:bottom w:val="nil"/>
              <w:right w:val="single" w:sz="4" w:space="0" w:color="auto"/>
            </w:tcBorders>
            <w:shd w:val="clear" w:color="000000" w:fill="FFFFFF"/>
            <w:noWrap/>
            <w:vAlign w:val="bottom"/>
            <w:hideMark/>
          </w:tcPr>
          <w:p w:rsidR="00A93F3A" w:rsidRPr="00A05888" w:rsidRDefault="00A93F3A" w:rsidP="00A93F3A">
            <w:pPr>
              <w:rPr>
                <w:u w:val="double"/>
              </w:rPr>
            </w:pPr>
          </w:p>
        </w:tc>
      </w:tr>
      <w:tr w:rsidR="00A93F3A" w:rsidRPr="00A05888" w:rsidTr="00A93F3A">
        <w:trPr>
          <w:trHeight w:val="300"/>
          <w:jc w:val="center"/>
        </w:trPr>
        <w:tc>
          <w:tcPr>
            <w:tcW w:w="456" w:type="dxa"/>
            <w:tcBorders>
              <w:top w:val="nil"/>
              <w:left w:val="single" w:sz="4" w:space="0" w:color="auto"/>
              <w:bottom w:val="nil"/>
              <w:right w:val="nil"/>
            </w:tcBorders>
            <w:shd w:val="clear" w:color="000000" w:fill="FFFFFF"/>
            <w:noWrap/>
            <w:vAlign w:val="bottom"/>
            <w:hideMark/>
          </w:tcPr>
          <w:p w:rsidR="00A93F3A" w:rsidRPr="00A05888" w:rsidRDefault="00A93F3A" w:rsidP="00A93F3A">
            <w:pPr>
              <w:jc w:val="center"/>
            </w:pPr>
            <w:r w:rsidRPr="00A05888">
              <w:t> </w:t>
            </w:r>
          </w:p>
        </w:tc>
        <w:tc>
          <w:tcPr>
            <w:tcW w:w="297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416"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394"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53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44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62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334" w:type="dxa"/>
            <w:tcBorders>
              <w:top w:val="nil"/>
              <w:left w:val="nil"/>
              <w:bottom w:val="nil"/>
              <w:right w:val="single" w:sz="4" w:space="0" w:color="auto"/>
            </w:tcBorders>
            <w:shd w:val="clear" w:color="000000" w:fill="FFFFFF"/>
            <w:noWrap/>
            <w:vAlign w:val="bottom"/>
            <w:hideMark/>
          </w:tcPr>
          <w:p w:rsidR="00A93F3A" w:rsidRPr="00A05888" w:rsidRDefault="00A93F3A" w:rsidP="00A93F3A">
            <w:r w:rsidRPr="00A05888">
              <w:t> </w:t>
            </w:r>
          </w:p>
        </w:tc>
      </w:tr>
      <w:tr w:rsidR="00A93F3A" w:rsidRPr="00A05888" w:rsidTr="00A93F3A">
        <w:trPr>
          <w:trHeight w:val="300"/>
          <w:jc w:val="center"/>
        </w:trPr>
        <w:tc>
          <w:tcPr>
            <w:tcW w:w="456" w:type="dxa"/>
            <w:tcBorders>
              <w:top w:val="nil"/>
              <w:left w:val="single" w:sz="4" w:space="0" w:color="auto"/>
              <w:bottom w:val="nil"/>
              <w:right w:val="nil"/>
            </w:tcBorders>
            <w:shd w:val="clear" w:color="000000" w:fill="FFFFFF"/>
            <w:noWrap/>
            <w:vAlign w:val="bottom"/>
            <w:hideMark/>
          </w:tcPr>
          <w:p w:rsidR="00A93F3A" w:rsidRPr="00A05888" w:rsidRDefault="00A93F3A" w:rsidP="00A93F3A">
            <w:pPr>
              <w:jc w:val="center"/>
            </w:pPr>
            <w:r w:rsidRPr="00A05888">
              <w:t>9</w:t>
            </w:r>
          </w:p>
        </w:tc>
        <w:tc>
          <w:tcPr>
            <w:tcW w:w="2970" w:type="dxa"/>
            <w:tcBorders>
              <w:top w:val="nil"/>
              <w:left w:val="nil"/>
              <w:bottom w:val="nil"/>
              <w:right w:val="nil"/>
            </w:tcBorders>
            <w:shd w:val="clear" w:color="000000" w:fill="FFFFFF"/>
            <w:noWrap/>
            <w:vAlign w:val="bottom"/>
            <w:hideMark/>
          </w:tcPr>
          <w:p w:rsidR="00A93F3A" w:rsidRPr="00A05888" w:rsidRDefault="00A93F3A" w:rsidP="00A93F3A">
            <w:pPr>
              <w:rPr>
                <w:b/>
                <w:bCs/>
              </w:rPr>
            </w:pPr>
            <w:r w:rsidRPr="00A05888">
              <w:rPr>
                <w:b/>
                <w:bCs/>
              </w:rPr>
              <w:t>Rate Base</w:t>
            </w:r>
          </w:p>
        </w:tc>
        <w:tc>
          <w:tcPr>
            <w:tcW w:w="1416" w:type="dxa"/>
            <w:tcBorders>
              <w:top w:val="nil"/>
              <w:left w:val="nil"/>
              <w:bottom w:val="nil"/>
              <w:right w:val="nil"/>
            </w:tcBorders>
            <w:shd w:val="clear" w:color="000000" w:fill="FFFFFF"/>
            <w:noWrap/>
            <w:vAlign w:val="bottom"/>
            <w:hideMark/>
          </w:tcPr>
          <w:p w:rsidR="00A93F3A" w:rsidRPr="00A05888" w:rsidRDefault="00A93F3A" w:rsidP="00A93F3A">
            <w:pPr>
              <w:jc w:val="right"/>
              <w:rPr>
                <w:u w:val="double"/>
              </w:rPr>
            </w:pPr>
            <w:r w:rsidRPr="00A05888">
              <w:rPr>
                <w:u w:val="double"/>
              </w:rPr>
              <w:t xml:space="preserve">$25,448,587 </w:t>
            </w:r>
          </w:p>
        </w:tc>
        <w:tc>
          <w:tcPr>
            <w:tcW w:w="1394"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530" w:type="dxa"/>
            <w:tcBorders>
              <w:top w:val="nil"/>
              <w:left w:val="nil"/>
              <w:bottom w:val="nil"/>
              <w:right w:val="nil"/>
            </w:tcBorders>
            <w:shd w:val="clear" w:color="000000" w:fill="FFFFFF"/>
            <w:noWrap/>
            <w:vAlign w:val="bottom"/>
            <w:hideMark/>
          </w:tcPr>
          <w:p w:rsidR="00A93F3A" w:rsidRPr="00A05888" w:rsidRDefault="00A93F3A" w:rsidP="00A93F3A">
            <w:pPr>
              <w:jc w:val="right"/>
              <w:rPr>
                <w:u w:val="double"/>
              </w:rPr>
            </w:pPr>
            <w:r>
              <w:rPr>
                <w:u w:val="double"/>
              </w:rPr>
              <w:t>$26,701,020</w:t>
            </w:r>
            <w:r w:rsidRPr="00A05888">
              <w:rPr>
                <w:u w:val="double"/>
              </w:rPr>
              <w:t xml:space="preserve"> </w:t>
            </w:r>
          </w:p>
        </w:tc>
        <w:tc>
          <w:tcPr>
            <w:tcW w:w="144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620" w:type="dxa"/>
            <w:tcBorders>
              <w:top w:val="nil"/>
              <w:left w:val="nil"/>
              <w:bottom w:val="nil"/>
              <w:right w:val="nil"/>
            </w:tcBorders>
            <w:shd w:val="clear" w:color="000000" w:fill="FFFFFF"/>
            <w:noWrap/>
            <w:vAlign w:val="bottom"/>
            <w:hideMark/>
          </w:tcPr>
          <w:p w:rsidR="00A93F3A" w:rsidRPr="00A05888" w:rsidRDefault="00A93F3A" w:rsidP="00A93F3A">
            <w:pPr>
              <w:jc w:val="right"/>
              <w:rPr>
                <w:u w:val="double"/>
              </w:rPr>
            </w:pPr>
            <w:r>
              <w:rPr>
                <w:u w:val="double"/>
              </w:rPr>
              <w:t>$26,701,020</w:t>
            </w:r>
            <w:r w:rsidRPr="00A05888">
              <w:rPr>
                <w:u w:val="double"/>
              </w:rPr>
              <w:t xml:space="preserve"> </w:t>
            </w:r>
          </w:p>
        </w:tc>
        <w:tc>
          <w:tcPr>
            <w:tcW w:w="334" w:type="dxa"/>
            <w:tcBorders>
              <w:top w:val="nil"/>
              <w:left w:val="nil"/>
              <w:bottom w:val="nil"/>
              <w:right w:val="single" w:sz="4" w:space="0" w:color="auto"/>
            </w:tcBorders>
            <w:shd w:val="clear" w:color="000000" w:fill="FFFFFF"/>
            <w:noWrap/>
            <w:vAlign w:val="bottom"/>
            <w:hideMark/>
          </w:tcPr>
          <w:p w:rsidR="00A93F3A" w:rsidRPr="00A05888" w:rsidRDefault="00A93F3A" w:rsidP="00A93F3A">
            <w:pPr>
              <w:rPr>
                <w:u w:val="double"/>
              </w:rPr>
            </w:pPr>
          </w:p>
        </w:tc>
      </w:tr>
      <w:tr w:rsidR="00A93F3A" w:rsidRPr="00A05888" w:rsidTr="00A93F3A">
        <w:trPr>
          <w:trHeight w:val="300"/>
          <w:jc w:val="center"/>
        </w:trPr>
        <w:tc>
          <w:tcPr>
            <w:tcW w:w="456" w:type="dxa"/>
            <w:tcBorders>
              <w:top w:val="nil"/>
              <w:left w:val="single" w:sz="4" w:space="0" w:color="auto"/>
              <w:bottom w:val="nil"/>
              <w:right w:val="nil"/>
            </w:tcBorders>
            <w:shd w:val="clear" w:color="000000" w:fill="FFFFFF"/>
            <w:noWrap/>
            <w:vAlign w:val="bottom"/>
            <w:hideMark/>
          </w:tcPr>
          <w:p w:rsidR="00A93F3A" w:rsidRPr="00A05888" w:rsidRDefault="00A93F3A" w:rsidP="00A93F3A">
            <w:pPr>
              <w:jc w:val="center"/>
            </w:pPr>
            <w:r w:rsidRPr="00A05888">
              <w:t> </w:t>
            </w:r>
          </w:p>
        </w:tc>
        <w:tc>
          <w:tcPr>
            <w:tcW w:w="297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416"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394"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53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44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62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334" w:type="dxa"/>
            <w:tcBorders>
              <w:top w:val="nil"/>
              <w:left w:val="nil"/>
              <w:bottom w:val="nil"/>
              <w:right w:val="single" w:sz="4" w:space="0" w:color="auto"/>
            </w:tcBorders>
            <w:shd w:val="clear" w:color="000000" w:fill="FFFFFF"/>
            <w:noWrap/>
            <w:vAlign w:val="bottom"/>
            <w:hideMark/>
          </w:tcPr>
          <w:p w:rsidR="00A93F3A" w:rsidRPr="00A05888" w:rsidRDefault="00A93F3A" w:rsidP="00A93F3A">
            <w:r w:rsidRPr="00A05888">
              <w:t> </w:t>
            </w:r>
          </w:p>
        </w:tc>
      </w:tr>
      <w:tr w:rsidR="00A93F3A" w:rsidRPr="00A05888" w:rsidTr="00A93F3A">
        <w:trPr>
          <w:trHeight w:val="300"/>
          <w:jc w:val="center"/>
        </w:trPr>
        <w:tc>
          <w:tcPr>
            <w:tcW w:w="456" w:type="dxa"/>
            <w:tcBorders>
              <w:top w:val="nil"/>
              <w:left w:val="single" w:sz="4" w:space="0" w:color="auto"/>
              <w:bottom w:val="nil"/>
              <w:right w:val="nil"/>
            </w:tcBorders>
            <w:shd w:val="clear" w:color="000000" w:fill="FFFFFF"/>
            <w:noWrap/>
            <w:vAlign w:val="bottom"/>
            <w:hideMark/>
          </w:tcPr>
          <w:p w:rsidR="00A93F3A" w:rsidRPr="00A05888" w:rsidRDefault="00A93F3A" w:rsidP="00A93F3A">
            <w:pPr>
              <w:jc w:val="center"/>
            </w:pPr>
            <w:r w:rsidRPr="00A05888">
              <w:t>10</w:t>
            </w:r>
          </w:p>
        </w:tc>
        <w:tc>
          <w:tcPr>
            <w:tcW w:w="2970" w:type="dxa"/>
            <w:tcBorders>
              <w:top w:val="nil"/>
              <w:left w:val="nil"/>
              <w:bottom w:val="nil"/>
              <w:right w:val="nil"/>
            </w:tcBorders>
            <w:shd w:val="clear" w:color="000000" w:fill="FFFFFF"/>
            <w:noWrap/>
            <w:vAlign w:val="bottom"/>
            <w:hideMark/>
          </w:tcPr>
          <w:p w:rsidR="00A93F3A" w:rsidRPr="00A05888" w:rsidRDefault="00A93F3A" w:rsidP="00A93F3A">
            <w:pPr>
              <w:rPr>
                <w:b/>
                <w:bCs/>
              </w:rPr>
            </w:pPr>
            <w:r w:rsidRPr="00A05888">
              <w:rPr>
                <w:b/>
                <w:bCs/>
              </w:rPr>
              <w:t>Rate of Return</w:t>
            </w:r>
          </w:p>
        </w:tc>
        <w:tc>
          <w:tcPr>
            <w:tcW w:w="1416" w:type="dxa"/>
            <w:tcBorders>
              <w:top w:val="nil"/>
              <w:left w:val="nil"/>
              <w:bottom w:val="nil"/>
              <w:right w:val="nil"/>
            </w:tcBorders>
            <w:shd w:val="clear" w:color="000000" w:fill="FFFFFF"/>
            <w:noWrap/>
            <w:vAlign w:val="bottom"/>
            <w:hideMark/>
          </w:tcPr>
          <w:p w:rsidR="00A93F3A" w:rsidRPr="00A05888" w:rsidRDefault="00A93F3A" w:rsidP="00A93F3A">
            <w:pPr>
              <w:jc w:val="right"/>
              <w:rPr>
                <w:u w:val="double"/>
              </w:rPr>
            </w:pPr>
            <w:r w:rsidRPr="00A05888">
              <w:rPr>
                <w:u w:val="double"/>
              </w:rPr>
              <w:t>7.79%</w:t>
            </w:r>
          </w:p>
        </w:tc>
        <w:tc>
          <w:tcPr>
            <w:tcW w:w="1394"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530" w:type="dxa"/>
            <w:tcBorders>
              <w:top w:val="nil"/>
              <w:left w:val="nil"/>
              <w:bottom w:val="nil"/>
              <w:right w:val="nil"/>
            </w:tcBorders>
            <w:shd w:val="clear" w:color="000000" w:fill="FFFFFF"/>
            <w:noWrap/>
            <w:vAlign w:val="bottom"/>
            <w:hideMark/>
          </w:tcPr>
          <w:p w:rsidR="00A93F3A" w:rsidRPr="00A05888" w:rsidRDefault="00A93F3A" w:rsidP="00A93F3A">
            <w:pPr>
              <w:jc w:val="right"/>
              <w:rPr>
                <w:u w:val="double"/>
              </w:rPr>
            </w:pPr>
            <w:r>
              <w:rPr>
                <w:u w:val="double"/>
              </w:rPr>
              <w:t>7.96</w:t>
            </w:r>
            <w:r w:rsidRPr="00A05888">
              <w:rPr>
                <w:u w:val="double"/>
              </w:rPr>
              <w:t>%</w:t>
            </w:r>
          </w:p>
        </w:tc>
        <w:tc>
          <w:tcPr>
            <w:tcW w:w="1440" w:type="dxa"/>
            <w:tcBorders>
              <w:top w:val="nil"/>
              <w:left w:val="nil"/>
              <w:bottom w:val="nil"/>
              <w:right w:val="nil"/>
            </w:tcBorders>
            <w:shd w:val="clear" w:color="000000" w:fill="FFFFFF"/>
            <w:noWrap/>
            <w:vAlign w:val="bottom"/>
            <w:hideMark/>
          </w:tcPr>
          <w:p w:rsidR="00A93F3A" w:rsidRPr="00A05888" w:rsidRDefault="00A93F3A" w:rsidP="00A93F3A">
            <w:r w:rsidRPr="00A05888">
              <w:t> </w:t>
            </w:r>
          </w:p>
        </w:tc>
        <w:tc>
          <w:tcPr>
            <w:tcW w:w="1620" w:type="dxa"/>
            <w:tcBorders>
              <w:top w:val="nil"/>
              <w:left w:val="nil"/>
              <w:bottom w:val="nil"/>
              <w:right w:val="nil"/>
            </w:tcBorders>
            <w:shd w:val="clear" w:color="000000" w:fill="FFFFFF"/>
            <w:noWrap/>
            <w:vAlign w:val="bottom"/>
            <w:hideMark/>
          </w:tcPr>
          <w:p w:rsidR="00A93F3A" w:rsidRPr="00A05888" w:rsidRDefault="00A93F3A" w:rsidP="00A93F3A">
            <w:pPr>
              <w:jc w:val="right"/>
              <w:rPr>
                <w:u w:val="double"/>
              </w:rPr>
            </w:pPr>
            <w:r w:rsidRPr="00A05888">
              <w:rPr>
                <w:u w:val="double"/>
              </w:rPr>
              <w:t>7.</w:t>
            </w:r>
            <w:r>
              <w:rPr>
                <w:u w:val="double"/>
              </w:rPr>
              <w:t>76</w:t>
            </w:r>
            <w:r w:rsidRPr="00A05888">
              <w:rPr>
                <w:u w:val="double"/>
              </w:rPr>
              <w:t>%</w:t>
            </w:r>
          </w:p>
        </w:tc>
        <w:tc>
          <w:tcPr>
            <w:tcW w:w="334" w:type="dxa"/>
            <w:tcBorders>
              <w:top w:val="nil"/>
              <w:left w:val="nil"/>
              <w:bottom w:val="nil"/>
              <w:right w:val="single" w:sz="4" w:space="0" w:color="auto"/>
            </w:tcBorders>
            <w:shd w:val="clear" w:color="000000" w:fill="FFFFFF"/>
            <w:noWrap/>
            <w:vAlign w:val="bottom"/>
            <w:hideMark/>
          </w:tcPr>
          <w:p w:rsidR="00A93F3A" w:rsidRPr="00A05888" w:rsidRDefault="00A93F3A" w:rsidP="00A93F3A">
            <w:pPr>
              <w:rPr>
                <w:u w:val="double"/>
              </w:rPr>
            </w:pPr>
          </w:p>
        </w:tc>
      </w:tr>
      <w:tr w:rsidR="00C00588" w:rsidRPr="00A05888" w:rsidTr="00A93F3A">
        <w:trPr>
          <w:trHeight w:val="300"/>
          <w:jc w:val="center"/>
        </w:trPr>
        <w:tc>
          <w:tcPr>
            <w:tcW w:w="456" w:type="dxa"/>
            <w:tcBorders>
              <w:top w:val="nil"/>
              <w:left w:val="single" w:sz="4" w:space="0" w:color="auto"/>
              <w:bottom w:val="single" w:sz="4" w:space="0" w:color="auto"/>
              <w:right w:val="nil"/>
            </w:tcBorders>
            <w:shd w:val="clear" w:color="000000" w:fill="FFFFFF"/>
            <w:noWrap/>
            <w:vAlign w:val="bottom"/>
            <w:hideMark/>
          </w:tcPr>
          <w:p w:rsidR="00C00588" w:rsidRPr="00A05888" w:rsidRDefault="00C00588" w:rsidP="00C00588">
            <w:r w:rsidRPr="00A05888">
              <w:t> </w:t>
            </w:r>
          </w:p>
        </w:tc>
        <w:tc>
          <w:tcPr>
            <w:tcW w:w="2970" w:type="dxa"/>
            <w:tcBorders>
              <w:top w:val="nil"/>
              <w:left w:val="nil"/>
              <w:bottom w:val="single" w:sz="4" w:space="0" w:color="auto"/>
              <w:right w:val="nil"/>
            </w:tcBorders>
            <w:shd w:val="clear" w:color="000000" w:fill="FFFFFF"/>
            <w:noWrap/>
            <w:vAlign w:val="bottom"/>
            <w:hideMark/>
          </w:tcPr>
          <w:p w:rsidR="00C00588" w:rsidRPr="00A05888" w:rsidRDefault="00C00588" w:rsidP="00C00588">
            <w:r w:rsidRPr="00A05888">
              <w:t> </w:t>
            </w:r>
          </w:p>
        </w:tc>
        <w:tc>
          <w:tcPr>
            <w:tcW w:w="1416" w:type="dxa"/>
            <w:tcBorders>
              <w:top w:val="nil"/>
              <w:left w:val="nil"/>
              <w:bottom w:val="single" w:sz="4" w:space="0" w:color="auto"/>
              <w:right w:val="nil"/>
            </w:tcBorders>
            <w:shd w:val="clear" w:color="000000" w:fill="FFFFFF"/>
            <w:noWrap/>
            <w:vAlign w:val="bottom"/>
            <w:hideMark/>
          </w:tcPr>
          <w:p w:rsidR="00C00588" w:rsidRPr="00A05888" w:rsidRDefault="00C00588" w:rsidP="00C00588">
            <w:r w:rsidRPr="00A05888">
              <w:t> </w:t>
            </w:r>
          </w:p>
        </w:tc>
        <w:tc>
          <w:tcPr>
            <w:tcW w:w="1394" w:type="dxa"/>
            <w:tcBorders>
              <w:top w:val="nil"/>
              <w:left w:val="nil"/>
              <w:bottom w:val="single" w:sz="4" w:space="0" w:color="auto"/>
              <w:right w:val="nil"/>
            </w:tcBorders>
            <w:shd w:val="clear" w:color="000000" w:fill="FFFFFF"/>
            <w:noWrap/>
            <w:vAlign w:val="bottom"/>
            <w:hideMark/>
          </w:tcPr>
          <w:p w:rsidR="00C00588" w:rsidRPr="00A05888" w:rsidRDefault="00C00588" w:rsidP="00C00588">
            <w:r w:rsidRPr="00A05888">
              <w:t> </w:t>
            </w:r>
          </w:p>
        </w:tc>
        <w:tc>
          <w:tcPr>
            <w:tcW w:w="1530" w:type="dxa"/>
            <w:tcBorders>
              <w:top w:val="nil"/>
              <w:left w:val="nil"/>
              <w:bottom w:val="single" w:sz="4" w:space="0" w:color="auto"/>
              <w:right w:val="nil"/>
            </w:tcBorders>
            <w:shd w:val="clear" w:color="000000" w:fill="FFFFFF"/>
            <w:noWrap/>
            <w:vAlign w:val="bottom"/>
            <w:hideMark/>
          </w:tcPr>
          <w:p w:rsidR="00C00588" w:rsidRPr="00A05888" w:rsidRDefault="00C00588" w:rsidP="00C00588">
            <w:r w:rsidRPr="00A05888">
              <w:t> </w:t>
            </w:r>
          </w:p>
        </w:tc>
        <w:tc>
          <w:tcPr>
            <w:tcW w:w="1440" w:type="dxa"/>
            <w:tcBorders>
              <w:top w:val="nil"/>
              <w:left w:val="nil"/>
              <w:bottom w:val="single" w:sz="4" w:space="0" w:color="auto"/>
              <w:right w:val="nil"/>
            </w:tcBorders>
            <w:shd w:val="clear" w:color="000000" w:fill="FFFFFF"/>
            <w:noWrap/>
            <w:vAlign w:val="bottom"/>
            <w:hideMark/>
          </w:tcPr>
          <w:p w:rsidR="00C00588" w:rsidRPr="00A05888" w:rsidRDefault="00C00588" w:rsidP="00C00588">
            <w:r w:rsidRPr="00A05888">
              <w:t> </w:t>
            </w:r>
          </w:p>
        </w:tc>
        <w:tc>
          <w:tcPr>
            <w:tcW w:w="1620" w:type="dxa"/>
            <w:tcBorders>
              <w:top w:val="nil"/>
              <w:left w:val="nil"/>
              <w:bottom w:val="single" w:sz="4" w:space="0" w:color="auto"/>
              <w:right w:val="nil"/>
            </w:tcBorders>
            <w:shd w:val="clear" w:color="000000" w:fill="FFFFFF"/>
            <w:noWrap/>
            <w:vAlign w:val="bottom"/>
            <w:hideMark/>
          </w:tcPr>
          <w:p w:rsidR="00C00588" w:rsidRPr="00A05888" w:rsidRDefault="00C00588" w:rsidP="00C00588">
            <w:r w:rsidRPr="00A05888">
              <w:t> </w:t>
            </w:r>
          </w:p>
        </w:tc>
        <w:tc>
          <w:tcPr>
            <w:tcW w:w="334" w:type="dxa"/>
            <w:tcBorders>
              <w:top w:val="nil"/>
              <w:left w:val="nil"/>
              <w:bottom w:val="single" w:sz="4" w:space="0" w:color="auto"/>
              <w:right w:val="single" w:sz="4" w:space="0" w:color="auto"/>
            </w:tcBorders>
            <w:shd w:val="clear" w:color="000000" w:fill="FFFFFF"/>
            <w:noWrap/>
            <w:vAlign w:val="bottom"/>
            <w:hideMark/>
          </w:tcPr>
          <w:p w:rsidR="00C00588" w:rsidRPr="00A05888" w:rsidRDefault="00C00588" w:rsidP="00C00588">
            <w:r w:rsidRPr="00A05888">
              <w:t> </w:t>
            </w:r>
          </w:p>
        </w:tc>
      </w:tr>
    </w:tbl>
    <w:p w:rsidR="00C00588" w:rsidRDefault="00C00588" w:rsidP="00C00588">
      <w:pPr>
        <w:pStyle w:val="BodyText"/>
      </w:pPr>
    </w:p>
    <w:p w:rsidR="00C00588" w:rsidRDefault="00C00588" w:rsidP="00C00588"/>
    <w:p w:rsidR="00C00588" w:rsidRDefault="00C00588" w:rsidP="00C00588">
      <w:pPr>
        <w:sectPr w:rsidR="00C00588" w:rsidSect="00C00588">
          <w:headerReference w:type="default" r:id="rId19"/>
          <w:footerReference w:type="default" r:id="rId20"/>
          <w:pgSz w:w="12240" w:h="15840" w:code="1"/>
          <w:pgMar w:top="1584" w:right="1440" w:bottom="1440" w:left="1440" w:header="720" w:footer="720" w:gutter="0"/>
          <w:cols w:space="720"/>
          <w:formProt w:val="0"/>
          <w:docGrid w:linePitch="360"/>
        </w:sectPr>
      </w:pPr>
    </w:p>
    <w:p w:rsidR="00C00588" w:rsidRDefault="00C00588" w:rsidP="00C00588"/>
    <w:tbl>
      <w:tblPr>
        <w:tblW w:w="11077" w:type="dxa"/>
        <w:jc w:val="center"/>
        <w:tblLook w:val="04A0" w:firstRow="1" w:lastRow="0" w:firstColumn="1" w:lastColumn="0" w:noHBand="0" w:noVBand="1"/>
      </w:tblPr>
      <w:tblGrid>
        <w:gridCol w:w="639"/>
        <w:gridCol w:w="2997"/>
        <w:gridCol w:w="1110"/>
        <w:gridCol w:w="306"/>
        <w:gridCol w:w="1276"/>
        <w:gridCol w:w="1530"/>
        <w:gridCol w:w="1296"/>
        <w:gridCol w:w="1563"/>
        <w:gridCol w:w="360"/>
      </w:tblGrid>
      <w:tr w:rsidR="00C00588" w:rsidRPr="00A05888" w:rsidTr="001F483A">
        <w:trPr>
          <w:trHeight w:val="300"/>
          <w:jc w:val="center"/>
        </w:trPr>
        <w:tc>
          <w:tcPr>
            <w:tcW w:w="3636" w:type="dxa"/>
            <w:gridSpan w:val="2"/>
            <w:tcBorders>
              <w:top w:val="single" w:sz="4" w:space="0" w:color="auto"/>
              <w:left w:val="single" w:sz="4" w:space="0" w:color="auto"/>
              <w:bottom w:val="nil"/>
              <w:right w:val="nil"/>
            </w:tcBorders>
            <w:shd w:val="clear" w:color="auto" w:fill="auto"/>
            <w:noWrap/>
            <w:vAlign w:val="bottom"/>
            <w:hideMark/>
          </w:tcPr>
          <w:p w:rsidR="00C00588" w:rsidRPr="00A05888" w:rsidRDefault="00C00588" w:rsidP="00C00588">
            <w:pPr>
              <w:rPr>
                <w:rFonts w:ascii="Arial" w:hAnsi="Arial" w:cs="Arial"/>
                <w:b/>
                <w:bCs/>
              </w:rPr>
            </w:pPr>
            <w:bookmarkStart w:id="22" w:name="RANGE!A39:I66"/>
            <w:r w:rsidRPr="00A05888">
              <w:rPr>
                <w:rFonts w:ascii="Arial" w:hAnsi="Arial" w:cs="Arial"/>
                <w:b/>
                <w:bCs/>
              </w:rPr>
              <w:t>Gibson Place Utilities, LLC</w:t>
            </w:r>
            <w:bookmarkEnd w:id="22"/>
          </w:p>
        </w:tc>
        <w:tc>
          <w:tcPr>
            <w:tcW w:w="1416" w:type="dxa"/>
            <w:gridSpan w:val="2"/>
            <w:tcBorders>
              <w:top w:val="single" w:sz="4" w:space="0" w:color="auto"/>
              <w:left w:val="nil"/>
              <w:bottom w:val="nil"/>
              <w:right w:val="nil"/>
            </w:tcBorders>
            <w:shd w:val="clear" w:color="auto" w:fill="auto"/>
            <w:noWrap/>
            <w:vAlign w:val="bottom"/>
            <w:hideMark/>
          </w:tcPr>
          <w:p w:rsidR="00C00588" w:rsidRPr="00A05888" w:rsidRDefault="00C00588" w:rsidP="00C00588">
            <w:pPr>
              <w:rPr>
                <w:rFonts w:ascii="SWISS" w:hAnsi="SWISS" w:cs="Arial"/>
                <w:b/>
                <w:bCs/>
              </w:rPr>
            </w:pPr>
            <w:r w:rsidRPr="00A05888">
              <w:rPr>
                <w:rFonts w:ascii="SWISS" w:hAnsi="SWISS" w:cs="Arial"/>
                <w:b/>
                <w:bCs/>
              </w:rPr>
              <w:t> </w:t>
            </w:r>
          </w:p>
        </w:tc>
        <w:tc>
          <w:tcPr>
            <w:tcW w:w="1276" w:type="dxa"/>
            <w:tcBorders>
              <w:top w:val="single" w:sz="4" w:space="0" w:color="auto"/>
              <w:left w:val="nil"/>
              <w:bottom w:val="nil"/>
              <w:right w:val="nil"/>
            </w:tcBorders>
            <w:shd w:val="clear" w:color="auto" w:fill="auto"/>
            <w:noWrap/>
            <w:vAlign w:val="bottom"/>
            <w:hideMark/>
          </w:tcPr>
          <w:p w:rsidR="00C00588" w:rsidRPr="00A05888" w:rsidRDefault="00C00588" w:rsidP="00C00588">
            <w:pPr>
              <w:rPr>
                <w:rFonts w:ascii="SWISS" w:hAnsi="SWISS" w:cs="Arial"/>
                <w:b/>
                <w:bCs/>
              </w:rPr>
            </w:pPr>
            <w:r w:rsidRPr="00A05888">
              <w:rPr>
                <w:rFonts w:ascii="SWISS" w:hAnsi="SWISS" w:cs="Arial"/>
                <w:b/>
                <w:bCs/>
              </w:rPr>
              <w:t> </w:t>
            </w:r>
          </w:p>
        </w:tc>
        <w:tc>
          <w:tcPr>
            <w:tcW w:w="1530" w:type="dxa"/>
            <w:tcBorders>
              <w:top w:val="single" w:sz="4" w:space="0" w:color="auto"/>
              <w:left w:val="nil"/>
              <w:bottom w:val="nil"/>
              <w:right w:val="nil"/>
            </w:tcBorders>
            <w:shd w:val="clear" w:color="auto" w:fill="auto"/>
            <w:noWrap/>
            <w:vAlign w:val="bottom"/>
            <w:hideMark/>
          </w:tcPr>
          <w:p w:rsidR="00C00588" w:rsidRPr="00A05888" w:rsidRDefault="00C00588" w:rsidP="00C00588">
            <w:pPr>
              <w:rPr>
                <w:rFonts w:ascii="SWISS" w:hAnsi="SWISS" w:cs="Arial"/>
                <w:b/>
                <w:bCs/>
              </w:rPr>
            </w:pPr>
            <w:r w:rsidRPr="00A05888">
              <w:rPr>
                <w:rFonts w:ascii="SWISS" w:hAnsi="SWISS" w:cs="Arial"/>
                <w:b/>
                <w:bCs/>
              </w:rPr>
              <w:t> </w:t>
            </w:r>
          </w:p>
        </w:tc>
        <w:tc>
          <w:tcPr>
            <w:tcW w:w="3219" w:type="dxa"/>
            <w:gridSpan w:val="3"/>
            <w:tcBorders>
              <w:top w:val="single" w:sz="4" w:space="0" w:color="auto"/>
              <w:left w:val="nil"/>
              <w:bottom w:val="nil"/>
              <w:right w:val="single" w:sz="4" w:space="0" w:color="000000"/>
            </w:tcBorders>
            <w:shd w:val="clear" w:color="auto" w:fill="auto"/>
            <w:noWrap/>
            <w:vAlign w:val="bottom"/>
            <w:hideMark/>
          </w:tcPr>
          <w:p w:rsidR="00C00588" w:rsidRPr="00A05888" w:rsidRDefault="00C00588" w:rsidP="00C00588">
            <w:pPr>
              <w:jc w:val="right"/>
              <w:rPr>
                <w:rFonts w:ascii="Arial" w:hAnsi="Arial" w:cs="Arial"/>
                <w:b/>
                <w:bCs/>
              </w:rPr>
            </w:pPr>
            <w:r w:rsidRPr="00A05888">
              <w:rPr>
                <w:rFonts w:ascii="Arial" w:hAnsi="Arial" w:cs="Arial"/>
                <w:b/>
                <w:bCs/>
              </w:rPr>
              <w:t>Schedule No. 3-B</w:t>
            </w:r>
          </w:p>
        </w:tc>
      </w:tr>
      <w:tr w:rsidR="00C00588" w:rsidRPr="00A05888" w:rsidTr="001F483A">
        <w:trPr>
          <w:trHeight w:val="300"/>
          <w:jc w:val="center"/>
        </w:trPr>
        <w:tc>
          <w:tcPr>
            <w:tcW w:w="4746" w:type="dxa"/>
            <w:gridSpan w:val="3"/>
            <w:tcBorders>
              <w:top w:val="nil"/>
              <w:left w:val="single" w:sz="4" w:space="0" w:color="auto"/>
              <w:bottom w:val="nil"/>
              <w:right w:val="nil"/>
            </w:tcBorders>
            <w:shd w:val="clear" w:color="auto" w:fill="auto"/>
            <w:noWrap/>
            <w:vAlign w:val="bottom"/>
            <w:hideMark/>
          </w:tcPr>
          <w:p w:rsidR="00C00588" w:rsidRPr="00A05888" w:rsidRDefault="00C00588" w:rsidP="00C00588">
            <w:pPr>
              <w:rPr>
                <w:rFonts w:ascii="Arial" w:hAnsi="Arial" w:cs="Arial"/>
                <w:b/>
                <w:bCs/>
              </w:rPr>
            </w:pPr>
            <w:r w:rsidRPr="00A05888">
              <w:rPr>
                <w:rFonts w:ascii="Arial" w:hAnsi="Arial" w:cs="Arial"/>
                <w:b/>
                <w:bCs/>
              </w:rPr>
              <w:t>Statement of Wastewater Operations</w:t>
            </w:r>
          </w:p>
        </w:tc>
        <w:tc>
          <w:tcPr>
            <w:tcW w:w="306" w:type="dxa"/>
            <w:tcBorders>
              <w:top w:val="nil"/>
              <w:left w:val="nil"/>
              <w:bottom w:val="nil"/>
              <w:right w:val="nil"/>
            </w:tcBorders>
            <w:shd w:val="clear" w:color="auto" w:fill="auto"/>
            <w:noWrap/>
            <w:vAlign w:val="bottom"/>
            <w:hideMark/>
          </w:tcPr>
          <w:p w:rsidR="00C00588" w:rsidRPr="00A05888" w:rsidRDefault="00C00588" w:rsidP="00C00588">
            <w:pPr>
              <w:rPr>
                <w:rFonts w:ascii="Arial" w:hAnsi="Arial" w:cs="Arial"/>
                <w:b/>
                <w:bCs/>
              </w:rPr>
            </w:pPr>
          </w:p>
        </w:tc>
        <w:tc>
          <w:tcPr>
            <w:tcW w:w="1276" w:type="dxa"/>
            <w:tcBorders>
              <w:top w:val="nil"/>
              <w:left w:val="nil"/>
              <w:bottom w:val="nil"/>
              <w:right w:val="nil"/>
            </w:tcBorders>
            <w:shd w:val="clear" w:color="auto" w:fill="auto"/>
            <w:noWrap/>
            <w:vAlign w:val="bottom"/>
            <w:hideMark/>
          </w:tcPr>
          <w:p w:rsidR="00C00588" w:rsidRPr="00A05888" w:rsidRDefault="00C00588" w:rsidP="00C00588"/>
        </w:tc>
        <w:tc>
          <w:tcPr>
            <w:tcW w:w="1530" w:type="dxa"/>
            <w:tcBorders>
              <w:top w:val="nil"/>
              <w:left w:val="nil"/>
              <w:bottom w:val="nil"/>
              <w:right w:val="nil"/>
            </w:tcBorders>
            <w:shd w:val="clear" w:color="auto" w:fill="auto"/>
            <w:noWrap/>
            <w:vAlign w:val="bottom"/>
            <w:hideMark/>
          </w:tcPr>
          <w:p w:rsidR="00C00588" w:rsidRPr="00A05888" w:rsidRDefault="00C00588" w:rsidP="00C00588"/>
        </w:tc>
        <w:tc>
          <w:tcPr>
            <w:tcW w:w="3219" w:type="dxa"/>
            <w:gridSpan w:val="3"/>
            <w:tcBorders>
              <w:top w:val="nil"/>
              <w:left w:val="nil"/>
              <w:bottom w:val="nil"/>
              <w:right w:val="single" w:sz="4" w:space="0" w:color="000000"/>
            </w:tcBorders>
            <w:shd w:val="clear" w:color="auto" w:fill="auto"/>
            <w:noWrap/>
            <w:vAlign w:val="bottom"/>
            <w:hideMark/>
          </w:tcPr>
          <w:p w:rsidR="00C00588" w:rsidRPr="00A05888" w:rsidRDefault="00C00588" w:rsidP="00C00588">
            <w:pPr>
              <w:jc w:val="right"/>
              <w:rPr>
                <w:rFonts w:ascii="Arial" w:hAnsi="Arial" w:cs="Arial"/>
                <w:b/>
                <w:bCs/>
              </w:rPr>
            </w:pPr>
            <w:r w:rsidRPr="00A05888">
              <w:rPr>
                <w:rFonts w:ascii="Arial" w:hAnsi="Arial" w:cs="Arial"/>
                <w:b/>
                <w:bCs/>
              </w:rPr>
              <w:t>20200185-WS</w:t>
            </w:r>
          </w:p>
        </w:tc>
      </w:tr>
      <w:tr w:rsidR="00C00588" w:rsidRPr="00A05888" w:rsidTr="001F483A">
        <w:trPr>
          <w:trHeight w:val="300"/>
          <w:jc w:val="center"/>
        </w:trPr>
        <w:tc>
          <w:tcPr>
            <w:tcW w:w="3636" w:type="dxa"/>
            <w:gridSpan w:val="2"/>
            <w:tcBorders>
              <w:top w:val="nil"/>
              <w:left w:val="single" w:sz="4" w:space="0" w:color="auto"/>
              <w:bottom w:val="single" w:sz="4" w:space="0" w:color="auto"/>
              <w:right w:val="nil"/>
            </w:tcBorders>
            <w:shd w:val="clear" w:color="auto" w:fill="auto"/>
            <w:noWrap/>
            <w:hideMark/>
          </w:tcPr>
          <w:p w:rsidR="00C00588" w:rsidRPr="00A05888" w:rsidRDefault="00C00588" w:rsidP="00C00588">
            <w:pPr>
              <w:rPr>
                <w:rFonts w:ascii="Arial" w:hAnsi="Arial" w:cs="Arial"/>
                <w:b/>
                <w:bCs/>
              </w:rPr>
            </w:pPr>
            <w:r w:rsidRPr="00A05888">
              <w:rPr>
                <w:rFonts w:ascii="Arial" w:hAnsi="Arial" w:cs="Arial"/>
                <w:b/>
                <w:bCs/>
              </w:rPr>
              <w:t>80% of Design Capacity</w:t>
            </w:r>
          </w:p>
        </w:tc>
        <w:tc>
          <w:tcPr>
            <w:tcW w:w="1416" w:type="dxa"/>
            <w:gridSpan w:val="2"/>
            <w:tcBorders>
              <w:top w:val="nil"/>
              <w:left w:val="nil"/>
              <w:bottom w:val="single" w:sz="4" w:space="0" w:color="auto"/>
              <w:right w:val="nil"/>
            </w:tcBorders>
            <w:shd w:val="clear" w:color="auto" w:fill="auto"/>
            <w:noWrap/>
            <w:vAlign w:val="bottom"/>
            <w:hideMark/>
          </w:tcPr>
          <w:p w:rsidR="00C00588" w:rsidRPr="00A05888" w:rsidRDefault="00C00588" w:rsidP="00C00588">
            <w:pPr>
              <w:rPr>
                <w:rFonts w:ascii="SWISS" w:hAnsi="SWISS" w:cs="Arial"/>
                <w:b/>
                <w:bCs/>
              </w:rPr>
            </w:pPr>
            <w:r w:rsidRPr="00A05888">
              <w:rPr>
                <w:rFonts w:ascii="SWISS" w:hAnsi="SWISS" w:cs="Arial"/>
                <w:b/>
                <w:bCs/>
              </w:rPr>
              <w:t> </w:t>
            </w:r>
          </w:p>
        </w:tc>
        <w:tc>
          <w:tcPr>
            <w:tcW w:w="1276" w:type="dxa"/>
            <w:tcBorders>
              <w:top w:val="nil"/>
              <w:left w:val="nil"/>
              <w:bottom w:val="single" w:sz="4" w:space="0" w:color="auto"/>
              <w:right w:val="nil"/>
            </w:tcBorders>
            <w:shd w:val="clear" w:color="auto" w:fill="auto"/>
            <w:noWrap/>
            <w:vAlign w:val="bottom"/>
            <w:hideMark/>
          </w:tcPr>
          <w:p w:rsidR="00C00588" w:rsidRPr="00A05888" w:rsidRDefault="00C00588" w:rsidP="00C00588">
            <w:pPr>
              <w:rPr>
                <w:rFonts w:ascii="SWISS" w:hAnsi="SWISS" w:cs="Arial"/>
                <w:b/>
                <w:bCs/>
              </w:rPr>
            </w:pPr>
            <w:r w:rsidRPr="00A05888">
              <w:rPr>
                <w:rFonts w:ascii="SWISS" w:hAnsi="SWISS" w:cs="Arial"/>
                <w:b/>
                <w:bCs/>
              </w:rPr>
              <w:t> </w:t>
            </w:r>
          </w:p>
        </w:tc>
        <w:tc>
          <w:tcPr>
            <w:tcW w:w="1530" w:type="dxa"/>
            <w:tcBorders>
              <w:top w:val="nil"/>
              <w:left w:val="nil"/>
              <w:bottom w:val="single" w:sz="4" w:space="0" w:color="auto"/>
              <w:right w:val="nil"/>
            </w:tcBorders>
            <w:shd w:val="clear" w:color="auto" w:fill="auto"/>
            <w:noWrap/>
            <w:vAlign w:val="bottom"/>
            <w:hideMark/>
          </w:tcPr>
          <w:p w:rsidR="00C00588" w:rsidRPr="00A05888" w:rsidRDefault="00C00588" w:rsidP="00C00588">
            <w:pPr>
              <w:rPr>
                <w:rFonts w:ascii="SWISS" w:hAnsi="SWISS" w:cs="Arial"/>
                <w:b/>
                <w:bCs/>
              </w:rPr>
            </w:pPr>
            <w:r w:rsidRPr="00A05888">
              <w:rPr>
                <w:rFonts w:ascii="SWISS" w:hAnsi="SWISS" w:cs="Arial"/>
                <w:b/>
                <w:bCs/>
              </w:rPr>
              <w:t> </w:t>
            </w:r>
          </w:p>
        </w:tc>
        <w:tc>
          <w:tcPr>
            <w:tcW w:w="1296" w:type="dxa"/>
            <w:tcBorders>
              <w:top w:val="nil"/>
              <w:left w:val="nil"/>
              <w:bottom w:val="single" w:sz="4" w:space="0" w:color="auto"/>
              <w:right w:val="nil"/>
            </w:tcBorders>
            <w:shd w:val="clear" w:color="auto" w:fill="auto"/>
            <w:noWrap/>
            <w:vAlign w:val="bottom"/>
            <w:hideMark/>
          </w:tcPr>
          <w:p w:rsidR="00C00588" w:rsidRPr="00A05888" w:rsidRDefault="00C00588" w:rsidP="00C00588">
            <w:pPr>
              <w:rPr>
                <w:rFonts w:ascii="SWISS" w:hAnsi="SWISS" w:cs="Arial"/>
                <w:b/>
                <w:bCs/>
              </w:rPr>
            </w:pPr>
            <w:r w:rsidRPr="00A05888">
              <w:rPr>
                <w:rFonts w:ascii="SWISS" w:hAnsi="SWISS" w:cs="Arial"/>
                <w:b/>
                <w:bCs/>
              </w:rPr>
              <w:t> </w:t>
            </w:r>
          </w:p>
        </w:tc>
        <w:tc>
          <w:tcPr>
            <w:tcW w:w="1563" w:type="dxa"/>
            <w:tcBorders>
              <w:top w:val="nil"/>
              <w:left w:val="nil"/>
              <w:bottom w:val="single" w:sz="4" w:space="0" w:color="auto"/>
              <w:right w:val="nil"/>
            </w:tcBorders>
            <w:shd w:val="clear" w:color="auto" w:fill="auto"/>
            <w:noWrap/>
            <w:vAlign w:val="bottom"/>
            <w:hideMark/>
          </w:tcPr>
          <w:p w:rsidR="00C00588" w:rsidRPr="00A05888" w:rsidRDefault="00C00588" w:rsidP="00C00588">
            <w:pPr>
              <w:rPr>
                <w:rFonts w:ascii="SWISS" w:hAnsi="SWISS" w:cs="Arial"/>
                <w:b/>
                <w:bCs/>
              </w:rPr>
            </w:pPr>
            <w:r w:rsidRPr="00A05888">
              <w:rPr>
                <w:rFonts w:ascii="SWISS" w:hAnsi="SWISS" w:cs="Arial"/>
                <w:b/>
                <w:bCs/>
              </w:rPr>
              <w:t> </w:t>
            </w:r>
          </w:p>
        </w:tc>
        <w:tc>
          <w:tcPr>
            <w:tcW w:w="360" w:type="dxa"/>
            <w:tcBorders>
              <w:top w:val="nil"/>
              <w:left w:val="nil"/>
              <w:bottom w:val="single" w:sz="4" w:space="0" w:color="auto"/>
              <w:right w:val="single" w:sz="4" w:space="0" w:color="auto"/>
            </w:tcBorders>
            <w:shd w:val="clear" w:color="auto" w:fill="auto"/>
            <w:noWrap/>
            <w:vAlign w:val="bottom"/>
            <w:hideMark/>
          </w:tcPr>
          <w:p w:rsidR="00C00588" w:rsidRPr="00A05888" w:rsidRDefault="00C00588" w:rsidP="00C00588">
            <w:pPr>
              <w:rPr>
                <w:rFonts w:ascii="SWISS" w:hAnsi="SWISS" w:cs="Arial"/>
                <w:b/>
                <w:bCs/>
              </w:rPr>
            </w:pPr>
            <w:r w:rsidRPr="00A05888">
              <w:rPr>
                <w:rFonts w:ascii="SWISS" w:hAnsi="SWISS" w:cs="Arial"/>
                <w:b/>
                <w:bCs/>
              </w:rPr>
              <w:t> </w:t>
            </w:r>
          </w:p>
        </w:tc>
      </w:tr>
      <w:tr w:rsidR="00C00588" w:rsidRPr="00A05888" w:rsidTr="001F483A">
        <w:trPr>
          <w:trHeight w:val="300"/>
          <w:jc w:val="center"/>
        </w:trPr>
        <w:tc>
          <w:tcPr>
            <w:tcW w:w="639" w:type="dxa"/>
            <w:tcBorders>
              <w:top w:val="nil"/>
              <w:left w:val="single" w:sz="4" w:space="0" w:color="auto"/>
              <w:bottom w:val="nil"/>
              <w:right w:val="nil"/>
            </w:tcBorders>
            <w:shd w:val="clear" w:color="auto" w:fill="auto"/>
            <w:noWrap/>
            <w:vAlign w:val="bottom"/>
            <w:hideMark/>
          </w:tcPr>
          <w:p w:rsidR="00C00588" w:rsidRPr="00A05888" w:rsidRDefault="00C00588" w:rsidP="00C00588">
            <w:pPr>
              <w:rPr>
                <w:b/>
                <w:bCs/>
              </w:rPr>
            </w:pPr>
            <w:r w:rsidRPr="00A05888">
              <w:rPr>
                <w:b/>
                <w:bCs/>
              </w:rPr>
              <w:t> </w:t>
            </w:r>
          </w:p>
        </w:tc>
        <w:tc>
          <w:tcPr>
            <w:tcW w:w="2997" w:type="dxa"/>
            <w:vMerge w:val="restart"/>
            <w:tcBorders>
              <w:top w:val="nil"/>
              <w:left w:val="nil"/>
              <w:bottom w:val="nil"/>
              <w:right w:val="nil"/>
            </w:tcBorders>
            <w:shd w:val="clear" w:color="auto" w:fill="auto"/>
            <w:vAlign w:val="center"/>
            <w:hideMark/>
          </w:tcPr>
          <w:p w:rsidR="00C00588" w:rsidRPr="00A05888" w:rsidRDefault="00C00588" w:rsidP="00C00588">
            <w:pPr>
              <w:jc w:val="center"/>
              <w:rPr>
                <w:b/>
                <w:bCs/>
              </w:rPr>
            </w:pPr>
            <w:r w:rsidRPr="00A05888">
              <w:rPr>
                <w:b/>
                <w:bCs/>
              </w:rPr>
              <w:t>Description</w:t>
            </w:r>
          </w:p>
        </w:tc>
        <w:tc>
          <w:tcPr>
            <w:tcW w:w="1416" w:type="dxa"/>
            <w:gridSpan w:val="2"/>
            <w:vMerge w:val="restart"/>
            <w:tcBorders>
              <w:top w:val="nil"/>
              <w:left w:val="nil"/>
              <w:bottom w:val="nil"/>
              <w:right w:val="nil"/>
            </w:tcBorders>
            <w:shd w:val="clear" w:color="auto" w:fill="auto"/>
            <w:vAlign w:val="center"/>
            <w:hideMark/>
          </w:tcPr>
          <w:p w:rsidR="00C00588" w:rsidRPr="00A05888" w:rsidRDefault="00C00588" w:rsidP="00C00588">
            <w:pPr>
              <w:jc w:val="center"/>
              <w:rPr>
                <w:b/>
                <w:bCs/>
              </w:rPr>
            </w:pPr>
            <w:r w:rsidRPr="00A05888">
              <w:rPr>
                <w:b/>
                <w:bCs/>
              </w:rPr>
              <w:t>Adjusted       Test Year      Per Utility</w:t>
            </w:r>
          </w:p>
        </w:tc>
        <w:tc>
          <w:tcPr>
            <w:tcW w:w="1276" w:type="dxa"/>
            <w:vMerge w:val="restart"/>
            <w:tcBorders>
              <w:top w:val="nil"/>
              <w:left w:val="nil"/>
              <w:bottom w:val="nil"/>
              <w:right w:val="nil"/>
            </w:tcBorders>
            <w:shd w:val="clear" w:color="auto" w:fill="auto"/>
            <w:vAlign w:val="center"/>
            <w:hideMark/>
          </w:tcPr>
          <w:p w:rsidR="00C00588" w:rsidRPr="00A05888" w:rsidRDefault="00C00588" w:rsidP="00C00588">
            <w:pPr>
              <w:jc w:val="center"/>
              <w:rPr>
                <w:b/>
                <w:bCs/>
              </w:rPr>
            </w:pPr>
            <w:r w:rsidRPr="00A05888">
              <w:rPr>
                <w:b/>
                <w:bCs/>
              </w:rPr>
              <w:t xml:space="preserve">Staff      Adjust-    </w:t>
            </w:r>
            <w:proofErr w:type="spellStart"/>
            <w:r w:rsidRPr="00A05888">
              <w:rPr>
                <w:b/>
                <w:bCs/>
              </w:rPr>
              <w:t>ments</w:t>
            </w:r>
            <w:proofErr w:type="spellEnd"/>
          </w:p>
        </w:tc>
        <w:tc>
          <w:tcPr>
            <w:tcW w:w="1530" w:type="dxa"/>
            <w:vMerge w:val="restart"/>
            <w:tcBorders>
              <w:top w:val="nil"/>
              <w:left w:val="nil"/>
              <w:bottom w:val="nil"/>
              <w:right w:val="nil"/>
            </w:tcBorders>
            <w:shd w:val="clear" w:color="auto" w:fill="auto"/>
            <w:vAlign w:val="center"/>
            <w:hideMark/>
          </w:tcPr>
          <w:p w:rsidR="00C00588" w:rsidRPr="00A05888" w:rsidRDefault="00C00588" w:rsidP="00C00588">
            <w:pPr>
              <w:jc w:val="center"/>
              <w:rPr>
                <w:b/>
                <w:bCs/>
              </w:rPr>
            </w:pPr>
            <w:r w:rsidRPr="00A05888">
              <w:rPr>
                <w:b/>
                <w:bCs/>
              </w:rPr>
              <w:t>Staff    Adjusted    Test Year</w:t>
            </w:r>
          </w:p>
        </w:tc>
        <w:tc>
          <w:tcPr>
            <w:tcW w:w="1296" w:type="dxa"/>
            <w:vMerge w:val="restart"/>
            <w:tcBorders>
              <w:top w:val="nil"/>
              <w:left w:val="nil"/>
              <w:bottom w:val="nil"/>
              <w:right w:val="nil"/>
            </w:tcBorders>
            <w:shd w:val="clear" w:color="auto" w:fill="auto"/>
            <w:vAlign w:val="center"/>
            <w:hideMark/>
          </w:tcPr>
          <w:p w:rsidR="00C00588" w:rsidRPr="00A05888" w:rsidRDefault="00C00588" w:rsidP="00C00588">
            <w:pPr>
              <w:jc w:val="center"/>
              <w:rPr>
                <w:b/>
                <w:bCs/>
              </w:rPr>
            </w:pPr>
            <w:r w:rsidRPr="00A05888">
              <w:rPr>
                <w:b/>
                <w:bCs/>
              </w:rPr>
              <w:t>Revenue Increase</w:t>
            </w:r>
          </w:p>
        </w:tc>
        <w:tc>
          <w:tcPr>
            <w:tcW w:w="1563" w:type="dxa"/>
            <w:vMerge w:val="restart"/>
            <w:tcBorders>
              <w:top w:val="nil"/>
              <w:left w:val="nil"/>
              <w:bottom w:val="nil"/>
              <w:right w:val="nil"/>
            </w:tcBorders>
            <w:shd w:val="clear" w:color="auto" w:fill="auto"/>
            <w:vAlign w:val="center"/>
            <w:hideMark/>
          </w:tcPr>
          <w:p w:rsidR="00C00588" w:rsidRPr="00A05888" w:rsidRDefault="00C00588" w:rsidP="00C00588">
            <w:pPr>
              <w:jc w:val="center"/>
              <w:rPr>
                <w:b/>
                <w:bCs/>
              </w:rPr>
            </w:pPr>
            <w:r w:rsidRPr="00A05888">
              <w:rPr>
                <w:b/>
                <w:bCs/>
              </w:rPr>
              <w:t>Revenue Requirement</w:t>
            </w:r>
          </w:p>
        </w:tc>
        <w:tc>
          <w:tcPr>
            <w:tcW w:w="360" w:type="dxa"/>
            <w:tcBorders>
              <w:top w:val="nil"/>
              <w:left w:val="nil"/>
              <w:bottom w:val="nil"/>
              <w:right w:val="single" w:sz="4" w:space="0" w:color="auto"/>
            </w:tcBorders>
            <w:shd w:val="clear" w:color="auto" w:fill="auto"/>
            <w:noWrap/>
            <w:vAlign w:val="bottom"/>
            <w:hideMark/>
          </w:tcPr>
          <w:p w:rsidR="00C00588" w:rsidRPr="00A05888" w:rsidRDefault="00C00588" w:rsidP="00C00588">
            <w:pPr>
              <w:rPr>
                <w:b/>
                <w:bCs/>
              </w:rPr>
            </w:pPr>
            <w:r w:rsidRPr="00A05888">
              <w:rPr>
                <w:b/>
                <w:bCs/>
              </w:rPr>
              <w:t> </w:t>
            </w:r>
          </w:p>
        </w:tc>
      </w:tr>
      <w:tr w:rsidR="00C00588" w:rsidRPr="00A05888" w:rsidTr="001F483A">
        <w:trPr>
          <w:trHeight w:val="300"/>
          <w:jc w:val="center"/>
        </w:trPr>
        <w:tc>
          <w:tcPr>
            <w:tcW w:w="639" w:type="dxa"/>
            <w:tcBorders>
              <w:top w:val="nil"/>
              <w:left w:val="single" w:sz="4" w:space="0" w:color="auto"/>
              <w:bottom w:val="nil"/>
              <w:right w:val="nil"/>
            </w:tcBorders>
            <w:shd w:val="clear" w:color="auto" w:fill="auto"/>
            <w:noWrap/>
            <w:vAlign w:val="bottom"/>
            <w:hideMark/>
          </w:tcPr>
          <w:p w:rsidR="00C00588" w:rsidRPr="00A05888" w:rsidRDefault="00C00588" w:rsidP="00C00588">
            <w:pPr>
              <w:rPr>
                <w:b/>
                <w:bCs/>
              </w:rPr>
            </w:pPr>
            <w:r w:rsidRPr="00A05888">
              <w:rPr>
                <w:b/>
                <w:bCs/>
              </w:rPr>
              <w:t> </w:t>
            </w:r>
          </w:p>
        </w:tc>
        <w:tc>
          <w:tcPr>
            <w:tcW w:w="2997" w:type="dxa"/>
            <w:vMerge/>
            <w:tcBorders>
              <w:top w:val="nil"/>
              <w:left w:val="nil"/>
              <w:bottom w:val="nil"/>
              <w:right w:val="nil"/>
            </w:tcBorders>
            <w:vAlign w:val="center"/>
            <w:hideMark/>
          </w:tcPr>
          <w:p w:rsidR="00C00588" w:rsidRPr="00A05888" w:rsidRDefault="00C00588" w:rsidP="00C00588">
            <w:pPr>
              <w:rPr>
                <w:b/>
                <w:bCs/>
              </w:rPr>
            </w:pPr>
          </w:p>
        </w:tc>
        <w:tc>
          <w:tcPr>
            <w:tcW w:w="1416" w:type="dxa"/>
            <w:gridSpan w:val="2"/>
            <w:vMerge/>
            <w:tcBorders>
              <w:top w:val="nil"/>
              <w:left w:val="nil"/>
              <w:bottom w:val="nil"/>
              <w:right w:val="nil"/>
            </w:tcBorders>
            <w:vAlign w:val="center"/>
            <w:hideMark/>
          </w:tcPr>
          <w:p w:rsidR="00C00588" w:rsidRPr="00A05888" w:rsidRDefault="00C00588" w:rsidP="00C00588">
            <w:pPr>
              <w:rPr>
                <w:b/>
                <w:bCs/>
              </w:rPr>
            </w:pPr>
          </w:p>
        </w:tc>
        <w:tc>
          <w:tcPr>
            <w:tcW w:w="1276" w:type="dxa"/>
            <w:vMerge/>
            <w:tcBorders>
              <w:top w:val="nil"/>
              <w:left w:val="nil"/>
              <w:bottom w:val="nil"/>
              <w:right w:val="nil"/>
            </w:tcBorders>
            <w:vAlign w:val="center"/>
            <w:hideMark/>
          </w:tcPr>
          <w:p w:rsidR="00C00588" w:rsidRPr="00A05888" w:rsidRDefault="00C00588" w:rsidP="00C00588">
            <w:pPr>
              <w:rPr>
                <w:b/>
                <w:bCs/>
              </w:rPr>
            </w:pPr>
          </w:p>
        </w:tc>
        <w:tc>
          <w:tcPr>
            <w:tcW w:w="1530" w:type="dxa"/>
            <w:vMerge/>
            <w:tcBorders>
              <w:top w:val="nil"/>
              <w:left w:val="nil"/>
              <w:bottom w:val="nil"/>
              <w:right w:val="nil"/>
            </w:tcBorders>
            <w:vAlign w:val="center"/>
            <w:hideMark/>
          </w:tcPr>
          <w:p w:rsidR="00C00588" w:rsidRPr="00A05888" w:rsidRDefault="00C00588" w:rsidP="00C00588">
            <w:pPr>
              <w:rPr>
                <w:b/>
                <w:bCs/>
              </w:rPr>
            </w:pPr>
          </w:p>
        </w:tc>
        <w:tc>
          <w:tcPr>
            <w:tcW w:w="1296" w:type="dxa"/>
            <w:vMerge/>
            <w:tcBorders>
              <w:top w:val="nil"/>
              <w:left w:val="nil"/>
              <w:bottom w:val="nil"/>
              <w:right w:val="nil"/>
            </w:tcBorders>
            <w:vAlign w:val="center"/>
            <w:hideMark/>
          </w:tcPr>
          <w:p w:rsidR="00C00588" w:rsidRPr="00A05888" w:rsidRDefault="00C00588" w:rsidP="00C00588">
            <w:pPr>
              <w:rPr>
                <w:b/>
                <w:bCs/>
              </w:rPr>
            </w:pPr>
          </w:p>
        </w:tc>
        <w:tc>
          <w:tcPr>
            <w:tcW w:w="1563" w:type="dxa"/>
            <w:vMerge/>
            <w:tcBorders>
              <w:top w:val="nil"/>
              <w:left w:val="nil"/>
              <w:bottom w:val="nil"/>
              <w:right w:val="nil"/>
            </w:tcBorders>
            <w:vAlign w:val="center"/>
            <w:hideMark/>
          </w:tcPr>
          <w:p w:rsidR="00C00588" w:rsidRPr="00A05888" w:rsidRDefault="00C00588" w:rsidP="00C00588">
            <w:pPr>
              <w:rPr>
                <w:b/>
                <w:bCs/>
              </w:rPr>
            </w:pPr>
          </w:p>
        </w:tc>
        <w:tc>
          <w:tcPr>
            <w:tcW w:w="360" w:type="dxa"/>
            <w:tcBorders>
              <w:top w:val="nil"/>
              <w:left w:val="nil"/>
              <w:bottom w:val="nil"/>
              <w:right w:val="single" w:sz="4" w:space="0" w:color="auto"/>
            </w:tcBorders>
            <w:shd w:val="clear" w:color="auto" w:fill="auto"/>
            <w:noWrap/>
            <w:vAlign w:val="bottom"/>
            <w:hideMark/>
          </w:tcPr>
          <w:p w:rsidR="00C00588" w:rsidRPr="00A05888" w:rsidRDefault="00C00588" w:rsidP="00C00588">
            <w:pPr>
              <w:jc w:val="center"/>
              <w:rPr>
                <w:b/>
                <w:bCs/>
              </w:rPr>
            </w:pPr>
            <w:r w:rsidRPr="00A05888">
              <w:rPr>
                <w:b/>
                <w:bCs/>
              </w:rPr>
              <w:t> </w:t>
            </w:r>
          </w:p>
        </w:tc>
      </w:tr>
      <w:tr w:rsidR="00C00588" w:rsidRPr="00A05888" w:rsidTr="001F483A">
        <w:trPr>
          <w:trHeight w:val="300"/>
          <w:jc w:val="center"/>
        </w:trPr>
        <w:tc>
          <w:tcPr>
            <w:tcW w:w="639" w:type="dxa"/>
            <w:tcBorders>
              <w:top w:val="nil"/>
              <w:left w:val="single" w:sz="4" w:space="0" w:color="auto"/>
              <w:bottom w:val="nil"/>
              <w:right w:val="nil"/>
            </w:tcBorders>
            <w:shd w:val="clear" w:color="auto" w:fill="auto"/>
            <w:noWrap/>
            <w:vAlign w:val="bottom"/>
            <w:hideMark/>
          </w:tcPr>
          <w:p w:rsidR="00C00588" w:rsidRPr="00A05888" w:rsidRDefault="00C00588" w:rsidP="00C00588">
            <w:pPr>
              <w:rPr>
                <w:b/>
                <w:bCs/>
              </w:rPr>
            </w:pPr>
            <w:r w:rsidRPr="00A05888">
              <w:rPr>
                <w:b/>
                <w:bCs/>
              </w:rPr>
              <w:t> </w:t>
            </w:r>
          </w:p>
        </w:tc>
        <w:tc>
          <w:tcPr>
            <w:tcW w:w="2997" w:type="dxa"/>
            <w:vMerge/>
            <w:tcBorders>
              <w:top w:val="nil"/>
              <w:left w:val="nil"/>
              <w:bottom w:val="nil"/>
              <w:right w:val="nil"/>
            </w:tcBorders>
            <w:vAlign w:val="center"/>
            <w:hideMark/>
          </w:tcPr>
          <w:p w:rsidR="00C00588" w:rsidRPr="00A05888" w:rsidRDefault="00C00588" w:rsidP="00C00588">
            <w:pPr>
              <w:rPr>
                <w:b/>
                <w:bCs/>
              </w:rPr>
            </w:pPr>
          </w:p>
        </w:tc>
        <w:tc>
          <w:tcPr>
            <w:tcW w:w="1416" w:type="dxa"/>
            <w:gridSpan w:val="2"/>
            <w:vMerge/>
            <w:tcBorders>
              <w:top w:val="nil"/>
              <w:left w:val="nil"/>
              <w:bottom w:val="nil"/>
              <w:right w:val="nil"/>
            </w:tcBorders>
            <w:vAlign w:val="center"/>
            <w:hideMark/>
          </w:tcPr>
          <w:p w:rsidR="00C00588" w:rsidRPr="00A05888" w:rsidRDefault="00C00588" w:rsidP="00C00588">
            <w:pPr>
              <w:rPr>
                <w:b/>
                <w:bCs/>
              </w:rPr>
            </w:pPr>
          </w:p>
        </w:tc>
        <w:tc>
          <w:tcPr>
            <w:tcW w:w="1276" w:type="dxa"/>
            <w:vMerge/>
            <w:tcBorders>
              <w:top w:val="nil"/>
              <w:left w:val="nil"/>
              <w:bottom w:val="nil"/>
              <w:right w:val="nil"/>
            </w:tcBorders>
            <w:vAlign w:val="center"/>
            <w:hideMark/>
          </w:tcPr>
          <w:p w:rsidR="00C00588" w:rsidRPr="00A05888" w:rsidRDefault="00C00588" w:rsidP="00C00588">
            <w:pPr>
              <w:rPr>
                <w:b/>
                <w:bCs/>
              </w:rPr>
            </w:pPr>
          </w:p>
        </w:tc>
        <w:tc>
          <w:tcPr>
            <w:tcW w:w="1530" w:type="dxa"/>
            <w:vMerge/>
            <w:tcBorders>
              <w:top w:val="nil"/>
              <w:left w:val="nil"/>
              <w:bottom w:val="nil"/>
              <w:right w:val="nil"/>
            </w:tcBorders>
            <w:vAlign w:val="center"/>
            <w:hideMark/>
          </w:tcPr>
          <w:p w:rsidR="00C00588" w:rsidRPr="00A05888" w:rsidRDefault="00C00588" w:rsidP="00C00588">
            <w:pPr>
              <w:rPr>
                <w:b/>
                <w:bCs/>
              </w:rPr>
            </w:pPr>
          </w:p>
        </w:tc>
        <w:tc>
          <w:tcPr>
            <w:tcW w:w="1296" w:type="dxa"/>
            <w:vMerge/>
            <w:tcBorders>
              <w:top w:val="nil"/>
              <w:left w:val="nil"/>
              <w:bottom w:val="nil"/>
              <w:right w:val="nil"/>
            </w:tcBorders>
            <w:vAlign w:val="center"/>
            <w:hideMark/>
          </w:tcPr>
          <w:p w:rsidR="00C00588" w:rsidRPr="00A05888" w:rsidRDefault="00C00588" w:rsidP="00C00588">
            <w:pPr>
              <w:rPr>
                <w:b/>
                <w:bCs/>
              </w:rPr>
            </w:pPr>
          </w:p>
        </w:tc>
        <w:tc>
          <w:tcPr>
            <w:tcW w:w="1563" w:type="dxa"/>
            <w:vMerge/>
            <w:tcBorders>
              <w:top w:val="nil"/>
              <w:left w:val="nil"/>
              <w:bottom w:val="nil"/>
              <w:right w:val="nil"/>
            </w:tcBorders>
            <w:vAlign w:val="center"/>
            <w:hideMark/>
          </w:tcPr>
          <w:p w:rsidR="00C00588" w:rsidRPr="00A05888" w:rsidRDefault="00C00588" w:rsidP="00C00588">
            <w:pPr>
              <w:rPr>
                <w:b/>
                <w:bCs/>
              </w:rPr>
            </w:pPr>
          </w:p>
        </w:tc>
        <w:tc>
          <w:tcPr>
            <w:tcW w:w="360" w:type="dxa"/>
            <w:tcBorders>
              <w:top w:val="nil"/>
              <w:left w:val="nil"/>
              <w:bottom w:val="nil"/>
              <w:right w:val="single" w:sz="4" w:space="0" w:color="auto"/>
            </w:tcBorders>
            <w:shd w:val="clear" w:color="auto" w:fill="auto"/>
            <w:noWrap/>
            <w:vAlign w:val="bottom"/>
            <w:hideMark/>
          </w:tcPr>
          <w:p w:rsidR="00C00588" w:rsidRPr="00A05888" w:rsidRDefault="00C00588" w:rsidP="00C00588">
            <w:pPr>
              <w:jc w:val="center"/>
              <w:rPr>
                <w:b/>
                <w:bCs/>
              </w:rPr>
            </w:pPr>
            <w:r w:rsidRPr="00A05888">
              <w:rPr>
                <w:b/>
                <w:bCs/>
              </w:rPr>
              <w:t> </w:t>
            </w:r>
          </w:p>
        </w:tc>
      </w:tr>
      <w:tr w:rsidR="00C00588" w:rsidRPr="00A05888" w:rsidTr="001F483A">
        <w:trPr>
          <w:trHeight w:val="300"/>
          <w:jc w:val="center"/>
        </w:trPr>
        <w:tc>
          <w:tcPr>
            <w:tcW w:w="639" w:type="dxa"/>
            <w:tcBorders>
              <w:top w:val="single" w:sz="4" w:space="0" w:color="000000"/>
              <w:left w:val="single" w:sz="4" w:space="0" w:color="auto"/>
              <w:bottom w:val="nil"/>
              <w:right w:val="nil"/>
            </w:tcBorders>
            <w:shd w:val="clear" w:color="auto" w:fill="auto"/>
            <w:noWrap/>
            <w:vAlign w:val="bottom"/>
            <w:hideMark/>
          </w:tcPr>
          <w:p w:rsidR="00C00588" w:rsidRPr="00A05888" w:rsidRDefault="00C00588" w:rsidP="00C00588">
            <w:pPr>
              <w:rPr>
                <w:rFonts w:ascii="Arial" w:hAnsi="Arial" w:cs="Arial"/>
              </w:rPr>
            </w:pPr>
            <w:r w:rsidRPr="00A05888">
              <w:rPr>
                <w:rFonts w:ascii="Arial" w:hAnsi="Arial" w:cs="Arial"/>
              </w:rPr>
              <w:t> </w:t>
            </w:r>
          </w:p>
        </w:tc>
        <w:tc>
          <w:tcPr>
            <w:tcW w:w="2997" w:type="dxa"/>
            <w:tcBorders>
              <w:top w:val="single" w:sz="4" w:space="0" w:color="000000"/>
              <w:left w:val="nil"/>
              <w:bottom w:val="nil"/>
              <w:right w:val="nil"/>
            </w:tcBorders>
            <w:shd w:val="clear" w:color="auto" w:fill="auto"/>
            <w:noWrap/>
            <w:vAlign w:val="bottom"/>
            <w:hideMark/>
          </w:tcPr>
          <w:p w:rsidR="00C00588" w:rsidRPr="00A05888" w:rsidRDefault="00C00588" w:rsidP="00C00588">
            <w:pPr>
              <w:rPr>
                <w:rFonts w:ascii="Arial" w:hAnsi="Arial" w:cs="Arial"/>
              </w:rPr>
            </w:pPr>
            <w:r w:rsidRPr="00A05888">
              <w:rPr>
                <w:rFonts w:ascii="Arial" w:hAnsi="Arial" w:cs="Arial"/>
              </w:rPr>
              <w:t> </w:t>
            </w:r>
          </w:p>
        </w:tc>
        <w:tc>
          <w:tcPr>
            <w:tcW w:w="1416" w:type="dxa"/>
            <w:gridSpan w:val="2"/>
            <w:tcBorders>
              <w:top w:val="single" w:sz="4" w:space="0" w:color="000000"/>
              <w:left w:val="nil"/>
              <w:bottom w:val="nil"/>
              <w:right w:val="nil"/>
            </w:tcBorders>
            <w:shd w:val="clear" w:color="auto" w:fill="auto"/>
            <w:noWrap/>
            <w:vAlign w:val="bottom"/>
            <w:hideMark/>
          </w:tcPr>
          <w:p w:rsidR="00C00588" w:rsidRPr="00A05888" w:rsidRDefault="00C00588" w:rsidP="00C00588">
            <w:pPr>
              <w:rPr>
                <w:rFonts w:ascii="Arial" w:hAnsi="Arial" w:cs="Arial"/>
              </w:rPr>
            </w:pPr>
            <w:r w:rsidRPr="00A05888">
              <w:rPr>
                <w:rFonts w:ascii="Arial" w:hAnsi="Arial" w:cs="Arial"/>
              </w:rPr>
              <w:t> </w:t>
            </w:r>
          </w:p>
        </w:tc>
        <w:tc>
          <w:tcPr>
            <w:tcW w:w="1276" w:type="dxa"/>
            <w:tcBorders>
              <w:top w:val="single" w:sz="4" w:space="0" w:color="000000"/>
              <w:left w:val="nil"/>
              <w:bottom w:val="nil"/>
              <w:right w:val="nil"/>
            </w:tcBorders>
            <w:shd w:val="clear" w:color="auto" w:fill="auto"/>
            <w:noWrap/>
            <w:vAlign w:val="bottom"/>
            <w:hideMark/>
          </w:tcPr>
          <w:p w:rsidR="00C00588" w:rsidRPr="00A05888" w:rsidRDefault="00C00588" w:rsidP="00C00588">
            <w:pPr>
              <w:rPr>
                <w:rFonts w:ascii="Arial" w:hAnsi="Arial" w:cs="Arial"/>
              </w:rPr>
            </w:pPr>
            <w:r w:rsidRPr="00A05888">
              <w:rPr>
                <w:rFonts w:ascii="Arial" w:hAnsi="Arial" w:cs="Arial"/>
              </w:rPr>
              <w:t> </w:t>
            </w:r>
          </w:p>
        </w:tc>
        <w:tc>
          <w:tcPr>
            <w:tcW w:w="1530" w:type="dxa"/>
            <w:tcBorders>
              <w:top w:val="single" w:sz="4" w:space="0" w:color="000000"/>
              <w:left w:val="nil"/>
              <w:bottom w:val="nil"/>
              <w:right w:val="nil"/>
            </w:tcBorders>
            <w:shd w:val="clear" w:color="auto" w:fill="auto"/>
            <w:noWrap/>
            <w:vAlign w:val="bottom"/>
            <w:hideMark/>
          </w:tcPr>
          <w:p w:rsidR="00C00588" w:rsidRPr="00A05888" w:rsidRDefault="00C00588" w:rsidP="00C00588">
            <w:pPr>
              <w:rPr>
                <w:rFonts w:ascii="Arial" w:hAnsi="Arial" w:cs="Arial"/>
              </w:rPr>
            </w:pPr>
            <w:r w:rsidRPr="00A05888">
              <w:rPr>
                <w:rFonts w:ascii="Arial" w:hAnsi="Arial" w:cs="Arial"/>
              </w:rPr>
              <w:t> </w:t>
            </w:r>
          </w:p>
        </w:tc>
        <w:tc>
          <w:tcPr>
            <w:tcW w:w="1296" w:type="dxa"/>
            <w:tcBorders>
              <w:top w:val="single" w:sz="4" w:space="0" w:color="000000"/>
              <w:left w:val="nil"/>
              <w:bottom w:val="nil"/>
              <w:right w:val="nil"/>
            </w:tcBorders>
            <w:shd w:val="clear" w:color="auto" w:fill="auto"/>
            <w:noWrap/>
            <w:vAlign w:val="bottom"/>
            <w:hideMark/>
          </w:tcPr>
          <w:p w:rsidR="00C00588" w:rsidRPr="00A05888" w:rsidRDefault="00C00588" w:rsidP="00C00588">
            <w:pPr>
              <w:rPr>
                <w:rFonts w:ascii="Arial" w:hAnsi="Arial" w:cs="Arial"/>
              </w:rPr>
            </w:pPr>
            <w:r w:rsidRPr="00A05888">
              <w:rPr>
                <w:rFonts w:ascii="Arial" w:hAnsi="Arial" w:cs="Arial"/>
              </w:rPr>
              <w:t> </w:t>
            </w:r>
          </w:p>
        </w:tc>
        <w:tc>
          <w:tcPr>
            <w:tcW w:w="1563" w:type="dxa"/>
            <w:tcBorders>
              <w:top w:val="single" w:sz="4" w:space="0" w:color="000000"/>
              <w:left w:val="nil"/>
              <w:bottom w:val="nil"/>
              <w:right w:val="nil"/>
            </w:tcBorders>
            <w:shd w:val="clear" w:color="auto" w:fill="auto"/>
            <w:noWrap/>
            <w:vAlign w:val="bottom"/>
            <w:hideMark/>
          </w:tcPr>
          <w:p w:rsidR="00C00588" w:rsidRPr="00A05888" w:rsidRDefault="00C00588" w:rsidP="00C00588">
            <w:pPr>
              <w:rPr>
                <w:rFonts w:ascii="Arial" w:hAnsi="Arial" w:cs="Arial"/>
              </w:rPr>
            </w:pPr>
            <w:r w:rsidRPr="00A05888">
              <w:rPr>
                <w:rFonts w:ascii="Arial" w:hAnsi="Arial" w:cs="Arial"/>
              </w:rPr>
              <w:t> </w:t>
            </w:r>
          </w:p>
        </w:tc>
        <w:tc>
          <w:tcPr>
            <w:tcW w:w="360" w:type="dxa"/>
            <w:tcBorders>
              <w:top w:val="single" w:sz="4" w:space="0" w:color="000000"/>
              <w:left w:val="nil"/>
              <w:bottom w:val="nil"/>
              <w:right w:val="single" w:sz="4" w:space="0" w:color="auto"/>
            </w:tcBorders>
            <w:shd w:val="clear" w:color="auto" w:fill="auto"/>
            <w:noWrap/>
            <w:vAlign w:val="bottom"/>
            <w:hideMark/>
          </w:tcPr>
          <w:p w:rsidR="00C00588" w:rsidRPr="00A05888" w:rsidRDefault="00C00588" w:rsidP="00C00588">
            <w:pPr>
              <w:rPr>
                <w:rFonts w:ascii="Arial" w:hAnsi="Arial" w:cs="Arial"/>
              </w:rPr>
            </w:pPr>
            <w:r w:rsidRPr="00A05888">
              <w:rPr>
                <w:rFonts w:ascii="Arial" w:hAnsi="Arial" w:cs="Arial"/>
              </w:rPr>
              <w:t> </w:t>
            </w:r>
          </w:p>
        </w:tc>
      </w:tr>
      <w:tr w:rsidR="001F483A" w:rsidRPr="00A05888" w:rsidTr="001F483A">
        <w:trPr>
          <w:trHeight w:val="300"/>
          <w:jc w:val="center"/>
        </w:trPr>
        <w:tc>
          <w:tcPr>
            <w:tcW w:w="639" w:type="dxa"/>
            <w:tcBorders>
              <w:top w:val="nil"/>
              <w:left w:val="single" w:sz="4" w:space="0" w:color="auto"/>
              <w:bottom w:val="nil"/>
              <w:right w:val="nil"/>
            </w:tcBorders>
            <w:shd w:val="clear" w:color="auto" w:fill="auto"/>
            <w:noWrap/>
            <w:vAlign w:val="bottom"/>
            <w:hideMark/>
          </w:tcPr>
          <w:p w:rsidR="001F483A" w:rsidRPr="00A05888" w:rsidRDefault="001F483A" w:rsidP="001F483A">
            <w:pPr>
              <w:jc w:val="center"/>
            </w:pPr>
            <w:r w:rsidRPr="00A05888">
              <w:t>1</w:t>
            </w:r>
          </w:p>
        </w:tc>
        <w:tc>
          <w:tcPr>
            <w:tcW w:w="2997" w:type="dxa"/>
            <w:tcBorders>
              <w:top w:val="nil"/>
              <w:left w:val="nil"/>
              <w:bottom w:val="nil"/>
              <w:right w:val="nil"/>
            </w:tcBorders>
            <w:shd w:val="clear" w:color="auto" w:fill="auto"/>
            <w:noWrap/>
            <w:vAlign w:val="bottom"/>
            <w:hideMark/>
          </w:tcPr>
          <w:p w:rsidR="001F483A" w:rsidRPr="00A05888" w:rsidRDefault="001F483A" w:rsidP="001F483A">
            <w:pPr>
              <w:rPr>
                <w:b/>
                <w:bCs/>
              </w:rPr>
            </w:pPr>
            <w:r w:rsidRPr="00A05888">
              <w:rPr>
                <w:b/>
                <w:bCs/>
              </w:rPr>
              <w:t>Operating Revenues:</w:t>
            </w:r>
          </w:p>
        </w:tc>
        <w:tc>
          <w:tcPr>
            <w:tcW w:w="1416" w:type="dxa"/>
            <w:gridSpan w:val="2"/>
            <w:tcBorders>
              <w:top w:val="nil"/>
              <w:left w:val="nil"/>
              <w:bottom w:val="nil"/>
              <w:right w:val="nil"/>
            </w:tcBorders>
            <w:shd w:val="clear" w:color="auto" w:fill="auto"/>
            <w:noWrap/>
            <w:vAlign w:val="bottom"/>
            <w:hideMark/>
          </w:tcPr>
          <w:p w:rsidR="001F483A" w:rsidRPr="00A05888" w:rsidRDefault="001F483A" w:rsidP="001F483A">
            <w:pPr>
              <w:jc w:val="right"/>
              <w:rPr>
                <w:u w:val="single"/>
              </w:rPr>
            </w:pPr>
            <w:r w:rsidRPr="00A05888">
              <w:rPr>
                <w:u w:val="single"/>
              </w:rPr>
              <w:t xml:space="preserve">$11,179,493 </w:t>
            </w:r>
          </w:p>
        </w:tc>
        <w:tc>
          <w:tcPr>
            <w:tcW w:w="1276" w:type="dxa"/>
            <w:tcBorders>
              <w:top w:val="nil"/>
              <w:left w:val="nil"/>
              <w:bottom w:val="nil"/>
              <w:right w:val="nil"/>
            </w:tcBorders>
            <w:shd w:val="clear" w:color="auto" w:fill="auto"/>
            <w:noWrap/>
            <w:vAlign w:val="bottom"/>
            <w:hideMark/>
          </w:tcPr>
          <w:p w:rsidR="001F483A" w:rsidRPr="00A05888" w:rsidRDefault="001F483A" w:rsidP="001F483A">
            <w:pPr>
              <w:jc w:val="right"/>
              <w:rPr>
                <w:u w:val="single"/>
              </w:rPr>
            </w:pPr>
            <w:r w:rsidRPr="00A05888">
              <w:rPr>
                <w:u w:val="single"/>
              </w:rPr>
              <w:t xml:space="preserve">$0 </w:t>
            </w:r>
          </w:p>
        </w:tc>
        <w:tc>
          <w:tcPr>
            <w:tcW w:w="1530" w:type="dxa"/>
            <w:tcBorders>
              <w:top w:val="nil"/>
              <w:left w:val="nil"/>
              <w:bottom w:val="nil"/>
              <w:right w:val="nil"/>
            </w:tcBorders>
            <w:shd w:val="clear" w:color="auto" w:fill="auto"/>
            <w:noWrap/>
            <w:vAlign w:val="bottom"/>
            <w:hideMark/>
          </w:tcPr>
          <w:p w:rsidR="001F483A" w:rsidRPr="00A05888" w:rsidRDefault="001F483A" w:rsidP="001F483A">
            <w:pPr>
              <w:jc w:val="right"/>
              <w:rPr>
                <w:u w:val="single"/>
              </w:rPr>
            </w:pPr>
            <w:r w:rsidRPr="00A05888">
              <w:rPr>
                <w:u w:val="single"/>
              </w:rPr>
              <w:t xml:space="preserve">$11,179,493 </w:t>
            </w:r>
          </w:p>
        </w:tc>
        <w:tc>
          <w:tcPr>
            <w:tcW w:w="1296" w:type="dxa"/>
            <w:tcBorders>
              <w:top w:val="nil"/>
              <w:left w:val="nil"/>
              <w:bottom w:val="nil"/>
              <w:right w:val="nil"/>
            </w:tcBorders>
            <w:shd w:val="clear" w:color="auto" w:fill="auto"/>
            <w:noWrap/>
            <w:vAlign w:val="bottom"/>
            <w:hideMark/>
          </w:tcPr>
          <w:p w:rsidR="001F483A" w:rsidRPr="00A05888" w:rsidRDefault="001F483A" w:rsidP="001F483A">
            <w:pPr>
              <w:jc w:val="right"/>
              <w:rPr>
                <w:u w:val="single"/>
              </w:rPr>
            </w:pPr>
            <w:r>
              <w:rPr>
                <w:u w:val="single"/>
              </w:rPr>
              <w:t>($511,454)</w:t>
            </w:r>
            <w:r w:rsidRPr="00A05888">
              <w:rPr>
                <w:u w:val="single"/>
              </w:rPr>
              <w:t xml:space="preserve"> </w:t>
            </w:r>
          </w:p>
        </w:tc>
        <w:tc>
          <w:tcPr>
            <w:tcW w:w="1563" w:type="dxa"/>
            <w:tcBorders>
              <w:top w:val="nil"/>
              <w:left w:val="nil"/>
              <w:bottom w:val="nil"/>
              <w:right w:val="nil"/>
            </w:tcBorders>
            <w:shd w:val="clear" w:color="auto" w:fill="auto"/>
            <w:noWrap/>
            <w:vAlign w:val="bottom"/>
            <w:hideMark/>
          </w:tcPr>
          <w:p w:rsidR="001F483A" w:rsidRPr="00A05888" w:rsidRDefault="001F483A" w:rsidP="001F483A">
            <w:pPr>
              <w:jc w:val="right"/>
              <w:rPr>
                <w:u w:val="single"/>
              </w:rPr>
            </w:pPr>
            <w:r>
              <w:rPr>
                <w:u w:val="single"/>
              </w:rPr>
              <w:t>$10,668,039</w:t>
            </w:r>
            <w:r w:rsidRPr="00A05888">
              <w:rPr>
                <w:u w:val="single"/>
              </w:rPr>
              <w:t xml:space="preserve"> </w:t>
            </w:r>
          </w:p>
        </w:tc>
        <w:tc>
          <w:tcPr>
            <w:tcW w:w="360" w:type="dxa"/>
            <w:tcBorders>
              <w:top w:val="nil"/>
              <w:left w:val="nil"/>
              <w:bottom w:val="nil"/>
              <w:right w:val="single" w:sz="4" w:space="0" w:color="auto"/>
            </w:tcBorders>
            <w:shd w:val="clear" w:color="auto" w:fill="auto"/>
            <w:noWrap/>
            <w:vAlign w:val="bottom"/>
            <w:hideMark/>
          </w:tcPr>
          <w:p w:rsidR="001F483A" w:rsidRPr="00A05888" w:rsidRDefault="001F483A" w:rsidP="001F483A">
            <w:pPr>
              <w:rPr>
                <w:rFonts w:ascii="Arial" w:hAnsi="Arial" w:cs="Arial"/>
                <w:u w:val="single"/>
              </w:rPr>
            </w:pPr>
          </w:p>
        </w:tc>
      </w:tr>
      <w:tr w:rsidR="001F483A" w:rsidRPr="00A05888" w:rsidTr="001F483A">
        <w:trPr>
          <w:trHeight w:val="300"/>
          <w:jc w:val="center"/>
        </w:trPr>
        <w:tc>
          <w:tcPr>
            <w:tcW w:w="639" w:type="dxa"/>
            <w:tcBorders>
              <w:top w:val="nil"/>
              <w:left w:val="single" w:sz="4" w:space="0" w:color="auto"/>
              <w:bottom w:val="nil"/>
              <w:right w:val="nil"/>
            </w:tcBorders>
            <w:shd w:val="clear" w:color="auto" w:fill="auto"/>
            <w:noWrap/>
            <w:vAlign w:val="bottom"/>
            <w:hideMark/>
          </w:tcPr>
          <w:p w:rsidR="001F483A" w:rsidRPr="00A05888" w:rsidRDefault="001F483A" w:rsidP="001F483A">
            <w:pPr>
              <w:jc w:val="center"/>
            </w:pPr>
            <w:r w:rsidRPr="00A05888">
              <w:t> </w:t>
            </w:r>
          </w:p>
        </w:tc>
        <w:tc>
          <w:tcPr>
            <w:tcW w:w="2997" w:type="dxa"/>
            <w:tcBorders>
              <w:top w:val="nil"/>
              <w:left w:val="nil"/>
              <w:bottom w:val="nil"/>
              <w:right w:val="nil"/>
            </w:tcBorders>
            <w:shd w:val="clear" w:color="auto" w:fill="auto"/>
            <w:noWrap/>
            <w:vAlign w:val="bottom"/>
            <w:hideMark/>
          </w:tcPr>
          <w:p w:rsidR="001F483A" w:rsidRPr="00A05888" w:rsidRDefault="001F483A" w:rsidP="001F483A">
            <w:pPr>
              <w:jc w:val="center"/>
            </w:pPr>
          </w:p>
        </w:tc>
        <w:tc>
          <w:tcPr>
            <w:tcW w:w="1416" w:type="dxa"/>
            <w:gridSpan w:val="2"/>
            <w:tcBorders>
              <w:top w:val="nil"/>
              <w:left w:val="nil"/>
              <w:bottom w:val="nil"/>
              <w:right w:val="nil"/>
            </w:tcBorders>
            <w:shd w:val="clear" w:color="auto" w:fill="auto"/>
            <w:noWrap/>
            <w:vAlign w:val="bottom"/>
            <w:hideMark/>
          </w:tcPr>
          <w:p w:rsidR="001F483A" w:rsidRPr="00A05888" w:rsidRDefault="001F483A" w:rsidP="001F483A"/>
        </w:tc>
        <w:tc>
          <w:tcPr>
            <w:tcW w:w="1276" w:type="dxa"/>
            <w:tcBorders>
              <w:top w:val="nil"/>
              <w:left w:val="nil"/>
              <w:bottom w:val="nil"/>
              <w:right w:val="nil"/>
            </w:tcBorders>
            <w:shd w:val="clear" w:color="auto" w:fill="auto"/>
            <w:noWrap/>
            <w:vAlign w:val="bottom"/>
            <w:hideMark/>
          </w:tcPr>
          <w:p w:rsidR="001F483A" w:rsidRPr="00A05888" w:rsidRDefault="001F483A" w:rsidP="001F483A"/>
        </w:tc>
        <w:tc>
          <w:tcPr>
            <w:tcW w:w="1530" w:type="dxa"/>
            <w:tcBorders>
              <w:top w:val="nil"/>
              <w:left w:val="nil"/>
              <w:bottom w:val="nil"/>
              <w:right w:val="nil"/>
            </w:tcBorders>
            <w:shd w:val="clear" w:color="auto" w:fill="auto"/>
            <w:noWrap/>
            <w:vAlign w:val="bottom"/>
            <w:hideMark/>
          </w:tcPr>
          <w:p w:rsidR="001F483A" w:rsidRPr="00A05888" w:rsidRDefault="001F483A" w:rsidP="001F483A"/>
        </w:tc>
        <w:tc>
          <w:tcPr>
            <w:tcW w:w="1296" w:type="dxa"/>
            <w:tcBorders>
              <w:top w:val="nil"/>
              <w:left w:val="nil"/>
              <w:bottom w:val="nil"/>
              <w:right w:val="nil"/>
            </w:tcBorders>
            <w:shd w:val="clear" w:color="auto" w:fill="auto"/>
            <w:noWrap/>
            <w:vAlign w:val="bottom"/>
            <w:hideMark/>
          </w:tcPr>
          <w:p w:rsidR="001F483A" w:rsidRPr="00A05888" w:rsidRDefault="001F483A" w:rsidP="001F483A">
            <w:pPr>
              <w:jc w:val="right"/>
            </w:pPr>
            <w:r>
              <w:t>-4.57</w:t>
            </w:r>
            <w:r w:rsidRPr="00A05888">
              <w:t>%</w:t>
            </w:r>
          </w:p>
        </w:tc>
        <w:tc>
          <w:tcPr>
            <w:tcW w:w="1563" w:type="dxa"/>
            <w:tcBorders>
              <w:top w:val="nil"/>
              <w:left w:val="nil"/>
              <w:bottom w:val="nil"/>
              <w:right w:val="nil"/>
            </w:tcBorders>
            <w:shd w:val="clear" w:color="auto" w:fill="auto"/>
            <w:noWrap/>
            <w:vAlign w:val="bottom"/>
            <w:hideMark/>
          </w:tcPr>
          <w:p w:rsidR="001F483A" w:rsidRPr="00A05888" w:rsidRDefault="001F483A" w:rsidP="001F483A">
            <w:pPr>
              <w:jc w:val="right"/>
            </w:pPr>
          </w:p>
        </w:tc>
        <w:tc>
          <w:tcPr>
            <w:tcW w:w="360" w:type="dxa"/>
            <w:tcBorders>
              <w:top w:val="nil"/>
              <w:left w:val="nil"/>
              <w:bottom w:val="nil"/>
              <w:right w:val="single" w:sz="4" w:space="0" w:color="auto"/>
            </w:tcBorders>
            <w:shd w:val="clear" w:color="auto" w:fill="auto"/>
            <w:noWrap/>
            <w:vAlign w:val="bottom"/>
            <w:hideMark/>
          </w:tcPr>
          <w:p w:rsidR="001F483A" w:rsidRPr="00A05888" w:rsidRDefault="001F483A" w:rsidP="001F483A">
            <w:pPr>
              <w:rPr>
                <w:rFonts w:ascii="Arial" w:hAnsi="Arial" w:cs="Arial"/>
              </w:rPr>
            </w:pPr>
            <w:r w:rsidRPr="00A05888">
              <w:rPr>
                <w:rFonts w:ascii="Arial" w:hAnsi="Arial" w:cs="Arial"/>
              </w:rPr>
              <w:t> </w:t>
            </w:r>
          </w:p>
        </w:tc>
      </w:tr>
      <w:tr w:rsidR="001F483A" w:rsidRPr="00A05888" w:rsidTr="001F483A">
        <w:trPr>
          <w:trHeight w:val="300"/>
          <w:jc w:val="center"/>
        </w:trPr>
        <w:tc>
          <w:tcPr>
            <w:tcW w:w="639" w:type="dxa"/>
            <w:tcBorders>
              <w:top w:val="nil"/>
              <w:left w:val="single" w:sz="4" w:space="0" w:color="auto"/>
              <w:bottom w:val="nil"/>
              <w:right w:val="nil"/>
            </w:tcBorders>
            <w:shd w:val="clear" w:color="auto" w:fill="auto"/>
            <w:noWrap/>
            <w:vAlign w:val="bottom"/>
            <w:hideMark/>
          </w:tcPr>
          <w:p w:rsidR="001F483A" w:rsidRPr="00A05888" w:rsidRDefault="001F483A" w:rsidP="001F483A">
            <w:pPr>
              <w:jc w:val="center"/>
            </w:pPr>
            <w:r w:rsidRPr="00A05888">
              <w:t> </w:t>
            </w:r>
          </w:p>
        </w:tc>
        <w:tc>
          <w:tcPr>
            <w:tcW w:w="2997" w:type="dxa"/>
            <w:tcBorders>
              <w:top w:val="nil"/>
              <w:left w:val="nil"/>
              <w:bottom w:val="nil"/>
              <w:right w:val="nil"/>
            </w:tcBorders>
            <w:shd w:val="clear" w:color="auto" w:fill="auto"/>
            <w:noWrap/>
            <w:vAlign w:val="bottom"/>
            <w:hideMark/>
          </w:tcPr>
          <w:p w:rsidR="001F483A" w:rsidRPr="00A05888" w:rsidRDefault="001F483A" w:rsidP="001F483A">
            <w:pPr>
              <w:rPr>
                <w:b/>
                <w:bCs/>
              </w:rPr>
            </w:pPr>
            <w:r w:rsidRPr="00A05888">
              <w:rPr>
                <w:b/>
                <w:bCs/>
              </w:rPr>
              <w:t>Operating Expenses</w:t>
            </w:r>
          </w:p>
        </w:tc>
        <w:tc>
          <w:tcPr>
            <w:tcW w:w="1416" w:type="dxa"/>
            <w:gridSpan w:val="2"/>
            <w:tcBorders>
              <w:top w:val="nil"/>
              <w:left w:val="nil"/>
              <w:bottom w:val="nil"/>
              <w:right w:val="nil"/>
            </w:tcBorders>
            <w:shd w:val="clear" w:color="auto" w:fill="auto"/>
            <w:noWrap/>
            <w:vAlign w:val="bottom"/>
            <w:hideMark/>
          </w:tcPr>
          <w:p w:rsidR="001F483A" w:rsidRPr="00A05888" w:rsidRDefault="001F483A" w:rsidP="001F483A">
            <w:pPr>
              <w:rPr>
                <w:b/>
                <w:bCs/>
              </w:rPr>
            </w:pPr>
          </w:p>
        </w:tc>
        <w:tc>
          <w:tcPr>
            <w:tcW w:w="1276" w:type="dxa"/>
            <w:tcBorders>
              <w:top w:val="nil"/>
              <w:left w:val="nil"/>
              <w:bottom w:val="nil"/>
              <w:right w:val="nil"/>
            </w:tcBorders>
            <w:shd w:val="clear" w:color="auto" w:fill="auto"/>
            <w:noWrap/>
            <w:vAlign w:val="bottom"/>
            <w:hideMark/>
          </w:tcPr>
          <w:p w:rsidR="001F483A" w:rsidRPr="00A05888" w:rsidRDefault="001F483A" w:rsidP="001F483A"/>
        </w:tc>
        <w:tc>
          <w:tcPr>
            <w:tcW w:w="1530" w:type="dxa"/>
            <w:tcBorders>
              <w:top w:val="nil"/>
              <w:left w:val="nil"/>
              <w:bottom w:val="nil"/>
              <w:right w:val="nil"/>
            </w:tcBorders>
            <w:shd w:val="clear" w:color="auto" w:fill="auto"/>
            <w:noWrap/>
            <w:vAlign w:val="bottom"/>
            <w:hideMark/>
          </w:tcPr>
          <w:p w:rsidR="001F483A" w:rsidRPr="00A05888" w:rsidRDefault="001F483A" w:rsidP="001F483A"/>
        </w:tc>
        <w:tc>
          <w:tcPr>
            <w:tcW w:w="1296" w:type="dxa"/>
            <w:tcBorders>
              <w:top w:val="nil"/>
              <w:left w:val="nil"/>
              <w:bottom w:val="nil"/>
              <w:right w:val="nil"/>
            </w:tcBorders>
            <w:shd w:val="clear" w:color="auto" w:fill="auto"/>
            <w:noWrap/>
            <w:vAlign w:val="bottom"/>
            <w:hideMark/>
          </w:tcPr>
          <w:p w:rsidR="001F483A" w:rsidRPr="00A05888" w:rsidRDefault="001F483A" w:rsidP="001F483A"/>
        </w:tc>
        <w:tc>
          <w:tcPr>
            <w:tcW w:w="1563" w:type="dxa"/>
            <w:tcBorders>
              <w:top w:val="nil"/>
              <w:left w:val="nil"/>
              <w:bottom w:val="nil"/>
              <w:right w:val="nil"/>
            </w:tcBorders>
            <w:shd w:val="clear" w:color="auto" w:fill="auto"/>
            <w:noWrap/>
            <w:vAlign w:val="bottom"/>
            <w:hideMark/>
          </w:tcPr>
          <w:p w:rsidR="001F483A" w:rsidRPr="00A05888" w:rsidRDefault="001F483A" w:rsidP="001F483A"/>
        </w:tc>
        <w:tc>
          <w:tcPr>
            <w:tcW w:w="360" w:type="dxa"/>
            <w:tcBorders>
              <w:top w:val="nil"/>
              <w:left w:val="nil"/>
              <w:bottom w:val="nil"/>
              <w:right w:val="single" w:sz="4" w:space="0" w:color="auto"/>
            </w:tcBorders>
            <w:shd w:val="clear" w:color="auto" w:fill="auto"/>
            <w:noWrap/>
            <w:vAlign w:val="bottom"/>
            <w:hideMark/>
          </w:tcPr>
          <w:p w:rsidR="001F483A" w:rsidRPr="00A05888" w:rsidRDefault="001F483A" w:rsidP="001F483A">
            <w:pPr>
              <w:rPr>
                <w:rFonts w:ascii="Arial" w:hAnsi="Arial" w:cs="Arial"/>
              </w:rPr>
            </w:pPr>
            <w:r w:rsidRPr="00A05888">
              <w:rPr>
                <w:rFonts w:ascii="Arial" w:hAnsi="Arial" w:cs="Arial"/>
              </w:rPr>
              <w:t> </w:t>
            </w:r>
          </w:p>
        </w:tc>
      </w:tr>
      <w:tr w:rsidR="001F483A" w:rsidRPr="00A05888" w:rsidTr="001F483A">
        <w:trPr>
          <w:trHeight w:val="300"/>
          <w:jc w:val="center"/>
        </w:trPr>
        <w:tc>
          <w:tcPr>
            <w:tcW w:w="639" w:type="dxa"/>
            <w:tcBorders>
              <w:top w:val="nil"/>
              <w:left w:val="single" w:sz="4" w:space="0" w:color="auto"/>
              <w:bottom w:val="nil"/>
              <w:right w:val="nil"/>
            </w:tcBorders>
            <w:shd w:val="clear" w:color="auto" w:fill="auto"/>
            <w:noWrap/>
            <w:vAlign w:val="bottom"/>
            <w:hideMark/>
          </w:tcPr>
          <w:p w:rsidR="001F483A" w:rsidRPr="00A05888" w:rsidRDefault="001F483A" w:rsidP="001F483A">
            <w:pPr>
              <w:jc w:val="center"/>
            </w:pPr>
            <w:r w:rsidRPr="00A05888">
              <w:t>2</w:t>
            </w:r>
          </w:p>
        </w:tc>
        <w:tc>
          <w:tcPr>
            <w:tcW w:w="2997" w:type="dxa"/>
            <w:tcBorders>
              <w:top w:val="nil"/>
              <w:left w:val="nil"/>
              <w:bottom w:val="nil"/>
              <w:right w:val="nil"/>
            </w:tcBorders>
            <w:shd w:val="clear" w:color="auto" w:fill="auto"/>
            <w:noWrap/>
            <w:vAlign w:val="bottom"/>
            <w:hideMark/>
          </w:tcPr>
          <w:p w:rsidR="001F483A" w:rsidRPr="00A05888" w:rsidRDefault="001F483A" w:rsidP="001F483A">
            <w:r w:rsidRPr="00A05888">
              <w:t xml:space="preserve">    Operation &amp; Maintenance</w:t>
            </w:r>
          </w:p>
        </w:tc>
        <w:tc>
          <w:tcPr>
            <w:tcW w:w="1416" w:type="dxa"/>
            <w:gridSpan w:val="2"/>
            <w:tcBorders>
              <w:top w:val="nil"/>
              <w:left w:val="nil"/>
              <w:bottom w:val="nil"/>
              <w:right w:val="nil"/>
            </w:tcBorders>
            <w:shd w:val="clear" w:color="auto" w:fill="auto"/>
            <w:noWrap/>
            <w:vAlign w:val="bottom"/>
            <w:hideMark/>
          </w:tcPr>
          <w:p w:rsidR="001F483A" w:rsidRPr="00A05888" w:rsidRDefault="001F483A" w:rsidP="001F483A">
            <w:pPr>
              <w:jc w:val="right"/>
            </w:pPr>
            <w:r w:rsidRPr="00A05888">
              <w:t xml:space="preserve">$2,075,109 </w:t>
            </w:r>
          </w:p>
        </w:tc>
        <w:tc>
          <w:tcPr>
            <w:tcW w:w="1276" w:type="dxa"/>
            <w:tcBorders>
              <w:top w:val="nil"/>
              <w:left w:val="nil"/>
              <w:bottom w:val="nil"/>
              <w:right w:val="nil"/>
            </w:tcBorders>
            <w:shd w:val="clear" w:color="auto" w:fill="auto"/>
            <w:noWrap/>
            <w:vAlign w:val="bottom"/>
            <w:hideMark/>
          </w:tcPr>
          <w:p w:rsidR="001F483A" w:rsidRPr="00A05888" w:rsidRDefault="001F483A" w:rsidP="001F483A">
            <w:pPr>
              <w:jc w:val="right"/>
            </w:pPr>
            <w:r w:rsidRPr="00A05888">
              <w:t xml:space="preserve">$0 </w:t>
            </w:r>
          </w:p>
        </w:tc>
        <w:tc>
          <w:tcPr>
            <w:tcW w:w="1530" w:type="dxa"/>
            <w:tcBorders>
              <w:top w:val="nil"/>
              <w:left w:val="nil"/>
              <w:bottom w:val="nil"/>
              <w:right w:val="nil"/>
            </w:tcBorders>
            <w:shd w:val="clear" w:color="auto" w:fill="auto"/>
            <w:noWrap/>
            <w:vAlign w:val="bottom"/>
            <w:hideMark/>
          </w:tcPr>
          <w:p w:rsidR="001F483A" w:rsidRPr="00A05888" w:rsidRDefault="001F483A" w:rsidP="001F483A">
            <w:pPr>
              <w:jc w:val="right"/>
            </w:pPr>
            <w:r w:rsidRPr="00A05888">
              <w:t xml:space="preserve">$2,075,109 </w:t>
            </w:r>
          </w:p>
        </w:tc>
        <w:tc>
          <w:tcPr>
            <w:tcW w:w="1296" w:type="dxa"/>
            <w:tcBorders>
              <w:top w:val="nil"/>
              <w:left w:val="nil"/>
              <w:bottom w:val="nil"/>
              <w:right w:val="nil"/>
            </w:tcBorders>
            <w:shd w:val="clear" w:color="auto" w:fill="auto"/>
            <w:noWrap/>
            <w:vAlign w:val="bottom"/>
            <w:hideMark/>
          </w:tcPr>
          <w:p w:rsidR="001F483A" w:rsidRPr="00A05888" w:rsidRDefault="001F483A" w:rsidP="001F483A">
            <w:pPr>
              <w:jc w:val="right"/>
            </w:pPr>
          </w:p>
        </w:tc>
        <w:tc>
          <w:tcPr>
            <w:tcW w:w="1563" w:type="dxa"/>
            <w:tcBorders>
              <w:top w:val="nil"/>
              <w:left w:val="nil"/>
              <w:bottom w:val="nil"/>
              <w:right w:val="nil"/>
            </w:tcBorders>
            <w:shd w:val="clear" w:color="auto" w:fill="auto"/>
            <w:noWrap/>
            <w:vAlign w:val="bottom"/>
            <w:hideMark/>
          </w:tcPr>
          <w:p w:rsidR="001F483A" w:rsidRPr="00A05888" w:rsidRDefault="001F483A" w:rsidP="001F483A">
            <w:pPr>
              <w:jc w:val="right"/>
            </w:pPr>
            <w:r w:rsidRPr="00A05888">
              <w:t xml:space="preserve">$2,075,109 </w:t>
            </w:r>
          </w:p>
        </w:tc>
        <w:tc>
          <w:tcPr>
            <w:tcW w:w="360" w:type="dxa"/>
            <w:tcBorders>
              <w:top w:val="nil"/>
              <w:left w:val="nil"/>
              <w:bottom w:val="nil"/>
              <w:right w:val="single" w:sz="4" w:space="0" w:color="auto"/>
            </w:tcBorders>
            <w:shd w:val="clear" w:color="auto" w:fill="auto"/>
            <w:noWrap/>
            <w:vAlign w:val="bottom"/>
            <w:hideMark/>
          </w:tcPr>
          <w:p w:rsidR="001F483A" w:rsidRPr="00A05888" w:rsidRDefault="001F483A" w:rsidP="001F483A">
            <w:pPr>
              <w:rPr>
                <w:rFonts w:ascii="Arial" w:hAnsi="Arial" w:cs="Arial"/>
              </w:rPr>
            </w:pPr>
            <w:r w:rsidRPr="00A05888">
              <w:rPr>
                <w:rFonts w:ascii="Arial" w:hAnsi="Arial" w:cs="Arial"/>
              </w:rPr>
              <w:t> </w:t>
            </w:r>
          </w:p>
        </w:tc>
      </w:tr>
      <w:tr w:rsidR="001F483A" w:rsidRPr="00A05888" w:rsidTr="001F483A">
        <w:trPr>
          <w:trHeight w:val="300"/>
          <w:jc w:val="center"/>
        </w:trPr>
        <w:tc>
          <w:tcPr>
            <w:tcW w:w="639" w:type="dxa"/>
            <w:tcBorders>
              <w:top w:val="nil"/>
              <w:left w:val="single" w:sz="4" w:space="0" w:color="auto"/>
              <w:bottom w:val="nil"/>
              <w:right w:val="nil"/>
            </w:tcBorders>
            <w:shd w:val="clear" w:color="auto" w:fill="auto"/>
            <w:noWrap/>
            <w:vAlign w:val="bottom"/>
            <w:hideMark/>
          </w:tcPr>
          <w:p w:rsidR="001F483A" w:rsidRPr="00A05888" w:rsidRDefault="001F483A" w:rsidP="001F483A">
            <w:pPr>
              <w:jc w:val="center"/>
            </w:pPr>
            <w:r w:rsidRPr="00A05888">
              <w:t> </w:t>
            </w:r>
          </w:p>
        </w:tc>
        <w:tc>
          <w:tcPr>
            <w:tcW w:w="2997" w:type="dxa"/>
            <w:tcBorders>
              <w:top w:val="nil"/>
              <w:left w:val="nil"/>
              <w:bottom w:val="nil"/>
              <w:right w:val="nil"/>
            </w:tcBorders>
            <w:shd w:val="clear" w:color="auto" w:fill="auto"/>
            <w:noWrap/>
            <w:vAlign w:val="bottom"/>
            <w:hideMark/>
          </w:tcPr>
          <w:p w:rsidR="001F483A" w:rsidRPr="00A05888" w:rsidRDefault="001F483A" w:rsidP="001F483A">
            <w:pPr>
              <w:jc w:val="center"/>
            </w:pPr>
          </w:p>
        </w:tc>
        <w:tc>
          <w:tcPr>
            <w:tcW w:w="1416" w:type="dxa"/>
            <w:gridSpan w:val="2"/>
            <w:tcBorders>
              <w:top w:val="nil"/>
              <w:left w:val="nil"/>
              <w:bottom w:val="nil"/>
              <w:right w:val="nil"/>
            </w:tcBorders>
            <w:shd w:val="clear" w:color="auto" w:fill="auto"/>
            <w:noWrap/>
            <w:vAlign w:val="bottom"/>
            <w:hideMark/>
          </w:tcPr>
          <w:p w:rsidR="001F483A" w:rsidRPr="00A05888" w:rsidRDefault="001F483A" w:rsidP="001F483A"/>
        </w:tc>
        <w:tc>
          <w:tcPr>
            <w:tcW w:w="1276" w:type="dxa"/>
            <w:tcBorders>
              <w:top w:val="nil"/>
              <w:left w:val="nil"/>
              <w:bottom w:val="nil"/>
              <w:right w:val="nil"/>
            </w:tcBorders>
            <w:shd w:val="clear" w:color="auto" w:fill="auto"/>
            <w:noWrap/>
            <w:vAlign w:val="bottom"/>
            <w:hideMark/>
          </w:tcPr>
          <w:p w:rsidR="001F483A" w:rsidRPr="00A05888" w:rsidRDefault="001F483A" w:rsidP="001F483A"/>
        </w:tc>
        <w:tc>
          <w:tcPr>
            <w:tcW w:w="1530" w:type="dxa"/>
            <w:tcBorders>
              <w:top w:val="nil"/>
              <w:left w:val="nil"/>
              <w:bottom w:val="nil"/>
              <w:right w:val="nil"/>
            </w:tcBorders>
            <w:shd w:val="clear" w:color="auto" w:fill="auto"/>
            <w:noWrap/>
            <w:vAlign w:val="bottom"/>
            <w:hideMark/>
          </w:tcPr>
          <w:p w:rsidR="001F483A" w:rsidRPr="00A05888" w:rsidRDefault="001F483A" w:rsidP="001F483A"/>
        </w:tc>
        <w:tc>
          <w:tcPr>
            <w:tcW w:w="1296" w:type="dxa"/>
            <w:tcBorders>
              <w:top w:val="nil"/>
              <w:left w:val="nil"/>
              <w:bottom w:val="nil"/>
              <w:right w:val="nil"/>
            </w:tcBorders>
            <w:shd w:val="clear" w:color="auto" w:fill="auto"/>
            <w:noWrap/>
            <w:vAlign w:val="bottom"/>
            <w:hideMark/>
          </w:tcPr>
          <w:p w:rsidR="001F483A" w:rsidRPr="00A05888" w:rsidRDefault="001F483A" w:rsidP="001F483A"/>
        </w:tc>
        <w:tc>
          <w:tcPr>
            <w:tcW w:w="1563" w:type="dxa"/>
            <w:tcBorders>
              <w:top w:val="nil"/>
              <w:left w:val="nil"/>
              <w:bottom w:val="nil"/>
              <w:right w:val="nil"/>
            </w:tcBorders>
            <w:shd w:val="clear" w:color="auto" w:fill="auto"/>
            <w:noWrap/>
            <w:vAlign w:val="bottom"/>
            <w:hideMark/>
          </w:tcPr>
          <w:p w:rsidR="001F483A" w:rsidRPr="00A05888" w:rsidRDefault="001F483A" w:rsidP="001F483A"/>
        </w:tc>
        <w:tc>
          <w:tcPr>
            <w:tcW w:w="360" w:type="dxa"/>
            <w:tcBorders>
              <w:top w:val="nil"/>
              <w:left w:val="nil"/>
              <w:bottom w:val="nil"/>
              <w:right w:val="single" w:sz="4" w:space="0" w:color="auto"/>
            </w:tcBorders>
            <w:shd w:val="clear" w:color="auto" w:fill="auto"/>
            <w:noWrap/>
            <w:vAlign w:val="bottom"/>
            <w:hideMark/>
          </w:tcPr>
          <w:p w:rsidR="001F483A" w:rsidRPr="00A05888" w:rsidRDefault="001F483A" w:rsidP="001F483A">
            <w:pPr>
              <w:rPr>
                <w:rFonts w:ascii="Arial" w:hAnsi="Arial" w:cs="Arial"/>
              </w:rPr>
            </w:pPr>
            <w:r w:rsidRPr="00A05888">
              <w:rPr>
                <w:rFonts w:ascii="Arial" w:hAnsi="Arial" w:cs="Arial"/>
              </w:rPr>
              <w:t> </w:t>
            </w:r>
          </w:p>
        </w:tc>
      </w:tr>
      <w:tr w:rsidR="001F483A" w:rsidRPr="00A05888" w:rsidTr="001F483A">
        <w:trPr>
          <w:trHeight w:val="300"/>
          <w:jc w:val="center"/>
        </w:trPr>
        <w:tc>
          <w:tcPr>
            <w:tcW w:w="639" w:type="dxa"/>
            <w:tcBorders>
              <w:top w:val="nil"/>
              <w:left w:val="single" w:sz="4" w:space="0" w:color="auto"/>
              <w:bottom w:val="nil"/>
              <w:right w:val="nil"/>
            </w:tcBorders>
            <w:shd w:val="clear" w:color="auto" w:fill="auto"/>
            <w:noWrap/>
            <w:vAlign w:val="bottom"/>
            <w:hideMark/>
          </w:tcPr>
          <w:p w:rsidR="001F483A" w:rsidRPr="00A05888" w:rsidRDefault="001F483A" w:rsidP="001F483A">
            <w:pPr>
              <w:jc w:val="center"/>
            </w:pPr>
            <w:r w:rsidRPr="00A05888">
              <w:t>3</w:t>
            </w:r>
          </w:p>
        </w:tc>
        <w:tc>
          <w:tcPr>
            <w:tcW w:w="2997" w:type="dxa"/>
            <w:tcBorders>
              <w:top w:val="nil"/>
              <w:left w:val="nil"/>
              <w:bottom w:val="nil"/>
              <w:right w:val="nil"/>
            </w:tcBorders>
            <w:shd w:val="clear" w:color="auto" w:fill="auto"/>
            <w:noWrap/>
            <w:vAlign w:val="bottom"/>
            <w:hideMark/>
          </w:tcPr>
          <w:p w:rsidR="001F483A" w:rsidRPr="00A05888" w:rsidRDefault="001F483A" w:rsidP="001F483A">
            <w:r w:rsidRPr="00A05888">
              <w:t xml:space="preserve">    Depreciation</w:t>
            </w:r>
          </w:p>
        </w:tc>
        <w:tc>
          <w:tcPr>
            <w:tcW w:w="1416" w:type="dxa"/>
            <w:gridSpan w:val="2"/>
            <w:tcBorders>
              <w:top w:val="nil"/>
              <w:left w:val="nil"/>
              <w:bottom w:val="nil"/>
              <w:right w:val="nil"/>
            </w:tcBorders>
            <w:shd w:val="clear" w:color="auto" w:fill="auto"/>
            <w:noWrap/>
            <w:vAlign w:val="bottom"/>
            <w:hideMark/>
          </w:tcPr>
          <w:p w:rsidR="001F483A" w:rsidRPr="00A05888" w:rsidRDefault="001F483A" w:rsidP="001F483A">
            <w:pPr>
              <w:jc w:val="right"/>
            </w:pPr>
            <w:r w:rsidRPr="00A05888">
              <w:t xml:space="preserve">2,653,855 </w:t>
            </w:r>
          </w:p>
        </w:tc>
        <w:tc>
          <w:tcPr>
            <w:tcW w:w="1276" w:type="dxa"/>
            <w:tcBorders>
              <w:top w:val="nil"/>
              <w:left w:val="nil"/>
              <w:bottom w:val="nil"/>
              <w:right w:val="nil"/>
            </w:tcBorders>
            <w:shd w:val="clear" w:color="auto" w:fill="auto"/>
            <w:noWrap/>
            <w:vAlign w:val="bottom"/>
            <w:hideMark/>
          </w:tcPr>
          <w:p w:rsidR="001F483A" w:rsidRPr="00A05888" w:rsidRDefault="001F483A" w:rsidP="001F483A">
            <w:pPr>
              <w:jc w:val="right"/>
            </w:pPr>
            <w:r>
              <w:t>(591,931)</w:t>
            </w:r>
            <w:r w:rsidRPr="00A05888">
              <w:t xml:space="preserve"> </w:t>
            </w:r>
          </w:p>
        </w:tc>
        <w:tc>
          <w:tcPr>
            <w:tcW w:w="1530" w:type="dxa"/>
            <w:tcBorders>
              <w:top w:val="nil"/>
              <w:left w:val="nil"/>
              <w:bottom w:val="nil"/>
              <w:right w:val="nil"/>
            </w:tcBorders>
            <w:shd w:val="clear" w:color="auto" w:fill="auto"/>
            <w:noWrap/>
            <w:vAlign w:val="bottom"/>
            <w:hideMark/>
          </w:tcPr>
          <w:p w:rsidR="001F483A" w:rsidRPr="00A05888" w:rsidRDefault="001F483A" w:rsidP="001F483A">
            <w:pPr>
              <w:jc w:val="right"/>
            </w:pPr>
            <w:r>
              <w:t>2,061,924</w:t>
            </w:r>
            <w:r w:rsidRPr="00A05888">
              <w:t xml:space="preserve"> </w:t>
            </w:r>
          </w:p>
        </w:tc>
        <w:tc>
          <w:tcPr>
            <w:tcW w:w="1296" w:type="dxa"/>
            <w:tcBorders>
              <w:top w:val="nil"/>
              <w:left w:val="nil"/>
              <w:bottom w:val="nil"/>
              <w:right w:val="nil"/>
            </w:tcBorders>
            <w:shd w:val="clear" w:color="auto" w:fill="auto"/>
            <w:noWrap/>
            <w:vAlign w:val="bottom"/>
            <w:hideMark/>
          </w:tcPr>
          <w:p w:rsidR="001F483A" w:rsidRPr="00A05888" w:rsidRDefault="001F483A" w:rsidP="001F483A">
            <w:pPr>
              <w:jc w:val="right"/>
            </w:pPr>
          </w:p>
        </w:tc>
        <w:tc>
          <w:tcPr>
            <w:tcW w:w="1563" w:type="dxa"/>
            <w:tcBorders>
              <w:top w:val="nil"/>
              <w:left w:val="nil"/>
              <w:bottom w:val="nil"/>
              <w:right w:val="nil"/>
            </w:tcBorders>
            <w:shd w:val="clear" w:color="auto" w:fill="auto"/>
            <w:noWrap/>
            <w:vAlign w:val="bottom"/>
            <w:hideMark/>
          </w:tcPr>
          <w:p w:rsidR="001F483A" w:rsidRPr="00A05888" w:rsidRDefault="001F483A" w:rsidP="001F483A">
            <w:pPr>
              <w:jc w:val="right"/>
            </w:pPr>
            <w:r>
              <w:t>2,061,924</w:t>
            </w:r>
            <w:r w:rsidRPr="00A05888">
              <w:t xml:space="preserve"> </w:t>
            </w:r>
          </w:p>
        </w:tc>
        <w:tc>
          <w:tcPr>
            <w:tcW w:w="360" w:type="dxa"/>
            <w:tcBorders>
              <w:top w:val="nil"/>
              <w:left w:val="nil"/>
              <w:bottom w:val="nil"/>
              <w:right w:val="single" w:sz="4" w:space="0" w:color="auto"/>
            </w:tcBorders>
            <w:shd w:val="clear" w:color="auto" w:fill="auto"/>
            <w:noWrap/>
            <w:vAlign w:val="bottom"/>
            <w:hideMark/>
          </w:tcPr>
          <w:p w:rsidR="001F483A" w:rsidRPr="00A05888" w:rsidRDefault="001F483A" w:rsidP="001F483A">
            <w:pPr>
              <w:rPr>
                <w:rFonts w:ascii="Arial" w:hAnsi="Arial" w:cs="Arial"/>
              </w:rPr>
            </w:pPr>
            <w:r w:rsidRPr="00A05888">
              <w:rPr>
                <w:rFonts w:ascii="Arial" w:hAnsi="Arial" w:cs="Arial"/>
              </w:rPr>
              <w:t> </w:t>
            </w:r>
          </w:p>
        </w:tc>
      </w:tr>
      <w:tr w:rsidR="001F483A" w:rsidRPr="00A05888" w:rsidTr="001F483A">
        <w:trPr>
          <w:trHeight w:val="300"/>
          <w:jc w:val="center"/>
        </w:trPr>
        <w:tc>
          <w:tcPr>
            <w:tcW w:w="639" w:type="dxa"/>
            <w:tcBorders>
              <w:top w:val="nil"/>
              <w:left w:val="single" w:sz="4" w:space="0" w:color="auto"/>
              <w:bottom w:val="nil"/>
              <w:right w:val="nil"/>
            </w:tcBorders>
            <w:shd w:val="clear" w:color="auto" w:fill="auto"/>
            <w:noWrap/>
            <w:vAlign w:val="bottom"/>
            <w:hideMark/>
          </w:tcPr>
          <w:p w:rsidR="001F483A" w:rsidRPr="00A05888" w:rsidRDefault="001F483A" w:rsidP="001F483A">
            <w:pPr>
              <w:jc w:val="center"/>
            </w:pPr>
            <w:r w:rsidRPr="00A05888">
              <w:t> </w:t>
            </w:r>
          </w:p>
        </w:tc>
        <w:tc>
          <w:tcPr>
            <w:tcW w:w="2997" w:type="dxa"/>
            <w:tcBorders>
              <w:top w:val="nil"/>
              <w:left w:val="nil"/>
              <w:bottom w:val="nil"/>
              <w:right w:val="nil"/>
            </w:tcBorders>
            <w:shd w:val="clear" w:color="auto" w:fill="auto"/>
            <w:noWrap/>
            <w:vAlign w:val="bottom"/>
            <w:hideMark/>
          </w:tcPr>
          <w:p w:rsidR="001F483A" w:rsidRPr="00A05888" w:rsidRDefault="001F483A" w:rsidP="001F483A">
            <w:pPr>
              <w:jc w:val="center"/>
            </w:pPr>
          </w:p>
        </w:tc>
        <w:tc>
          <w:tcPr>
            <w:tcW w:w="1416" w:type="dxa"/>
            <w:gridSpan w:val="2"/>
            <w:tcBorders>
              <w:top w:val="nil"/>
              <w:left w:val="nil"/>
              <w:bottom w:val="nil"/>
              <w:right w:val="nil"/>
            </w:tcBorders>
            <w:shd w:val="clear" w:color="auto" w:fill="auto"/>
            <w:noWrap/>
            <w:vAlign w:val="bottom"/>
            <w:hideMark/>
          </w:tcPr>
          <w:p w:rsidR="001F483A" w:rsidRPr="00A05888" w:rsidRDefault="001F483A" w:rsidP="001F483A"/>
        </w:tc>
        <w:tc>
          <w:tcPr>
            <w:tcW w:w="1276" w:type="dxa"/>
            <w:tcBorders>
              <w:top w:val="nil"/>
              <w:left w:val="nil"/>
              <w:bottom w:val="nil"/>
              <w:right w:val="nil"/>
            </w:tcBorders>
            <w:shd w:val="clear" w:color="auto" w:fill="auto"/>
            <w:noWrap/>
            <w:vAlign w:val="bottom"/>
            <w:hideMark/>
          </w:tcPr>
          <w:p w:rsidR="001F483A" w:rsidRPr="00A05888" w:rsidRDefault="001F483A" w:rsidP="001F483A"/>
        </w:tc>
        <w:tc>
          <w:tcPr>
            <w:tcW w:w="1530" w:type="dxa"/>
            <w:tcBorders>
              <w:top w:val="nil"/>
              <w:left w:val="nil"/>
              <w:bottom w:val="nil"/>
              <w:right w:val="nil"/>
            </w:tcBorders>
            <w:shd w:val="clear" w:color="auto" w:fill="auto"/>
            <w:noWrap/>
            <w:vAlign w:val="bottom"/>
            <w:hideMark/>
          </w:tcPr>
          <w:p w:rsidR="001F483A" w:rsidRPr="00A05888" w:rsidRDefault="001F483A" w:rsidP="001F483A"/>
        </w:tc>
        <w:tc>
          <w:tcPr>
            <w:tcW w:w="1296" w:type="dxa"/>
            <w:tcBorders>
              <w:top w:val="nil"/>
              <w:left w:val="nil"/>
              <w:bottom w:val="nil"/>
              <w:right w:val="nil"/>
            </w:tcBorders>
            <w:shd w:val="clear" w:color="auto" w:fill="auto"/>
            <w:noWrap/>
            <w:vAlign w:val="bottom"/>
            <w:hideMark/>
          </w:tcPr>
          <w:p w:rsidR="001F483A" w:rsidRPr="00A05888" w:rsidRDefault="001F483A" w:rsidP="001F483A"/>
        </w:tc>
        <w:tc>
          <w:tcPr>
            <w:tcW w:w="1563" w:type="dxa"/>
            <w:tcBorders>
              <w:top w:val="nil"/>
              <w:left w:val="nil"/>
              <w:bottom w:val="nil"/>
              <w:right w:val="nil"/>
            </w:tcBorders>
            <w:shd w:val="clear" w:color="auto" w:fill="auto"/>
            <w:noWrap/>
            <w:vAlign w:val="bottom"/>
            <w:hideMark/>
          </w:tcPr>
          <w:p w:rsidR="001F483A" w:rsidRPr="00A05888" w:rsidRDefault="001F483A" w:rsidP="001F483A"/>
        </w:tc>
        <w:tc>
          <w:tcPr>
            <w:tcW w:w="360" w:type="dxa"/>
            <w:tcBorders>
              <w:top w:val="nil"/>
              <w:left w:val="nil"/>
              <w:bottom w:val="nil"/>
              <w:right w:val="single" w:sz="4" w:space="0" w:color="auto"/>
            </w:tcBorders>
            <w:shd w:val="clear" w:color="auto" w:fill="auto"/>
            <w:noWrap/>
            <w:vAlign w:val="bottom"/>
            <w:hideMark/>
          </w:tcPr>
          <w:p w:rsidR="001F483A" w:rsidRPr="00A05888" w:rsidRDefault="001F483A" w:rsidP="001F483A">
            <w:pPr>
              <w:rPr>
                <w:rFonts w:ascii="Arial" w:hAnsi="Arial" w:cs="Arial"/>
              </w:rPr>
            </w:pPr>
            <w:r w:rsidRPr="00A05888">
              <w:rPr>
                <w:rFonts w:ascii="Arial" w:hAnsi="Arial" w:cs="Arial"/>
              </w:rPr>
              <w:t> </w:t>
            </w:r>
          </w:p>
        </w:tc>
      </w:tr>
      <w:tr w:rsidR="001F483A" w:rsidRPr="00A05888" w:rsidTr="001F483A">
        <w:trPr>
          <w:trHeight w:val="300"/>
          <w:jc w:val="center"/>
        </w:trPr>
        <w:tc>
          <w:tcPr>
            <w:tcW w:w="639" w:type="dxa"/>
            <w:tcBorders>
              <w:top w:val="nil"/>
              <w:left w:val="single" w:sz="4" w:space="0" w:color="auto"/>
              <w:bottom w:val="nil"/>
              <w:right w:val="nil"/>
            </w:tcBorders>
            <w:shd w:val="clear" w:color="auto" w:fill="auto"/>
            <w:noWrap/>
            <w:vAlign w:val="bottom"/>
            <w:hideMark/>
          </w:tcPr>
          <w:p w:rsidR="001F483A" w:rsidRPr="00A05888" w:rsidRDefault="001F483A" w:rsidP="001F483A">
            <w:pPr>
              <w:jc w:val="center"/>
            </w:pPr>
            <w:r w:rsidRPr="00A05888">
              <w:t>4</w:t>
            </w:r>
          </w:p>
        </w:tc>
        <w:tc>
          <w:tcPr>
            <w:tcW w:w="2997" w:type="dxa"/>
            <w:tcBorders>
              <w:top w:val="nil"/>
              <w:left w:val="nil"/>
              <w:bottom w:val="nil"/>
              <w:right w:val="nil"/>
            </w:tcBorders>
            <w:shd w:val="clear" w:color="auto" w:fill="auto"/>
            <w:noWrap/>
            <w:vAlign w:val="bottom"/>
            <w:hideMark/>
          </w:tcPr>
          <w:p w:rsidR="001F483A" w:rsidRPr="00A05888" w:rsidRDefault="001F483A" w:rsidP="001F483A">
            <w:r w:rsidRPr="00A05888">
              <w:t xml:space="preserve">    Amortization</w:t>
            </w:r>
          </w:p>
        </w:tc>
        <w:tc>
          <w:tcPr>
            <w:tcW w:w="1416" w:type="dxa"/>
            <w:gridSpan w:val="2"/>
            <w:tcBorders>
              <w:top w:val="nil"/>
              <w:left w:val="nil"/>
              <w:bottom w:val="nil"/>
              <w:right w:val="nil"/>
            </w:tcBorders>
            <w:shd w:val="clear" w:color="auto" w:fill="auto"/>
            <w:noWrap/>
            <w:vAlign w:val="bottom"/>
            <w:hideMark/>
          </w:tcPr>
          <w:p w:rsidR="001F483A" w:rsidRPr="00A05888" w:rsidRDefault="001F483A" w:rsidP="001F483A">
            <w:pPr>
              <w:jc w:val="right"/>
            </w:pPr>
            <w:r w:rsidRPr="00A05888">
              <w:t xml:space="preserve">10,681 </w:t>
            </w:r>
          </w:p>
        </w:tc>
        <w:tc>
          <w:tcPr>
            <w:tcW w:w="1276" w:type="dxa"/>
            <w:tcBorders>
              <w:top w:val="nil"/>
              <w:left w:val="nil"/>
              <w:bottom w:val="nil"/>
              <w:right w:val="nil"/>
            </w:tcBorders>
            <w:shd w:val="clear" w:color="auto" w:fill="auto"/>
            <w:noWrap/>
            <w:vAlign w:val="bottom"/>
            <w:hideMark/>
          </w:tcPr>
          <w:p w:rsidR="001F483A" w:rsidRPr="00A05888" w:rsidRDefault="001F483A" w:rsidP="001F483A">
            <w:pPr>
              <w:jc w:val="right"/>
            </w:pPr>
            <w:r w:rsidRPr="00A05888">
              <w:t>(10,681)</w:t>
            </w:r>
          </w:p>
        </w:tc>
        <w:tc>
          <w:tcPr>
            <w:tcW w:w="1530" w:type="dxa"/>
            <w:tcBorders>
              <w:top w:val="nil"/>
              <w:left w:val="nil"/>
              <w:bottom w:val="nil"/>
              <w:right w:val="nil"/>
            </w:tcBorders>
            <w:shd w:val="clear" w:color="auto" w:fill="auto"/>
            <w:noWrap/>
            <w:vAlign w:val="bottom"/>
            <w:hideMark/>
          </w:tcPr>
          <w:p w:rsidR="001F483A" w:rsidRPr="00A05888" w:rsidRDefault="001F483A" w:rsidP="001F483A">
            <w:pPr>
              <w:jc w:val="right"/>
            </w:pPr>
            <w:r w:rsidRPr="00A05888">
              <w:t xml:space="preserve">0 </w:t>
            </w:r>
          </w:p>
        </w:tc>
        <w:tc>
          <w:tcPr>
            <w:tcW w:w="1296" w:type="dxa"/>
            <w:tcBorders>
              <w:top w:val="nil"/>
              <w:left w:val="nil"/>
              <w:bottom w:val="nil"/>
              <w:right w:val="nil"/>
            </w:tcBorders>
            <w:shd w:val="clear" w:color="auto" w:fill="auto"/>
            <w:noWrap/>
            <w:vAlign w:val="bottom"/>
            <w:hideMark/>
          </w:tcPr>
          <w:p w:rsidR="001F483A" w:rsidRPr="00A05888" w:rsidRDefault="001F483A" w:rsidP="001F483A">
            <w:pPr>
              <w:jc w:val="right"/>
            </w:pPr>
          </w:p>
        </w:tc>
        <w:tc>
          <w:tcPr>
            <w:tcW w:w="1563" w:type="dxa"/>
            <w:tcBorders>
              <w:top w:val="nil"/>
              <w:left w:val="nil"/>
              <w:bottom w:val="nil"/>
              <w:right w:val="nil"/>
            </w:tcBorders>
            <w:shd w:val="clear" w:color="auto" w:fill="auto"/>
            <w:noWrap/>
            <w:vAlign w:val="bottom"/>
            <w:hideMark/>
          </w:tcPr>
          <w:p w:rsidR="001F483A" w:rsidRPr="00A05888" w:rsidRDefault="001F483A" w:rsidP="001F483A">
            <w:pPr>
              <w:jc w:val="right"/>
            </w:pPr>
            <w:r w:rsidRPr="00A05888">
              <w:t xml:space="preserve">0 </w:t>
            </w:r>
          </w:p>
        </w:tc>
        <w:tc>
          <w:tcPr>
            <w:tcW w:w="360" w:type="dxa"/>
            <w:tcBorders>
              <w:top w:val="nil"/>
              <w:left w:val="nil"/>
              <w:bottom w:val="nil"/>
              <w:right w:val="single" w:sz="4" w:space="0" w:color="auto"/>
            </w:tcBorders>
            <w:shd w:val="clear" w:color="auto" w:fill="auto"/>
            <w:noWrap/>
            <w:vAlign w:val="bottom"/>
            <w:hideMark/>
          </w:tcPr>
          <w:p w:rsidR="001F483A" w:rsidRPr="00A05888" w:rsidRDefault="001F483A" w:rsidP="001F483A">
            <w:pPr>
              <w:rPr>
                <w:rFonts w:ascii="Arial" w:hAnsi="Arial" w:cs="Arial"/>
              </w:rPr>
            </w:pPr>
            <w:r w:rsidRPr="00A05888">
              <w:rPr>
                <w:rFonts w:ascii="Arial" w:hAnsi="Arial" w:cs="Arial"/>
              </w:rPr>
              <w:t> </w:t>
            </w:r>
          </w:p>
        </w:tc>
      </w:tr>
      <w:tr w:rsidR="001F483A" w:rsidRPr="00A05888" w:rsidTr="001F483A">
        <w:trPr>
          <w:trHeight w:val="300"/>
          <w:jc w:val="center"/>
        </w:trPr>
        <w:tc>
          <w:tcPr>
            <w:tcW w:w="639" w:type="dxa"/>
            <w:tcBorders>
              <w:top w:val="nil"/>
              <w:left w:val="single" w:sz="4" w:space="0" w:color="auto"/>
              <w:bottom w:val="nil"/>
              <w:right w:val="nil"/>
            </w:tcBorders>
            <w:shd w:val="clear" w:color="auto" w:fill="auto"/>
            <w:noWrap/>
            <w:vAlign w:val="bottom"/>
            <w:hideMark/>
          </w:tcPr>
          <w:p w:rsidR="001F483A" w:rsidRPr="00A05888" w:rsidRDefault="001F483A" w:rsidP="001F483A">
            <w:pPr>
              <w:jc w:val="center"/>
            </w:pPr>
            <w:r w:rsidRPr="00A05888">
              <w:t> </w:t>
            </w:r>
          </w:p>
        </w:tc>
        <w:tc>
          <w:tcPr>
            <w:tcW w:w="2997" w:type="dxa"/>
            <w:tcBorders>
              <w:top w:val="nil"/>
              <w:left w:val="nil"/>
              <w:bottom w:val="nil"/>
              <w:right w:val="nil"/>
            </w:tcBorders>
            <w:shd w:val="clear" w:color="auto" w:fill="auto"/>
            <w:noWrap/>
            <w:vAlign w:val="bottom"/>
            <w:hideMark/>
          </w:tcPr>
          <w:p w:rsidR="001F483A" w:rsidRPr="00A05888" w:rsidRDefault="001F483A" w:rsidP="001F483A">
            <w:pPr>
              <w:jc w:val="center"/>
            </w:pPr>
          </w:p>
        </w:tc>
        <w:tc>
          <w:tcPr>
            <w:tcW w:w="1416" w:type="dxa"/>
            <w:gridSpan w:val="2"/>
            <w:tcBorders>
              <w:top w:val="nil"/>
              <w:left w:val="nil"/>
              <w:bottom w:val="nil"/>
              <w:right w:val="nil"/>
            </w:tcBorders>
            <w:shd w:val="clear" w:color="auto" w:fill="auto"/>
            <w:noWrap/>
            <w:vAlign w:val="bottom"/>
            <w:hideMark/>
          </w:tcPr>
          <w:p w:rsidR="001F483A" w:rsidRPr="00A05888" w:rsidRDefault="001F483A" w:rsidP="001F483A"/>
        </w:tc>
        <w:tc>
          <w:tcPr>
            <w:tcW w:w="1276" w:type="dxa"/>
            <w:tcBorders>
              <w:top w:val="nil"/>
              <w:left w:val="nil"/>
              <w:bottom w:val="nil"/>
              <w:right w:val="nil"/>
            </w:tcBorders>
            <w:shd w:val="clear" w:color="auto" w:fill="auto"/>
            <w:noWrap/>
            <w:vAlign w:val="bottom"/>
            <w:hideMark/>
          </w:tcPr>
          <w:p w:rsidR="001F483A" w:rsidRPr="00A05888" w:rsidRDefault="001F483A" w:rsidP="001F483A"/>
        </w:tc>
        <w:tc>
          <w:tcPr>
            <w:tcW w:w="1530" w:type="dxa"/>
            <w:tcBorders>
              <w:top w:val="nil"/>
              <w:left w:val="nil"/>
              <w:bottom w:val="nil"/>
              <w:right w:val="nil"/>
            </w:tcBorders>
            <w:shd w:val="clear" w:color="auto" w:fill="auto"/>
            <w:noWrap/>
            <w:vAlign w:val="bottom"/>
            <w:hideMark/>
          </w:tcPr>
          <w:p w:rsidR="001F483A" w:rsidRPr="00A05888" w:rsidRDefault="001F483A" w:rsidP="001F483A"/>
        </w:tc>
        <w:tc>
          <w:tcPr>
            <w:tcW w:w="1296" w:type="dxa"/>
            <w:tcBorders>
              <w:top w:val="nil"/>
              <w:left w:val="nil"/>
              <w:bottom w:val="nil"/>
              <w:right w:val="nil"/>
            </w:tcBorders>
            <w:shd w:val="clear" w:color="auto" w:fill="auto"/>
            <w:noWrap/>
            <w:vAlign w:val="bottom"/>
            <w:hideMark/>
          </w:tcPr>
          <w:p w:rsidR="001F483A" w:rsidRPr="00A05888" w:rsidRDefault="001F483A" w:rsidP="001F483A"/>
        </w:tc>
        <w:tc>
          <w:tcPr>
            <w:tcW w:w="1563" w:type="dxa"/>
            <w:tcBorders>
              <w:top w:val="nil"/>
              <w:left w:val="nil"/>
              <w:bottom w:val="nil"/>
              <w:right w:val="nil"/>
            </w:tcBorders>
            <w:shd w:val="clear" w:color="auto" w:fill="auto"/>
            <w:noWrap/>
            <w:vAlign w:val="bottom"/>
            <w:hideMark/>
          </w:tcPr>
          <w:p w:rsidR="001F483A" w:rsidRPr="00A05888" w:rsidRDefault="001F483A" w:rsidP="001F483A"/>
        </w:tc>
        <w:tc>
          <w:tcPr>
            <w:tcW w:w="360" w:type="dxa"/>
            <w:tcBorders>
              <w:top w:val="nil"/>
              <w:left w:val="nil"/>
              <w:bottom w:val="nil"/>
              <w:right w:val="single" w:sz="4" w:space="0" w:color="auto"/>
            </w:tcBorders>
            <w:shd w:val="clear" w:color="auto" w:fill="auto"/>
            <w:noWrap/>
            <w:vAlign w:val="bottom"/>
            <w:hideMark/>
          </w:tcPr>
          <w:p w:rsidR="001F483A" w:rsidRPr="00A05888" w:rsidRDefault="001F483A" w:rsidP="001F483A">
            <w:pPr>
              <w:rPr>
                <w:rFonts w:ascii="Arial" w:hAnsi="Arial" w:cs="Arial"/>
              </w:rPr>
            </w:pPr>
            <w:r w:rsidRPr="00A05888">
              <w:rPr>
                <w:rFonts w:ascii="Arial" w:hAnsi="Arial" w:cs="Arial"/>
              </w:rPr>
              <w:t> </w:t>
            </w:r>
          </w:p>
        </w:tc>
      </w:tr>
      <w:tr w:rsidR="001F483A" w:rsidRPr="00A05888" w:rsidTr="001F483A">
        <w:trPr>
          <w:trHeight w:val="300"/>
          <w:jc w:val="center"/>
        </w:trPr>
        <w:tc>
          <w:tcPr>
            <w:tcW w:w="639" w:type="dxa"/>
            <w:tcBorders>
              <w:top w:val="nil"/>
              <w:left w:val="single" w:sz="4" w:space="0" w:color="auto"/>
              <w:bottom w:val="nil"/>
              <w:right w:val="nil"/>
            </w:tcBorders>
            <w:shd w:val="clear" w:color="auto" w:fill="auto"/>
            <w:noWrap/>
            <w:vAlign w:val="bottom"/>
            <w:hideMark/>
          </w:tcPr>
          <w:p w:rsidR="001F483A" w:rsidRPr="00A05888" w:rsidRDefault="001F483A" w:rsidP="001F483A">
            <w:pPr>
              <w:jc w:val="center"/>
            </w:pPr>
            <w:r w:rsidRPr="00A05888">
              <w:t>5</w:t>
            </w:r>
          </w:p>
        </w:tc>
        <w:tc>
          <w:tcPr>
            <w:tcW w:w="2997" w:type="dxa"/>
            <w:tcBorders>
              <w:top w:val="nil"/>
              <w:left w:val="nil"/>
              <w:bottom w:val="nil"/>
              <w:right w:val="nil"/>
            </w:tcBorders>
            <w:shd w:val="clear" w:color="auto" w:fill="auto"/>
            <w:noWrap/>
            <w:vAlign w:val="bottom"/>
            <w:hideMark/>
          </w:tcPr>
          <w:p w:rsidR="001F483A" w:rsidRPr="00A05888" w:rsidRDefault="001F483A" w:rsidP="001F483A">
            <w:r w:rsidRPr="00A05888">
              <w:t xml:space="preserve">    Taxes Other Than Income</w:t>
            </w:r>
          </w:p>
        </w:tc>
        <w:tc>
          <w:tcPr>
            <w:tcW w:w="1416" w:type="dxa"/>
            <w:gridSpan w:val="2"/>
            <w:tcBorders>
              <w:top w:val="nil"/>
              <w:left w:val="nil"/>
              <w:bottom w:val="nil"/>
              <w:right w:val="nil"/>
            </w:tcBorders>
            <w:shd w:val="clear" w:color="auto" w:fill="auto"/>
            <w:noWrap/>
            <w:vAlign w:val="bottom"/>
            <w:hideMark/>
          </w:tcPr>
          <w:p w:rsidR="001F483A" w:rsidRPr="00A05888" w:rsidRDefault="001F483A" w:rsidP="001F483A">
            <w:pPr>
              <w:jc w:val="right"/>
            </w:pPr>
            <w:r w:rsidRPr="00A05888">
              <w:t xml:space="preserve">1,832,839 </w:t>
            </w:r>
          </w:p>
        </w:tc>
        <w:tc>
          <w:tcPr>
            <w:tcW w:w="1276" w:type="dxa"/>
            <w:tcBorders>
              <w:top w:val="nil"/>
              <w:left w:val="nil"/>
              <w:bottom w:val="nil"/>
              <w:right w:val="nil"/>
            </w:tcBorders>
            <w:shd w:val="clear" w:color="auto" w:fill="auto"/>
            <w:noWrap/>
            <w:vAlign w:val="bottom"/>
            <w:hideMark/>
          </w:tcPr>
          <w:p w:rsidR="001F483A" w:rsidRPr="00A05888" w:rsidRDefault="001F483A" w:rsidP="001F483A">
            <w:pPr>
              <w:jc w:val="right"/>
            </w:pPr>
            <w:r w:rsidRPr="00A05888">
              <w:t>(61,554)</w:t>
            </w:r>
          </w:p>
        </w:tc>
        <w:tc>
          <w:tcPr>
            <w:tcW w:w="1530" w:type="dxa"/>
            <w:tcBorders>
              <w:top w:val="nil"/>
              <w:left w:val="nil"/>
              <w:bottom w:val="nil"/>
              <w:right w:val="nil"/>
            </w:tcBorders>
            <w:shd w:val="clear" w:color="auto" w:fill="auto"/>
            <w:noWrap/>
            <w:vAlign w:val="bottom"/>
            <w:hideMark/>
          </w:tcPr>
          <w:p w:rsidR="001F483A" w:rsidRPr="00A05888" w:rsidRDefault="001F483A" w:rsidP="001F483A">
            <w:pPr>
              <w:jc w:val="right"/>
            </w:pPr>
            <w:r w:rsidRPr="00A05888">
              <w:t xml:space="preserve">1,771,285 </w:t>
            </w:r>
          </w:p>
        </w:tc>
        <w:tc>
          <w:tcPr>
            <w:tcW w:w="1296" w:type="dxa"/>
            <w:tcBorders>
              <w:top w:val="nil"/>
              <w:left w:val="nil"/>
              <w:bottom w:val="nil"/>
              <w:right w:val="nil"/>
            </w:tcBorders>
            <w:shd w:val="clear" w:color="auto" w:fill="auto"/>
            <w:noWrap/>
            <w:vAlign w:val="bottom"/>
            <w:hideMark/>
          </w:tcPr>
          <w:p w:rsidR="001F483A" w:rsidRPr="00A05888" w:rsidRDefault="001F483A" w:rsidP="001F483A">
            <w:pPr>
              <w:jc w:val="right"/>
            </w:pPr>
            <w:r>
              <w:t>(23,015)</w:t>
            </w:r>
            <w:r w:rsidRPr="00A05888">
              <w:t xml:space="preserve"> </w:t>
            </w:r>
          </w:p>
        </w:tc>
        <w:tc>
          <w:tcPr>
            <w:tcW w:w="1563" w:type="dxa"/>
            <w:tcBorders>
              <w:top w:val="nil"/>
              <w:left w:val="nil"/>
              <w:bottom w:val="nil"/>
              <w:right w:val="nil"/>
            </w:tcBorders>
            <w:shd w:val="clear" w:color="auto" w:fill="auto"/>
            <w:noWrap/>
            <w:vAlign w:val="bottom"/>
            <w:hideMark/>
          </w:tcPr>
          <w:p w:rsidR="001F483A" w:rsidRPr="00A05888" w:rsidRDefault="001F483A" w:rsidP="001F483A">
            <w:pPr>
              <w:jc w:val="right"/>
            </w:pPr>
            <w:r w:rsidRPr="00A05888">
              <w:t>1,</w:t>
            </w:r>
            <w:r>
              <w:t>748,270</w:t>
            </w:r>
            <w:r w:rsidRPr="00A05888">
              <w:t xml:space="preserve"> </w:t>
            </w:r>
          </w:p>
        </w:tc>
        <w:tc>
          <w:tcPr>
            <w:tcW w:w="360" w:type="dxa"/>
            <w:tcBorders>
              <w:top w:val="nil"/>
              <w:left w:val="nil"/>
              <w:bottom w:val="nil"/>
              <w:right w:val="single" w:sz="4" w:space="0" w:color="auto"/>
            </w:tcBorders>
            <w:shd w:val="clear" w:color="auto" w:fill="auto"/>
            <w:noWrap/>
            <w:vAlign w:val="bottom"/>
            <w:hideMark/>
          </w:tcPr>
          <w:p w:rsidR="001F483A" w:rsidRPr="00A05888" w:rsidRDefault="001F483A" w:rsidP="001F483A">
            <w:pPr>
              <w:rPr>
                <w:rFonts w:ascii="Arial" w:hAnsi="Arial" w:cs="Arial"/>
              </w:rPr>
            </w:pPr>
            <w:r w:rsidRPr="00A05888">
              <w:rPr>
                <w:rFonts w:ascii="Arial" w:hAnsi="Arial" w:cs="Arial"/>
              </w:rPr>
              <w:t> </w:t>
            </w:r>
          </w:p>
        </w:tc>
      </w:tr>
      <w:tr w:rsidR="001F483A" w:rsidRPr="00A05888" w:rsidTr="001F483A">
        <w:trPr>
          <w:trHeight w:val="300"/>
          <w:jc w:val="center"/>
        </w:trPr>
        <w:tc>
          <w:tcPr>
            <w:tcW w:w="639" w:type="dxa"/>
            <w:tcBorders>
              <w:top w:val="nil"/>
              <w:left w:val="single" w:sz="4" w:space="0" w:color="auto"/>
              <w:bottom w:val="nil"/>
              <w:right w:val="nil"/>
            </w:tcBorders>
            <w:shd w:val="clear" w:color="auto" w:fill="auto"/>
            <w:noWrap/>
            <w:vAlign w:val="bottom"/>
            <w:hideMark/>
          </w:tcPr>
          <w:p w:rsidR="001F483A" w:rsidRPr="00A05888" w:rsidRDefault="001F483A" w:rsidP="001F483A">
            <w:pPr>
              <w:jc w:val="center"/>
            </w:pPr>
            <w:r w:rsidRPr="00A05888">
              <w:t> </w:t>
            </w:r>
          </w:p>
        </w:tc>
        <w:tc>
          <w:tcPr>
            <w:tcW w:w="2997" w:type="dxa"/>
            <w:tcBorders>
              <w:top w:val="nil"/>
              <w:left w:val="nil"/>
              <w:bottom w:val="nil"/>
              <w:right w:val="nil"/>
            </w:tcBorders>
            <w:shd w:val="clear" w:color="auto" w:fill="auto"/>
            <w:noWrap/>
            <w:vAlign w:val="bottom"/>
            <w:hideMark/>
          </w:tcPr>
          <w:p w:rsidR="001F483A" w:rsidRPr="00A05888" w:rsidRDefault="001F483A" w:rsidP="001F483A">
            <w:pPr>
              <w:jc w:val="center"/>
            </w:pPr>
          </w:p>
        </w:tc>
        <w:tc>
          <w:tcPr>
            <w:tcW w:w="1416" w:type="dxa"/>
            <w:gridSpan w:val="2"/>
            <w:tcBorders>
              <w:top w:val="nil"/>
              <w:left w:val="nil"/>
              <w:bottom w:val="nil"/>
              <w:right w:val="nil"/>
            </w:tcBorders>
            <w:shd w:val="clear" w:color="auto" w:fill="auto"/>
            <w:noWrap/>
            <w:vAlign w:val="bottom"/>
            <w:hideMark/>
          </w:tcPr>
          <w:p w:rsidR="001F483A" w:rsidRPr="00A05888" w:rsidRDefault="001F483A" w:rsidP="001F483A"/>
        </w:tc>
        <w:tc>
          <w:tcPr>
            <w:tcW w:w="1276" w:type="dxa"/>
            <w:tcBorders>
              <w:top w:val="nil"/>
              <w:left w:val="nil"/>
              <w:bottom w:val="nil"/>
              <w:right w:val="nil"/>
            </w:tcBorders>
            <w:shd w:val="clear" w:color="auto" w:fill="auto"/>
            <w:noWrap/>
            <w:vAlign w:val="bottom"/>
            <w:hideMark/>
          </w:tcPr>
          <w:p w:rsidR="001F483A" w:rsidRPr="00A05888" w:rsidRDefault="001F483A" w:rsidP="001F483A"/>
        </w:tc>
        <w:tc>
          <w:tcPr>
            <w:tcW w:w="1530" w:type="dxa"/>
            <w:tcBorders>
              <w:top w:val="nil"/>
              <w:left w:val="nil"/>
              <w:bottom w:val="nil"/>
              <w:right w:val="nil"/>
            </w:tcBorders>
            <w:shd w:val="clear" w:color="auto" w:fill="auto"/>
            <w:noWrap/>
            <w:vAlign w:val="bottom"/>
            <w:hideMark/>
          </w:tcPr>
          <w:p w:rsidR="001F483A" w:rsidRPr="00A05888" w:rsidRDefault="001F483A" w:rsidP="001F483A"/>
        </w:tc>
        <w:tc>
          <w:tcPr>
            <w:tcW w:w="1296" w:type="dxa"/>
            <w:tcBorders>
              <w:top w:val="nil"/>
              <w:left w:val="nil"/>
              <w:bottom w:val="nil"/>
              <w:right w:val="nil"/>
            </w:tcBorders>
            <w:shd w:val="clear" w:color="auto" w:fill="auto"/>
            <w:noWrap/>
            <w:vAlign w:val="bottom"/>
            <w:hideMark/>
          </w:tcPr>
          <w:p w:rsidR="001F483A" w:rsidRPr="00A05888" w:rsidRDefault="001F483A" w:rsidP="001F483A"/>
        </w:tc>
        <w:tc>
          <w:tcPr>
            <w:tcW w:w="1563" w:type="dxa"/>
            <w:tcBorders>
              <w:top w:val="nil"/>
              <w:left w:val="nil"/>
              <w:bottom w:val="nil"/>
              <w:right w:val="nil"/>
            </w:tcBorders>
            <w:shd w:val="clear" w:color="auto" w:fill="auto"/>
            <w:noWrap/>
            <w:vAlign w:val="bottom"/>
            <w:hideMark/>
          </w:tcPr>
          <w:p w:rsidR="001F483A" w:rsidRPr="00A05888" w:rsidRDefault="001F483A" w:rsidP="001F483A"/>
        </w:tc>
        <w:tc>
          <w:tcPr>
            <w:tcW w:w="360" w:type="dxa"/>
            <w:tcBorders>
              <w:top w:val="nil"/>
              <w:left w:val="nil"/>
              <w:bottom w:val="nil"/>
              <w:right w:val="single" w:sz="4" w:space="0" w:color="auto"/>
            </w:tcBorders>
            <w:shd w:val="clear" w:color="auto" w:fill="auto"/>
            <w:noWrap/>
            <w:vAlign w:val="bottom"/>
            <w:hideMark/>
          </w:tcPr>
          <w:p w:rsidR="001F483A" w:rsidRPr="00A05888" w:rsidRDefault="001F483A" w:rsidP="001F483A">
            <w:pPr>
              <w:rPr>
                <w:rFonts w:ascii="Arial" w:hAnsi="Arial" w:cs="Arial"/>
              </w:rPr>
            </w:pPr>
            <w:r w:rsidRPr="00A05888">
              <w:rPr>
                <w:rFonts w:ascii="Arial" w:hAnsi="Arial" w:cs="Arial"/>
              </w:rPr>
              <w:t> </w:t>
            </w:r>
          </w:p>
        </w:tc>
      </w:tr>
      <w:tr w:rsidR="001F483A" w:rsidRPr="00A05888" w:rsidTr="001F483A">
        <w:trPr>
          <w:trHeight w:val="300"/>
          <w:jc w:val="center"/>
        </w:trPr>
        <w:tc>
          <w:tcPr>
            <w:tcW w:w="639" w:type="dxa"/>
            <w:tcBorders>
              <w:top w:val="nil"/>
              <w:left w:val="single" w:sz="4" w:space="0" w:color="auto"/>
              <w:bottom w:val="nil"/>
              <w:right w:val="nil"/>
            </w:tcBorders>
            <w:shd w:val="clear" w:color="auto" w:fill="auto"/>
            <w:noWrap/>
            <w:vAlign w:val="bottom"/>
            <w:hideMark/>
          </w:tcPr>
          <w:p w:rsidR="001F483A" w:rsidRPr="00A05888" w:rsidRDefault="001F483A" w:rsidP="001F483A">
            <w:pPr>
              <w:jc w:val="center"/>
            </w:pPr>
            <w:r w:rsidRPr="00A05888">
              <w:t>6</w:t>
            </w:r>
          </w:p>
        </w:tc>
        <w:tc>
          <w:tcPr>
            <w:tcW w:w="2997" w:type="dxa"/>
            <w:tcBorders>
              <w:top w:val="nil"/>
              <w:left w:val="nil"/>
              <w:bottom w:val="nil"/>
              <w:right w:val="nil"/>
            </w:tcBorders>
            <w:shd w:val="clear" w:color="auto" w:fill="auto"/>
            <w:noWrap/>
            <w:vAlign w:val="bottom"/>
            <w:hideMark/>
          </w:tcPr>
          <w:p w:rsidR="001F483A" w:rsidRPr="00A05888" w:rsidRDefault="001F483A" w:rsidP="001F483A">
            <w:r w:rsidRPr="00A05888">
              <w:t xml:space="preserve">    Income Taxes</w:t>
            </w:r>
          </w:p>
        </w:tc>
        <w:tc>
          <w:tcPr>
            <w:tcW w:w="1416" w:type="dxa"/>
            <w:gridSpan w:val="2"/>
            <w:tcBorders>
              <w:top w:val="nil"/>
              <w:left w:val="nil"/>
              <w:bottom w:val="nil"/>
              <w:right w:val="nil"/>
            </w:tcBorders>
            <w:shd w:val="clear" w:color="auto" w:fill="auto"/>
            <w:noWrap/>
            <w:vAlign w:val="bottom"/>
            <w:hideMark/>
          </w:tcPr>
          <w:p w:rsidR="001F483A" w:rsidRPr="00A05888" w:rsidRDefault="001F483A" w:rsidP="001F483A">
            <w:pPr>
              <w:jc w:val="right"/>
              <w:rPr>
                <w:u w:val="single"/>
              </w:rPr>
            </w:pPr>
            <w:r w:rsidRPr="00A05888">
              <w:rPr>
                <w:u w:val="single"/>
              </w:rPr>
              <w:t xml:space="preserve">0 </w:t>
            </w:r>
          </w:p>
        </w:tc>
        <w:tc>
          <w:tcPr>
            <w:tcW w:w="1276" w:type="dxa"/>
            <w:tcBorders>
              <w:top w:val="nil"/>
              <w:left w:val="nil"/>
              <w:bottom w:val="nil"/>
              <w:right w:val="nil"/>
            </w:tcBorders>
            <w:shd w:val="clear" w:color="auto" w:fill="auto"/>
            <w:noWrap/>
            <w:vAlign w:val="bottom"/>
            <w:hideMark/>
          </w:tcPr>
          <w:p w:rsidR="001F483A" w:rsidRPr="00A05888" w:rsidRDefault="001F483A" w:rsidP="001F483A">
            <w:pPr>
              <w:jc w:val="right"/>
              <w:rPr>
                <w:u w:val="single"/>
              </w:rPr>
            </w:pPr>
            <w:r w:rsidRPr="00A05888">
              <w:rPr>
                <w:u w:val="single"/>
              </w:rPr>
              <w:t xml:space="preserve">0 </w:t>
            </w:r>
          </w:p>
        </w:tc>
        <w:tc>
          <w:tcPr>
            <w:tcW w:w="1530" w:type="dxa"/>
            <w:tcBorders>
              <w:top w:val="nil"/>
              <w:left w:val="nil"/>
              <w:bottom w:val="nil"/>
              <w:right w:val="nil"/>
            </w:tcBorders>
            <w:shd w:val="clear" w:color="auto" w:fill="auto"/>
            <w:noWrap/>
            <w:vAlign w:val="bottom"/>
            <w:hideMark/>
          </w:tcPr>
          <w:p w:rsidR="001F483A" w:rsidRPr="00A05888" w:rsidRDefault="001F483A" w:rsidP="001F483A">
            <w:pPr>
              <w:jc w:val="right"/>
              <w:rPr>
                <w:u w:val="single"/>
              </w:rPr>
            </w:pPr>
            <w:r w:rsidRPr="00A05888">
              <w:rPr>
                <w:u w:val="single"/>
              </w:rPr>
              <w:t xml:space="preserve">0 </w:t>
            </w:r>
          </w:p>
        </w:tc>
        <w:tc>
          <w:tcPr>
            <w:tcW w:w="1296" w:type="dxa"/>
            <w:tcBorders>
              <w:top w:val="nil"/>
              <w:left w:val="nil"/>
              <w:bottom w:val="nil"/>
              <w:right w:val="nil"/>
            </w:tcBorders>
            <w:shd w:val="clear" w:color="auto" w:fill="auto"/>
            <w:noWrap/>
            <w:vAlign w:val="bottom"/>
            <w:hideMark/>
          </w:tcPr>
          <w:p w:rsidR="001F483A" w:rsidRPr="00A05888" w:rsidRDefault="001F483A" w:rsidP="001F483A">
            <w:pPr>
              <w:jc w:val="right"/>
              <w:rPr>
                <w:u w:val="single"/>
              </w:rPr>
            </w:pPr>
            <w:r w:rsidRPr="00A05888">
              <w:rPr>
                <w:u w:val="single"/>
              </w:rPr>
              <w:t xml:space="preserve">0 </w:t>
            </w:r>
          </w:p>
        </w:tc>
        <w:tc>
          <w:tcPr>
            <w:tcW w:w="1563" w:type="dxa"/>
            <w:tcBorders>
              <w:top w:val="nil"/>
              <w:left w:val="nil"/>
              <w:bottom w:val="nil"/>
              <w:right w:val="nil"/>
            </w:tcBorders>
            <w:shd w:val="clear" w:color="auto" w:fill="auto"/>
            <w:noWrap/>
            <w:vAlign w:val="bottom"/>
            <w:hideMark/>
          </w:tcPr>
          <w:p w:rsidR="001F483A" w:rsidRPr="00A05888" w:rsidRDefault="001F483A" w:rsidP="001F483A">
            <w:pPr>
              <w:jc w:val="right"/>
              <w:rPr>
                <w:u w:val="single"/>
              </w:rPr>
            </w:pPr>
            <w:r w:rsidRPr="00A05888">
              <w:rPr>
                <w:u w:val="single"/>
              </w:rPr>
              <w:t xml:space="preserve">0 </w:t>
            </w:r>
          </w:p>
        </w:tc>
        <w:tc>
          <w:tcPr>
            <w:tcW w:w="360" w:type="dxa"/>
            <w:tcBorders>
              <w:top w:val="nil"/>
              <w:left w:val="nil"/>
              <w:bottom w:val="nil"/>
              <w:right w:val="single" w:sz="4" w:space="0" w:color="auto"/>
            </w:tcBorders>
            <w:shd w:val="clear" w:color="auto" w:fill="auto"/>
            <w:noWrap/>
            <w:vAlign w:val="bottom"/>
            <w:hideMark/>
          </w:tcPr>
          <w:p w:rsidR="001F483A" w:rsidRPr="00A05888" w:rsidRDefault="001F483A" w:rsidP="001F483A">
            <w:pPr>
              <w:rPr>
                <w:rFonts w:ascii="Arial" w:hAnsi="Arial" w:cs="Arial"/>
                <w:u w:val="single"/>
              </w:rPr>
            </w:pPr>
          </w:p>
        </w:tc>
      </w:tr>
      <w:tr w:rsidR="001F483A" w:rsidRPr="00A05888" w:rsidTr="001F483A">
        <w:trPr>
          <w:trHeight w:val="300"/>
          <w:jc w:val="center"/>
        </w:trPr>
        <w:tc>
          <w:tcPr>
            <w:tcW w:w="639" w:type="dxa"/>
            <w:tcBorders>
              <w:top w:val="nil"/>
              <w:left w:val="single" w:sz="4" w:space="0" w:color="auto"/>
              <w:bottom w:val="nil"/>
              <w:right w:val="nil"/>
            </w:tcBorders>
            <w:shd w:val="clear" w:color="auto" w:fill="auto"/>
            <w:noWrap/>
            <w:vAlign w:val="bottom"/>
            <w:hideMark/>
          </w:tcPr>
          <w:p w:rsidR="001F483A" w:rsidRPr="00A05888" w:rsidRDefault="001F483A" w:rsidP="001F483A">
            <w:pPr>
              <w:jc w:val="center"/>
            </w:pPr>
            <w:r w:rsidRPr="00A05888">
              <w:t> </w:t>
            </w:r>
          </w:p>
        </w:tc>
        <w:tc>
          <w:tcPr>
            <w:tcW w:w="2997" w:type="dxa"/>
            <w:tcBorders>
              <w:top w:val="nil"/>
              <w:left w:val="nil"/>
              <w:bottom w:val="nil"/>
              <w:right w:val="nil"/>
            </w:tcBorders>
            <w:shd w:val="clear" w:color="auto" w:fill="auto"/>
            <w:noWrap/>
            <w:vAlign w:val="bottom"/>
            <w:hideMark/>
          </w:tcPr>
          <w:p w:rsidR="001F483A" w:rsidRPr="00A05888" w:rsidRDefault="001F483A" w:rsidP="001F483A">
            <w:pPr>
              <w:jc w:val="center"/>
            </w:pPr>
          </w:p>
        </w:tc>
        <w:tc>
          <w:tcPr>
            <w:tcW w:w="1416" w:type="dxa"/>
            <w:gridSpan w:val="2"/>
            <w:tcBorders>
              <w:top w:val="nil"/>
              <w:left w:val="nil"/>
              <w:bottom w:val="nil"/>
              <w:right w:val="nil"/>
            </w:tcBorders>
            <w:shd w:val="clear" w:color="auto" w:fill="auto"/>
            <w:noWrap/>
            <w:vAlign w:val="bottom"/>
            <w:hideMark/>
          </w:tcPr>
          <w:p w:rsidR="001F483A" w:rsidRPr="00A05888" w:rsidRDefault="001F483A" w:rsidP="001F483A"/>
        </w:tc>
        <w:tc>
          <w:tcPr>
            <w:tcW w:w="1276" w:type="dxa"/>
            <w:tcBorders>
              <w:top w:val="nil"/>
              <w:left w:val="nil"/>
              <w:bottom w:val="nil"/>
              <w:right w:val="nil"/>
            </w:tcBorders>
            <w:shd w:val="clear" w:color="auto" w:fill="auto"/>
            <w:noWrap/>
            <w:vAlign w:val="bottom"/>
            <w:hideMark/>
          </w:tcPr>
          <w:p w:rsidR="001F483A" w:rsidRPr="00A05888" w:rsidRDefault="001F483A" w:rsidP="001F483A"/>
        </w:tc>
        <w:tc>
          <w:tcPr>
            <w:tcW w:w="1530" w:type="dxa"/>
            <w:tcBorders>
              <w:top w:val="nil"/>
              <w:left w:val="nil"/>
              <w:bottom w:val="nil"/>
              <w:right w:val="nil"/>
            </w:tcBorders>
            <w:shd w:val="clear" w:color="auto" w:fill="auto"/>
            <w:noWrap/>
            <w:vAlign w:val="bottom"/>
            <w:hideMark/>
          </w:tcPr>
          <w:p w:rsidR="001F483A" w:rsidRPr="00A05888" w:rsidRDefault="001F483A" w:rsidP="001F483A"/>
        </w:tc>
        <w:tc>
          <w:tcPr>
            <w:tcW w:w="1296" w:type="dxa"/>
            <w:tcBorders>
              <w:top w:val="nil"/>
              <w:left w:val="nil"/>
              <w:bottom w:val="nil"/>
              <w:right w:val="nil"/>
            </w:tcBorders>
            <w:shd w:val="clear" w:color="auto" w:fill="auto"/>
            <w:noWrap/>
            <w:vAlign w:val="bottom"/>
            <w:hideMark/>
          </w:tcPr>
          <w:p w:rsidR="001F483A" w:rsidRPr="00A05888" w:rsidRDefault="001F483A" w:rsidP="001F483A"/>
        </w:tc>
        <w:tc>
          <w:tcPr>
            <w:tcW w:w="1563" w:type="dxa"/>
            <w:tcBorders>
              <w:top w:val="nil"/>
              <w:left w:val="nil"/>
              <w:bottom w:val="nil"/>
              <w:right w:val="nil"/>
            </w:tcBorders>
            <w:shd w:val="clear" w:color="auto" w:fill="auto"/>
            <w:noWrap/>
            <w:vAlign w:val="bottom"/>
            <w:hideMark/>
          </w:tcPr>
          <w:p w:rsidR="001F483A" w:rsidRPr="00A05888" w:rsidRDefault="001F483A" w:rsidP="001F483A"/>
        </w:tc>
        <w:tc>
          <w:tcPr>
            <w:tcW w:w="360" w:type="dxa"/>
            <w:tcBorders>
              <w:top w:val="nil"/>
              <w:left w:val="nil"/>
              <w:bottom w:val="nil"/>
              <w:right w:val="single" w:sz="4" w:space="0" w:color="auto"/>
            </w:tcBorders>
            <w:shd w:val="clear" w:color="auto" w:fill="auto"/>
            <w:noWrap/>
            <w:vAlign w:val="bottom"/>
            <w:hideMark/>
          </w:tcPr>
          <w:p w:rsidR="001F483A" w:rsidRPr="00A05888" w:rsidRDefault="001F483A" w:rsidP="001F483A">
            <w:pPr>
              <w:rPr>
                <w:rFonts w:ascii="Arial" w:hAnsi="Arial" w:cs="Arial"/>
              </w:rPr>
            </w:pPr>
            <w:r w:rsidRPr="00A05888">
              <w:rPr>
                <w:rFonts w:ascii="Arial" w:hAnsi="Arial" w:cs="Arial"/>
              </w:rPr>
              <w:t> </w:t>
            </w:r>
          </w:p>
        </w:tc>
      </w:tr>
      <w:tr w:rsidR="001F483A" w:rsidRPr="00A05888" w:rsidTr="001F483A">
        <w:trPr>
          <w:trHeight w:val="300"/>
          <w:jc w:val="center"/>
        </w:trPr>
        <w:tc>
          <w:tcPr>
            <w:tcW w:w="639" w:type="dxa"/>
            <w:tcBorders>
              <w:top w:val="nil"/>
              <w:left w:val="single" w:sz="4" w:space="0" w:color="auto"/>
              <w:bottom w:val="nil"/>
              <w:right w:val="nil"/>
            </w:tcBorders>
            <w:shd w:val="clear" w:color="auto" w:fill="auto"/>
            <w:noWrap/>
            <w:vAlign w:val="bottom"/>
            <w:hideMark/>
          </w:tcPr>
          <w:p w:rsidR="001F483A" w:rsidRPr="00A05888" w:rsidRDefault="001F483A" w:rsidP="001F483A">
            <w:pPr>
              <w:jc w:val="center"/>
            </w:pPr>
            <w:r w:rsidRPr="00A05888">
              <w:t>7</w:t>
            </w:r>
          </w:p>
        </w:tc>
        <w:tc>
          <w:tcPr>
            <w:tcW w:w="2997" w:type="dxa"/>
            <w:tcBorders>
              <w:top w:val="nil"/>
              <w:left w:val="nil"/>
              <w:bottom w:val="nil"/>
              <w:right w:val="nil"/>
            </w:tcBorders>
            <w:shd w:val="clear" w:color="auto" w:fill="auto"/>
            <w:noWrap/>
            <w:vAlign w:val="bottom"/>
            <w:hideMark/>
          </w:tcPr>
          <w:p w:rsidR="001F483A" w:rsidRPr="00A05888" w:rsidRDefault="001F483A" w:rsidP="001F483A">
            <w:pPr>
              <w:rPr>
                <w:b/>
                <w:bCs/>
              </w:rPr>
            </w:pPr>
            <w:r w:rsidRPr="00A05888">
              <w:rPr>
                <w:b/>
                <w:bCs/>
              </w:rPr>
              <w:t>Total Operating Expense</w:t>
            </w:r>
          </w:p>
        </w:tc>
        <w:tc>
          <w:tcPr>
            <w:tcW w:w="1416" w:type="dxa"/>
            <w:gridSpan w:val="2"/>
            <w:tcBorders>
              <w:top w:val="nil"/>
              <w:left w:val="nil"/>
              <w:bottom w:val="nil"/>
              <w:right w:val="nil"/>
            </w:tcBorders>
            <w:shd w:val="clear" w:color="auto" w:fill="auto"/>
            <w:noWrap/>
            <w:vAlign w:val="bottom"/>
            <w:hideMark/>
          </w:tcPr>
          <w:p w:rsidR="001F483A" w:rsidRPr="00A05888" w:rsidRDefault="001F483A" w:rsidP="001F483A">
            <w:pPr>
              <w:jc w:val="right"/>
              <w:rPr>
                <w:u w:val="single"/>
              </w:rPr>
            </w:pPr>
            <w:r w:rsidRPr="00A05888">
              <w:rPr>
                <w:u w:val="single"/>
              </w:rPr>
              <w:t xml:space="preserve">6,572,484 </w:t>
            </w:r>
          </w:p>
        </w:tc>
        <w:tc>
          <w:tcPr>
            <w:tcW w:w="1276" w:type="dxa"/>
            <w:tcBorders>
              <w:top w:val="nil"/>
              <w:left w:val="nil"/>
              <w:bottom w:val="nil"/>
              <w:right w:val="nil"/>
            </w:tcBorders>
            <w:shd w:val="clear" w:color="auto" w:fill="auto"/>
            <w:noWrap/>
            <w:vAlign w:val="bottom"/>
            <w:hideMark/>
          </w:tcPr>
          <w:p w:rsidR="001F483A" w:rsidRPr="00A05888" w:rsidRDefault="001F483A" w:rsidP="001F483A">
            <w:pPr>
              <w:jc w:val="right"/>
              <w:rPr>
                <w:u w:val="single"/>
              </w:rPr>
            </w:pPr>
            <w:r>
              <w:rPr>
                <w:u w:val="single"/>
              </w:rPr>
              <w:t>(664,166)</w:t>
            </w:r>
          </w:p>
        </w:tc>
        <w:tc>
          <w:tcPr>
            <w:tcW w:w="1530" w:type="dxa"/>
            <w:tcBorders>
              <w:top w:val="nil"/>
              <w:left w:val="nil"/>
              <w:bottom w:val="nil"/>
              <w:right w:val="nil"/>
            </w:tcBorders>
            <w:shd w:val="clear" w:color="auto" w:fill="auto"/>
            <w:noWrap/>
            <w:vAlign w:val="bottom"/>
            <w:hideMark/>
          </w:tcPr>
          <w:p w:rsidR="001F483A" w:rsidRPr="00A05888" w:rsidRDefault="001F483A" w:rsidP="001F483A">
            <w:pPr>
              <w:jc w:val="right"/>
              <w:rPr>
                <w:u w:val="single"/>
              </w:rPr>
            </w:pPr>
            <w:r>
              <w:rPr>
                <w:u w:val="single"/>
              </w:rPr>
              <w:t>5,908,318</w:t>
            </w:r>
          </w:p>
        </w:tc>
        <w:tc>
          <w:tcPr>
            <w:tcW w:w="1296" w:type="dxa"/>
            <w:tcBorders>
              <w:top w:val="nil"/>
              <w:left w:val="nil"/>
              <w:bottom w:val="nil"/>
              <w:right w:val="nil"/>
            </w:tcBorders>
            <w:shd w:val="clear" w:color="auto" w:fill="auto"/>
            <w:noWrap/>
            <w:vAlign w:val="bottom"/>
            <w:hideMark/>
          </w:tcPr>
          <w:p w:rsidR="001F483A" w:rsidRPr="00A05888" w:rsidRDefault="001F483A" w:rsidP="001F483A">
            <w:pPr>
              <w:jc w:val="right"/>
              <w:rPr>
                <w:u w:val="single"/>
              </w:rPr>
            </w:pPr>
            <w:r>
              <w:rPr>
                <w:u w:val="single"/>
              </w:rPr>
              <w:t>(23,015)</w:t>
            </w:r>
            <w:r w:rsidRPr="00A05888">
              <w:rPr>
                <w:u w:val="single"/>
              </w:rPr>
              <w:t xml:space="preserve"> </w:t>
            </w:r>
          </w:p>
        </w:tc>
        <w:tc>
          <w:tcPr>
            <w:tcW w:w="1563" w:type="dxa"/>
            <w:tcBorders>
              <w:top w:val="nil"/>
              <w:left w:val="nil"/>
              <w:bottom w:val="nil"/>
              <w:right w:val="nil"/>
            </w:tcBorders>
            <w:shd w:val="clear" w:color="auto" w:fill="auto"/>
            <w:noWrap/>
            <w:vAlign w:val="bottom"/>
            <w:hideMark/>
          </w:tcPr>
          <w:p w:rsidR="001F483A" w:rsidRPr="00A05888" w:rsidRDefault="001F483A" w:rsidP="001F483A">
            <w:pPr>
              <w:jc w:val="right"/>
              <w:rPr>
                <w:u w:val="single"/>
              </w:rPr>
            </w:pPr>
            <w:r>
              <w:rPr>
                <w:u w:val="single"/>
              </w:rPr>
              <w:t>5,885,302</w:t>
            </w:r>
            <w:r w:rsidRPr="00A05888">
              <w:rPr>
                <w:u w:val="single"/>
              </w:rPr>
              <w:t xml:space="preserve"> </w:t>
            </w:r>
          </w:p>
        </w:tc>
        <w:tc>
          <w:tcPr>
            <w:tcW w:w="360" w:type="dxa"/>
            <w:tcBorders>
              <w:top w:val="nil"/>
              <w:left w:val="nil"/>
              <w:bottom w:val="nil"/>
              <w:right w:val="single" w:sz="4" w:space="0" w:color="auto"/>
            </w:tcBorders>
            <w:shd w:val="clear" w:color="auto" w:fill="auto"/>
            <w:noWrap/>
            <w:vAlign w:val="bottom"/>
            <w:hideMark/>
          </w:tcPr>
          <w:p w:rsidR="001F483A" w:rsidRPr="00A05888" w:rsidRDefault="001F483A" w:rsidP="001F483A">
            <w:pPr>
              <w:rPr>
                <w:rFonts w:ascii="Arial" w:hAnsi="Arial" w:cs="Arial"/>
                <w:u w:val="single"/>
              </w:rPr>
            </w:pPr>
          </w:p>
        </w:tc>
      </w:tr>
      <w:tr w:rsidR="001F483A" w:rsidRPr="00A05888" w:rsidTr="001F483A">
        <w:trPr>
          <w:trHeight w:val="300"/>
          <w:jc w:val="center"/>
        </w:trPr>
        <w:tc>
          <w:tcPr>
            <w:tcW w:w="639" w:type="dxa"/>
            <w:tcBorders>
              <w:top w:val="nil"/>
              <w:left w:val="single" w:sz="4" w:space="0" w:color="auto"/>
              <w:bottom w:val="nil"/>
              <w:right w:val="nil"/>
            </w:tcBorders>
            <w:shd w:val="clear" w:color="auto" w:fill="auto"/>
            <w:noWrap/>
            <w:vAlign w:val="bottom"/>
            <w:hideMark/>
          </w:tcPr>
          <w:p w:rsidR="001F483A" w:rsidRPr="00A05888" w:rsidRDefault="001F483A" w:rsidP="001F483A">
            <w:pPr>
              <w:jc w:val="center"/>
            </w:pPr>
            <w:r w:rsidRPr="00A05888">
              <w:t> </w:t>
            </w:r>
          </w:p>
        </w:tc>
        <w:tc>
          <w:tcPr>
            <w:tcW w:w="2997" w:type="dxa"/>
            <w:tcBorders>
              <w:top w:val="nil"/>
              <w:left w:val="nil"/>
              <w:bottom w:val="nil"/>
              <w:right w:val="nil"/>
            </w:tcBorders>
            <w:shd w:val="clear" w:color="auto" w:fill="auto"/>
            <w:noWrap/>
            <w:vAlign w:val="bottom"/>
            <w:hideMark/>
          </w:tcPr>
          <w:p w:rsidR="001F483A" w:rsidRPr="00A05888" w:rsidRDefault="001F483A" w:rsidP="001F483A">
            <w:pPr>
              <w:jc w:val="center"/>
            </w:pPr>
          </w:p>
        </w:tc>
        <w:tc>
          <w:tcPr>
            <w:tcW w:w="1416" w:type="dxa"/>
            <w:gridSpan w:val="2"/>
            <w:tcBorders>
              <w:top w:val="nil"/>
              <w:left w:val="nil"/>
              <w:bottom w:val="nil"/>
              <w:right w:val="nil"/>
            </w:tcBorders>
            <w:shd w:val="clear" w:color="auto" w:fill="auto"/>
            <w:noWrap/>
            <w:vAlign w:val="bottom"/>
            <w:hideMark/>
          </w:tcPr>
          <w:p w:rsidR="001F483A" w:rsidRPr="00A05888" w:rsidRDefault="001F483A" w:rsidP="001F483A"/>
        </w:tc>
        <w:tc>
          <w:tcPr>
            <w:tcW w:w="1276" w:type="dxa"/>
            <w:tcBorders>
              <w:top w:val="nil"/>
              <w:left w:val="nil"/>
              <w:bottom w:val="nil"/>
              <w:right w:val="nil"/>
            </w:tcBorders>
            <w:shd w:val="clear" w:color="auto" w:fill="auto"/>
            <w:noWrap/>
            <w:vAlign w:val="bottom"/>
            <w:hideMark/>
          </w:tcPr>
          <w:p w:rsidR="001F483A" w:rsidRPr="00A05888" w:rsidRDefault="001F483A" w:rsidP="001F483A"/>
        </w:tc>
        <w:tc>
          <w:tcPr>
            <w:tcW w:w="1530" w:type="dxa"/>
            <w:tcBorders>
              <w:top w:val="nil"/>
              <w:left w:val="nil"/>
              <w:bottom w:val="nil"/>
              <w:right w:val="nil"/>
            </w:tcBorders>
            <w:shd w:val="clear" w:color="auto" w:fill="auto"/>
            <w:noWrap/>
            <w:vAlign w:val="bottom"/>
            <w:hideMark/>
          </w:tcPr>
          <w:p w:rsidR="001F483A" w:rsidRPr="00A05888" w:rsidRDefault="001F483A" w:rsidP="001F483A"/>
        </w:tc>
        <w:tc>
          <w:tcPr>
            <w:tcW w:w="1296" w:type="dxa"/>
            <w:tcBorders>
              <w:top w:val="nil"/>
              <w:left w:val="nil"/>
              <w:bottom w:val="nil"/>
              <w:right w:val="nil"/>
            </w:tcBorders>
            <w:shd w:val="clear" w:color="auto" w:fill="auto"/>
            <w:noWrap/>
            <w:vAlign w:val="bottom"/>
            <w:hideMark/>
          </w:tcPr>
          <w:p w:rsidR="001F483A" w:rsidRPr="00A05888" w:rsidRDefault="001F483A" w:rsidP="001F483A"/>
        </w:tc>
        <w:tc>
          <w:tcPr>
            <w:tcW w:w="1563" w:type="dxa"/>
            <w:tcBorders>
              <w:top w:val="nil"/>
              <w:left w:val="nil"/>
              <w:bottom w:val="nil"/>
              <w:right w:val="nil"/>
            </w:tcBorders>
            <w:shd w:val="clear" w:color="auto" w:fill="auto"/>
            <w:noWrap/>
            <w:vAlign w:val="bottom"/>
            <w:hideMark/>
          </w:tcPr>
          <w:p w:rsidR="001F483A" w:rsidRPr="00A05888" w:rsidRDefault="001F483A" w:rsidP="001F483A"/>
        </w:tc>
        <w:tc>
          <w:tcPr>
            <w:tcW w:w="360" w:type="dxa"/>
            <w:tcBorders>
              <w:top w:val="nil"/>
              <w:left w:val="nil"/>
              <w:bottom w:val="nil"/>
              <w:right w:val="single" w:sz="4" w:space="0" w:color="auto"/>
            </w:tcBorders>
            <w:shd w:val="clear" w:color="auto" w:fill="auto"/>
            <w:noWrap/>
            <w:vAlign w:val="bottom"/>
            <w:hideMark/>
          </w:tcPr>
          <w:p w:rsidR="001F483A" w:rsidRPr="00A05888" w:rsidRDefault="001F483A" w:rsidP="001F483A">
            <w:pPr>
              <w:rPr>
                <w:rFonts w:ascii="Arial" w:hAnsi="Arial" w:cs="Arial"/>
              </w:rPr>
            </w:pPr>
            <w:r w:rsidRPr="00A05888">
              <w:rPr>
                <w:rFonts w:ascii="Arial" w:hAnsi="Arial" w:cs="Arial"/>
              </w:rPr>
              <w:t> </w:t>
            </w:r>
          </w:p>
        </w:tc>
      </w:tr>
      <w:tr w:rsidR="001F483A" w:rsidRPr="00A05888" w:rsidTr="001F483A">
        <w:trPr>
          <w:trHeight w:val="300"/>
          <w:jc w:val="center"/>
        </w:trPr>
        <w:tc>
          <w:tcPr>
            <w:tcW w:w="639" w:type="dxa"/>
            <w:tcBorders>
              <w:top w:val="nil"/>
              <w:left w:val="single" w:sz="4" w:space="0" w:color="auto"/>
              <w:bottom w:val="nil"/>
              <w:right w:val="nil"/>
            </w:tcBorders>
            <w:shd w:val="clear" w:color="auto" w:fill="auto"/>
            <w:noWrap/>
            <w:vAlign w:val="bottom"/>
            <w:hideMark/>
          </w:tcPr>
          <w:p w:rsidR="001F483A" w:rsidRPr="00A05888" w:rsidRDefault="001F483A" w:rsidP="001F483A">
            <w:pPr>
              <w:jc w:val="center"/>
            </w:pPr>
            <w:r w:rsidRPr="00A05888">
              <w:t>8</w:t>
            </w:r>
          </w:p>
        </w:tc>
        <w:tc>
          <w:tcPr>
            <w:tcW w:w="2997" w:type="dxa"/>
            <w:tcBorders>
              <w:top w:val="nil"/>
              <w:left w:val="nil"/>
              <w:bottom w:val="nil"/>
              <w:right w:val="nil"/>
            </w:tcBorders>
            <w:shd w:val="clear" w:color="auto" w:fill="auto"/>
            <w:noWrap/>
            <w:vAlign w:val="bottom"/>
            <w:hideMark/>
          </w:tcPr>
          <w:p w:rsidR="001F483A" w:rsidRPr="00A05888" w:rsidRDefault="001F483A" w:rsidP="001F483A">
            <w:pPr>
              <w:rPr>
                <w:b/>
                <w:bCs/>
              </w:rPr>
            </w:pPr>
            <w:r w:rsidRPr="00A05888">
              <w:rPr>
                <w:b/>
                <w:bCs/>
              </w:rPr>
              <w:t>Operating Income</w:t>
            </w:r>
          </w:p>
        </w:tc>
        <w:tc>
          <w:tcPr>
            <w:tcW w:w="1416" w:type="dxa"/>
            <w:gridSpan w:val="2"/>
            <w:tcBorders>
              <w:top w:val="nil"/>
              <w:left w:val="nil"/>
              <w:bottom w:val="nil"/>
              <w:right w:val="nil"/>
            </w:tcBorders>
            <w:shd w:val="clear" w:color="auto" w:fill="auto"/>
            <w:noWrap/>
            <w:vAlign w:val="bottom"/>
            <w:hideMark/>
          </w:tcPr>
          <w:p w:rsidR="001F483A" w:rsidRPr="00A05888" w:rsidRDefault="001F483A" w:rsidP="001F483A">
            <w:pPr>
              <w:jc w:val="right"/>
              <w:rPr>
                <w:u w:val="double"/>
              </w:rPr>
            </w:pPr>
            <w:r w:rsidRPr="00A05888">
              <w:rPr>
                <w:u w:val="double"/>
              </w:rPr>
              <w:t xml:space="preserve">$4,607,009 </w:t>
            </w:r>
          </w:p>
        </w:tc>
        <w:tc>
          <w:tcPr>
            <w:tcW w:w="1276" w:type="dxa"/>
            <w:tcBorders>
              <w:top w:val="nil"/>
              <w:left w:val="nil"/>
              <w:bottom w:val="nil"/>
              <w:right w:val="nil"/>
            </w:tcBorders>
            <w:shd w:val="clear" w:color="auto" w:fill="auto"/>
            <w:noWrap/>
            <w:vAlign w:val="bottom"/>
            <w:hideMark/>
          </w:tcPr>
          <w:p w:rsidR="001F483A" w:rsidRPr="00A05888" w:rsidRDefault="001F483A" w:rsidP="001F483A">
            <w:pPr>
              <w:jc w:val="right"/>
              <w:rPr>
                <w:u w:val="double"/>
              </w:rPr>
            </w:pPr>
            <w:r>
              <w:rPr>
                <w:u w:val="double"/>
              </w:rPr>
              <w:t>$664,166</w:t>
            </w:r>
            <w:r w:rsidRPr="00A05888">
              <w:rPr>
                <w:u w:val="double"/>
              </w:rPr>
              <w:t xml:space="preserve"> </w:t>
            </w:r>
          </w:p>
        </w:tc>
        <w:tc>
          <w:tcPr>
            <w:tcW w:w="1530" w:type="dxa"/>
            <w:tcBorders>
              <w:top w:val="nil"/>
              <w:left w:val="nil"/>
              <w:bottom w:val="nil"/>
              <w:right w:val="nil"/>
            </w:tcBorders>
            <w:shd w:val="clear" w:color="auto" w:fill="auto"/>
            <w:noWrap/>
            <w:vAlign w:val="bottom"/>
            <w:hideMark/>
          </w:tcPr>
          <w:p w:rsidR="001F483A" w:rsidRPr="00A05888" w:rsidRDefault="001F483A" w:rsidP="001F483A">
            <w:pPr>
              <w:jc w:val="right"/>
              <w:rPr>
                <w:u w:val="double"/>
              </w:rPr>
            </w:pPr>
            <w:r>
              <w:rPr>
                <w:u w:val="double"/>
              </w:rPr>
              <w:t>$5,271,175</w:t>
            </w:r>
            <w:r w:rsidRPr="00A05888">
              <w:rPr>
                <w:u w:val="double"/>
              </w:rPr>
              <w:t xml:space="preserve"> </w:t>
            </w:r>
          </w:p>
        </w:tc>
        <w:tc>
          <w:tcPr>
            <w:tcW w:w="1296" w:type="dxa"/>
            <w:tcBorders>
              <w:top w:val="nil"/>
              <w:left w:val="nil"/>
              <w:bottom w:val="nil"/>
              <w:right w:val="nil"/>
            </w:tcBorders>
            <w:shd w:val="clear" w:color="auto" w:fill="auto"/>
            <w:noWrap/>
            <w:vAlign w:val="bottom"/>
            <w:hideMark/>
          </w:tcPr>
          <w:p w:rsidR="001F483A" w:rsidRPr="00A05888" w:rsidRDefault="001F483A" w:rsidP="001F483A">
            <w:pPr>
              <w:jc w:val="right"/>
              <w:rPr>
                <w:u w:val="double"/>
              </w:rPr>
            </w:pPr>
            <w:r>
              <w:rPr>
                <w:u w:val="double"/>
              </w:rPr>
              <w:t>(</w:t>
            </w:r>
            <w:r w:rsidRPr="00A05888">
              <w:rPr>
                <w:u w:val="double"/>
              </w:rPr>
              <w:t>$</w:t>
            </w:r>
            <w:r>
              <w:rPr>
                <w:u w:val="double"/>
              </w:rPr>
              <w:t>488,439)</w:t>
            </w:r>
            <w:r w:rsidRPr="00A05888">
              <w:rPr>
                <w:u w:val="double"/>
              </w:rPr>
              <w:t xml:space="preserve"> </w:t>
            </w:r>
          </w:p>
        </w:tc>
        <w:tc>
          <w:tcPr>
            <w:tcW w:w="1563" w:type="dxa"/>
            <w:tcBorders>
              <w:top w:val="nil"/>
              <w:left w:val="nil"/>
              <w:bottom w:val="nil"/>
              <w:right w:val="nil"/>
            </w:tcBorders>
            <w:shd w:val="clear" w:color="auto" w:fill="auto"/>
            <w:noWrap/>
            <w:vAlign w:val="bottom"/>
            <w:hideMark/>
          </w:tcPr>
          <w:p w:rsidR="001F483A" w:rsidRPr="00A05888" w:rsidRDefault="001F483A" w:rsidP="001F483A">
            <w:pPr>
              <w:jc w:val="right"/>
              <w:rPr>
                <w:u w:val="double"/>
              </w:rPr>
            </w:pPr>
            <w:r w:rsidRPr="00A05888">
              <w:rPr>
                <w:u w:val="double"/>
              </w:rPr>
              <w:t>$</w:t>
            </w:r>
            <w:r>
              <w:rPr>
                <w:u w:val="double"/>
              </w:rPr>
              <w:t>4,782,736</w:t>
            </w:r>
            <w:r w:rsidRPr="00A05888">
              <w:rPr>
                <w:u w:val="double"/>
              </w:rPr>
              <w:t xml:space="preserve"> </w:t>
            </w:r>
          </w:p>
        </w:tc>
        <w:tc>
          <w:tcPr>
            <w:tcW w:w="360" w:type="dxa"/>
            <w:tcBorders>
              <w:top w:val="nil"/>
              <w:left w:val="nil"/>
              <w:bottom w:val="nil"/>
              <w:right w:val="single" w:sz="4" w:space="0" w:color="auto"/>
            </w:tcBorders>
            <w:shd w:val="clear" w:color="auto" w:fill="auto"/>
            <w:noWrap/>
            <w:vAlign w:val="bottom"/>
            <w:hideMark/>
          </w:tcPr>
          <w:p w:rsidR="001F483A" w:rsidRPr="00A05888" w:rsidRDefault="001F483A" w:rsidP="001F483A">
            <w:pPr>
              <w:rPr>
                <w:rFonts w:ascii="Arial" w:hAnsi="Arial" w:cs="Arial"/>
                <w:u w:val="double"/>
              </w:rPr>
            </w:pPr>
          </w:p>
        </w:tc>
      </w:tr>
      <w:tr w:rsidR="001F483A" w:rsidRPr="00A05888" w:rsidTr="001F483A">
        <w:trPr>
          <w:trHeight w:val="300"/>
          <w:jc w:val="center"/>
        </w:trPr>
        <w:tc>
          <w:tcPr>
            <w:tcW w:w="639" w:type="dxa"/>
            <w:tcBorders>
              <w:top w:val="nil"/>
              <w:left w:val="single" w:sz="4" w:space="0" w:color="auto"/>
              <w:bottom w:val="nil"/>
              <w:right w:val="nil"/>
            </w:tcBorders>
            <w:shd w:val="clear" w:color="auto" w:fill="auto"/>
            <w:noWrap/>
            <w:vAlign w:val="bottom"/>
            <w:hideMark/>
          </w:tcPr>
          <w:p w:rsidR="001F483A" w:rsidRPr="00A05888" w:rsidRDefault="001F483A" w:rsidP="001F483A">
            <w:pPr>
              <w:jc w:val="center"/>
            </w:pPr>
            <w:r w:rsidRPr="00A05888">
              <w:t> </w:t>
            </w:r>
          </w:p>
        </w:tc>
        <w:tc>
          <w:tcPr>
            <w:tcW w:w="2997" w:type="dxa"/>
            <w:tcBorders>
              <w:top w:val="nil"/>
              <w:left w:val="nil"/>
              <w:bottom w:val="nil"/>
              <w:right w:val="nil"/>
            </w:tcBorders>
            <w:shd w:val="clear" w:color="auto" w:fill="auto"/>
            <w:noWrap/>
            <w:vAlign w:val="bottom"/>
            <w:hideMark/>
          </w:tcPr>
          <w:p w:rsidR="001F483A" w:rsidRPr="00A05888" w:rsidRDefault="001F483A" w:rsidP="001F483A">
            <w:pPr>
              <w:jc w:val="center"/>
            </w:pPr>
          </w:p>
        </w:tc>
        <w:tc>
          <w:tcPr>
            <w:tcW w:w="1416" w:type="dxa"/>
            <w:gridSpan w:val="2"/>
            <w:tcBorders>
              <w:top w:val="nil"/>
              <w:left w:val="nil"/>
              <w:bottom w:val="nil"/>
              <w:right w:val="nil"/>
            </w:tcBorders>
            <w:shd w:val="clear" w:color="auto" w:fill="auto"/>
            <w:noWrap/>
            <w:vAlign w:val="bottom"/>
            <w:hideMark/>
          </w:tcPr>
          <w:p w:rsidR="001F483A" w:rsidRPr="00A05888" w:rsidRDefault="001F483A" w:rsidP="001F483A"/>
        </w:tc>
        <w:tc>
          <w:tcPr>
            <w:tcW w:w="1276" w:type="dxa"/>
            <w:tcBorders>
              <w:top w:val="nil"/>
              <w:left w:val="nil"/>
              <w:bottom w:val="nil"/>
              <w:right w:val="nil"/>
            </w:tcBorders>
            <w:shd w:val="clear" w:color="auto" w:fill="auto"/>
            <w:noWrap/>
            <w:vAlign w:val="bottom"/>
            <w:hideMark/>
          </w:tcPr>
          <w:p w:rsidR="001F483A" w:rsidRPr="00A05888" w:rsidRDefault="001F483A" w:rsidP="001F483A"/>
        </w:tc>
        <w:tc>
          <w:tcPr>
            <w:tcW w:w="1530" w:type="dxa"/>
            <w:tcBorders>
              <w:top w:val="nil"/>
              <w:left w:val="nil"/>
              <w:bottom w:val="nil"/>
              <w:right w:val="nil"/>
            </w:tcBorders>
            <w:shd w:val="clear" w:color="auto" w:fill="auto"/>
            <w:noWrap/>
            <w:vAlign w:val="bottom"/>
            <w:hideMark/>
          </w:tcPr>
          <w:p w:rsidR="001F483A" w:rsidRPr="00A05888" w:rsidRDefault="001F483A" w:rsidP="001F483A"/>
        </w:tc>
        <w:tc>
          <w:tcPr>
            <w:tcW w:w="1296" w:type="dxa"/>
            <w:tcBorders>
              <w:top w:val="nil"/>
              <w:left w:val="nil"/>
              <w:bottom w:val="nil"/>
              <w:right w:val="nil"/>
            </w:tcBorders>
            <w:shd w:val="clear" w:color="auto" w:fill="auto"/>
            <w:noWrap/>
            <w:vAlign w:val="bottom"/>
            <w:hideMark/>
          </w:tcPr>
          <w:p w:rsidR="001F483A" w:rsidRPr="00A05888" w:rsidRDefault="001F483A" w:rsidP="001F483A"/>
        </w:tc>
        <w:tc>
          <w:tcPr>
            <w:tcW w:w="1563" w:type="dxa"/>
            <w:tcBorders>
              <w:top w:val="nil"/>
              <w:left w:val="nil"/>
              <w:bottom w:val="nil"/>
              <w:right w:val="nil"/>
            </w:tcBorders>
            <w:shd w:val="clear" w:color="auto" w:fill="auto"/>
            <w:noWrap/>
            <w:vAlign w:val="bottom"/>
            <w:hideMark/>
          </w:tcPr>
          <w:p w:rsidR="001F483A" w:rsidRPr="00A05888" w:rsidRDefault="001F483A" w:rsidP="001F483A"/>
        </w:tc>
        <w:tc>
          <w:tcPr>
            <w:tcW w:w="360" w:type="dxa"/>
            <w:tcBorders>
              <w:top w:val="nil"/>
              <w:left w:val="nil"/>
              <w:bottom w:val="nil"/>
              <w:right w:val="single" w:sz="4" w:space="0" w:color="auto"/>
            </w:tcBorders>
            <w:shd w:val="clear" w:color="auto" w:fill="auto"/>
            <w:noWrap/>
            <w:vAlign w:val="bottom"/>
            <w:hideMark/>
          </w:tcPr>
          <w:p w:rsidR="001F483A" w:rsidRPr="00A05888" w:rsidRDefault="001F483A" w:rsidP="001F483A">
            <w:pPr>
              <w:rPr>
                <w:rFonts w:ascii="Arial" w:hAnsi="Arial" w:cs="Arial"/>
              </w:rPr>
            </w:pPr>
            <w:r w:rsidRPr="00A05888">
              <w:rPr>
                <w:rFonts w:ascii="Arial" w:hAnsi="Arial" w:cs="Arial"/>
              </w:rPr>
              <w:t> </w:t>
            </w:r>
          </w:p>
        </w:tc>
      </w:tr>
      <w:tr w:rsidR="001F483A" w:rsidRPr="00A05888" w:rsidTr="001F483A">
        <w:trPr>
          <w:trHeight w:val="300"/>
          <w:jc w:val="center"/>
        </w:trPr>
        <w:tc>
          <w:tcPr>
            <w:tcW w:w="639" w:type="dxa"/>
            <w:tcBorders>
              <w:top w:val="nil"/>
              <w:left w:val="single" w:sz="4" w:space="0" w:color="auto"/>
              <w:bottom w:val="nil"/>
              <w:right w:val="nil"/>
            </w:tcBorders>
            <w:shd w:val="clear" w:color="auto" w:fill="auto"/>
            <w:noWrap/>
            <w:vAlign w:val="bottom"/>
            <w:hideMark/>
          </w:tcPr>
          <w:p w:rsidR="001F483A" w:rsidRPr="00A05888" w:rsidRDefault="001F483A" w:rsidP="001F483A">
            <w:pPr>
              <w:jc w:val="center"/>
            </w:pPr>
            <w:r w:rsidRPr="00A05888">
              <w:t>9</w:t>
            </w:r>
          </w:p>
        </w:tc>
        <w:tc>
          <w:tcPr>
            <w:tcW w:w="2997" w:type="dxa"/>
            <w:tcBorders>
              <w:top w:val="nil"/>
              <w:left w:val="nil"/>
              <w:bottom w:val="nil"/>
              <w:right w:val="nil"/>
            </w:tcBorders>
            <w:shd w:val="clear" w:color="auto" w:fill="auto"/>
            <w:noWrap/>
            <w:vAlign w:val="bottom"/>
            <w:hideMark/>
          </w:tcPr>
          <w:p w:rsidR="001F483A" w:rsidRPr="00A05888" w:rsidRDefault="001F483A" w:rsidP="001F483A">
            <w:pPr>
              <w:rPr>
                <w:b/>
                <w:bCs/>
              </w:rPr>
            </w:pPr>
            <w:r w:rsidRPr="00A05888">
              <w:rPr>
                <w:b/>
                <w:bCs/>
              </w:rPr>
              <w:t>Rate Base</w:t>
            </w:r>
          </w:p>
        </w:tc>
        <w:tc>
          <w:tcPr>
            <w:tcW w:w="1416" w:type="dxa"/>
            <w:gridSpan w:val="2"/>
            <w:tcBorders>
              <w:top w:val="nil"/>
              <w:left w:val="nil"/>
              <w:bottom w:val="nil"/>
              <w:right w:val="nil"/>
            </w:tcBorders>
            <w:shd w:val="clear" w:color="auto" w:fill="auto"/>
            <w:noWrap/>
            <w:vAlign w:val="bottom"/>
            <w:hideMark/>
          </w:tcPr>
          <w:p w:rsidR="001F483A" w:rsidRPr="00A05888" w:rsidRDefault="001F483A" w:rsidP="001F483A">
            <w:pPr>
              <w:jc w:val="right"/>
              <w:rPr>
                <w:u w:val="double"/>
              </w:rPr>
            </w:pPr>
            <w:r w:rsidRPr="00A05888">
              <w:rPr>
                <w:u w:val="double"/>
              </w:rPr>
              <w:t xml:space="preserve">$59,140,042 </w:t>
            </w:r>
          </w:p>
        </w:tc>
        <w:tc>
          <w:tcPr>
            <w:tcW w:w="1276" w:type="dxa"/>
            <w:tcBorders>
              <w:top w:val="nil"/>
              <w:left w:val="nil"/>
              <w:bottom w:val="nil"/>
              <w:right w:val="nil"/>
            </w:tcBorders>
            <w:shd w:val="clear" w:color="auto" w:fill="auto"/>
            <w:noWrap/>
            <w:vAlign w:val="bottom"/>
            <w:hideMark/>
          </w:tcPr>
          <w:p w:rsidR="001F483A" w:rsidRPr="00A05888" w:rsidRDefault="001F483A" w:rsidP="001F483A">
            <w:pPr>
              <w:jc w:val="right"/>
              <w:rPr>
                <w:u w:val="double"/>
              </w:rPr>
            </w:pPr>
          </w:p>
        </w:tc>
        <w:tc>
          <w:tcPr>
            <w:tcW w:w="1530" w:type="dxa"/>
            <w:tcBorders>
              <w:top w:val="nil"/>
              <w:left w:val="nil"/>
              <w:bottom w:val="nil"/>
              <w:right w:val="nil"/>
            </w:tcBorders>
            <w:shd w:val="clear" w:color="auto" w:fill="auto"/>
            <w:noWrap/>
            <w:vAlign w:val="bottom"/>
            <w:hideMark/>
          </w:tcPr>
          <w:p w:rsidR="001F483A" w:rsidRPr="00A05888" w:rsidRDefault="001F483A" w:rsidP="001F483A">
            <w:pPr>
              <w:jc w:val="right"/>
              <w:rPr>
                <w:u w:val="double"/>
              </w:rPr>
            </w:pPr>
            <w:r w:rsidRPr="00A05888">
              <w:rPr>
                <w:u w:val="double"/>
              </w:rPr>
              <w:t>$</w:t>
            </w:r>
            <w:r>
              <w:rPr>
                <w:u w:val="double"/>
              </w:rPr>
              <w:t>61,631,284</w:t>
            </w:r>
            <w:r w:rsidRPr="00A05888">
              <w:rPr>
                <w:u w:val="double"/>
              </w:rPr>
              <w:t xml:space="preserve"> </w:t>
            </w:r>
          </w:p>
        </w:tc>
        <w:tc>
          <w:tcPr>
            <w:tcW w:w="1296" w:type="dxa"/>
            <w:tcBorders>
              <w:top w:val="nil"/>
              <w:left w:val="nil"/>
              <w:bottom w:val="nil"/>
              <w:right w:val="nil"/>
            </w:tcBorders>
            <w:shd w:val="clear" w:color="auto" w:fill="auto"/>
            <w:noWrap/>
            <w:vAlign w:val="bottom"/>
            <w:hideMark/>
          </w:tcPr>
          <w:p w:rsidR="001F483A" w:rsidRPr="00A05888" w:rsidRDefault="001F483A" w:rsidP="001F483A">
            <w:pPr>
              <w:jc w:val="right"/>
              <w:rPr>
                <w:u w:val="double"/>
              </w:rPr>
            </w:pPr>
          </w:p>
        </w:tc>
        <w:tc>
          <w:tcPr>
            <w:tcW w:w="1563" w:type="dxa"/>
            <w:tcBorders>
              <w:top w:val="nil"/>
              <w:left w:val="nil"/>
              <w:bottom w:val="nil"/>
              <w:right w:val="nil"/>
            </w:tcBorders>
            <w:shd w:val="clear" w:color="auto" w:fill="auto"/>
            <w:noWrap/>
            <w:vAlign w:val="bottom"/>
            <w:hideMark/>
          </w:tcPr>
          <w:p w:rsidR="001F483A" w:rsidRPr="00A05888" w:rsidRDefault="001F483A" w:rsidP="001F483A">
            <w:pPr>
              <w:jc w:val="right"/>
              <w:rPr>
                <w:u w:val="double"/>
              </w:rPr>
            </w:pPr>
            <w:r>
              <w:rPr>
                <w:u w:val="double"/>
              </w:rPr>
              <w:t>$61,631,284</w:t>
            </w:r>
            <w:r w:rsidRPr="00A05888">
              <w:rPr>
                <w:u w:val="double"/>
              </w:rPr>
              <w:t xml:space="preserve"> </w:t>
            </w:r>
          </w:p>
        </w:tc>
        <w:tc>
          <w:tcPr>
            <w:tcW w:w="360" w:type="dxa"/>
            <w:tcBorders>
              <w:top w:val="nil"/>
              <w:left w:val="nil"/>
              <w:bottom w:val="nil"/>
              <w:right w:val="single" w:sz="4" w:space="0" w:color="auto"/>
            </w:tcBorders>
            <w:shd w:val="clear" w:color="auto" w:fill="auto"/>
            <w:noWrap/>
            <w:vAlign w:val="bottom"/>
            <w:hideMark/>
          </w:tcPr>
          <w:p w:rsidR="001F483A" w:rsidRPr="00A05888" w:rsidRDefault="001F483A" w:rsidP="001F483A">
            <w:pPr>
              <w:rPr>
                <w:rFonts w:ascii="Arial" w:hAnsi="Arial" w:cs="Arial"/>
                <w:u w:val="double"/>
              </w:rPr>
            </w:pPr>
          </w:p>
        </w:tc>
      </w:tr>
      <w:tr w:rsidR="001F483A" w:rsidRPr="00A05888" w:rsidTr="001F483A">
        <w:trPr>
          <w:trHeight w:val="300"/>
          <w:jc w:val="center"/>
        </w:trPr>
        <w:tc>
          <w:tcPr>
            <w:tcW w:w="639" w:type="dxa"/>
            <w:tcBorders>
              <w:top w:val="nil"/>
              <w:left w:val="single" w:sz="4" w:space="0" w:color="auto"/>
              <w:bottom w:val="nil"/>
              <w:right w:val="nil"/>
            </w:tcBorders>
            <w:shd w:val="clear" w:color="auto" w:fill="auto"/>
            <w:noWrap/>
            <w:vAlign w:val="bottom"/>
            <w:hideMark/>
          </w:tcPr>
          <w:p w:rsidR="001F483A" w:rsidRPr="00A05888" w:rsidRDefault="001F483A" w:rsidP="001F483A">
            <w:pPr>
              <w:jc w:val="center"/>
            </w:pPr>
            <w:r w:rsidRPr="00A05888">
              <w:t> </w:t>
            </w:r>
          </w:p>
        </w:tc>
        <w:tc>
          <w:tcPr>
            <w:tcW w:w="2997" w:type="dxa"/>
            <w:tcBorders>
              <w:top w:val="nil"/>
              <w:left w:val="nil"/>
              <w:bottom w:val="nil"/>
              <w:right w:val="nil"/>
            </w:tcBorders>
            <w:shd w:val="clear" w:color="auto" w:fill="auto"/>
            <w:noWrap/>
            <w:vAlign w:val="bottom"/>
            <w:hideMark/>
          </w:tcPr>
          <w:p w:rsidR="001F483A" w:rsidRPr="00A05888" w:rsidRDefault="001F483A" w:rsidP="001F483A">
            <w:pPr>
              <w:jc w:val="center"/>
            </w:pPr>
          </w:p>
        </w:tc>
        <w:tc>
          <w:tcPr>
            <w:tcW w:w="1416" w:type="dxa"/>
            <w:gridSpan w:val="2"/>
            <w:tcBorders>
              <w:top w:val="nil"/>
              <w:left w:val="nil"/>
              <w:bottom w:val="nil"/>
              <w:right w:val="nil"/>
            </w:tcBorders>
            <w:shd w:val="clear" w:color="auto" w:fill="auto"/>
            <w:noWrap/>
            <w:vAlign w:val="bottom"/>
            <w:hideMark/>
          </w:tcPr>
          <w:p w:rsidR="001F483A" w:rsidRPr="00A05888" w:rsidRDefault="001F483A" w:rsidP="001F483A"/>
        </w:tc>
        <w:tc>
          <w:tcPr>
            <w:tcW w:w="1276" w:type="dxa"/>
            <w:tcBorders>
              <w:top w:val="nil"/>
              <w:left w:val="nil"/>
              <w:bottom w:val="nil"/>
              <w:right w:val="nil"/>
            </w:tcBorders>
            <w:shd w:val="clear" w:color="auto" w:fill="auto"/>
            <w:noWrap/>
            <w:vAlign w:val="bottom"/>
            <w:hideMark/>
          </w:tcPr>
          <w:p w:rsidR="001F483A" w:rsidRPr="00A05888" w:rsidRDefault="001F483A" w:rsidP="001F483A"/>
        </w:tc>
        <w:tc>
          <w:tcPr>
            <w:tcW w:w="1530" w:type="dxa"/>
            <w:tcBorders>
              <w:top w:val="nil"/>
              <w:left w:val="nil"/>
              <w:bottom w:val="nil"/>
              <w:right w:val="nil"/>
            </w:tcBorders>
            <w:shd w:val="clear" w:color="auto" w:fill="auto"/>
            <w:noWrap/>
            <w:vAlign w:val="bottom"/>
            <w:hideMark/>
          </w:tcPr>
          <w:p w:rsidR="001F483A" w:rsidRPr="00A05888" w:rsidRDefault="001F483A" w:rsidP="001F483A"/>
        </w:tc>
        <w:tc>
          <w:tcPr>
            <w:tcW w:w="1296" w:type="dxa"/>
            <w:tcBorders>
              <w:top w:val="nil"/>
              <w:left w:val="nil"/>
              <w:bottom w:val="nil"/>
              <w:right w:val="nil"/>
            </w:tcBorders>
            <w:shd w:val="clear" w:color="auto" w:fill="auto"/>
            <w:noWrap/>
            <w:vAlign w:val="bottom"/>
            <w:hideMark/>
          </w:tcPr>
          <w:p w:rsidR="001F483A" w:rsidRPr="00A05888" w:rsidRDefault="001F483A" w:rsidP="001F483A"/>
        </w:tc>
        <w:tc>
          <w:tcPr>
            <w:tcW w:w="1563" w:type="dxa"/>
            <w:tcBorders>
              <w:top w:val="nil"/>
              <w:left w:val="nil"/>
              <w:bottom w:val="nil"/>
              <w:right w:val="nil"/>
            </w:tcBorders>
            <w:shd w:val="clear" w:color="auto" w:fill="auto"/>
            <w:noWrap/>
            <w:vAlign w:val="bottom"/>
            <w:hideMark/>
          </w:tcPr>
          <w:p w:rsidR="001F483A" w:rsidRPr="00A05888" w:rsidRDefault="001F483A" w:rsidP="001F483A"/>
        </w:tc>
        <w:tc>
          <w:tcPr>
            <w:tcW w:w="360" w:type="dxa"/>
            <w:tcBorders>
              <w:top w:val="nil"/>
              <w:left w:val="nil"/>
              <w:bottom w:val="nil"/>
              <w:right w:val="single" w:sz="4" w:space="0" w:color="auto"/>
            </w:tcBorders>
            <w:shd w:val="clear" w:color="auto" w:fill="auto"/>
            <w:noWrap/>
            <w:vAlign w:val="bottom"/>
            <w:hideMark/>
          </w:tcPr>
          <w:p w:rsidR="001F483A" w:rsidRPr="00A05888" w:rsidRDefault="001F483A" w:rsidP="001F483A">
            <w:pPr>
              <w:rPr>
                <w:rFonts w:ascii="Arial" w:hAnsi="Arial" w:cs="Arial"/>
              </w:rPr>
            </w:pPr>
            <w:r w:rsidRPr="00A05888">
              <w:rPr>
                <w:rFonts w:ascii="Arial" w:hAnsi="Arial" w:cs="Arial"/>
              </w:rPr>
              <w:t> </w:t>
            </w:r>
          </w:p>
        </w:tc>
      </w:tr>
      <w:tr w:rsidR="001F483A" w:rsidRPr="00A05888" w:rsidTr="001F483A">
        <w:trPr>
          <w:trHeight w:val="300"/>
          <w:jc w:val="center"/>
        </w:trPr>
        <w:tc>
          <w:tcPr>
            <w:tcW w:w="639" w:type="dxa"/>
            <w:tcBorders>
              <w:top w:val="nil"/>
              <w:left w:val="single" w:sz="4" w:space="0" w:color="auto"/>
              <w:bottom w:val="nil"/>
              <w:right w:val="nil"/>
            </w:tcBorders>
            <w:shd w:val="clear" w:color="auto" w:fill="auto"/>
            <w:noWrap/>
            <w:vAlign w:val="bottom"/>
            <w:hideMark/>
          </w:tcPr>
          <w:p w:rsidR="001F483A" w:rsidRPr="00A05888" w:rsidRDefault="001F483A" w:rsidP="001F483A">
            <w:pPr>
              <w:jc w:val="center"/>
            </w:pPr>
            <w:r w:rsidRPr="00A05888">
              <w:t>10</w:t>
            </w:r>
          </w:p>
        </w:tc>
        <w:tc>
          <w:tcPr>
            <w:tcW w:w="2997" w:type="dxa"/>
            <w:tcBorders>
              <w:top w:val="nil"/>
              <w:left w:val="nil"/>
              <w:bottom w:val="nil"/>
              <w:right w:val="nil"/>
            </w:tcBorders>
            <w:shd w:val="clear" w:color="auto" w:fill="auto"/>
            <w:noWrap/>
            <w:vAlign w:val="bottom"/>
            <w:hideMark/>
          </w:tcPr>
          <w:p w:rsidR="001F483A" w:rsidRPr="00A05888" w:rsidRDefault="001F483A" w:rsidP="001F483A">
            <w:pPr>
              <w:rPr>
                <w:b/>
                <w:bCs/>
              </w:rPr>
            </w:pPr>
            <w:r w:rsidRPr="00A05888">
              <w:rPr>
                <w:b/>
                <w:bCs/>
              </w:rPr>
              <w:t>Rate of Return</w:t>
            </w:r>
          </w:p>
        </w:tc>
        <w:tc>
          <w:tcPr>
            <w:tcW w:w="1416" w:type="dxa"/>
            <w:gridSpan w:val="2"/>
            <w:tcBorders>
              <w:top w:val="nil"/>
              <w:left w:val="nil"/>
              <w:bottom w:val="nil"/>
              <w:right w:val="nil"/>
            </w:tcBorders>
            <w:shd w:val="clear" w:color="auto" w:fill="auto"/>
            <w:noWrap/>
            <w:vAlign w:val="bottom"/>
            <w:hideMark/>
          </w:tcPr>
          <w:p w:rsidR="001F483A" w:rsidRPr="00A05888" w:rsidRDefault="001F483A" w:rsidP="001F483A">
            <w:pPr>
              <w:jc w:val="right"/>
              <w:rPr>
                <w:u w:val="double"/>
              </w:rPr>
            </w:pPr>
            <w:r w:rsidRPr="00A05888">
              <w:rPr>
                <w:u w:val="double"/>
              </w:rPr>
              <w:t>7.79%</w:t>
            </w:r>
          </w:p>
        </w:tc>
        <w:tc>
          <w:tcPr>
            <w:tcW w:w="1276" w:type="dxa"/>
            <w:tcBorders>
              <w:top w:val="nil"/>
              <w:left w:val="nil"/>
              <w:bottom w:val="nil"/>
              <w:right w:val="nil"/>
            </w:tcBorders>
            <w:shd w:val="clear" w:color="auto" w:fill="auto"/>
            <w:noWrap/>
            <w:vAlign w:val="bottom"/>
            <w:hideMark/>
          </w:tcPr>
          <w:p w:rsidR="001F483A" w:rsidRPr="00A05888" w:rsidRDefault="001F483A" w:rsidP="001F483A">
            <w:pPr>
              <w:jc w:val="right"/>
              <w:rPr>
                <w:u w:val="double"/>
              </w:rPr>
            </w:pPr>
          </w:p>
        </w:tc>
        <w:tc>
          <w:tcPr>
            <w:tcW w:w="1530" w:type="dxa"/>
            <w:tcBorders>
              <w:top w:val="nil"/>
              <w:left w:val="nil"/>
              <w:bottom w:val="nil"/>
              <w:right w:val="nil"/>
            </w:tcBorders>
            <w:shd w:val="clear" w:color="auto" w:fill="auto"/>
            <w:noWrap/>
            <w:vAlign w:val="bottom"/>
            <w:hideMark/>
          </w:tcPr>
          <w:p w:rsidR="001F483A" w:rsidRPr="00A05888" w:rsidRDefault="001F483A" w:rsidP="001F483A">
            <w:pPr>
              <w:jc w:val="right"/>
              <w:rPr>
                <w:u w:val="double"/>
              </w:rPr>
            </w:pPr>
            <w:r>
              <w:rPr>
                <w:u w:val="double"/>
              </w:rPr>
              <w:t>8.55</w:t>
            </w:r>
            <w:r w:rsidRPr="00A05888">
              <w:rPr>
                <w:u w:val="double"/>
              </w:rPr>
              <w:t>%</w:t>
            </w:r>
          </w:p>
        </w:tc>
        <w:tc>
          <w:tcPr>
            <w:tcW w:w="1296" w:type="dxa"/>
            <w:tcBorders>
              <w:top w:val="nil"/>
              <w:left w:val="nil"/>
              <w:bottom w:val="nil"/>
              <w:right w:val="nil"/>
            </w:tcBorders>
            <w:shd w:val="clear" w:color="auto" w:fill="auto"/>
            <w:noWrap/>
            <w:vAlign w:val="bottom"/>
            <w:hideMark/>
          </w:tcPr>
          <w:p w:rsidR="001F483A" w:rsidRPr="00A05888" w:rsidRDefault="001F483A" w:rsidP="001F483A">
            <w:pPr>
              <w:jc w:val="right"/>
              <w:rPr>
                <w:u w:val="double"/>
              </w:rPr>
            </w:pPr>
          </w:p>
        </w:tc>
        <w:tc>
          <w:tcPr>
            <w:tcW w:w="1563" w:type="dxa"/>
            <w:tcBorders>
              <w:top w:val="nil"/>
              <w:left w:val="nil"/>
              <w:bottom w:val="nil"/>
              <w:right w:val="nil"/>
            </w:tcBorders>
            <w:shd w:val="clear" w:color="auto" w:fill="auto"/>
            <w:noWrap/>
            <w:vAlign w:val="bottom"/>
            <w:hideMark/>
          </w:tcPr>
          <w:p w:rsidR="001F483A" w:rsidRPr="00A05888" w:rsidRDefault="001F483A" w:rsidP="001F483A">
            <w:pPr>
              <w:jc w:val="right"/>
              <w:rPr>
                <w:u w:val="double"/>
              </w:rPr>
            </w:pPr>
            <w:r>
              <w:rPr>
                <w:u w:val="double"/>
              </w:rPr>
              <w:t>7.76</w:t>
            </w:r>
            <w:r w:rsidRPr="00A05888">
              <w:rPr>
                <w:u w:val="double"/>
              </w:rPr>
              <w:t>%</w:t>
            </w:r>
          </w:p>
        </w:tc>
        <w:tc>
          <w:tcPr>
            <w:tcW w:w="360" w:type="dxa"/>
            <w:tcBorders>
              <w:top w:val="nil"/>
              <w:left w:val="nil"/>
              <w:bottom w:val="nil"/>
              <w:right w:val="single" w:sz="4" w:space="0" w:color="auto"/>
            </w:tcBorders>
            <w:shd w:val="clear" w:color="auto" w:fill="auto"/>
            <w:noWrap/>
            <w:vAlign w:val="bottom"/>
            <w:hideMark/>
          </w:tcPr>
          <w:p w:rsidR="001F483A" w:rsidRPr="00A05888" w:rsidRDefault="001F483A" w:rsidP="001F483A">
            <w:pPr>
              <w:rPr>
                <w:rFonts w:ascii="Arial" w:hAnsi="Arial" w:cs="Arial"/>
                <w:u w:val="double"/>
              </w:rPr>
            </w:pPr>
          </w:p>
        </w:tc>
      </w:tr>
      <w:tr w:rsidR="00C00588" w:rsidRPr="00A05888" w:rsidTr="001F483A">
        <w:trPr>
          <w:trHeight w:val="300"/>
          <w:jc w:val="center"/>
        </w:trPr>
        <w:tc>
          <w:tcPr>
            <w:tcW w:w="639" w:type="dxa"/>
            <w:tcBorders>
              <w:top w:val="nil"/>
              <w:left w:val="single" w:sz="4" w:space="0" w:color="auto"/>
              <w:bottom w:val="single" w:sz="4" w:space="0" w:color="auto"/>
              <w:right w:val="nil"/>
            </w:tcBorders>
            <w:shd w:val="clear" w:color="auto" w:fill="auto"/>
            <w:noWrap/>
            <w:vAlign w:val="bottom"/>
            <w:hideMark/>
          </w:tcPr>
          <w:p w:rsidR="00C00588" w:rsidRPr="00A05888" w:rsidRDefault="00C00588" w:rsidP="00C00588">
            <w:pPr>
              <w:rPr>
                <w:rFonts w:ascii="Arial" w:hAnsi="Arial" w:cs="Arial"/>
              </w:rPr>
            </w:pPr>
            <w:r w:rsidRPr="00A05888">
              <w:rPr>
                <w:rFonts w:ascii="Arial" w:hAnsi="Arial" w:cs="Arial"/>
              </w:rPr>
              <w:t> </w:t>
            </w:r>
          </w:p>
        </w:tc>
        <w:tc>
          <w:tcPr>
            <w:tcW w:w="2997" w:type="dxa"/>
            <w:tcBorders>
              <w:top w:val="nil"/>
              <w:left w:val="nil"/>
              <w:bottom w:val="single" w:sz="4" w:space="0" w:color="auto"/>
              <w:right w:val="nil"/>
            </w:tcBorders>
            <w:shd w:val="clear" w:color="auto" w:fill="auto"/>
            <w:noWrap/>
            <w:vAlign w:val="bottom"/>
            <w:hideMark/>
          </w:tcPr>
          <w:p w:rsidR="00C00588" w:rsidRPr="00A05888" w:rsidRDefault="00C00588" w:rsidP="00C00588">
            <w:pPr>
              <w:rPr>
                <w:rFonts w:ascii="Arial" w:hAnsi="Arial" w:cs="Arial"/>
              </w:rPr>
            </w:pPr>
            <w:r w:rsidRPr="00A05888">
              <w:rPr>
                <w:rFonts w:ascii="Arial" w:hAnsi="Arial" w:cs="Arial"/>
              </w:rPr>
              <w:t> </w:t>
            </w:r>
          </w:p>
        </w:tc>
        <w:tc>
          <w:tcPr>
            <w:tcW w:w="1416" w:type="dxa"/>
            <w:gridSpan w:val="2"/>
            <w:tcBorders>
              <w:top w:val="nil"/>
              <w:left w:val="nil"/>
              <w:bottom w:val="single" w:sz="4" w:space="0" w:color="auto"/>
              <w:right w:val="nil"/>
            </w:tcBorders>
            <w:shd w:val="clear" w:color="auto" w:fill="auto"/>
            <w:noWrap/>
            <w:vAlign w:val="bottom"/>
            <w:hideMark/>
          </w:tcPr>
          <w:p w:rsidR="00C00588" w:rsidRPr="00A05888" w:rsidRDefault="00C00588" w:rsidP="00C00588">
            <w:pPr>
              <w:rPr>
                <w:rFonts w:ascii="Arial" w:hAnsi="Arial" w:cs="Arial"/>
              </w:rPr>
            </w:pPr>
            <w:r w:rsidRPr="00A05888">
              <w:rPr>
                <w:rFonts w:ascii="Arial" w:hAnsi="Arial" w:cs="Arial"/>
              </w:rPr>
              <w:t> </w:t>
            </w:r>
          </w:p>
        </w:tc>
        <w:tc>
          <w:tcPr>
            <w:tcW w:w="1276" w:type="dxa"/>
            <w:tcBorders>
              <w:top w:val="nil"/>
              <w:left w:val="nil"/>
              <w:bottom w:val="single" w:sz="4" w:space="0" w:color="auto"/>
              <w:right w:val="nil"/>
            </w:tcBorders>
            <w:shd w:val="clear" w:color="auto" w:fill="auto"/>
            <w:noWrap/>
            <w:vAlign w:val="bottom"/>
            <w:hideMark/>
          </w:tcPr>
          <w:p w:rsidR="00C00588" w:rsidRPr="00A05888" w:rsidRDefault="00C00588" w:rsidP="00C00588">
            <w:pPr>
              <w:rPr>
                <w:rFonts w:ascii="Arial" w:hAnsi="Arial" w:cs="Arial"/>
              </w:rPr>
            </w:pPr>
            <w:r w:rsidRPr="00A05888">
              <w:rPr>
                <w:rFonts w:ascii="Arial" w:hAnsi="Arial" w:cs="Arial"/>
              </w:rPr>
              <w:t> </w:t>
            </w:r>
          </w:p>
        </w:tc>
        <w:tc>
          <w:tcPr>
            <w:tcW w:w="1530" w:type="dxa"/>
            <w:tcBorders>
              <w:top w:val="nil"/>
              <w:left w:val="nil"/>
              <w:bottom w:val="single" w:sz="4" w:space="0" w:color="auto"/>
              <w:right w:val="nil"/>
            </w:tcBorders>
            <w:shd w:val="clear" w:color="auto" w:fill="auto"/>
            <w:noWrap/>
            <w:vAlign w:val="bottom"/>
            <w:hideMark/>
          </w:tcPr>
          <w:p w:rsidR="00C00588" w:rsidRPr="00A05888" w:rsidRDefault="00C00588" w:rsidP="00C00588">
            <w:pPr>
              <w:rPr>
                <w:rFonts w:ascii="Arial" w:hAnsi="Arial" w:cs="Arial"/>
              </w:rPr>
            </w:pPr>
            <w:r w:rsidRPr="00A05888">
              <w:rPr>
                <w:rFonts w:ascii="Arial" w:hAnsi="Arial" w:cs="Arial"/>
              </w:rPr>
              <w:t> </w:t>
            </w:r>
          </w:p>
        </w:tc>
        <w:tc>
          <w:tcPr>
            <w:tcW w:w="1296" w:type="dxa"/>
            <w:tcBorders>
              <w:top w:val="nil"/>
              <w:left w:val="nil"/>
              <w:bottom w:val="single" w:sz="4" w:space="0" w:color="auto"/>
              <w:right w:val="nil"/>
            </w:tcBorders>
            <w:shd w:val="clear" w:color="auto" w:fill="auto"/>
            <w:noWrap/>
            <w:vAlign w:val="bottom"/>
            <w:hideMark/>
          </w:tcPr>
          <w:p w:rsidR="00C00588" w:rsidRPr="00A05888" w:rsidRDefault="00C00588" w:rsidP="00C00588">
            <w:pPr>
              <w:rPr>
                <w:rFonts w:ascii="Arial" w:hAnsi="Arial" w:cs="Arial"/>
              </w:rPr>
            </w:pPr>
            <w:r w:rsidRPr="00A05888">
              <w:rPr>
                <w:rFonts w:ascii="Arial" w:hAnsi="Arial" w:cs="Arial"/>
              </w:rPr>
              <w:t> </w:t>
            </w:r>
          </w:p>
        </w:tc>
        <w:tc>
          <w:tcPr>
            <w:tcW w:w="1563" w:type="dxa"/>
            <w:tcBorders>
              <w:top w:val="nil"/>
              <w:left w:val="nil"/>
              <w:bottom w:val="single" w:sz="4" w:space="0" w:color="auto"/>
              <w:right w:val="nil"/>
            </w:tcBorders>
            <w:shd w:val="clear" w:color="auto" w:fill="auto"/>
            <w:noWrap/>
            <w:vAlign w:val="bottom"/>
            <w:hideMark/>
          </w:tcPr>
          <w:p w:rsidR="00C00588" w:rsidRPr="00A05888" w:rsidRDefault="00C00588" w:rsidP="00C00588">
            <w:pPr>
              <w:rPr>
                <w:rFonts w:ascii="Arial" w:hAnsi="Arial" w:cs="Arial"/>
              </w:rPr>
            </w:pPr>
            <w:r w:rsidRPr="00A05888">
              <w:rPr>
                <w:rFonts w:ascii="Arial" w:hAnsi="Arial" w:cs="Arial"/>
              </w:rPr>
              <w:t> </w:t>
            </w:r>
          </w:p>
        </w:tc>
        <w:tc>
          <w:tcPr>
            <w:tcW w:w="360" w:type="dxa"/>
            <w:tcBorders>
              <w:top w:val="nil"/>
              <w:left w:val="nil"/>
              <w:bottom w:val="single" w:sz="4" w:space="0" w:color="auto"/>
              <w:right w:val="single" w:sz="4" w:space="0" w:color="auto"/>
            </w:tcBorders>
            <w:shd w:val="clear" w:color="auto" w:fill="auto"/>
            <w:noWrap/>
            <w:vAlign w:val="bottom"/>
            <w:hideMark/>
          </w:tcPr>
          <w:p w:rsidR="00C00588" w:rsidRPr="00A05888" w:rsidRDefault="00C00588" w:rsidP="00C00588">
            <w:pPr>
              <w:rPr>
                <w:rFonts w:ascii="Arial" w:hAnsi="Arial" w:cs="Arial"/>
              </w:rPr>
            </w:pPr>
            <w:r w:rsidRPr="00A05888">
              <w:rPr>
                <w:rFonts w:ascii="Arial" w:hAnsi="Arial" w:cs="Arial"/>
              </w:rPr>
              <w:t> </w:t>
            </w:r>
          </w:p>
        </w:tc>
      </w:tr>
    </w:tbl>
    <w:p w:rsidR="00C00588" w:rsidRDefault="00C00588" w:rsidP="00C00588">
      <w:pPr>
        <w:pStyle w:val="BodyText"/>
      </w:pPr>
    </w:p>
    <w:p w:rsidR="00C00588" w:rsidRDefault="00C00588" w:rsidP="00C00588"/>
    <w:p w:rsidR="00C00588" w:rsidRDefault="00C00588" w:rsidP="00C00588">
      <w:pPr>
        <w:sectPr w:rsidR="00C00588" w:rsidSect="00C00588">
          <w:headerReference w:type="default" r:id="rId21"/>
          <w:pgSz w:w="12240" w:h="15840" w:code="1"/>
          <w:pgMar w:top="1584" w:right="1440" w:bottom="1440" w:left="1440" w:header="720" w:footer="720" w:gutter="0"/>
          <w:cols w:space="720"/>
          <w:formProt w:val="0"/>
          <w:docGrid w:linePitch="360"/>
        </w:sectPr>
      </w:pPr>
    </w:p>
    <w:p w:rsidR="00C00588" w:rsidRDefault="00C00588" w:rsidP="00C00588"/>
    <w:tbl>
      <w:tblPr>
        <w:tblW w:w="10563" w:type="dxa"/>
        <w:jc w:val="center"/>
        <w:tblLook w:val="04A0" w:firstRow="1" w:lastRow="0" w:firstColumn="1" w:lastColumn="0" w:noHBand="0" w:noVBand="1"/>
      </w:tblPr>
      <w:tblGrid>
        <w:gridCol w:w="336"/>
        <w:gridCol w:w="6656"/>
        <w:gridCol w:w="1361"/>
        <w:gridCol w:w="1927"/>
        <w:gridCol w:w="283"/>
      </w:tblGrid>
      <w:tr w:rsidR="00C00588" w:rsidRPr="00A05888" w:rsidTr="00C00588">
        <w:trPr>
          <w:trHeight w:val="300"/>
          <w:jc w:val="center"/>
        </w:trPr>
        <w:tc>
          <w:tcPr>
            <w:tcW w:w="6992" w:type="dxa"/>
            <w:gridSpan w:val="2"/>
            <w:tcBorders>
              <w:top w:val="single" w:sz="4" w:space="0" w:color="auto"/>
              <w:left w:val="single" w:sz="4" w:space="0" w:color="auto"/>
              <w:bottom w:val="nil"/>
              <w:right w:val="nil"/>
            </w:tcBorders>
            <w:shd w:val="clear" w:color="000000" w:fill="FFFFFF"/>
            <w:noWrap/>
            <w:vAlign w:val="bottom"/>
            <w:hideMark/>
          </w:tcPr>
          <w:p w:rsidR="00C00588" w:rsidRPr="00A05888" w:rsidRDefault="00C00588" w:rsidP="00C00588">
            <w:pPr>
              <w:rPr>
                <w:rFonts w:ascii="Arial" w:hAnsi="Arial" w:cs="Arial"/>
                <w:b/>
                <w:bCs/>
              </w:rPr>
            </w:pPr>
            <w:bookmarkStart w:id="23" w:name="RANGE!B32:E59"/>
            <w:r w:rsidRPr="00A05888">
              <w:rPr>
                <w:rFonts w:ascii="Arial" w:hAnsi="Arial" w:cs="Arial"/>
                <w:b/>
                <w:bCs/>
              </w:rPr>
              <w:t>Gibson Place Utilities, LLC</w:t>
            </w:r>
            <w:bookmarkEnd w:id="23"/>
          </w:p>
        </w:tc>
        <w:tc>
          <w:tcPr>
            <w:tcW w:w="3571" w:type="dxa"/>
            <w:gridSpan w:val="3"/>
            <w:tcBorders>
              <w:top w:val="single" w:sz="4" w:space="0" w:color="auto"/>
              <w:left w:val="nil"/>
              <w:bottom w:val="nil"/>
              <w:right w:val="single" w:sz="4" w:space="0" w:color="000000"/>
            </w:tcBorders>
            <w:shd w:val="clear" w:color="000000" w:fill="FFFFFF"/>
            <w:noWrap/>
            <w:vAlign w:val="bottom"/>
            <w:hideMark/>
          </w:tcPr>
          <w:p w:rsidR="00C00588" w:rsidRPr="00A05888" w:rsidRDefault="00C00588" w:rsidP="00C00588">
            <w:pPr>
              <w:jc w:val="right"/>
              <w:rPr>
                <w:rFonts w:ascii="Arial" w:hAnsi="Arial" w:cs="Arial"/>
                <w:b/>
                <w:bCs/>
              </w:rPr>
            </w:pPr>
            <w:r w:rsidRPr="00A05888">
              <w:rPr>
                <w:rFonts w:ascii="Arial" w:hAnsi="Arial" w:cs="Arial"/>
                <w:b/>
                <w:bCs/>
              </w:rPr>
              <w:t>Schedule No. 3-C</w:t>
            </w:r>
          </w:p>
        </w:tc>
      </w:tr>
      <w:tr w:rsidR="00C00588" w:rsidRPr="00A05888" w:rsidTr="00C00588">
        <w:trPr>
          <w:trHeight w:val="300"/>
          <w:jc w:val="center"/>
        </w:trPr>
        <w:tc>
          <w:tcPr>
            <w:tcW w:w="6992" w:type="dxa"/>
            <w:gridSpan w:val="2"/>
            <w:tcBorders>
              <w:top w:val="nil"/>
              <w:left w:val="single" w:sz="4" w:space="0" w:color="auto"/>
              <w:bottom w:val="nil"/>
              <w:right w:val="nil"/>
            </w:tcBorders>
            <w:shd w:val="clear" w:color="000000" w:fill="FFFFFF"/>
            <w:noWrap/>
            <w:vAlign w:val="bottom"/>
            <w:hideMark/>
          </w:tcPr>
          <w:p w:rsidR="00C00588" w:rsidRPr="00A05888" w:rsidRDefault="00C00588" w:rsidP="00C00588">
            <w:pPr>
              <w:rPr>
                <w:rFonts w:ascii="Arial" w:hAnsi="Arial" w:cs="Arial"/>
                <w:b/>
                <w:bCs/>
              </w:rPr>
            </w:pPr>
            <w:r w:rsidRPr="00A05888">
              <w:rPr>
                <w:rFonts w:ascii="Arial" w:hAnsi="Arial" w:cs="Arial"/>
                <w:b/>
                <w:bCs/>
              </w:rPr>
              <w:t>Adjustments to Operating Income</w:t>
            </w:r>
          </w:p>
        </w:tc>
        <w:tc>
          <w:tcPr>
            <w:tcW w:w="3571" w:type="dxa"/>
            <w:gridSpan w:val="3"/>
            <w:tcBorders>
              <w:top w:val="nil"/>
              <w:left w:val="nil"/>
              <w:bottom w:val="nil"/>
              <w:right w:val="single" w:sz="4" w:space="0" w:color="000000"/>
            </w:tcBorders>
            <w:shd w:val="clear" w:color="000000" w:fill="FFFFFF"/>
            <w:noWrap/>
            <w:vAlign w:val="bottom"/>
            <w:hideMark/>
          </w:tcPr>
          <w:p w:rsidR="00C00588" w:rsidRPr="00A05888" w:rsidRDefault="00C00588" w:rsidP="00C00588">
            <w:pPr>
              <w:jc w:val="right"/>
              <w:rPr>
                <w:rFonts w:ascii="Arial" w:hAnsi="Arial" w:cs="Arial"/>
                <w:b/>
                <w:bCs/>
              </w:rPr>
            </w:pPr>
            <w:r w:rsidRPr="00A05888">
              <w:rPr>
                <w:rFonts w:ascii="Arial" w:hAnsi="Arial" w:cs="Arial"/>
                <w:b/>
                <w:bCs/>
              </w:rPr>
              <w:t>20200185-WS</w:t>
            </w:r>
          </w:p>
        </w:tc>
      </w:tr>
      <w:tr w:rsidR="00C00588" w:rsidRPr="00A05888" w:rsidTr="00C00588">
        <w:trPr>
          <w:trHeight w:val="300"/>
          <w:jc w:val="center"/>
        </w:trPr>
        <w:tc>
          <w:tcPr>
            <w:tcW w:w="6992" w:type="dxa"/>
            <w:gridSpan w:val="2"/>
            <w:tcBorders>
              <w:top w:val="nil"/>
              <w:left w:val="single" w:sz="4" w:space="0" w:color="auto"/>
              <w:bottom w:val="single" w:sz="4" w:space="0" w:color="auto"/>
              <w:right w:val="nil"/>
            </w:tcBorders>
            <w:shd w:val="clear" w:color="000000" w:fill="FFFFFF"/>
            <w:noWrap/>
            <w:vAlign w:val="bottom"/>
            <w:hideMark/>
          </w:tcPr>
          <w:p w:rsidR="00C00588" w:rsidRPr="00A05888" w:rsidRDefault="00C00588" w:rsidP="00C00588">
            <w:pPr>
              <w:rPr>
                <w:rFonts w:ascii="Arial" w:hAnsi="Arial" w:cs="Arial"/>
                <w:b/>
                <w:bCs/>
              </w:rPr>
            </w:pPr>
            <w:r w:rsidRPr="00A05888">
              <w:rPr>
                <w:rFonts w:ascii="Arial" w:hAnsi="Arial" w:cs="Arial"/>
                <w:b/>
                <w:bCs/>
              </w:rPr>
              <w:t>80% Design Capacity</w:t>
            </w:r>
          </w:p>
        </w:tc>
        <w:tc>
          <w:tcPr>
            <w:tcW w:w="1361" w:type="dxa"/>
            <w:tcBorders>
              <w:top w:val="nil"/>
              <w:left w:val="nil"/>
              <w:bottom w:val="nil"/>
              <w:right w:val="nil"/>
            </w:tcBorders>
            <w:shd w:val="clear" w:color="000000" w:fill="FFFFFF"/>
            <w:noWrap/>
            <w:vAlign w:val="bottom"/>
            <w:hideMark/>
          </w:tcPr>
          <w:p w:rsidR="00C00588" w:rsidRPr="00A05888" w:rsidRDefault="00C00588" w:rsidP="00C00588">
            <w:pPr>
              <w:jc w:val="right"/>
              <w:rPr>
                <w:rFonts w:ascii="Arial" w:hAnsi="Arial" w:cs="Arial"/>
                <w:b/>
                <w:bCs/>
              </w:rPr>
            </w:pPr>
            <w:r w:rsidRPr="00A05888">
              <w:rPr>
                <w:rFonts w:ascii="Arial" w:hAnsi="Arial" w:cs="Arial"/>
                <w:b/>
                <w:bCs/>
              </w:rPr>
              <w:t> </w:t>
            </w:r>
          </w:p>
        </w:tc>
        <w:tc>
          <w:tcPr>
            <w:tcW w:w="1927" w:type="dxa"/>
            <w:tcBorders>
              <w:top w:val="nil"/>
              <w:left w:val="nil"/>
              <w:bottom w:val="nil"/>
              <w:right w:val="nil"/>
            </w:tcBorders>
            <w:shd w:val="clear" w:color="000000" w:fill="FFFFFF"/>
            <w:noWrap/>
            <w:vAlign w:val="bottom"/>
            <w:hideMark/>
          </w:tcPr>
          <w:p w:rsidR="00C00588" w:rsidRPr="00A05888" w:rsidRDefault="00C00588" w:rsidP="00C00588">
            <w:pPr>
              <w:rPr>
                <w:rFonts w:ascii="Arial" w:hAnsi="Arial" w:cs="Arial"/>
                <w:b/>
                <w:bCs/>
              </w:rPr>
            </w:pPr>
            <w:r w:rsidRPr="00A05888">
              <w:rPr>
                <w:rFonts w:ascii="Arial" w:hAnsi="Arial" w:cs="Arial"/>
                <w:b/>
                <w:bCs/>
              </w:rPr>
              <w:t> </w:t>
            </w:r>
          </w:p>
        </w:tc>
        <w:tc>
          <w:tcPr>
            <w:tcW w:w="283" w:type="dxa"/>
            <w:tcBorders>
              <w:top w:val="nil"/>
              <w:left w:val="nil"/>
              <w:bottom w:val="nil"/>
              <w:right w:val="single" w:sz="4" w:space="0" w:color="auto"/>
            </w:tcBorders>
            <w:shd w:val="clear" w:color="000000" w:fill="FFFFFF"/>
            <w:noWrap/>
            <w:vAlign w:val="bottom"/>
            <w:hideMark/>
          </w:tcPr>
          <w:p w:rsidR="00C00588" w:rsidRPr="00A05888" w:rsidRDefault="00C00588" w:rsidP="00C00588">
            <w:pPr>
              <w:rPr>
                <w:rFonts w:ascii="Arial" w:hAnsi="Arial" w:cs="Arial"/>
              </w:rPr>
            </w:pPr>
            <w:r w:rsidRPr="00A05888">
              <w:rPr>
                <w:rFonts w:ascii="Arial" w:hAnsi="Arial" w:cs="Arial"/>
              </w:rPr>
              <w:t> </w:t>
            </w:r>
          </w:p>
        </w:tc>
      </w:tr>
      <w:tr w:rsidR="00C00588" w:rsidRPr="00A05888" w:rsidTr="00C00588">
        <w:trPr>
          <w:trHeight w:val="300"/>
          <w:jc w:val="center"/>
        </w:trPr>
        <w:tc>
          <w:tcPr>
            <w:tcW w:w="336" w:type="dxa"/>
            <w:tcBorders>
              <w:top w:val="nil"/>
              <w:left w:val="single" w:sz="4" w:space="0" w:color="auto"/>
              <w:bottom w:val="nil"/>
              <w:right w:val="nil"/>
            </w:tcBorders>
            <w:shd w:val="clear" w:color="000000" w:fill="FFFFFF"/>
            <w:noWrap/>
            <w:vAlign w:val="bottom"/>
            <w:hideMark/>
          </w:tcPr>
          <w:p w:rsidR="00C00588" w:rsidRPr="00A05888" w:rsidRDefault="00C00588" w:rsidP="00C00588">
            <w:pPr>
              <w:rPr>
                <w:rFonts w:ascii="Arial" w:hAnsi="Arial" w:cs="Arial"/>
              </w:rPr>
            </w:pPr>
            <w:r w:rsidRPr="00A05888">
              <w:rPr>
                <w:rFonts w:ascii="Arial" w:hAnsi="Arial" w:cs="Arial"/>
              </w:rPr>
              <w:t> </w:t>
            </w:r>
          </w:p>
        </w:tc>
        <w:tc>
          <w:tcPr>
            <w:tcW w:w="6656" w:type="dxa"/>
            <w:tcBorders>
              <w:top w:val="nil"/>
              <w:left w:val="nil"/>
              <w:bottom w:val="nil"/>
              <w:right w:val="nil"/>
            </w:tcBorders>
            <w:shd w:val="clear" w:color="000000" w:fill="FFFFFF"/>
            <w:noWrap/>
            <w:vAlign w:val="bottom"/>
            <w:hideMark/>
          </w:tcPr>
          <w:p w:rsidR="00C00588" w:rsidRPr="00A05888" w:rsidRDefault="00C00588" w:rsidP="00C00588">
            <w:pPr>
              <w:rPr>
                <w:rFonts w:ascii="Arial" w:hAnsi="Arial" w:cs="Arial"/>
              </w:rPr>
            </w:pPr>
            <w:r w:rsidRPr="00A05888">
              <w:rPr>
                <w:rFonts w:ascii="Arial" w:hAnsi="Arial" w:cs="Arial"/>
              </w:rPr>
              <w:t> </w:t>
            </w:r>
          </w:p>
        </w:tc>
        <w:tc>
          <w:tcPr>
            <w:tcW w:w="1361" w:type="dxa"/>
            <w:tcBorders>
              <w:top w:val="single" w:sz="4" w:space="0" w:color="000000"/>
              <w:left w:val="nil"/>
              <w:bottom w:val="nil"/>
              <w:right w:val="nil"/>
            </w:tcBorders>
            <w:shd w:val="clear" w:color="000000" w:fill="FFFFFF"/>
            <w:noWrap/>
            <w:vAlign w:val="bottom"/>
            <w:hideMark/>
          </w:tcPr>
          <w:p w:rsidR="00C00588" w:rsidRPr="00A05888" w:rsidRDefault="00C00588" w:rsidP="00C00588">
            <w:pPr>
              <w:jc w:val="center"/>
              <w:rPr>
                <w:rFonts w:ascii="Arial" w:hAnsi="Arial" w:cs="Arial"/>
              </w:rPr>
            </w:pPr>
            <w:r w:rsidRPr="00A05888">
              <w:rPr>
                <w:rFonts w:ascii="Arial" w:hAnsi="Arial" w:cs="Arial"/>
              </w:rPr>
              <w:t> </w:t>
            </w:r>
          </w:p>
        </w:tc>
        <w:tc>
          <w:tcPr>
            <w:tcW w:w="1927" w:type="dxa"/>
            <w:tcBorders>
              <w:top w:val="single" w:sz="4" w:space="0" w:color="000000"/>
              <w:left w:val="nil"/>
              <w:bottom w:val="nil"/>
              <w:right w:val="nil"/>
            </w:tcBorders>
            <w:shd w:val="clear" w:color="000000" w:fill="FFFFFF"/>
            <w:noWrap/>
            <w:vAlign w:val="bottom"/>
            <w:hideMark/>
          </w:tcPr>
          <w:p w:rsidR="00C00588" w:rsidRPr="00A05888" w:rsidRDefault="00C00588" w:rsidP="00C00588">
            <w:pPr>
              <w:jc w:val="center"/>
              <w:rPr>
                <w:rFonts w:ascii="Arial" w:hAnsi="Arial" w:cs="Arial"/>
              </w:rPr>
            </w:pPr>
            <w:r w:rsidRPr="00A05888">
              <w:rPr>
                <w:rFonts w:ascii="Arial" w:hAnsi="Arial" w:cs="Arial"/>
              </w:rPr>
              <w:t> </w:t>
            </w:r>
          </w:p>
        </w:tc>
        <w:tc>
          <w:tcPr>
            <w:tcW w:w="283" w:type="dxa"/>
            <w:tcBorders>
              <w:top w:val="single" w:sz="4" w:space="0" w:color="000000"/>
              <w:left w:val="nil"/>
              <w:bottom w:val="nil"/>
              <w:right w:val="single" w:sz="4" w:space="0" w:color="auto"/>
            </w:tcBorders>
            <w:shd w:val="clear" w:color="000000" w:fill="FFFFFF"/>
            <w:noWrap/>
            <w:vAlign w:val="bottom"/>
            <w:hideMark/>
          </w:tcPr>
          <w:p w:rsidR="00C00588" w:rsidRPr="00A05888" w:rsidRDefault="00C00588" w:rsidP="00C00588">
            <w:pPr>
              <w:rPr>
                <w:rFonts w:ascii="Arial" w:hAnsi="Arial" w:cs="Arial"/>
              </w:rPr>
            </w:pPr>
            <w:r w:rsidRPr="00A05888">
              <w:rPr>
                <w:rFonts w:ascii="Arial" w:hAnsi="Arial" w:cs="Arial"/>
              </w:rPr>
              <w:t> </w:t>
            </w:r>
          </w:p>
        </w:tc>
      </w:tr>
      <w:tr w:rsidR="00C00588" w:rsidRPr="00A05888" w:rsidTr="00C00588">
        <w:trPr>
          <w:trHeight w:val="300"/>
          <w:jc w:val="center"/>
        </w:trPr>
        <w:tc>
          <w:tcPr>
            <w:tcW w:w="336" w:type="dxa"/>
            <w:tcBorders>
              <w:top w:val="nil"/>
              <w:left w:val="single" w:sz="4" w:space="0" w:color="auto"/>
              <w:bottom w:val="nil"/>
              <w:right w:val="nil"/>
            </w:tcBorders>
            <w:shd w:val="clear" w:color="000000" w:fill="FFFFFF"/>
            <w:noWrap/>
            <w:vAlign w:val="bottom"/>
            <w:hideMark/>
          </w:tcPr>
          <w:p w:rsidR="00C00588" w:rsidRPr="00A05888" w:rsidRDefault="00C00588" w:rsidP="00C00588">
            <w:pPr>
              <w:rPr>
                <w:rFonts w:ascii="Arial" w:hAnsi="Arial" w:cs="Arial"/>
              </w:rPr>
            </w:pPr>
            <w:r w:rsidRPr="00A05888">
              <w:rPr>
                <w:rFonts w:ascii="Arial" w:hAnsi="Arial" w:cs="Arial"/>
              </w:rPr>
              <w:t> </w:t>
            </w:r>
          </w:p>
        </w:tc>
        <w:tc>
          <w:tcPr>
            <w:tcW w:w="6656" w:type="dxa"/>
            <w:tcBorders>
              <w:top w:val="nil"/>
              <w:left w:val="nil"/>
              <w:bottom w:val="nil"/>
              <w:right w:val="nil"/>
            </w:tcBorders>
            <w:shd w:val="clear" w:color="000000" w:fill="FFFFFF"/>
            <w:noWrap/>
            <w:vAlign w:val="bottom"/>
            <w:hideMark/>
          </w:tcPr>
          <w:p w:rsidR="00C00588" w:rsidRPr="00A05888" w:rsidRDefault="00C00588" w:rsidP="00C00588">
            <w:pPr>
              <w:rPr>
                <w:b/>
                <w:bCs/>
              </w:rPr>
            </w:pPr>
            <w:r w:rsidRPr="00A05888">
              <w:rPr>
                <w:b/>
                <w:bCs/>
              </w:rPr>
              <w:t>Explanation</w:t>
            </w:r>
          </w:p>
        </w:tc>
        <w:tc>
          <w:tcPr>
            <w:tcW w:w="1361" w:type="dxa"/>
            <w:tcBorders>
              <w:top w:val="nil"/>
              <w:left w:val="nil"/>
              <w:bottom w:val="nil"/>
              <w:right w:val="nil"/>
            </w:tcBorders>
            <w:shd w:val="clear" w:color="000000" w:fill="FFFFFF"/>
            <w:noWrap/>
            <w:vAlign w:val="bottom"/>
            <w:hideMark/>
          </w:tcPr>
          <w:p w:rsidR="00C00588" w:rsidRPr="00A05888" w:rsidRDefault="00C00588" w:rsidP="00C00588">
            <w:pPr>
              <w:jc w:val="center"/>
              <w:rPr>
                <w:b/>
                <w:bCs/>
              </w:rPr>
            </w:pPr>
            <w:r w:rsidRPr="00A05888">
              <w:rPr>
                <w:b/>
                <w:bCs/>
              </w:rPr>
              <w:t>Water</w:t>
            </w:r>
          </w:p>
        </w:tc>
        <w:tc>
          <w:tcPr>
            <w:tcW w:w="1927" w:type="dxa"/>
            <w:tcBorders>
              <w:top w:val="nil"/>
              <w:left w:val="nil"/>
              <w:bottom w:val="nil"/>
              <w:right w:val="nil"/>
            </w:tcBorders>
            <w:shd w:val="clear" w:color="000000" w:fill="FFFFFF"/>
            <w:noWrap/>
            <w:vAlign w:val="bottom"/>
            <w:hideMark/>
          </w:tcPr>
          <w:p w:rsidR="00C00588" w:rsidRPr="00A05888" w:rsidRDefault="00C00588" w:rsidP="00C00588">
            <w:pPr>
              <w:jc w:val="center"/>
              <w:rPr>
                <w:b/>
                <w:bCs/>
              </w:rPr>
            </w:pPr>
            <w:r w:rsidRPr="00A05888">
              <w:rPr>
                <w:b/>
                <w:bCs/>
              </w:rPr>
              <w:t>Wastewater</w:t>
            </w:r>
          </w:p>
        </w:tc>
        <w:tc>
          <w:tcPr>
            <w:tcW w:w="283" w:type="dxa"/>
            <w:tcBorders>
              <w:top w:val="nil"/>
              <w:left w:val="nil"/>
              <w:bottom w:val="nil"/>
              <w:right w:val="single" w:sz="4" w:space="0" w:color="auto"/>
            </w:tcBorders>
            <w:shd w:val="clear" w:color="000000" w:fill="FFFFFF"/>
            <w:noWrap/>
            <w:vAlign w:val="bottom"/>
            <w:hideMark/>
          </w:tcPr>
          <w:p w:rsidR="00C00588" w:rsidRPr="00A05888" w:rsidRDefault="00C00588" w:rsidP="00C00588">
            <w:pPr>
              <w:jc w:val="center"/>
              <w:rPr>
                <w:rFonts w:ascii="Arial" w:hAnsi="Arial" w:cs="Arial"/>
              </w:rPr>
            </w:pPr>
            <w:r w:rsidRPr="00A05888">
              <w:rPr>
                <w:rFonts w:ascii="Arial" w:hAnsi="Arial" w:cs="Arial"/>
              </w:rPr>
              <w:t> </w:t>
            </w:r>
          </w:p>
        </w:tc>
      </w:tr>
      <w:tr w:rsidR="00C00588" w:rsidRPr="00A05888" w:rsidTr="00C00588">
        <w:trPr>
          <w:trHeight w:val="300"/>
          <w:jc w:val="center"/>
        </w:trPr>
        <w:tc>
          <w:tcPr>
            <w:tcW w:w="336" w:type="dxa"/>
            <w:tcBorders>
              <w:top w:val="nil"/>
              <w:left w:val="single" w:sz="4" w:space="0" w:color="auto"/>
              <w:bottom w:val="nil"/>
              <w:right w:val="nil"/>
            </w:tcBorders>
            <w:shd w:val="clear" w:color="000000" w:fill="FFFFFF"/>
            <w:noWrap/>
            <w:vAlign w:val="bottom"/>
            <w:hideMark/>
          </w:tcPr>
          <w:p w:rsidR="00C00588" w:rsidRPr="00A05888" w:rsidRDefault="00C00588" w:rsidP="00C00588">
            <w:pPr>
              <w:rPr>
                <w:rFonts w:ascii="Arial" w:hAnsi="Arial" w:cs="Arial"/>
              </w:rPr>
            </w:pPr>
            <w:r w:rsidRPr="00A05888">
              <w:rPr>
                <w:rFonts w:ascii="Arial" w:hAnsi="Arial" w:cs="Arial"/>
              </w:rPr>
              <w:t> </w:t>
            </w:r>
          </w:p>
        </w:tc>
        <w:tc>
          <w:tcPr>
            <w:tcW w:w="6656" w:type="dxa"/>
            <w:tcBorders>
              <w:top w:val="nil"/>
              <w:left w:val="nil"/>
              <w:bottom w:val="nil"/>
              <w:right w:val="nil"/>
            </w:tcBorders>
            <w:shd w:val="clear" w:color="000000" w:fill="FFFFFF"/>
            <w:noWrap/>
            <w:vAlign w:val="bottom"/>
            <w:hideMark/>
          </w:tcPr>
          <w:p w:rsidR="00C00588" w:rsidRPr="00A05888" w:rsidRDefault="00C00588" w:rsidP="00C00588">
            <w:pPr>
              <w:rPr>
                <w:rFonts w:ascii="Arial" w:hAnsi="Arial" w:cs="Arial"/>
              </w:rPr>
            </w:pPr>
            <w:r w:rsidRPr="00A05888">
              <w:rPr>
                <w:rFonts w:ascii="Arial" w:hAnsi="Arial" w:cs="Arial"/>
              </w:rPr>
              <w:t> </w:t>
            </w:r>
          </w:p>
        </w:tc>
        <w:tc>
          <w:tcPr>
            <w:tcW w:w="1361" w:type="dxa"/>
            <w:tcBorders>
              <w:top w:val="nil"/>
              <w:left w:val="nil"/>
              <w:bottom w:val="nil"/>
              <w:right w:val="nil"/>
            </w:tcBorders>
            <w:shd w:val="clear" w:color="000000" w:fill="FFFFFF"/>
            <w:noWrap/>
            <w:vAlign w:val="bottom"/>
            <w:hideMark/>
          </w:tcPr>
          <w:p w:rsidR="00C00588" w:rsidRPr="00A05888" w:rsidRDefault="00C00588" w:rsidP="00C00588">
            <w:pPr>
              <w:jc w:val="center"/>
              <w:rPr>
                <w:rFonts w:ascii="Arial" w:hAnsi="Arial" w:cs="Arial"/>
              </w:rPr>
            </w:pPr>
            <w:r w:rsidRPr="00A05888">
              <w:rPr>
                <w:rFonts w:ascii="Arial" w:hAnsi="Arial" w:cs="Arial"/>
              </w:rPr>
              <w:t> </w:t>
            </w:r>
          </w:p>
        </w:tc>
        <w:tc>
          <w:tcPr>
            <w:tcW w:w="1927" w:type="dxa"/>
            <w:tcBorders>
              <w:top w:val="nil"/>
              <w:left w:val="nil"/>
              <w:bottom w:val="nil"/>
              <w:right w:val="nil"/>
            </w:tcBorders>
            <w:shd w:val="clear" w:color="000000" w:fill="FFFFFF"/>
            <w:noWrap/>
            <w:vAlign w:val="bottom"/>
            <w:hideMark/>
          </w:tcPr>
          <w:p w:rsidR="00C00588" w:rsidRPr="00A05888" w:rsidRDefault="00C00588" w:rsidP="00C00588">
            <w:pPr>
              <w:jc w:val="center"/>
              <w:rPr>
                <w:rFonts w:ascii="Arial" w:hAnsi="Arial" w:cs="Arial"/>
              </w:rPr>
            </w:pPr>
            <w:r w:rsidRPr="00A05888">
              <w:rPr>
                <w:rFonts w:ascii="Arial" w:hAnsi="Arial" w:cs="Arial"/>
              </w:rPr>
              <w:t> </w:t>
            </w:r>
          </w:p>
        </w:tc>
        <w:tc>
          <w:tcPr>
            <w:tcW w:w="283" w:type="dxa"/>
            <w:tcBorders>
              <w:top w:val="nil"/>
              <w:left w:val="nil"/>
              <w:bottom w:val="nil"/>
              <w:right w:val="single" w:sz="4" w:space="0" w:color="auto"/>
            </w:tcBorders>
            <w:shd w:val="clear" w:color="000000" w:fill="FFFFFF"/>
            <w:noWrap/>
            <w:vAlign w:val="bottom"/>
            <w:hideMark/>
          </w:tcPr>
          <w:p w:rsidR="00C00588" w:rsidRPr="00A05888" w:rsidRDefault="00C00588" w:rsidP="00C00588">
            <w:pPr>
              <w:rPr>
                <w:rFonts w:ascii="Arial" w:hAnsi="Arial" w:cs="Arial"/>
              </w:rPr>
            </w:pPr>
            <w:r w:rsidRPr="00A05888">
              <w:rPr>
                <w:rFonts w:ascii="Arial" w:hAnsi="Arial" w:cs="Arial"/>
              </w:rPr>
              <w:t> </w:t>
            </w:r>
          </w:p>
        </w:tc>
      </w:tr>
      <w:tr w:rsidR="00C00588" w:rsidRPr="00A05888" w:rsidTr="00C00588">
        <w:trPr>
          <w:trHeight w:val="300"/>
          <w:jc w:val="center"/>
        </w:trPr>
        <w:tc>
          <w:tcPr>
            <w:tcW w:w="336" w:type="dxa"/>
            <w:tcBorders>
              <w:top w:val="nil"/>
              <w:left w:val="single" w:sz="4" w:space="0" w:color="auto"/>
              <w:bottom w:val="nil"/>
              <w:right w:val="nil"/>
            </w:tcBorders>
            <w:shd w:val="clear" w:color="000000" w:fill="FFFFFF"/>
            <w:noWrap/>
            <w:vAlign w:val="bottom"/>
            <w:hideMark/>
          </w:tcPr>
          <w:p w:rsidR="00C00588" w:rsidRPr="00A05888" w:rsidRDefault="00C00588" w:rsidP="00C00588">
            <w:pPr>
              <w:jc w:val="center"/>
            </w:pPr>
            <w:r w:rsidRPr="00A05888">
              <w:t> </w:t>
            </w:r>
          </w:p>
        </w:tc>
        <w:tc>
          <w:tcPr>
            <w:tcW w:w="6656" w:type="dxa"/>
            <w:tcBorders>
              <w:top w:val="nil"/>
              <w:left w:val="nil"/>
              <w:bottom w:val="nil"/>
              <w:right w:val="nil"/>
            </w:tcBorders>
            <w:shd w:val="clear" w:color="000000" w:fill="FFFFFF"/>
            <w:noWrap/>
            <w:vAlign w:val="bottom"/>
            <w:hideMark/>
          </w:tcPr>
          <w:p w:rsidR="00C00588" w:rsidRPr="00A05888" w:rsidRDefault="00C00588" w:rsidP="00C00588">
            <w:pPr>
              <w:rPr>
                <w:b/>
                <w:bCs/>
              </w:rPr>
            </w:pPr>
            <w:r w:rsidRPr="00A05888">
              <w:rPr>
                <w:b/>
                <w:bCs/>
              </w:rPr>
              <w:t>Depreciation Expense - Net</w:t>
            </w:r>
          </w:p>
        </w:tc>
        <w:tc>
          <w:tcPr>
            <w:tcW w:w="1361" w:type="dxa"/>
            <w:tcBorders>
              <w:top w:val="nil"/>
              <w:left w:val="nil"/>
              <w:bottom w:val="nil"/>
              <w:right w:val="nil"/>
            </w:tcBorders>
            <w:shd w:val="clear" w:color="000000" w:fill="FFFFFF"/>
            <w:noWrap/>
            <w:vAlign w:val="bottom"/>
            <w:hideMark/>
          </w:tcPr>
          <w:p w:rsidR="00C00588" w:rsidRPr="00A05888" w:rsidRDefault="00C00588" w:rsidP="00C00588">
            <w:r w:rsidRPr="00A05888">
              <w:t> </w:t>
            </w:r>
          </w:p>
        </w:tc>
        <w:tc>
          <w:tcPr>
            <w:tcW w:w="1927" w:type="dxa"/>
            <w:tcBorders>
              <w:top w:val="nil"/>
              <w:left w:val="nil"/>
              <w:bottom w:val="nil"/>
              <w:right w:val="nil"/>
            </w:tcBorders>
            <w:shd w:val="clear" w:color="000000" w:fill="FFFFFF"/>
            <w:noWrap/>
            <w:vAlign w:val="bottom"/>
            <w:hideMark/>
          </w:tcPr>
          <w:p w:rsidR="00C00588" w:rsidRPr="00A05888" w:rsidRDefault="00C00588" w:rsidP="00C00588">
            <w:r w:rsidRPr="00A05888">
              <w:t> </w:t>
            </w:r>
          </w:p>
        </w:tc>
        <w:tc>
          <w:tcPr>
            <w:tcW w:w="283" w:type="dxa"/>
            <w:tcBorders>
              <w:top w:val="nil"/>
              <w:left w:val="nil"/>
              <w:bottom w:val="nil"/>
              <w:right w:val="single" w:sz="4" w:space="0" w:color="auto"/>
            </w:tcBorders>
            <w:shd w:val="clear" w:color="000000" w:fill="FFFFFF"/>
            <w:noWrap/>
            <w:vAlign w:val="bottom"/>
            <w:hideMark/>
          </w:tcPr>
          <w:p w:rsidR="00C00588" w:rsidRPr="00A05888" w:rsidRDefault="00C00588" w:rsidP="00C00588">
            <w:r w:rsidRPr="00A05888">
              <w:t> </w:t>
            </w:r>
          </w:p>
        </w:tc>
      </w:tr>
      <w:tr w:rsidR="001F483A" w:rsidRPr="00A05888" w:rsidTr="00C00588">
        <w:trPr>
          <w:trHeight w:val="300"/>
          <w:jc w:val="center"/>
        </w:trPr>
        <w:tc>
          <w:tcPr>
            <w:tcW w:w="336" w:type="dxa"/>
            <w:tcBorders>
              <w:top w:val="nil"/>
              <w:left w:val="single" w:sz="4" w:space="0" w:color="auto"/>
              <w:bottom w:val="nil"/>
              <w:right w:val="nil"/>
            </w:tcBorders>
            <w:shd w:val="clear" w:color="000000" w:fill="FFFFFF"/>
            <w:noWrap/>
            <w:vAlign w:val="bottom"/>
            <w:hideMark/>
          </w:tcPr>
          <w:p w:rsidR="001F483A" w:rsidRPr="00A05888" w:rsidRDefault="001F483A" w:rsidP="001F483A">
            <w:pPr>
              <w:jc w:val="center"/>
            </w:pPr>
            <w:r>
              <w:t>1</w:t>
            </w:r>
          </w:p>
        </w:tc>
        <w:tc>
          <w:tcPr>
            <w:tcW w:w="6656" w:type="dxa"/>
            <w:tcBorders>
              <w:top w:val="nil"/>
              <w:left w:val="nil"/>
              <w:bottom w:val="nil"/>
              <w:right w:val="nil"/>
            </w:tcBorders>
            <w:shd w:val="clear" w:color="000000" w:fill="FFFFFF"/>
            <w:noWrap/>
            <w:vAlign w:val="bottom"/>
            <w:hideMark/>
          </w:tcPr>
          <w:p w:rsidR="001F483A" w:rsidRPr="00A05888" w:rsidRDefault="001F483A" w:rsidP="001F483A">
            <w:r w:rsidRPr="00A05888">
              <w:t>To reflect correct amortization rate for CIAC</w:t>
            </w:r>
            <w:r>
              <w:t>.</w:t>
            </w:r>
          </w:p>
        </w:tc>
        <w:tc>
          <w:tcPr>
            <w:tcW w:w="1361" w:type="dxa"/>
            <w:tcBorders>
              <w:top w:val="nil"/>
              <w:left w:val="nil"/>
              <w:bottom w:val="nil"/>
              <w:right w:val="nil"/>
            </w:tcBorders>
            <w:shd w:val="clear" w:color="000000" w:fill="FFFFFF"/>
            <w:noWrap/>
            <w:vAlign w:val="bottom"/>
            <w:hideMark/>
          </w:tcPr>
          <w:p w:rsidR="001F483A" w:rsidRPr="00C1572E" w:rsidRDefault="001F483A" w:rsidP="001F483A">
            <w:pPr>
              <w:jc w:val="right"/>
            </w:pPr>
            <w:r>
              <w:t>($207,155)</w:t>
            </w:r>
          </w:p>
        </w:tc>
        <w:tc>
          <w:tcPr>
            <w:tcW w:w="1927" w:type="dxa"/>
            <w:tcBorders>
              <w:top w:val="nil"/>
              <w:left w:val="nil"/>
              <w:bottom w:val="nil"/>
              <w:right w:val="nil"/>
            </w:tcBorders>
            <w:shd w:val="clear" w:color="000000" w:fill="FFFFFF"/>
            <w:noWrap/>
            <w:vAlign w:val="bottom"/>
            <w:hideMark/>
          </w:tcPr>
          <w:p w:rsidR="001F483A" w:rsidRPr="00C1572E" w:rsidRDefault="001F483A" w:rsidP="001F483A">
            <w:pPr>
              <w:jc w:val="right"/>
            </w:pPr>
            <w:r>
              <w:t>($602,612)</w:t>
            </w:r>
            <w:r w:rsidRPr="00C1572E">
              <w:t xml:space="preserve"> </w:t>
            </w:r>
          </w:p>
        </w:tc>
        <w:tc>
          <w:tcPr>
            <w:tcW w:w="283" w:type="dxa"/>
            <w:tcBorders>
              <w:top w:val="nil"/>
              <w:left w:val="nil"/>
              <w:bottom w:val="nil"/>
              <w:right w:val="single" w:sz="4" w:space="0" w:color="auto"/>
            </w:tcBorders>
            <w:shd w:val="clear" w:color="000000" w:fill="FFFFFF"/>
            <w:noWrap/>
            <w:vAlign w:val="bottom"/>
            <w:hideMark/>
          </w:tcPr>
          <w:p w:rsidR="001F483A" w:rsidRPr="00A05888" w:rsidRDefault="001F483A" w:rsidP="001F483A">
            <w:r w:rsidRPr="00A05888">
              <w:t> </w:t>
            </w:r>
          </w:p>
        </w:tc>
      </w:tr>
      <w:tr w:rsidR="001F483A" w:rsidRPr="00A05888" w:rsidTr="00C00588">
        <w:trPr>
          <w:trHeight w:val="300"/>
          <w:jc w:val="center"/>
        </w:trPr>
        <w:tc>
          <w:tcPr>
            <w:tcW w:w="336" w:type="dxa"/>
            <w:tcBorders>
              <w:top w:val="nil"/>
              <w:left w:val="single" w:sz="4" w:space="0" w:color="auto"/>
              <w:bottom w:val="nil"/>
              <w:right w:val="nil"/>
            </w:tcBorders>
            <w:shd w:val="clear" w:color="000000" w:fill="FFFFFF"/>
            <w:noWrap/>
            <w:vAlign w:val="bottom"/>
            <w:hideMark/>
          </w:tcPr>
          <w:p w:rsidR="001F483A" w:rsidRPr="00A05888" w:rsidRDefault="001F483A" w:rsidP="001F483A">
            <w:pPr>
              <w:jc w:val="center"/>
            </w:pPr>
            <w:r>
              <w:t>2</w:t>
            </w:r>
          </w:p>
        </w:tc>
        <w:tc>
          <w:tcPr>
            <w:tcW w:w="6656" w:type="dxa"/>
            <w:tcBorders>
              <w:top w:val="nil"/>
              <w:left w:val="nil"/>
              <w:bottom w:val="nil"/>
              <w:right w:val="nil"/>
            </w:tcBorders>
            <w:shd w:val="clear" w:color="000000" w:fill="FFFFFF"/>
            <w:noWrap/>
            <w:vAlign w:val="bottom"/>
            <w:hideMark/>
          </w:tcPr>
          <w:p w:rsidR="001F483A" w:rsidRPr="00A05888" w:rsidRDefault="001F483A" w:rsidP="001F483A">
            <w:r w:rsidRPr="00A05888">
              <w:t>To reclassify CIAC amortization expense to depreciation expense.</w:t>
            </w:r>
          </w:p>
        </w:tc>
        <w:tc>
          <w:tcPr>
            <w:tcW w:w="1361" w:type="dxa"/>
            <w:tcBorders>
              <w:top w:val="nil"/>
              <w:left w:val="nil"/>
              <w:bottom w:val="nil"/>
              <w:right w:val="nil"/>
            </w:tcBorders>
            <w:shd w:val="clear" w:color="000000" w:fill="FFFFFF"/>
            <w:noWrap/>
            <w:vAlign w:val="bottom"/>
            <w:hideMark/>
          </w:tcPr>
          <w:p w:rsidR="001F483A" w:rsidRPr="00C1572E" w:rsidRDefault="001F483A" w:rsidP="001F483A">
            <w:pPr>
              <w:jc w:val="right"/>
              <w:rPr>
                <w:u w:val="single"/>
              </w:rPr>
            </w:pPr>
            <w:r w:rsidRPr="00C1572E">
              <w:rPr>
                <w:u w:val="single"/>
              </w:rPr>
              <w:t xml:space="preserve">10,681 </w:t>
            </w:r>
          </w:p>
        </w:tc>
        <w:tc>
          <w:tcPr>
            <w:tcW w:w="1927" w:type="dxa"/>
            <w:tcBorders>
              <w:top w:val="nil"/>
              <w:left w:val="nil"/>
              <w:bottom w:val="nil"/>
              <w:right w:val="nil"/>
            </w:tcBorders>
            <w:shd w:val="clear" w:color="000000" w:fill="FFFFFF"/>
            <w:noWrap/>
            <w:vAlign w:val="bottom"/>
            <w:hideMark/>
          </w:tcPr>
          <w:p w:rsidR="001F483A" w:rsidRPr="00C1572E" w:rsidRDefault="001F483A" w:rsidP="001F483A">
            <w:pPr>
              <w:jc w:val="right"/>
              <w:rPr>
                <w:u w:val="single"/>
              </w:rPr>
            </w:pPr>
            <w:r w:rsidRPr="00C1572E">
              <w:rPr>
                <w:u w:val="single"/>
              </w:rPr>
              <w:t xml:space="preserve">10,681 </w:t>
            </w:r>
          </w:p>
        </w:tc>
        <w:tc>
          <w:tcPr>
            <w:tcW w:w="283" w:type="dxa"/>
            <w:tcBorders>
              <w:top w:val="nil"/>
              <w:left w:val="nil"/>
              <w:bottom w:val="nil"/>
              <w:right w:val="single" w:sz="4" w:space="0" w:color="auto"/>
            </w:tcBorders>
            <w:shd w:val="clear" w:color="000000" w:fill="FFFFFF"/>
            <w:noWrap/>
            <w:vAlign w:val="bottom"/>
            <w:hideMark/>
          </w:tcPr>
          <w:p w:rsidR="001F483A" w:rsidRPr="00A05888" w:rsidRDefault="001F483A" w:rsidP="001F483A">
            <w:r w:rsidRPr="00A05888">
              <w:t> </w:t>
            </w:r>
          </w:p>
        </w:tc>
      </w:tr>
      <w:tr w:rsidR="001F483A" w:rsidRPr="00A05888" w:rsidTr="00C00588">
        <w:trPr>
          <w:trHeight w:val="300"/>
          <w:jc w:val="center"/>
        </w:trPr>
        <w:tc>
          <w:tcPr>
            <w:tcW w:w="336" w:type="dxa"/>
            <w:tcBorders>
              <w:top w:val="nil"/>
              <w:left w:val="single" w:sz="4" w:space="0" w:color="auto"/>
              <w:bottom w:val="nil"/>
              <w:right w:val="nil"/>
            </w:tcBorders>
            <w:shd w:val="clear" w:color="000000" w:fill="FFFFFF"/>
            <w:noWrap/>
            <w:vAlign w:val="bottom"/>
            <w:hideMark/>
          </w:tcPr>
          <w:p w:rsidR="001F483A" w:rsidRPr="00A05888" w:rsidRDefault="001F483A" w:rsidP="001F483A">
            <w:pPr>
              <w:jc w:val="center"/>
            </w:pPr>
            <w:r w:rsidRPr="00A05888">
              <w:t> </w:t>
            </w:r>
          </w:p>
        </w:tc>
        <w:tc>
          <w:tcPr>
            <w:tcW w:w="6656" w:type="dxa"/>
            <w:tcBorders>
              <w:top w:val="nil"/>
              <w:left w:val="nil"/>
              <w:bottom w:val="nil"/>
              <w:right w:val="nil"/>
            </w:tcBorders>
            <w:shd w:val="clear" w:color="000000" w:fill="FFFFFF"/>
            <w:noWrap/>
            <w:vAlign w:val="bottom"/>
            <w:hideMark/>
          </w:tcPr>
          <w:p w:rsidR="001F483A" w:rsidRPr="00A05888" w:rsidRDefault="001F483A" w:rsidP="001F483A">
            <w:pPr>
              <w:rPr>
                <w:b/>
                <w:bCs/>
              </w:rPr>
            </w:pPr>
            <w:r w:rsidRPr="00A05888">
              <w:rPr>
                <w:b/>
                <w:bCs/>
              </w:rPr>
              <w:t xml:space="preserve">    Total</w:t>
            </w:r>
          </w:p>
        </w:tc>
        <w:tc>
          <w:tcPr>
            <w:tcW w:w="1361" w:type="dxa"/>
            <w:tcBorders>
              <w:top w:val="nil"/>
              <w:left w:val="nil"/>
              <w:bottom w:val="nil"/>
              <w:right w:val="nil"/>
            </w:tcBorders>
            <w:shd w:val="clear" w:color="000000" w:fill="FFFFFF"/>
            <w:noWrap/>
            <w:vAlign w:val="bottom"/>
            <w:hideMark/>
          </w:tcPr>
          <w:p w:rsidR="001F483A" w:rsidRPr="0029140E" w:rsidRDefault="001F483A" w:rsidP="001F483A">
            <w:pPr>
              <w:jc w:val="right"/>
              <w:rPr>
                <w:u w:val="double"/>
              </w:rPr>
            </w:pPr>
            <w:r>
              <w:rPr>
                <w:u w:val="double"/>
              </w:rPr>
              <w:t>($196,474)</w:t>
            </w:r>
          </w:p>
        </w:tc>
        <w:tc>
          <w:tcPr>
            <w:tcW w:w="1927" w:type="dxa"/>
            <w:tcBorders>
              <w:top w:val="nil"/>
              <w:left w:val="nil"/>
              <w:bottom w:val="nil"/>
              <w:right w:val="nil"/>
            </w:tcBorders>
            <w:shd w:val="clear" w:color="000000" w:fill="FFFFFF"/>
            <w:noWrap/>
            <w:vAlign w:val="bottom"/>
            <w:hideMark/>
          </w:tcPr>
          <w:p w:rsidR="001F483A" w:rsidRPr="0029140E" w:rsidRDefault="001F483A" w:rsidP="001F483A">
            <w:pPr>
              <w:jc w:val="right"/>
              <w:rPr>
                <w:u w:val="double"/>
              </w:rPr>
            </w:pPr>
            <w:r>
              <w:rPr>
                <w:u w:val="double"/>
              </w:rPr>
              <w:t>($591,931)</w:t>
            </w:r>
            <w:r w:rsidRPr="0029140E">
              <w:rPr>
                <w:u w:val="double"/>
              </w:rPr>
              <w:t xml:space="preserve"> </w:t>
            </w:r>
          </w:p>
        </w:tc>
        <w:tc>
          <w:tcPr>
            <w:tcW w:w="283" w:type="dxa"/>
            <w:tcBorders>
              <w:top w:val="nil"/>
              <w:left w:val="nil"/>
              <w:bottom w:val="nil"/>
              <w:right w:val="single" w:sz="4" w:space="0" w:color="auto"/>
            </w:tcBorders>
            <w:shd w:val="clear" w:color="000000" w:fill="FFFFFF"/>
            <w:noWrap/>
            <w:vAlign w:val="bottom"/>
            <w:hideMark/>
          </w:tcPr>
          <w:p w:rsidR="001F483A" w:rsidRPr="00A05888" w:rsidRDefault="001F483A" w:rsidP="001F483A">
            <w:r w:rsidRPr="00A05888">
              <w:t> </w:t>
            </w:r>
          </w:p>
        </w:tc>
      </w:tr>
      <w:tr w:rsidR="001F483A" w:rsidRPr="00A05888" w:rsidTr="00C00588">
        <w:trPr>
          <w:trHeight w:val="300"/>
          <w:jc w:val="center"/>
        </w:trPr>
        <w:tc>
          <w:tcPr>
            <w:tcW w:w="336" w:type="dxa"/>
            <w:tcBorders>
              <w:top w:val="nil"/>
              <w:left w:val="single" w:sz="4" w:space="0" w:color="auto"/>
              <w:bottom w:val="nil"/>
              <w:right w:val="nil"/>
            </w:tcBorders>
            <w:shd w:val="clear" w:color="000000" w:fill="FFFFFF"/>
            <w:noWrap/>
            <w:vAlign w:val="bottom"/>
            <w:hideMark/>
          </w:tcPr>
          <w:p w:rsidR="001F483A" w:rsidRPr="00A05888" w:rsidRDefault="001F483A" w:rsidP="001F483A">
            <w:pPr>
              <w:jc w:val="center"/>
            </w:pPr>
            <w:r w:rsidRPr="00A05888">
              <w:t> </w:t>
            </w:r>
          </w:p>
        </w:tc>
        <w:tc>
          <w:tcPr>
            <w:tcW w:w="6656" w:type="dxa"/>
            <w:tcBorders>
              <w:top w:val="nil"/>
              <w:left w:val="nil"/>
              <w:bottom w:val="nil"/>
              <w:right w:val="nil"/>
            </w:tcBorders>
            <w:shd w:val="clear" w:color="000000" w:fill="FFFFFF"/>
            <w:noWrap/>
            <w:vAlign w:val="bottom"/>
            <w:hideMark/>
          </w:tcPr>
          <w:p w:rsidR="001F483A" w:rsidRPr="00A05888" w:rsidRDefault="001F483A" w:rsidP="001F483A">
            <w:r w:rsidRPr="00A05888">
              <w:t> </w:t>
            </w:r>
          </w:p>
        </w:tc>
        <w:tc>
          <w:tcPr>
            <w:tcW w:w="1361" w:type="dxa"/>
            <w:tcBorders>
              <w:top w:val="nil"/>
              <w:left w:val="nil"/>
              <w:bottom w:val="nil"/>
              <w:right w:val="nil"/>
            </w:tcBorders>
            <w:shd w:val="clear" w:color="000000" w:fill="FFFFFF"/>
            <w:noWrap/>
            <w:vAlign w:val="bottom"/>
            <w:hideMark/>
          </w:tcPr>
          <w:p w:rsidR="001F483A" w:rsidRPr="00A05888" w:rsidRDefault="001F483A" w:rsidP="001F483A">
            <w:r w:rsidRPr="00A05888">
              <w:t> </w:t>
            </w:r>
          </w:p>
        </w:tc>
        <w:tc>
          <w:tcPr>
            <w:tcW w:w="1927" w:type="dxa"/>
            <w:tcBorders>
              <w:top w:val="nil"/>
              <w:left w:val="nil"/>
              <w:bottom w:val="nil"/>
              <w:right w:val="nil"/>
            </w:tcBorders>
            <w:shd w:val="clear" w:color="000000" w:fill="FFFFFF"/>
            <w:noWrap/>
            <w:vAlign w:val="bottom"/>
            <w:hideMark/>
          </w:tcPr>
          <w:p w:rsidR="001F483A" w:rsidRPr="00A05888" w:rsidRDefault="001F483A" w:rsidP="001F483A">
            <w:r w:rsidRPr="00A05888">
              <w:t> </w:t>
            </w:r>
          </w:p>
        </w:tc>
        <w:tc>
          <w:tcPr>
            <w:tcW w:w="283" w:type="dxa"/>
            <w:tcBorders>
              <w:top w:val="nil"/>
              <w:left w:val="nil"/>
              <w:bottom w:val="nil"/>
              <w:right w:val="single" w:sz="4" w:space="0" w:color="auto"/>
            </w:tcBorders>
            <w:shd w:val="clear" w:color="000000" w:fill="FFFFFF"/>
            <w:noWrap/>
            <w:vAlign w:val="bottom"/>
            <w:hideMark/>
          </w:tcPr>
          <w:p w:rsidR="001F483A" w:rsidRPr="00A05888" w:rsidRDefault="001F483A" w:rsidP="001F483A">
            <w:r w:rsidRPr="00A05888">
              <w:t> </w:t>
            </w:r>
          </w:p>
        </w:tc>
      </w:tr>
      <w:tr w:rsidR="001F483A" w:rsidRPr="00A05888" w:rsidTr="00C00588">
        <w:trPr>
          <w:trHeight w:val="300"/>
          <w:jc w:val="center"/>
        </w:trPr>
        <w:tc>
          <w:tcPr>
            <w:tcW w:w="336" w:type="dxa"/>
            <w:tcBorders>
              <w:top w:val="nil"/>
              <w:left w:val="single" w:sz="4" w:space="0" w:color="auto"/>
              <w:bottom w:val="nil"/>
              <w:right w:val="nil"/>
            </w:tcBorders>
            <w:shd w:val="clear" w:color="000000" w:fill="FFFFFF"/>
            <w:noWrap/>
            <w:vAlign w:val="bottom"/>
            <w:hideMark/>
          </w:tcPr>
          <w:p w:rsidR="001F483A" w:rsidRPr="00A05888" w:rsidRDefault="001F483A" w:rsidP="001F483A">
            <w:pPr>
              <w:jc w:val="center"/>
            </w:pPr>
            <w:r w:rsidRPr="00A05888">
              <w:t> </w:t>
            </w:r>
          </w:p>
        </w:tc>
        <w:tc>
          <w:tcPr>
            <w:tcW w:w="6656" w:type="dxa"/>
            <w:tcBorders>
              <w:top w:val="nil"/>
              <w:left w:val="nil"/>
              <w:bottom w:val="nil"/>
              <w:right w:val="nil"/>
            </w:tcBorders>
            <w:shd w:val="clear" w:color="000000" w:fill="FFFFFF"/>
            <w:noWrap/>
            <w:vAlign w:val="bottom"/>
            <w:hideMark/>
          </w:tcPr>
          <w:p w:rsidR="001F483A" w:rsidRPr="00A05888" w:rsidRDefault="001F483A" w:rsidP="001F483A">
            <w:pPr>
              <w:rPr>
                <w:b/>
                <w:bCs/>
              </w:rPr>
            </w:pPr>
            <w:r w:rsidRPr="00A05888">
              <w:rPr>
                <w:b/>
                <w:bCs/>
              </w:rPr>
              <w:t>Amortization-Other Expense</w:t>
            </w:r>
          </w:p>
        </w:tc>
        <w:tc>
          <w:tcPr>
            <w:tcW w:w="1361" w:type="dxa"/>
            <w:tcBorders>
              <w:top w:val="nil"/>
              <w:left w:val="nil"/>
              <w:bottom w:val="nil"/>
              <w:right w:val="nil"/>
            </w:tcBorders>
            <w:shd w:val="clear" w:color="000000" w:fill="FFFFFF"/>
            <w:noWrap/>
            <w:vAlign w:val="bottom"/>
            <w:hideMark/>
          </w:tcPr>
          <w:p w:rsidR="001F483A" w:rsidRPr="00A05888" w:rsidRDefault="001F483A" w:rsidP="001F483A">
            <w:r w:rsidRPr="00A05888">
              <w:t> </w:t>
            </w:r>
          </w:p>
        </w:tc>
        <w:tc>
          <w:tcPr>
            <w:tcW w:w="1927" w:type="dxa"/>
            <w:tcBorders>
              <w:top w:val="nil"/>
              <w:left w:val="nil"/>
              <w:bottom w:val="nil"/>
              <w:right w:val="nil"/>
            </w:tcBorders>
            <w:shd w:val="clear" w:color="000000" w:fill="FFFFFF"/>
            <w:noWrap/>
            <w:vAlign w:val="bottom"/>
            <w:hideMark/>
          </w:tcPr>
          <w:p w:rsidR="001F483A" w:rsidRPr="00A05888" w:rsidRDefault="001F483A" w:rsidP="001F483A">
            <w:r w:rsidRPr="00A05888">
              <w:t> </w:t>
            </w:r>
          </w:p>
        </w:tc>
        <w:tc>
          <w:tcPr>
            <w:tcW w:w="283" w:type="dxa"/>
            <w:tcBorders>
              <w:top w:val="nil"/>
              <w:left w:val="nil"/>
              <w:bottom w:val="nil"/>
              <w:right w:val="single" w:sz="4" w:space="0" w:color="auto"/>
            </w:tcBorders>
            <w:shd w:val="clear" w:color="000000" w:fill="FFFFFF"/>
            <w:noWrap/>
            <w:vAlign w:val="bottom"/>
            <w:hideMark/>
          </w:tcPr>
          <w:p w:rsidR="001F483A" w:rsidRPr="00A05888" w:rsidRDefault="001F483A" w:rsidP="001F483A">
            <w:r w:rsidRPr="00A05888">
              <w:t> </w:t>
            </w:r>
          </w:p>
        </w:tc>
      </w:tr>
      <w:tr w:rsidR="001F483A" w:rsidRPr="00A05888" w:rsidTr="00C00588">
        <w:trPr>
          <w:trHeight w:val="300"/>
          <w:jc w:val="center"/>
        </w:trPr>
        <w:tc>
          <w:tcPr>
            <w:tcW w:w="336" w:type="dxa"/>
            <w:tcBorders>
              <w:top w:val="nil"/>
              <w:left w:val="single" w:sz="4" w:space="0" w:color="auto"/>
              <w:bottom w:val="nil"/>
              <w:right w:val="nil"/>
            </w:tcBorders>
            <w:shd w:val="clear" w:color="000000" w:fill="FFFFFF"/>
            <w:noWrap/>
            <w:vAlign w:val="bottom"/>
            <w:hideMark/>
          </w:tcPr>
          <w:p w:rsidR="001F483A" w:rsidRPr="00A05888" w:rsidRDefault="001F483A" w:rsidP="001F483A">
            <w:pPr>
              <w:jc w:val="center"/>
            </w:pPr>
            <w:r w:rsidRPr="00A05888">
              <w:t> </w:t>
            </w:r>
          </w:p>
        </w:tc>
        <w:tc>
          <w:tcPr>
            <w:tcW w:w="6656" w:type="dxa"/>
            <w:tcBorders>
              <w:top w:val="nil"/>
              <w:left w:val="nil"/>
              <w:bottom w:val="nil"/>
              <w:right w:val="nil"/>
            </w:tcBorders>
            <w:shd w:val="clear" w:color="000000" w:fill="FFFFFF"/>
            <w:noWrap/>
            <w:vAlign w:val="bottom"/>
            <w:hideMark/>
          </w:tcPr>
          <w:p w:rsidR="001F483A" w:rsidRPr="00A05888" w:rsidRDefault="001F483A" w:rsidP="001F483A">
            <w:r>
              <w:t>To reclassify</w:t>
            </w:r>
            <w:r w:rsidRPr="00A05888">
              <w:t xml:space="preserve"> amortization expense to </w:t>
            </w:r>
            <w:r>
              <w:t xml:space="preserve">net </w:t>
            </w:r>
            <w:r w:rsidRPr="00A05888">
              <w:t>depreciation expense.</w:t>
            </w:r>
          </w:p>
        </w:tc>
        <w:tc>
          <w:tcPr>
            <w:tcW w:w="1361" w:type="dxa"/>
            <w:tcBorders>
              <w:top w:val="nil"/>
              <w:left w:val="nil"/>
              <w:bottom w:val="nil"/>
              <w:right w:val="nil"/>
            </w:tcBorders>
            <w:shd w:val="clear" w:color="000000" w:fill="FFFFFF"/>
            <w:noWrap/>
            <w:vAlign w:val="bottom"/>
            <w:hideMark/>
          </w:tcPr>
          <w:p w:rsidR="001F483A" w:rsidRPr="00414E25" w:rsidRDefault="001F483A" w:rsidP="001F483A">
            <w:pPr>
              <w:jc w:val="right"/>
              <w:rPr>
                <w:u w:val="double"/>
              </w:rPr>
            </w:pPr>
            <w:r w:rsidRPr="00414E25">
              <w:rPr>
                <w:u w:val="double"/>
              </w:rPr>
              <w:t>($10,681)</w:t>
            </w:r>
          </w:p>
        </w:tc>
        <w:tc>
          <w:tcPr>
            <w:tcW w:w="1927" w:type="dxa"/>
            <w:tcBorders>
              <w:top w:val="nil"/>
              <w:left w:val="nil"/>
              <w:bottom w:val="nil"/>
              <w:right w:val="nil"/>
            </w:tcBorders>
            <w:shd w:val="clear" w:color="000000" w:fill="FFFFFF"/>
            <w:noWrap/>
            <w:vAlign w:val="bottom"/>
            <w:hideMark/>
          </w:tcPr>
          <w:p w:rsidR="001F483A" w:rsidRPr="00414E25" w:rsidRDefault="001F483A" w:rsidP="001F483A">
            <w:pPr>
              <w:jc w:val="right"/>
              <w:rPr>
                <w:u w:val="double"/>
              </w:rPr>
            </w:pPr>
            <w:r w:rsidRPr="00414E25">
              <w:rPr>
                <w:u w:val="double"/>
              </w:rPr>
              <w:t>($10,681)</w:t>
            </w:r>
          </w:p>
        </w:tc>
        <w:tc>
          <w:tcPr>
            <w:tcW w:w="283" w:type="dxa"/>
            <w:tcBorders>
              <w:top w:val="nil"/>
              <w:left w:val="nil"/>
              <w:bottom w:val="nil"/>
              <w:right w:val="single" w:sz="4" w:space="0" w:color="auto"/>
            </w:tcBorders>
            <w:shd w:val="clear" w:color="000000" w:fill="FFFFFF"/>
            <w:noWrap/>
            <w:vAlign w:val="bottom"/>
            <w:hideMark/>
          </w:tcPr>
          <w:p w:rsidR="001F483A" w:rsidRPr="00A05888" w:rsidRDefault="001F483A" w:rsidP="001F483A">
            <w:pPr>
              <w:rPr>
                <w:u w:val="double"/>
              </w:rPr>
            </w:pPr>
          </w:p>
        </w:tc>
      </w:tr>
      <w:tr w:rsidR="001F483A" w:rsidRPr="00A05888" w:rsidTr="00C00588">
        <w:trPr>
          <w:trHeight w:val="300"/>
          <w:jc w:val="center"/>
        </w:trPr>
        <w:tc>
          <w:tcPr>
            <w:tcW w:w="336" w:type="dxa"/>
            <w:tcBorders>
              <w:top w:val="nil"/>
              <w:left w:val="single" w:sz="4" w:space="0" w:color="auto"/>
              <w:bottom w:val="nil"/>
              <w:right w:val="nil"/>
            </w:tcBorders>
            <w:shd w:val="clear" w:color="000000" w:fill="FFFFFF"/>
            <w:noWrap/>
            <w:vAlign w:val="bottom"/>
            <w:hideMark/>
          </w:tcPr>
          <w:p w:rsidR="001F483A" w:rsidRPr="00A05888" w:rsidRDefault="001F483A" w:rsidP="001F483A">
            <w:pPr>
              <w:jc w:val="center"/>
            </w:pPr>
            <w:r w:rsidRPr="00A05888">
              <w:t> </w:t>
            </w:r>
          </w:p>
        </w:tc>
        <w:tc>
          <w:tcPr>
            <w:tcW w:w="6656" w:type="dxa"/>
            <w:tcBorders>
              <w:top w:val="nil"/>
              <w:left w:val="nil"/>
              <w:bottom w:val="nil"/>
              <w:right w:val="nil"/>
            </w:tcBorders>
            <w:shd w:val="clear" w:color="000000" w:fill="FFFFFF"/>
            <w:noWrap/>
            <w:vAlign w:val="bottom"/>
            <w:hideMark/>
          </w:tcPr>
          <w:p w:rsidR="001F483A" w:rsidRPr="00A05888" w:rsidRDefault="001F483A" w:rsidP="001F483A">
            <w:r w:rsidRPr="00A05888">
              <w:t> </w:t>
            </w:r>
          </w:p>
        </w:tc>
        <w:tc>
          <w:tcPr>
            <w:tcW w:w="1361" w:type="dxa"/>
            <w:tcBorders>
              <w:top w:val="nil"/>
              <w:left w:val="nil"/>
              <w:bottom w:val="nil"/>
              <w:right w:val="nil"/>
            </w:tcBorders>
            <w:shd w:val="clear" w:color="000000" w:fill="FFFFFF"/>
            <w:noWrap/>
            <w:vAlign w:val="bottom"/>
            <w:hideMark/>
          </w:tcPr>
          <w:p w:rsidR="001F483A" w:rsidRPr="00A05888" w:rsidRDefault="001F483A" w:rsidP="001F483A">
            <w:r w:rsidRPr="00A05888">
              <w:t> </w:t>
            </w:r>
          </w:p>
        </w:tc>
        <w:tc>
          <w:tcPr>
            <w:tcW w:w="1927" w:type="dxa"/>
            <w:tcBorders>
              <w:top w:val="nil"/>
              <w:left w:val="nil"/>
              <w:bottom w:val="nil"/>
              <w:right w:val="nil"/>
            </w:tcBorders>
            <w:shd w:val="clear" w:color="000000" w:fill="FFFFFF"/>
            <w:noWrap/>
            <w:vAlign w:val="bottom"/>
            <w:hideMark/>
          </w:tcPr>
          <w:p w:rsidR="001F483A" w:rsidRPr="00A05888" w:rsidRDefault="001F483A" w:rsidP="001F483A">
            <w:r w:rsidRPr="00A05888">
              <w:t> </w:t>
            </w:r>
          </w:p>
        </w:tc>
        <w:tc>
          <w:tcPr>
            <w:tcW w:w="283" w:type="dxa"/>
            <w:tcBorders>
              <w:top w:val="nil"/>
              <w:left w:val="nil"/>
              <w:bottom w:val="nil"/>
              <w:right w:val="single" w:sz="4" w:space="0" w:color="auto"/>
            </w:tcBorders>
            <w:shd w:val="clear" w:color="000000" w:fill="FFFFFF"/>
            <w:noWrap/>
            <w:vAlign w:val="bottom"/>
            <w:hideMark/>
          </w:tcPr>
          <w:p w:rsidR="001F483A" w:rsidRPr="00A05888" w:rsidRDefault="001F483A" w:rsidP="001F483A">
            <w:r w:rsidRPr="00A05888">
              <w:t> </w:t>
            </w:r>
          </w:p>
        </w:tc>
      </w:tr>
      <w:tr w:rsidR="001F483A" w:rsidRPr="00A05888" w:rsidTr="00C00588">
        <w:trPr>
          <w:trHeight w:val="300"/>
          <w:jc w:val="center"/>
        </w:trPr>
        <w:tc>
          <w:tcPr>
            <w:tcW w:w="336" w:type="dxa"/>
            <w:tcBorders>
              <w:top w:val="nil"/>
              <w:left w:val="single" w:sz="4" w:space="0" w:color="auto"/>
              <w:bottom w:val="nil"/>
              <w:right w:val="nil"/>
            </w:tcBorders>
            <w:shd w:val="clear" w:color="000000" w:fill="FFFFFF"/>
            <w:noWrap/>
            <w:vAlign w:val="bottom"/>
            <w:hideMark/>
          </w:tcPr>
          <w:p w:rsidR="001F483A" w:rsidRPr="00A05888" w:rsidRDefault="001F483A" w:rsidP="001F483A">
            <w:pPr>
              <w:jc w:val="center"/>
            </w:pPr>
            <w:r w:rsidRPr="00A05888">
              <w:t> </w:t>
            </w:r>
          </w:p>
        </w:tc>
        <w:tc>
          <w:tcPr>
            <w:tcW w:w="6656" w:type="dxa"/>
            <w:tcBorders>
              <w:top w:val="nil"/>
              <w:left w:val="nil"/>
              <w:bottom w:val="nil"/>
              <w:right w:val="nil"/>
            </w:tcBorders>
            <w:shd w:val="clear" w:color="000000" w:fill="FFFFFF"/>
            <w:noWrap/>
            <w:vAlign w:val="bottom"/>
            <w:hideMark/>
          </w:tcPr>
          <w:p w:rsidR="001F483A" w:rsidRPr="00A05888" w:rsidRDefault="001F483A" w:rsidP="001F483A">
            <w:pPr>
              <w:rPr>
                <w:b/>
                <w:bCs/>
              </w:rPr>
            </w:pPr>
            <w:r w:rsidRPr="00A05888">
              <w:rPr>
                <w:b/>
                <w:bCs/>
              </w:rPr>
              <w:t>Taxes Other Than Income</w:t>
            </w:r>
          </w:p>
        </w:tc>
        <w:tc>
          <w:tcPr>
            <w:tcW w:w="1361" w:type="dxa"/>
            <w:tcBorders>
              <w:top w:val="nil"/>
              <w:left w:val="nil"/>
              <w:bottom w:val="nil"/>
              <w:right w:val="nil"/>
            </w:tcBorders>
            <w:shd w:val="clear" w:color="000000" w:fill="FFFFFF"/>
            <w:noWrap/>
            <w:vAlign w:val="bottom"/>
            <w:hideMark/>
          </w:tcPr>
          <w:p w:rsidR="001F483A" w:rsidRPr="00A05888" w:rsidRDefault="001F483A" w:rsidP="001F483A">
            <w:r w:rsidRPr="00A05888">
              <w:t> </w:t>
            </w:r>
          </w:p>
        </w:tc>
        <w:tc>
          <w:tcPr>
            <w:tcW w:w="1927" w:type="dxa"/>
            <w:tcBorders>
              <w:top w:val="nil"/>
              <w:left w:val="nil"/>
              <w:bottom w:val="nil"/>
              <w:right w:val="nil"/>
            </w:tcBorders>
            <w:shd w:val="clear" w:color="000000" w:fill="FFFFFF"/>
            <w:noWrap/>
            <w:vAlign w:val="bottom"/>
            <w:hideMark/>
          </w:tcPr>
          <w:p w:rsidR="001F483A" w:rsidRPr="00A05888" w:rsidRDefault="001F483A" w:rsidP="001F483A">
            <w:r w:rsidRPr="00A05888">
              <w:t> </w:t>
            </w:r>
          </w:p>
        </w:tc>
        <w:tc>
          <w:tcPr>
            <w:tcW w:w="283" w:type="dxa"/>
            <w:tcBorders>
              <w:top w:val="nil"/>
              <w:left w:val="nil"/>
              <w:bottom w:val="nil"/>
              <w:right w:val="single" w:sz="4" w:space="0" w:color="auto"/>
            </w:tcBorders>
            <w:shd w:val="clear" w:color="000000" w:fill="FFFFFF"/>
            <w:noWrap/>
            <w:vAlign w:val="bottom"/>
            <w:hideMark/>
          </w:tcPr>
          <w:p w:rsidR="001F483A" w:rsidRPr="00A05888" w:rsidRDefault="001F483A" w:rsidP="001F483A">
            <w:r w:rsidRPr="00A05888">
              <w:t> </w:t>
            </w:r>
          </w:p>
        </w:tc>
      </w:tr>
      <w:tr w:rsidR="001F483A" w:rsidRPr="00A05888" w:rsidTr="00C00588">
        <w:trPr>
          <w:trHeight w:val="300"/>
          <w:jc w:val="center"/>
        </w:trPr>
        <w:tc>
          <w:tcPr>
            <w:tcW w:w="336" w:type="dxa"/>
            <w:tcBorders>
              <w:top w:val="nil"/>
              <w:left w:val="single" w:sz="4" w:space="0" w:color="auto"/>
              <w:bottom w:val="nil"/>
              <w:right w:val="nil"/>
            </w:tcBorders>
            <w:shd w:val="clear" w:color="000000" w:fill="FFFFFF"/>
            <w:noWrap/>
            <w:vAlign w:val="bottom"/>
            <w:hideMark/>
          </w:tcPr>
          <w:p w:rsidR="001F483A" w:rsidRPr="00A05888" w:rsidRDefault="001F483A" w:rsidP="001F483A">
            <w:pPr>
              <w:jc w:val="center"/>
            </w:pPr>
            <w:r w:rsidRPr="00A05888">
              <w:t> </w:t>
            </w:r>
          </w:p>
        </w:tc>
        <w:tc>
          <w:tcPr>
            <w:tcW w:w="6656" w:type="dxa"/>
            <w:tcBorders>
              <w:top w:val="nil"/>
              <w:left w:val="nil"/>
              <w:bottom w:val="nil"/>
              <w:right w:val="nil"/>
            </w:tcBorders>
            <w:shd w:val="clear" w:color="000000" w:fill="FFFFFF"/>
            <w:noWrap/>
            <w:vAlign w:val="bottom"/>
            <w:hideMark/>
          </w:tcPr>
          <w:p w:rsidR="001F483A" w:rsidRPr="00A05888" w:rsidRDefault="001F483A" w:rsidP="001F483A">
            <w:r>
              <w:t>To reflect the appropriate amount of property t</w:t>
            </w:r>
            <w:r w:rsidRPr="00A05888">
              <w:t>ax</w:t>
            </w:r>
            <w:r>
              <w:t>es.</w:t>
            </w:r>
          </w:p>
        </w:tc>
        <w:tc>
          <w:tcPr>
            <w:tcW w:w="1361" w:type="dxa"/>
            <w:tcBorders>
              <w:top w:val="nil"/>
              <w:left w:val="nil"/>
              <w:bottom w:val="nil"/>
              <w:right w:val="nil"/>
            </w:tcBorders>
            <w:shd w:val="clear" w:color="000000" w:fill="FFFFFF"/>
            <w:noWrap/>
            <w:vAlign w:val="bottom"/>
            <w:hideMark/>
          </w:tcPr>
          <w:p w:rsidR="001F483A" w:rsidRPr="00A05888" w:rsidRDefault="001F483A" w:rsidP="001F483A">
            <w:pPr>
              <w:jc w:val="right"/>
              <w:rPr>
                <w:u w:val="double"/>
              </w:rPr>
            </w:pPr>
            <w:r>
              <w:rPr>
                <w:u w:val="double"/>
              </w:rPr>
              <w:t>$</w:t>
            </w:r>
            <w:r w:rsidRPr="00A05888">
              <w:rPr>
                <w:u w:val="double"/>
              </w:rPr>
              <w:t xml:space="preserve">65,428 </w:t>
            </w:r>
          </w:p>
        </w:tc>
        <w:tc>
          <w:tcPr>
            <w:tcW w:w="1927" w:type="dxa"/>
            <w:tcBorders>
              <w:top w:val="nil"/>
              <w:left w:val="nil"/>
              <w:bottom w:val="nil"/>
              <w:right w:val="nil"/>
            </w:tcBorders>
            <w:shd w:val="clear" w:color="000000" w:fill="FFFFFF"/>
            <w:noWrap/>
            <w:vAlign w:val="bottom"/>
            <w:hideMark/>
          </w:tcPr>
          <w:p w:rsidR="001F483A" w:rsidRPr="00A05888" w:rsidRDefault="001F483A" w:rsidP="001F483A">
            <w:pPr>
              <w:jc w:val="right"/>
              <w:rPr>
                <w:u w:val="double"/>
              </w:rPr>
            </w:pPr>
            <w:r w:rsidRPr="00A05888">
              <w:rPr>
                <w:u w:val="double"/>
              </w:rPr>
              <w:t>(</w:t>
            </w:r>
            <w:r>
              <w:rPr>
                <w:u w:val="double"/>
              </w:rPr>
              <w:t>$</w:t>
            </w:r>
            <w:r w:rsidRPr="00A05888">
              <w:rPr>
                <w:u w:val="double"/>
              </w:rPr>
              <w:t>61,554)</w:t>
            </w:r>
          </w:p>
        </w:tc>
        <w:tc>
          <w:tcPr>
            <w:tcW w:w="283" w:type="dxa"/>
            <w:tcBorders>
              <w:top w:val="nil"/>
              <w:left w:val="nil"/>
              <w:bottom w:val="nil"/>
              <w:right w:val="single" w:sz="4" w:space="0" w:color="auto"/>
            </w:tcBorders>
            <w:shd w:val="clear" w:color="000000" w:fill="FFFFFF"/>
            <w:noWrap/>
            <w:vAlign w:val="bottom"/>
            <w:hideMark/>
          </w:tcPr>
          <w:p w:rsidR="001F483A" w:rsidRPr="00A05888" w:rsidRDefault="001F483A" w:rsidP="001F483A">
            <w:r w:rsidRPr="00A05888">
              <w:t> </w:t>
            </w:r>
          </w:p>
        </w:tc>
      </w:tr>
      <w:tr w:rsidR="00C00588" w:rsidRPr="00A05888" w:rsidTr="00C00588">
        <w:trPr>
          <w:trHeight w:val="300"/>
          <w:jc w:val="center"/>
        </w:trPr>
        <w:tc>
          <w:tcPr>
            <w:tcW w:w="336" w:type="dxa"/>
            <w:tcBorders>
              <w:top w:val="nil"/>
              <w:left w:val="single" w:sz="4" w:space="0" w:color="auto"/>
              <w:bottom w:val="single" w:sz="4" w:space="0" w:color="auto"/>
              <w:right w:val="nil"/>
            </w:tcBorders>
            <w:shd w:val="clear" w:color="000000" w:fill="FFFFFF"/>
            <w:noWrap/>
            <w:vAlign w:val="bottom"/>
            <w:hideMark/>
          </w:tcPr>
          <w:p w:rsidR="00C00588" w:rsidRPr="00A05888" w:rsidRDefault="00C00588" w:rsidP="00C00588">
            <w:pPr>
              <w:jc w:val="center"/>
            </w:pPr>
            <w:r w:rsidRPr="00A05888">
              <w:t> </w:t>
            </w:r>
          </w:p>
        </w:tc>
        <w:tc>
          <w:tcPr>
            <w:tcW w:w="6656" w:type="dxa"/>
            <w:tcBorders>
              <w:top w:val="nil"/>
              <w:left w:val="nil"/>
              <w:bottom w:val="single" w:sz="4" w:space="0" w:color="auto"/>
              <w:right w:val="nil"/>
            </w:tcBorders>
            <w:shd w:val="clear" w:color="000000" w:fill="FFFFFF"/>
            <w:noWrap/>
            <w:vAlign w:val="bottom"/>
            <w:hideMark/>
          </w:tcPr>
          <w:p w:rsidR="00C00588" w:rsidRPr="00A05888" w:rsidRDefault="00C00588" w:rsidP="00C00588">
            <w:r w:rsidRPr="00A05888">
              <w:t> </w:t>
            </w:r>
          </w:p>
        </w:tc>
        <w:tc>
          <w:tcPr>
            <w:tcW w:w="1361" w:type="dxa"/>
            <w:tcBorders>
              <w:top w:val="nil"/>
              <w:left w:val="nil"/>
              <w:bottom w:val="single" w:sz="4" w:space="0" w:color="auto"/>
              <w:right w:val="nil"/>
            </w:tcBorders>
            <w:shd w:val="clear" w:color="000000" w:fill="FFFFFF"/>
            <w:noWrap/>
            <w:vAlign w:val="bottom"/>
            <w:hideMark/>
          </w:tcPr>
          <w:p w:rsidR="00C00588" w:rsidRPr="00A05888" w:rsidRDefault="00C00588" w:rsidP="00C00588">
            <w:r w:rsidRPr="00A05888">
              <w:t> </w:t>
            </w:r>
          </w:p>
        </w:tc>
        <w:tc>
          <w:tcPr>
            <w:tcW w:w="1927" w:type="dxa"/>
            <w:tcBorders>
              <w:top w:val="nil"/>
              <w:left w:val="nil"/>
              <w:bottom w:val="single" w:sz="4" w:space="0" w:color="auto"/>
              <w:right w:val="nil"/>
            </w:tcBorders>
            <w:shd w:val="clear" w:color="000000" w:fill="FFFFFF"/>
            <w:noWrap/>
            <w:vAlign w:val="bottom"/>
            <w:hideMark/>
          </w:tcPr>
          <w:p w:rsidR="00C00588" w:rsidRPr="00A05888" w:rsidRDefault="00C00588" w:rsidP="00C00588">
            <w:r w:rsidRPr="00A05888">
              <w:t> </w:t>
            </w:r>
          </w:p>
        </w:tc>
        <w:tc>
          <w:tcPr>
            <w:tcW w:w="283" w:type="dxa"/>
            <w:tcBorders>
              <w:top w:val="nil"/>
              <w:left w:val="nil"/>
              <w:bottom w:val="single" w:sz="4" w:space="0" w:color="auto"/>
              <w:right w:val="single" w:sz="4" w:space="0" w:color="auto"/>
            </w:tcBorders>
            <w:shd w:val="clear" w:color="000000" w:fill="FFFFFF"/>
            <w:noWrap/>
            <w:vAlign w:val="bottom"/>
            <w:hideMark/>
          </w:tcPr>
          <w:p w:rsidR="00C00588" w:rsidRPr="00A05888" w:rsidRDefault="00C00588" w:rsidP="00C00588">
            <w:r w:rsidRPr="00A05888">
              <w:t> </w:t>
            </w:r>
          </w:p>
        </w:tc>
      </w:tr>
    </w:tbl>
    <w:p w:rsidR="00C00588" w:rsidRDefault="00C00588" w:rsidP="00C00588">
      <w:pPr>
        <w:pStyle w:val="BodyText"/>
      </w:pPr>
    </w:p>
    <w:p w:rsidR="00341D96" w:rsidRDefault="00341D96" w:rsidP="00E275D8">
      <w:pPr>
        <w:pStyle w:val="BodyText"/>
        <w:sectPr w:rsidR="00341D96" w:rsidSect="00C00588">
          <w:headerReference w:type="default" r:id="rId22"/>
          <w:footerReference w:type="default" r:id="rId23"/>
          <w:pgSz w:w="12240" w:h="15840" w:code="1"/>
          <w:pgMar w:top="1584" w:right="1440" w:bottom="1440" w:left="1440" w:header="720" w:footer="720" w:gutter="0"/>
          <w:cols w:space="720"/>
          <w:formProt w:val="0"/>
          <w:docGrid w:linePitch="360"/>
        </w:sectPr>
      </w:pPr>
    </w:p>
    <w:p w:rsidR="00E06484" w:rsidRDefault="00113372" w:rsidP="00E275D8">
      <w:pPr>
        <w:pStyle w:val="BodyText"/>
      </w:pPr>
      <w:r w:rsidRPr="00F36346">
        <w:rPr>
          <w:noProof/>
        </w:rPr>
        <w:lastRenderedPageBreak/>
        <w:drawing>
          <wp:inline distT="0" distB="0" distL="0" distR="0" wp14:anchorId="7BA80C75" wp14:editId="78F2DBA3">
            <wp:extent cx="5943600" cy="5943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rsidR="00341D96" w:rsidRDefault="00341D96" w:rsidP="00E275D8">
      <w:pPr>
        <w:pStyle w:val="BodyText"/>
      </w:pPr>
    </w:p>
    <w:p w:rsidR="00113372" w:rsidRDefault="00113372" w:rsidP="00E275D8">
      <w:pPr>
        <w:pStyle w:val="BodyText"/>
        <w:sectPr w:rsidR="00113372" w:rsidSect="00C00588">
          <w:headerReference w:type="default" r:id="rId25"/>
          <w:footerReference w:type="default" r:id="rId26"/>
          <w:pgSz w:w="12240" w:h="15840" w:code="1"/>
          <w:pgMar w:top="1584" w:right="1440" w:bottom="1440" w:left="1440" w:header="720" w:footer="720" w:gutter="0"/>
          <w:cols w:space="720"/>
          <w:formProt w:val="0"/>
          <w:docGrid w:linePitch="360"/>
        </w:sectPr>
      </w:pPr>
    </w:p>
    <w:p w:rsidR="00341D96" w:rsidRDefault="00374251" w:rsidP="00E275D8">
      <w:pPr>
        <w:pStyle w:val="BodyText"/>
      </w:pPr>
      <w:r w:rsidRPr="00DB68C4">
        <w:rPr>
          <w:noProof/>
        </w:rPr>
        <w:lastRenderedPageBreak/>
        <w:drawing>
          <wp:inline distT="0" distB="0" distL="0" distR="0" wp14:anchorId="03DE118C" wp14:editId="7953CB99">
            <wp:extent cx="5943600" cy="71005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7100570"/>
                    </a:xfrm>
                    <a:prstGeom prst="rect">
                      <a:avLst/>
                    </a:prstGeom>
                    <a:noFill/>
                    <a:ln>
                      <a:noFill/>
                    </a:ln>
                  </pic:spPr>
                </pic:pic>
              </a:graphicData>
            </a:graphic>
          </wp:inline>
        </w:drawing>
      </w:r>
    </w:p>
    <w:sectPr w:rsidR="00341D96" w:rsidSect="00C00588">
      <w:headerReference w:type="default" r:id="rId28"/>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6E2" w:rsidRDefault="003676E2">
      <w:r>
        <w:separator/>
      </w:r>
    </w:p>
  </w:endnote>
  <w:endnote w:type="continuationSeparator" w:id="0">
    <w:p w:rsidR="003676E2" w:rsidRDefault="00367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w:altName w:val="MV Bol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6E2" w:rsidRDefault="003676E2">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C04DC7">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6E2" w:rsidRDefault="003676E2">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C04DC7">
      <w:rPr>
        <w:rStyle w:val="PageNumber"/>
        <w:noProof/>
      </w:rPr>
      <w:t>16</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6E2" w:rsidRDefault="003676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6E2" w:rsidRDefault="003676E2" w:rsidP="00C00588">
    <w:pPr>
      <w:pStyle w:val="Footer"/>
      <w:tabs>
        <w:tab w:val="clear" w:pos="4320"/>
        <w:tab w:val="clear" w:pos="8640"/>
        <w:tab w:val="center" w:pos="6480"/>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C04DC7">
      <w:rPr>
        <w:rStyle w:val="PageNumber"/>
        <w:noProof/>
      </w:rPr>
      <w:t>17</w:t>
    </w:r>
    <w:r>
      <w:rPr>
        <w:rStyle w:val="PageNumber"/>
      </w:rPr>
      <w:fldChar w:fldCharType="end"/>
    </w:r>
    <w:r>
      <w:rPr>
        <w:rStyle w:val="PageNumbe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6E2" w:rsidRDefault="003676E2">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C04DC7">
      <w:rPr>
        <w:rStyle w:val="PageNumber"/>
        <w:noProof/>
      </w:rPr>
      <w:t>19</w:t>
    </w:r>
    <w:r>
      <w:rPr>
        <w:rStyle w:val="PageNumber"/>
      </w:rPr>
      <w:fldChar w:fldCharType="end"/>
    </w:r>
    <w:r>
      <w:rPr>
        <w:rStyle w:val="PageNumber"/>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6E2" w:rsidRDefault="003676E2">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C04DC7">
      <w:rPr>
        <w:rStyle w:val="PageNumber"/>
        <w:noProof/>
      </w:rPr>
      <w:t>20</w:t>
    </w:r>
    <w:r>
      <w:rPr>
        <w:rStyle w:val="PageNumber"/>
      </w:rPr>
      <w:fldChar w:fldCharType="end"/>
    </w:r>
    <w:r>
      <w:rPr>
        <w:rStyle w:val="PageNumber"/>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6E2" w:rsidRDefault="003676E2">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C04DC7">
      <w:rPr>
        <w:rStyle w:val="PageNumber"/>
        <w:noProof/>
      </w:rPr>
      <w:t>21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6E2" w:rsidRDefault="003676E2">
      <w:r>
        <w:separator/>
      </w:r>
    </w:p>
  </w:footnote>
  <w:footnote w:type="continuationSeparator" w:id="0">
    <w:p w:rsidR="003676E2" w:rsidRDefault="003676E2">
      <w:r>
        <w:continuationSeparator/>
      </w:r>
    </w:p>
  </w:footnote>
  <w:footnote w:id="1">
    <w:p w:rsidR="003676E2" w:rsidRDefault="003676E2" w:rsidP="00681408">
      <w:pPr>
        <w:pStyle w:val="FootnoteText"/>
      </w:pPr>
      <w:r>
        <w:rPr>
          <w:rStyle w:val="FootnoteReference"/>
        </w:rPr>
        <w:footnoteRef/>
      </w:r>
      <w:r>
        <w:t xml:space="preserve">Order No. </w:t>
      </w:r>
      <w:bookmarkStart w:id="14" w:name="OrderNo0059"/>
      <w:r w:rsidRPr="007157B3">
        <w:t>PSC-17-0059-PAA-WS</w:t>
      </w:r>
      <w:bookmarkEnd w:id="14"/>
      <w:r>
        <w:t xml:space="preserve">, issued February 24, 2017, in Docket No. 20160220-WS, </w:t>
      </w:r>
      <w:r w:rsidRPr="00FE7079">
        <w:rPr>
          <w:i/>
        </w:rPr>
        <w:t>In re: Application for original water and wastewater certificates in Sumter County, by South Sumter Utility Company, LLC.</w:t>
      </w:r>
    </w:p>
  </w:footnote>
  <w:footnote w:id="2">
    <w:p w:rsidR="003676E2" w:rsidRPr="00C0006E" w:rsidRDefault="003676E2" w:rsidP="00681408">
      <w:pPr>
        <w:pStyle w:val="FootnoteText"/>
        <w:rPr>
          <w:i/>
        </w:rPr>
      </w:pPr>
      <w:r>
        <w:rPr>
          <w:rStyle w:val="FootnoteReference"/>
        </w:rPr>
        <w:footnoteRef/>
      </w:r>
      <w:r>
        <w:t xml:space="preserve">Order No. </w:t>
      </w:r>
      <w:r w:rsidRPr="00C0006E">
        <w:t>PSC-2022-0049-FOF-WS</w:t>
      </w:r>
      <w:r>
        <w:t xml:space="preserve">, issued January 31, 2022, in Docket No. 20210125-WS, </w:t>
      </w:r>
      <w:r>
        <w:rPr>
          <w:i/>
        </w:rPr>
        <w:t xml:space="preserve">In re: </w:t>
      </w:r>
      <w:r w:rsidRPr="00C15210">
        <w:rPr>
          <w:i/>
        </w:rPr>
        <w:t>Application for amendment of Certificate Nos. 677-W and 577-S to delete territory in Lake and Sumter Counties, by Gibson Place Utility Company, LLC.</w:t>
      </w:r>
    </w:p>
  </w:footnote>
  <w:footnote w:id="3">
    <w:p w:rsidR="003676E2" w:rsidRPr="00C15210" w:rsidRDefault="003676E2" w:rsidP="00681408">
      <w:pPr>
        <w:pStyle w:val="FootnoteText"/>
        <w:rPr>
          <w:i/>
        </w:rPr>
      </w:pPr>
      <w:r>
        <w:rPr>
          <w:rStyle w:val="FootnoteReference"/>
        </w:rPr>
        <w:footnoteRef/>
      </w:r>
      <w:r>
        <w:t xml:space="preserve">Docket No. 20220088-WS, </w:t>
      </w:r>
      <w:r>
        <w:rPr>
          <w:i/>
        </w:rPr>
        <w:t xml:space="preserve">In re: </w:t>
      </w:r>
      <w:r w:rsidRPr="00C15210">
        <w:rPr>
          <w:i/>
        </w:rPr>
        <w:t>Application for certificates to provide water and wastewater service and approval of initial rates and charges in Sumter County, by Middleton Utility Company, LLC.</w:t>
      </w:r>
    </w:p>
  </w:footnote>
  <w:footnote w:id="4">
    <w:p w:rsidR="003676E2" w:rsidRDefault="003676E2" w:rsidP="00091C32">
      <w:pPr>
        <w:pStyle w:val="FootnoteText"/>
      </w:pPr>
      <w:r>
        <w:rPr>
          <w:rStyle w:val="FootnoteReference"/>
        </w:rPr>
        <w:footnoteRef/>
      </w:r>
      <w:r>
        <w:t>Document No. 04370-2022</w:t>
      </w:r>
    </w:p>
  </w:footnote>
  <w:footnote w:id="5">
    <w:p w:rsidR="003676E2" w:rsidRPr="00471A61" w:rsidRDefault="003676E2" w:rsidP="005B6223">
      <w:pPr>
        <w:pStyle w:val="FootnoteText"/>
        <w:rPr>
          <w:i/>
          <w:iCs/>
        </w:rPr>
      </w:pPr>
      <w:r>
        <w:rPr>
          <w:rStyle w:val="FootnoteReference"/>
        </w:rPr>
        <w:footnoteRef/>
      </w:r>
      <w:r>
        <w:t xml:space="preserve">Order No. PSC-2018-0271-PAA-WS, issued May 30, 2018, in Docket No. 20160220-WS, </w:t>
      </w:r>
      <w:r w:rsidRPr="00F57D5B">
        <w:rPr>
          <w:i/>
          <w:iCs/>
        </w:rPr>
        <w:t>In re: Application for</w:t>
      </w:r>
      <w:r>
        <w:rPr>
          <w:i/>
          <w:iCs/>
        </w:rPr>
        <w:t xml:space="preserve"> </w:t>
      </w:r>
      <w:r w:rsidRPr="00F57D5B">
        <w:rPr>
          <w:i/>
          <w:iCs/>
        </w:rPr>
        <w:t xml:space="preserve">original water and wastewater certificates in Sumter County, by South Sumter Utility Company, </w:t>
      </w:r>
      <w:proofErr w:type="gramStart"/>
      <w:r w:rsidRPr="00F57D5B">
        <w:rPr>
          <w:i/>
          <w:iCs/>
        </w:rPr>
        <w:t>LLC</w:t>
      </w:r>
      <w:r>
        <w:rPr>
          <w:i/>
          <w:iCs/>
        </w:rPr>
        <w:t>.,</w:t>
      </w:r>
      <w:proofErr w:type="gramEnd"/>
      <w:r>
        <w:rPr>
          <w:i/>
          <w:iCs/>
        </w:rPr>
        <w:t xml:space="preserve"> </w:t>
      </w:r>
      <w:r>
        <w:t>p. 4.</w:t>
      </w:r>
    </w:p>
  </w:footnote>
  <w:footnote w:id="6">
    <w:p w:rsidR="003676E2" w:rsidRPr="00AB2BE1" w:rsidRDefault="003676E2" w:rsidP="005B6223">
      <w:pPr>
        <w:pStyle w:val="FootnoteText"/>
        <w:rPr>
          <w:i/>
          <w:iCs/>
        </w:rPr>
      </w:pPr>
      <w:r>
        <w:rPr>
          <w:rStyle w:val="FootnoteReference"/>
        </w:rPr>
        <w:footnoteRef/>
      </w:r>
      <w:r>
        <w:t xml:space="preserve">Order No. PSC-2022-0208-PAA-WS, issued June 15, 2022, in Docket No. 20220006-WS, </w:t>
      </w:r>
      <w:r>
        <w:rPr>
          <w:i/>
          <w:iCs/>
        </w:rPr>
        <w:t xml:space="preserve">In re: </w:t>
      </w:r>
      <w:r w:rsidRPr="00AB2BE1">
        <w:rPr>
          <w:i/>
          <w:iCs/>
        </w:rPr>
        <w:t>Water and wastewater industry annual reestablishment of authorized range of return on common equity of water and wastewater utilities pursuant to Section 367.081 (4</w:t>
      </w:r>
      <w:proofErr w:type="gramStart"/>
      <w:r w:rsidRPr="00AB2BE1">
        <w:rPr>
          <w:i/>
          <w:iCs/>
        </w:rPr>
        <w:t>)(</w:t>
      </w:r>
      <w:proofErr w:type="gramEnd"/>
      <w:r w:rsidRPr="00AB2BE1">
        <w:rPr>
          <w:i/>
          <w:iCs/>
        </w:rPr>
        <w:t>f), F.S.</w:t>
      </w:r>
    </w:p>
  </w:footnote>
  <w:footnote w:id="7">
    <w:p w:rsidR="003676E2" w:rsidRPr="00F26DDE" w:rsidRDefault="003676E2" w:rsidP="00562D12">
      <w:pPr>
        <w:pStyle w:val="FootnoteText"/>
        <w:rPr>
          <w:i/>
        </w:rPr>
      </w:pPr>
      <w:r>
        <w:rPr>
          <w:rStyle w:val="FootnoteReference"/>
        </w:rPr>
        <w:footnoteRef/>
      </w:r>
      <w:r>
        <w:t xml:space="preserve">Docket No. 20220088-WS, </w:t>
      </w:r>
      <w:r w:rsidRPr="00F26DDE">
        <w:rPr>
          <w:i/>
        </w:rPr>
        <w:t>In re: Application for certificates to provide water and wastewater service and approval of initial rates and charges in Sumter County, by Middleton Utility Company, LLC.</w:t>
      </w:r>
    </w:p>
  </w:footnote>
  <w:footnote w:id="8">
    <w:p w:rsidR="003676E2" w:rsidRDefault="003676E2" w:rsidP="00F275B0">
      <w:pPr>
        <w:pStyle w:val="FootnoteText"/>
      </w:pPr>
      <w:r>
        <w:rPr>
          <w:rStyle w:val="FootnoteReference"/>
        </w:rPr>
        <w:footnoteRef/>
      </w:r>
      <w:r w:rsidRPr="00074424">
        <w:t xml:space="preserve">Order Nos. PSC-2020-0263-PAA-WS, issued July 27, 2020, in Docket No. 20190194-WS, </w:t>
      </w:r>
      <w:r w:rsidRPr="00074424">
        <w:rPr>
          <w:i/>
        </w:rPr>
        <w:t>In re: Application for original water and wastewater certificates and approval of initial rates, charges and standard service agreements in Lee County, by CPI Citrus Park Utility TRS, L.L.C.</w:t>
      </w:r>
      <w:r w:rsidR="0070118C">
        <w:t>;</w:t>
      </w:r>
      <w:r w:rsidRPr="00074424">
        <w:t xml:space="preserve"> PSC-2016-0525-PAA-WS, issued November 16, 2016, in Docket No. 20160030-WS, </w:t>
      </w:r>
      <w:r w:rsidRPr="00074424">
        <w:rPr>
          <w:i/>
        </w:rPr>
        <w:t>In re: Application for increase in water rates in Lee County and wastewater rates in Pasco County by Ni Florida, LLC.</w:t>
      </w:r>
      <w:r w:rsidR="0070118C">
        <w:t>;</w:t>
      </w:r>
      <w:r w:rsidRPr="00074424">
        <w:t xml:space="preserve"> PSC-2007-0789-PAA-SU, issued September 27, 2007, in Docket No. 20070074-SU, </w:t>
      </w:r>
      <w:r w:rsidRPr="00074424">
        <w:rPr>
          <w:i/>
        </w:rPr>
        <w:t>In re: Application for staff-assisted rate case in Okeechobee County by The Vantage Development Corporation</w:t>
      </w:r>
      <w:r w:rsidR="0070118C">
        <w:t xml:space="preserve">; and </w:t>
      </w:r>
      <w:r>
        <w:t xml:space="preserve">Order No. PSC-96-0596-FOF-WS, issued May 7, 1996, in Docket No. 950186-WS, </w:t>
      </w:r>
      <w:r>
        <w:rPr>
          <w:i/>
        </w:rPr>
        <w:t>In re:</w:t>
      </w:r>
      <w:r w:rsidRPr="00896EA7">
        <w:rPr>
          <w:i/>
        </w:rPr>
        <w:t xml:space="preserve"> Request for approval of new clas</w:t>
      </w:r>
      <w:r>
        <w:rPr>
          <w:i/>
        </w:rPr>
        <w:t>s</w:t>
      </w:r>
      <w:r w:rsidRPr="00896EA7">
        <w:rPr>
          <w:i/>
        </w:rPr>
        <w:t xml:space="preserve"> of service to provide for bulk service in Citrus County by Rolling Oaks Utilities, Inc.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6E2" w:rsidRDefault="003676E2" w:rsidP="00220732">
    <w:pPr>
      <w:pStyle w:val="Header"/>
      <w:tabs>
        <w:tab w:val="clear" w:pos="4320"/>
        <w:tab w:val="clear" w:pos="8640"/>
        <w:tab w:val="right" w:pos="9360"/>
      </w:tabs>
    </w:pPr>
    <w:bookmarkStart w:id="15" w:name="DocketLabel"/>
    <w:r>
      <w:t>Docket No.</w:t>
    </w:r>
    <w:bookmarkEnd w:id="15"/>
    <w:r>
      <w:t xml:space="preserve"> </w:t>
    </w:r>
    <w:bookmarkStart w:id="16" w:name="DocketList"/>
    <w:r>
      <w:t>20200185-WS</w:t>
    </w:r>
    <w:bookmarkEnd w:id="16"/>
  </w:p>
  <w:p w:rsidR="003676E2" w:rsidRDefault="003676E2">
    <w:pPr>
      <w:pStyle w:val="Header"/>
    </w:pPr>
    <w:r>
      <w:t xml:space="preserve">Date: </w:t>
    </w:r>
    <w:fldSimple w:instr=" REF FilingDate ">
      <w:r>
        <w:t>October 20, 2022</w:t>
      </w:r>
    </w:fldSimple>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6E2" w:rsidRDefault="003676E2" w:rsidP="00C00588">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20200185-WS</w:t>
    </w:r>
    <w:r>
      <w:fldChar w:fldCharType="end"/>
    </w:r>
    <w:r>
      <w:tab/>
      <w:t>Schedule No. 3-C</w:t>
    </w:r>
  </w:p>
  <w:p w:rsidR="003676E2" w:rsidRDefault="003676E2">
    <w:pPr>
      <w:pStyle w:val="Header"/>
    </w:pPr>
    <w:r>
      <w:t xml:space="preserve">Date: </w:t>
    </w:r>
    <w:fldSimple w:instr=" REF FilingDate ">
      <w:r>
        <w:t>October 20, 2022</w:t>
      </w:r>
    </w:fldSimple>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6E2" w:rsidRDefault="003676E2" w:rsidP="00C00588">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20200185-WS</w:t>
    </w:r>
    <w:r>
      <w:fldChar w:fldCharType="end"/>
    </w:r>
    <w:r>
      <w:tab/>
      <w:t>Schedule No. 4-A</w:t>
    </w:r>
  </w:p>
  <w:p w:rsidR="003676E2" w:rsidRDefault="003676E2">
    <w:pPr>
      <w:pStyle w:val="Header"/>
    </w:pPr>
    <w:r>
      <w:t xml:space="preserve">Date: </w:t>
    </w:r>
    <w:fldSimple w:instr=" REF FilingDate ">
      <w:r>
        <w:t>October 20, 2022</w:t>
      </w:r>
    </w:fldSimple>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6E2" w:rsidRDefault="003676E2" w:rsidP="00C00588">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20200185-WS</w:t>
    </w:r>
    <w:r>
      <w:fldChar w:fldCharType="end"/>
    </w:r>
    <w:r>
      <w:tab/>
      <w:t>Schedule No. 4-B</w:t>
    </w:r>
  </w:p>
  <w:p w:rsidR="003676E2" w:rsidRDefault="003676E2">
    <w:pPr>
      <w:pStyle w:val="Header"/>
    </w:pPr>
    <w:r>
      <w:t xml:space="preserve">Date: </w:t>
    </w:r>
    <w:fldSimple w:instr=" REF FilingDate ">
      <w:r>
        <w:t>October 20, 2022</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6E2" w:rsidRDefault="003676E2"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20200185-WS</w:t>
    </w:r>
    <w:r>
      <w:fldChar w:fldCharType="end"/>
    </w:r>
    <w:r>
      <w:tab/>
      <w:t xml:space="preserve">Issue </w:t>
    </w:r>
    <w:fldSimple w:instr=" Seq Issue \c \* Arabic ">
      <w:r w:rsidR="00C04DC7">
        <w:rPr>
          <w:noProof/>
        </w:rPr>
        <w:t>4</w:t>
      </w:r>
    </w:fldSimple>
  </w:p>
  <w:p w:rsidR="003676E2" w:rsidRDefault="003676E2">
    <w:pPr>
      <w:pStyle w:val="Header"/>
    </w:pPr>
    <w:r>
      <w:t xml:space="preserve">Date: </w:t>
    </w:r>
    <w:fldSimple w:instr=" REF FilingDate ">
      <w:r>
        <w:t>October 20, 2022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6E2" w:rsidRDefault="003676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6E2" w:rsidRDefault="003676E2"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20200185-WS</w:t>
    </w:r>
    <w:r>
      <w:fldChar w:fldCharType="end"/>
    </w:r>
    <w:r>
      <w:tab/>
      <w:t>Schedule No. 1-A</w:t>
    </w:r>
  </w:p>
  <w:p w:rsidR="003676E2" w:rsidRDefault="003676E2">
    <w:pPr>
      <w:pStyle w:val="Header"/>
    </w:pPr>
    <w:r>
      <w:t xml:space="preserve">Date: </w:t>
    </w:r>
    <w:fldSimple w:instr=" REF FilingDate ">
      <w:r>
        <w:t>October 20, 2022</w:t>
      </w:r>
    </w:fldSimple>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6E2" w:rsidRDefault="003676E2"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20200185-WS</w:t>
    </w:r>
    <w:r>
      <w:fldChar w:fldCharType="end"/>
    </w:r>
    <w:r>
      <w:tab/>
      <w:t>Schedule No. 1-B</w:t>
    </w:r>
  </w:p>
  <w:p w:rsidR="003676E2" w:rsidRDefault="003676E2">
    <w:pPr>
      <w:pStyle w:val="Header"/>
    </w:pPr>
    <w:r>
      <w:t xml:space="preserve">Date: </w:t>
    </w:r>
    <w:fldSimple w:instr=" REF FilingDate ">
      <w:r>
        <w:t>October 20, 2022</w:t>
      </w:r>
    </w:fldSimple>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6E2" w:rsidRDefault="003676E2"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20200185-WS</w:t>
    </w:r>
    <w:r>
      <w:fldChar w:fldCharType="end"/>
    </w:r>
    <w:r>
      <w:tab/>
      <w:t>Schedule No. 1-C</w:t>
    </w:r>
  </w:p>
  <w:p w:rsidR="003676E2" w:rsidRDefault="003676E2">
    <w:pPr>
      <w:pStyle w:val="Header"/>
    </w:pPr>
    <w:r>
      <w:t xml:space="preserve">Date: </w:t>
    </w:r>
    <w:fldSimple w:instr=" REF FilingDate ">
      <w:r>
        <w:t>October 20, 2022</w:t>
      </w:r>
    </w:fldSimple>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6E2" w:rsidRDefault="003676E2" w:rsidP="00C00588">
    <w:pPr>
      <w:pStyle w:val="Header"/>
      <w:tabs>
        <w:tab w:val="clear" w:pos="4320"/>
        <w:tab w:val="clear" w:pos="8640"/>
        <w:tab w:val="right" w:pos="1278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20200185-WS</w:t>
    </w:r>
    <w:r>
      <w:fldChar w:fldCharType="end"/>
    </w:r>
    <w:r>
      <w:tab/>
      <w:t>Schedule No. 2</w:t>
    </w:r>
  </w:p>
  <w:p w:rsidR="003676E2" w:rsidRDefault="003676E2">
    <w:pPr>
      <w:pStyle w:val="Header"/>
    </w:pPr>
    <w:r>
      <w:t xml:space="preserve">Date: </w:t>
    </w:r>
    <w:fldSimple w:instr=" REF FilingDate ">
      <w:r>
        <w:t>October 20, 2022</w:t>
      </w:r>
    </w:fldSimple>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6E2" w:rsidRDefault="003676E2" w:rsidP="00C00588">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20200185-WS</w:t>
    </w:r>
    <w:r>
      <w:fldChar w:fldCharType="end"/>
    </w:r>
    <w:r>
      <w:tab/>
      <w:t>Schedule No. 3-A</w:t>
    </w:r>
  </w:p>
  <w:p w:rsidR="003676E2" w:rsidRDefault="003676E2">
    <w:pPr>
      <w:pStyle w:val="Header"/>
    </w:pPr>
    <w:r>
      <w:t xml:space="preserve">Date: </w:t>
    </w:r>
    <w:fldSimple w:instr=" REF FilingDate ">
      <w:r>
        <w:t>October 20, 2022</w:t>
      </w:r>
    </w:fldSimple>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6E2" w:rsidRDefault="003676E2" w:rsidP="00C00588">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20200185-WS</w:t>
    </w:r>
    <w:r>
      <w:fldChar w:fldCharType="end"/>
    </w:r>
    <w:r>
      <w:tab/>
      <w:t>Schedule No. 3-B</w:t>
    </w:r>
  </w:p>
  <w:p w:rsidR="003676E2" w:rsidRDefault="003676E2">
    <w:pPr>
      <w:pStyle w:val="Header"/>
    </w:pPr>
    <w:r>
      <w:t xml:space="preserve">Date: </w:t>
    </w:r>
    <w:fldSimple w:instr=" REF FilingDate ">
      <w:r>
        <w:t>October 20, 2022</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ctiveWritingStyle w:appName="MSWord" w:lang="en-CA"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252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424083"/>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91C32"/>
    <w:rsid w:val="000A2B57"/>
    <w:rsid w:val="000A418B"/>
    <w:rsid w:val="000B0ACE"/>
    <w:rsid w:val="000C4431"/>
    <w:rsid w:val="000C6607"/>
    <w:rsid w:val="000D1C06"/>
    <w:rsid w:val="000D3043"/>
    <w:rsid w:val="000D4319"/>
    <w:rsid w:val="000E24FA"/>
    <w:rsid w:val="000E338A"/>
    <w:rsid w:val="000E4392"/>
    <w:rsid w:val="000F374A"/>
    <w:rsid w:val="000F4DAF"/>
    <w:rsid w:val="00105BA1"/>
    <w:rsid w:val="001076AF"/>
    <w:rsid w:val="001109F6"/>
    <w:rsid w:val="00113372"/>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81878"/>
    <w:rsid w:val="00191E1F"/>
    <w:rsid w:val="00191EE8"/>
    <w:rsid w:val="00192943"/>
    <w:rsid w:val="00193BAF"/>
    <w:rsid w:val="00194791"/>
    <w:rsid w:val="001A7406"/>
    <w:rsid w:val="001A7AE4"/>
    <w:rsid w:val="001B1EDC"/>
    <w:rsid w:val="001B4053"/>
    <w:rsid w:val="001B4FEE"/>
    <w:rsid w:val="001B51C5"/>
    <w:rsid w:val="001B672A"/>
    <w:rsid w:val="001B6F3F"/>
    <w:rsid w:val="001C26CD"/>
    <w:rsid w:val="001C52B5"/>
    <w:rsid w:val="001D0D3E"/>
    <w:rsid w:val="001D2817"/>
    <w:rsid w:val="001D2899"/>
    <w:rsid w:val="001E7FF4"/>
    <w:rsid w:val="001F2245"/>
    <w:rsid w:val="001F2C63"/>
    <w:rsid w:val="001F483A"/>
    <w:rsid w:val="001F48C7"/>
    <w:rsid w:val="001F6DA1"/>
    <w:rsid w:val="00200178"/>
    <w:rsid w:val="00204200"/>
    <w:rsid w:val="002044E6"/>
    <w:rsid w:val="00205C82"/>
    <w:rsid w:val="00205DC2"/>
    <w:rsid w:val="00211924"/>
    <w:rsid w:val="00212B17"/>
    <w:rsid w:val="002163B6"/>
    <w:rsid w:val="00217215"/>
    <w:rsid w:val="00217975"/>
    <w:rsid w:val="00220732"/>
    <w:rsid w:val="0022121F"/>
    <w:rsid w:val="00221D32"/>
    <w:rsid w:val="00222AC1"/>
    <w:rsid w:val="002239B1"/>
    <w:rsid w:val="0022490C"/>
    <w:rsid w:val="00225C3F"/>
    <w:rsid w:val="00263D44"/>
    <w:rsid w:val="002702AD"/>
    <w:rsid w:val="00275073"/>
    <w:rsid w:val="00281EB4"/>
    <w:rsid w:val="0029163D"/>
    <w:rsid w:val="00291D35"/>
    <w:rsid w:val="00292D82"/>
    <w:rsid w:val="00293EE7"/>
    <w:rsid w:val="002963CB"/>
    <w:rsid w:val="002B2DAC"/>
    <w:rsid w:val="002B4A01"/>
    <w:rsid w:val="002C291B"/>
    <w:rsid w:val="002C746A"/>
    <w:rsid w:val="002C7E4E"/>
    <w:rsid w:val="002D226D"/>
    <w:rsid w:val="002D74E3"/>
    <w:rsid w:val="002E706D"/>
    <w:rsid w:val="002F33AA"/>
    <w:rsid w:val="002F6030"/>
    <w:rsid w:val="003001AC"/>
    <w:rsid w:val="003037E1"/>
    <w:rsid w:val="00307E51"/>
    <w:rsid w:val="003103EC"/>
    <w:rsid w:val="003117D2"/>
    <w:rsid w:val="00312132"/>
    <w:rsid w:val="003130BA"/>
    <w:rsid w:val="003144EF"/>
    <w:rsid w:val="0031480E"/>
    <w:rsid w:val="00316877"/>
    <w:rsid w:val="00322F74"/>
    <w:rsid w:val="00325E15"/>
    <w:rsid w:val="00340073"/>
    <w:rsid w:val="003411D8"/>
    <w:rsid w:val="00341D96"/>
    <w:rsid w:val="003445B0"/>
    <w:rsid w:val="00353A38"/>
    <w:rsid w:val="00353B66"/>
    <w:rsid w:val="00355934"/>
    <w:rsid w:val="00357928"/>
    <w:rsid w:val="003632FD"/>
    <w:rsid w:val="003650EF"/>
    <w:rsid w:val="003676E2"/>
    <w:rsid w:val="00370F78"/>
    <w:rsid w:val="00372805"/>
    <w:rsid w:val="00373180"/>
    <w:rsid w:val="00374251"/>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1811"/>
    <w:rsid w:val="003F21EB"/>
    <w:rsid w:val="003F4A35"/>
    <w:rsid w:val="003F5F03"/>
    <w:rsid w:val="003F7FDD"/>
    <w:rsid w:val="00402101"/>
    <w:rsid w:val="00402481"/>
    <w:rsid w:val="004042B4"/>
    <w:rsid w:val="00410DC4"/>
    <w:rsid w:val="00412DAE"/>
    <w:rsid w:val="0041302D"/>
    <w:rsid w:val="00424083"/>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368B"/>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62D12"/>
    <w:rsid w:val="0057154F"/>
    <w:rsid w:val="00575D68"/>
    <w:rsid w:val="005766AC"/>
    <w:rsid w:val="00580F69"/>
    <w:rsid w:val="00581CA3"/>
    <w:rsid w:val="00585031"/>
    <w:rsid w:val="00586E8B"/>
    <w:rsid w:val="00587A44"/>
    <w:rsid w:val="00597730"/>
    <w:rsid w:val="005977EC"/>
    <w:rsid w:val="00597DE7"/>
    <w:rsid w:val="005A4AA2"/>
    <w:rsid w:val="005B34B6"/>
    <w:rsid w:val="005B606A"/>
    <w:rsid w:val="005B6223"/>
    <w:rsid w:val="005B6C8F"/>
    <w:rsid w:val="005B6EC3"/>
    <w:rsid w:val="005C17D7"/>
    <w:rsid w:val="005C33CE"/>
    <w:rsid w:val="005D0F74"/>
    <w:rsid w:val="005D2E7D"/>
    <w:rsid w:val="005D4A8F"/>
    <w:rsid w:val="005D561B"/>
    <w:rsid w:val="005D578F"/>
    <w:rsid w:val="005D5ECF"/>
    <w:rsid w:val="005E1E4A"/>
    <w:rsid w:val="005F468D"/>
    <w:rsid w:val="005F69A3"/>
    <w:rsid w:val="00600E91"/>
    <w:rsid w:val="00604CC7"/>
    <w:rsid w:val="00613441"/>
    <w:rsid w:val="00615423"/>
    <w:rsid w:val="006165B2"/>
    <w:rsid w:val="00617276"/>
    <w:rsid w:val="0062527B"/>
    <w:rsid w:val="00625D97"/>
    <w:rsid w:val="00625F1C"/>
    <w:rsid w:val="0062658E"/>
    <w:rsid w:val="006279E1"/>
    <w:rsid w:val="00630CEB"/>
    <w:rsid w:val="00632264"/>
    <w:rsid w:val="00632F92"/>
    <w:rsid w:val="006355F2"/>
    <w:rsid w:val="006470BC"/>
    <w:rsid w:val="006554D3"/>
    <w:rsid w:val="006603F4"/>
    <w:rsid w:val="00661708"/>
    <w:rsid w:val="00666522"/>
    <w:rsid w:val="00667036"/>
    <w:rsid w:val="00667483"/>
    <w:rsid w:val="00667B89"/>
    <w:rsid w:val="00673BDB"/>
    <w:rsid w:val="00674341"/>
    <w:rsid w:val="006771B8"/>
    <w:rsid w:val="00681408"/>
    <w:rsid w:val="00682631"/>
    <w:rsid w:val="006837C0"/>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3BD1"/>
    <w:rsid w:val="006E010E"/>
    <w:rsid w:val="006E08CB"/>
    <w:rsid w:val="006E598D"/>
    <w:rsid w:val="0070118C"/>
    <w:rsid w:val="0070437D"/>
    <w:rsid w:val="00704CF1"/>
    <w:rsid w:val="00705B04"/>
    <w:rsid w:val="0071040E"/>
    <w:rsid w:val="00717EE9"/>
    <w:rsid w:val="00724992"/>
    <w:rsid w:val="00724F64"/>
    <w:rsid w:val="00727F90"/>
    <w:rsid w:val="007346DA"/>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B6E10"/>
    <w:rsid w:val="007B730C"/>
    <w:rsid w:val="007C0528"/>
    <w:rsid w:val="007C08EA"/>
    <w:rsid w:val="007C0EB1"/>
    <w:rsid w:val="007C3D38"/>
    <w:rsid w:val="007D0F35"/>
    <w:rsid w:val="007D4546"/>
    <w:rsid w:val="007D4FEB"/>
    <w:rsid w:val="007D6146"/>
    <w:rsid w:val="007E0CE7"/>
    <w:rsid w:val="007F1193"/>
    <w:rsid w:val="007F417F"/>
    <w:rsid w:val="007F7644"/>
    <w:rsid w:val="008042BD"/>
    <w:rsid w:val="008050B3"/>
    <w:rsid w:val="00816624"/>
    <w:rsid w:val="00822427"/>
    <w:rsid w:val="00822562"/>
    <w:rsid w:val="00823663"/>
    <w:rsid w:val="00823664"/>
    <w:rsid w:val="008305B7"/>
    <w:rsid w:val="00832DDC"/>
    <w:rsid w:val="008426B0"/>
    <w:rsid w:val="008431BB"/>
    <w:rsid w:val="00845E34"/>
    <w:rsid w:val="00850BAC"/>
    <w:rsid w:val="00853898"/>
    <w:rsid w:val="00854A3E"/>
    <w:rsid w:val="00855D08"/>
    <w:rsid w:val="008618A4"/>
    <w:rsid w:val="00861E2A"/>
    <w:rsid w:val="008731AB"/>
    <w:rsid w:val="00874344"/>
    <w:rsid w:val="0087505D"/>
    <w:rsid w:val="00877703"/>
    <w:rsid w:val="00882155"/>
    <w:rsid w:val="0088233B"/>
    <w:rsid w:val="0088599E"/>
    <w:rsid w:val="00886C37"/>
    <w:rsid w:val="008915FC"/>
    <w:rsid w:val="00892D99"/>
    <w:rsid w:val="00893191"/>
    <w:rsid w:val="00893315"/>
    <w:rsid w:val="008937A2"/>
    <w:rsid w:val="00894C09"/>
    <w:rsid w:val="008B5C68"/>
    <w:rsid w:val="008B62AE"/>
    <w:rsid w:val="008C04B5"/>
    <w:rsid w:val="008C14FA"/>
    <w:rsid w:val="008C2C9B"/>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54402"/>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3F3A"/>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00A8"/>
    <w:rsid w:val="00B718C3"/>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C712F"/>
    <w:rsid w:val="00BD0F48"/>
    <w:rsid w:val="00BD14E5"/>
    <w:rsid w:val="00BE0E50"/>
    <w:rsid w:val="00BE6DDB"/>
    <w:rsid w:val="00BF03E0"/>
    <w:rsid w:val="00BF5010"/>
    <w:rsid w:val="00C00588"/>
    <w:rsid w:val="00C03009"/>
    <w:rsid w:val="00C03D5F"/>
    <w:rsid w:val="00C04DC7"/>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49C"/>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246F9"/>
    <w:rsid w:val="00D30927"/>
    <w:rsid w:val="00D479AE"/>
    <w:rsid w:val="00D50FCD"/>
    <w:rsid w:val="00D533E3"/>
    <w:rsid w:val="00D60B16"/>
    <w:rsid w:val="00D60F02"/>
    <w:rsid w:val="00D615A9"/>
    <w:rsid w:val="00D66E49"/>
    <w:rsid w:val="00D70D71"/>
    <w:rsid w:val="00D72F74"/>
    <w:rsid w:val="00D81563"/>
    <w:rsid w:val="00D837C1"/>
    <w:rsid w:val="00D85907"/>
    <w:rsid w:val="00D860AC"/>
    <w:rsid w:val="00D900C3"/>
    <w:rsid w:val="00D9073E"/>
    <w:rsid w:val="00D9221D"/>
    <w:rsid w:val="00D9253C"/>
    <w:rsid w:val="00D958DF"/>
    <w:rsid w:val="00D959A5"/>
    <w:rsid w:val="00D96DA1"/>
    <w:rsid w:val="00DA51E7"/>
    <w:rsid w:val="00DB0260"/>
    <w:rsid w:val="00DB1C78"/>
    <w:rsid w:val="00DB3F4F"/>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5624"/>
    <w:rsid w:val="00E3635B"/>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B5C26"/>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275B0"/>
    <w:rsid w:val="00F30701"/>
    <w:rsid w:val="00F32978"/>
    <w:rsid w:val="00F3378B"/>
    <w:rsid w:val="00F45CB2"/>
    <w:rsid w:val="00F511F3"/>
    <w:rsid w:val="00F544C0"/>
    <w:rsid w:val="00F55332"/>
    <w:rsid w:val="00F6156E"/>
    <w:rsid w:val="00F6504A"/>
    <w:rsid w:val="00F65519"/>
    <w:rsid w:val="00F66D9F"/>
    <w:rsid w:val="00F713C0"/>
    <w:rsid w:val="00F7378C"/>
    <w:rsid w:val="00F75DDC"/>
    <w:rsid w:val="00F7792F"/>
    <w:rsid w:val="00F842AA"/>
    <w:rsid w:val="00F8476F"/>
    <w:rsid w:val="00F853E1"/>
    <w:rsid w:val="00F85604"/>
    <w:rsid w:val="00F90339"/>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3573C4C7-AA8B-4C72-B573-99305A900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rsid w:val="00681408"/>
  </w:style>
  <w:style w:type="character" w:styleId="FootnoteReference">
    <w:name w:val="footnote reference"/>
    <w:basedOn w:val="DefaultParagraphFont"/>
    <w:rsid w:val="00681408"/>
    <w:rPr>
      <w:vertAlign w:val="superscript"/>
    </w:rPr>
  </w:style>
  <w:style w:type="table" w:customStyle="1" w:styleId="TableGrid16">
    <w:name w:val="Table Grid16"/>
    <w:basedOn w:val="TableNormal"/>
    <w:next w:val="TableGrid"/>
    <w:rsid w:val="00F90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6.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image" Target="media/image3.emf"/><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22</Pages>
  <Words>5755</Words>
  <Characters>33834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39510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Joann Parsons</dc:creator>
  <cp:lastModifiedBy>Joann Parsons</cp:lastModifiedBy>
  <cp:revision>2</cp:revision>
  <cp:lastPrinted>2004-01-27T20:32:00Z</cp:lastPrinted>
  <dcterms:created xsi:type="dcterms:W3CDTF">2022-10-20T15:21:00Z</dcterms:created>
  <dcterms:modified xsi:type="dcterms:W3CDTF">2022-10-20T15:21:00Z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20200185-WS</vt:lpwstr>
  </property>
  <property fmtid="{D5CDD505-2E9C-101B-9397-08002B2CF9AE}" pid="3" name="MasterDocument">
    <vt:bool>false</vt:bool>
  </property>
</Properties>
</file>